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550CA" w14:textId="77777777" w:rsidR="00AA6F51" w:rsidRDefault="00000000" w:rsidP="00FD440B">
      <w:pPr>
        <w:pStyle w:val="PaperTitle"/>
      </w:pPr>
      <w:bookmarkStart w:id="0" w:name="__DdeLink__1223_771917152"/>
      <w:r>
        <w:t>Influence of Long-Term Loading and Central Asian Climate on Wooden Spatial Structures</w:t>
      </w:r>
      <w:bookmarkEnd w:id="0"/>
    </w:p>
    <w:p w14:paraId="7349385C" w14:textId="77777777" w:rsidR="00AA6F51" w:rsidRDefault="00000000" w:rsidP="00FD440B">
      <w:pPr>
        <w:pStyle w:val="AuthorName"/>
      </w:pPr>
      <w:bookmarkStart w:id="1" w:name="__DdeLink__1225_771917152"/>
      <w:r>
        <w:rPr>
          <w:lang w:val="uz-Cyrl-UZ"/>
        </w:rPr>
        <w:t>Boltayev To’qmurod</w:t>
      </w:r>
      <w:r>
        <w:rPr>
          <w:vertAlign w:val="superscript"/>
          <w:lang w:val="uz-Cyrl-UZ"/>
        </w:rPr>
        <w:t>1</w:t>
      </w:r>
      <w:r>
        <w:rPr>
          <w:lang w:val="uz-Cyrl-UZ"/>
        </w:rPr>
        <w:t>, Qosimov To’raboy</w:t>
      </w:r>
      <w:r>
        <w:rPr>
          <w:vertAlign w:val="superscript"/>
          <w:lang w:val="uz-Cyrl-UZ"/>
        </w:rPr>
        <w:t>1</w:t>
      </w:r>
      <w:r>
        <w:rPr>
          <w:lang w:val="uz-Cyrl-UZ"/>
        </w:rPr>
        <w:t>, Maxammatov Muzaffar Safarovich</w:t>
      </w:r>
      <w:r>
        <w:rPr>
          <w:vertAlign w:val="superscript"/>
          <w:lang w:val="uz-Cyrl-UZ"/>
        </w:rPr>
        <w:t>1</w:t>
      </w:r>
      <w:r>
        <w:rPr>
          <w:lang w:val="uz-Cyrl-UZ"/>
        </w:rPr>
        <w:t xml:space="preserve">,  </w:t>
      </w:r>
      <w:bookmarkStart w:id="2" w:name="__DdeLink__1227_771917152"/>
      <w:r>
        <w:rPr>
          <w:lang w:val="uz-Cyrl-UZ"/>
        </w:rPr>
        <w:t>Bakhriev</w:t>
      </w:r>
      <w:bookmarkEnd w:id="2"/>
      <w:r>
        <w:rPr>
          <w:lang w:val="uz-Cyrl-UZ"/>
        </w:rPr>
        <w:t xml:space="preserve"> Nuritdin Fakhritdinovich</w:t>
      </w:r>
      <w:bookmarkEnd w:id="1"/>
      <w:r>
        <w:rPr>
          <w:vertAlign w:val="superscript"/>
          <w:lang w:val="uz-Cyrl-UZ"/>
        </w:rPr>
        <w:t>2</w:t>
      </w:r>
      <w:r>
        <w:rPr>
          <w:vertAlign w:val="superscript"/>
        </w:rPr>
        <w:t>,a)</w:t>
      </w:r>
    </w:p>
    <w:p w14:paraId="5B041F9A" w14:textId="77777777" w:rsidR="00AA6F51" w:rsidRDefault="00000000" w:rsidP="00FD440B">
      <w:pPr>
        <w:pStyle w:val="AuthorAffiliation"/>
      </w:pPr>
      <w:r>
        <w:rPr>
          <w:vertAlign w:val="superscript"/>
        </w:rPr>
        <w:t>1</w:t>
      </w:r>
      <w:bookmarkStart w:id="3" w:name="__DdeLink__1229_771917152"/>
      <w:r>
        <w:t>Samarkand State University of Architecture and construction named after Mirzo Ulugbek</w:t>
      </w:r>
      <w:bookmarkEnd w:id="3"/>
      <w:r>
        <w:t>. Samarkand, Uzbekistan.</w:t>
      </w:r>
    </w:p>
    <w:p w14:paraId="483D2C4A" w14:textId="77777777" w:rsidR="00AA6F51" w:rsidRDefault="00000000" w:rsidP="00FD440B">
      <w:pPr>
        <w:pStyle w:val="AuthorAffiliation"/>
      </w:pPr>
      <w:r>
        <w:t xml:space="preserve"> </w:t>
      </w:r>
      <w:r>
        <w:rPr>
          <w:vertAlign w:val="superscript"/>
        </w:rPr>
        <w:t>2</w:t>
      </w:r>
      <w:r>
        <w:t>Samarkand State University named after Sharof Rashidov, Samarkand, Uzbekistan.</w:t>
      </w:r>
    </w:p>
    <w:p w14:paraId="4D39CFE4" w14:textId="77777777" w:rsidR="00FD440B" w:rsidRDefault="00FD440B" w:rsidP="00FD440B">
      <w:pPr>
        <w:pStyle w:val="AuthorAffiliation"/>
      </w:pPr>
    </w:p>
    <w:p w14:paraId="6DD8E873" w14:textId="0D1275C6" w:rsidR="00AA6F51" w:rsidRDefault="00000000" w:rsidP="00FD440B">
      <w:pPr>
        <w:pStyle w:val="AuthorEmail"/>
      </w:pPr>
      <w:proofErr w:type="gramStart"/>
      <w:r>
        <w:rPr>
          <w:vertAlign w:val="superscript"/>
        </w:rPr>
        <w:t>a)</w:t>
      </w:r>
      <w:r>
        <w:t>Corresponding</w:t>
      </w:r>
      <w:proofErr w:type="gramEnd"/>
      <w:r>
        <w:t xml:space="preserve"> author</w:t>
      </w:r>
      <w:r w:rsidR="00CC4F98">
        <w:t>:</w:t>
      </w:r>
      <w:r>
        <w:t xml:space="preserve"> </w:t>
      </w:r>
      <w:bookmarkStart w:id="4" w:name="__DdeLink__1231_771917152"/>
      <w:r>
        <w:t>bakhriyev.nf@mail.ru</w:t>
      </w:r>
      <w:bookmarkEnd w:id="4"/>
    </w:p>
    <w:p w14:paraId="355A6E40" w14:textId="77777777" w:rsidR="00AA6F51" w:rsidRDefault="00000000" w:rsidP="00FD440B">
      <w:pPr>
        <w:pStyle w:val="Abstract"/>
      </w:pPr>
      <w:r>
        <w:rPr>
          <w:b/>
        </w:rPr>
        <w:t>Abstract:</w:t>
      </w:r>
      <w:r>
        <w:t xml:space="preserve"> Modern construction, carried out in conditions of dry hot climate, is one of the most material-intensive industries. The article suggests the need to use available, comprehensive reserves to reduce material intensity, reduce labor and energy costs for the manufacture and construction of spatial wooden structures. In this regard, a solution to the problem with a wider use of lightweight materials, in particular wood, is proposed. Attempts are made to develop methods for calculating and designing spatial wooden systems. Issues related to the theory of deformation and </w:t>
      </w:r>
      <w:proofErr w:type="gramStart"/>
      <w:r>
        <w:t>resistances</w:t>
      </w:r>
      <w:proofErr w:type="gramEnd"/>
      <w:r>
        <w:t xml:space="preserve"> of wood under long-term impacts are considered. Data on the effect of humidity and temperature effects on wood in modern conditions of dry and hot climate are provided. The possibility of reducing material costs for the structure is </w:t>
      </w:r>
      <w:proofErr w:type="gramStart"/>
      <w:r>
        <w:t>attracted</w:t>
      </w:r>
      <w:proofErr w:type="gramEnd"/>
      <w:r>
        <w:t xml:space="preserve"> </w:t>
      </w:r>
      <w:proofErr w:type="gramStart"/>
      <w:r>
        <w:t>taking into account</w:t>
      </w:r>
      <w:proofErr w:type="gramEnd"/>
      <w:r>
        <w:t xml:space="preserve"> the long-term action of loads from 10 to 25%, a qualitative picture of the peculiarity of long-term deformation of wooden structures is explained.</w:t>
      </w:r>
    </w:p>
    <w:p w14:paraId="69446B6F" w14:textId="183CE341" w:rsidR="00AA6F51" w:rsidRDefault="00000000" w:rsidP="00FD440B">
      <w:pPr>
        <w:pStyle w:val="Abstract"/>
        <w:rPr>
          <w:lang w:val="uz-Cyrl-UZ"/>
        </w:rPr>
      </w:pPr>
      <w:r>
        <w:rPr>
          <w:b/>
          <w:lang w:val="uz-Cyrl-UZ"/>
        </w:rPr>
        <w:t>Keywords</w:t>
      </w:r>
      <w:r>
        <w:rPr>
          <w:lang w:val="uz-Cyrl-UZ"/>
        </w:rPr>
        <w:t>: reduction of material consumption, deformation and resistance of wood, fibrous structure, elasticity, plasticity, amorphous viscous filler, anisotropically inhomogeneous material, humidity, temperature</w:t>
      </w:r>
    </w:p>
    <w:p w14:paraId="00DA6788" w14:textId="77777777" w:rsidR="00AA6F51" w:rsidRDefault="00000000" w:rsidP="00FD440B">
      <w:pPr>
        <w:pStyle w:val="berschrift1"/>
      </w:pPr>
      <w:r>
        <w:t>Introduction</w:t>
      </w:r>
    </w:p>
    <w:p w14:paraId="55C27697" w14:textId="77777777" w:rsidR="00AA6F51" w:rsidRDefault="00000000" w:rsidP="00FD440B">
      <w:pPr>
        <w:pStyle w:val="Paragraph"/>
      </w:pPr>
      <w:r>
        <w:t xml:space="preserve">Increasing the efficiency of using wooden structures is closely related to such concepts as reliability and durability. However, these two indicators are not always ensured when using wooden structures under constant load and the action of the dry hot climate of Central Asia. Despite the widespread use of wooden structures, they do not always meet the strength and durability requirements under the above conditions due to the formation of damage in the form of parallel-fiber cracks and delimitation during operation. The geometric parameters of such damage, depending on the type of structure, the action of long-term load and operating conditions, vary widely, both in the depth of the section and the length of the structure. This is evidenced by the results of a literature review of </w:t>
      </w:r>
      <w:proofErr w:type="gramStart"/>
      <w:r>
        <w:t>a number of</w:t>
      </w:r>
      <w:proofErr w:type="gramEnd"/>
      <w:r>
        <w:t xml:space="preserve"> works by authors in which the problem of long-term loads and dry hot climate has not been studied sufficiently [1, 2, 3 and 4].</w:t>
      </w:r>
    </w:p>
    <w:p w14:paraId="204C62D0" w14:textId="77777777" w:rsidR="00AA6F51" w:rsidRDefault="00000000" w:rsidP="00FD440B">
      <w:pPr>
        <w:pStyle w:val="Paragraph"/>
      </w:pPr>
      <w:r>
        <w:t>The specificity of wooden structures determines their unique scope of application, often where other materials do not meet the requirements, namely, the lightness of the material, the feasibility of using for large-span roofs, the need for which is increasingly increasing in modern conditions. This is especially relevant for regions with aggressive and harsh climates, when exposed to long-term loads. Resistance to aggressive environments, when exposed to long-term loads as large-span elements [3, 4].</w:t>
      </w:r>
    </w:p>
    <w:p w14:paraId="2D779058" w14:textId="77777777" w:rsidR="00AA6F51" w:rsidRDefault="00000000" w:rsidP="00FD440B">
      <w:pPr>
        <w:pStyle w:val="Paragraph"/>
      </w:pPr>
      <w:r>
        <w:t xml:space="preserve">It is known that wooden structures do not shrink evenly among all three sides (cross-section, radial and tangential sections, directions x, y and z). Whatever the type of wood, it shrinks the least along its grain z, i.e. per meter (0.1-0.4%), and the most along its cross-section (6-12%). Thermal conductivity of most wood materials under the influence of temperature (T) in a dry state is relatively insignificant. The thermal conductivity coefficient of wood through the cross-section is 0.17 W/m•°C, and along the radial and tangential grains - 0.34 W/m•°C. An increase in wood moisture content (W) increases its thermal conductivity. The ability of wooden structures to absorb </w:t>
      </w:r>
      <w:r>
        <w:lastRenderedPageBreak/>
        <w:t xml:space="preserve">moisture in space has a qualitatively negative effect on their strength and deformation. Therefore, it is important to determine the deformation and design resistance of wood over time under the influence of humidity and external temperature [5, 6, 7 and 8]. </w:t>
      </w:r>
    </w:p>
    <w:p w14:paraId="5EE93E15" w14:textId="77777777" w:rsidR="00AA6F51" w:rsidRDefault="00000000" w:rsidP="00FD440B">
      <w:pPr>
        <w:pStyle w:val="Paragraph"/>
      </w:pPr>
      <w:r>
        <w:t>Since the resistance and deformation of wooden structures are affected by long-term constant loads, they have their own order of impacts, so that their natural structure cannot be changed. When exposed to humidity (W) and temperature (T), and then periodic long-term load, it is important to study the deformation of derivative structures and determine their design resistance, which is the main goal of the presented studies.</w:t>
      </w:r>
    </w:p>
    <w:p w14:paraId="34FF9BB9" w14:textId="77777777" w:rsidR="00AA6F51" w:rsidRDefault="00000000" w:rsidP="00FD440B">
      <w:pPr>
        <w:pStyle w:val="Paragraph"/>
      </w:pPr>
      <w:r>
        <w:t>Normative and design resistance of wooden structures is closed in that ix resistance to the impact of periodic continuous external loads is removed to a certain extent with an increase in humidity.</w:t>
      </w:r>
    </w:p>
    <w:p w14:paraId="4D05D7DB" w14:textId="77777777" w:rsidR="00AA6F51" w:rsidRDefault="00000000" w:rsidP="00FD440B">
      <w:pPr>
        <w:pStyle w:val="Paragraph"/>
      </w:pPr>
      <w:r>
        <w:t>As a result of increased air humidity on cold winter days, wooden structures tend to absorb moisture from the air. In some cases, due to excessive moisture absorption by wooden structures, their frame may freeze.</w:t>
      </w:r>
    </w:p>
    <w:p w14:paraId="7436C99E" w14:textId="77777777" w:rsidR="00AA6F51" w:rsidRDefault="00000000" w:rsidP="00FD440B">
      <w:pPr>
        <w:pStyle w:val="berschrift1"/>
      </w:pPr>
      <w:r>
        <w:t xml:space="preserve">Methodology of </w:t>
      </w:r>
      <w:proofErr w:type="gramStart"/>
      <w:r>
        <w:t>the research</w:t>
      </w:r>
      <w:proofErr w:type="gramEnd"/>
    </w:p>
    <w:p w14:paraId="74E1A32A" w14:textId="77777777" w:rsidR="00AA6F51" w:rsidRDefault="00000000" w:rsidP="00FD440B">
      <w:pPr>
        <w:pStyle w:val="Paragraph"/>
      </w:pPr>
      <w:r>
        <w:t xml:space="preserve">Wood samples were taken from different species that are exposed to long-term constant load. The samples were chips of lumber of spatial structures. Species of samples are presented in Table 1. Standard samples were made from </w:t>
      </w:r>
      <w:proofErr w:type="gramStart"/>
      <w:r>
        <w:t>the chips</w:t>
      </w:r>
      <w:proofErr w:type="gramEnd"/>
      <w:r>
        <w:t xml:space="preserve"> to determine the moisture content, density and strength of wood. Wood moisture content was determined according to the method of GOST 16483.7-82, density – GOST 16483.1-84 and strength – GOST 16483.10-73, GOST 16483.23-73.</w:t>
      </w:r>
    </w:p>
    <w:p w14:paraId="0F3D6A56" w14:textId="77777777" w:rsidR="00AA6F51" w:rsidRDefault="00000000" w:rsidP="00FD440B">
      <w:pPr>
        <w:pStyle w:val="Paragraph"/>
      </w:pPr>
      <w:r>
        <w:t>The determination of the ultimate strength for any given duration of load action was carried out using the formula [9]:</w:t>
      </w:r>
    </w:p>
    <w:p w14:paraId="3D4FABAC" w14:textId="3479BD3A" w:rsidR="002C7CD2" w:rsidRDefault="00FD440B" w:rsidP="002C7CD2">
      <w:pPr>
        <w:pStyle w:val="Equation"/>
      </w:pPr>
      <w:r>
        <w:tab/>
      </w:r>
      <m:oMath>
        <m:sSub>
          <m:sSubPr>
            <m:ctrlPr>
              <w:rPr>
                <w:rFonts w:ascii="Cambria Math" w:hAnsi="Cambria Math"/>
              </w:rPr>
            </m:ctrlPr>
          </m:sSubPr>
          <m:e>
            <m:r>
              <m:rPr>
                <m:lit/>
                <m:nor/>
              </m:rPr>
              <w:rPr>
                <w:rFonts w:ascii="Cambria Math" w:hAnsi="Cambria Math"/>
              </w:rPr>
              <m:t xml:space="preserve">   </m:t>
            </m:r>
            <m:r>
              <w:rPr>
                <w:rFonts w:ascii="Cambria Math" w:hAnsi="Cambria Math"/>
              </w:rPr>
              <m:t>σ</m:t>
            </m:r>
          </m:e>
          <m:sub>
            <m:r>
              <w:rPr>
                <w:rFonts w:ascii="Cambria Math" w:hAnsi="Cambria Math"/>
              </w:rPr>
              <m:t>τ</m:t>
            </m:r>
          </m:sub>
        </m:sSub>
        <m:r>
          <m:rPr>
            <m:lit/>
            <m:nor/>
          </m:rPr>
          <w:rPr>
            <w:rFonts w:ascii="Cambria Math" w:hAnsi="Cambria Math"/>
          </w:rPr>
          <m:t>=</m:t>
        </m:r>
        <m:sSub>
          <m:sSubPr>
            <m:ctrlPr>
              <w:rPr>
                <w:rFonts w:ascii="Cambria Math" w:hAnsi="Cambria Math"/>
              </w:rPr>
            </m:ctrlPr>
          </m:sSubPr>
          <m:e>
            <m:r>
              <w:rPr>
                <w:rFonts w:ascii="Cambria Math" w:hAnsi="Cambria Math"/>
              </w:rPr>
              <m:t>σ</m:t>
            </m:r>
          </m:e>
          <m:sub>
            <m:r>
              <w:rPr>
                <w:rFonts w:ascii="Cambria Math" w:hAnsi="Cambria Math"/>
              </w:rPr>
              <m:t>ст</m:t>
            </m:r>
          </m:sub>
        </m:sSub>
        <m:r>
          <m:rPr>
            <m:lit/>
            <m:nor/>
          </m:rPr>
          <w:rPr>
            <w:rFonts w:ascii="Cambria Math" w:hAnsi="Cambria Math"/>
          </w:rPr>
          <m:t>+</m:t>
        </m:r>
        <m:r>
          <w:rPr>
            <w:rFonts w:ascii="Cambria Math" w:hAnsi="Cambria Math"/>
          </w:rPr>
          <m:t>α(log</m:t>
        </m:r>
        <m:sSub>
          <m:sSubPr>
            <m:ctrlPr>
              <w:rPr>
                <w:rFonts w:ascii="Cambria Math" w:hAnsi="Cambria Math"/>
              </w:rPr>
            </m:ctrlPr>
          </m:sSubPr>
          <m:e>
            <m:r>
              <w:rPr>
                <w:rFonts w:ascii="Cambria Math" w:hAnsi="Cambria Math"/>
              </w:rPr>
              <m:t>τ</m:t>
            </m:r>
          </m:e>
          <m:sub>
            <m:r>
              <w:rPr>
                <w:rFonts w:ascii="Cambria Math" w:hAnsi="Cambria Math"/>
              </w:rPr>
              <m:t>ст</m:t>
            </m:r>
          </m:sub>
        </m:sSub>
        <m:r>
          <m:rPr>
            <m:lit/>
            <m:nor/>
          </m:rPr>
          <w:rPr>
            <w:rFonts w:ascii="Cambria Math" w:hAnsi="Cambria Math"/>
          </w:rPr>
          <m:t>-</m:t>
        </m:r>
        <m:r>
          <w:rPr>
            <w:rFonts w:ascii="Cambria Math" w:hAnsi="Cambria Math"/>
          </w:rPr>
          <m:t>logτ)</m:t>
        </m:r>
        <m:r>
          <m:rPr>
            <m:lit/>
            <m:nor/>
          </m:rPr>
          <w:rPr>
            <w:rFonts w:ascii="Cambria Math" w:hAnsi="Cambria Math"/>
          </w:rPr>
          <m:t xml:space="preserve"> </m:t>
        </m:r>
      </m:oMath>
      <w:r>
        <w:t xml:space="preserve">  </w:t>
      </w:r>
      <w:r>
        <w:tab/>
        <w:t xml:space="preserve"> (1)</w:t>
      </w:r>
    </w:p>
    <w:p w14:paraId="39E5771B" w14:textId="77777777" w:rsidR="002C7CD2" w:rsidRPr="002C7CD2" w:rsidRDefault="002C7CD2" w:rsidP="002C7CD2">
      <w:pPr>
        <w:pStyle w:val="Equation"/>
        <w:rPr>
          <w:sz w:val="16"/>
          <w:szCs w:val="16"/>
        </w:rPr>
      </w:pPr>
    </w:p>
    <w:p w14:paraId="25ECC89A" w14:textId="1491ED77" w:rsidR="00AA6F51" w:rsidRDefault="00000000" w:rsidP="00FD440B">
      <w:pPr>
        <w:pStyle w:val="Paragraph"/>
      </w:pPr>
      <w:r>
        <w:t xml:space="preserve">Where </w:t>
      </w:r>
      <w:r>
        <w:rPr>
          <w:i/>
        </w:rPr>
        <w:t>σ</w:t>
      </w:r>
      <w:r>
        <w:rPr>
          <w:i/>
          <w:vertAlign w:val="subscript"/>
        </w:rPr>
        <w:t>τ</w:t>
      </w:r>
      <w:r>
        <w:t xml:space="preserve"> is the ultimate strength at a given load duration, MPa; </w:t>
      </w:r>
      <w:r>
        <w:rPr>
          <w:i/>
        </w:rPr>
        <w:t>σ</w:t>
      </w:r>
      <w:r>
        <w:rPr>
          <w:i/>
          <w:vertAlign w:val="subscript"/>
        </w:rPr>
        <w:t>st</w:t>
      </w:r>
      <w:r>
        <w:t xml:space="preserve"> is the ultimate strength during standard tests, MPa; </w:t>
      </w:r>
      <w:r>
        <w:rPr>
          <w:i/>
        </w:rPr>
        <w:t>τ</w:t>
      </w:r>
      <w:r>
        <w:rPr>
          <w:i/>
          <w:vertAlign w:val="subscript"/>
        </w:rPr>
        <w:t>st</w:t>
      </w:r>
      <w:r>
        <w:t xml:space="preserve"> is the time required for the specimen to fail during standard tests, с; </w:t>
      </w:r>
      <w:r>
        <w:rPr>
          <w:i/>
        </w:rPr>
        <w:t>α</w:t>
      </w:r>
      <w:r>
        <w:t xml:space="preserve"> is the correction number, MPa; The values of σ</w:t>
      </w:r>
      <w:r>
        <w:rPr>
          <w:vertAlign w:val="subscript"/>
        </w:rPr>
        <w:t>st</w:t>
      </w:r>
      <w:r>
        <w:t xml:space="preserve"> and α for different types of rock and force action are given in the Guidelines for Technical Materials (GTM) [15].</w:t>
      </w:r>
    </w:p>
    <w:p w14:paraId="07D88082" w14:textId="77777777" w:rsidR="00AA6F51" w:rsidRDefault="00000000" w:rsidP="00FD440B">
      <w:pPr>
        <w:pStyle w:val="berschrift1"/>
        <w:rPr>
          <w:rFonts w:eastAsiaTheme="minorEastAsia"/>
        </w:rPr>
      </w:pPr>
      <w:r>
        <w:t>Research results and their discussion</w:t>
      </w:r>
    </w:p>
    <w:p w14:paraId="17C6B66C" w14:textId="77777777" w:rsidR="00AA6F51" w:rsidRDefault="00000000" w:rsidP="00FD440B">
      <w:pPr>
        <w:pStyle w:val="Paragraph"/>
      </w:pPr>
      <w:r>
        <w:t>As a result of the absorption of unbound excess moisture in space, the mass of wooden structures mechanically increases</w:t>
      </w:r>
      <w:proofErr w:type="gramStart"/>
      <w:r>
        <w:t>, their</w:t>
      </w:r>
      <w:proofErr w:type="gramEnd"/>
      <w:r>
        <w:t xml:space="preserve"> volumetric and linear dimensions increase. In addition, a decrease in the elastic modulus (E) of </w:t>
      </w:r>
      <w:proofErr w:type="gramStart"/>
      <w:r>
        <w:t>the wood</w:t>
      </w:r>
      <w:proofErr w:type="gramEnd"/>
      <w:r>
        <w:t xml:space="preserve"> material is observed under the influence of temperature (T) and humidity (W) (Fig. 1).</w:t>
      </w:r>
    </w:p>
    <w:p w14:paraId="3D5113BE" w14:textId="77777777" w:rsidR="00AA6F51" w:rsidRDefault="00000000" w:rsidP="00FD440B">
      <w:pPr>
        <w:pStyle w:val="Figure"/>
        <w:rPr>
          <w:sz w:val="28"/>
          <w:szCs w:val="28"/>
        </w:rPr>
      </w:pPr>
      <w:r>
        <w:rPr>
          <w:noProof/>
        </w:rPr>
        <w:drawing>
          <wp:inline distT="0" distB="0" distL="0" distR="0" wp14:anchorId="488BAD44" wp14:editId="3182E0D9">
            <wp:extent cx="5549900" cy="2333625"/>
            <wp:effectExtent l="0" t="0" r="0" b="0"/>
            <wp:docPr id="1"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7"/>
                    <pic:cNvPicPr>
                      <a:picLocks noChangeAspect="1" noChangeArrowheads="1"/>
                    </pic:cNvPicPr>
                  </pic:nvPicPr>
                  <pic:blipFill>
                    <a:blip r:embed="rId6"/>
                    <a:stretch>
                      <a:fillRect/>
                    </a:stretch>
                  </pic:blipFill>
                  <pic:spPr bwMode="auto">
                    <a:xfrm>
                      <a:off x="0" y="0"/>
                      <a:ext cx="5549900" cy="2333625"/>
                    </a:xfrm>
                    <a:prstGeom prst="rect">
                      <a:avLst/>
                    </a:prstGeom>
                  </pic:spPr>
                </pic:pic>
              </a:graphicData>
            </a:graphic>
          </wp:inline>
        </w:drawing>
      </w:r>
    </w:p>
    <w:p w14:paraId="6A6F36F0" w14:textId="77777777" w:rsidR="00AA6F51" w:rsidRDefault="00000000" w:rsidP="00FD440B">
      <w:pPr>
        <w:pStyle w:val="FigureCaption"/>
      </w:pPr>
      <w:r>
        <w:rPr>
          <w:b/>
        </w:rPr>
        <w:t>FIGURE 1.</w:t>
      </w:r>
      <w:r>
        <w:t xml:space="preserve"> Tensile and compression strength limits of experimental wood samples under cyclic continuous loading in the direction of the fibers for </w:t>
      </w:r>
      <w:proofErr w:type="gramStart"/>
      <w:r>
        <w:t>a period</w:t>
      </w:r>
      <w:r>
        <w:rPr>
          <w:sz w:val="24"/>
          <w:szCs w:val="24"/>
        </w:rPr>
        <w:t xml:space="preserve"> </w:t>
      </w:r>
      <w:r>
        <w:t>of time</w:t>
      </w:r>
      <w:proofErr w:type="gramEnd"/>
      <w:r>
        <w:t xml:space="preserve"> (t)</w:t>
      </w:r>
    </w:p>
    <w:p w14:paraId="4DE325B5" w14:textId="77777777" w:rsidR="00FD440B" w:rsidRPr="00FD440B" w:rsidRDefault="00FD440B" w:rsidP="00FD440B">
      <w:pPr>
        <w:pStyle w:val="Paragraph"/>
      </w:pPr>
    </w:p>
    <w:p w14:paraId="479B8A00" w14:textId="77777777" w:rsidR="00AA6F51" w:rsidRDefault="00000000" w:rsidP="00FD440B">
      <w:pPr>
        <w:pStyle w:val="Paragraph"/>
      </w:pPr>
      <w:r>
        <w:t xml:space="preserve">As a result of the above-described monotonous process, repeated over many years, wooden structures become unusable before they reach their service life. Based on the results of the research, a decision was made to determine </w:t>
      </w:r>
      <w:r>
        <w:lastRenderedPageBreak/>
        <w:t>the standard and design resistance of structures made of wooden materials to tension and compression under the action of a centrally applied periodic continuous load.</w:t>
      </w:r>
    </w:p>
    <w:p w14:paraId="350A02A9" w14:textId="77777777" w:rsidR="00AA6F51" w:rsidRDefault="00000000" w:rsidP="00FD440B">
      <w:pPr>
        <w:pStyle w:val="Paragraph"/>
      </w:pPr>
      <w:r>
        <w:t>Local damage (bending, cracking) occurs in the body of a wooden specimen under a relatively long-term continuous load along the direction of the fibers and in transverse sections. This phenomenon, in turn, has been found to occur over a short period of time.</w:t>
      </w:r>
    </w:p>
    <w:p w14:paraId="5C14CD02" w14:textId="77777777" w:rsidR="00AA6F51" w:rsidRDefault="00000000" w:rsidP="00FD440B">
      <w:pPr>
        <w:pStyle w:val="Paragraph"/>
      </w:pPr>
      <w:r>
        <w:t xml:space="preserve">The stages of strength of structures made of wood in central compression and tension over </w:t>
      </w:r>
      <w:proofErr w:type="gramStart"/>
      <w:r>
        <w:t>a period of time</w:t>
      </w:r>
      <w:proofErr w:type="gramEnd"/>
      <w:r>
        <w:t xml:space="preserve"> are given in table 1.</w:t>
      </w:r>
    </w:p>
    <w:p w14:paraId="7E74A13F" w14:textId="2E2DD65B" w:rsidR="00AA6F51" w:rsidRDefault="00000000" w:rsidP="00FD440B">
      <w:pPr>
        <w:pStyle w:val="TableCaption"/>
      </w:pPr>
      <w:r>
        <w:rPr>
          <w:b/>
        </w:rPr>
        <w:t>TABLE 1</w:t>
      </w:r>
      <w:r w:rsidR="00FD440B">
        <w:rPr>
          <w:b/>
        </w:rPr>
        <w:t>.</w:t>
      </w:r>
      <w:r w:rsidR="00FD440B" w:rsidRPr="00FD440B">
        <w:rPr>
          <w:bCs/>
        </w:rPr>
        <w:t xml:space="preserve"> </w:t>
      </w:r>
      <w:r>
        <w:t>Compressive and tensile strength limits along the fibers of samples taken from various types of wood</w:t>
      </w:r>
    </w:p>
    <w:tbl>
      <w:tblPr>
        <w:tblStyle w:val="Tabellenraster"/>
        <w:tblW w:w="9242" w:type="dxa"/>
        <w:jc w:val="center"/>
        <w:tblLayout w:type="fixed"/>
        <w:tblLook w:val="04A0" w:firstRow="1" w:lastRow="0" w:firstColumn="1" w:lastColumn="0" w:noHBand="0" w:noVBand="1"/>
      </w:tblPr>
      <w:tblGrid>
        <w:gridCol w:w="2307"/>
        <w:gridCol w:w="2322"/>
        <w:gridCol w:w="2301"/>
        <w:gridCol w:w="2312"/>
      </w:tblGrid>
      <w:tr w:rsidR="00AA6F51" w14:paraId="7C2CDEA5" w14:textId="77777777" w:rsidTr="00654BA0">
        <w:trPr>
          <w:jc w:val="center"/>
        </w:trPr>
        <w:tc>
          <w:tcPr>
            <w:tcW w:w="2306" w:type="dxa"/>
            <w:vAlign w:val="center"/>
          </w:tcPr>
          <w:p w14:paraId="5B5AF8CD" w14:textId="77777777" w:rsidR="00AA6F51" w:rsidRDefault="00000000">
            <w:pPr>
              <w:jc w:val="center"/>
            </w:pPr>
            <w:r>
              <w:rPr>
                <w:lang w:val="ru-RU" w:eastAsia="ru-RU"/>
              </w:rPr>
              <w:t>Type of wood materials</w:t>
            </w:r>
          </w:p>
        </w:tc>
        <w:tc>
          <w:tcPr>
            <w:tcW w:w="2322" w:type="dxa"/>
            <w:vAlign w:val="center"/>
          </w:tcPr>
          <w:p w14:paraId="4C07C7AF" w14:textId="77777777" w:rsidR="00AA6F51" w:rsidRDefault="00000000">
            <w:pPr>
              <w:jc w:val="center"/>
            </w:pPr>
            <w:r>
              <w:rPr>
                <w:lang w:val="ru-RU" w:eastAsia="ru-RU"/>
              </w:rPr>
              <w:t>Type of test</w:t>
            </w:r>
          </w:p>
        </w:tc>
        <w:tc>
          <w:tcPr>
            <w:tcW w:w="2301" w:type="dxa"/>
            <w:vAlign w:val="center"/>
          </w:tcPr>
          <w:p w14:paraId="61845E09" w14:textId="77777777" w:rsidR="00AA6F51" w:rsidRDefault="00000000">
            <w:pPr>
              <w:jc w:val="center"/>
            </w:pPr>
            <w:r>
              <w:rPr>
                <w:lang w:val="ru-RU" w:eastAsia="ru-RU"/>
              </w:rPr>
              <w:t>Tensile strength, (</w:t>
            </w:r>
            <w:r>
              <w:rPr>
                <w:lang w:eastAsia="ru-RU"/>
              </w:rPr>
              <w:t>R</w:t>
            </w:r>
            <w:r>
              <w:rPr>
                <w:vertAlign w:val="superscript"/>
                <w:lang w:val="ru-RU" w:eastAsia="ru-RU"/>
              </w:rPr>
              <w:t>*</w:t>
            </w:r>
            <w:r>
              <w:rPr>
                <w:lang w:val="ru-RU" w:eastAsia="ru-RU"/>
              </w:rPr>
              <w:t>) МПа</w:t>
            </w:r>
          </w:p>
        </w:tc>
        <w:tc>
          <w:tcPr>
            <w:tcW w:w="2312" w:type="dxa"/>
            <w:vAlign w:val="center"/>
          </w:tcPr>
          <w:p w14:paraId="2E187AD4" w14:textId="77777777" w:rsidR="00AA6F51" w:rsidRDefault="00000000">
            <w:pPr>
              <w:jc w:val="center"/>
            </w:pPr>
            <w:r>
              <w:rPr>
                <w:lang w:val="ru-RU" w:eastAsia="ru-RU"/>
              </w:rPr>
              <w:t xml:space="preserve">Correction factors, </w:t>
            </w:r>
            <w:r>
              <w:rPr>
                <w:b/>
                <w:i/>
                <w:color w:val="943634" w:themeColor="accent2" w:themeShade="BF"/>
                <w:lang w:val="ru-RU" w:eastAsia="ru-RU"/>
              </w:rPr>
              <w:t>α</w:t>
            </w:r>
          </w:p>
        </w:tc>
      </w:tr>
      <w:tr w:rsidR="00AA6F51" w14:paraId="6DEC91B0" w14:textId="77777777" w:rsidTr="00654BA0">
        <w:trPr>
          <w:jc w:val="center"/>
        </w:trPr>
        <w:tc>
          <w:tcPr>
            <w:tcW w:w="2306" w:type="dxa"/>
            <w:vMerge w:val="restart"/>
            <w:vAlign w:val="center"/>
          </w:tcPr>
          <w:p w14:paraId="606652A8" w14:textId="77777777" w:rsidR="00AA6F51" w:rsidRDefault="00000000">
            <w:r>
              <w:rPr>
                <w:lang w:val="ru-RU" w:eastAsia="ru-RU"/>
              </w:rPr>
              <w:t>pine (сосна)</w:t>
            </w:r>
          </w:p>
        </w:tc>
        <w:tc>
          <w:tcPr>
            <w:tcW w:w="2322" w:type="dxa"/>
          </w:tcPr>
          <w:p w14:paraId="507DD477" w14:textId="77777777" w:rsidR="00AA6F51" w:rsidRDefault="00000000">
            <w:pPr>
              <w:jc w:val="center"/>
            </w:pPr>
            <w:r>
              <w:rPr>
                <w:lang w:val="ru-RU" w:eastAsia="ru-RU"/>
              </w:rPr>
              <w:t>compression</w:t>
            </w:r>
          </w:p>
        </w:tc>
        <w:tc>
          <w:tcPr>
            <w:tcW w:w="2301" w:type="dxa"/>
          </w:tcPr>
          <w:p w14:paraId="064CC67B" w14:textId="77777777" w:rsidR="00AA6F51" w:rsidRDefault="00000000">
            <w:pPr>
              <w:jc w:val="center"/>
            </w:pPr>
            <w:r>
              <w:rPr>
                <w:lang w:val="ru-RU" w:eastAsia="ru-RU"/>
              </w:rPr>
              <w:t>33,2</w:t>
            </w:r>
          </w:p>
        </w:tc>
        <w:tc>
          <w:tcPr>
            <w:tcW w:w="2312" w:type="dxa"/>
          </w:tcPr>
          <w:p w14:paraId="4A6709B7" w14:textId="77777777" w:rsidR="00AA6F51" w:rsidRDefault="00000000">
            <w:pPr>
              <w:jc w:val="center"/>
            </w:pPr>
            <w:r>
              <w:rPr>
                <w:lang w:val="ru-RU" w:eastAsia="ru-RU"/>
              </w:rPr>
              <w:t>0,44</w:t>
            </w:r>
          </w:p>
        </w:tc>
      </w:tr>
      <w:tr w:rsidR="00AA6F51" w14:paraId="68AB6EE8" w14:textId="77777777" w:rsidTr="00654BA0">
        <w:trPr>
          <w:jc w:val="center"/>
        </w:trPr>
        <w:tc>
          <w:tcPr>
            <w:tcW w:w="2306" w:type="dxa"/>
            <w:vMerge/>
            <w:vAlign w:val="center"/>
          </w:tcPr>
          <w:p w14:paraId="279DEF78" w14:textId="77777777" w:rsidR="00AA6F51" w:rsidRDefault="00AA6F51"/>
        </w:tc>
        <w:tc>
          <w:tcPr>
            <w:tcW w:w="2322" w:type="dxa"/>
          </w:tcPr>
          <w:p w14:paraId="70F8A309" w14:textId="77777777" w:rsidR="00AA6F51" w:rsidRDefault="00000000">
            <w:pPr>
              <w:jc w:val="center"/>
            </w:pPr>
            <w:r>
              <w:rPr>
                <w:lang w:val="ru-RU" w:eastAsia="ru-RU"/>
              </w:rPr>
              <w:t>stretching</w:t>
            </w:r>
          </w:p>
        </w:tc>
        <w:tc>
          <w:tcPr>
            <w:tcW w:w="2301" w:type="dxa"/>
          </w:tcPr>
          <w:p w14:paraId="0D938550" w14:textId="77777777" w:rsidR="00AA6F51" w:rsidRDefault="00000000">
            <w:pPr>
              <w:jc w:val="center"/>
            </w:pPr>
            <w:r>
              <w:rPr>
                <w:lang w:val="ru-RU" w:eastAsia="ru-RU"/>
              </w:rPr>
              <w:t>56,4</w:t>
            </w:r>
          </w:p>
        </w:tc>
        <w:tc>
          <w:tcPr>
            <w:tcW w:w="2312" w:type="dxa"/>
          </w:tcPr>
          <w:p w14:paraId="6F6DF70C" w14:textId="77777777" w:rsidR="00AA6F51" w:rsidRDefault="00000000">
            <w:pPr>
              <w:jc w:val="center"/>
            </w:pPr>
            <w:r>
              <w:rPr>
                <w:lang w:val="ru-RU" w:eastAsia="ru-RU"/>
              </w:rPr>
              <w:t>0,52</w:t>
            </w:r>
          </w:p>
        </w:tc>
      </w:tr>
      <w:tr w:rsidR="00AA6F51" w14:paraId="716BE7D5" w14:textId="77777777" w:rsidTr="00654BA0">
        <w:trPr>
          <w:jc w:val="center"/>
        </w:trPr>
        <w:tc>
          <w:tcPr>
            <w:tcW w:w="2306" w:type="dxa"/>
            <w:vMerge w:val="restart"/>
            <w:vAlign w:val="center"/>
          </w:tcPr>
          <w:p w14:paraId="13CABBAF" w14:textId="77777777" w:rsidR="00AA6F51" w:rsidRDefault="00000000">
            <w:r>
              <w:rPr>
                <w:lang w:val="ru-RU" w:eastAsia="ru-RU"/>
              </w:rPr>
              <w:t>beech (бук)</w:t>
            </w:r>
          </w:p>
        </w:tc>
        <w:tc>
          <w:tcPr>
            <w:tcW w:w="2322" w:type="dxa"/>
          </w:tcPr>
          <w:p w14:paraId="638EF6A6" w14:textId="77777777" w:rsidR="00AA6F51" w:rsidRDefault="00000000">
            <w:pPr>
              <w:jc w:val="center"/>
            </w:pPr>
            <w:r>
              <w:rPr>
                <w:lang w:val="ru-RU" w:eastAsia="ru-RU"/>
              </w:rPr>
              <w:t>compression</w:t>
            </w:r>
          </w:p>
        </w:tc>
        <w:tc>
          <w:tcPr>
            <w:tcW w:w="2301" w:type="dxa"/>
          </w:tcPr>
          <w:p w14:paraId="7E99227B" w14:textId="77777777" w:rsidR="00AA6F51" w:rsidRDefault="00000000">
            <w:pPr>
              <w:jc w:val="center"/>
            </w:pPr>
            <w:r>
              <w:rPr>
                <w:lang w:val="ru-RU" w:eastAsia="ru-RU"/>
              </w:rPr>
              <w:t>31</w:t>
            </w:r>
          </w:p>
        </w:tc>
        <w:tc>
          <w:tcPr>
            <w:tcW w:w="2312" w:type="dxa"/>
          </w:tcPr>
          <w:p w14:paraId="53CCC344" w14:textId="77777777" w:rsidR="00AA6F51" w:rsidRDefault="00000000">
            <w:pPr>
              <w:jc w:val="center"/>
            </w:pPr>
            <w:r>
              <w:rPr>
                <w:lang w:val="ru-RU" w:eastAsia="ru-RU"/>
              </w:rPr>
              <w:t>0,47</w:t>
            </w:r>
          </w:p>
        </w:tc>
      </w:tr>
      <w:tr w:rsidR="00AA6F51" w14:paraId="777E6B3B" w14:textId="77777777" w:rsidTr="00654BA0">
        <w:trPr>
          <w:jc w:val="center"/>
        </w:trPr>
        <w:tc>
          <w:tcPr>
            <w:tcW w:w="2306" w:type="dxa"/>
            <w:vMerge/>
            <w:vAlign w:val="center"/>
          </w:tcPr>
          <w:p w14:paraId="53A9D84E" w14:textId="77777777" w:rsidR="00AA6F51" w:rsidRDefault="00AA6F51"/>
        </w:tc>
        <w:tc>
          <w:tcPr>
            <w:tcW w:w="2322" w:type="dxa"/>
          </w:tcPr>
          <w:p w14:paraId="35DC00FA" w14:textId="77777777" w:rsidR="00AA6F51" w:rsidRDefault="00000000">
            <w:pPr>
              <w:jc w:val="center"/>
            </w:pPr>
            <w:r>
              <w:rPr>
                <w:lang w:val="ru-RU" w:eastAsia="ru-RU"/>
              </w:rPr>
              <w:t>stretching</w:t>
            </w:r>
          </w:p>
        </w:tc>
        <w:tc>
          <w:tcPr>
            <w:tcW w:w="2301" w:type="dxa"/>
          </w:tcPr>
          <w:p w14:paraId="541E4C16" w14:textId="77777777" w:rsidR="00AA6F51" w:rsidRDefault="00000000">
            <w:pPr>
              <w:jc w:val="center"/>
            </w:pPr>
            <w:r>
              <w:rPr>
                <w:lang w:val="ru-RU" w:eastAsia="ru-RU"/>
              </w:rPr>
              <w:t>86,3</w:t>
            </w:r>
          </w:p>
        </w:tc>
        <w:tc>
          <w:tcPr>
            <w:tcW w:w="2312" w:type="dxa"/>
          </w:tcPr>
          <w:p w14:paraId="2959DCF5" w14:textId="77777777" w:rsidR="00AA6F51" w:rsidRDefault="00000000">
            <w:pPr>
              <w:jc w:val="center"/>
            </w:pPr>
            <w:r>
              <w:rPr>
                <w:lang w:val="ru-RU" w:eastAsia="ru-RU"/>
              </w:rPr>
              <w:t>0,44</w:t>
            </w:r>
          </w:p>
        </w:tc>
      </w:tr>
      <w:tr w:rsidR="00AA6F51" w14:paraId="21610E3D" w14:textId="77777777" w:rsidTr="00654BA0">
        <w:trPr>
          <w:jc w:val="center"/>
        </w:trPr>
        <w:tc>
          <w:tcPr>
            <w:tcW w:w="2306" w:type="dxa"/>
            <w:vMerge w:val="restart"/>
            <w:vAlign w:val="center"/>
          </w:tcPr>
          <w:p w14:paraId="47E4BA88" w14:textId="77777777" w:rsidR="00AA6F51" w:rsidRDefault="00000000">
            <w:r>
              <w:rPr>
                <w:lang w:val="ru-RU" w:eastAsia="ru-RU"/>
              </w:rPr>
              <w:t>oak (дуб)</w:t>
            </w:r>
          </w:p>
        </w:tc>
        <w:tc>
          <w:tcPr>
            <w:tcW w:w="2322" w:type="dxa"/>
          </w:tcPr>
          <w:p w14:paraId="2CD4D63D" w14:textId="77777777" w:rsidR="00AA6F51" w:rsidRDefault="00000000">
            <w:pPr>
              <w:jc w:val="center"/>
            </w:pPr>
            <w:r>
              <w:rPr>
                <w:lang w:val="ru-RU" w:eastAsia="ru-RU"/>
              </w:rPr>
              <w:t>compression</w:t>
            </w:r>
          </w:p>
        </w:tc>
        <w:tc>
          <w:tcPr>
            <w:tcW w:w="2301" w:type="dxa"/>
          </w:tcPr>
          <w:p w14:paraId="7C2BAC09" w14:textId="77777777" w:rsidR="00AA6F51" w:rsidRDefault="00000000">
            <w:pPr>
              <w:jc w:val="center"/>
            </w:pPr>
            <w:r>
              <w:rPr>
                <w:lang w:val="ru-RU" w:eastAsia="ru-RU"/>
              </w:rPr>
              <w:t>43</w:t>
            </w:r>
          </w:p>
        </w:tc>
        <w:tc>
          <w:tcPr>
            <w:tcW w:w="2312" w:type="dxa"/>
          </w:tcPr>
          <w:p w14:paraId="3273D938" w14:textId="77777777" w:rsidR="00AA6F51" w:rsidRDefault="00000000">
            <w:pPr>
              <w:jc w:val="center"/>
            </w:pPr>
            <w:r>
              <w:rPr>
                <w:lang w:val="ru-RU" w:eastAsia="ru-RU"/>
              </w:rPr>
              <w:t>0,6</w:t>
            </w:r>
          </w:p>
        </w:tc>
      </w:tr>
      <w:tr w:rsidR="00AA6F51" w14:paraId="5CE612B1" w14:textId="77777777" w:rsidTr="00654BA0">
        <w:trPr>
          <w:jc w:val="center"/>
        </w:trPr>
        <w:tc>
          <w:tcPr>
            <w:tcW w:w="2306" w:type="dxa"/>
            <w:vMerge/>
            <w:vAlign w:val="center"/>
          </w:tcPr>
          <w:p w14:paraId="236C0C49" w14:textId="77777777" w:rsidR="00AA6F51" w:rsidRDefault="00AA6F51"/>
        </w:tc>
        <w:tc>
          <w:tcPr>
            <w:tcW w:w="2322" w:type="dxa"/>
          </w:tcPr>
          <w:p w14:paraId="032002FF" w14:textId="77777777" w:rsidR="00AA6F51" w:rsidRDefault="00000000">
            <w:pPr>
              <w:jc w:val="center"/>
            </w:pPr>
            <w:r>
              <w:rPr>
                <w:lang w:val="ru-RU" w:eastAsia="ru-RU"/>
              </w:rPr>
              <w:t>stretching</w:t>
            </w:r>
          </w:p>
        </w:tc>
        <w:tc>
          <w:tcPr>
            <w:tcW w:w="2301" w:type="dxa"/>
          </w:tcPr>
          <w:p w14:paraId="7E1FA622" w14:textId="77777777" w:rsidR="00AA6F51" w:rsidRDefault="00000000">
            <w:pPr>
              <w:jc w:val="center"/>
            </w:pPr>
            <w:r>
              <w:rPr>
                <w:lang w:val="ru-RU" w:eastAsia="ru-RU"/>
              </w:rPr>
              <w:t>55,5</w:t>
            </w:r>
          </w:p>
        </w:tc>
        <w:tc>
          <w:tcPr>
            <w:tcW w:w="2312" w:type="dxa"/>
          </w:tcPr>
          <w:p w14:paraId="1F355AB8" w14:textId="77777777" w:rsidR="00AA6F51" w:rsidRDefault="00000000">
            <w:pPr>
              <w:jc w:val="center"/>
            </w:pPr>
            <w:r>
              <w:rPr>
                <w:lang w:val="ru-RU" w:eastAsia="ru-RU"/>
              </w:rPr>
              <w:t>0,46</w:t>
            </w:r>
          </w:p>
        </w:tc>
      </w:tr>
      <w:tr w:rsidR="00AA6F51" w14:paraId="68B04C2B" w14:textId="77777777" w:rsidTr="00654BA0">
        <w:trPr>
          <w:jc w:val="center"/>
        </w:trPr>
        <w:tc>
          <w:tcPr>
            <w:tcW w:w="2306" w:type="dxa"/>
            <w:vMerge w:val="restart"/>
            <w:vAlign w:val="center"/>
          </w:tcPr>
          <w:p w14:paraId="016805F1" w14:textId="77777777" w:rsidR="00AA6F51" w:rsidRDefault="00000000">
            <w:r>
              <w:rPr>
                <w:lang w:val="ru-RU" w:eastAsia="ru-RU"/>
              </w:rPr>
              <w:t>Native blue poplar</w:t>
            </w:r>
          </w:p>
        </w:tc>
        <w:tc>
          <w:tcPr>
            <w:tcW w:w="2322" w:type="dxa"/>
          </w:tcPr>
          <w:p w14:paraId="0EB8A8C6" w14:textId="77777777" w:rsidR="00AA6F51" w:rsidRDefault="00000000">
            <w:pPr>
              <w:jc w:val="center"/>
            </w:pPr>
            <w:r>
              <w:rPr>
                <w:lang w:val="ru-RU" w:eastAsia="ru-RU"/>
              </w:rPr>
              <w:t>compression</w:t>
            </w:r>
          </w:p>
        </w:tc>
        <w:tc>
          <w:tcPr>
            <w:tcW w:w="2301" w:type="dxa"/>
          </w:tcPr>
          <w:p w14:paraId="5D2F6C93" w14:textId="77777777" w:rsidR="00AA6F51" w:rsidRDefault="00000000">
            <w:pPr>
              <w:jc w:val="center"/>
            </w:pPr>
            <w:r>
              <w:rPr>
                <w:lang w:val="ru-RU" w:eastAsia="ru-RU"/>
              </w:rPr>
              <w:t>36,52</w:t>
            </w:r>
          </w:p>
        </w:tc>
        <w:tc>
          <w:tcPr>
            <w:tcW w:w="2312" w:type="dxa"/>
          </w:tcPr>
          <w:p w14:paraId="7F653507" w14:textId="77777777" w:rsidR="00AA6F51" w:rsidRDefault="00000000">
            <w:pPr>
              <w:jc w:val="center"/>
            </w:pPr>
            <w:r>
              <w:rPr>
                <w:lang w:val="ru-RU" w:eastAsia="ru-RU"/>
              </w:rPr>
              <w:t>0,42</w:t>
            </w:r>
          </w:p>
        </w:tc>
      </w:tr>
      <w:tr w:rsidR="00AA6F51" w14:paraId="355C6488" w14:textId="77777777" w:rsidTr="00654BA0">
        <w:trPr>
          <w:jc w:val="center"/>
        </w:trPr>
        <w:tc>
          <w:tcPr>
            <w:tcW w:w="2306" w:type="dxa"/>
            <w:vMerge/>
            <w:vAlign w:val="center"/>
          </w:tcPr>
          <w:p w14:paraId="4E670CEC" w14:textId="77777777" w:rsidR="00AA6F51" w:rsidRDefault="00AA6F51"/>
        </w:tc>
        <w:tc>
          <w:tcPr>
            <w:tcW w:w="2322" w:type="dxa"/>
          </w:tcPr>
          <w:p w14:paraId="6267AAE0" w14:textId="77777777" w:rsidR="00AA6F51" w:rsidRDefault="00000000">
            <w:pPr>
              <w:jc w:val="center"/>
            </w:pPr>
            <w:r>
              <w:rPr>
                <w:lang w:val="ru-RU" w:eastAsia="ru-RU"/>
              </w:rPr>
              <w:t>stretching</w:t>
            </w:r>
          </w:p>
        </w:tc>
        <w:tc>
          <w:tcPr>
            <w:tcW w:w="2301" w:type="dxa"/>
          </w:tcPr>
          <w:p w14:paraId="3E1337DB" w14:textId="77777777" w:rsidR="00AA6F51" w:rsidRDefault="00000000">
            <w:pPr>
              <w:jc w:val="center"/>
            </w:pPr>
            <w:r>
              <w:rPr>
                <w:lang w:val="ru-RU" w:eastAsia="ru-RU"/>
              </w:rPr>
              <w:t>62,04</w:t>
            </w:r>
          </w:p>
        </w:tc>
        <w:tc>
          <w:tcPr>
            <w:tcW w:w="2312" w:type="dxa"/>
          </w:tcPr>
          <w:p w14:paraId="0252964B" w14:textId="77777777" w:rsidR="00AA6F51" w:rsidRDefault="00000000">
            <w:pPr>
              <w:jc w:val="center"/>
            </w:pPr>
            <w:r>
              <w:rPr>
                <w:lang w:val="ru-RU" w:eastAsia="ru-RU"/>
              </w:rPr>
              <w:t>0,54</w:t>
            </w:r>
          </w:p>
        </w:tc>
      </w:tr>
      <w:tr w:rsidR="00AA6F51" w14:paraId="5E2CF53F" w14:textId="77777777" w:rsidTr="00654BA0">
        <w:trPr>
          <w:jc w:val="center"/>
        </w:trPr>
        <w:tc>
          <w:tcPr>
            <w:tcW w:w="2306" w:type="dxa"/>
            <w:vMerge w:val="restart"/>
            <w:vAlign w:val="center"/>
          </w:tcPr>
          <w:p w14:paraId="34899278" w14:textId="77777777" w:rsidR="00AA6F51" w:rsidRDefault="00000000">
            <w:r>
              <w:rPr>
                <w:lang w:val="ru-RU" w:eastAsia="ru-RU"/>
              </w:rPr>
              <w:t>Local gio poplar</w:t>
            </w:r>
          </w:p>
        </w:tc>
        <w:tc>
          <w:tcPr>
            <w:tcW w:w="2322" w:type="dxa"/>
          </w:tcPr>
          <w:p w14:paraId="1CC4E701" w14:textId="77777777" w:rsidR="00AA6F51" w:rsidRDefault="00000000">
            <w:pPr>
              <w:jc w:val="center"/>
            </w:pPr>
            <w:r>
              <w:rPr>
                <w:lang w:val="ru-RU" w:eastAsia="ru-RU"/>
              </w:rPr>
              <w:t>compression</w:t>
            </w:r>
          </w:p>
        </w:tc>
        <w:tc>
          <w:tcPr>
            <w:tcW w:w="2301" w:type="dxa"/>
          </w:tcPr>
          <w:p w14:paraId="48DEC9EF" w14:textId="77777777" w:rsidR="00AA6F51" w:rsidRDefault="00000000">
            <w:pPr>
              <w:jc w:val="center"/>
            </w:pPr>
            <w:r>
              <w:rPr>
                <w:lang w:val="ru-RU" w:eastAsia="ru-RU"/>
              </w:rPr>
              <w:t>31,5</w:t>
            </w:r>
          </w:p>
        </w:tc>
        <w:tc>
          <w:tcPr>
            <w:tcW w:w="2312" w:type="dxa"/>
          </w:tcPr>
          <w:p w14:paraId="25F5B4FC" w14:textId="77777777" w:rsidR="00AA6F51" w:rsidRDefault="00000000">
            <w:pPr>
              <w:jc w:val="center"/>
            </w:pPr>
            <w:r>
              <w:rPr>
                <w:lang w:val="ru-RU" w:eastAsia="ru-RU"/>
              </w:rPr>
              <w:t>0,40</w:t>
            </w:r>
          </w:p>
        </w:tc>
      </w:tr>
      <w:tr w:rsidR="00AA6F51" w14:paraId="4BE504B4" w14:textId="77777777" w:rsidTr="00654BA0">
        <w:trPr>
          <w:jc w:val="center"/>
        </w:trPr>
        <w:tc>
          <w:tcPr>
            <w:tcW w:w="2306" w:type="dxa"/>
            <w:vMerge/>
            <w:vAlign w:val="center"/>
          </w:tcPr>
          <w:p w14:paraId="7DC95996" w14:textId="77777777" w:rsidR="00AA6F51" w:rsidRDefault="00AA6F51"/>
        </w:tc>
        <w:tc>
          <w:tcPr>
            <w:tcW w:w="2322" w:type="dxa"/>
          </w:tcPr>
          <w:p w14:paraId="307EB851" w14:textId="77777777" w:rsidR="00AA6F51" w:rsidRDefault="00000000">
            <w:pPr>
              <w:jc w:val="center"/>
            </w:pPr>
            <w:r>
              <w:rPr>
                <w:lang w:val="ru-RU" w:eastAsia="ru-RU"/>
              </w:rPr>
              <w:t>stretching</w:t>
            </w:r>
          </w:p>
        </w:tc>
        <w:tc>
          <w:tcPr>
            <w:tcW w:w="2301" w:type="dxa"/>
          </w:tcPr>
          <w:p w14:paraId="0871D9C4" w14:textId="77777777" w:rsidR="00AA6F51" w:rsidRDefault="00000000">
            <w:pPr>
              <w:jc w:val="center"/>
            </w:pPr>
            <w:r>
              <w:rPr>
                <w:lang w:val="ru-RU" w:eastAsia="ru-RU"/>
              </w:rPr>
              <w:t>53,6</w:t>
            </w:r>
          </w:p>
        </w:tc>
        <w:tc>
          <w:tcPr>
            <w:tcW w:w="2312" w:type="dxa"/>
          </w:tcPr>
          <w:p w14:paraId="12BBDB9E" w14:textId="77777777" w:rsidR="00AA6F51" w:rsidRDefault="00000000">
            <w:pPr>
              <w:jc w:val="center"/>
            </w:pPr>
            <w:r>
              <w:rPr>
                <w:lang w:val="ru-RU" w:eastAsia="ru-RU"/>
              </w:rPr>
              <w:t>0,50</w:t>
            </w:r>
          </w:p>
        </w:tc>
      </w:tr>
      <w:tr w:rsidR="00AA6F51" w14:paraId="49C32F72" w14:textId="77777777" w:rsidTr="00654BA0">
        <w:trPr>
          <w:jc w:val="center"/>
        </w:trPr>
        <w:tc>
          <w:tcPr>
            <w:tcW w:w="2306" w:type="dxa"/>
            <w:vMerge w:val="restart"/>
            <w:vAlign w:val="center"/>
          </w:tcPr>
          <w:p w14:paraId="2BF25219" w14:textId="77777777" w:rsidR="00AA6F51" w:rsidRDefault="00000000">
            <w:r>
              <w:rPr>
                <w:lang w:val="ru-RU" w:eastAsia="ru-RU"/>
              </w:rPr>
              <w:t>Native California Poplar</w:t>
            </w:r>
          </w:p>
        </w:tc>
        <w:tc>
          <w:tcPr>
            <w:tcW w:w="2322" w:type="dxa"/>
          </w:tcPr>
          <w:p w14:paraId="0A44415B" w14:textId="77777777" w:rsidR="00AA6F51" w:rsidRDefault="00000000">
            <w:pPr>
              <w:jc w:val="center"/>
            </w:pPr>
            <w:r>
              <w:rPr>
                <w:lang w:val="ru-RU" w:eastAsia="ru-RU"/>
              </w:rPr>
              <w:t>compression</w:t>
            </w:r>
          </w:p>
        </w:tc>
        <w:tc>
          <w:tcPr>
            <w:tcW w:w="2301" w:type="dxa"/>
          </w:tcPr>
          <w:p w14:paraId="778C0357" w14:textId="77777777" w:rsidR="00AA6F51" w:rsidRDefault="00000000">
            <w:pPr>
              <w:jc w:val="center"/>
            </w:pPr>
            <w:r>
              <w:rPr>
                <w:lang w:val="ru-RU" w:eastAsia="ru-RU"/>
              </w:rPr>
              <w:t>30,0</w:t>
            </w:r>
          </w:p>
        </w:tc>
        <w:tc>
          <w:tcPr>
            <w:tcW w:w="2312" w:type="dxa"/>
          </w:tcPr>
          <w:p w14:paraId="51692527" w14:textId="77777777" w:rsidR="00AA6F51" w:rsidRDefault="00000000">
            <w:pPr>
              <w:jc w:val="center"/>
            </w:pPr>
            <w:r>
              <w:rPr>
                <w:lang w:val="ru-RU" w:eastAsia="ru-RU"/>
              </w:rPr>
              <w:t>0,42</w:t>
            </w:r>
          </w:p>
        </w:tc>
      </w:tr>
      <w:tr w:rsidR="00AA6F51" w14:paraId="3469F811" w14:textId="77777777" w:rsidTr="00654BA0">
        <w:trPr>
          <w:jc w:val="center"/>
        </w:trPr>
        <w:tc>
          <w:tcPr>
            <w:tcW w:w="2306" w:type="dxa"/>
            <w:vMerge/>
          </w:tcPr>
          <w:p w14:paraId="5FFFFFEE" w14:textId="77777777" w:rsidR="00AA6F51" w:rsidRDefault="00AA6F51"/>
        </w:tc>
        <w:tc>
          <w:tcPr>
            <w:tcW w:w="2322" w:type="dxa"/>
          </w:tcPr>
          <w:p w14:paraId="7B0A2D4A" w14:textId="77777777" w:rsidR="00AA6F51" w:rsidRDefault="00000000">
            <w:pPr>
              <w:jc w:val="center"/>
            </w:pPr>
            <w:r>
              <w:rPr>
                <w:lang w:val="ru-RU" w:eastAsia="ru-RU"/>
              </w:rPr>
              <w:t>stretching</w:t>
            </w:r>
          </w:p>
        </w:tc>
        <w:tc>
          <w:tcPr>
            <w:tcW w:w="2301" w:type="dxa"/>
          </w:tcPr>
          <w:p w14:paraId="50787C4C" w14:textId="77777777" w:rsidR="00AA6F51" w:rsidRDefault="00000000">
            <w:pPr>
              <w:jc w:val="center"/>
            </w:pPr>
            <w:r>
              <w:rPr>
                <w:lang w:val="ru-RU" w:eastAsia="ru-RU"/>
              </w:rPr>
              <w:t>51,4</w:t>
            </w:r>
          </w:p>
        </w:tc>
        <w:tc>
          <w:tcPr>
            <w:tcW w:w="2312" w:type="dxa"/>
          </w:tcPr>
          <w:p w14:paraId="394558BC" w14:textId="77777777" w:rsidR="00AA6F51" w:rsidRDefault="00000000">
            <w:pPr>
              <w:jc w:val="center"/>
            </w:pPr>
            <w:r>
              <w:rPr>
                <w:lang w:val="ru-RU" w:eastAsia="ru-RU"/>
              </w:rPr>
              <w:t>0,52</w:t>
            </w:r>
          </w:p>
        </w:tc>
      </w:tr>
    </w:tbl>
    <w:p w14:paraId="605E80DC" w14:textId="77777777" w:rsidR="00AA6F51" w:rsidRDefault="00000000" w:rsidP="00FD440B">
      <w:pPr>
        <w:pStyle w:val="Paragraph"/>
      </w:pPr>
      <w:r>
        <w:t>Since wood is considered an elastic material, the mechanical properties of the samples made from it, such as elongation or compression under a central continuous long-term load, bending under a transverse load, and bending under a shear force, were determined and various valuable results were obtained. Since most wooden elements are anisotropic (multidimensional) materials, they change from an elastic state to a plastic state under the action of a force applied to them. Therefore, the transition boundary from an elastic state to a plastic state was studied. In addition, the elastic module of wooden structures also changes during the studies, for example:</w:t>
      </w:r>
    </w:p>
    <w:p w14:paraId="24826C36" w14:textId="77777777" w:rsidR="00AA6F51" w:rsidRDefault="00000000" w:rsidP="00FD440B">
      <w:pPr>
        <w:pStyle w:val="Paragraph"/>
        <w:spacing w:after="120"/>
      </w:pPr>
      <w:r>
        <w:t xml:space="preserve">- modulus of elasticity along the longitudinal fibers of wood, </w:t>
      </w:r>
      <w:proofErr w:type="gramStart"/>
      <w:r>
        <w:rPr>
          <w:i/>
        </w:rPr>
        <w:t>Ea</w:t>
      </w:r>
      <w:r>
        <w:t>;</w:t>
      </w:r>
      <w:proofErr w:type="gramEnd"/>
    </w:p>
    <w:p w14:paraId="3A7E29DC" w14:textId="77777777" w:rsidR="00AA6F51" w:rsidRDefault="00000000" w:rsidP="00FD440B">
      <w:pPr>
        <w:pStyle w:val="Paragraph"/>
        <w:spacing w:after="120"/>
      </w:pPr>
      <w:r>
        <w:t xml:space="preserve">- in the direction transverse to the longitudinal fibers of wood (tangential modulus of elasticity) </w:t>
      </w:r>
      <w:proofErr w:type="gramStart"/>
      <w:r>
        <w:rPr>
          <w:i/>
        </w:rPr>
        <w:t>Et</w:t>
      </w:r>
      <w:r>
        <w:t>;</w:t>
      </w:r>
      <w:proofErr w:type="gramEnd"/>
    </w:p>
    <w:p w14:paraId="1518B963" w14:textId="77777777" w:rsidR="00AA6F51" w:rsidRDefault="00000000" w:rsidP="00FD440B">
      <w:pPr>
        <w:pStyle w:val="Paragraph"/>
        <w:spacing w:after="120"/>
      </w:pPr>
      <w:r>
        <w:t xml:space="preserve">- in the direction radial to the longitudinal fibers of wood (radial modulus of elasticity) - </w:t>
      </w:r>
      <w:proofErr w:type="gramStart"/>
      <w:r>
        <w:rPr>
          <w:i/>
        </w:rPr>
        <w:t>Er</w:t>
      </w:r>
      <w:r>
        <w:t>;</w:t>
      </w:r>
      <w:proofErr w:type="gramEnd"/>
    </w:p>
    <w:p w14:paraId="708CC3FC" w14:textId="77777777" w:rsidR="00AA6F51" w:rsidRDefault="00000000" w:rsidP="00FD440B">
      <w:pPr>
        <w:pStyle w:val="Paragraph"/>
        <w:spacing w:after="120"/>
      </w:pPr>
      <w:r>
        <w:t xml:space="preserve">- bending modulus of elasticity of wooden structures - </w:t>
      </w:r>
      <w:proofErr w:type="gramStart"/>
      <w:r>
        <w:rPr>
          <w:i/>
        </w:rPr>
        <w:t>E</w:t>
      </w:r>
      <w:r>
        <w:rPr>
          <w:i/>
          <w:vertAlign w:val="subscript"/>
        </w:rPr>
        <w:t>bend</w:t>
      </w:r>
      <w:r>
        <w:t>;</w:t>
      </w:r>
      <w:proofErr w:type="gramEnd"/>
    </w:p>
    <w:p w14:paraId="63477D27" w14:textId="77777777" w:rsidR="00AA6F51" w:rsidRDefault="00000000" w:rsidP="00FD440B">
      <w:pPr>
        <w:pStyle w:val="Paragraph"/>
      </w:pPr>
      <w:r>
        <w:t>In the following tables (2), (3) we present all the data on the modulus of elasticity according to the types of wood materials used in the studies.</w:t>
      </w:r>
    </w:p>
    <w:p w14:paraId="34E76AD0" w14:textId="43D17D09" w:rsidR="00AA6F51" w:rsidRDefault="00000000" w:rsidP="00FD440B">
      <w:pPr>
        <w:pStyle w:val="TableCaption"/>
      </w:pPr>
      <w:r>
        <w:rPr>
          <w:b/>
        </w:rPr>
        <w:t>TABLE 2</w:t>
      </w:r>
      <w:r w:rsidR="00FD440B">
        <w:rPr>
          <w:b/>
        </w:rPr>
        <w:t>.</w:t>
      </w:r>
      <w:r w:rsidR="00FD440B" w:rsidRPr="00FD440B">
        <w:rPr>
          <w:bCs/>
        </w:rPr>
        <w:t xml:space="preserve"> </w:t>
      </w:r>
      <w:r>
        <w:t>Modulus of elasticity according to types of wood materials</w:t>
      </w:r>
    </w:p>
    <w:tbl>
      <w:tblPr>
        <w:tblStyle w:val="Tabellenraster"/>
        <w:tblW w:w="9242" w:type="dxa"/>
        <w:jc w:val="center"/>
        <w:tblLayout w:type="fixed"/>
        <w:tblLook w:val="04A0" w:firstRow="1" w:lastRow="0" w:firstColumn="1" w:lastColumn="0" w:noHBand="0" w:noVBand="1"/>
      </w:tblPr>
      <w:tblGrid>
        <w:gridCol w:w="1173"/>
        <w:gridCol w:w="1133"/>
        <w:gridCol w:w="1123"/>
        <w:gridCol w:w="1121"/>
        <w:gridCol w:w="1127"/>
        <w:gridCol w:w="1110"/>
        <w:gridCol w:w="1116"/>
        <w:gridCol w:w="1339"/>
      </w:tblGrid>
      <w:tr w:rsidR="00AA6F51" w:rsidRPr="00FD440B" w14:paraId="66642E66" w14:textId="77777777" w:rsidTr="00654BA0">
        <w:trPr>
          <w:jc w:val="center"/>
        </w:trPr>
        <w:tc>
          <w:tcPr>
            <w:tcW w:w="1172" w:type="dxa"/>
            <w:vMerge w:val="restart"/>
            <w:vAlign w:val="center"/>
          </w:tcPr>
          <w:p w14:paraId="2CF98142" w14:textId="77777777" w:rsidR="00AA6F51" w:rsidRDefault="00000000">
            <w:r>
              <w:rPr>
                <w:lang w:val="ru-RU" w:eastAsia="ru-RU"/>
              </w:rPr>
              <w:t>Type of wood materials</w:t>
            </w:r>
          </w:p>
        </w:tc>
        <w:tc>
          <w:tcPr>
            <w:tcW w:w="3377" w:type="dxa"/>
            <w:gridSpan w:val="3"/>
            <w:vAlign w:val="center"/>
          </w:tcPr>
          <w:p w14:paraId="7AE096B1" w14:textId="77777777" w:rsidR="00AA6F51" w:rsidRDefault="00000000">
            <w:pPr>
              <w:jc w:val="center"/>
            </w:pPr>
            <w:r>
              <w:rPr>
                <w:lang w:eastAsia="ru-RU"/>
              </w:rPr>
              <w:t>Long-term compressed element, MPa</w:t>
            </w:r>
          </w:p>
        </w:tc>
        <w:tc>
          <w:tcPr>
            <w:tcW w:w="3353" w:type="dxa"/>
            <w:gridSpan w:val="3"/>
            <w:vAlign w:val="center"/>
          </w:tcPr>
          <w:p w14:paraId="1501FCB7" w14:textId="77777777" w:rsidR="00AA6F51" w:rsidRDefault="00000000">
            <w:pPr>
              <w:jc w:val="center"/>
            </w:pPr>
            <w:r>
              <w:rPr>
                <w:lang w:eastAsia="ru-RU"/>
              </w:rPr>
              <w:t xml:space="preserve">Long-term stretch element, </w:t>
            </w:r>
            <w:r>
              <w:rPr>
                <w:lang w:val="ru-RU" w:eastAsia="ru-RU"/>
              </w:rPr>
              <w:t>МПа</w:t>
            </w:r>
          </w:p>
        </w:tc>
        <w:tc>
          <w:tcPr>
            <w:tcW w:w="1339" w:type="dxa"/>
            <w:vMerge w:val="restart"/>
            <w:vAlign w:val="center"/>
          </w:tcPr>
          <w:p w14:paraId="0848A810" w14:textId="77777777" w:rsidR="00AA6F51" w:rsidRDefault="00000000">
            <w:pPr>
              <w:jc w:val="center"/>
            </w:pPr>
            <w:r>
              <w:rPr>
                <w:lang w:eastAsia="ru-RU"/>
              </w:rPr>
              <w:t>Statically bending element,</w:t>
            </w:r>
            <w:r>
              <w:rPr>
                <w:b/>
                <w:i/>
                <w:color w:val="943634" w:themeColor="accent2" w:themeShade="BF"/>
                <w:lang w:eastAsia="ru-RU"/>
              </w:rPr>
              <w:t xml:space="preserve"> </w:t>
            </w:r>
            <w:r>
              <w:rPr>
                <w:i/>
                <w:lang w:eastAsia="ru-RU"/>
              </w:rPr>
              <w:t>E</w:t>
            </w:r>
            <w:r>
              <w:rPr>
                <w:i/>
                <w:vertAlign w:val="subscript"/>
                <w:lang w:eastAsia="ru-RU"/>
              </w:rPr>
              <w:t>bend,</w:t>
            </w:r>
            <w:r>
              <w:rPr>
                <w:lang w:eastAsia="ru-RU"/>
              </w:rPr>
              <w:t xml:space="preserve"> </w:t>
            </w:r>
            <w:r>
              <w:rPr>
                <w:lang w:val="ru-RU" w:eastAsia="ru-RU"/>
              </w:rPr>
              <w:t>МПа</w:t>
            </w:r>
          </w:p>
        </w:tc>
      </w:tr>
      <w:tr w:rsidR="00AA6F51" w14:paraId="03B82CF4" w14:textId="77777777" w:rsidTr="00654BA0">
        <w:trPr>
          <w:jc w:val="center"/>
        </w:trPr>
        <w:tc>
          <w:tcPr>
            <w:tcW w:w="1172" w:type="dxa"/>
            <w:vMerge/>
            <w:vAlign w:val="center"/>
          </w:tcPr>
          <w:p w14:paraId="2C54EEED" w14:textId="77777777" w:rsidR="00AA6F51" w:rsidRDefault="00AA6F51"/>
        </w:tc>
        <w:tc>
          <w:tcPr>
            <w:tcW w:w="1133" w:type="dxa"/>
            <w:vAlign w:val="center"/>
          </w:tcPr>
          <w:p w14:paraId="515EB4D7" w14:textId="77777777" w:rsidR="00AA6F51" w:rsidRDefault="00000000">
            <w:pPr>
              <w:jc w:val="center"/>
              <w:rPr>
                <w:i/>
                <w:vertAlign w:val="subscript"/>
              </w:rPr>
            </w:pPr>
            <w:r>
              <w:rPr>
                <w:i/>
                <w:lang w:val="ru-RU" w:eastAsia="ru-RU"/>
              </w:rPr>
              <w:t>Е</w:t>
            </w:r>
            <w:r>
              <w:rPr>
                <w:i/>
                <w:vertAlign w:val="subscript"/>
                <w:lang w:val="ru-RU" w:eastAsia="ru-RU"/>
              </w:rPr>
              <w:t>а</w:t>
            </w:r>
          </w:p>
        </w:tc>
        <w:tc>
          <w:tcPr>
            <w:tcW w:w="1123" w:type="dxa"/>
            <w:vAlign w:val="center"/>
          </w:tcPr>
          <w:p w14:paraId="394C8588" w14:textId="77777777" w:rsidR="00AA6F51" w:rsidRDefault="00000000">
            <w:pPr>
              <w:jc w:val="center"/>
              <w:rPr>
                <w:i/>
              </w:rPr>
            </w:pPr>
            <w:r>
              <w:rPr>
                <w:i/>
                <w:lang w:eastAsia="ru-RU"/>
              </w:rPr>
              <w:t>E</w:t>
            </w:r>
            <w:r>
              <w:rPr>
                <w:i/>
                <w:vertAlign w:val="subscript"/>
                <w:lang w:eastAsia="ru-RU"/>
              </w:rPr>
              <w:t>t</w:t>
            </w:r>
          </w:p>
        </w:tc>
        <w:tc>
          <w:tcPr>
            <w:tcW w:w="1121" w:type="dxa"/>
            <w:vAlign w:val="center"/>
          </w:tcPr>
          <w:p w14:paraId="47AB7BB0" w14:textId="77777777" w:rsidR="00AA6F51" w:rsidRDefault="00000000">
            <w:pPr>
              <w:jc w:val="center"/>
              <w:rPr>
                <w:i/>
                <w:vertAlign w:val="subscript"/>
              </w:rPr>
            </w:pPr>
            <w:r>
              <w:rPr>
                <w:i/>
                <w:lang w:eastAsia="ru-RU"/>
              </w:rPr>
              <w:t>E</w:t>
            </w:r>
            <w:r>
              <w:rPr>
                <w:i/>
                <w:vertAlign w:val="subscript"/>
                <w:lang w:eastAsia="ru-RU"/>
              </w:rPr>
              <w:t>r</w:t>
            </w:r>
          </w:p>
        </w:tc>
        <w:tc>
          <w:tcPr>
            <w:tcW w:w="1127" w:type="dxa"/>
            <w:vAlign w:val="center"/>
          </w:tcPr>
          <w:p w14:paraId="18B4DB24" w14:textId="77777777" w:rsidR="00AA6F51" w:rsidRDefault="00000000">
            <w:pPr>
              <w:jc w:val="center"/>
              <w:rPr>
                <w:i/>
                <w:vertAlign w:val="subscript"/>
              </w:rPr>
            </w:pPr>
            <w:r>
              <w:rPr>
                <w:i/>
                <w:lang w:val="ru-RU" w:eastAsia="ru-RU"/>
              </w:rPr>
              <w:t>Е</w:t>
            </w:r>
            <w:r>
              <w:rPr>
                <w:i/>
                <w:vertAlign w:val="subscript"/>
                <w:lang w:val="ru-RU" w:eastAsia="ru-RU"/>
              </w:rPr>
              <w:t>а</w:t>
            </w:r>
          </w:p>
        </w:tc>
        <w:tc>
          <w:tcPr>
            <w:tcW w:w="1110" w:type="dxa"/>
            <w:vAlign w:val="center"/>
          </w:tcPr>
          <w:p w14:paraId="6D47C380" w14:textId="77777777" w:rsidR="00AA6F51" w:rsidRDefault="00000000">
            <w:pPr>
              <w:jc w:val="center"/>
              <w:rPr>
                <w:i/>
              </w:rPr>
            </w:pPr>
            <w:r>
              <w:rPr>
                <w:i/>
                <w:lang w:eastAsia="ru-RU"/>
              </w:rPr>
              <w:t>E</w:t>
            </w:r>
            <w:r>
              <w:rPr>
                <w:i/>
                <w:vertAlign w:val="subscript"/>
                <w:lang w:eastAsia="ru-RU"/>
              </w:rPr>
              <w:t>t</w:t>
            </w:r>
          </w:p>
        </w:tc>
        <w:tc>
          <w:tcPr>
            <w:tcW w:w="1116" w:type="dxa"/>
            <w:vAlign w:val="center"/>
          </w:tcPr>
          <w:p w14:paraId="7523F404" w14:textId="77777777" w:rsidR="00AA6F51" w:rsidRDefault="00000000">
            <w:pPr>
              <w:jc w:val="center"/>
              <w:rPr>
                <w:i/>
                <w:vertAlign w:val="subscript"/>
              </w:rPr>
            </w:pPr>
            <w:r>
              <w:rPr>
                <w:i/>
                <w:lang w:eastAsia="ru-RU"/>
              </w:rPr>
              <w:t>E</w:t>
            </w:r>
            <w:r>
              <w:rPr>
                <w:i/>
                <w:vertAlign w:val="subscript"/>
                <w:lang w:eastAsia="ru-RU"/>
              </w:rPr>
              <w:t>r</w:t>
            </w:r>
          </w:p>
        </w:tc>
        <w:tc>
          <w:tcPr>
            <w:tcW w:w="1339" w:type="dxa"/>
            <w:vMerge/>
            <w:vAlign w:val="center"/>
          </w:tcPr>
          <w:p w14:paraId="7F553AA8" w14:textId="77777777" w:rsidR="00AA6F51" w:rsidRDefault="00AA6F51"/>
        </w:tc>
      </w:tr>
      <w:tr w:rsidR="00AA6F51" w14:paraId="5012D6C5" w14:textId="77777777" w:rsidTr="00654BA0">
        <w:trPr>
          <w:jc w:val="center"/>
        </w:trPr>
        <w:tc>
          <w:tcPr>
            <w:tcW w:w="1172" w:type="dxa"/>
            <w:vAlign w:val="center"/>
          </w:tcPr>
          <w:p w14:paraId="4BA15219" w14:textId="77777777" w:rsidR="00AA6F51" w:rsidRDefault="00000000">
            <w:r>
              <w:rPr>
                <w:lang w:val="ru-RU" w:eastAsia="ru-RU"/>
              </w:rPr>
              <w:t xml:space="preserve"> pine (сосна)</w:t>
            </w:r>
          </w:p>
        </w:tc>
        <w:tc>
          <w:tcPr>
            <w:tcW w:w="1133" w:type="dxa"/>
            <w:vAlign w:val="center"/>
          </w:tcPr>
          <w:p w14:paraId="06D77189" w14:textId="77777777" w:rsidR="00AA6F51" w:rsidRDefault="00000000">
            <w:pPr>
              <w:jc w:val="center"/>
            </w:pPr>
            <w:r>
              <w:rPr>
                <w:lang w:eastAsia="ru-RU"/>
              </w:rPr>
              <w:t>12100</w:t>
            </w:r>
          </w:p>
        </w:tc>
        <w:tc>
          <w:tcPr>
            <w:tcW w:w="1123" w:type="dxa"/>
            <w:vAlign w:val="center"/>
          </w:tcPr>
          <w:p w14:paraId="122B5031" w14:textId="77777777" w:rsidR="00AA6F51" w:rsidRDefault="00000000">
            <w:pPr>
              <w:jc w:val="center"/>
            </w:pPr>
            <w:r>
              <w:rPr>
                <w:lang w:eastAsia="ru-RU"/>
              </w:rPr>
              <w:t>570</w:t>
            </w:r>
          </w:p>
        </w:tc>
        <w:tc>
          <w:tcPr>
            <w:tcW w:w="1121" w:type="dxa"/>
            <w:vAlign w:val="center"/>
          </w:tcPr>
          <w:p w14:paraId="22B01CDA" w14:textId="77777777" w:rsidR="00AA6F51" w:rsidRDefault="00000000">
            <w:pPr>
              <w:jc w:val="center"/>
            </w:pPr>
            <w:r>
              <w:rPr>
                <w:lang w:eastAsia="ru-RU"/>
              </w:rPr>
              <w:t>690</w:t>
            </w:r>
          </w:p>
        </w:tc>
        <w:tc>
          <w:tcPr>
            <w:tcW w:w="1127" w:type="dxa"/>
            <w:vAlign w:val="center"/>
          </w:tcPr>
          <w:p w14:paraId="594FA1BF" w14:textId="77777777" w:rsidR="00AA6F51" w:rsidRDefault="00000000">
            <w:pPr>
              <w:jc w:val="center"/>
            </w:pPr>
            <w:r>
              <w:rPr>
                <w:lang w:eastAsia="ru-RU"/>
              </w:rPr>
              <w:t>12100</w:t>
            </w:r>
          </w:p>
        </w:tc>
        <w:tc>
          <w:tcPr>
            <w:tcW w:w="1110" w:type="dxa"/>
            <w:vAlign w:val="center"/>
          </w:tcPr>
          <w:p w14:paraId="5EFD1253" w14:textId="77777777" w:rsidR="00AA6F51" w:rsidRDefault="00000000">
            <w:pPr>
              <w:jc w:val="center"/>
            </w:pPr>
            <w:r>
              <w:rPr>
                <w:lang w:eastAsia="ru-RU"/>
              </w:rPr>
              <w:t>500</w:t>
            </w:r>
          </w:p>
        </w:tc>
        <w:tc>
          <w:tcPr>
            <w:tcW w:w="1116" w:type="dxa"/>
            <w:vAlign w:val="center"/>
          </w:tcPr>
          <w:p w14:paraId="2DB4D03F" w14:textId="77777777" w:rsidR="00AA6F51" w:rsidRDefault="00000000">
            <w:pPr>
              <w:jc w:val="center"/>
            </w:pPr>
            <w:r>
              <w:rPr>
                <w:lang w:eastAsia="ru-RU"/>
              </w:rPr>
              <w:t>580</w:t>
            </w:r>
          </w:p>
        </w:tc>
        <w:tc>
          <w:tcPr>
            <w:tcW w:w="1339" w:type="dxa"/>
            <w:vAlign w:val="center"/>
          </w:tcPr>
          <w:p w14:paraId="0CA5CF6A" w14:textId="77777777" w:rsidR="00AA6F51" w:rsidRDefault="00000000">
            <w:pPr>
              <w:jc w:val="center"/>
            </w:pPr>
            <w:r>
              <w:rPr>
                <w:lang w:eastAsia="ru-RU"/>
              </w:rPr>
              <w:t>12600</w:t>
            </w:r>
          </w:p>
        </w:tc>
      </w:tr>
      <w:tr w:rsidR="00AA6F51" w14:paraId="2B86AF3A" w14:textId="77777777" w:rsidTr="00654BA0">
        <w:trPr>
          <w:jc w:val="center"/>
        </w:trPr>
        <w:tc>
          <w:tcPr>
            <w:tcW w:w="1172" w:type="dxa"/>
            <w:vAlign w:val="center"/>
          </w:tcPr>
          <w:p w14:paraId="7DC6256B" w14:textId="77777777" w:rsidR="00AA6F51" w:rsidRDefault="00000000">
            <w:r>
              <w:rPr>
                <w:lang w:val="ru-RU" w:eastAsia="ru-RU"/>
              </w:rPr>
              <w:t>beech (бук)</w:t>
            </w:r>
          </w:p>
        </w:tc>
        <w:tc>
          <w:tcPr>
            <w:tcW w:w="1133" w:type="dxa"/>
            <w:vAlign w:val="center"/>
          </w:tcPr>
          <w:p w14:paraId="3596829E" w14:textId="77777777" w:rsidR="00AA6F51" w:rsidRDefault="00000000">
            <w:pPr>
              <w:jc w:val="center"/>
            </w:pPr>
            <w:r>
              <w:rPr>
                <w:lang w:eastAsia="ru-RU"/>
              </w:rPr>
              <w:t>14500</w:t>
            </w:r>
          </w:p>
        </w:tc>
        <w:tc>
          <w:tcPr>
            <w:tcW w:w="1123" w:type="dxa"/>
            <w:vAlign w:val="center"/>
          </w:tcPr>
          <w:p w14:paraId="6A1DADE7" w14:textId="77777777" w:rsidR="00AA6F51" w:rsidRDefault="00000000">
            <w:pPr>
              <w:jc w:val="center"/>
            </w:pPr>
            <w:r>
              <w:rPr>
                <w:lang w:eastAsia="ru-RU"/>
              </w:rPr>
              <w:t>430</w:t>
            </w:r>
          </w:p>
        </w:tc>
        <w:tc>
          <w:tcPr>
            <w:tcW w:w="1121" w:type="dxa"/>
            <w:vAlign w:val="center"/>
          </w:tcPr>
          <w:p w14:paraId="0FA57434" w14:textId="77777777" w:rsidR="00AA6F51" w:rsidRDefault="00000000">
            <w:pPr>
              <w:jc w:val="center"/>
            </w:pPr>
            <w:r>
              <w:rPr>
                <w:lang w:eastAsia="ru-RU"/>
              </w:rPr>
              <w:t>660</w:t>
            </w:r>
          </w:p>
        </w:tc>
        <w:tc>
          <w:tcPr>
            <w:tcW w:w="1127" w:type="dxa"/>
            <w:vAlign w:val="center"/>
          </w:tcPr>
          <w:p w14:paraId="596796FA" w14:textId="77777777" w:rsidR="00AA6F51" w:rsidRDefault="00000000">
            <w:pPr>
              <w:jc w:val="center"/>
            </w:pPr>
            <w:r>
              <w:rPr>
                <w:lang w:eastAsia="ru-RU"/>
              </w:rPr>
              <w:t>14600</w:t>
            </w:r>
          </w:p>
        </w:tc>
        <w:tc>
          <w:tcPr>
            <w:tcW w:w="1110" w:type="dxa"/>
            <w:vAlign w:val="center"/>
          </w:tcPr>
          <w:p w14:paraId="7617D57A" w14:textId="77777777" w:rsidR="00AA6F51" w:rsidRDefault="00000000">
            <w:pPr>
              <w:jc w:val="center"/>
            </w:pPr>
            <w:r>
              <w:rPr>
                <w:lang w:eastAsia="ru-RU"/>
              </w:rPr>
              <w:t>490</w:t>
            </w:r>
          </w:p>
        </w:tc>
        <w:tc>
          <w:tcPr>
            <w:tcW w:w="1116" w:type="dxa"/>
            <w:vAlign w:val="center"/>
          </w:tcPr>
          <w:p w14:paraId="0B658F4D" w14:textId="77777777" w:rsidR="00AA6F51" w:rsidRDefault="00000000">
            <w:pPr>
              <w:jc w:val="center"/>
            </w:pPr>
            <w:r>
              <w:rPr>
                <w:lang w:eastAsia="ru-RU"/>
              </w:rPr>
              <w:t>690</w:t>
            </w:r>
          </w:p>
        </w:tc>
        <w:tc>
          <w:tcPr>
            <w:tcW w:w="1339" w:type="dxa"/>
            <w:vAlign w:val="center"/>
          </w:tcPr>
          <w:p w14:paraId="523738B1" w14:textId="77777777" w:rsidR="00AA6F51" w:rsidRDefault="00000000">
            <w:pPr>
              <w:jc w:val="center"/>
            </w:pPr>
            <w:r>
              <w:rPr>
                <w:lang w:eastAsia="ru-RU"/>
              </w:rPr>
              <w:t>11000</w:t>
            </w:r>
          </w:p>
        </w:tc>
      </w:tr>
      <w:tr w:rsidR="00AA6F51" w14:paraId="499B91AE" w14:textId="77777777" w:rsidTr="00654BA0">
        <w:trPr>
          <w:jc w:val="center"/>
        </w:trPr>
        <w:tc>
          <w:tcPr>
            <w:tcW w:w="1172" w:type="dxa"/>
            <w:vAlign w:val="center"/>
          </w:tcPr>
          <w:p w14:paraId="68FCFE23" w14:textId="77777777" w:rsidR="00AA6F51" w:rsidRDefault="00000000">
            <w:r>
              <w:rPr>
                <w:lang w:val="ru-RU" w:eastAsia="ru-RU"/>
              </w:rPr>
              <w:t>oak (дуб)</w:t>
            </w:r>
          </w:p>
        </w:tc>
        <w:tc>
          <w:tcPr>
            <w:tcW w:w="1133" w:type="dxa"/>
            <w:vAlign w:val="center"/>
          </w:tcPr>
          <w:p w14:paraId="4CAE7C26" w14:textId="77777777" w:rsidR="00AA6F51" w:rsidRDefault="00000000">
            <w:pPr>
              <w:jc w:val="center"/>
            </w:pPr>
            <w:r>
              <w:rPr>
                <w:lang w:eastAsia="ru-RU"/>
              </w:rPr>
              <w:t>14300</w:t>
            </w:r>
          </w:p>
        </w:tc>
        <w:tc>
          <w:tcPr>
            <w:tcW w:w="1123" w:type="dxa"/>
            <w:vAlign w:val="center"/>
          </w:tcPr>
          <w:p w14:paraId="5CDDAC2C" w14:textId="77777777" w:rsidR="00AA6F51" w:rsidRDefault="00000000">
            <w:pPr>
              <w:jc w:val="center"/>
            </w:pPr>
            <w:r>
              <w:rPr>
                <w:lang w:eastAsia="ru-RU"/>
              </w:rPr>
              <w:t>9770</w:t>
            </w:r>
          </w:p>
        </w:tc>
        <w:tc>
          <w:tcPr>
            <w:tcW w:w="1121" w:type="dxa"/>
            <w:vAlign w:val="center"/>
          </w:tcPr>
          <w:p w14:paraId="3F23032E" w14:textId="77777777" w:rsidR="00AA6F51" w:rsidRDefault="00000000">
            <w:pPr>
              <w:jc w:val="center"/>
            </w:pPr>
            <w:r>
              <w:rPr>
                <w:lang w:eastAsia="ru-RU"/>
              </w:rPr>
              <w:t>1340</w:t>
            </w:r>
          </w:p>
        </w:tc>
        <w:tc>
          <w:tcPr>
            <w:tcW w:w="1127" w:type="dxa"/>
            <w:vAlign w:val="center"/>
          </w:tcPr>
          <w:p w14:paraId="3D3DC478" w14:textId="77777777" w:rsidR="00AA6F51" w:rsidRDefault="00000000">
            <w:pPr>
              <w:jc w:val="center"/>
            </w:pPr>
            <w:r>
              <w:rPr>
                <w:lang w:eastAsia="ru-RU"/>
              </w:rPr>
              <w:t>14300</w:t>
            </w:r>
          </w:p>
        </w:tc>
        <w:tc>
          <w:tcPr>
            <w:tcW w:w="1110" w:type="dxa"/>
            <w:vAlign w:val="center"/>
          </w:tcPr>
          <w:p w14:paraId="05A6F162" w14:textId="77777777" w:rsidR="00AA6F51" w:rsidRDefault="00000000">
            <w:pPr>
              <w:jc w:val="center"/>
            </w:pPr>
            <w:r>
              <w:rPr>
                <w:lang w:eastAsia="ru-RU"/>
              </w:rPr>
              <w:t>890</w:t>
            </w:r>
          </w:p>
        </w:tc>
        <w:tc>
          <w:tcPr>
            <w:tcW w:w="1116" w:type="dxa"/>
            <w:vAlign w:val="center"/>
          </w:tcPr>
          <w:p w14:paraId="70870282" w14:textId="77777777" w:rsidR="00AA6F51" w:rsidRDefault="00000000">
            <w:pPr>
              <w:jc w:val="center"/>
            </w:pPr>
            <w:r>
              <w:rPr>
                <w:lang w:eastAsia="ru-RU"/>
              </w:rPr>
              <w:t>1160</w:t>
            </w:r>
          </w:p>
        </w:tc>
        <w:tc>
          <w:tcPr>
            <w:tcW w:w="1339" w:type="dxa"/>
            <w:vAlign w:val="center"/>
          </w:tcPr>
          <w:p w14:paraId="06782121" w14:textId="77777777" w:rsidR="00AA6F51" w:rsidRDefault="00000000">
            <w:pPr>
              <w:jc w:val="center"/>
            </w:pPr>
            <w:r>
              <w:rPr>
                <w:lang w:eastAsia="ru-RU"/>
              </w:rPr>
              <w:t>15400</w:t>
            </w:r>
          </w:p>
        </w:tc>
      </w:tr>
      <w:tr w:rsidR="00AA6F51" w14:paraId="75B22671" w14:textId="77777777" w:rsidTr="00654BA0">
        <w:trPr>
          <w:jc w:val="center"/>
        </w:trPr>
        <w:tc>
          <w:tcPr>
            <w:tcW w:w="1172" w:type="dxa"/>
            <w:vAlign w:val="center"/>
          </w:tcPr>
          <w:p w14:paraId="70309DDE" w14:textId="77777777" w:rsidR="00AA6F51" w:rsidRDefault="00000000">
            <w:r>
              <w:rPr>
                <w:lang w:val="ru-RU" w:eastAsia="ru-RU"/>
              </w:rPr>
              <w:t xml:space="preserve"> birch (тус)</w:t>
            </w:r>
          </w:p>
        </w:tc>
        <w:tc>
          <w:tcPr>
            <w:tcW w:w="1133" w:type="dxa"/>
            <w:vAlign w:val="center"/>
          </w:tcPr>
          <w:p w14:paraId="14254FCD" w14:textId="77777777" w:rsidR="00AA6F51" w:rsidRDefault="00000000">
            <w:r>
              <w:rPr>
                <w:lang w:eastAsia="ru-RU"/>
              </w:rPr>
              <w:t>16100</w:t>
            </w:r>
          </w:p>
        </w:tc>
        <w:tc>
          <w:tcPr>
            <w:tcW w:w="1123" w:type="dxa"/>
            <w:vAlign w:val="center"/>
          </w:tcPr>
          <w:p w14:paraId="76733294" w14:textId="77777777" w:rsidR="00AA6F51" w:rsidRDefault="00000000">
            <w:r>
              <w:rPr>
                <w:lang w:eastAsia="ru-RU"/>
              </w:rPr>
              <w:t>520</w:t>
            </w:r>
          </w:p>
        </w:tc>
        <w:tc>
          <w:tcPr>
            <w:tcW w:w="1121" w:type="dxa"/>
            <w:vAlign w:val="center"/>
          </w:tcPr>
          <w:p w14:paraId="3C684011" w14:textId="77777777" w:rsidR="00AA6F51" w:rsidRDefault="00000000">
            <w:r>
              <w:rPr>
                <w:lang w:eastAsia="ru-RU"/>
              </w:rPr>
              <w:t>670</w:t>
            </w:r>
          </w:p>
        </w:tc>
        <w:tc>
          <w:tcPr>
            <w:tcW w:w="1127" w:type="dxa"/>
            <w:vAlign w:val="center"/>
          </w:tcPr>
          <w:p w14:paraId="066EA006" w14:textId="77777777" w:rsidR="00AA6F51" w:rsidRDefault="00000000">
            <w:r>
              <w:rPr>
                <w:lang w:eastAsia="ru-RU"/>
              </w:rPr>
              <w:t>18300</w:t>
            </w:r>
          </w:p>
        </w:tc>
        <w:tc>
          <w:tcPr>
            <w:tcW w:w="1110" w:type="dxa"/>
            <w:vAlign w:val="center"/>
          </w:tcPr>
          <w:p w14:paraId="5CFDC378" w14:textId="77777777" w:rsidR="00AA6F51" w:rsidRDefault="00000000">
            <w:r>
              <w:rPr>
                <w:lang w:eastAsia="ru-RU"/>
              </w:rPr>
              <w:t>490</w:t>
            </w:r>
          </w:p>
        </w:tc>
        <w:tc>
          <w:tcPr>
            <w:tcW w:w="1116" w:type="dxa"/>
            <w:vAlign w:val="center"/>
          </w:tcPr>
          <w:p w14:paraId="0E40C2C4" w14:textId="77777777" w:rsidR="00AA6F51" w:rsidRDefault="00000000">
            <w:r>
              <w:rPr>
                <w:lang w:eastAsia="ru-RU"/>
              </w:rPr>
              <w:t>670</w:t>
            </w:r>
          </w:p>
        </w:tc>
        <w:tc>
          <w:tcPr>
            <w:tcW w:w="1339" w:type="dxa"/>
            <w:vAlign w:val="center"/>
          </w:tcPr>
          <w:p w14:paraId="657C8974" w14:textId="77777777" w:rsidR="00AA6F51" w:rsidRDefault="00000000">
            <w:r>
              <w:rPr>
                <w:lang w:eastAsia="ru-RU"/>
              </w:rPr>
              <w:t>15400</w:t>
            </w:r>
          </w:p>
        </w:tc>
      </w:tr>
    </w:tbl>
    <w:p w14:paraId="4E79AE31" w14:textId="77777777" w:rsidR="00AA6F51" w:rsidRPr="002C7CD2" w:rsidRDefault="00AA6F51" w:rsidP="00FD440B">
      <w:pPr>
        <w:rPr>
          <w:sz w:val="16"/>
          <w:szCs w:val="16"/>
        </w:rPr>
      </w:pPr>
    </w:p>
    <w:p w14:paraId="375EBDA1" w14:textId="0FFBCC77" w:rsidR="00AA6F51" w:rsidRDefault="00000000" w:rsidP="00FD440B">
      <w:pPr>
        <w:pStyle w:val="TableCaption"/>
      </w:pPr>
      <w:r>
        <w:rPr>
          <w:b/>
        </w:rPr>
        <w:t>TABLE 3</w:t>
      </w:r>
      <w:r w:rsidR="00FD440B">
        <w:rPr>
          <w:b/>
        </w:rPr>
        <w:t>.</w:t>
      </w:r>
      <w:r w:rsidR="00FD440B" w:rsidRPr="00FD440B">
        <w:rPr>
          <w:bCs/>
        </w:rPr>
        <w:t xml:space="preserve"> </w:t>
      </w:r>
      <w:r>
        <w:t xml:space="preserve">Deformation coefficients according to the types of wood used in the research, </w:t>
      </w:r>
      <w:r>
        <w:rPr>
          <w:rFonts w:ascii="Symbol" w:eastAsia="Symbol" w:hAnsi="Symbol" w:cs="Symbol"/>
        </w:rPr>
        <w:sym w:font="Symbol" w:char="F06D"/>
      </w:r>
    </w:p>
    <w:tbl>
      <w:tblPr>
        <w:tblStyle w:val="Tabellenraster"/>
        <w:tblW w:w="5000" w:type="pct"/>
        <w:jc w:val="center"/>
        <w:tblLayout w:type="fixed"/>
        <w:tblLook w:val="04A0" w:firstRow="1" w:lastRow="0" w:firstColumn="1" w:lastColumn="0" w:noHBand="0" w:noVBand="1"/>
      </w:tblPr>
      <w:tblGrid>
        <w:gridCol w:w="1395"/>
        <w:gridCol w:w="1370"/>
        <w:gridCol w:w="1368"/>
        <w:gridCol w:w="1364"/>
        <w:gridCol w:w="1361"/>
        <w:gridCol w:w="1362"/>
        <w:gridCol w:w="1358"/>
      </w:tblGrid>
      <w:tr w:rsidR="00AA6F51" w14:paraId="43310CB9" w14:textId="77777777" w:rsidTr="00654BA0">
        <w:trPr>
          <w:jc w:val="center"/>
        </w:trPr>
        <w:tc>
          <w:tcPr>
            <w:tcW w:w="1315" w:type="dxa"/>
            <w:vAlign w:val="center"/>
          </w:tcPr>
          <w:p w14:paraId="489D90E5" w14:textId="77777777" w:rsidR="00AA6F51" w:rsidRDefault="00000000">
            <w:r>
              <w:rPr>
                <w:lang w:val="ru-RU" w:eastAsia="ru-RU"/>
              </w:rPr>
              <w:t>Type of wood materials</w:t>
            </w:r>
          </w:p>
        </w:tc>
        <w:tc>
          <w:tcPr>
            <w:tcW w:w="7710" w:type="dxa"/>
            <w:gridSpan w:val="6"/>
            <w:vAlign w:val="center"/>
          </w:tcPr>
          <w:p w14:paraId="5FCC7F00" w14:textId="77777777" w:rsidR="00AA6F51" w:rsidRDefault="00000000">
            <w:pPr>
              <w:jc w:val="center"/>
            </w:pPr>
            <w:r>
              <w:rPr>
                <w:lang w:val="ru-RU" w:eastAsia="ru-RU"/>
              </w:rPr>
              <w:t xml:space="preserve">deformation coefficients, </w:t>
            </w:r>
            <w:r>
              <w:rPr>
                <w:rFonts w:ascii="Symbol" w:eastAsia="Symbol" w:hAnsi="Symbol" w:cs="Symbol"/>
                <w:b/>
                <w:i/>
                <w:color w:val="943634" w:themeColor="accent2" w:themeShade="BF"/>
                <w:lang w:val="ru-RU" w:eastAsia="ru-RU"/>
              </w:rPr>
              <w:sym w:font="Symbol" w:char="F06D"/>
            </w:r>
          </w:p>
        </w:tc>
      </w:tr>
      <w:tr w:rsidR="00AA6F51" w14:paraId="21DF5CA7" w14:textId="77777777" w:rsidTr="00654BA0">
        <w:trPr>
          <w:jc w:val="center"/>
        </w:trPr>
        <w:tc>
          <w:tcPr>
            <w:tcW w:w="1315" w:type="dxa"/>
            <w:vAlign w:val="center"/>
          </w:tcPr>
          <w:p w14:paraId="4BC1FA5C" w14:textId="77777777" w:rsidR="00AA6F51" w:rsidRDefault="00000000">
            <w:r>
              <w:rPr>
                <w:lang w:val="ru-RU" w:eastAsia="ru-RU"/>
              </w:rPr>
              <w:t xml:space="preserve"> pine (сосна)</w:t>
            </w:r>
          </w:p>
        </w:tc>
        <w:tc>
          <w:tcPr>
            <w:tcW w:w="1291" w:type="dxa"/>
            <w:vAlign w:val="center"/>
          </w:tcPr>
          <w:p w14:paraId="6BAE7D80" w14:textId="77777777" w:rsidR="00AA6F51" w:rsidRDefault="00000000">
            <w:pPr>
              <w:jc w:val="center"/>
            </w:pPr>
            <w:r>
              <w:rPr>
                <w:lang w:val="ru-RU" w:eastAsia="ru-RU"/>
              </w:rPr>
              <w:t>0,49</w:t>
            </w:r>
          </w:p>
        </w:tc>
        <w:tc>
          <w:tcPr>
            <w:tcW w:w="1289" w:type="dxa"/>
            <w:vAlign w:val="center"/>
          </w:tcPr>
          <w:p w14:paraId="20118ECA" w14:textId="77777777" w:rsidR="00AA6F51" w:rsidRDefault="00000000">
            <w:pPr>
              <w:jc w:val="center"/>
            </w:pPr>
            <w:r>
              <w:rPr>
                <w:lang w:val="ru-RU" w:eastAsia="ru-RU"/>
              </w:rPr>
              <w:t>0,41</w:t>
            </w:r>
          </w:p>
        </w:tc>
        <w:tc>
          <w:tcPr>
            <w:tcW w:w="1285" w:type="dxa"/>
            <w:vAlign w:val="center"/>
          </w:tcPr>
          <w:p w14:paraId="5C9F9573" w14:textId="77777777" w:rsidR="00AA6F51" w:rsidRDefault="00000000">
            <w:pPr>
              <w:jc w:val="center"/>
            </w:pPr>
            <w:r>
              <w:rPr>
                <w:lang w:val="ru-RU" w:eastAsia="ru-RU"/>
              </w:rPr>
              <w:t>0,03</w:t>
            </w:r>
          </w:p>
        </w:tc>
        <w:tc>
          <w:tcPr>
            <w:tcW w:w="1282" w:type="dxa"/>
            <w:vAlign w:val="center"/>
          </w:tcPr>
          <w:p w14:paraId="71355436" w14:textId="77777777" w:rsidR="00AA6F51" w:rsidRDefault="00000000">
            <w:pPr>
              <w:jc w:val="center"/>
            </w:pPr>
            <w:r>
              <w:rPr>
                <w:lang w:val="ru-RU" w:eastAsia="ru-RU"/>
              </w:rPr>
              <w:t>0,79</w:t>
            </w:r>
          </w:p>
        </w:tc>
        <w:tc>
          <w:tcPr>
            <w:tcW w:w="1283" w:type="dxa"/>
            <w:vAlign w:val="center"/>
          </w:tcPr>
          <w:p w14:paraId="25EC89FD" w14:textId="77777777" w:rsidR="00AA6F51" w:rsidRDefault="00000000">
            <w:pPr>
              <w:jc w:val="center"/>
            </w:pPr>
            <w:r>
              <w:rPr>
                <w:lang w:val="ru-RU" w:eastAsia="ru-RU"/>
              </w:rPr>
              <w:t>0,037</w:t>
            </w:r>
          </w:p>
        </w:tc>
        <w:tc>
          <w:tcPr>
            <w:tcW w:w="1280" w:type="dxa"/>
            <w:vAlign w:val="center"/>
          </w:tcPr>
          <w:p w14:paraId="7E7677D0" w14:textId="77777777" w:rsidR="00AA6F51" w:rsidRDefault="00000000">
            <w:pPr>
              <w:jc w:val="center"/>
            </w:pPr>
            <w:r>
              <w:rPr>
                <w:lang w:val="ru-RU" w:eastAsia="ru-RU"/>
              </w:rPr>
              <w:t>0,038</w:t>
            </w:r>
          </w:p>
        </w:tc>
      </w:tr>
      <w:tr w:rsidR="00AA6F51" w14:paraId="576696FB" w14:textId="77777777" w:rsidTr="00654BA0">
        <w:trPr>
          <w:jc w:val="center"/>
        </w:trPr>
        <w:tc>
          <w:tcPr>
            <w:tcW w:w="1315" w:type="dxa"/>
            <w:vAlign w:val="center"/>
          </w:tcPr>
          <w:p w14:paraId="10F23056" w14:textId="77777777" w:rsidR="00AA6F51" w:rsidRDefault="00000000">
            <w:r>
              <w:rPr>
                <w:lang w:val="ru-RU" w:eastAsia="ru-RU"/>
              </w:rPr>
              <w:t>birch (тус)</w:t>
            </w:r>
          </w:p>
        </w:tc>
        <w:tc>
          <w:tcPr>
            <w:tcW w:w="1291" w:type="dxa"/>
            <w:vAlign w:val="center"/>
          </w:tcPr>
          <w:p w14:paraId="36351987" w14:textId="77777777" w:rsidR="00AA6F51" w:rsidRDefault="00000000">
            <w:pPr>
              <w:jc w:val="center"/>
            </w:pPr>
            <w:r>
              <w:rPr>
                <w:lang w:val="ru-RU" w:eastAsia="ru-RU"/>
              </w:rPr>
              <w:t>0,58</w:t>
            </w:r>
          </w:p>
        </w:tc>
        <w:tc>
          <w:tcPr>
            <w:tcW w:w="1289" w:type="dxa"/>
            <w:vAlign w:val="center"/>
          </w:tcPr>
          <w:p w14:paraId="2E21120E" w14:textId="77777777" w:rsidR="00AA6F51" w:rsidRDefault="00000000">
            <w:pPr>
              <w:jc w:val="center"/>
            </w:pPr>
            <w:r>
              <w:rPr>
                <w:lang w:val="ru-RU" w:eastAsia="ru-RU"/>
              </w:rPr>
              <w:t>0,45</w:t>
            </w:r>
          </w:p>
        </w:tc>
        <w:tc>
          <w:tcPr>
            <w:tcW w:w="1285" w:type="dxa"/>
            <w:vAlign w:val="center"/>
          </w:tcPr>
          <w:p w14:paraId="45BE7DE6" w14:textId="77777777" w:rsidR="00AA6F51" w:rsidRDefault="00000000">
            <w:pPr>
              <w:jc w:val="center"/>
            </w:pPr>
            <w:r>
              <w:rPr>
                <w:lang w:val="ru-RU" w:eastAsia="ru-RU"/>
              </w:rPr>
              <w:t>0,043</w:t>
            </w:r>
          </w:p>
        </w:tc>
        <w:tc>
          <w:tcPr>
            <w:tcW w:w="1282" w:type="dxa"/>
            <w:vAlign w:val="center"/>
          </w:tcPr>
          <w:p w14:paraId="37F0C017" w14:textId="77777777" w:rsidR="00AA6F51" w:rsidRDefault="00000000">
            <w:pPr>
              <w:jc w:val="center"/>
            </w:pPr>
            <w:r>
              <w:rPr>
                <w:lang w:val="ru-RU" w:eastAsia="ru-RU"/>
              </w:rPr>
              <w:t>0,81</w:t>
            </w:r>
          </w:p>
        </w:tc>
        <w:tc>
          <w:tcPr>
            <w:tcW w:w="1283" w:type="dxa"/>
            <w:vAlign w:val="center"/>
          </w:tcPr>
          <w:p w14:paraId="2A05FC89" w14:textId="77777777" w:rsidR="00AA6F51" w:rsidRDefault="00000000">
            <w:pPr>
              <w:jc w:val="center"/>
            </w:pPr>
            <w:r>
              <w:rPr>
                <w:lang w:val="ru-RU" w:eastAsia="ru-RU"/>
              </w:rPr>
              <w:t>0,04</w:t>
            </w:r>
          </w:p>
        </w:tc>
        <w:tc>
          <w:tcPr>
            <w:tcW w:w="1280" w:type="dxa"/>
            <w:vAlign w:val="center"/>
          </w:tcPr>
          <w:p w14:paraId="42B5E6DD" w14:textId="77777777" w:rsidR="00AA6F51" w:rsidRDefault="00000000">
            <w:pPr>
              <w:jc w:val="center"/>
            </w:pPr>
            <w:r>
              <w:rPr>
                <w:lang w:val="ru-RU" w:eastAsia="ru-RU"/>
              </w:rPr>
              <w:t>0,49</w:t>
            </w:r>
          </w:p>
        </w:tc>
      </w:tr>
      <w:tr w:rsidR="00AA6F51" w14:paraId="517BD6CD" w14:textId="77777777" w:rsidTr="00654BA0">
        <w:trPr>
          <w:jc w:val="center"/>
        </w:trPr>
        <w:tc>
          <w:tcPr>
            <w:tcW w:w="1315" w:type="dxa"/>
            <w:vAlign w:val="center"/>
          </w:tcPr>
          <w:p w14:paraId="15BB0E34" w14:textId="77777777" w:rsidR="00AA6F51" w:rsidRDefault="00000000">
            <w:r>
              <w:rPr>
                <w:lang w:val="ru-RU" w:eastAsia="ru-RU"/>
              </w:rPr>
              <w:t>oak (дуб)</w:t>
            </w:r>
          </w:p>
        </w:tc>
        <w:tc>
          <w:tcPr>
            <w:tcW w:w="1291" w:type="dxa"/>
            <w:vAlign w:val="center"/>
          </w:tcPr>
          <w:p w14:paraId="441C8D66" w14:textId="77777777" w:rsidR="00AA6F51" w:rsidRDefault="00000000">
            <w:pPr>
              <w:jc w:val="center"/>
            </w:pPr>
            <w:r>
              <w:rPr>
                <w:lang w:val="ru-RU" w:eastAsia="ru-RU"/>
              </w:rPr>
              <w:t>0,43</w:t>
            </w:r>
          </w:p>
        </w:tc>
        <w:tc>
          <w:tcPr>
            <w:tcW w:w="1289" w:type="dxa"/>
            <w:vAlign w:val="center"/>
          </w:tcPr>
          <w:p w14:paraId="166957DA" w14:textId="77777777" w:rsidR="00AA6F51" w:rsidRDefault="00000000">
            <w:pPr>
              <w:jc w:val="center"/>
            </w:pPr>
            <w:r>
              <w:rPr>
                <w:lang w:val="ru-RU" w:eastAsia="ru-RU"/>
              </w:rPr>
              <w:t>0,41</w:t>
            </w:r>
          </w:p>
        </w:tc>
        <w:tc>
          <w:tcPr>
            <w:tcW w:w="1285" w:type="dxa"/>
            <w:vAlign w:val="center"/>
          </w:tcPr>
          <w:p w14:paraId="625BF8D8" w14:textId="77777777" w:rsidR="00AA6F51" w:rsidRDefault="00000000">
            <w:pPr>
              <w:jc w:val="center"/>
            </w:pPr>
            <w:r>
              <w:rPr>
                <w:lang w:val="ru-RU" w:eastAsia="ru-RU"/>
              </w:rPr>
              <w:t>0,07</w:t>
            </w:r>
          </w:p>
        </w:tc>
        <w:tc>
          <w:tcPr>
            <w:tcW w:w="1282" w:type="dxa"/>
            <w:vAlign w:val="center"/>
          </w:tcPr>
          <w:p w14:paraId="7D666E93" w14:textId="77777777" w:rsidR="00AA6F51" w:rsidRDefault="00000000">
            <w:pPr>
              <w:jc w:val="center"/>
            </w:pPr>
            <w:r>
              <w:rPr>
                <w:lang w:val="ru-RU" w:eastAsia="ru-RU"/>
              </w:rPr>
              <w:t>0,83</w:t>
            </w:r>
          </w:p>
        </w:tc>
        <w:tc>
          <w:tcPr>
            <w:tcW w:w="1283" w:type="dxa"/>
            <w:vAlign w:val="center"/>
          </w:tcPr>
          <w:p w14:paraId="5DAD041F" w14:textId="77777777" w:rsidR="00AA6F51" w:rsidRDefault="00000000">
            <w:pPr>
              <w:jc w:val="center"/>
            </w:pPr>
            <w:r>
              <w:rPr>
                <w:lang w:val="ru-RU" w:eastAsia="ru-RU"/>
              </w:rPr>
              <w:t>0,09</w:t>
            </w:r>
          </w:p>
        </w:tc>
        <w:tc>
          <w:tcPr>
            <w:tcW w:w="1280" w:type="dxa"/>
            <w:vAlign w:val="center"/>
          </w:tcPr>
          <w:p w14:paraId="518409E1" w14:textId="77777777" w:rsidR="00AA6F51" w:rsidRDefault="00000000">
            <w:pPr>
              <w:jc w:val="center"/>
            </w:pPr>
            <w:r>
              <w:rPr>
                <w:lang w:val="ru-RU" w:eastAsia="ru-RU"/>
              </w:rPr>
              <w:t>0,34</w:t>
            </w:r>
          </w:p>
        </w:tc>
      </w:tr>
      <w:tr w:rsidR="00AA6F51" w14:paraId="292C781B" w14:textId="77777777" w:rsidTr="00654BA0">
        <w:trPr>
          <w:jc w:val="center"/>
        </w:trPr>
        <w:tc>
          <w:tcPr>
            <w:tcW w:w="1315" w:type="dxa"/>
            <w:vAlign w:val="center"/>
          </w:tcPr>
          <w:p w14:paraId="16EC5D0D" w14:textId="77777777" w:rsidR="00AA6F51" w:rsidRDefault="00000000">
            <w:r>
              <w:rPr>
                <w:lang w:val="ru-RU" w:eastAsia="ru-RU"/>
              </w:rPr>
              <w:t xml:space="preserve"> Spruce (ель)</w:t>
            </w:r>
          </w:p>
        </w:tc>
        <w:tc>
          <w:tcPr>
            <w:tcW w:w="1291" w:type="dxa"/>
            <w:vAlign w:val="center"/>
          </w:tcPr>
          <w:p w14:paraId="04BA88C1" w14:textId="77777777" w:rsidR="00AA6F51" w:rsidRDefault="00000000">
            <w:pPr>
              <w:jc w:val="center"/>
            </w:pPr>
            <w:r>
              <w:rPr>
                <w:lang w:val="ru-RU" w:eastAsia="ru-RU"/>
              </w:rPr>
              <w:t>0,44</w:t>
            </w:r>
          </w:p>
        </w:tc>
        <w:tc>
          <w:tcPr>
            <w:tcW w:w="1289" w:type="dxa"/>
            <w:vAlign w:val="center"/>
          </w:tcPr>
          <w:p w14:paraId="031CFD1A" w14:textId="77777777" w:rsidR="00AA6F51" w:rsidRDefault="00000000">
            <w:pPr>
              <w:jc w:val="center"/>
            </w:pPr>
            <w:r>
              <w:rPr>
                <w:lang w:val="ru-RU" w:eastAsia="ru-RU"/>
              </w:rPr>
              <w:t>0,411</w:t>
            </w:r>
          </w:p>
        </w:tc>
        <w:tc>
          <w:tcPr>
            <w:tcW w:w="1285" w:type="dxa"/>
            <w:vAlign w:val="center"/>
          </w:tcPr>
          <w:p w14:paraId="0A268FA3" w14:textId="77777777" w:rsidR="00AA6F51" w:rsidRDefault="00000000">
            <w:pPr>
              <w:jc w:val="center"/>
            </w:pPr>
            <w:r>
              <w:rPr>
                <w:lang w:val="ru-RU" w:eastAsia="ru-RU"/>
              </w:rPr>
              <w:t>0,017</w:t>
            </w:r>
          </w:p>
        </w:tc>
        <w:tc>
          <w:tcPr>
            <w:tcW w:w="1282" w:type="dxa"/>
            <w:vAlign w:val="center"/>
          </w:tcPr>
          <w:p w14:paraId="046114BF" w14:textId="77777777" w:rsidR="00AA6F51" w:rsidRDefault="00000000">
            <w:pPr>
              <w:jc w:val="center"/>
            </w:pPr>
            <w:r>
              <w:rPr>
                <w:lang w:val="ru-RU" w:eastAsia="ru-RU"/>
              </w:rPr>
              <w:t>0,48</w:t>
            </w:r>
          </w:p>
        </w:tc>
        <w:tc>
          <w:tcPr>
            <w:tcW w:w="1283" w:type="dxa"/>
            <w:vAlign w:val="center"/>
          </w:tcPr>
          <w:p w14:paraId="1B659429" w14:textId="77777777" w:rsidR="00AA6F51" w:rsidRDefault="00000000">
            <w:pPr>
              <w:jc w:val="center"/>
            </w:pPr>
            <w:r>
              <w:rPr>
                <w:lang w:val="ru-RU" w:eastAsia="ru-RU"/>
              </w:rPr>
              <w:t>0,031</w:t>
            </w:r>
          </w:p>
        </w:tc>
        <w:tc>
          <w:tcPr>
            <w:tcW w:w="1280" w:type="dxa"/>
            <w:vAlign w:val="center"/>
          </w:tcPr>
          <w:p w14:paraId="22F196A2" w14:textId="77777777" w:rsidR="00AA6F51" w:rsidRDefault="00000000">
            <w:pPr>
              <w:jc w:val="center"/>
            </w:pPr>
            <w:r>
              <w:rPr>
                <w:lang w:val="ru-RU" w:eastAsia="ru-RU"/>
              </w:rPr>
              <w:t>0,025</w:t>
            </w:r>
          </w:p>
        </w:tc>
      </w:tr>
    </w:tbl>
    <w:p w14:paraId="2A086094" w14:textId="77777777" w:rsidR="00AA6F51" w:rsidRDefault="00AA6F51" w:rsidP="00FD440B"/>
    <w:p w14:paraId="1E6DCD28" w14:textId="77777777" w:rsidR="00AA6F51" w:rsidRDefault="00000000" w:rsidP="00FD440B">
      <w:pPr>
        <w:pStyle w:val="Paragraph"/>
      </w:pPr>
      <w:r>
        <w:t>As is known, wooden products (structures) have not been fully studied to date in terms of mechanical strength and long-term constant load.</w:t>
      </w:r>
    </w:p>
    <w:p w14:paraId="756444A1" w14:textId="77777777" w:rsidR="00AA6F51" w:rsidRDefault="00000000" w:rsidP="00FD440B">
      <w:pPr>
        <w:pStyle w:val="Paragraph"/>
      </w:pPr>
      <w:r>
        <w:t xml:space="preserve">According to the research results, it can be noted that: - as a result of increasing deformations of wooden structures under the action of constant loads at a moisture content of the internal structure of wood of more than W &gt; 12%, the phenomenon of slippage or creep of cell membranes under the action of water pressure in the fiber capillaries may occur. In this case, the thin walls of the wood capillaries undergo elastic deformation, and the skeleton of the fibers in the system is deformed. Based on this property of wood, an assumption was made about the presence of elastic-plastic or elastic-sliding deformation in wood [9, </w:t>
      </w:r>
      <w:proofErr w:type="gramStart"/>
      <w:r>
        <w:t>10</w:t>
      </w:r>
      <w:proofErr w:type="gramEnd"/>
      <w:r>
        <w:t>, 11,12, 13 and 14].</w:t>
      </w:r>
    </w:p>
    <w:p w14:paraId="22A9D12C" w14:textId="77777777" w:rsidR="00AA6F51" w:rsidRDefault="00000000" w:rsidP="00FD440B">
      <w:pPr>
        <w:pStyle w:val="Paragraph"/>
      </w:pPr>
      <w:r>
        <w:t>According to the basic theory, the following function can be expressed as a function of the dependence of tension, deformation and time:</w:t>
      </w:r>
    </w:p>
    <w:p w14:paraId="67CA420D" w14:textId="0ECAAD54" w:rsidR="00AA6F51" w:rsidRDefault="00654BA0" w:rsidP="00654BA0">
      <w:pPr>
        <w:pStyle w:val="Equation"/>
      </w:pPr>
      <w:r>
        <w:tab/>
      </w:r>
      <w:r w:rsidRPr="00654BA0">
        <w:rPr>
          <w:rFonts w:ascii="Symbol" w:eastAsia="Symbol" w:hAnsi="Symbol" w:cs="Symbol"/>
          <w:i/>
          <w:iCs/>
        </w:rPr>
        <w:sym w:font="Symbol" w:char="F065"/>
      </w:r>
      <w:r w:rsidRPr="00654BA0">
        <w:rPr>
          <w:i/>
          <w:iCs/>
        </w:rPr>
        <w:t>(t)=</w:t>
      </w:r>
      <w:r w:rsidRPr="00654BA0">
        <w:rPr>
          <w:rFonts w:ascii="Symbol" w:eastAsia="Symbol" w:hAnsi="Symbol" w:cs="Symbol"/>
          <w:i/>
          <w:iCs/>
        </w:rPr>
        <w:sym w:font="Symbol" w:char="F06A"/>
      </w:r>
      <w:r w:rsidRPr="00654BA0">
        <w:rPr>
          <w:i/>
          <w:iCs/>
        </w:rPr>
        <w:t>[</w:t>
      </w:r>
      <w:r w:rsidRPr="00654BA0">
        <w:rPr>
          <w:rFonts w:ascii="Symbol" w:eastAsia="Symbol" w:hAnsi="Symbol" w:cs="Symbol"/>
          <w:i/>
          <w:iCs/>
        </w:rPr>
        <w:sym w:font="Symbol" w:char="F064"/>
      </w:r>
      <w:r w:rsidRPr="00654BA0">
        <w:rPr>
          <w:i/>
          <w:iCs/>
        </w:rPr>
        <w:t xml:space="preserve">(t): t ва </w:t>
      </w:r>
      <w:r w:rsidRPr="00654BA0">
        <w:rPr>
          <w:rFonts w:ascii="Symbol" w:eastAsia="Symbol" w:hAnsi="Symbol" w:cs="Symbol"/>
          <w:i/>
          <w:iCs/>
        </w:rPr>
        <w:sym w:font="Symbol" w:char="F074"/>
      </w:r>
      <w:r w:rsidRPr="00654BA0">
        <w:rPr>
          <w:i/>
          <w:iCs/>
        </w:rPr>
        <w:t>]</w:t>
      </w:r>
      <w:r>
        <w:t xml:space="preserve">  </w:t>
      </w:r>
      <w:r>
        <w:tab/>
        <w:t xml:space="preserve"> (2)</w:t>
      </w:r>
    </w:p>
    <w:p w14:paraId="5554C7FC" w14:textId="77777777" w:rsidR="00AA6F51" w:rsidRDefault="00000000" w:rsidP="00654BA0">
      <w:pPr>
        <w:pStyle w:val="Paragraph"/>
      </w:pPr>
      <w:r>
        <w:t xml:space="preserve">here </w:t>
      </w:r>
      <w:r>
        <w:rPr>
          <w:rFonts w:ascii="Symbol" w:eastAsia="Symbol" w:hAnsi="Symbol" w:cs="Symbol"/>
          <w:i/>
        </w:rPr>
        <w:sym w:font="Symbol" w:char="F065"/>
      </w:r>
      <w:r>
        <w:rPr>
          <w:i/>
        </w:rPr>
        <w:t>(t) – t</w:t>
      </w:r>
      <w:r>
        <w:t xml:space="preserve"> is the total relative deformation produced in the time interval </w:t>
      </w:r>
      <w:r>
        <w:rPr>
          <w:i/>
        </w:rPr>
        <w:t>t</w:t>
      </w:r>
      <w:r>
        <w:rPr>
          <w:rFonts w:ascii="Symbol" w:eastAsia="Symbol" w:hAnsi="Symbol" w:cs="Symbol"/>
          <w:i/>
        </w:rPr>
        <w:sym w:font="Symbol" w:char="F064"/>
      </w:r>
      <w:r>
        <w:rPr>
          <w:i/>
        </w:rPr>
        <w:t>(t)</w:t>
      </w:r>
      <w:r>
        <w:t xml:space="preserve"> is the stress at any instant of time; t</w:t>
      </w:r>
      <w:r>
        <w:rPr>
          <w:b/>
          <w:color w:val="943634" w:themeColor="accent2" w:themeShade="BF"/>
        </w:rPr>
        <w:t xml:space="preserve"> </w:t>
      </w:r>
      <w:r>
        <w:t xml:space="preserve">is time; </w:t>
      </w:r>
      <w:r>
        <w:rPr>
          <w:rFonts w:ascii="Symbol" w:eastAsia="Symbol" w:hAnsi="Symbol" w:cs="Symbol"/>
          <w:i/>
        </w:rPr>
        <w:sym w:font="Symbol" w:char="F074"/>
      </w:r>
      <w:r>
        <w:t xml:space="preserve">  is the calculated time coordinate.</w:t>
      </w:r>
    </w:p>
    <w:p w14:paraId="3088F187" w14:textId="77777777" w:rsidR="00AA6F51" w:rsidRDefault="00000000" w:rsidP="00654BA0">
      <w:pPr>
        <w:pStyle w:val="berschrift1"/>
      </w:pPr>
      <w:r>
        <w:t>Discussions</w:t>
      </w:r>
    </w:p>
    <w:p w14:paraId="10A69FDD" w14:textId="77777777" w:rsidR="00AA6F51" w:rsidRDefault="00000000" w:rsidP="00654BA0">
      <w:pPr>
        <w:pStyle w:val="Paragraph"/>
      </w:pPr>
      <w:r>
        <w:t>Based on the creep theory, the following concepts and hypotheses were formulated regarding wood deformations under constant long-term load:</w:t>
      </w:r>
    </w:p>
    <w:p w14:paraId="634F9043" w14:textId="77777777" w:rsidR="00AA6F51" w:rsidRDefault="00000000" w:rsidP="00654BA0">
      <w:pPr>
        <w:pStyle w:val="Paragraph"/>
      </w:pPr>
      <w:r>
        <w:t xml:space="preserve">- </w:t>
      </w:r>
      <w:proofErr w:type="gramStart"/>
      <w:r>
        <w:t>despite the fact that</w:t>
      </w:r>
      <w:proofErr w:type="gramEnd"/>
      <w:r>
        <w:t xml:space="preserve"> wood is an anisotropic material by its nature, in calculations we assume it to be a homogeneous rigid </w:t>
      </w:r>
      <w:proofErr w:type="gramStart"/>
      <w:r>
        <w:t>material;</w:t>
      </w:r>
      <w:proofErr w:type="gramEnd"/>
    </w:p>
    <w:p w14:paraId="7E5E5645" w14:textId="77777777" w:rsidR="00AA6F51" w:rsidRDefault="00000000" w:rsidP="00654BA0">
      <w:pPr>
        <w:pStyle w:val="Paragraph"/>
      </w:pPr>
      <w:r>
        <w:t xml:space="preserve">- we assume that wood is a heterogeneous anisotropic material with non-uniform fibers, sometimes directed in different directions, with uniform deformation indices depending on the action of forces perpendicular to the trunk or at an </w:t>
      </w:r>
      <w:proofErr w:type="gramStart"/>
      <w:r>
        <w:t>angle;</w:t>
      </w:r>
      <w:proofErr w:type="gramEnd"/>
    </w:p>
    <w:p w14:paraId="04207F8B" w14:textId="77777777" w:rsidR="00AA6F51" w:rsidRDefault="00000000" w:rsidP="00654BA0">
      <w:pPr>
        <w:pStyle w:val="Paragraph"/>
      </w:pPr>
      <w:r>
        <w:t>- the following relationship exists between the total deformation of wood (elastic deformation and creep deformation) and stress:</w:t>
      </w:r>
    </w:p>
    <w:p w14:paraId="6DC9AF51" w14:textId="77777777" w:rsidR="00AA6F51" w:rsidRDefault="00000000" w:rsidP="00654BA0">
      <w:pPr>
        <w:pStyle w:val="Paragraph"/>
      </w:pPr>
      <w:r>
        <w:t xml:space="preserve">- there is a linear relationship between stress and creep </w:t>
      </w:r>
      <w:proofErr w:type="gramStart"/>
      <w:r>
        <w:t>deformation;</w:t>
      </w:r>
      <w:proofErr w:type="gramEnd"/>
    </w:p>
    <w:p w14:paraId="6D579CA0" w14:textId="77777777" w:rsidR="00AA6F51" w:rsidRDefault="00000000" w:rsidP="00654BA0">
      <w:pPr>
        <w:pStyle w:val="Paragraph"/>
      </w:pPr>
      <w:r>
        <w:t xml:space="preserve">- there is a negligible relationship between stress and creep </w:t>
      </w:r>
      <w:proofErr w:type="gramStart"/>
      <w:r>
        <w:t>deformation;</w:t>
      </w:r>
      <w:proofErr w:type="gramEnd"/>
    </w:p>
    <w:p w14:paraId="55209D09" w14:textId="77777777" w:rsidR="00AA6F51" w:rsidRDefault="00000000" w:rsidP="00654BA0">
      <w:pPr>
        <w:pStyle w:val="Paragraph"/>
      </w:pPr>
      <w:r>
        <w:t xml:space="preserve">- it is assumed that the absolute value of deformation depends on the sign of (inelastic) </w:t>
      </w:r>
      <w:proofErr w:type="gramStart"/>
      <w:r>
        <w:t>stress;</w:t>
      </w:r>
      <w:proofErr w:type="gramEnd"/>
    </w:p>
    <w:p w14:paraId="5F35464C" w14:textId="77777777" w:rsidR="00AA6F51" w:rsidRDefault="00000000" w:rsidP="00654BA0">
      <w:pPr>
        <w:pStyle w:val="Paragraph"/>
      </w:pPr>
      <w:r>
        <w:t xml:space="preserve">- it is assumed that creep deformation, as well as elastic deformation occurring at the given moment, is determined by the law of loading. Studies of deformation of wooden structures under long-term action of loads have shown that wood is considered a linearly creeping material in cases where its strength does not exceed the tensile strength, and </w:t>
      </w:r>
      <w:proofErr w:type="gramStart"/>
      <w:r>
        <w:t>taking into account</w:t>
      </w:r>
      <w:proofErr w:type="gramEnd"/>
      <w:r>
        <w:t xml:space="preserve"> the above assumptions and suppositions, linear creep of wood is determined. - for the first time for long-term loaded wood, the relationships between stress intensity factors and tangential stresses, as well as rapid crack propagation under combined action on tension or tearing, are determined.</w:t>
      </w:r>
    </w:p>
    <w:p w14:paraId="19D6BE42" w14:textId="77777777" w:rsidR="00AA6F51" w:rsidRDefault="00000000" w:rsidP="00654BA0">
      <w:pPr>
        <w:pStyle w:val="Paragraph"/>
      </w:pPr>
      <w:r>
        <w:t xml:space="preserve">The possibility of reducing the cost of materials for the structure </w:t>
      </w:r>
      <w:proofErr w:type="gramStart"/>
      <w:r>
        <w:t>taking into account</w:t>
      </w:r>
      <w:proofErr w:type="gramEnd"/>
      <w:r>
        <w:t xml:space="preserve"> the long-term action of loads from 10 to 25% has been established, and a qualitative picture of the peculiarity of long-term deformation of wooden structures has been explained.</w:t>
      </w:r>
    </w:p>
    <w:p w14:paraId="0724B635" w14:textId="77777777" w:rsidR="00AA6F51" w:rsidRDefault="00000000" w:rsidP="00654BA0">
      <w:pPr>
        <w:pStyle w:val="berschrift1"/>
      </w:pPr>
      <w:proofErr w:type="gramStart"/>
      <w:r>
        <w:t>REFERENCES</w:t>
      </w:r>
      <w:proofErr w:type="gramEnd"/>
      <w:r>
        <w:t>:</w:t>
      </w:r>
    </w:p>
    <w:p w14:paraId="266EBC23" w14:textId="63C4D537" w:rsidR="00AA6F51" w:rsidRDefault="00000000" w:rsidP="00654BA0">
      <w:pPr>
        <w:pStyle w:val="Reference"/>
      </w:pPr>
      <w:r>
        <w:t>K</w:t>
      </w:r>
      <w:r w:rsidR="00654BA0">
        <w:t xml:space="preserve">. </w:t>
      </w:r>
      <w:r>
        <w:t>P</w:t>
      </w:r>
      <w:r w:rsidR="00654BA0">
        <w:t>.</w:t>
      </w:r>
      <w:r>
        <w:t xml:space="preserve"> Pyatikrestovskiy, Sustained force deforming of structured materials</w:t>
      </w:r>
      <w:r w:rsidR="00654BA0">
        <w:t>,</w:t>
      </w:r>
      <w:r>
        <w:t xml:space="preserve"> Structural Mechanics </w:t>
      </w:r>
      <w:r w:rsidR="00654BA0" w:rsidRPr="00654BA0">
        <w:t>of Engineering Constructions</w:t>
      </w:r>
      <w:r w:rsidR="00654BA0">
        <w:t>,</w:t>
      </w:r>
      <w:r w:rsidR="00654BA0" w:rsidRPr="00654BA0">
        <w:t xml:space="preserve"> </w:t>
      </w:r>
      <w:r w:rsidR="00654BA0">
        <w:t>(</w:t>
      </w:r>
      <w:r>
        <w:t>2017</w:t>
      </w:r>
      <w:r w:rsidR="00654BA0">
        <w:t>).</w:t>
      </w:r>
      <w:r>
        <w:t xml:space="preserve"> - journals.rudn.ru.</w:t>
      </w:r>
    </w:p>
    <w:p w14:paraId="01345CFE" w14:textId="031FD59B" w:rsidR="00AA6F51" w:rsidRDefault="00000000" w:rsidP="00654BA0">
      <w:pPr>
        <w:pStyle w:val="Reference"/>
      </w:pPr>
      <w:r>
        <w:t>S</w:t>
      </w:r>
      <w:r w:rsidR="00654BA0">
        <w:t xml:space="preserve">. </w:t>
      </w:r>
      <w:r>
        <w:t>I</w:t>
      </w:r>
      <w:r w:rsidR="00654BA0">
        <w:t>.</w:t>
      </w:r>
      <w:r>
        <w:t xml:space="preserve"> Roshchina, A</w:t>
      </w:r>
      <w:r w:rsidR="00654BA0">
        <w:t xml:space="preserve">. </w:t>
      </w:r>
      <w:r>
        <w:t>Y</w:t>
      </w:r>
      <w:r w:rsidR="00654BA0">
        <w:t>.</w:t>
      </w:r>
      <w:r>
        <w:t xml:space="preserve"> Naichuk, </w:t>
      </w:r>
      <w:proofErr w:type="gramStart"/>
      <w:r>
        <w:t>The</w:t>
      </w:r>
      <w:proofErr w:type="gramEnd"/>
      <w:r>
        <w:t xml:space="preserve"> effect of eccentricity on the strength characteristics of glued rods made of steel cable reinforcement in solid wood</w:t>
      </w:r>
      <w:r w:rsidR="00654BA0">
        <w:t>,</w:t>
      </w:r>
      <w:r>
        <w:t xml:space="preserve"> IOP conference series …, </w:t>
      </w:r>
      <w:r w:rsidR="00654BA0">
        <w:t>(</w:t>
      </w:r>
      <w:r>
        <w:t>2020</w:t>
      </w:r>
      <w:r w:rsidR="00654BA0">
        <w:t>)</w:t>
      </w:r>
      <w:r>
        <w:t xml:space="preserve"> - iopscience.iop.org.</w:t>
      </w:r>
    </w:p>
    <w:p w14:paraId="50E01A52" w14:textId="3E5E4D37" w:rsidR="00AA6F51" w:rsidRDefault="00000000" w:rsidP="00654BA0">
      <w:pPr>
        <w:pStyle w:val="Reference"/>
      </w:pPr>
      <w:r>
        <w:t>A</w:t>
      </w:r>
      <w:r w:rsidR="00654BA0">
        <w:t>.</w:t>
      </w:r>
      <w:r>
        <w:t>D</w:t>
      </w:r>
      <w:r w:rsidR="00654BA0">
        <w:t>.</w:t>
      </w:r>
      <w:r>
        <w:t xml:space="preserve"> Platonov, T</w:t>
      </w:r>
      <w:r w:rsidR="00654BA0">
        <w:t>.</w:t>
      </w:r>
      <w:r>
        <w:t>K</w:t>
      </w:r>
      <w:r w:rsidR="00654BA0">
        <w:t>.</w:t>
      </w:r>
      <w:r>
        <w:t xml:space="preserve"> Kuryanova, Increasing the service life of sleepers made from birch wood</w:t>
      </w:r>
      <w:r w:rsidR="00654BA0">
        <w:t xml:space="preserve">, </w:t>
      </w:r>
      <w:r>
        <w:t xml:space="preserve">Series: Earth and …, </w:t>
      </w:r>
      <w:r w:rsidR="00654BA0">
        <w:t>(</w:t>
      </w:r>
      <w:r>
        <w:t>2019</w:t>
      </w:r>
      <w:r w:rsidR="00654BA0">
        <w:t>)</w:t>
      </w:r>
      <w:r>
        <w:t xml:space="preserve"> - iopscience.iop.org.</w:t>
      </w:r>
    </w:p>
    <w:p w14:paraId="405E8F69" w14:textId="06CD41A0" w:rsidR="00AA6F51" w:rsidRDefault="00000000" w:rsidP="00654BA0">
      <w:pPr>
        <w:pStyle w:val="Reference"/>
      </w:pPr>
      <w:r>
        <w:t xml:space="preserve">S. Svensson, S. Thelandersson and H. J. Larsen, Reliability of timber structures under long term loads //Materials and Structures/Matériaux et Constructions, Vol. </w:t>
      </w:r>
      <w:r w:rsidRPr="00654BA0">
        <w:rPr>
          <w:b/>
          <w:bCs/>
        </w:rPr>
        <w:t>32</w:t>
      </w:r>
      <w:r>
        <w:t>, pp 755-760</w:t>
      </w:r>
      <w:r w:rsidR="00654BA0">
        <w:t>, (1999)</w:t>
      </w:r>
      <w:r>
        <w:t>.</w:t>
      </w:r>
    </w:p>
    <w:p w14:paraId="06B0895D" w14:textId="5C425CF9" w:rsidR="00AA6F51" w:rsidRDefault="00654BA0" w:rsidP="00654BA0">
      <w:pPr>
        <w:pStyle w:val="Reference"/>
      </w:pPr>
      <w:r w:rsidRPr="00654BA0">
        <w:t xml:space="preserve">S. Kulman, L. Boiko, &amp; J. Sedliačik, </w:t>
      </w:r>
      <w:r>
        <w:t xml:space="preserve">Long-term strength prediction of </w:t>
      </w:r>
      <w:proofErr w:type="gramStart"/>
      <w:r>
        <w:t>wood based</w:t>
      </w:r>
      <w:proofErr w:type="gramEnd"/>
      <w:r>
        <w:t xml:space="preserve"> composites using the kinetic equations. Scientific Horizons, </w:t>
      </w:r>
      <w:r w:rsidRPr="00654BA0">
        <w:rPr>
          <w:b/>
          <w:bCs/>
        </w:rPr>
        <w:t>24</w:t>
      </w:r>
      <w:r>
        <w:t>(3), 9-18,</w:t>
      </w:r>
      <w:r w:rsidRPr="00654BA0">
        <w:rPr>
          <w:lang w:val="de-DE"/>
        </w:rPr>
        <w:t xml:space="preserve"> (2021).</w:t>
      </w:r>
    </w:p>
    <w:p w14:paraId="3D925C93" w14:textId="61960577" w:rsidR="00AA6F51" w:rsidRDefault="004F39AB" w:rsidP="00654BA0">
      <w:pPr>
        <w:pStyle w:val="Reference"/>
        <w:rPr>
          <w:rFonts w:eastAsia="BemtusT-Regular"/>
        </w:rPr>
      </w:pPr>
      <w:r>
        <w:rPr>
          <w:rFonts w:eastAsia="BemtusT-Regular"/>
        </w:rPr>
        <w:t>J. D. Barrett, and R. O. Foschi</w:t>
      </w:r>
      <w:proofErr w:type="gramStart"/>
      <w:r>
        <w:rPr>
          <w:rFonts w:eastAsia="BemtusT-Regular"/>
        </w:rPr>
        <w:t>, ,</w:t>
      </w:r>
      <w:proofErr w:type="gramEnd"/>
      <w:r>
        <w:rPr>
          <w:rFonts w:eastAsia="BemtusT-Regular"/>
        </w:rPr>
        <w:t xml:space="preserve"> ‘Duration of load and probability of failure in wood, part I and II’, </w:t>
      </w:r>
      <w:r>
        <w:rPr>
          <w:rFonts w:eastAsia="BemtusT-Regular"/>
          <w:i/>
          <w:iCs/>
        </w:rPr>
        <w:t xml:space="preserve">Canadian Journal of Civil Engineering </w:t>
      </w:r>
      <w:r w:rsidRPr="004F39AB">
        <w:rPr>
          <w:rFonts w:eastAsia="BemtusT-Regular"/>
          <w:b/>
        </w:rPr>
        <w:t>5</w:t>
      </w:r>
      <w:r>
        <w:rPr>
          <w:rFonts w:eastAsia="BemtusT-Regular"/>
          <w:b/>
          <w:bCs/>
        </w:rPr>
        <w:t xml:space="preserve"> </w:t>
      </w:r>
      <w:r>
        <w:rPr>
          <w:rFonts w:eastAsia="BemtusT-Regular"/>
        </w:rPr>
        <w:t>(4) 505-532, (1978).</w:t>
      </w:r>
    </w:p>
    <w:p w14:paraId="32F63830" w14:textId="06E46790" w:rsidR="00AA6F51" w:rsidRDefault="004F39AB" w:rsidP="00654BA0">
      <w:pPr>
        <w:pStyle w:val="Reference"/>
      </w:pPr>
      <w:r>
        <w:t xml:space="preserve">Yu. N. Rabotnov, On the mechanism of long-term destruction. </w:t>
      </w:r>
      <w:r w:rsidRPr="004F39AB">
        <w:t xml:space="preserve">Strength Issues of Materials and Structures, </w:t>
      </w:r>
      <w:r w:rsidRPr="004F39AB">
        <w:rPr>
          <w:b/>
          <w:bCs/>
        </w:rPr>
        <w:t>7</w:t>
      </w:r>
      <w:r>
        <w:t>, 5-7, (1959).</w:t>
      </w:r>
    </w:p>
    <w:p w14:paraId="2AD6598A" w14:textId="72E70289" w:rsidR="00AA6F51" w:rsidRDefault="004F39AB" w:rsidP="00654BA0">
      <w:pPr>
        <w:pStyle w:val="Reference"/>
      </w:pPr>
      <w:r>
        <w:lastRenderedPageBreak/>
        <w:t xml:space="preserve">A. N. Oblivin, I. V. Sapozhnikov &amp; M. V. Lopatnikov, Simulation of long-term strength of composite materials with wood filler. </w:t>
      </w:r>
      <w:r w:rsidRPr="004F39AB">
        <w:t>Forestry Bulletin</w:t>
      </w:r>
      <w:r>
        <w:rPr>
          <w:i/>
          <w:iCs/>
        </w:rPr>
        <w:t xml:space="preserve">, </w:t>
      </w:r>
      <w:r w:rsidRPr="004F39AB">
        <w:rPr>
          <w:b/>
          <w:bCs/>
        </w:rPr>
        <w:t>1</w:t>
      </w:r>
      <w:r>
        <w:t>, 6-11,</w:t>
      </w:r>
      <w:r w:rsidRPr="004F39AB">
        <w:t xml:space="preserve"> </w:t>
      </w:r>
      <w:r>
        <w:t>(2015).</w:t>
      </w:r>
    </w:p>
    <w:p w14:paraId="7C35BD46" w14:textId="35D6D10A" w:rsidR="00AA6F51" w:rsidRDefault="004F39AB" w:rsidP="00654BA0">
      <w:pPr>
        <w:pStyle w:val="Reference"/>
      </w:pPr>
      <w:r>
        <w:t xml:space="preserve">S. </w:t>
      </w:r>
      <w:r>
        <w:rPr>
          <w:rFonts w:eastAsia="BemtusT-Regular"/>
        </w:rPr>
        <w:t>Kulman</w:t>
      </w:r>
      <w:r>
        <w:t xml:space="preserve">, &amp; L. Boiko, Kinetic model of long durability of porous composite materials based on wood. </w:t>
      </w:r>
      <w:r w:rsidRPr="004F39AB">
        <w:t>Modern Structures of Metal and Wood,</w:t>
      </w:r>
      <w:r>
        <w:rPr>
          <w:i/>
          <w:iCs/>
        </w:rPr>
        <w:t xml:space="preserve"> </w:t>
      </w:r>
      <w:r w:rsidRPr="004F39AB">
        <w:rPr>
          <w:b/>
          <w:bCs/>
        </w:rPr>
        <w:t>19</w:t>
      </w:r>
      <w:r>
        <w:t>, 79-85,</w:t>
      </w:r>
      <w:r w:rsidRPr="004F39AB">
        <w:t xml:space="preserve"> </w:t>
      </w:r>
      <w:r>
        <w:t>(2015).</w:t>
      </w:r>
    </w:p>
    <w:p w14:paraId="34AB24D6" w14:textId="35E002F1" w:rsidR="00AA6F51" w:rsidRDefault="004F39AB" w:rsidP="00654BA0">
      <w:pPr>
        <w:pStyle w:val="Reference"/>
      </w:pPr>
      <w:r>
        <w:t>J.</w:t>
      </w:r>
      <w:r>
        <w:rPr>
          <w:rFonts w:eastAsia="BemtusT-Regular"/>
        </w:rPr>
        <w:t xml:space="preserve"> </w:t>
      </w:r>
      <w:r>
        <w:t xml:space="preserve">Winandy, Relating wood chemistry and strength: Part II. Fundamental relationships between changes in wood chemistry and strength of wood. </w:t>
      </w:r>
      <w:r w:rsidRPr="004F39AB">
        <w:t xml:space="preserve">Wood and Fiber Science, </w:t>
      </w:r>
      <w:r w:rsidRPr="004F39AB">
        <w:rPr>
          <w:b/>
          <w:bCs/>
        </w:rPr>
        <w:t>49</w:t>
      </w:r>
      <w:r>
        <w:t>(1), 2-11,</w:t>
      </w:r>
      <w:r w:rsidRPr="004F39AB">
        <w:t xml:space="preserve"> </w:t>
      </w:r>
      <w:r>
        <w:t>(2017).</w:t>
      </w:r>
    </w:p>
    <w:p w14:paraId="24B0E9B4" w14:textId="18C0D0D3" w:rsidR="00AA6F51" w:rsidRDefault="004F39AB" w:rsidP="00654BA0">
      <w:pPr>
        <w:pStyle w:val="Reference"/>
      </w:pPr>
      <w:r>
        <w:t xml:space="preserve">N. F. Bakhriev, N. R. Qurolova, Composite Wave Sheets from Basalt Fiber for Pitched. Lecture Notes in Civil Engineering, </w:t>
      </w:r>
      <w:r w:rsidRPr="004F39AB">
        <w:rPr>
          <w:b/>
          <w:bCs/>
        </w:rPr>
        <w:t>369</w:t>
      </w:r>
      <w:r>
        <w:t xml:space="preserve">, pp.3–17, 2024. </w:t>
      </w:r>
    </w:p>
    <w:p w14:paraId="32026E91" w14:textId="602CAE6B" w:rsidR="00AA6F51" w:rsidRDefault="00000000" w:rsidP="00654BA0">
      <w:pPr>
        <w:pStyle w:val="Reference"/>
      </w:pPr>
      <w:r>
        <w:t>B</w:t>
      </w:r>
      <w:r w:rsidR="004F39AB">
        <w:t>.</w:t>
      </w:r>
      <w:r>
        <w:t xml:space="preserve"> N</w:t>
      </w:r>
      <w:r w:rsidR="004F39AB">
        <w:t>.</w:t>
      </w:r>
      <w:r>
        <w:t xml:space="preserve"> Fakhritdinovich, Q</w:t>
      </w:r>
      <w:r w:rsidR="004F39AB">
        <w:t>.</w:t>
      </w:r>
      <w:r>
        <w:t xml:space="preserve"> N</w:t>
      </w:r>
      <w:r w:rsidR="004F39AB">
        <w:t>.</w:t>
      </w:r>
      <w:r>
        <w:t xml:space="preserve"> Ravshan kizi, </w:t>
      </w:r>
      <w:r w:rsidR="004F39AB">
        <w:t>Raw Mixture for Forming Flat and Wavy Sheet, Uz Fap</w:t>
      </w:r>
      <w:r>
        <w:t xml:space="preserve"> </w:t>
      </w:r>
      <w:proofErr w:type="gramStart"/>
      <w:r>
        <w:t>02222  Byul</w:t>
      </w:r>
      <w:proofErr w:type="gramEnd"/>
      <w:r>
        <w:t xml:space="preserve">., No. </w:t>
      </w:r>
      <w:r w:rsidRPr="004F39AB">
        <w:rPr>
          <w:b/>
          <w:bCs/>
        </w:rPr>
        <w:t>3</w:t>
      </w:r>
      <w:r w:rsidR="004F39AB">
        <w:t>,</w:t>
      </w:r>
      <w:r w:rsidR="004F39AB" w:rsidRPr="004F39AB">
        <w:t xml:space="preserve"> </w:t>
      </w:r>
      <w:r w:rsidR="004F39AB">
        <w:t>(2023).</w:t>
      </w:r>
    </w:p>
    <w:p w14:paraId="225871CA" w14:textId="46714B6F" w:rsidR="00AA6F51" w:rsidRDefault="00000000" w:rsidP="00654BA0">
      <w:pPr>
        <w:pStyle w:val="Reference"/>
      </w:pPr>
      <w:r>
        <w:t xml:space="preserve"> </w:t>
      </w:r>
      <w:r w:rsidR="004F39AB">
        <w:t xml:space="preserve">N. </w:t>
      </w:r>
      <w:r>
        <w:t xml:space="preserve">Bakhriev, </w:t>
      </w:r>
      <w:r w:rsidR="004F39AB">
        <w:t xml:space="preserve">Z. </w:t>
      </w:r>
      <w:r>
        <w:t>Fayzillaev, Modeling the optimal compositions of dry gypsum mixtures with bio-vegetable fillers, research of their adhesion properties, AIP Conf. Proc. 2657, 020029 (2022), https://doi.org/10.1063/5.0106902.</w:t>
      </w:r>
    </w:p>
    <w:p w14:paraId="3612264E" w14:textId="0367C2A9" w:rsidR="00AA6F51" w:rsidRDefault="00000000" w:rsidP="00654BA0">
      <w:pPr>
        <w:pStyle w:val="Reference"/>
      </w:pPr>
      <w:r>
        <w:t xml:space="preserve">N. F. Bakhriev, N. R. Qurolova, Composite wave sheets from basalt fiber for pitched roofing, Research and Developments in Engineering Research, Page 15-32, </w:t>
      </w:r>
      <w:hyperlink r:id="rId7">
        <w:r w:rsidR="00AA6F51">
          <w:rPr>
            <w:rStyle w:val="Hyperlink"/>
          </w:rPr>
          <w:t>https://doi.org/10.9734/bpi/rader/v3/5399C</w:t>
        </w:r>
      </w:hyperlink>
      <w:r>
        <w:t>.</w:t>
      </w:r>
    </w:p>
    <w:p w14:paraId="71544298" w14:textId="55DA8B54" w:rsidR="00AA6F51" w:rsidRDefault="00000000" w:rsidP="00654BA0">
      <w:pPr>
        <w:pStyle w:val="Reference"/>
      </w:pPr>
      <w:r>
        <w:t>Wood. Indicators of physical and mechanical properties. RTM. - M.: Committee of Standards under the USSR Council of Ministers, 48 p.</w:t>
      </w:r>
      <w:r w:rsidR="004F39AB" w:rsidRPr="004F39AB">
        <w:t xml:space="preserve"> </w:t>
      </w:r>
      <w:r w:rsidR="004F39AB">
        <w:t>(1962).</w:t>
      </w:r>
    </w:p>
    <w:sectPr w:rsidR="00AA6F51" w:rsidSect="00654BA0">
      <w:pgSz w:w="12242" w:h="15842" w:code="1"/>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BemtusT-Regular">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num w:numId="1" w16cid:durableId="1704359683">
    <w:abstractNumId w:val="0"/>
  </w:num>
  <w:num w:numId="2" w16cid:durableId="2038308458">
    <w:abstractNumId w:val="2"/>
  </w:num>
  <w:num w:numId="3" w16cid:durableId="318850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A6F51"/>
    <w:rsid w:val="00014AF7"/>
    <w:rsid w:val="002A6E7A"/>
    <w:rsid w:val="002C7CD2"/>
    <w:rsid w:val="004F39AB"/>
    <w:rsid w:val="00654BA0"/>
    <w:rsid w:val="008E3A93"/>
    <w:rsid w:val="00AA6F51"/>
    <w:rsid w:val="00B73106"/>
    <w:rsid w:val="00C846D4"/>
    <w:rsid w:val="00CC4F98"/>
    <w:rsid w:val="00CC6C8B"/>
    <w:rsid w:val="00D824BE"/>
    <w:rsid w:val="00FD440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EB6E6"/>
  <w15:docId w15:val="{C4E9BB80-3524-4CE3-8AED-60D92DB5B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FD440B"/>
    <w:pPr>
      <w:suppressAutoHyphens w:val="0"/>
      <w:jc w:val="both"/>
    </w:pPr>
    <w:rPr>
      <w:rFonts w:ascii="Times New Roman" w:eastAsia="Times New Roman" w:hAnsi="Times New Roman" w:cs="Times New Roman"/>
      <w:sz w:val="20"/>
      <w:szCs w:val="20"/>
      <w:lang w:val="en-US"/>
    </w:rPr>
  </w:style>
  <w:style w:type="paragraph" w:styleId="berschrift1">
    <w:name w:val="heading 1"/>
    <w:basedOn w:val="Standard"/>
    <w:next w:val="Paragraph"/>
    <w:link w:val="berschrift1Zchn"/>
    <w:qFormat/>
    <w:rsid w:val="00FD440B"/>
    <w:pPr>
      <w:keepNext/>
      <w:spacing w:before="240" w:after="240"/>
      <w:jc w:val="center"/>
      <w:outlineLvl w:val="0"/>
    </w:pPr>
    <w:rPr>
      <w:b/>
      <w:caps/>
      <w:sz w:val="24"/>
    </w:rPr>
  </w:style>
  <w:style w:type="paragraph" w:styleId="berschrift2">
    <w:name w:val="heading 2"/>
    <w:basedOn w:val="Standard"/>
    <w:next w:val="Paragraph"/>
    <w:link w:val="berschrift2Zchn"/>
    <w:qFormat/>
    <w:rsid w:val="00FD440B"/>
    <w:pPr>
      <w:keepNext/>
      <w:spacing w:before="240" w:after="240"/>
      <w:jc w:val="center"/>
      <w:outlineLvl w:val="1"/>
    </w:pPr>
    <w:rPr>
      <w:b/>
    </w:rPr>
  </w:style>
  <w:style w:type="paragraph" w:styleId="berschrift3">
    <w:name w:val="heading 3"/>
    <w:basedOn w:val="Standard"/>
    <w:next w:val="Standard"/>
    <w:link w:val="berschrift3Zchn"/>
    <w:qFormat/>
    <w:rsid w:val="00FD440B"/>
    <w:pPr>
      <w:keepNext/>
      <w:spacing w:before="240" w:after="240"/>
      <w:jc w:val="center"/>
      <w:outlineLvl w:val="2"/>
    </w:pPr>
    <w:rPr>
      <w:i/>
      <w:iCs/>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FD440B"/>
    <w:rPr>
      <w:color w:val="0000FF"/>
      <w:u w:val="single"/>
    </w:rPr>
  </w:style>
  <w:style w:type="character" w:customStyle="1" w:styleId="SprechblasentextZchn">
    <w:name w:val="Sprechblasentext Zchn"/>
    <w:basedOn w:val="Absatz-Standardschriftart"/>
    <w:link w:val="Sprechblasentext"/>
    <w:rsid w:val="00FD440B"/>
    <w:rPr>
      <w:rFonts w:ascii="Tahoma" w:eastAsia="Times New Roman" w:hAnsi="Tahoma" w:cs="Tahoma"/>
      <w:sz w:val="16"/>
      <w:szCs w:val="16"/>
      <w:lang w:val="en-US"/>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PaperTitle">
    <w:name w:val="Paper Title"/>
    <w:basedOn w:val="Standard"/>
    <w:next w:val="AuthorName"/>
    <w:rsid w:val="00FD440B"/>
    <w:pPr>
      <w:spacing w:before="1200"/>
      <w:jc w:val="center"/>
    </w:pPr>
    <w:rPr>
      <w:b/>
      <w:sz w:val="36"/>
    </w:rPr>
  </w:style>
  <w:style w:type="paragraph" w:customStyle="1" w:styleId="AuthorName">
    <w:name w:val="Author Name"/>
    <w:basedOn w:val="Standard"/>
    <w:next w:val="AuthorAffiliation"/>
    <w:rsid w:val="00FD440B"/>
    <w:pPr>
      <w:spacing w:before="360" w:after="360"/>
      <w:jc w:val="center"/>
    </w:pPr>
    <w:rPr>
      <w:sz w:val="28"/>
    </w:rPr>
  </w:style>
  <w:style w:type="paragraph" w:styleId="Listenabsatz">
    <w:name w:val="List Paragraph"/>
    <w:basedOn w:val="Standard"/>
    <w:uiPriority w:val="34"/>
    <w:rsid w:val="00FD440B"/>
    <w:pPr>
      <w:ind w:left="720"/>
      <w:contextualSpacing/>
    </w:pPr>
  </w:style>
  <w:style w:type="paragraph" w:styleId="Sprechblasentext">
    <w:name w:val="Balloon Text"/>
    <w:basedOn w:val="Standard"/>
    <w:link w:val="SprechblasentextZchn"/>
    <w:rsid w:val="00FD440B"/>
    <w:rPr>
      <w:rFonts w:ascii="Tahoma" w:hAnsi="Tahoma" w:cs="Tahoma"/>
      <w:sz w:val="16"/>
      <w:szCs w:val="16"/>
    </w:rPr>
  </w:style>
  <w:style w:type="table" w:styleId="Tabellenraster">
    <w:name w:val="Table Grid"/>
    <w:basedOn w:val="NormaleTabelle"/>
    <w:rsid w:val="00FD440B"/>
    <w:pPr>
      <w:suppressAutoHyphens w:val="0"/>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Standard"/>
    <w:next w:val="berschrift1"/>
    <w:rsid w:val="00FD440B"/>
    <w:pPr>
      <w:spacing w:before="360" w:after="360"/>
      <w:ind w:left="289" w:right="289"/>
    </w:pPr>
    <w:rPr>
      <w:sz w:val="18"/>
    </w:rPr>
  </w:style>
  <w:style w:type="character" w:customStyle="1" w:styleId="berschrift1Zchn">
    <w:name w:val="Überschrift 1 Zchn"/>
    <w:basedOn w:val="Absatz-Standardschriftart"/>
    <w:link w:val="berschrift1"/>
    <w:rsid w:val="00FD440B"/>
    <w:rPr>
      <w:rFonts w:ascii="Times New Roman" w:eastAsia="Times New Roman" w:hAnsi="Times New Roman" w:cs="Times New Roman"/>
      <w:b/>
      <w:caps/>
      <w:sz w:val="24"/>
      <w:szCs w:val="20"/>
      <w:lang w:val="en-US"/>
    </w:rPr>
  </w:style>
  <w:style w:type="paragraph" w:customStyle="1" w:styleId="AuthorAffiliation">
    <w:name w:val="Author Affiliation"/>
    <w:basedOn w:val="Standard"/>
    <w:rsid w:val="00FD440B"/>
    <w:pPr>
      <w:jc w:val="center"/>
    </w:pPr>
    <w:rPr>
      <w:i/>
    </w:rPr>
  </w:style>
  <w:style w:type="paragraph" w:customStyle="1" w:styleId="AuthorEmail">
    <w:name w:val="Author Email"/>
    <w:basedOn w:val="Standard"/>
    <w:qFormat/>
    <w:rsid w:val="00FD440B"/>
    <w:pPr>
      <w:jc w:val="center"/>
    </w:pPr>
  </w:style>
  <w:style w:type="paragraph" w:customStyle="1" w:styleId="Paragraph">
    <w:name w:val="Paragraph"/>
    <w:basedOn w:val="Standard"/>
    <w:rsid w:val="00FD440B"/>
    <w:pPr>
      <w:ind w:firstLine="284"/>
    </w:pPr>
  </w:style>
  <w:style w:type="paragraph" w:customStyle="1" w:styleId="Equation">
    <w:name w:val="Equation"/>
    <w:basedOn w:val="Paragraph"/>
    <w:rsid w:val="00FD440B"/>
    <w:pPr>
      <w:tabs>
        <w:tab w:val="center" w:pos="4320"/>
        <w:tab w:val="right" w:pos="9242"/>
      </w:tabs>
      <w:ind w:firstLine="0"/>
      <w:jc w:val="center"/>
    </w:pPr>
  </w:style>
  <w:style w:type="character" w:styleId="Fett">
    <w:name w:val="Strong"/>
    <w:basedOn w:val="Absatz-Standardschriftart"/>
    <w:uiPriority w:val="22"/>
    <w:qFormat/>
    <w:rsid w:val="00FD440B"/>
    <w:rPr>
      <w:b/>
      <w:bCs/>
    </w:rPr>
  </w:style>
  <w:style w:type="paragraph" w:customStyle="1" w:styleId="Figure">
    <w:name w:val="Figure"/>
    <w:basedOn w:val="Paragraph"/>
    <w:rsid w:val="00FD440B"/>
    <w:pPr>
      <w:keepNext/>
      <w:ind w:firstLine="0"/>
      <w:jc w:val="center"/>
    </w:pPr>
  </w:style>
  <w:style w:type="paragraph" w:customStyle="1" w:styleId="FigureCaption">
    <w:name w:val="Figure Caption"/>
    <w:next w:val="Paragraph"/>
    <w:rsid w:val="00FD440B"/>
    <w:pPr>
      <w:suppressAutoHyphens w:val="0"/>
      <w:spacing w:before="120"/>
      <w:jc w:val="center"/>
    </w:pPr>
    <w:rPr>
      <w:rFonts w:ascii="Times New Roman" w:eastAsia="Times New Roman" w:hAnsi="Times New Roman" w:cs="Times New Roman"/>
      <w:sz w:val="18"/>
      <w:szCs w:val="20"/>
      <w:lang w:val="en-US"/>
    </w:rPr>
  </w:style>
  <w:style w:type="paragraph" w:styleId="Funotentext">
    <w:name w:val="footnote text"/>
    <w:basedOn w:val="Standard"/>
    <w:link w:val="FunotentextZchn"/>
    <w:semiHidden/>
    <w:rsid w:val="00FD440B"/>
    <w:rPr>
      <w:sz w:val="16"/>
    </w:rPr>
  </w:style>
  <w:style w:type="character" w:customStyle="1" w:styleId="FunotentextZchn">
    <w:name w:val="Fußnotentext Zchn"/>
    <w:basedOn w:val="Absatz-Standardschriftart"/>
    <w:link w:val="Funotentext"/>
    <w:semiHidden/>
    <w:rsid w:val="00FD440B"/>
    <w:rPr>
      <w:rFonts w:ascii="Times New Roman" w:eastAsia="Times New Roman" w:hAnsi="Times New Roman" w:cs="Times New Roman"/>
      <w:sz w:val="16"/>
      <w:szCs w:val="20"/>
      <w:lang w:val="en-US"/>
    </w:rPr>
  </w:style>
  <w:style w:type="character" w:styleId="Funotenzeichen">
    <w:name w:val="footnote reference"/>
    <w:semiHidden/>
    <w:rsid w:val="00FD440B"/>
    <w:rPr>
      <w:vertAlign w:val="superscript"/>
    </w:rPr>
  </w:style>
  <w:style w:type="character" w:styleId="Hervorhebung">
    <w:name w:val="Emphasis"/>
    <w:basedOn w:val="Absatz-Standardschriftart"/>
    <w:uiPriority w:val="20"/>
    <w:qFormat/>
    <w:rsid w:val="00FD440B"/>
    <w:rPr>
      <w:i/>
      <w:iCs/>
    </w:rPr>
  </w:style>
  <w:style w:type="paragraph" w:styleId="Kommentartext">
    <w:name w:val="annotation text"/>
    <w:basedOn w:val="Standard"/>
    <w:link w:val="KommentartextZchn"/>
    <w:semiHidden/>
    <w:unhideWhenUsed/>
    <w:rsid w:val="00FD440B"/>
  </w:style>
  <w:style w:type="character" w:customStyle="1" w:styleId="KommentartextZchn">
    <w:name w:val="Kommentartext Zchn"/>
    <w:basedOn w:val="Absatz-Standardschriftart"/>
    <w:link w:val="Kommentartext"/>
    <w:semiHidden/>
    <w:rsid w:val="00FD440B"/>
    <w:rPr>
      <w:rFonts w:ascii="Times New Roman" w:eastAsia="Times New Roman" w:hAnsi="Times New Roman" w:cs="Times New Roman"/>
      <w:sz w:val="20"/>
      <w:szCs w:val="20"/>
      <w:lang w:val="en-US"/>
    </w:rPr>
  </w:style>
  <w:style w:type="paragraph" w:styleId="Kommentarthema">
    <w:name w:val="annotation subject"/>
    <w:basedOn w:val="Kommentartext"/>
    <w:next w:val="Kommentartext"/>
    <w:link w:val="KommentarthemaZchn"/>
    <w:semiHidden/>
    <w:unhideWhenUsed/>
    <w:rsid w:val="00FD440B"/>
    <w:rPr>
      <w:b/>
      <w:bCs/>
    </w:rPr>
  </w:style>
  <w:style w:type="character" w:customStyle="1" w:styleId="KommentarthemaZchn">
    <w:name w:val="Kommentarthema Zchn"/>
    <w:basedOn w:val="KommentartextZchn"/>
    <w:link w:val="Kommentarthema"/>
    <w:semiHidden/>
    <w:rsid w:val="00FD440B"/>
    <w:rPr>
      <w:rFonts w:ascii="Times New Roman" w:eastAsia="Times New Roman" w:hAnsi="Times New Roman" w:cs="Times New Roman"/>
      <w:b/>
      <w:bCs/>
      <w:sz w:val="20"/>
      <w:szCs w:val="20"/>
      <w:lang w:val="en-US"/>
    </w:rPr>
  </w:style>
  <w:style w:type="character" w:styleId="Kommentarzeichen">
    <w:name w:val="annotation reference"/>
    <w:basedOn w:val="Absatz-Standardschriftart"/>
    <w:semiHidden/>
    <w:unhideWhenUsed/>
    <w:rsid w:val="00FD440B"/>
    <w:rPr>
      <w:sz w:val="16"/>
      <w:szCs w:val="16"/>
    </w:rPr>
  </w:style>
  <w:style w:type="character" w:styleId="NichtaufgelsteErwhnung">
    <w:name w:val="Unresolved Mention"/>
    <w:basedOn w:val="Absatz-Standardschriftart"/>
    <w:uiPriority w:val="99"/>
    <w:semiHidden/>
    <w:unhideWhenUsed/>
    <w:rsid w:val="00FD440B"/>
    <w:rPr>
      <w:color w:val="808080"/>
      <w:shd w:val="clear" w:color="auto" w:fill="E6E6E6"/>
    </w:rPr>
  </w:style>
  <w:style w:type="paragraph" w:customStyle="1" w:styleId="Paragraphbulleted">
    <w:name w:val="Paragraph (bulleted)"/>
    <w:basedOn w:val="Paragraph"/>
    <w:rsid w:val="00FD440B"/>
    <w:pPr>
      <w:numPr>
        <w:numId w:val="1"/>
      </w:numPr>
    </w:pPr>
  </w:style>
  <w:style w:type="paragraph" w:customStyle="1" w:styleId="Paragraphnumbered">
    <w:name w:val="Paragraph (numbered)"/>
    <w:rsid w:val="00FD440B"/>
    <w:pPr>
      <w:numPr>
        <w:numId w:val="2"/>
      </w:numPr>
      <w:suppressAutoHyphens w:val="0"/>
      <w:jc w:val="both"/>
    </w:pPr>
    <w:rPr>
      <w:rFonts w:ascii="Times New Roman" w:eastAsia="Times New Roman" w:hAnsi="Times New Roman" w:cs="Times New Roman"/>
      <w:sz w:val="20"/>
      <w:szCs w:val="20"/>
      <w:lang w:val="en-US"/>
    </w:rPr>
  </w:style>
  <w:style w:type="paragraph" w:customStyle="1" w:styleId="Reference">
    <w:name w:val="Reference"/>
    <w:basedOn w:val="Paragraph"/>
    <w:rsid w:val="00FD440B"/>
    <w:pPr>
      <w:numPr>
        <w:numId w:val="3"/>
      </w:numPr>
    </w:pPr>
  </w:style>
  <w:style w:type="paragraph" w:styleId="StandardWeb">
    <w:name w:val="Normal (Web)"/>
    <w:basedOn w:val="Standard"/>
    <w:uiPriority w:val="99"/>
    <w:unhideWhenUsed/>
    <w:rsid w:val="00FD440B"/>
    <w:pPr>
      <w:spacing w:before="100" w:beforeAutospacing="1" w:after="100" w:afterAutospacing="1"/>
    </w:pPr>
    <w:rPr>
      <w:szCs w:val="24"/>
      <w:lang w:val="en-GB" w:eastAsia="en-GB"/>
    </w:rPr>
  </w:style>
  <w:style w:type="paragraph" w:customStyle="1" w:styleId="TableCaption">
    <w:name w:val="Table Caption"/>
    <w:basedOn w:val="FigureCaption"/>
    <w:qFormat/>
    <w:rsid w:val="00FD440B"/>
    <w:rPr>
      <w:szCs w:val="18"/>
    </w:rPr>
  </w:style>
  <w:style w:type="character" w:customStyle="1" w:styleId="berschrift2Zchn">
    <w:name w:val="Überschrift 2 Zchn"/>
    <w:basedOn w:val="Absatz-Standardschriftart"/>
    <w:link w:val="berschrift2"/>
    <w:rsid w:val="00FD440B"/>
    <w:rPr>
      <w:rFonts w:ascii="Times New Roman" w:eastAsia="Times New Roman" w:hAnsi="Times New Roman" w:cs="Times New Roman"/>
      <w:b/>
      <w:sz w:val="24"/>
      <w:szCs w:val="20"/>
      <w:lang w:val="en-US"/>
    </w:rPr>
  </w:style>
  <w:style w:type="character" w:customStyle="1" w:styleId="berschrift3Zchn">
    <w:name w:val="Überschrift 3 Zchn"/>
    <w:basedOn w:val="Absatz-Standardschriftart"/>
    <w:link w:val="berschrift3"/>
    <w:rsid w:val="00FD440B"/>
    <w:rPr>
      <w:rFonts w:ascii="Times New Roman" w:eastAsia="Times New Roman" w:hAnsi="Times New Roman" w:cs="Times New Roman"/>
      <w:i/>
      <w:i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9734/bpi/rader/v3/5399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BAB1DF-E23F-4B80-BB11-48BCDB99C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2288</Words>
  <Characters>12886</Characters>
  <Application>Microsoft Office Word</Application>
  <DocSecurity>0</DocSecurity>
  <Lines>247</Lines>
  <Paragraphs>150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dc:creator>
  <dc:description/>
  <cp:lastModifiedBy>TU-Pseudonym 5300993042411274</cp:lastModifiedBy>
  <cp:revision>21</cp:revision>
  <dcterms:created xsi:type="dcterms:W3CDTF">2025-09-23T10:38:00Z</dcterms:created>
  <dcterms:modified xsi:type="dcterms:W3CDTF">2025-11-29T10:35:00Z</dcterms:modified>
  <dc:language>en-US</dc:language>
</cp:coreProperties>
</file>