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39E47" w14:textId="77777777" w:rsidR="005874AA" w:rsidRPr="00A56EA8" w:rsidRDefault="00000000" w:rsidP="00A56EA8">
      <w:pPr>
        <w:pStyle w:val="PaperTitle"/>
      </w:pPr>
      <w:r w:rsidRPr="00A56EA8">
        <w:t>Inelastic Deformation and Damage Evolution of Light Alloys under Dynamic Punching</w:t>
      </w:r>
      <w:bookmarkStart w:id="0" w:name="__DdeLink__1308_2490685649"/>
    </w:p>
    <w:p w14:paraId="64B03872" w14:textId="64807D9D" w:rsidR="009B667A" w:rsidRDefault="00000000" w:rsidP="005874AA">
      <w:pPr>
        <w:pStyle w:val="AuthorName"/>
        <w:rPr>
          <w:b/>
        </w:rPr>
      </w:pPr>
      <w:r>
        <w:t>Vladimir V. Skripnyak</w:t>
      </w:r>
      <w:bookmarkEnd w:id="0"/>
      <w:r>
        <w:rPr>
          <w:vertAlign w:val="superscript"/>
        </w:rPr>
        <w:t>1, a)</w:t>
      </w:r>
      <w:r>
        <w:t>, Natalia V. Skripnyak</w:t>
      </w:r>
      <w:r>
        <w:rPr>
          <w:vertAlign w:val="superscript"/>
        </w:rPr>
        <w:t>1, b)</w:t>
      </w:r>
      <w:r>
        <w:rPr>
          <w:color w:val="1A1A1A"/>
          <w:szCs w:val="28"/>
          <w:lang w:eastAsia="ru-RU"/>
        </w:rPr>
        <w:t>, Maxim O. Chirkov</w:t>
      </w:r>
      <w:r>
        <w:rPr>
          <w:color w:val="1A1A1A"/>
          <w:szCs w:val="28"/>
          <w:vertAlign w:val="superscript"/>
          <w:lang w:eastAsia="ru-RU"/>
        </w:rPr>
        <w:t>1,c)</w:t>
      </w:r>
      <w:r>
        <w:rPr>
          <w:color w:val="1A1A1A"/>
          <w:szCs w:val="28"/>
          <w:lang w:eastAsia="ru-RU"/>
        </w:rPr>
        <w:t xml:space="preserve"> and</w:t>
      </w:r>
      <w:r w:rsidR="005874AA">
        <w:rPr>
          <w:color w:val="1A1A1A"/>
          <w:szCs w:val="28"/>
          <w:lang w:eastAsia="ru-RU"/>
        </w:rPr>
        <w:t xml:space="preserve"> </w:t>
      </w:r>
      <w:r>
        <w:rPr>
          <w:color w:val="1A1A1A"/>
          <w:szCs w:val="28"/>
          <w:lang w:eastAsia="ru-RU"/>
        </w:rPr>
        <w:t>Vladimir A. Skripnyak</w:t>
      </w:r>
      <w:r>
        <w:rPr>
          <w:color w:val="1A1A1A"/>
          <w:szCs w:val="28"/>
          <w:vertAlign w:val="superscript"/>
          <w:lang w:eastAsia="ru-RU"/>
        </w:rPr>
        <w:t xml:space="preserve">1,d) </w:t>
      </w:r>
    </w:p>
    <w:p w14:paraId="5838225C" w14:textId="305FDD95" w:rsidR="009B667A" w:rsidRDefault="00000000">
      <w:pPr>
        <w:pStyle w:val="AuthorAffiliation"/>
        <w:rPr>
          <w:color w:val="000000" w:themeColor="text1"/>
        </w:rPr>
      </w:pPr>
      <w:r w:rsidRPr="005874AA">
        <w:rPr>
          <w:i w:val="0"/>
          <w:color w:val="000000" w:themeColor="text1"/>
          <w:vertAlign w:val="superscript"/>
        </w:rPr>
        <w:t>1</w:t>
      </w:r>
      <w:bookmarkStart w:id="1" w:name="__DdeLink__807_2425029488"/>
      <w:r>
        <w:rPr>
          <w:color w:val="000000" w:themeColor="text1"/>
        </w:rPr>
        <w:t>National Research Tomsk State University</w:t>
      </w:r>
      <w:bookmarkEnd w:id="1"/>
      <w:r>
        <w:rPr>
          <w:color w:val="000000" w:themeColor="text1"/>
        </w:rPr>
        <w:t>, 36 Lenin Avenue, Tomsk, Russia, 634050</w:t>
      </w:r>
    </w:p>
    <w:p w14:paraId="79CC138B" w14:textId="77777777" w:rsidR="005874AA" w:rsidRDefault="005874AA">
      <w:pPr>
        <w:pStyle w:val="AuthorAffiliation"/>
        <w:rPr>
          <w:lang w:val="en-GB" w:eastAsia="en-GB"/>
        </w:rPr>
      </w:pPr>
    </w:p>
    <w:p w14:paraId="7BCC5D61" w14:textId="19F9A68F" w:rsidR="009B667A" w:rsidRPr="00A16A12" w:rsidRDefault="00000000" w:rsidP="00A16A12">
      <w:pPr>
        <w:pStyle w:val="AuthorEmail"/>
        <w:rPr>
          <w:rStyle w:val="Hyperlink"/>
          <w:color w:val="auto"/>
          <w:u w:val="none"/>
        </w:rPr>
      </w:pPr>
      <w:r w:rsidRPr="00A16A12">
        <w:rPr>
          <w:vertAlign w:val="superscript"/>
        </w:rPr>
        <w:t>a)</w:t>
      </w:r>
      <w:r w:rsidR="00A16A12" w:rsidRPr="00A16A12">
        <w:t xml:space="preserve"> </w:t>
      </w:r>
      <w:bookmarkStart w:id="2" w:name="__DdeLink__814_2425029488"/>
      <w:bookmarkStart w:id="3" w:name="__DdeLink__809_2425029488"/>
      <w:r w:rsidR="00A16A12" w:rsidRPr="00A16A12">
        <w:t>Corresponding author:</w:t>
      </w:r>
      <w:r w:rsidR="00A16A12">
        <w:t xml:space="preserve"> </w:t>
      </w:r>
      <w:r w:rsidR="00A16A12" w:rsidRPr="007C1D78">
        <w:t>skrp2012@yandex.ru</w:t>
      </w:r>
      <w:bookmarkEnd w:id="2"/>
      <w:bookmarkEnd w:id="3"/>
    </w:p>
    <w:p w14:paraId="6A27451A" w14:textId="1F555B82" w:rsidR="009B667A" w:rsidRPr="00A16A12" w:rsidRDefault="00000000" w:rsidP="00A16A12">
      <w:pPr>
        <w:pStyle w:val="AuthorEmail"/>
      </w:pPr>
      <w:r w:rsidRPr="00A16A12">
        <w:rPr>
          <w:vertAlign w:val="superscript"/>
        </w:rPr>
        <w:t>b)</w:t>
      </w:r>
      <w:r w:rsidR="00A16A12">
        <w:t xml:space="preserve"> </w:t>
      </w:r>
      <w:r w:rsidRPr="00A16A12">
        <w:t>natali.skrp@mail.ru,</w:t>
      </w:r>
    </w:p>
    <w:p w14:paraId="7F92E1D0" w14:textId="77777777" w:rsidR="009B667A" w:rsidRPr="00A16A12" w:rsidRDefault="00000000" w:rsidP="00A16A12">
      <w:pPr>
        <w:pStyle w:val="AuthorEmail"/>
      </w:pPr>
      <w:r w:rsidRPr="00A16A12">
        <w:rPr>
          <w:vertAlign w:val="superscript"/>
        </w:rPr>
        <w:t>c)</w:t>
      </w:r>
      <w:r w:rsidRPr="00A16A12">
        <w:t xml:space="preserve"> sashakir94@mail.ru,</w:t>
      </w:r>
    </w:p>
    <w:p w14:paraId="6B63D1AF" w14:textId="75A980A4" w:rsidR="005874AA" w:rsidRPr="00A16A12" w:rsidRDefault="00000000" w:rsidP="00A16A12">
      <w:pPr>
        <w:pStyle w:val="AuthorEmail"/>
      </w:pPr>
      <w:r w:rsidRPr="00A16A12">
        <w:rPr>
          <w:vertAlign w:val="superscript"/>
        </w:rPr>
        <w:t>d)</w:t>
      </w:r>
      <w:r w:rsidR="00A16A12" w:rsidRPr="00A16A12">
        <w:t xml:space="preserve"> </w:t>
      </w:r>
      <w:hyperlink r:id="rId9" w:history="1">
        <w:r w:rsidR="00A16A12" w:rsidRPr="00A16A12">
          <w:rPr>
            <w:rStyle w:val="Hyperlink"/>
            <w:color w:val="auto"/>
            <w:u w:val="none"/>
          </w:rPr>
          <w:t>skrp2006@yandex.ru</w:t>
        </w:r>
      </w:hyperlink>
    </w:p>
    <w:p w14:paraId="03B3C59C" w14:textId="22672E31" w:rsidR="009B667A" w:rsidRDefault="00000000" w:rsidP="005874AA">
      <w:pPr>
        <w:pStyle w:val="Abstract"/>
      </w:pPr>
      <w:r>
        <w:rPr>
          <w:b/>
          <w:bCs/>
        </w:rPr>
        <w:t>Abstract.</w:t>
      </w:r>
      <w:r>
        <w:t xml:space="preserve"> The results of research of mechanisms of nucleation and growth of damage of aluminum-magnesium or magnesium alloys during dynamic stamping and new obtained experimental data for modification of the constitutive and damage models are presented. The relevance of the research performed is due to the need achieving of high accuracy and adequate computer designing methods for predicting possible damage of construction under manufacturing or exploitation loadings of lightweight structures of transport equipment, space and aircraft from aluminum-magnesium and magnesium alloys with increased specific strength.  The deformation and crack formation under high-velocity punching of a steel indenter to plates made of AMg2 aluminum-magnesium alloys and MA2-1 magnesium alloy were simulated using the LS DYNA solver (ANSYS WB 19.2).</w:t>
      </w:r>
    </w:p>
    <w:p w14:paraId="22B0A47A" w14:textId="77777777" w:rsidR="009B667A" w:rsidRDefault="00000000">
      <w:pPr>
        <w:pStyle w:val="berschrift1"/>
      </w:pPr>
      <w:r>
        <w:t>Introduction</w:t>
      </w:r>
    </w:p>
    <w:p w14:paraId="6DA295A3" w14:textId="77777777" w:rsidR="009B667A" w:rsidRDefault="00000000">
      <w:pPr>
        <w:ind w:firstLine="289"/>
        <w:jc w:val="both"/>
        <w:rPr>
          <w:bCs/>
          <w:iCs/>
          <w:sz w:val="20"/>
          <w:lang w:eastAsia="ru-RU"/>
        </w:rPr>
      </w:pPr>
      <w:r>
        <w:rPr>
          <w:bCs/>
          <w:iCs/>
          <w:sz w:val="20"/>
          <w:lang w:eastAsia="ru-RU"/>
        </w:rPr>
        <w:t xml:space="preserve">Light alloys have low mass density, high specific strength characteristics, high mechanical damping properties, electromagnetic shielding capacity, high thermal conductivity, which makes them promising structural materials that can significantly reduce the weight of structures [1,2]. </w:t>
      </w:r>
    </w:p>
    <w:p w14:paraId="11538CB2" w14:textId="77777777" w:rsidR="009B667A" w:rsidRDefault="00000000">
      <w:pPr>
        <w:ind w:firstLine="289"/>
        <w:jc w:val="both"/>
        <w:rPr>
          <w:bCs/>
          <w:iCs/>
          <w:sz w:val="20"/>
          <w:lang w:eastAsia="ru-RU"/>
        </w:rPr>
      </w:pPr>
      <w:r>
        <w:rPr>
          <w:bCs/>
          <w:iCs/>
          <w:sz w:val="20"/>
          <w:lang w:eastAsia="ru-RU"/>
        </w:rPr>
        <w:t xml:space="preserve">In this regard, an important task is to obtain information on the mechanical behavior of structural light alloys in a wide range of loading conditions, including dynamic effects. It should be noted that magnesium alloys belong to the isomechanical subgroup of alloys with a hexagonal close-packed crystal lattice (HCP), the mechanical behavior of which differs from the behavior of other subgroups of HCP alloys [3]. To improve the accuracy of theoretical predictions obtained using numerical modeling of the mechanical behavior (deformation and fracture) of magnesium alloys under impact conditions, it is necessary to modify the governing equations and models of damage initiation and fracture [4, 5]. </w:t>
      </w:r>
    </w:p>
    <w:p w14:paraId="4D495384" w14:textId="77777777" w:rsidR="009B667A" w:rsidRDefault="00000000">
      <w:pPr>
        <w:ind w:firstLine="289"/>
        <w:jc w:val="both"/>
        <w:rPr>
          <w:bCs/>
          <w:iCs/>
          <w:sz w:val="20"/>
          <w:lang w:eastAsia="ru-RU"/>
        </w:rPr>
      </w:pPr>
      <w:r>
        <w:rPr>
          <w:bCs/>
          <w:iCs/>
          <w:sz w:val="20"/>
          <w:lang w:eastAsia="ru-RU"/>
        </w:rPr>
        <w:t>One of the important aspects of describing the mechanical behavior of deformable magnesium alloys under high-speed deformation of products is predicting the localization of plastic deformation and the development of damage. Studies have shown that both the equivalent strain rate and the stress state triaxiality parameter (ƞ= -p/</w:t>
      </w:r>
      <w:r>
        <w:rPr>
          <w:bCs/>
          <w:iCs/>
          <w:sz w:val="20"/>
          <w:lang w:val="ru-RU" w:eastAsia="ru-RU"/>
        </w:rPr>
        <w:t>σ</w:t>
      </w:r>
      <w:r>
        <w:rPr>
          <w:bCs/>
          <w:iCs/>
          <w:sz w:val="20"/>
          <w:vertAlign w:val="subscript"/>
          <w:lang w:eastAsia="ru-RU"/>
        </w:rPr>
        <w:t>eq</w:t>
      </w:r>
      <w:r>
        <w:rPr>
          <w:bCs/>
          <w:iCs/>
          <w:sz w:val="20"/>
          <w:lang w:eastAsia="ru-RU"/>
        </w:rPr>
        <w:t xml:space="preserve">, where p is the pressure and </w:t>
      </w:r>
      <w:r>
        <w:rPr>
          <w:bCs/>
          <w:iCs/>
          <w:sz w:val="20"/>
          <w:lang w:val="ru-RU" w:eastAsia="ru-RU"/>
        </w:rPr>
        <w:t>σ</w:t>
      </w:r>
      <w:r>
        <w:rPr>
          <w:bCs/>
          <w:iCs/>
          <w:sz w:val="20"/>
          <w:lang w:eastAsia="ru-RU"/>
        </w:rPr>
        <w:t xml:space="preserve">eq is the equivalent von Mises stress) have a significant effect on the conditions of damage and fracture of magnesium and aluminum alloys during high-speed deformation under punching [6]. </w:t>
      </w:r>
    </w:p>
    <w:p w14:paraId="1115DA67" w14:textId="77777777" w:rsidR="009B667A" w:rsidRDefault="00000000">
      <w:pPr>
        <w:ind w:firstLine="289"/>
        <w:jc w:val="both"/>
        <w:rPr>
          <w:bCs/>
          <w:iCs/>
          <w:sz w:val="20"/>
          <w:lang w:eastAsia="ru-RU"/>
        </w:rPr>
      </w:pPr>
      <w:r>
        <w:rPr>
          <w:bCs/>
          <w:iCs/>
          <w:sz w:val="20"/>
          <w:lang w:eastAsia="ru-RU"/>
        </w:rPr>
        <w:t>The aim of this work was to study the mechanical behavior of thin-sheet rolled AMg2 and MA2-1 alloys under biaxial tension during punching with a hemispherical indenter.</w:t>
      </w:r>
    </w:p>
    <w:p w14:paraId="0E686708" w14:textId="77777777" w:rsidR="009B667A" w:rsidRDefault="00000000">
      <w:pPr>
        <w:ind w:firstLine="289"/>
        <w:jc w:val="both"/>
        <w:rPr>
          <w:bCs/>
          <w:iCs/>
          <w:sz w:val="20"/>
          <w:lang w:eastAsia="ru-RU"/>
        </w:rPr>
      </w:pPr>
      <w:r>
        <w:rPr>
          <w:bCs/>
          <w:iCs/>
          <w:sz w:val="20"/>
          <w:lang w:eastAsia="ru-RU"/>
        </w:rPr>
        <w:t>The results of experimental and theoretical studies of the mechanical behavior of magnesium and aluminum alloys at high strain rates obtained in the work complement the data obtained earlier.</w:t>
      </w:r>
    </w:p>
    <w:p w14:paraId="56454791" w14:textId="77777777" w:rsidR="009B667A" w:rsidRDefault="00000000">
      <w:pPr>
        <w:pStyle w:val="berschrift1"/>
      </w:pPr>
      <w:r>
        <w:lastRenderedPageBreak/>
        <w:t>Materials and testing</w:t>
      </w:r>
    </w:p>
    <w:p w14:paraId="3AD75F37" w14:textId="77777777" w:rsidR="009B667A" w:rsidRDefault="00000000">
      <w:pPr>
        <w:ind w:firstLine="284"/>
        <w:jc w:val="both"/>
        <w:rPr>
          <w:bCs/>
          <w:iCs/>
          <w:sz w:val="20"/>
          <w:lang w:eastAsia="ru-RU"/>
        </w:rPr>
      </w:pPr>
      <w:r>
        <w:rPr>
          <w:bCs/>
          <w:iCs/>
          <w:sz w:val="20"/>
          <w:lang w:eastAsia="ru-RU"/>
        </w:rPr>
        <w:t>Tests on biaxial tension during punching by a hemispherical indenter of AMg2 aluminum alloy (Al 1520) and industrial magnesium MA2-1 (Mg–3Al–1Zn) alloy samples were carried out in accordance with ISO 8490-86 and ASTM E643-09 standards, as well as with INSTRON recommendations. The samples deformation, damage and fracture were studied under punching at velocities 0.1 ± 0.001 m/s, 1 ± 0.01 m/s, 5 ± 0.01 m/s and 10 ± 0.1 m/s. Changes of the force acting on the indenter, as well as maximum displacements in the contact zone during the tests were recorded with high time resolution. The load was recorded using a certified dynamic Kistler sensor.  A force sensor was installed in the indenter, and the sample was fixed in a clamping device moving at a specified speed. Five tests were done for each punching velocity. The rigidity of the Instron VHS 40/50-20 high-speed servo hydraulic test bench and the sample movement speed control system ensured loading of the samples with a high degree of constancy of the specified indentation speeds. The indenter movement speeds were recorded with a time resolution of 0.0001 s until the samples failed.</w:t>
      </w:r>
    </w:p>
    <w:p w14:paraId="736C9D24" w14:textId="77777777" w:rsidR="009B667A" w:rsidRDefault="00000000">
      <w:pPr>
        <w:ind w:firstLine="284"/>
        <w:jc w:val="both"/>
        <w:rPr>
          <w:bCs/>
          <w:iCs/>
          <w:sz w:val="20"/>
          <w:lang w:eastAsia="ru-RU"/>
        </w:rPr>
      </w:pPr>
      <w:r>
        <w:rPr>
          <w:bCs/>
          <w:iCs/>
          <w:sz w:val="20"/>
          <w:lang w:eastAsia="ru-RU"/>
        </w:rPr>
        <w:t>Industrial rolled polycrystalline aluminum alloy AMg2 (Al 1520 accordingly of GOST 17232–99) had the following chemical composition (wt.%): 2.2 % Mg, 0.06 % Mn, 0.5 % Fe, 0.4 % Si, 0.1 % Cu, Al – the rest, and the average grain size was equal to 40 ± 10 μm. Industrial rolled polycrystalline MA2-1 (Mg-3Al-1Zn) alloy have the chemical composition (wt. %): 93.7 % Mg, 4.36 % Al, 1.34 % Zn and 0.39 % Mn, and the average grain size was equal to 80 ± 10 μm.</w:t>
      </w:r>
    </w:p>
    <w:p w14:paraId="28D557F4" w14:textId="77777777" w:rsidR="009B667A" w:rsidRDefault="00000000">
      <w:pPr>
        <w:ind w:firstLine="284"/>
        <w:jc w:val="both"/>
        <w:rPr>
          <w:bCs/>
          <w:iCs/>
          <w:sz w:val="20"/>
          <w:lang w:eastAsia="ru-RU"/>
        </w:rPr>
      </w:pPr>
      <w:r>
        <w:rPr>
          <w:bCs/>
          <w:iCs/>
          <w:sz w:val="20"/>
          <w:lang w:eastAsia="ru-RU"/>
        </w:rPr>
        <w:t>The mass density of MA2-1 alloy was 1.79 g/cm</w:t>
      </w:r>
      <w:r>
        <w:rPr>
          <w:bCs/>
          <w:iCs/>
          <w:sz w:val="18"/>
          <w:lang w:eastAsia="ru-RU"/>
        </w:rPr>
        <w:t>3</w:t>
      </w:r>
      <w:r>
        <w:rPr>
          <w:bCs/>
          <w:iCs/>
          <w:sz w:val="20"/>
          <w:lang w:eastAsia="ru-RU"/>
        </w:rPr>
        <w:t xml:space="preserve">, under quasi-static loads at a temperature of 295 K, the alloy with an average grain size of 40 </w:t>
      </w:r>
      <w:r>
        <w:rPr>
          <w:bCs/>
          <w:iCs/>
          <w:sz w:val="20"/>
          <w:lang w:val="ru-RU" w:eastAsia="ru-RU"/>
        </w:rPr>
        <w:t>μ</w:t>
      </w:r>
      <w:r>
        <w:rPr>
          <w:bCs/>
          <w:iCs/>
          <w:sz w:val="20"/>
          <w:lang w:eastAsia="ru-RU"/>
        </w:rPr>
        <w:t xml:space="preserve">m had a yield strength of </w:t>
      </w:r>
      <w:r>
        <w:rPr>
          <w:bCs/>
          <w:iCs/>
          <w:sz w:val="20"/>
          <w:lang w:val="ru-RU" w:eastAsia="ru-RU"/>
        </w:rPr>
        <w:t>σ</w:t>
      </w:r>
      <w:r>
        <w:rPr>
          <w:bCs/>
          <w:iCs/>
          <w:sz w:val="20"/>
          <w:vertAlign w:val="subscript"/>
          <w:lang w:eastAsia="ru-RU"/>
        </w:rPr>
        <w:t xml:space="preserve">0.2 </w:t>
      </w:r>
      <w:r>
        <w:rPr>
          <w:bCs/>
          <w:iCs/>
          <w:sz w:val="20"/>
          <w:lang w:eastAsia="ru-RU"/>
        </w:rPr>
        <w:t xml:space="preserve">= 150 MPa, tensile strength UTS = 260–280 MPa, elongation before failure </w:t>
      </w:r>
      <w:r>
        <w:rPr>
          <w:bCs/>
          <w:iCs/>
          <w:sz w:val="20"/>
          <w:lang w:val="ru-RU" w:eastAsia="ru-RU"/>
        </w:rPr>
        <w:t>δ</w:t>
      </w:r>
      <w:r>
        <w:rPr>
          <w:bCs/>
          <w:iCs/>
          <w:sz w:val="20"/>
          <w:lang w:eastAsia="ru-RU"/>
        </w:rPr>
        <w:t xml:space="preserve"> ~ 5…12%.</w:t>
      </w:r>
    </w:p>
    <w:p w14:paraId="1B9BF872" w14:textId="77777777" w:rsidR="009B667A" w:rsidRDefault="00000000">
      <w:pPr>
        <w:ind w:firstLine="284"/>
        <w:jc w:val="both"/>
        <w:rPr>
          <w:bCs/>
          <w:iCs/>
          <w:sz w:val="20"/>
          <w:lang w:eastAsia="ru-RU"/>
        </w:rPr>
      </w:pPr>
      <w:r>
        <w:rPr>
          <w:bCs/>
          <w:iCs/>
          <w:sz w:val="20"/>
          <w:lang w:eastAsia="ru-RU"/>
        </w:rPr>
        <w:t>At the room temperature MA2-1 alloy have the shear modulus µ = 17 GPa, the Young's modulus E = 44.55 GPa, the Poisson's ratio υ = 0.35, the quasistatic yield strength σ</w:t>
      </w:r>
      <w:r>
        <w:rPr>
          <w:bCs/>
          <w:iCs/>
          <w:sz w:val="20"/>
          <w:vertAlign w:val="subscript"/>
          <w:lang w:eastAsia="ru-RU"/>
        </w:rPr>
        <w:t xml:space="preserve">0.2 </w:t>
      </w:r>
      <w:r>
        <w:rPr>
          <w:bCs/>
          <w:iCs/>
          <w:sz w:val="20"/>
          <w:lang w:eastAsia="ru-RU"/>
        </w:rPr>
        <w:t>= 150 ±5 MPa, the tensile strength σ</w:t>
      </w:r>
      <w:r>
        <w:rPr>
          <w:bCs/>
          <w:iCs/>
          <w:sz w:val="20"/>
          <w:vertAlign w:val="subscript"/>
          <w:lang w:eastAsia="ru-RU"/>
        </w:rPr>
        <w:t>UTS</w:t>
      </w:r>
      <w:r>
        <w:rPr>
          <w:bCs/>
          <w:iCs/>
          <w:sz w:val="20"/>
          <w:lang w:eastAsia="ru-RU"/>
        </w:rPr>
        <w:t xml:space="preserve"> = 250±10 MPa, the linear thermal expansion coefficient 26•10-6 K</w:t>
      </w:r>
      <w:r>
        <w:rPr>
          <w:bCs/>
          <w:iCs/>
          <w:sz w:val="20"/>
          <w:vertAlign w:val="superscript"/>
          <w:lang w:eastAsia="ru-RU"/>
        </w:rPr>
        <w:t>-1</w:t>
      </w:r>
      <w:r>
        <w:rPr>
          <w:bCs/>
          <w:iCs/>
          <w:sz w:val="20"/>
          <w:lang w:eastAsia="ru-RU"/>
        </w:rPr>
        <w:t>, specific heat capacity C</w:t>
      </w:r>
      <w:r>
        <w:rPr>
          <w:bCs/>
          <w:iCs/>
          <w:sz w:val="20"/>
          <w:vertAlign w:val="subscript"/>
          <w:lang w:eastAsia="ru-RU"/>
        </w:rPr>
        <w:t>p</w:t>
      </w:r>
      <w:r>
        <w:rPr>
          <w:bCs/>
          <w:iCs/>
          <w:sz w:val="20"/>
          <w:lang w:eastAsia="ru-RU"/>
        </w:rPr>
        <w:t>= 1088.5 J/(kg•K), and Taylor-Quinney coefficient β ≈ 0.4…0.6 [7].</w:t>
      </w:r>
    </w:p>
    <w:p w14:paraId="4996E7DC" w14:textId="77777777" w:rsidR="009B667A" w:rsidRDefault="00000000">
      <w:pPr>
        <w:ind w:firstLine="284"/>
        <w:jc w:val="both"/>
        <w:rPr>
          <w:bCs/>
          <w:iCs/>
          <w:sz w:val="20"/>
          <w:lang w:eastAsia="ru-RU"/>
        </w:rPr>
      </w:pPr>
      <w:r>
        <w:rPr>
          <w:bCs/>
          <w:iCs/>
          <w:sz w:val="20"/>
          <w:lang w:eastAsia="ru-RU"/>
        </w:rPr>
        <w:t>The samples of MA2-1 with the thickness of 2.0 ± 0.01 mm for the biaxial tensile under punching tests with a hemispherical indenter were cut perpendicular to the axis of symmetry from the rod with a diameter of 60 mm by the electro erosion method. The samples of AMg2 with the thickness of1.05 ± 0.05 mm and 60±0.2 mm diameter for punching by a hemispherical indenter were cut by the electro erosion method from thin sheet of the alloy.</w:t>
      </w:r>
    </w:p>
    <w:p w14:paraId="3D49B079" w14:textId="77777777" w:rsidR="009B667A" w:rsidRDefault="00000000">
      <w:pPr>
        <w:ind w:firstLine="284"/>
        <w:jc w:val="both"/>
        <w:rPr>
          <w:bCs/>
          <w:iCs/>
          <w:sz w:val="20"/>
          <w:lang w:eastAsia="ru-RU"/>
        </w:rPr>
      </w:pPr>
      <w:r>
        <w:rPr>
          <w:bCs/>
          <w:iCs/>
          <w:sz w:val="20"/>
          <w:lang w:eastAsia="ru-RU"/>
        </w:rPr>
        <w:t>Reducing the coefficient of friction between the samples and the indenter during punch tests was achieving by the surfaces of the samples was polished and using oil lubricant. IPF ER-3 lubricant (OOO Gazpromneft - lubricant, Moscow, Russia) was used between the indenter and the sample surface; it significantly reduces friction during stamping and has anti-seize properties.</w:t>
      </w:r>
    </w:p>
    <w:p w14:paraId="4F03EBB8" w14:textId="77777777" w:rsidR="009B667A" w:rsidRDefault="009B667A">
      <w:pPr>
        <w:ind w:firstLine="284"/>
        <w:jc w:val="both"/>
        <w:rPr>
          <w:bCs/>
          <w:iCs/>
          <w:sz w:val="20"/>
          <w:lang w:eastAsia="ru-RU"/>
        </w:rPr>
      </w:pPr>
    </w:p>
    <w:p w14:paraId="6476E2E9" w14:textId="77777777" w:rsidR="009B667A" w:rsidRDefault="00000000">
      <w:pPr>
        <w:pStyle w:val="berschrift1"/>
      </w:pPr>
      <w:r>
        <w:t>Numerical simulation</w:t>
      </w:r>
    </w:p>
    <w:p w14:paraId="3FEBE228" w14:textId="77777777" w:rsidR="009B667A" w:rsidRDefault="00000000">
      <w:pPr>
        <w:ind w:firstLine="284"/>
        <w:jc w:val="both"/>
        <w:rPr>
          <w:bCs/>
          <w:iCs/>
          <w:sz w:val="20"/>
          <w:lang w:eastAsia="ru-RU"/>
        </w:rPr>
      </w:pPr>
      <w:r>
        <w:rPr>
          <w:bCs/>
          <w:iCs/>
          <w:sz w:val="20"/>
          <w:lang w:eastAsia="ru-RU"/>
        </w:rPr>
        <w:t>Numerical modeling of plastic flow and damage development of alloys under dynamic punching of plates by a hemispherical indenter was carried out using the original UMAT module in the LS DYNA complex in ANSYS WB 19.2. The mechanical response of plates under punching described by the system of equations according the Lagrangian approach includes conservation equations of isotropic continual medium, kinematic relations, constitutive relations [8], relaxation equation for the deviator stress tensor [3], plastic potential in the modified Gurson-Tvergaard-Nedleman’s form [9], thermodynamic relations of determination of temperature changes during high strain rate deformation of alloys, Nedleman's damage kinetics equations [10].</w:t>
      </w:r>
    </w:p>
    <w:p w14:paraId="574FE661" w14:textId="77777777" w:rsidR="009B667A" w:rsidRDefault="00000000">
      <w:pPr>
        <w:ind w:firstLine="284"/>
        <w:jc w:val="both"/>
        <w:rPr>
          <w:bCs/>
          <w:iCs/>
          <w:sz w:val="20"/>
          <w:lang w:eastAsia="ru-RU"/>
        </w:rPr>
      </w:pPr>
      <w:r>
        <w:rPr>
          <w:bCs/>
          <w:iCs/>
          <w:sz w:val="20"/>
          <w:lang w:eastAsia="ru-RU"/>
        </w:rPr>
        <w:t>The flow stress of the alloy during damage development was described using the constitutive relation [9]:</w:t>
      </w:r>
    </w:p>
    <w:p w14:paraId="2F460CE1" w14:textId="3E7D8F3D" w:rsidR="009B667A" w:rsidRDefault="005874AA" w:rsidP="005874AA">
      <w:pPr>
        <w:pStyle w:val="Equation"/>
        <w:spacing w:before="200" w:after="200"/>
        <w:jc w:val="right"/>
      </w:pPr>
      <w:r>
        <w:tab/>
      </w:r>
      <m:oMath>
        <m:r>
          <m:rPr>
            <m:sty m:val="p"/>
          </m:rPr>
          <w:rPr>
            <w:rFonts w:ascii="Cambria Math" w:hAnsi="Cambria Math"/>
          </w:rPr>
          <m:t>(</m:t>
        </m:r>
        <m:sSubSup>
          <m:sSubSupPr>
            <m:ctrlPr>
              <w:rPr>
                <w:rFonts w:ascii="Cambria Math" w:hAnsi="Cambria Math"/>
              </w:rPr>
            </m:ctrlPr>
          </m:sSubSupPr>
          <m:e>
            <m:r>
              <w:rPr>
                <w:rFonts w:ascii="Cambria Math" w:hAnsi="Cambria Math"/>
              </w:rPr>
              <m:t>σ</m:t>
            </m:r>
          </m:e>
          <m:sub>
            <m:r>
              <m:rPr>
                <m:lit/>
                <m:nor/>
              </m:rPr>
              <m:t>eq</m:t>
            </m:r>
          </m:sub>
          <m:sup>
            <m:r>
              <m:rPr>
                <m:sty m:val="p"/>
              </m:rPr>
              <w:rPr>
                <w:rFonts w:ascii="Cambria Math" w:hAnsi="Cambria Math"/>
              </w:rPr>
              <m:t>2</m:t>
            </m:r>
          </m:sup>
        </m:sSubSup>
        <m:r>
          <m:rPr>
            <m:lit/>
            <m:nor/>
          </m:rPr>
          <m:t xml:space="preserve">/ </m:t>
        </m:r>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c</m:t>
            </m:r>
          </m:sup>
        </m:sSubSup>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t</m:t>
            </m:r>
          </m:sup>
        </m:sSubSup>
        <m:r>
          <m:rPr>
            <m:sty m:val="p"/>
          </m:rPr>
          <w:rPr>
            <w:rFonts w:ascii="Cambria Math" w:hAnsi="Cambria Math"/>
          </w:rPr>
          <m:t>)</m:t>
        </m:r>
        <m:sSub>
          <m:sSubPr>
            <m:ctrlPr>
              <w:rPr>
                <w:rFonts w:ascii="Cambria Math" w:hAnsi="Cambria Math"/>
              </w:rPr>
            </m:ctrlPr>
          </m:sSubPr>
          <m:e>
            <m:r>
              <m:rPr>
                <m:lit/>
                <m:nor/>
              </m:rPr>
              <m:t xml:space="preserve"> + 2q</m:t>
            </m:r>
          </m:e>
          <m:sub>
            <m:r>
              <m:rPr>
                <m:sty m:val="p"/>
              </m:rPr>
              <w:rPr>
                <w:rFonts w:ascii="Cambria Math" w:hAnsi="Cambria Math"/>
              </w:rPr>
              <m:t>1</m:t>
            </m:r>
          </m:sub>
        </m:sSub>
        <m:r>
          <m:rPr>
            <m:lit/>
            <m:nor/>
          </m:rPr>
          <m:t xml:space="preserve"> g* cosh</m:t>
        </m:r>
        <m:r>
          <m:rPr>
            <m:sty m:val="p"/>
          </m:rPr>
          <w:rPr>
            <w:rFonts w:ascii="Cambria Math" w:hAnsi="Cambria Math"/>
          </w:rPr>
          <m:t>[</m:t>
        </m:r>
        <m:sSub>
          <m:sSubPr>
            <m:ctrlPr>
              <w:rPr>
                <w:rFonts w:ascii="Cambria Math" w:hAnsi="Cambria Math"/>
              </w:rPr>
            </m:ctrlPr>
          </m:sSubPr>
          <m:e>
            <m:r>
              <m:rPr>
                <m:lit/>
                <m:nor/>
              </m:rPr>
              <m:t>-q</m:t>
            </m:r>
          </m:e>
          <m:sub>
            <m:r>
              <m:rPr>
                <m:sty m:val="p"/>
              </m:rPr>
              <w:rPr>
                <w:rFonts w:ascii="Cambria Math" w:hAnsi="Cambria Math"/>
              </w:rPr>
              <m:t>2</m:t>
            </m:r>
          </m:sub>
        </m:sSub>
        <m:r>
          <m:rPr>
            <m:lit/>
            <m:nor/>
          </m:rPr>
          <m:t xml:space="preserve"> p/</m:t>
        </m:r>
        <m:r>
          <m:rPr>
            <m:sty m:val="p"/>
          </m:rPr>
          <w:rPr>
            <w:rFonts w:ascii="Cambria Math" w:hAnsi="Cambria Math"/>
          </w:rPr>
          <m:t>(</m:t>
        </m:r>
        <m:r>
          <m:rPr>
            <m:lit/>
            <m:nor/>
          </m:rPr>
          <m:t xml:space="preserve">2 </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c</m:t>
                </m:r>
              </m:sup>
            </m:sSubSup>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t</m:t>
                </m:r>
              </m:sup>
            </m:sSubSup>
          </m:e>
        </m:rad>
        <m:r>
          <m:rPr>
            <m:sty m:val="p"/>
          </m:rPr>
          <w:rPr>
            <w:rFonts w:ascii="Cambria Math" w:hAnsi="Cambria Math"/>
          </w:rPr>
          <m:t>)]</m:t>
        </m:r>
        <m:r>
          <m:rPr>
            <m:lit/>
            <m:nor/>
          </m:rPr>
          <m:t>+</m:t>
        </m:r>
        <m:r>
          <m:rPr>
            <m:sty m:val="p"/>
          </m:rPr>
          <w:rPr>
            <w:rFonts w:ascii="Cambria Math" w:hAnsi="Cambria Math"/>
          </w:rPr>
          <m:t>(</m:t>
        </m:r>
        <m:r>
          <m:rPr>
            <m:lit/>
            <m:nor/>
          </m:rPr>
          <m:t>1 -g*</m:t>
        </m:r>
        <m:r>
          <m:rPr>
            <m:sty m:val="p"/>
          </m:rPr>
          <w:rPr>
            <w:rFonts w:ascii="Cambria Math" w:hAnsi="Cambria Math"/>
          </w:rPr>
          <m:t>)[3(</m:t>
        </m:r>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c</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t</m:t>
            </m:r>
          </m:sup>
        </m:sSubSup>
        <m:f>
          <m:fPr>
            <m:type m:val="lin"/>
            <m:ctrlPr>
              <w:rPr>
                <w:rFonts w:ascii="Cambria Math" w:hAnsi="Cambria Math"/>
              </w:rPr>
            </m:ctrlPr>
          </m:fPr>
          <m:num>
            <m:r>
              <m:rPr>
                <m:sty m:val="p"/>
              </m:rPr>
              <w:rPr>
                <w:rFonts w:ascii="Cambria Math" w:hAnsi="Cambria Math"/>
              </w:rPr>
              <m:t>)</m:t>
            </m:r>
          </m:num>
          <m:den>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c</m:t>
                </m:r>
              </m:sup>
            </m:sSubSup>
          </m:den>
        </m:f>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t</m:t>
            </m:r>
          </m:sup>
        </m:sSubSup>
        <m:r>
          <m:rPr>
            <m:sty m:val="p"/>
          </m:rPr>
          <w:rPr>
            <w:rFonts w:ascii="Cambria Math" w:hAnsi="Cambria Math"/>
          </w:rPr>
          <m:t>]</m:t>
        </m:r>
        <m:r>
          <m:rPr>
            <m:lit/>
            <m:nor/>
          </m:rPr>
          <m:t>p-1-</m:t>
        </m:r>
        <m:r>
          <m:rPr>
            <m:sty m:val="p"/>
          </m:rPr>
          <w:rPr>
            <w:rFonts w:ascii="Cambria Math" w:hAnsi="Cambria Math"/>
          </w:rPr>
          <m:t>(</m:t>
        </m:r>
        <m:sSub>
          <m:sSubPr>
            <m:ctrlPr>
              <w:rPr>
                <w:rFonts w:ascii="Cambria Math" w:hAnsi="Cambria Math"/>
              </w:rPr>
            </m:ctrlPr>
          </m:sSubPr>
          <m:e>
            <m:r>
              <m:rPr>
                <m:lit/>
                <m:nor/>
              </m:rPr>
              <m:t xml:space="preserve"> q</m:t>
            </m:r>
          </m:e>
          <m:sub>
            <m:r>
              <m:rPr>
                <m:sty m:val="p"/>
              </m:rPr>
              <w:rPr>
                <w:rFonts w:ascii="Cambria Math" w:hAnsi="Cambria Math"/>
              </w:rPr>
              <m:t>3</m:t>
            </m:r>
          </m:sub>
        </m:sSub>
        <m:r>
          <m:rPr>
            <m:sty m:val="p"/>
          </m:rPr>
          <w:rPr>
            <w:rFonts w:ascii="Cambria Math" w:hAnsi="Cambria Math"/>
          </w:rPr>
          <m:t>(</m:t>
        </m:r>
        <m:r>
          <m:rPr>
            <m:lit/>
            <m:nor/>
          </m:rPr>
          <m:t>g*</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lit/>
            <m:nor/>
          </m:rPr>
          <m:t xml:space="preserve"> = 0, </m:t>
        </m:r>
      </m:oMath>
      <w:r>
        <w:tab/>
      </w:r>
      <w:r w:rsidRPr="005874AA">
        <w:t>(1)</w:t>
      </w:r>
    </w:p>
    <w:p w14:paraId="2D68CDF6" w14:textId="77777777" w:rsidR="009B667A" w:rsidRDefault="00000000">
      <w:pPr>
        <w:ind w:firstLine="284"/>
        <w:jc w:val="both"/>
        <w:rPr>
          <w:bCs/>
          <w:iCs/>
          <w:sz w:val="20"/>
          <w:lang w:eastAsia="ru-RU"/>
        </w:rPr>
      </w:pPr>
      <w:r>
        <w:rPr>
          <w:bCs/>
          <w:iCs/>
          <w:sz w:val="20"/>
          <w:lang w:eastAsia="ru-RU"/>
        </w:rPr>
        <w:t xml:space="preserve">where </w:t>
      </w:r>
      <w:r>
        <w:rPr>
          <w:bCs/>
          <w:iCs/>
          <w:sz w:val="20"/>
          <w:lang w:val="ru-RU" w:eastAsia="ru-RU"/>
        </w:rPr>
        <w:t>σ</w:t>
      </w:r>
      <w:r>
        <w:rPr>
          <w:bCs/>
          <w:iCs/>
          <w:sz w:val="20"/>
          <w:vertAlign w:val="subscript"/>
          <w:lang w:eastAsia="ru-RU"/>
        </w:rPr>
        <w:t>eq</w:t>
      </w:r>
      <w:r>
        <w:rPr>
          <w:bCs/>
          <w:iCs/>
          <w:sz w:val="20"/>
          <w:lang w:eastAsia="ru-RU"/>
        </w:rPr>
        <w:t xml:space="preserve"> is the equivalent von Mises stress, </w:t>
      </w:r>
      <w:r>
        <w:rPr>
          <w:bCs/>
          <w:iCs/>
          <w:sz w:val="20"/>
          <w:lang w:val="ru-RU" w:eastAsia="ru-RU"/>
        </w:rPr>
        <w:t>σ</w:t>
      </w:r>
      <w:r>
        <w:rPr>
          <w:bCs/>
          <w:iCs/>
          <w:sz w:val="20"/>
          <w:vertAlign w:val="superscript"/>
          <w:lang w:eastAsia="ru-RU"/>
        </w:rPr>
        <w:t>c</w:t>
      </w:r>
      <w:r>
        <w:rPr>
          <w:bCs/>
          <w:iCs/>
          <w:sz w:val="20"/>
          <w:vertAlign w:val="subscript"/>
          <w:lang w:eastAsia="ru-RU"/>
        </w:rPr>
        <w:t>s</w:t>
      </w:r>
      <w:r>
        <w:rPr>
          <w:bCs/>
          <w:iCs/>
          <w:sz w:val="20"/>
          <w:lang w:eastAsia="ru-RU"/>
        </w:rPr>
        <w:t xml:space="preserve"> is the yield strength under compression, </w:t>
      </w:r>
      <w:r>
        <w:rPr>
          <w:bCs/>
          <w:iCs/>
          <w:sz w:val="20"/>
          <w:lang w:val="ru-RU" w:eastAsia="ru-RU"/>
        </w:rPr>
        <w:t>σ</w:t>
      </w:r>
      <w:r>
        <w:rPr>
          <w:bCs/>
          <w:iCs/>
          <w:sz w:val="20"/>
          <w:vertAlign w:val="superscript"/>
          <w:lang w:eastAsia="ru-RU"/>
        </w:rPr>
        <w:t>t</w:t>
      </w:r>
      <w:r>
        <w:rPr>
          <w:bCs/>
          <w:iCs/>
          <w:sz w:val="20"/>
          <w:vertAlign w:val="subscript"/>
          <w:lang w:eastAsia="ru-RU"/>
        </w:rPr>
        <w:t>s</w:t>
      </w:r>
      <w:r>
        <w:rPr>
          <w:bCs/>
          <w:iCs/>
          <w:sz w:val="20"/>
          <w:lang w:eastAsia="ru-RU"/>
        </w:rPr>
        <w:t xml:space="preserve"> is the yield strength under tension, p is the pressure, q</w:t>
      </w:r>
      <w:r>
        <w:rPr>
          <w:bCs/>
          <w:iCs/>
          <w:sz w:val="20"/>
          <w:vertAlign w:val="subscript"/>
          <w:lang w:eastAsia="ru-RU"/>
        </w:rPr>
        <w:t>1</w:t>
      </w:r>
      <w:r>
        <w:rPr>
          <w:bCs/>
          <w:iCs/>
          <w:sz w:val="20"/>
          <w:lang w:eastAsia="ru-RU"/>
        </w:rPr>
        <w:t>, q</w:t>
      </w:r>
      <w:r>
        <w:rPr>
          <w:bCs/>
          <w:iCs/>
          <w:sz w:val="20"/>
          <w:vertAlign w:val="subscript"/>
          <w:lang w:eastAsia="ru-RU"/>
        </w:rPr>
        <w:t>2</w:t>
      </w:r>
      <w:r>
        <w:rPr>
          <w:bCs/>
          <w:iCs/>
          <w:sz w:val="20"/>
          <w:lang w:eastAsia="ru-RU"/>
        </w:rPr>
        <w:t xml:space="preserve"> and q</w:t>
      </w:r>
      <w:r>
        <w:rPr>
          <w:bCs/>
          <w:iCs/>
          <w:sz w:val="20"/>
          <w:vertAlign w:val="subscript"/>
          <w:lang w:eastAsia="ru-RU"/>
        </w:rPr>
        <w:t>3</w:t>
      </w:r>
      <w:r>
        <w:rPr>
          <w:bCs/>
          <w:iCs/>
          <w:sz w:val="20"/>
          <w:lang w:eastAsia="ru-RU"/>
        </w:rPr>
        <w:t xml:space="preserve"> are the model parameters, and g* is the material damage parameter.</w:t>
      </w:r>
    </w:p>
    <w:p w14:paraId="28B20F04" w14:textId="77777777" w:rsidR="009B667A" w:rsidRDefault="00000000">
      <w:pPr>
        <w:ind w:firstLine="284"/>
        <w:jc w:val="both"/>
        <w:rPr>
          <w:bCs/>
          <w:iCs/>
          <w:sz w:val="20"/>
          <w:lang w:eastAsia="ru-RU"/>
        </w:rPr>
      </w:pPr>
      <w:r>
        <w:rPr>
          <w:bCs/>
          <w:iCs/>
          <w:sz w:val="20"/>
          <w:lang w:eastAsia="ru-RU"/>
        </w:rPr>
        <w:t>The material in the contact zone with the punch interaction of plate is deformed under compression, while on the back side of the plate, the material is under tension.</w:t>
      </w:r>
    </w:p>
    <w:p w14:paraId="51F6CC37" w14:textId="77777777" w:rsidR="009B667A" w:rsidRDefault="00000000">
      <w:pPr>
        <w:ind w:firstLine="284"/>
        <w:jc w:val="both"/>
        <w:rPr>
          <w:bCs/>
          <w:iCs/>
          <w:sz w:val="20"/>
          <w:lang w:eastAsia="ru-RU"/>
        </w:rPr>
      </w:pPr>
      <w:r>
        <w:rPr>
          <w:bCs/>
          <w:iCs/>
          <w:sz w:val="20"/>
          <w:lang w:eastAsia="ru-RU"/>
        </w:rPr>
        <w:t>Since magnesium alloys exhibit significant asymmetry in their resistance to plastic deformation under compression and tension, the plastic potential was adopted in the form (1).</w:t>
      </w:r>
    </w:p>
    <w:p w14:paraId="040549ED" w14:textId="77777777" w:rsidR="009B667A" w:rsidRDefault="00000000">
      <w:pPr>
        <w:ind w:firstLine="284"/>
        <w:jc w:val="both"/>
        <w:rPr>
          <w:bCs/>
          <w:iCs/>
          <w:sz w:val="20"/>
          <w:lang w:eastAsia="ru-RU"/>
        </w:rPr>
      </w:pPr>
      <w:r>
        <w:rPr>
          <w:bCs/>
          <w:iCs/>
          <w:sz w:val="20"/>
          <w:lang w:eastAsia="ru-RU"/>
        </w:rPr>
        <w:lastRenderedPageBreak/>
        <w:t>Aluminum alloys exhibit very slight asymmetry in their resistance to plastic deformation under compression and tension. If the alloy's yield strengths under tension and compression are the same, equation (1) is reduced to the traditional Gurson-Tvergaard-Needleman form [10].</w:t>
      </w:r>
    </w:p>
    <w:p w14:paraId="59F1CACF" w14:textId="77777777" w:rsidR="009B667A" w:rsidRDefault="00000000">
      <w:pPr>
        <w:ind w:firstLine="284"/>
        <w:jc w:val="both"/>
        <w:rPr>
          <w:bCs/>
          <w:iCs/>
          <w:sz w:val="20"/>
          <w:lang w:eastAsia="ru-RU"/>
        </w:rPr>
      </w:pPr>
      <w:r>
        <w:rPr>
          <w:bCs/>
          <w:iCs/>
          <w:sz w:val="20"/>
          <w:lang w:eastAsia="ru-RU"/>
        </w:rPr>
        <w:t xml:space="preserve">A modification of the Zerilli-Armstrong equation of state for magnesium alloys with an HCP lattice to describe the dependence of </w:t>
      </w:r>
      <w:r>
        <w:rPr>
          <w:bCs/>
          <w:iCs/>
          <w:sz w:val="20"/>
          <w:lang w:val="ru-RU" w:eastAsia="ru-RU"/>
        </w:rPr>
        <w:t>σ</w:t>
      </w:r>
      <w:r>
        <w:rPr>
          <w:bCs/>
          <w:iCs/>
          <w:sz w:val="20"/>
          <w:lang w:eastAsia="ru-RU"/>
        </w:rPr>
        <w:t>s on the strain rate, equivalent plastic strain and temperature was used in the form (3) [8]:</w:t>
      </w:r>
    </w:p>
    <w:p w14:paraId="2BFE4C81" w14:textId="4A8C0008" w:rsidR="009B667A" w:rsidRDefault="005874AA">
      <w:pPr>
        <w:pStyle w:val="Equation"/>
        <w:spacing w:before="200" w:after="200"/>
        <w:jc w:val="right"/>
      </w:pPr>
      <w:r>
        <w:tab/>
      </w:r>
      <m:oMath>
        <m:sSub>
          <m:sSubPr>
            <m:ctrlPr>
              <w:rPr>
                <w:rFonts w:ascii="Cambria Math" w:hAnsi="Cambria Math"/>
              </w:rPr>
            </m:ctrlPr>
          </m:sSubPr>
          <m:e>
            <m:r>
              <w:rPr>
                <w:rFonts w:ascii="Cambria Math" w:hAnsi="Cambria Math"/>
              </w:rPr>
              <m:t>σ</m:t>
            </m:r>
          </m:e>
          <m:sub>
            <m:r>
              <w:rPr>
                <w:rFonts w:ascii="Cambria Math" w:hAnsi="Cambria Math"/>
              </w:rPr>
              <m:t>s</m:t>
            </m:r>
          </m:sub>
        </m:sSub>
        <m:r>
          <m:rPr>
            <m:lit/>
            <m:nor/>
          </m:rPr>
          <w:rPr>
            <w:rFonts w:ascii="Cambria Math" w:hAnsi="Cambria Math"/>
          </w:rPr>
          <m:t>=</m:t>
        </m:r>
        <m:sSub>
          <m:sSubPr>
            <m:ctrlPr>
              <w:rPr>
                <w:rFonts w:ascii="Cambria Math" w:hAnsi="Cambria Math"/>
              </w:rPr>
            </m:ctrlPr>
          </m:sSubPr>
          <m:e>
            <m:r>
              <w:rPr>
                <w:rFonts w:ascii="Cambria Math" w:hAnsi="Cambria Math"/>
              </w:rPr>
              <m:t>σ</m:t>
            </m:r>
          </m:e>
          <m:sub>
            <m:r>
              <m:rPr>
                <m:lit/>
                <m:nor/>
              </m:rPr>
              <w:rPr>
                <w:rFonts w:ascii="Cambria Math" w:hAnsi="Cambria Math"/>
              </w:rPr>
              <m:t>s0</m:t>
            </m:r>
          </m:sub>
        </m:sSub>
        <m:r>
          <m:rPr>
            <m:lit/>
            <m:nor/>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5</m:t>
            </m:r>
          </m:sub>
        </m:sSub>
        <m:r>
          <w:rPr>
            <w:rFonts w:ascii="Cambria Math" w:hAnsi="Cambria Math"/>
          </w:rPr>
          <m:t>(</m:t>
        </m:r>
        <m:sSubSup>
          <m:sSubSupPr>
            <m:ctrlPr>
              <w:rPr>
                <w:rFonts w:ascii="Cambria Math" w:hAnsi="Cambria Math"/>
              </w:rPr>
            </m:ctrlPr>
          </m:sSubSupPr>
          <m:e>
            <m:r>
              <w:rPr>
                <w:rFonts w:ascii="Cambria Math" w:hAnsi="Cambria Math"/>
              </w:rPr>
              <m:t>ε</m:t>
            </m:r>
          </m:e>
          <m:sub>
            <m:r>
              <m:rPr>
                <m:lit/>
                <m:nor/>
              </m:rPr>
              <w:rPr>
                <w:rFonts w:ascii="Cambria Math" w:hAnsi="Cambria Math"/>
              </w:rPr>
              <m:t>eq</m:t>
            </m:r>
          </m:sub>
          <m:sup>
            <m:r>
              <w:rPr>
                <w:rFonts w:ascii="Cambria Math" w:hAnsi="Cambria Math"/>
              </w:rPr>
              <m:t>p</m:t>
            </m:r>
          </m:sup>
        </m:sSubSup>
        <m:sSup>
          <m:sSupPr>
            <m:ctrlPr>
              <w:rPr>
                <w:rFonts w:ascii="Cambria Math" w:hAnsi="Cambria Math"/>
              </w:rPr>
            </m:ctrlPr>
          </m:sSupPr>
          <m:e>
            <m:r>
              <w:rPr>
                <w:rFonts w:ascii="Cambria Math" w:hAnsi="Cambria Math"/>
              </w:rPr>
              <m:t>)</m:t>
            </m:r>
          </m:e>
          <m:sup>
            <m:r>
              <w:rPr>
                <w:rFonts w:ascii="Cambria Math" w:hAnsi="Cambria Math"/>
              </w:rPr>
              <m:t>n</m:t>
            </m:r>
          </m:sup>
        </m:sSup>
        <m:r>
          <m:rPr>
            <m:lit/>
            <m:nor/>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r>
              <m:rPr>
                <m:lit/>
                <m:nor/>
              </m:rPr>
              <w:rPr>
                <w:rFonts w:ascii="Cambria Math" w:hAnsi="Cambria Math"/>
              </w:rPr>
              <m:t xml:space="preserve"> </m:t>
            </m:r>
          </m:sub>
        </m:sSub>
        <m:r>
          <m:rPr>
            <m:lit/>
            <m:nor/>
          </m:rPr>
          <w:rPr>
            <w:rFonts w:ascii="Cambria Math" w:hAnsi="Cambria Math"/>
          </w:rPr>
          <m:t>exp</m:t>
        </m:r>
        <m:d>
          <m:dPr>
            <m:begChr m:val="{"/>
            <m:endChr m:val="}"/>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3</m:t>
                </m:r>
              </m:sub>
            </m:sSub>
            <m:r>
              <w:rPr>
                <w:rFonts w:ascii="Cambria Math" w:hAnsi="Cambria Math"/>
              </w:rPr>
              <m:t>T</m:t>
            </m:r>
            <m:r>
              <m:rPr>
                <m:lit/>
                <m:nor/>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4</m:t>
                </m:r>
              </m:sub>
            </m:sSub>
            <m:r>
              <w:rPr>
                <w:rFonts w:ascii="Cambria Math" w:hAnsi="Cambria Math"/>
              </w:rPr>
              <m:t>T</m:t>
            </m:r>
            <m:r>
              <m:rPr>
                <m:lit/>
                <m:nor/>
              </m:rPr>
              <w:rPr>
                <w:rFonts w:ascii="Cambria Math" w:hAnsi="Cambria Math"/>
              </w:rPr>
              <m:t xml:space="preserve"> ln</m:t>
            </m:r>
            <m:r>
              <w:rPr>
                <w:rFonts w:ascii="Cambria Math" w:hAnsi="Cambria Math"/>
              </w:rPr>
              <m:t>(</m:t>
            </m:r>
            <m:acc>
              <m:accPr>
                <m:chr m:val="˙"/>
                <m:ctrlPr>
                  <w:rPr>
                    <w:rFonts w:ascii="Cambria Math" w:hAnsi="Cambria Math"/>
                  </w:rPr>
                </m:ctrlPr>
              </m:accPr>
              <m:e>
                <m:r>
                  <w:rPr>
                    <w:rFonts w:ascii="Cambria Math" w:hAnsi="Cambria Math"/>
                  </w:rPr>
                  <m:t>ε</m:t>
                </m:r>
              </m:e>
            </m:acc>
            <m:r>
              <w:rPr>
                <w:rFonts w:ascii="Cambria Math" w:hAnsi="Cambria Math"/>
              </w:rPr>
              <m:t>*)</m:t>
            </m:r>
          </m:e>
        </m:d>
        <m:r>
          <m:rPr>
            <m:lit/>
            <m:nor/>
          </m:rPr>
          <w:rPr>
            <w:rFonts w:ascii="Cambria Math" w:hAnsi="Cambria Math"/>
          </w:rPr>
          <m:t xml:space="preserve"> ,</m:t>
        </m:r>
      </m:oMath>
      <w:r>
        <w:rPr>
          <w:position w:val="-14"/>
        </w:rPr>
        <w:tab/>
        <w:t>(2)</w:t>
      </w:r>
    </w:p>
    <w:p w14:paraId="55C9BA84" w14:textId="61F21F7D" w:rsidR="009B667A" w:rsidRDefault="00000000">
      <w:pPr>
        <w:ind w:firstLine="284"/>
        <w:rPr>
          <w:bCs/>
          <w:iCs/>
          <w:sz w:val="20"/>
          <w:lang w:eastAsia="ru-RU"/>
        </w:rPr>
      </w:pPr>
      <w:r>
        <w:rPr>
          <w:bCs/>
          <w:iCs/>
          <w:sz w:val="20"/>
          <w:lang w:eastAsia="ru-RU"/>
        </w:rPr>
        <w:t>where σ</w:t>
      </w:r>
      <w:r>
        <w:rPr>
          <w:bCs/>
          <w:iCs/>
          <w:sz w:val="20"/>
          <w:vertAlign w:val="subscript"/>
          <w:lang w:eastAsia="ru-RU"/>
        </w:rPr>
        <w:t>s0</w:t>
      </w:r>
      <w:r>
        <w:rPr>
          <w:bCs/>
          <w:iCs/>
          <w:sz w:val="20"/>
          <w:lang w:eastAsia="ru-RU"/>
        </w:rPr>
        <w:t>, k</w:t>
      </w:r>
      <w:r>
        <w:rPr>
          <w:bCs/>
          <w:iCs/>
          <w:sz w:val="20"/>
          <w:vertAlign w:val="subscript"/>
          <w:lang w:eastAsia="ru-RU"/>
        </w:rPr>
        <w:t>hp</w:t>
      </w:r>
      <w:r>
        <w:rPr>
          <w:bCs/>
          <w:iCs/>
          <w:sz w:val="20"/>
          <w:lang w:eastAsia="ru-RU"/>
        </w:rPr>
        <w:t>, n</w:t>
      </w:r>
      <w:r>
        <w:rPr>
          <w:bCs/>
          <w:iCs/>
          <w:sz w:val="20"/>
          <w:vertAlign w:val="subscript"/>
          <w:lang w:eastAsia="ru-RU"/>
        </w:rPr>
        <w:t>1</w:t>
      </w:r>
      <w:r>
        <w:rPr>
          <w:bCs/>
          <w:iCs/>
          <w:sz w:val="20"/>
          <w:lang w:eastAsia="ru-RU"/>
        </w:rPr>
        <w:t>, C</w:t>
      </w:r>
      <w:r>
        <w:rPr>
          <w:bCs/>
          <w:iCs/>
          <w:sz w:val="20"/>
          <w:vertAlign w:val="subscript"/>
          <w:lang w:eastAsia="ru-RU"/>
        </w:rPr>
        <w:t>2</w:t>
      </w:r>
      <w:r>
        <w:rPr>
          <w:bCs/>
          <w:iCs/>
          <w:sz w:val="20"/>
          <w:lang w:eastAsia="ru-RU"/>
        </w:rPr>
        <w:t>, C</w:t>
      </w:r>
      <w:r>
        <w:rPr>
          <w:bCs/>
          <w:iCs/>
          <w:sz w:val="20"/>
          <w:vertAlign w:val="subscript"/>
          <w:lang w:eastAsia="ru-RU"/>
        </w:rPr>
        <w:t>3</w:t>
      </w:r>
      <w:r>
        <w:rPr>
          <w:bCs/>
          <w:iCs/>
          <w:sz w:val="20"/>
          <w:lang w:eastAsia="ru-RU"/>
        </w:rPr>
        <w:t>, C</w:t>
      </w:r>
      <w:r>
        <w:rPr>
          <w:bCs/>
          <w:iCs/>
          <w:sz w:val="20"/>
          <w:vertAlign w:val="subscript"/>
          <w:lang w:eastAsia="ru-RU"/>
        </w:rPr>
        <w:t>4</w:t>
      </w:r>
      <w:r>
        <w:rPr>
          <w:bCs/>
          <w:iCs/>
          <w:sz w:val="20"/>
          <w:lang w:eastAsia="ru-RU"/>
        </w:rPr>
        <w:t>, C</w:t>
      </w:r>
      <w:r>
        <w:rPr>
          <w:bCs/>
          <w:iCs/>
          <w:sz w:val="20"/>
          <w:vertAlign w:val="subscript"/>
          <w:lang w:eastAsia="ru-RU"/>
        </w:rPr>
        <w:t>5</w:t>
      </w:r>
      <w:r>
        <w:rPr>
          <w:bCs/>
          <w:iCs/>
          <w:sz w:val="20"/>
          <w:lang w:eastAsia="ru-RU"/>
        </w:rPr>
        <w:t xml:space="preserve"> are the material parameters for tension and compression, T is the temperature, </w:t>
      </w:r>
      <w:r>
        <w:pict w14:anchorId="53C88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4" o:spid="_x0000_s1049" type="#_x0000_t75" style="position:absolute;left:0;text-align:left;margin-left:0;margin-top:0;width:50pt;height:50pt;z-index:251652096;visibility:hidden;mso-position-horizontal-relative:text;mso-position-vertical-relative:text">
            <o:lock v:ext="edit" selection="t"/>
          </v:shape>
        </w:pict>
      </w:r>
      <w:r w:rsidR="005874AA" w:rsidRPr="005874AA">
        <w:rPr>
          <w:position w:val="-14"/>
        </w:rPr>
        <w:object w:dxaOrig="1140" w:dyaOrig="380" w14:anchorId="4F25200C">
          <v:shape id="_x0000_i1025" type="#_x0000_t75" style="width:57pt;height:19pt" o:ole="">
            <v:imagedata r:id="rId10" o:title=""/>
          </v:shape>
          <o:OLEObject Type="Embed" ProgID="Equation.DSMT4" ShapeID="_x0000_i1025" DrawAspect="Content" ObjectID="_1825928277" r:id="rId11"/>
        </w:object>
      </w:r>
      <w:r>
        <w:t xml:space="preserve">, </w:t>
      </w:r>
      <w:r>
        <w:pict w14:anchorId="5E4B3D48">
          <v:shape id="_x0000_tole_rId6" o:spid="_x0000_s1047" type="#_x0000_t75" style="position:absolute;left:0;text-align:left;margin-left:0;margin-top:0;width:50pt;height:50pt;z-index:251653120;visibility:hidden;mso-position-horizontal-relative:text;mso-position-vertical-relative:text">
            <o:lock v:ext="edit" selection="t"/>
          </v:shape>
        </w:pict>
      </w:r>
      <w:r w:rsidR="005874AA" w:rsidRPr="005874AA">
        <w:rPr>
          <w:position w:val="-14"/>
        </w:rPr>
        <w:object w:dxaOrig="1680" w:dyaOrig="380" w14:anchorId="077AD398">
          <v:shape id="_x0000_i1026" type="#_x0000_t75" style="width:84pt;height:19pt" o:ole="">
            <v:imagedata r:id="rId12" o:title=""/>
          </v:shape>
          <o:OLEObject Type="Embed" ProgID="Equation.DSMT4" ShapeID="_x0000_i1026" DrawAspect="Content" ObjectID="_1825928278" r:id="rId13"/>
        </w:object>
      </w:r>
      <w:r>
        <w:t xml:space="preserve">, </w:t>
      </w:r>
      <w:r>
        <w:pict w14:anchorId="0E1418EE">
          <v:shape id="_x0000_tole_rId8" o:spid="_x0000_s1045" type="#_x0000_t75" style="position:absolute;left:0;text-align:left;margin-left:0;margin-top:0;width:50pt;height:50pt;z-index:251654144;visibility:hidden;mso-position-horizontal-relative:text;mso-position-vertical-relative:text">
            <o:lock v:ext="edit" selection="t"/>
          </v:shape>
        </w:pict>
      </w:r>
      <w:r w:rsidR="005874AA" w:rsidRPr="005874AA">
        <w:rPr>
          <w:position w:val="-14"/>
        </w:rPr>
        <w:object w:dxaOrig="880" w:dyaOrig="380" w14:anchorId="340D2A78">
          <v:shape id="_x0000_i1027" type="#_x0000_t75" style="width:44pt;height:19pt" o:ole="">
            <v:imagedata r:id="rId14" o:title=""/>
          </v:shape>
          <o:OLEObject Type="Embed" ProgID="Equation.DSMT4" ShapeID="_x0000_i1027" DrawAspect="Content" ObjectID="_1825928279" r:id="rId15"/>
        </w:object>
      </w:r>
      <w:r>
        <w:t>.</w:t>
      </w:r>
    </w:p>
    <w:p w14:paraId="370548FF" w14:textId="77777777" w:rsidR="009B667A" w:rsidRDefault="00000000">
      <w:pPr>
        <w:spacing w:before="200" w:after="200"/>
        <w:ind w:firstLine="284"/>
        <w:jc w:val="both"/>
        <w:rPr>
          <w:bCs/>
          <w:iCs/>
          <w:sz w:val="20"/>
          <w:lang w:eastAsia="ru-RU"/>
        </w:rPr>
      </w:pPr>
      <w:r>
        <w:rPr>
          <w:bCs/>
          <w:iCs/>
          <w:sz w:val="20"/>
          <w:lang w:eastAsia="ru-RU"/>
        </w:rPr>
        <w:t>The model parameters for the MA2-1 and AMg2 alloys are shown in Table 1.</w:t>
      </w:r>
    </w:p>
    <w:p w14:paraId="63732551" w14:textId="7A962CF1" w:rsidR="009B667A" w:rsidRDefault="00000000" w:rsidP="00F336CE">
      <w:pPr>
        <w:pStyle w:val="TableCaption"/>
      </w:pPr>
      <w:r>
        <w:rPr>
          <w:b/>
        </w:rPr>
        <w:t xml:space="preserve">TABLE 1. </w:t>
      </w:r>
      <w:r>
        <w:rPr>
          <w:lang w:eastAsia="ru-RU"/>
        </w:rPr>
        <w:t>Model coefficients for MA2-1 and AMg2 alloys</w:t>
      </w:r>
    </w:p>
    <w:tbl>
      <w:tblPr>
        <w:tblW w:w="8647" w:type="dxa"/>
        <w:jc w:val="center"/>
        <w:tblLayout w:type="fixed"/>
        <w:tblCellMar>
          <w:left w:w="70" w:type="dxa"/>
          <w:right w:w="70" w:type="dxa"/>
        </w:tblCellMar>
        <w:tblLook w:val="04A0" w:firstRow="1" w:lastRow="0" w:firstColumn="1" w:lastColumn="0" w:noHBand="0" w:noVBand="1"/>
      </w:tblPr>
      <w:tblGrid>
        <w:gridCol w:w="1701"/>
        <w:gridCol w:w="1277"/>
        <w:gridCol w:w="1133"/>
        <w:gridCol w:w="1135"/>
        <w:gridCol w:w="1275"/>
        <w:gridCol w:w="1136"/>
        <w:gridCol w:w="990"/>
      </w:tblGrid>
      <w:tr w:rsidR="009B667A" w14:paraId="14AD1723" w14:textId="77777777" w:rsidTr="00F336CE">
        <w:trPr>
          <w:trHeight w:val="661"/>
          <w:jc w:val="center"/>
        </w:trPr>
        <w:tc>
          <w:tcPr>
            <w:tcW w:w="1700" w:type="dxa"/>
            <w:tcBorders>
              <w:top w:val="single" w:sz="4" w:space="0" w:color="000000"/>
              <w:bottom w:val="single" w:sz="4" w:space="0" w:color="000000"/>
            </w:tcBorders>
            <w:vAlign w:val="center"/>
          </w:tcPr>
          <w:p w14:paraId="536B7FF2" w14:textId="77777777" w:rsidR="009B667A" w:rsidRDefault="00000000">
            <w:pPr>
              <w:ind w:firstLine="289"/>
              <w:jc w:val="center"/>
              <w:rPr>
                <w:bCs/>
                <w:iCs/>
                <w:sz w:val="20"/>
                <w:lang w:eastAsia="ru-RU"/>
              </w:rPr>
            </w:pPr>
            <w:r>
              <w:rPr>
                <w:bCs/>
                <w:iCs/>
                <w:sz w:val="20"/>
                <w:lang w:eastAsia="ru-RU"/>
              </w:rPr>
              <w:t>Coefficient</w:t>
            </w:r>
          </w:p>
        </w:tc>
        <w:tc>
          <w:tcPr>
            <w:tcW w:w="1277" w:type="dxa"/>
            <w:tcBorders>
              <w:top w:val="single" w:sz="4" w:space="0" w:color="000000"/>
              <w:bottom w:val="single" w:sz="4" w:space="0" w:color="000000"/>
            </w:tcBorders>
            <w:vAlign w:val="center"/>
          </w:tcPr>
          <w:p w14:paraId="5E1859DA" w14:textId="77777777" w:rsidR="009B667A" w:rsidRDefault="00000000">
            <w:pPr>
              <w:jc w:val="center"/>
              <w:rPr>
                <w:bCs/>
                <w:iCs/>
                <w:sz w:val="20"/>
                <w:lang w:eastAsia="ru-RU"/>
              </w:rPr>
            </w:pPr>
            <w:r>
              <w:rPr>
                <w:bCs/>
                <w:iCs/>
                <w:sz w:val="20"/>
                <w:lang w:eastAsia="ru-RU"/>
              </w:rPr>
              <w:t>σ</w:t>
            </w:r>
            <w:r>
              <w:rPr>
                <w:bCs/>
                <w:iCs/>
                <w:sz w:val="20"/>
                <w:vertAlign w:val="subscript"/>
                <w:lang w:eastAsia="ru-RU"/>
              </w:rPr>
              <w:t>s0</w:t>
            </w:r>
            <w:r>
              <w:rPr>
                <w:bCs/>
                <w:iCs/>
                <w:sz w:val="20"/>
                <w:lang w:eastAsia="ru-RU"/>
              </w:rPr>
              <w:t>, MPa</w:t>
            </w:r>
          </w:p>
        </w:tc>
        <w:tc>
          <w:tcPr>
            <w:tcW w:w="1133" w:type="dxa"/>
            <w:tcBorders>
              <w:top w:val="single" w:sz="4" w:space="0" w:color="000000"/>
              <w:bottom w:val="single" w:sz="4" w:space="0" w:color="000000"/>
            </w:tcBorders>
            <w:vAlign w:val="center"/>
          </w:tcPr>
          <w:p w14:paraId="673BF275" w14:textId="77777777" w:rsidR="009B667A" w:rsidRDefault="00000000">
            <w:pPr>
              <w:ind w:firstLine="289"/>
              <w:jc w:val="center"/>
              <w:rPr>
                <w:bCs/>
                <w:iCs/>
                <w:sz w:val="20"/>
                <w:lang w:eastAsia="ru-RU"/>
              </w:rPr>
            </w:pPr>
            <w:r>
              <w:rPr>
                <w:bCs/>
                <w:iCs/>
                <w:sz w:val="20"/>
                <w:lang w:eastAsia="ru-RU"/>
              </w:rPr>
              <w:t>C</w:t>
            </w:r>
            <w:r>
              <w:rPr>
                <w:bCs/>
                <w:iCs/>
                <w:sz w:val="20"/>
                <w:vertAlign w:val="subscript"/>
                <w:lang w:eastAsia="ru-RU"/>
              </w:rPr>
              <w:t>2</w:t>
            </w:r>
            <w:r>
              <w:rPr>
                <w:bCs/>
                <w:iCs/>
                <w:sz w:val="20"/>
                <w:lang w:eastAsia="ru-RU"/>
              </w:rPr>
              <w:t>, MPa</w:t>
            </w:r>
          </w:p>
        </w:tc>
        <w:tc>
          <w:tcPr>
            <w:tcW w:w="1135" w:type="dxa"/>
            <w:tcBorders>
              <w:top w:val="single" w:sz="4" w:space="0" w:color="000000"/>
              <w:bottom w:val="single" w:sz="4" w:space="0" w:color="000000"/>
            </w:tcBorders>
            <w:vAlign w:val="center"/>
          </w:tcPr>
          <w:p w14:paraId="01D172C9" w14:textId="77777777" w:rsidR="009B667A" w:rsidRDefault="00000000">
            <w:pPr>
              <w:ind w:firstLine="289"/>
              <w:jc w:val="center"/>
              <w:rPr>
                <w:bCs/>
                <w:iCs/>
                <w:sz w:val="20"/>
                <w:lang w:eastAsia="ru-RU"/>
              </w:rPr>
            </w:pPr>
            <w:r>
              <w:rPr>
                <w:bCs/>
                <w:iCs/>
                <w:sz w:val="20"/>
                <w:lang w:eastAsia="ru-RU"/>
              </w:rPr>
              <w:t>C</w:t>
            </w:r>
            <w:r>
              <w:rPr>
                <w:bCs/>
                <w:iCs/>
                <w:sz w:val="20"/>
                <w:vertAlign w:val="subscript"/>
                <w:lang w:eastAsia="ru-RU"/>
              </w:rPr>
              <w:t>3</w:t>
            </w:r>
            <w:r>
              <w:rPr>
                <w:bCs/>
                <w:iCs/>
                <w:sz w:val="20"/>
                <w:lang w:eastAsia="ru-RU"/>
              </w:rPr>
              <w:t>, K</w:t>
            </w:r>
            <w:r>
              <w:rPr>
                <w:bCs/>
                <w:iCs/>
                <w:sz w:val="20"/>
                <w:vertAlign w:val="superscript"/>
                <w:lang w:eastAsia="ru-RU"/>
              </w:rPr>
              <w:t>-1</w:t>
            </w:r>
          </w:p>
        </w:tc>
        <w:tc>
          <w:tcPr>
            <w:tcW w:w="1275" w:type="dxa"/>
            <w:tcBorders>
              <w:top w:val="single" w:sz="4" w:space="0" w:color="000000"/>
              <w:bottom w:val="single" w:sz="4" w:space="0" w:color="000000"/>
            </w:tcBorders>
            <w:vAlign w:val="center"/>
          </w:tcPr>
          <w:p w14:paraId="5B2D3B4C" w14:textId="77777777" w:rsidR="009B667A" w:rsidRDefault="00000000">
            <w:pPr>
              <w:ind w:firstLine="289"/>
              <w:jc w:val="center"/>
              <w:rPr>
                <w:bCs/>
                <w:iCs/>
                <w:sz w:val="20"/>
                <w:lang w:eastAsia="ru-RU"/>
              </w:rPr>
            </w:pPr>
            <w:r>
              <w:rPr>
                <w:bCs/>
                <w:iCs/>
                <w:sz w:val="20"/>
                <w:lang w:eastAsia="ru-RU"/>
              </w:rPr>
              <w:t>C</w:t>
            </w:r>
            <w:r>
              <w:rPr>
                <w:bCs/>
                <w:iCs/>
                <w:sz w:val="20"/>
                <w:vertAlign w:val="subscript"/>
                <w:lang w:eastAsia="ru-RU"/>
              </w:rPr>
              <w:t>4</w:t>
            </w:r>
            <w:r>
              <w:rPr>
                <w:bCs/>
                <w:iCs/>
                <w:sz w:val="20"/>
                <w:lang w:eastAsia="ru-RU"/>
              </w:rPr>
              <w:t xml:space="preserve"> , K</w:t>
            </w:r>
            <w:r>
              <w:rPr>
                <w:bCs/>
                <w:iCs/>
                <w:sz w:val="20"/>
                <w:vertAlign w:val="superscript"/>
                <w:lang w:eastAsia="ru-RU"/>
              </w:rPr>
              <w:t>-1</w:t>
            </w:r>
          </w:p>
        </w:tc>
        <w:tc>
          <w:tcPr>
            <w:tcW w:w="1136" w:type="dxa"/>
            <w:tcBorders>
              <w:top w:val="single" w:sz="4" w:space="0" w:color="000000"/>
              <w:bottom w:val="single" w:sz="4" w:space="0" w:color="000000"/>
            </w:tcBorders>
            <w:vAlign w:val="center"/>
          </w:tcPr>
          <w:p w14:paraId="7148A7E1" w14:textId="77777777" w:rsidR="009B667A" w:rsidRDefault="00000000">
            <w:pPr>
              <w:ind w:firstLine="289"/>
              <w:jc w:val="center"/>
              <w:rPr>
                <w:bCs/>
                <w:iCs/>
                <w:sz w:val="20"/>
                <w:lang w:eastAsia="ru-RU"/>
              </w:rPr>
            </w:pPr>
            <w:r>
              <w:rPr>
                <w:bCs/>
                <w:iCs/>
                <w:sz w:val="20"/>
                <w:lang w:eastAsia="ru-RU"/>
              </w:rPr>
              <w:t>C</w:t>
            </w:r>
            <w:r>
              <w:rPr>
                <w:bCs/>
                <w:iCs/>
                <w:sz w:val="20"/>
                <w:vertAlign w:val="subscript"/>
                <w:lang w:eastAsia="ru-RU"/>
              </w:rPr>
              <w:t>5</w:t>
            </w:r>
            <w:r>
              <w:rPr>
                <w:bCs/>
                <w:iCs/>
                <w:sz w:val="20"/>
                <w:lang w:eastAsia="ru-RU"/>
              </w:rPr>
              <w:t>, MPa</w:t>
            </w:r>
          </w:p>
        </w:tc>
        <w:tc>
          <w:tcPr>
            <w:tcW w:w="990" w:type="dxa"/>
            <w:tcBorders>
              <w:top w:val="single" w:sz="4" w:space="0" w:color="000000"/>
              <w:bottom w:val="single" w:sz="4" w:space="0" w:color="000000"/>
            </w:tcBorders>
            <w:vAlign w:val="center"/>
          </w:tcPr>
          <w:p w14:paraId="0B5D4858" w14:textId="77777777" w:rsidR="009B667A" w:rsidRDefault="00000000">
            <w:pPr>
              <w:ind w:firstLine="289"/>
              <w:jc w:val="center"/>
              <w:rPr>
                <w:bCs/>
                <w:iCs/>
                <w:sz w:val="20"/>
                <w:lang w:eastAsia="ru-RU"/>
              </w:rPr>
            </w:pPr>
            <w:r>
              <w:rPr>
                <w:bCs/>
                <w:iCs/>
                <w:sz w:val="20"/>
                <w:lang w:eastAsia="ru-RU"/>
              </w:rPr>
              <w:t>n</w:t>
            </w:r>
            <w:r>
              <w:rPr>
                <w:bCs/>
                <w:iCs/>
                <w:sz w:val="20"/>
                <w:vertAlign w:val="subscript"/>
                <w:lang w:eastAsia="ru-RU"/>
              </w:rPr>
              <w:t>1</w:t>
            </w:r>
          </w:p>
        </w:tc>
      </w:tr>
      <w:tr w:rsidR="009B667A" w14:paraId="1537A7E1" w14:textId="77777777" w:rsidTr="00F336CE">
        <w:trPr>
          <w:jc w:val="center"/>
        </w:trPr>
        <w:tc>
          <w:tcPr>
            <w:tcW w:w="1700" w:type="dxa"/>
            <w:tcBorders>
              <w:top w:val="single" w:sz="4" w:space="0" w:color="000000"/>
              <w:bottom w:val="single" w:sz="4" w:space="0" w:color="000000"/>
            </w:tcBorders>
            <w:vAlign w:val="center"/>
          </w:tcPr>
          <w:p w14:paraId="4F5D51E9" w14:textId="77777777" w:rsidR="009B667A" w:rsidRDefault="00000000">
            <w:pPr>
              <w:ind w:firstLine="289"/>
              <w:jc w:val="center"/>
              <w:rPr>
                <w:bCs/>
                <w:iCs/>
                <w:sz w:val="20"/>
                <w:lang w:eastAsia="ru-RU"/>
              </w:rPr>
            </w:pPr>
            <w:r>
              <w:rPr>
                <w:bCs/>
                <w:iCs/>
                <w:sz w:val="20"/>
                <w:lang w:eastAsia="ru-RU"/>
              </w:rPr>
              <w:t>MA2-1 (tension)</w:t>
            </w:r>
          </w:p>
        </w:tc>
        <w:tc>
          <w:tcPr>
            <w:tcW w:w="1277" w:type="dxa"/>
            <w:tcBorders>
              <w:top w:val="single" w:sz="4" w:space="0" w:color="000000"/>
              <w:bottom w:val="single" w:sz="4" w:space="0" w:color="000000"/>
            </w:tcBorders>
            <w:vAlign w:val="center"/>
          </w:tcPr>
          <w:p w14:paraId="4A1C3A53" w14:textId="77777777" w:rsidR="009B667A" w:rsidRDefault="00000000">
            <w:pPr>
              <w:ind w:firstLine="289"/>
              <w:jc w:val="center"/>
              <w:rPr>
                <w:bCs/>
                <w:iCs/>
                <w:sz w:val="20"/>
                <w:lang w:eastAsia="ru-RU"/>
              </w:rPr>
            </w:pPr>
            <w:r>
              <w:rPr>
                <w:bCs/>
                <w:iCs/>
                <w:sz w:val="20"/>
                <w:lang w:eastAsia="ru-RU"/>
              </w:rPr>
              <w:t>60</w:t>
            </w:r>
          </w:p>
        </w:tc>
        <w:tc>
          <w:tcPr>
            <w:tcW w:w="1133" w:type="dxa"/>
            <w:tcBorders>
              <w:top w:val="single" w:sz="4" w:space="0" w:color="000000"/>
              <w:bottom w:val="single" w:sz="4" w:space="0" w:color="000000"/>
            </w:tcBorders>
            <w:vAlign w:val="center"/>
          </w:tcPr>
          <w:p w14:paraId="37F66476" w14:textId="77777777" w:rsidR="009B667A" w:rsidRDefault="00000000">
            <w:pPr>
              <w:ind w:firstLine="289"/>
              <w:jc w:val="center"/>
              <w:rPr>
                <w:bCs/>
                <w:iCs/>
                <w:sz w:val="20"/>
                <w:lang w:eastAsia="ru-RU"/>
              </w:rPr>
            </w:pPr>
            <w:r>
              <w:rPr>
                <w:bCs/>
                <w:iCs/>
                <w:sz w:val="20"/>
                <w:lang w:eastAsia="ru-RU"/>
              </w:rPr>
              <w:t>120</w:t>
            </w:r>
          </w:p>
        </w:tc>
        <w:tc>
          <w:tcPr>
            <w:tcW w:w="1135" w:type="dxa"/>
            <w:tcBorders>
              <w:top w:val="single" w:sz="4" w:space="0" w:color="000000"/>
              <w:bottom w:val="single" w:sz="4" w:space="0" w:color="000000"/>
            </w:tcBorders>
            <w:vAlign w:val="center"/>
          </w:tcPr>
          <w:p w14:paraId="0278C256" w14:textId="77777777" w:rsidR="009B667A" w:rsidRDefault="00000000">
            <w:pPr>
              <w:ind w:firstLine="289"/>
              <w:jc w:val="center"/>
              <w:rPr>
                <w:bCs/>
                <w:iCs/>
                <w:sz w:val="20"/>
                <w:lang w:eastAsia="ru-RU"/>
              </w:rPr>
            </w:pPr>
            <w:r>
              <w:rPr>
                <w:bCs/>
                <w:iCs/>
                <w:sz w:val="20"/>
                <w:lang w:eastAsia="ru-RU"/>
              </w:rPr>
              <w:t>0.016</w:t>
            </w:r>
          </w:p>
        </w:tc>
        <w:tc>
          <w:tcPr>
            <w:tcW w:w="1275" w:type="dxa"/>
            <w:tcBorders>
              <w:top w:val="single" w:sz="4" w:space="0" w:color="000000"/>
              <w:bottom w:val="single" w:sz="4" w:space="0" w:color="000000"/>
            </w:tcBorders>
            <w:vAlign w:val="center"/>
          </w:tcPr>
          <w:p w14:paraId="6DC40AF2" w14:textId="77777777" w:rsidR="009B667A" w:rsidRDefault="00000000">
            <w:pPr>
              <w:ind w:firstLine="289"/>
              <w:jc w:val="center"/>
              <w:rPr>
                <w:bCs/>
                <w:iCs/>
                <w:sz w:val="20"/>
                <w:lang w:eastAsia="ru-RU"/>
              </w:rPr>
            </w:pPr>
            <w:r>
              <w:rPr>
                <w:bCs/>
                <w:iCs/>
                <w:sz w:val="20"/>
                <w:lang w:eastAsia="ru-RU"/>
              </w:rPr>
              <w:t>0.00178</w:t>
            </w:r>
          </w:p>
        </w:tc>
        <w:tc>
          <w:tcPr>
            <w:tcW w:w="1136" w:type="dxa"/>
            <w:tcBorders>
              <w:top w:val="single" w:sz="4" w:space="0" w:color="000000"/>
              <w:bottom w:val="single" w:sz="4" w:space="0" w:color="000000"/>
            </w:tcBorders>
            <w:vAlign w:val="center"/>
          </w:tcPr>
          <w:p w14:paraId="14E4DE7B" w14:textId="77777777" w:rsidR="009B667A" w:rsidRDefault="00000000">
            <w:pPr>
              <w:ind w:firstLine="289"/>
              <w:jc w:val="center"/>
              <w:rPr>
                <w:bCs/>
                <w:iCs/>
                <w:sz w:val="20"/>
                <w:lang w:eastAsia="ru-RU"/>
              </w:rPr>
            </w:pPr>
            <w:r>
              <w:rPr>
                <w:bCs/>
                <w:iCs/>
                <w:sz w:val="20"/>
                <w:lang w:eastAsia="ru-RU"/>
              </w:rPr>
              <w:t>396</w:t>
            </w:r>
          </w:p>
        </w:tc>
        <w:tc>
          <w:tcPr>
            <w:tcW w:w="990" w:type="dxa"/>
            <w:tcBorders>
              <w:top w:val="single" w:sz="4" w:space="0" w:color="000000"/>
              <w:bottom w:val="single" w:sz="4" w:space="0" w:color="000000"/>
            </w:tcBorders>
            <w:vAlign w:val="center"/>
          </w:tcPr>
          <w:p w14:paraId="2B37C2C4" w14:textId="77777777" w:rsidR="009B667A" w:rsidRDefault="00000000">
            <w:pPr>
              <w:ind w:firstLine="289"/>
              <w:jc w:val="center"/>
              <w:rPr>
                <w:bCs/>
                <w:iCs/>
                <w:sz w:val="20"/>
                <w:lang w:eastAsia="ru-RU"/>
              </w:rPr>
            </w:pPr>
            <w:r>
              <w:rPr>
                <w:bCs/>
                <w:iCs/>
                <w:sz w:val="20"/>
                <w:lang w:eastAsia="ru-RU"/>
              </w:rPr>
              <w:t>0.17</w:t>
            </w:r>
          </w:p>
        </w:tc>
      </w:tr>
      <w:tr w:rsidR="009B667A" w14:paraId="3AF84527" w14:textId="77777777" w:rsidTr="00F336CE">
        <w:trPr>
          <w:jc w:val="center"/>
        </w:trPr>
        <w:tc>
          <w:tcPr>
            <w:tcW w:w="1700" w:type="dxa"/>
            <w:tcBorders>
              <w:top w:val="single" w:sz="4" w:space="0" w:color="000000"/>
              <w:bottom w:val="single" w:sz="4" w:space="0" w:color="000000"/>
            </w:tcBorders>
            <w:vAlign w:val="center"/>
          </w:tcPr>
          <w:p w14:paraId="133031F1" w14:textId="77777777" w:rsidR="009B667A" w:rsidRDefault="00000000">
            <w:pPr>
              <w:ind w:firstLine="289"/>
              <w:jc w:val="center"/>
              <w:rPr>
                <w:bCs/>
                <w:iCs/>
                <w:sz w:val="20"/>
                <w:lang w:eastAsia="ru-RU"/>
              </w:rPr>
            </w:pPr>
            <w:r>
              <w:rPr>
                <w:bCs/>
                <w:iCs/>
                <w:sz w:val="20"/>
                <w:lang w:eastAsia="ru-RU"/>
              </w:rPr>
              <w:t>MA2-1</w:t>
            </w:r>
          </w:p>
          <w:p w14:paraId="3AF89DCD" w14:textId="77777777" w:rsidR="009B667A" w:rsidRDefault="00000000">
            <w:pPr>
              <w:ind w:firstLine="289"/>
              <w:jc w:val="center"/>
              <w:rPr>
                <w:bCs/>
                <w:iCs/>
                <w:sz w:val="20"/>
                <w:lang w:eastAsia="ru-RU"/>
              </w:rPr>
            </w:pPr>
            <w:r>
              <w:rPr>
                <w:bCs/>
                <w:iCs/>
                <w:sz w:val="20"/>
                <w:lang w:eastAsia="ru-RU"/>
              </w:rPr>
              <w:t>(compression)</w:t>
            </w:r>
          </w:p>
        </w:tc>
        <w:tc>
          <w:tcPr>
            <w:tcW w:w="1277" w:type="dxa"/>
            <w:tcBorders>
              <w:top w:val="single" w:sz="4" w:space="0" w:color="000000"/>
              <w:bottom w:val="single" w:sz="4" w:space="0" w:color="000000"/>
            </w:tcBorders>
            <w:vAlign w:val="center"/>
          </w:tcPr>
          <w:p w14:paraId="6ECAA49A" w14:textId="77777777" w:rsidR="009B667A" w:rsidRDefault="00000000">
            <w:pPr>
              <w:ind w:firstLine="289"/>
              <w:jc w:val="center"/>
              <w:rPr>
                <w:bCs/>
                <w:iCs/>
                <w:sz w:val="20"/>
                <w:lang w:eastAsia="ru-RU"/>
              </w:rPr>
            </w:pPr>
            <w:r>
              <w:rPr>
                <w:bCs/>
                <w:iCs/>
                <w:sz w:val="20"/>
                <w:lang w:eastAsia="ru-RU"/>
              </w:rPr>
              <w:t>102</w:t>
            </w:r>
          </w:p>
        </w:tc>
        <w:tc>
          <w:tcPr>
            <w:tcW w:w="1133" w:type="dxa"/>
            <w:tcBorders>
              <w:top w:val="single" w:sz="4" w:space="0" w:color="000000"/>
              <w:bottom w:val="single" w:sz="4" w:space="0" w:color="000000"/>
            </w:tcBorders>
            <w:vAlign w:val="center"/>
          </w:tcPr>
          <w:p w14:paraId="6F198DB2" w14:textId="77777777" w:rsidR="009B667A" w:rsidRDefault="00000000">
            <w:pPr>
              <w:ind w:firstLine="289"/>
              <w:jc w:val="center"/>
              <w:rPr>
                <w:bCs/>
                <w:iCs/>
                <w:sz w:val="20"/>
                <w:lang w:eastAsia="ru-RU"/>
              </w:rPr>
            </w:pPr>
            <w:r>
              <w:rPr>
                <w:bCs/>
                <w:iCs/>
                <w:sz w:val="20"/>
                <w:lang w:eastAsia="ru-RU"/>
              </w:rPr>
              <w:t>60</w:t>
            </w:r>
          </w:p>
        </w:tc>
        <w:tc>
          <w:tcPr>
            <w:tcW w:w="1135" w:type="dxa"/>
            <w:tcBorders>
              <w:top w:val="single" w:sz="4" w:space="0" w:color="000000"/>
              <w:bottom w:val="single" w:sz="4" w:space="0" w:color="000000"/>
            </w:tcBorders>
            <w:vAlign w:val="center"/>
          </w:tcPr>
          <w:p w14:paraId="425DD947" w14:textId="77777777" w:rsidR="009B667A" w:rsidRDefault="00000000">
            <w:pPr>
              <w:ind w:firstLine="289"/>
              <w:jc w:val="center"/>
              <w:rPr>
                <w:bCs/>
                <w:iCs/>
                <w:sz w:val="20"/>
                <w:lang w:eastAsia="ru-RU"/>
              </w:rPr>
            </w:pPr>
            <w:r>
              <w:rPr>
                <w:bCs/>
                <w:iCs/>
                <w:sz w:val="20"/>
                <w:lang w:eastAsia="ru-RU"/>
              </w:rPr>
              <w:t>0.016</w:t>
            </w:r>
          </w:p>
        </w:tc>
        <w:tc>
          <w:tcPr>
            <w:tcW w:w="1275" w:type="dxa"/>
            <w:tcBorders>
              <w:top w:val="single" w:sz="4" w:space="0" w:color="000000"/>
              <w:bottom w:val="single" w:sz="4" w:space="0" w:color="000000"/>
            </w:tcBorders>
            <w:vAlign w:val="center"/>
          </w:tcPr>
          <w:p w14:paraId="25655D20" w14:textId="77777777" w:rsidR="009B667A" w:rsidRDefault="00000000">
            <w:pPr>
              <w:ind w:firstLine="289"/>
              <w:jc w:val="center"/>
              <w:rPr>
                <w:bCs/>
                <w:iCs/>
                <w:sz w:val="20"/>
                <w:lang w:eastAsia="ru-RU"/>
              </w:rPr>
            </w:pPr>
            <w:r>
              <w:rPr>
                <w:bCs/>
                <w:iCs/>
                <w:sz w:val="20"/>
                <w:lang w:eastAsia="ru-RU"/>
              </w:rPr>
              <w:t>0.00178</w:t>
            </w:r>
          </w:p>
        </w:tc>
        <w:tc>
          <w:tcPr>
            <w:tcW w:w="1136" w:type="dxa"/>
            <w:tcBorders>
              <w:top w:val="single" w:sz="4" w:space="0" w:color="000000"/>
              <w:bottom w:val="single" w:sz="4" w:space="0" w:color="000000"/>
            </w:tcBorders>
            <w:vAlign w:val="center"/>
          </w:tcPr>
          <w:p w14:paraId="3CB2506B" w14:textId="77777777" w:rsidR="009B667A" w:rsidRDefault="00000000">
            <w:pPr>
              <w:ind w:firstLine="289"/>
              <w:jc w:val="center"/>
              <w:rPr>
                <w:bCs/>
                <w:iCs/>
                <w:sz w:val="20"/>
                <w:lang w:eastAsia="ru-RU"/>
              </w:rPr>
            </w:pPr>
            <w:r>
              <w:rPr>
                <w:bCs/>
                <w:iCs/>
                <w:sz w:val="20"/>
                <w:lang w:eastAsia="ru-RU"/>
              </w:rPr>
              <w:t>57600</w:t>
            </w:r>
          </w:p>
        </w:tc>
        <w:tc>
          <w:tcPr>
            <w:tcW w:w="990" w:type="dxa"/>
            <w:tcBorders>
              <w:top w:val="single" w:sz="4" w:space="0" w:color="000000"/>
              <w:bottom w:val="single" w:sz="4" w:space="0" w:color="000000"/>
            </w:tcBorders>
            <w:vAlign w:val="center"/>
          </w:tcPr>
          <w:p w14:paraId="1FC3F0C4" w14:textId="77777777" w:rsidR="009B667A" w:rsidRDefault="00000000">
            <w:pPr>
              <w:ind w:firstLine="289"/>
              <w:jc w:val="center"/>
              <w:rPr>
                <w:bCs/>
                <w:iCs/>
                <w:sz w:val="20"/>
                <w:lang w:eastAsia="ru-RU"/>
              </w:rPr>
            </w:pPr>
            <w:r>
              <w:rPr>
                <w:bCs/>
                <w:iCs/>
                <w:sz w:val="20"/>
                <w:lang w:eastAsia="ru-RU"/>
              </w:rPr>
              <w:t>2</w:t>
            </w:r>
          </w:p>
        </w:tc>
      </w:tr>
      <w:tr w:rsidR="009B667A" w14:paraId="4F2D8D13" w14:textId="77777777" w:rsidTr="00F336CE">
        <w:trPr>
          <w:jc w:val="center"/>
        </w:trPr>
        <w:tc>
          <w:tcPr>
            <w:tcW w:w="1700" w:type="dxa"/>
            <w:tcBorders>
              <w:top w:val="single" w:sz="4" w:space="0" w:color="000000"/>
              <w:bottom w:val="single" w:sz="4" w:space="0" w:color="000000"/>
            </w:tcBorders>
            <w:vAlign w:val="center"/>
          </w:tcPr>
          <w:p w14:paraId="6181BA9D" w14:textId="77777777" w:rsidR="009B667A" w:rsidRDefault="00000000">
            <w:pPr>
              <w:spacing w:before="120" w:after="120"/>
              <w:ind w:firstLine="289"/>
              <w:jc w:val="center"/>
              <w:rPr>
                <w:bCs/>
                <w:iCs/>
                <w:sz w:val="20"/>
                <w:lang w:eastAsia="ru-RU"/>
              </w:rPr>
            </w:pPr>
            <w:r>
              <w:rPr>
                <w:bCs/>
                <w:iCs/>
                <w:sz w:val="20"/>
                <w:lang w:eastAsia="ru-RU"/>
              </w:rPr>
              <w:t>AMg2</w:t>
            </w:r>
          </w:p>
        </w:tc>
        <w:tc>
          <w:tcPr>
            <w:tcW w:w="1277" w:type="dxa"/>
            <w:tcBorders>
              <w:top w:val="single" w:sz="4" w:space="0" w:color="000000"/>
              <w:bottom w:val="single" w:sz="4" w:space="0" w:color="000000"/>
            </w:tcBorders>
            <w:vAlign w:val="center"/>
          </w:tcPr>
          <w:p w14:paraId="48E103E2" w14:textId="77777777" w:rsidR="009B667A" w:rsidRDefault="00000000">
            <w:pPr>
              <w:ind w:firstLine="289"/>
              <w:jc w:val="center"/>
              <w:rPr>
                <w:bCs/>
                <w:iCs/>
                <w:sz w:val="20"/>
                <w:lang w:eastAsia="ru-RU"/>
              </w:rPr>
            </w:pPr>
            <w:r>
              <w:rPr>
                <w:bCs/>
                <w:iCs/>
                <w:sz w:val="20"/>
                <w:lang w:eastAsia="ru-RU"/>
              </w:rPr>
              <w:t>1.51</w:t>
            </w:r>
          </w:p>
        </w:tc>
        <w:tc>
          <w:tcPr>
            <w:tcW w:w="1133" w:type="dxa"/>
            <w:tcBorders>
              <w:top w:val="single" w:sz="4" w:space="0" w:color="000000"/>
              <w:bottom w:val="single" w:sz="4" w:space="0" w:color="000000"/>
            </w:tcBorders>
            <w:vAlign w:val="center"/>
          </w:tcPr>
          <w:p w14:paraId="7B5ECFB0" w14:textId="77777777" w:rsidR="009B667A" w:rsidRDefault="00000000">
            <w:pPr>
              <w:ind w:firstLine="289"/>
              <w:jc w:val="center"/>
              <w:rPr>
                <w:bCs/>
                <w:iCs/>
                <w:sz w:val="20"/>
                <w:lang w:eastAsia="ru-RU"/>
              </w:rPr>
            </w:pPr>
            <w:r>
              <w:rPr>
                <w:bCs/>
                <w:iCs/>
                <w:sz w:val="20"/>
                <w:lang w:eastAsia="ru-RU"/>
              </w:rPr>
              <w:t>495</w:t>
            </w:r>
          </w:p>
        </w:tc>
        <w:tc>
          <w:tcPr>
            <w:tcW w:w="1135" w:type="dxa"/>
            <w:tcBorders>
              <w:top w:val="single" w:sz="4" w:space="0" w:color="000000"/>
              <w:bottom w:val="single" w:sz="4" w:space="0" w:color="000000"/>
            </w:tcBorders>
            <w:vAlign w:val="center"/>
          </w:tcPr>
          <w:p w14:paraId="7F5283ED" w14:textId="77777777" w:rsidR="009B667A" w:rsidRDefault="00000000">
            <w:pPr>
              <w:ind w:firstLine="289"/>
              <w:jc w:val="center"/>
              <w:rPr>
                <w:bCs/>
                <w:iCs/>
                <w:sz w:val="20"/>
                <w:lang w:eastAsia="ru-RU"/>
              </w:rPr>
            </w:pPr>
            <w:r>
              <w:rPr>
                <w:bCs/>
                <w:iCs/>
                <w:sz w:val="20"/>
                <w:lang w:eastAsia="ru-RU"/>
              </w:rPr>
              <w:t>0.0034</w:t>
            </w:r>
          </w:p>
        </w:tc>
        <w:tc>
          <w:tcPr>
            <w:tcW w:w="1275" w:type="dxa"/>
            <w:tcBorders>
              <w:top w:val="single" w:sz="4" w:space="0" w:color="000000"/>
              <w:bottom w:val="single" w:sz="4" w:space="0" w:color="000000"/>
            </w:tcBorders>
            <w:vAlign w:val="center"/>
          </w:tcPr>
          <w:p w14:paraId="1B9C1801" w14:textId="77777777" w:rsidR="009B667A" w:rsidRDefault="00000000">
            <w:pPr>
              <w:ind w:firstLine="289"/>
              <w:jc w:val="center"/>
              <w:rPr>
                <w:bCs/>
                <w:iCs/>
                <w:sz w:val="20"/>
                <w:lang w:eastAsia="ru-RU"/>
              </w:rPr>
            </w:pPr>
            <w:r>
              <w:rPr>
                <w:bCs/>
                <w:iCs/>
                <w:sz w:val="20"/>
                <w:lang w:eastAsia="ru-RU"/>
              </w:rPr>
              <w:t>0.00012</w:t>
            </w:r>
          </w:p>
        </w:tc>
        <w:tc>
          <w:tcPr>
            <w:tcW w:w="1136" w:type="dxa"/>
            <w:tcBorders>
              <w:top w:val="single" w:sz="4" w:space="0" w:color="000000"/>
              <w:bottom w:val="single" w:sz="4" w:space="0" w:color="000000"/>
            </w:tcBorders>
            <w:vAlign w:val="center"/>
          </w:tcPr>
          <w:p w14:paraId="4E51B069" w14:textId="77777777" w:rsidR="009B667A" w:rsidRDefault="00000000">
            <w:pPr>
              <w:ind w:firstLine="289"/>
              <w:jc w:val="center"/>
              <w:rPr>
                <w:bCs/>
                <w:iCs/>
                <w:sz w:val="20"/>
                <w:lang w:eastAsia="ru-RU"/>
              </w:rPr>
            </w:pPr>
            <w:r>
              <w:rPr>
                <w:bCs/>
                <w:iCs/>
                <w:sz w:val="20"/>
                <w:lang w:eastAsia="ru-RU"/>
              </w:rPr>
              <w:t>175</w:t>
            </w:r>
          </w:p>
        </w:tc>
        <w:tc>
          <w:tcPr>
            <w:tcW w:w="990" w:type="dxa"/>
            <w:tcBorders>
              <w:top w:val="single" w:sz="4" w:space="0" w:color="000000"/>
              <w:bottom w:val="single" w:sz="4" w:space="0" w:color="000000"/>
            </w:tcBorders>
            <w:vAlign w:val="center"/>
          </w:tcPr>
          <w:p w14:paraId="2EE98204" w14:textId="77777777" w:rsidR="009B667A" w:rsidRDefault="00000000">
            <w:pPr>
              <w:ind w:firstLine="289"/>
              <w:jc w:val="center"/>
              <w:rPr>
                <w:bCs/>
                <w:iCs/>
                <w:sz w:val="20"/>
                <w:lang w:eastAsia="ru-RU"/>
              </w:rPr>
            </w:pPr>
            <w:r>
              <w:rPr>
                <w:bCs/>
                <w:iCs/>
                <w:sz w:val="20"/>
                <w:lang w:eastAsia="ru-RU"/>
              </w:rPr>
              <w:t>0.278</w:t>
            </w:r>
          </w:p>
        </w:tc>
      </w:tr>
    </w:tbl>
    <w:p w14:paraId="2189DF88" w14:textId="77777777" w:rsidR="009B667A" w:rsidRDefault="009B667A">
      <w:pPr>
        <w:ind w:firstLine="284"/>
        <w:jc w:val="center"/>
        <w:rPr>
          <w:bCs/>
          <w:iCs/>
          <w:sz w:val="20"/>
          <w:lang w:eastAsia="ru-RU"/>
        </w:rPr>
      </w:pPr>
    </w:p>
    <w:p w14:paraId="41511EC7" w14:textId="77777777" w:rsidR="009B667A" w:rsidRDefault="00000000">
      <w:pPr>
        <w:ind w:firstLine="284"/>
        <w:jc w:val="both"/>
        <w:rPr>
          <w:bCs/>
          <w:iCs/>
          <w:sz w:val="20"/>
          <w:lang w:eastAsia="ru-RU"/>
        </w:rPr>
      </w:pPr>
      <w:r>
        <w:rPr>
          <w:bCs/>
          <w:iCs/>
          <w:sz w:val="20"/>
          <w:lang w:eastAsia="ru-RU"/>
        </w:rPr>
        <w:t>The temperature increment during plastic flow due to energy dissipation was determined in the adiabatic approximation [3]</w:t>
      </w:r>
    </w:p>
    <w:p w14:paraId="60167EE0" w14:textId="77777777" w:rsidR="009B667A" w:rsidRDefault="00000000" w:rsidP="005874AA">
      <w:pPr>
        <w:pStyle w:val="Equation"/>
        <w:spacing w:before="200" w:after="200"/>
        <w:jc w:val="right"/>
      </w:pPr>
      <w:r>
        <w:tab/>
      </w:r>
      <m:oMath>
        <m:r>
          <w:rPr>
            <w:rFonts w:ascii="Cambria Math" w:hAnsi="Cambria Math"/>
          </w:rPr>
          <m:t>T</m:t>
        </m:r>
        <m:r>
          <m:rPr>
            <m:lit/>
            <m:nor/>
          </m: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lit/>
            <m:nor/>
          </m:rPr>
          <m:t>+</m:t>
        </m:r>
        <m:nary>
          <m:naryPr>
            <m:ctrlPr>
              <w:rPr>
                <w:rFonts w:ascii="Cambria Math" w:hAnsi="Cambria Math"/>
              </w:rPr>
            </m:ctrlPr>
          </m:naryPr>
          <m:sub>
            <m:r>
              <m:rPr>
                <m:sty m:val="p"/>
              </m:rPr>
              <w:rPr>
                <w:rFonts w:ascii="Cambria Math" w:hAnsi="Cambria Math"/>
              </w:rPr>
              <m:t>0</m:t>
            </m:r>
          </m:sub>
          <m:sup>
            <m:sSubSup>
              <m:sSubSupPr>
                <m:ctrlPr>
                  <w:rPr>
                    <w:rFonts w:ascii="Cambria Math" w:hAnsi="Cambria Math"/>
                  </w:rPr>
                </m:ctrlPr>
              </m:sSubSupPr>
              <m:e>
                <m:r>
                  <w:rPr>
                    <w:rFonts w:ascii="Cambria Math" w:hAnsi="Cambria Math"/>
                  </w:rPr>
                  <m:t>ε</m:t>
                </m:r>
              </m:e>
              <m:sub>
                <m:r>
                  <m:rPr>
                    <m:lit/>
                    <m:nor/>
                  </m:rPr>
                  <m:t>eq</m:t>
                </m:r>
              </m:sub>
              <m:sup>
                <m:r>
                  <w:rPr>
                    <w:rFonts w:ascii="Cambria Math" w:hAnsi="Cambria Math"/>
                  </w:rPr>
                  <m:t>p</m:t>
                </m:r>
              </m:sup>
            </m:sSubSup>
          </m:sup>
          <m:e>
            <m:r>
              <m:rPr>
                <m:sty m:val="p"/>
              </m:rPr>
              <w:rPr>
                <w:rFonts w:ascii="Cambria Math" w:hAnsi="Cambria Math"/>
              </w:rPr>
              <m:t>(</m:t>
            </m:r>
            <m:f>
              <m:fPr>
                <m:type m:val="lin"/>
                <m:ctrlPr>
                  <w:rPr>
                    <w:rFonts w:ascii="Cambria Math" w:hAnsi="Cambria Math"/>
                  </w:rPr>
                </m:ctrlPr>
              </m:fPr>
              <m:num>
                <m:r>
                  <w:rPr>
                    <w:rFonts w:ascii="Cambria Math" w:hAnsi="Cambria Math"/>
                  </w:rPr>
                  <m:t>β</m:t>
                </m:r>
              </m:num>
              <m:den>
                <m:r>
                  <w:rPr>
                    <w:rFonts w:ascii="Cambria Math" w:hAnsi="Cambria Math"/>
                  </w:rPr>
                  <m:t>ρ</m:t>
                </m:r>
              </m:den>
            </m:f>
            <m:r>
              <m:rPr>
                <m:lit/>
                <m:nor/>
              </m:rPr>
              <m:t xml:space="preserve"> </m:t>
            </m:r>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rPr>
              <m:t>)</m:t>
            </m:r>
            <m:r>
              <m:rPr>
                <m:lit/>
                <m:nor/>
              </m:rPr>
              <m:t xml:space="preserve"> </m:t>
            </m:r>
          </m:e>
        </m:nary>
        <m:sSub>
          <m:sSubPr>
            <m:ctrlPr>
              <w:rPr>
                <w:rFonts w:ascii="Cambria Math" w:hAnsi="Cambria Math"/>
              </w:rPr>
            </m:ctrlPr>
          </m:sSubPr>
          <m:e>
            <m:r>
              <w:rPr>
                <w:rFonts w:ascii="Cambria Math" w:hAnsi="Cambria Math"/>
              </w:rPr>
              <m:t>σ</m:t>
            </m:r>
          </m:e>
          <m:sub>
            <m:r>
              <m:rPr>
                <m:lit/>
                <m:nor/>
              </m:rPr>
              <m:t>eq</m:t>
            </m:r>
          </m:sub>
        </m:sSub>
        <m:r>
          <m:rPr>
            <m:lit/>
            <m:nor/>
          </m:rPr>
          <m:t xml:space="preserve"> </m:t>
        </m:r>
        <m:r>
          <w:rPr>
            <w:rFonts w:ascii="Cambria Math" w:hAnsi="Cambria Math"/>
          </w:rPr>
          <m:t>d</m:t>
        </m:r>
        <m:r>
          <m:rPr>
            <m:lit/>
            <m:nor/>
          </m:rPr>
          <m:t xml:space="preserve"> </m:t>
        </m:r>
        <m:sSubSup>
          <m:sSubSupPr>
            <m:ctrlPr>
              <w:rPr>
                <w:rFonts w:ascii="Cambria Math" w:hAnsi="Cambria Math"/>
              </w:rPr>
            </m:ctrlPr>
          </m:sSubSupPr>
          <m:e>
            <m:r>
              <w:rPr>
                <w:rFonts w:ascii="Cambria Math" w:hAnsi="Cambria Math"/>
              </w:rPr>
              <m:t>ε</m:t>
            </m:r>
          </m:e>
          <m:sub>
            <m:r>
              <m:rPr>
                <m:lit/>
                <m:nor/>
              </m:rPr>
              <m:t>eq</m:t>
            </m:r>
          </m:sub>
          <m:sup>
            <m:r>
              <w:rPr>
                <w:rFonts w:ascii="Cambria Math" w:hAnsi="Cambria Math"/>
              </w:rPr>
              <m:t>p</m:t>
            </m:r>
          </m:sup>
        </m:sSubSup>
        <m:r>
          <m:rPr>
            <m:lit/>
            <m:nor/>
          </m:rPr>
          <m:t xml:space="preserve"> </m:t>
        </m:r>
        <m:r>
          <m:rPr>
            <m:sty m:val="p"/>
          </m:rPr>
          <w:rPr>
            <w:rFonts w:ascii="Cambria Math" w:hAnsi="Cambria Math"/>
          </w:rPr>
          <m:t>,</m:t>
        </m:r>
      </m:oMath>
      <w:r>
        <w:tab/>
        <w:t>(3)</w:t>
      </w:r>
    </w:p>
    <w:p w14:paraId="4A875D67" w14:textId="77777777" w:rsidR="00E7253B" w:rsidRDefault="00000000" w:rsidP="00E7253B">
      <w:pPr>
        <w:pStyle w:val="Paragraph"/>
        <w:rPr>
          <w:bCs/>
          <w:iCs/>
          <w:lang w:eastAsia="ru-RU"/>
        </w:rPr>
      </w:pPr>
      <w:r>
        <w:rPr>
          <w:bCs/>
          <w:iCs/>
          <w:lang w:eastAsia="ru-RU"/>
        </w:rPr>
        <w:t>where T</w:t>
      </w:r>
      <w:r>
        <w:rPr>
          <w:bCs/>
          <w:iCs/>
          <w:vertAlign w:val="subscript"/>
          <w:lang w:eastAsia="ru-RU"/>
        </w:rPr>
        <w:t>0</w:t>
      </w:r>
      <w:r>
        <w:rPr>
          <w:bCs/>
          <w:iCs/>
          <w:lang w:eastAsia="ru-RU"/>
        </w:rPr>
        <w:t xml:space="preserve"> is the initial temperature, </w:t>
      </w:r>
      <w:r>
        <w:rPr>
          <w:bCs/>
          <w:i/>
          <w:iCs/>
          <w:lang w:eastAsia="ru-RU"/>
        </w:rPr>
        <w:t>β</w:t>
      </w:r>
      <w:r>
        <w:rPr>
          <w:bCs/>
          <w:iCs/>
          <w:lang w:eastAsia="ru-RU"/>
        </w:rPr>
        <w:t xml:space="preserve">~0.47 is the Taylor-Quinney coefficient for MA2-1 [7] and </w:t>
      </w:r>
      <w:r>
        <w:rPr>
          <w:bCs/>
          <w:i/>
          <w:iCs/>
          <w:lang w:eastAsia="ru-RU"/>
        </w:rPr>
        <w:t>β</w:t>
      </w:r>
      <w:r>
        <w:rPr>
          <w:bCs/>
          <w:iCs/>
          <w:lang w:eastAsia="ru-RU"/>
        </w:rPr>
        <w:t xml:space="preserve">~0.9 for AMg2, and the equivalent von Mises stress is </w:t>
      </w:r>
      <w:r>
        <w:rPr>
          <w:bCs/>
          <w:i/>
          <w:iCs/>
          <w:lang w:eastAsia="ru-RU"/>
        </w:rPr>
        <w:t>σ</w:t>
      </w:r>
      <w:r>
        <w:rPr>
          <w:bCs/>
          <w:iCs/>
          <w:vertAlign w:val="subscript"/>
          <w:lang w:eastAsia="ru-RU"/>
        </w:rPr>
        <w:t>eq</w:t>
      </w:r>
      <w:r>
        <w:rPr>
          <w:bCs/>
          <w:iCs/>
          <w:lang w:eastAsia="ru-RU"/>
        </w:rPr>
        <w:t>= [(3/2)</w:t>
      </w:r>
      <w:r>
        <w:rPr>
          <w:bCs/>
          <w:i/>
          <w:iCs/>
          <w:lang w:eastAsia="ru-RU"/>
        </w:rPr>
        <w:t>σ</w:t>
      </w:r>
      <w:r>
        <w:rPr>
          <w:bCs/>
          <w:i/>
          <w:iCs/>
          <w:vertAlign w:val="subscript"/>
          <w:lang w:eastAsia="ru-RU"/>
        </w:rPr>
        <w:t>ij</w:t>
      </w:r>
      <w:r>
        <w:rPr>
          <w:bCs/>
          <w:i/>
          <w:iCs/>
          <w:lang w:eastAsia="ru-RU"/>
        </w:rPr>
        <w:t xml:space="preserve"> σ</w:t>
      </w:r>
      <w:r>
        <w:rPr>
          <w:bCs/>
          <w:i/>
          <w:iCs/>
          <w:vertAlign w:val="subscript"/>
          <w:lang w:eastAsia="ru-RU"/>
        </w:rPr>
        <w:t>ij</w:t>
      </w:r>
      <w:r>
        <w:rPr>
          <w:bCs/>
          <w:iCs/>
          <w:lang w:eastAsia="ru-RU"/>
        </w:rPr>
        <w:t xml:space="preserve"> – 0.5 </w:t>
      </w:r>
      <w:r>
        <w:rPr>
          <w:bCs/>
          <w:i/>
          <w:iCs/>
          <w:lang w:eastAsia="ru-RU"/>
        </w:rPr>
        <w:t>σ</w:t>
      </w:r>
      <w:r>
        <w:rPr>
          <w:bCs/>
          <w:iCs/>
          <w:vertAlign w:val="superscript"/>
          <w:lang w:eastAsia="ru-RU"/>
        </w:rPr>
        <w:t>2</w:t>
      </w:r>
      <w:r>
        <w:rPr>
          <w:bCs/>
          <w:i/>
          <w:iCs/>
          <w:vertAlign w:val="subscript"/>
          <w:lang w:eastAsia="ru-RU"/>
        </w:rPr>
        <w:t>kk</w:t>
      </w:r>
      <w:r>
        <w:rPr>
          <w:bCs/>
          <w:iCs/>
          <w:lang w:eastAsia="ru-RU"/>
        </w:rPr>
        <w:t>]</w:t>
      </w:r>
      <w:r>
        <w:rPr>
          <w:bCs/>
          <w:iCs/>
          <w:vertAlign w:val="superscript"/>
          <w:lang w:eastAsia="ru-RU"/>
        </w:rPr>
        <w:t>1/2</w:t>
      </w:r>
      <w:r>
        <w:rPr>
          <w:bCs/>
          <w:iCs/>
          <w:lang w:eastAsia="ru-RU"/>
        </w:rPr>
        <w:t xml:space="preserve">, </w:t>
      </w:r>
      <w:r>
        <w:rPr>
          <w:bCs/>
          <w:i/>
          <w:iCs/>
          <w:lang w:eastAsia="ru-RU"/>
        </w:rPr>
        <w:t>σ</w:t>
      </w:r>
      <w:r>
        <w:rPr>
          <w:bCs/>
          <w:i/>
          <w:iCs/>
          <w:vertAlign w:val="subscript"/>
          <w:lang w:eastAsia="ru-RU"/>
        </w:rPr>
        <w:t>ij</w:t>
      </w:r>
      <w:r>
        <w:rPr>
          <w:bCs/>
          <w:i/>
          <w:iCs/>
          <w:lang w:eastAsia="ru-RU"/>
        </w:rPr>
        <w:t xml:space="preserve"> </w:t>
      </w:r>
      <w:r>
        <w:rPr>
          <w:bCs/>
          <w:iCs/>
          <w:lang w:eastAsia="ru-RU"/>
        </w:rPr>
        <w:t xml:space="preserve">are the stress tensor components, </w:t>
      </w:r>
      <w:r>
        <w:rPr>
          <w:bCs/>
          <w:i/>
          <w:iCs/>
          <w:lang w:eastAsia="ru-RU"/>
        </w:rPr>
        <w:t>ρ</w:t>
      </w:r>
      <w:r>
        <w:rPr>
          <w:bCs/>
          <w:iCs/>
          <w:lang w:eastAsia="ru-RU"/>
        </w:rPr>
        <w:t xml:space="preserve"> is the mass density, C</w:t>
      </w:r>
      <w:r>
        <w:rPr>
          <w:bCs/>
          <w:iCs/>
          <w:vertAlign w:val="subscript"/>
          <w:lang w:eastAsia="ru-RU"/>
        </w:rPr>
        <w:t>p</w:t>
      </w:r>
      <w:r>
        <w:rPr>
          <w:bCs/>
          <w:iCs/>
          <w:lang w:eastAsia="ru-RU"/>
        </w:rPr>
        <w:t xml:space="preserve"> is the specific heat at constant pressure, </w:t>
      </w:r>
      <w:r>
        <w:pict w14:anchorId="7823066C">
          <v:shape id="_x0000_tole_rId10" o:spid="_x0000_s1043" type="#_x0000_t75" style="position:absolute;left:0;text-align:left;margin-left:0;margin-top:0;width:50pt;height:50pt;z-index:251655168;visibility:hidden;mso-position-horizontal-relative:text;mso-position-vertical-relative:text">
            <o:lock v:ext="edit" selection="t"/>
          </v:shape>
        </w:pict>
      </w:r>
      <w:r w:rsidR="005874AA" w:rsidRPr="005874AA">
        <w:rPr>
          <w:position w:val="-12"/>
        </w:rPr>
        <w:object w:dxaOrig="1640" w:dyaOrig="340" w14:anchorId="72BA4C5A">
          <v:shape id="_x0000_i1028" type="#_x0000_t75" style="width:82pt;height:17pt" o:ole="">
            <v:imagedata r:id="rId16" o:title=""/>
          </v:shape>
          <o:OLEObject Type="Embed" ProgID="Equation.DSMT4" ShapeID="_x0000_i1028" DrawAspect="Content" ObjectID="_1825928280" r:id="rId17"/>
        </w:object>
      </w:r>
      <w:r>
        <w:rPr>
          <w:bCs/>
          <w:iCs/>
          <w:position w:val="-14"/>
          <w:lang w:eastAsia="ru-RU"/>
        </w:rPr>
        <w:t xml:space="preserve"> </w:t>
      </w:r>
      <w:r>
        <w:rPr>
          <w:bCs/>
          <w:iCs/>
          <w:lang w:eastAsia="ru-RU"/>
        </w:rPr>
        <w:t>is the equivalent plastic strain.</w:t>
      </w:r>
    </w:p>
    <w:p w14:paraId="6E1E15AB" w14:textId="134EA11C" w:rsidR="009B667A" w:rsidRDefault="00000000" w:rsidP="00E7253B">
      <w:pPr>
        <w:pStyle w:val="Paragraph"/>
        <w:rPr>
          <w:bCs/>
          <w:iCs/>
          <w:lang w:eastAsia="ru-RU"/>
        </w:rPr>
      </w:pPr>
      <w:r>
        <w:rPr>
          <w:bCs/>
          <w:iCs/>
          <w:lang w:eastAsia="ru-RU"/>
        </w:rPr>
        <w:t>The decreasing of the resistance to plastic flow caused by heating as a result of dissipation of stress work on plastic deformations affects the occurrence of localization of plastic flow and the subsequent growth of the damage parameter in the material. The increment of the damage parameter over time, caused by the origin of damage, depends on the equivalent plastic deformation ɛ</w:t>
      </w:r>
      <w:r>
        <w:rPr>
          <w:bCs/>
          <w:iCs/>
          <w:vertAlign w:val="subscript"/>
          <w:lang w:eastAsia="ru-RU"/>
        </w:rPr>
        <w:t>eq</w:t>
      </w:r>
      <w:r>
        <w:rPr>
          <w:bCs/>
          <w:iCs/>
          <w:vertAlign w:val="superscript"/>
          <w:lang w:eastAsia="ru-RU"/>
        </w:rPr>
        <w:t>p</w:t>
      </w:r>
      <w:r>
        <w:rPr>
          <w:bCs/>
          <w:iCs/>
          <w:lang w:eastAsia="ru-RU"/>
        </w:rPr>
        <w:t xml:space="preserve"> and is described using a normal distribution. The growth rate of the damage parameter caused by the increasing in the size of damages is associated with volumetric inelastic deformations.</w:t>
      </w:r>
    </w:p>
    <w:p w14:paraId="13322228" w14:textId="77777777" w:rsidR="009B667A" w:rsidRDefault="00000000">
      <w:pPr>
        <w:ind w:firstLine="289"/>
        <w:jc w:val="both"/>
        <w:rPr>
          <w:bCs/>
          <w:iCs/>
          <w:sz w:val="20"/>
          <w:lang w:eastAsia="ru-RU"/>
        </w:rPr>
      </w:pPr>
      <w:r>
        <w:rPr>
          <w:bCs/>
          <w:iCs/>
          <w:sz w:val="20"/>
          <w:lang w:eastAsia="ru-RU"/>
        </w:rPr>
        <w:t>The Gurson-Tvergaard-Needleman (GTN) ductile fracture model requires knowledge of 9 coefficients: three model coefficients (q</w:t>
      </w:r>
      <w:r>
        <w:rPr>
          <w:bCs/>
          <w:iCs/>
          <w:sz w:val="20"/>
          <w:vertAlign w:val="subscript"/>
          <w:lang w:eastAsia="ru-RU"/>
        </w:rPr>
        <w:t>1</w:t>
      </w:r>
      <w:r>
        <w:rPr>
          <w:bCs/>
          <w:iCs/>
          <w:sz w:val="20"/>
          <w:lang w:eastAsia="ru-RU"/>
        </w:rPr>
        <w:t>, q</w:t>
      </w:r>
      <w:r>
        <w:rPr>
          <w:bCs/>
          <w:iCs/>
          <w:sz w:val="20"/>
          <w:vertAlign w:val="subscript"/>
          <w:lang w:eastAsia="ru-RU"/>
        </w:rPr>
        <w:t>2</w:t>
      </w:r>
      <w:r>
        <w:rPr>
          <w:bCs/>
          <w:iCs/>
          <w:sz w:val="20"/>
          <w:lang w:eastAsia="ru-RU"/>
        </w:rPr>
        <w:t>, and q</w:t>
      </w:r>
      <w:r>
        <w:rPr>
          <w:bCs/>
          <w:iCs/>
          <w:sz w:val="20"/>
          <w:vertAlign w:val="subscript"/>
          <w:lang w:eastAsia="ru-RU"/>
        </w:rPr>
        <w:t>3</w:t>
      </w:r>
      <w:r>
        <w:rPr>
          <w:bCs/>
          <w:iCs/>
          <w:sz w:val="20"/>
          <w:lang w:eastAsia="ru-RU"/>
        </w:rPr>
        <w:t>), the initial damage fraction f</w:t>
      </w:r>
      <w:r>
        <w:rPr>
          <w:bCs/>
          <w:iCs/>
          <w:sz w:val="20"/>
          <w:vertAlign w:val="subscript"/>
          <w:lang w:eastAsia="ru-RU"/>
        </w:rPr>
        <w:t>0</w:t>
      </w:r>
      <w:r>
        <w:rPr>
          <w:bCs/>
          <w:iCs/>
          <w:sz w:val="20"/>
          <w:lang w:eastAsia="ru-RU"/>
        </w:rPr>
        <w:t>, three damage kinetics coefficients (</w:t>
      </w:r>
      <w:r>
        <w:rPr>
          <w:bCs/>
          <w:i/>
          <w:iCs/>
          <w:sz w:val="20"/>
          <w:lang w:eastAsia="ru-RU"/>
        </w:rPr>
        <w:t>ε</w:t>
      </w:r>
      <w:r>
        <w:rPr>
          <w:bCs/>
          <w:iCs/>
          <w:sz w:val="20"/>
          <w:vertAlign w:val="subscript"/>
          <w:lang w:eastAsia="ru-RU"/>
        </w:rPr>
        <w:t>N</w:t>
      </w:r>
      <w:r>
        <w:rPr>
          <w:bCs/>
          <w:iCs/>
          <w:sz w:val="20"/>
          <w:lang w:eastAsia="ru-RU"/>
        </w:rPr>
        <w:t>, s</w:t>
      </w:r>
      <w:r>
        <w:rPr>
          <w:bCs/>
          <w:iCs/>
          <w:sz w:val="20"/>
          <w:vertAlign w:val="subscript"/>
          <w:lang w:eastAsia="ru-RU"/>
        </w:rPr>
        <w:t>N</w:t>
      </w:r>
      <w:r>
        <w:rPr>
          <w:bCs/>
          <w:iCs/>
          <w:sz w:val="20"/>
          <w:lang w:eastAsia="ru-RU"/>
        </w:rPr>
        <w:t>, and f</w:t>
      </w:r>
      <w:r>
        <w:rPr>
          <w:bCs/>
          <w:iCs/>
          <w:sz w:val="20"/>
          <w:vertAlign w:val="subscript"/>
          <w:lang w:eastAsia="ru-RU"/>
        </w:rPr>
        <w:t>N</w:t>
      </w:r>
      <w:r>
        <w:rPr>
          <w:bCs/>
          <w:iCs/>
          <w:sz w:val="20"/>
          <w:lang w:eastAsia="ru-RU"/>
        </w:rPr>
        <w:t>), and two fracture coefficients (f</w:t>
      </w:r>
      <w:r>
        <w:rPr>
          <w:bCs/>
          <w:iCs/>
          <w:sz w:val="20"/>
          <w:vertAlign w:val="subscript"/>
          <w:lang w:eastAsia="ru-RU"/>
        </w:rPr>
        <w:t>c</w:t>
      </w:r>
      <w:r>
        <w:rPr>
          <w:bCs/>
          <w:iCs/>
          <w:sz w:val="20"/>
          <w:lang w:eastAsia="ru-RU"/>
        </w:rPr>
        <w:t xml:space="preserve"> and f</w:t>
      </w:r>
      <w:r>
        <w:rPr>
          <w:bCs/>
          <w:iCs/>
          <w:sz w:val="20"/>
          <w:vertAlign w:val="subscript"/>
          <w:lang w:eastAsia="ru-RU"/>
        </w:rPr>
        <w:t>F</w:t>
      </w:r>
      <w:r>
        <w:rPr>
          <w:bCs/>
          <w:iCs/>
          <w:sz w:val="20"/>
          <w:lang w:eastAsia="ru-RU"/>
        </w:rPr>
        <w:t xml:space="preserve">) [8]. In the model, damage initiation in a material is determined by </w:t>
      </w:r>
      <w:r>
        <w:rPr>
          <w:bCs/>
          <w:i/>
          <w:iCs/>
          <w:sz w:val="20"/>
          <w:lang w:eastAsia="ru-RU"/>
        </w:rPr>
        <w:t>ε</w:t>
      </w:r>
      <w:r>
        <w:rPr>
          <w:bCs/>
          <w:iCs/>
          <w:sz w:val="20"/>
          <w:vertAlign w:val="subscript"/>
          <w:lang w:eastAsia="ru-RU"/>
        </w:rPr>
        <w:t>N</w:t>
      </w:r>
      <w:r>
        <w:rPr>
          <w:bCs/>
          <w:iCs/>
          <w:sz w:val="20"/>
          <w:lang w:eastAsia="ru-RU"/>
        </w:rPr>
        <w:t xml:space="preserve"> and sN coefficients dependent on the inelastic strain distribution in deformed body. In this study, it was assumed that damage initiation in plates under punching begins in the formed bands of plastic strain localization. The final stage of ductile fracture consist of coalescence of damage in the fracture zone into a crack, which leads to an acceleration of the growth rate of the damage parameter g* up to fracture when the damage parameter reaches the </w:t>
      </w:r>
      <w:r>
        <w:rPr>
          <w:bCs/>
          <w:i/>
          <w:iCs/>
          <w:sz w:val="20"/>
          <w:lang w:eastAsia="ru-RU"/>
        </w:rPr>
        <w:t>f</w:t>
      </w:r>
      <w:r>
        <w:rPr>
          <w:bCs/>
          <w:iCs/>
          <w:sz w:val="20"/>
          <w:vertAlign w:val="subscript"/>
          <w:lang w:eastAsia="ru-RU"/>
        </w:rPr>
        <w:t>F</w:t>
      </w:r>
      <w:r>
        <w:rPr>
          <w:bCs/>
          <w:iCs/>
          <w:sz w:val="20"/>
          <w:lang w:eastAsia="ru-RU"/>
        </w:rPr>
        <w:t xml:space="preserve"> value.</w:t>
      </w:r>
    </w:p>
    <w:p w14:paraId="131AFF67" w14:textId="026DFDCB" w:rsidR="000D38DE" w:rsidRPr="000D38DE" w:rsidRDefault="00000000" w:rsidP="000D38DE">
      <w:pPr>
        <w:ind w:firstLine="289"/>
        <w:jc w:val="both"/>
        <w:rPr>
          <w:bCs/>
          <w:iCs/>
          <w:sz w:val="20"/>
          <w:lang w:eastAsia="ru-RU"/>
        </w:rPr>
      </w:pPr>
      <w:r>
        <w:rPr>
          <w:bCs/>
          <w:iCs/>
          <w:sz w:val="20"/>
          <w:lang w:eastAsia="ru-RU"/>
        </w:rPr>
        <w:t>The Considere’s criterion [11] was used as a criterion for the origin of plastic deformation instability leading to the formation of macro localization bands:</w:t>
      </w:r>
    </w:p>
    <w:p w14:paraId="2C07EB66" w14:textId="6B163927" w:rsidR="009B667A" w:rsidRDefault="008E67F4">
      <w:pPr>
        <w:pStyle w:val="Equation"/>
        <w:spacing w:before="200" w:after="200"/>
        <w:jc w:val="right"/>
      </w:pPr>
      <w:r>
        <w:tab/>
      </w:r>
      <m:oMath>
        <m:f>
          <m:fPr>
            <m:ctrlPr>
              <w:rPr>
                <w:rFonts w:ascii="Cambria Math" w:hAnsi="Cambria Math"/>
                <w:sz w:val="24"/>
                <w:szCs w:val="24"/>
              </w:rPr>
            </m:ctrlPr>
          </m:fPr>
          <m:num>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σ</m:t>
                </m:r>
              </m:e>
              <m:sub>
                <m:r>
                  <w:rPr>
                    <w:rFonts w:ascii="Cambria Math" w:hAnsi="Cambria Math"/>
                    <w:sz w:val="24"/>
                    <w:szCs w:val="24"/>
                  </w:rPr>
                  <m:t>s</m:t>
                </m:r>
              </m:sub>
            </m:sSub>
          </m:num>
          <m:den>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ε</m:t>
                </m:r>
              </m:e>
              <m:sub>
                <m:r>
                  <m:rPr>
                    <m:lit/>
                    <m:nor/>
                  </m:rPr>
                  <w:rPr>
                    <w:sz w:val="24"/>
                    <w:szCs w:val="24"/>
                  </w:rPr>
                  <m:t>eq</m:t>
                </m:r>
              </m:sub>
              <m:sup>
                <m:r>
                  <w:rPr>
                    <w:rFonts w:ascii="Cambria Math" w:hAnsi="Cambria Math"/>
                    <w:sz w:val="24"/>
                    <w:szCs w:val="24"/>
                  </w:rPr>
                  <m:t>p</m:t>
                </m:r>
              </m:sup>
            </m:sSubSup>
          </m:den>
        </m:f>
        <m:r>
          <m:rPr>
            <m:lit/>
            <m:nor/>
          </m:rPr>
          <w:rPr>
            <w:sz w:val="24"/>
            <w:szCs w:val="24"/>
          </w:rPr>
          <m:t xml:space="preserve"> +</m:t>
        </m:r>
        <m:f>
          <m:fPr>
            <m:ctrlPr>
              <w:rPr>
                <w:rFonts w:ascii="Cambria Math" w:hAnsi="Cambria Math"/>
                <w:sz w:val="24"/>
                <w:szCs w:val="24"/>
              </w:rPr>
            </m:ctrlPr>
          </m:fPr>
          <m:num>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σ</m:t>
                </m:r>
              </m:e>
              <m:sub>
                <m:r>
                  <w:rPr>
                    <w:rFonts w:ascii="Cambria Math" w:hAnsi="Cambria Math"/>
                    <w:sz w:val="24"/>
                    <w:szCs w:val="24"/>
                  </w:rPr>
                  <m:t>s</m:t>
                </m:r>
              </m:sub>
            </m:sSub>
          </m:num>
          <m:den>
            <m:r>
              <w:rPr>
                <w:rFonts w:ascii="Cambria Math" w:hAnsi="Cambria Math"/>
                <w:sz w:val="24"/>
                <w:szCs w:val="24"/>
              </w:rPr>
              <m:t>∂</m:t>
            </m:r>
            <m:sSubSup>
              <m:sSubSupPr>
                <m:ctrlPr>
                  <w:rPr>
                    <w:rFonts w:ascii="Cambria Math" w:hAnsi="Cambria Math"/>
                    <w:sz w:val="24"/>
                    <w:szCs w:val="24"/>
                  </w:rPr>
                </m:ctrlPr>
              </m:sSubSupPr>
              <m:e>
                <m:acc>
                  <m:accPr>
                    <m:chr m:val="˙"/>
                    <m:ctrlPr>
                      <w:rPr>
                        <w:rFonts w:ascii="Cambria Math" w:hAnsi="Cambria Math"/>
                        <w:sz w:val="24"/>
                        <w:szCs w:val="24"/>
                      </w:rPr>
                    </m:ctrlPr>
                  </m:accPr>
                  <m:e>
                    <m:r>
                      <w:rPr>
                        <w:rFonts w:ascii="Cambria Math" w:hAnsi="Cambria Math"/>
                        <w:sz w:val="24"/>
                        <w:szCs w:val="24"/>
                      </w:rPr>
                      <m:t>ε</m:t>
                    </m:r>
                  </m:e>
                </m:acc>
              </m:e>
              <m:sub>
                <m:r>
                  <m:rPr>
                    <m:lit/>
                    <m:nor/>
                  </m:rPr>
                  <w:rPr>
                    <w:sz w:val="24"/>
                    <w:szCs w:val="24"/>
                  </w:rPr>
                  <m:t>eq</m:t>
                </m:r>
              </m:sub>
              <m:sup>
                <m:r>
                  <w:rPr>
                    <w:rFonts w:ascii="Cambria Math" w:hAnsi="Cambria Math"/>
                    <w:sz w:val="24"/>
                    <w:szCs w:val="24"/>
                  </w:rPr>
                  <m:t>p</m:t>
                </m:r>
              </m:sup>
            </m:sSubSup>
          </m:den>
        </m:f>
        <m:f>
          <m:fPr>
            <m:ctrlPr>
              <w:rPr>
                <w:rFonts w:ascii="Cambria Math" w:hAnsi="Cambria Math"/>
                <w:sz w:val="24"/>
                <w:szCs w:val="24"/>
              </w:rPr>
            </m:ctrlPr>
          </m:fPr>
          <m:num>
            <m:r>
              <w:rPr>
                <w:rFonts w:ascii="Cambria Math" w:hAnsi="Cambria Math"/>
                <w:sz w:val="24"/>
                <w:szCs w:val="24"/>
              </w:rPr>
              <m:t>∂</m:t>
            </m:r>
            <m:sSubSup>
              <m:sSubSupPr>
                <m:ctrlPr>
                  <w:rPr>
                    <w:rFonts w:ascii="Cambria Math" w:hAnsi="Cambria Math"/>
                    <w:sz w:val="24"/>
                    <w:szCs w:val="24"/>
                  </w:rPr>
                </m:ctrlPr>
              </m:sSubSupPr>
              <m:e>
                <m:acc>
                  <m:accPr>
                    <m:chr m:val="˙"/>
                    <m:ctrlPr>
                      <w:rPr>
                        <w:rFonts w:ascii="Cambria Math" w:hAnsi="Cambria Math"/>
                        <w:sz w:val="24"/>
                        <w:szCs w:val="24"/>
                      </w:rPr>
                    </m:ctrlPr>
                  </m:accPr>
                  <m:e>
                    <m:r>
                      <w:rPr>
                        <w:rFonts w:ascii="Cambria Math" w:hAnsi="Cambria Math"/>
                        <w:sz w:val="24"/>
                        <w:szCs w:val="24"/>
                      </w:rPr>
                      <m:t>ε</m:t>
                    </m:r>
                  </m:e>
                </m:acc>
              </m:e>
              <m:sub>
                <m:r>
                  <m:rPr>
                    <m:lit/>
                    <m:nor/>
                  </m:rPr>
                  <w:rPr>
                    <w:sz w:val="24"/>
                    <w:szCs w:val="24"/>
                  </w:rPr>
                  <m:t>eq</m:t>
                </m:r>
              </m:sub>
              <m:sup>
                <m:r>
                  <w:rPr>
                    <w:rFonts w:ascii="Cambria Math" w:hAnsi="Cambria Math"/>
                    <w:sz w:val="24"/>
                    <w:szCs w:val="24"/>
                  </w:rPr>
                  <m:t>p</m:t>
                </m:r>
              </m:sup>
            </m:sSubSup>
          </m:num>
          <m:den>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ε</m:t>
                </m:r>
              </m:e>
              <m:sub>
                <m:r>
                  <m:rPr>
                    <m:lit/>
                    <m:nor/>
                  </m:rPr>
                  <w:rPr>
                    <w:sz w:val="24"/>
                    <w:szCs w:val="24"/>
                  </w:rPr>
                  <m:t>eq</m:t>
                </m:r>
              </m:sub>
              <m:sup>
                <m:r>
                  <w:rPr>
                    <w:rFonts w:ascii="Cambria Math" w:hAnsi="Cambria Math"/>
                    <w:sz w:val="24"/>
                    <w:szCs w:val="24"/>
                  </w:rPr>
                  <m:t>p</m:t>
                </m:r>
              </m:sup>
            </m:sSubSup>
          </m:den>
        </m:f>
        <m:r>
          <m:rPr>
            <m:lit/>
            <m:nor/>
          </m:rPr>
          <w:rPr>
            <w:sz w:val="24"/>
            <w:szCs w:val="24"/>
          </w:rPr>
          <m:t xml:space="preserve"> + </m:t>
        </m:r>
        <m:f>
          <m:fPr>
            <m:ctrlPr>
              <w:rPr>
                <w:rFonts w:ascii="Cambria Math" w:hAnsi="Cambria Math"/>
                <w:sz w:val="24"/>
                <w:szCs w:val="24"/>
              </w:rPr>
            </m:ctrlPr>
          </m:fPr>
          <m:num>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σ</m:t>
                </m:r>
              </m:e>
              <m:sub>
                <m:r>
                  <w:rPr>
                    <w:rFonts w:ascii="Cambria Math" w:hAnsi="Cambria Math"/>
                    <w:sz w:val="24"/>
                    <w:szCs w:val="24"/>
                  </w:rPr>
                  <m:t>s</m:t>
                </m:r>
              </m:sub>
            </m:sSub>
          </m:num>
          <m:den>
            <m:r>
              <w:rPr>
                <w:rFonts w:ascii="Cambria Math" w:hAnsi="Cambria Math"/>
                <w:sz w:val="24"/>
                <w:szCs w:val="24"/>
              </w:rPr>
              <m:t>∂T</m:t>
            </m:r>
          </m:den>
        </m:f>
        <m:f>
          <m:fPr>
            <m:ctrlPr>
              <w:rPr>
                <w:rFonts w:ascii="Cambria Math" w:hAnsi="Cambria Math"/>
                <w:sz w:val="24"/>
                <w:szCs w:val="24"/>
              </w:rPr>
            </m:ctrlPr>
          </m:fPr>
          <m:num>
            <m:r>
              <w:rPr>
                <w:rFonts w:ascii="Cambria Math" w:hAnsi="Cambria Math"/>
                <w:sz w:val="24"/>
                <w:szCs w:val="24"/>
              </w:rPr>
              <m:t>∂T</m:t>
            </m:r>
          </m:num>
          <m:den>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ε</m:t>
                </m:r>
              </m:e>
              <m:sub>
                <m:r>
                  <m:rPr>
                    <m:lit/>
                    <m:nor/>
                  </m:rPr>
                  <w:rPr>
                    <w:sz w:val="24"/>
                    <w:szCs w:val="24"/>
                  </w:rPr>
                  <m:t>eq</m:t>
                </m:r>
              </m:sub>
              <m:sup>
                <m:r>
                  <w:rPr>
                    <w:rFonts w:ascii="Cambria Math" w:hAnsi="Cambria Math"/>
                    <w:sz w:val="24"/>
                    <w:szCs w:val="24"/>
                  </w:rPr>
                  <m:t>p</m:t>
                </m:r>
              </m:sup>
            </m:sSubSup>
          </m:den>
        </m:f>
        <m:r>
          <m:rPr>
            <m:lit/>
            <m:nor/>
          </m:rPr>
          <w:rPr>
            <w:sz w:val="24"/>
            <w:szCs w:val="24"/>
          </w:rPr>
          <m:t xml:space="preserve"> +</m:t>
        </m:r>
        <m:f>
          <m:fPr>
            <m:ctrlPr>
              <w:rPr>
                <w:rFonts w:ascii="Cambria Math" w:hAnsi="Cambria Math"/>
                <w:sz w:val="24"/>
                <w:szCs w:val="24"/>
              </w:rPr>
            </m:ctrlPr>
          </m:fPr>
          <m:num>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σ</m:t>
                </m:r>
              </m:e>
              <m:sub>
                <m:r>
                  <w:rPr>
                    <w:rFonts w:ascii="Cambria Math" w:hAnsi="Cambria Math"/>
                    <w:sz w:val="24"/>
                    <w:szCs w:val="24"/>
                  </w:rPr>
                  <m:t>s</m:t>
                </m:r>
              </m:sub>
            </m:sSub>
          </m:num>
          <m:den>
            <m:r>
              <w:rPr>
                <w:rFonts w:ascii="Cambria Math" w:hAnsi="Cambria Math"/>
                <w:sz w:val="24"/>
                <w:szCs w:val="24"/>
              </w:rPr>
              <m:t>∂</m:t>
            </m:r>
            <m:r>
              <m:rPr>
                <m:lit/>
                <m:nor/>
              </m:rPr>
              <w:rPr>
                <w:sz w:val="24"/>
                <w:szCs w:val="24"/>
              </w:rPr>
              <m:t xml:space="preserve"> </m:t>
            </m:r>
            <m:r>
              <w:rPr>
                <w:rFonts w:ascii="Cambria Math" w:hAnsi="Cambria Math"/>
                <w:sz w:val="24"/>
                <w:szCs w:val="24"/>
              </w:rPr>
              <m:t>g</m:t>
            </m:r>
            <m:r>
              <m:rPr>
                <m:sty m:val="p"/>
              </m:rPr>
              <w:rPr>
                <w:rFonts w:ascii="Cambria Math" w:hAnsi="Cambria Math"/>
                <w:sz w:val="24"/>
                <w:szCs w:val="24"/>
              </w:rPr>
              <m:t>*</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g</m:t>
            </m:r>
            <m:r>
              <m:rPr>
                <m:sty m:val="p"/>
              </m:rPr>
              <w:rPr>
                <w:rFonts w:ascii="Cambria Math" w:hAnsi="Cambria Math"/>
                <w:sz w:val="24"/>
                <w:szCs w:val="24"/>
              </w:rPr>
              <m:t>*</m:t>
            </m:r>
          </m:num>
          <m:den>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ε</m:t>
                </m:r>
              </m:e>
              <m:sub>
                <m:r>
                  <m:rPr>
                    <m:lit/>
                    <m:nor/>
                  </m:rPr>
                  <w:rPr>
                    <w:sz w:val="24"/>
                    <w:szCs w:val="24"/>
                  </w:rPr>
                  <m:t>eq</m:t>
                </m:r>
              </m:sub>
              <m:sup>
                <m:r>
                  <w:rPr>
                    <w:rFonts w:ascii="Cambria Math" w:hAnsi="Cambria Math"/>
                    <w:sz w:val="24"/>
                    <w:szCs w:val="24"/>
                  </w:rPr>
                  <m:t>p</m:t>
                </m:r>
              </m:sup>
            </m:sSubSup>
          </m:den>
        </m:f>
        <m:r>
          <m:rPr>
            <m:lit/>
            <m:nor/>
          </m:rPr>
          <w:rPr>
            <w:sz w:val="24"/>
            <w:szCs w:val="24"/>
          </w:rPr>
          <m:t xml:space="preserve"> =</m:t>
        </m:r>
        <m:sSub>
          <m:sSubPr>
            <m:ctrlPr>
              <w:rPr>
                <w:rFonts w:ascii="Cambria Math" w:hAnsi="Cambria Math"/>
                <w:sz w:val="24"/>
                <w:szCs w:val="24"/>
              </w:rPr>
            </m:ctrlPr>
          </m:sSubPr>
          <m:e>
            <m:r>
              <w:rPr>
                <w:rFonts w:ascii="Cambria Math" w:hAnsi="Cambria Math"/>
                <w:sz w:val="24"/>
                <w:szCs w:val="24"/>
              </w:rPr>
              <m:t>σ</m:t>
            </m:r>
          </m:e>
          <m:sub>
            <m:r>
              <w:rPr>
                <w:rFonts w:ascii="Cambria Math" w:hAnsi="Cambria Math"/>
                <w:sz w:val="24"/>
                <w:szCs w:val="24"/>
              </w:rPr>
              <m:t>s</m:t>
            </m:r>
          </m:sub>
        </m:sSub>
        <m:r>
          <m:rPr>
            <m:lit/>
            <m:nor/>
          </m:rPr>
          <w:rPr>
            <w:sz w:val="24"/>
            <w:szCs w:val="24"/>
          </w:rPr>
          <m:t xml:space="preserve"> ,</m:t>
        </m:r>
      </m:oMath>
      <w:r w:rsidRPr="008E67F4">
        <w:tab/>
        <w:t>(4)</w:t>
      </w:r>
    </w:p>
    <w:p w14:paraId="46DE6FC3" w14:textId="73328F11" w:rsidR="009B667A" w:rsidRPr="00C53A87" w:rsidRDefault="008E67F4" w:rsidP="008E67F4">
      <w:pPr>
        <w:pStyle w:val="Paragraph"/>
        <w:ind w:firstLine="0"/>
      </w:pPr>
      <w:r>
        <w:rPr>
          <w:lang w:eastAsia="ru-RU"/>
        </w:rPr>
        <w:t>wh</w:t>
      </w:r>
      <w:r w:rsidRPr="00C53A87">
        <w:rPr>
          <w:lang w:eastAsia="ru-RU"/>
        </w:rPr>
        <w:t>ere g* is the damage parameter of the alloy.</w:t>
      </w:r>
    </w:p>
    <w:p w14:paraId="5E725F29" w14:textId="24E051B6" w:rsidR="009B667A" w:rsidRDefault="00000000">
      <w:pPr>
        <w:ind w:firstLine="284"/>
        <w:jc w:val="both"/>
        <w:rPr>
          <w:bCs/>
          <w:iCs/>
          <w:sz w:val="20"/>
          <w:lang w:eastAsia="ru-RU"/>
        </w:rPr>
      </w:pPr>
      <w:r>
        <w:rPr>
          <w:bCs/>
          <w:iCs/>
          <w:sz w:val="20"/>
          <w:lang w:eastAsia="ru-RU"/>
        </w:rPr>
        <w:t>Criterion (4) takes the form (5) in the initial state taking into account (1)–(3), under loading at a constant deformation rate, in the absence of damage in the alloy:</w:t>
      </w:r>
    </w:p>
    <w:p w14:paraId="64B98122" w14:textId="3E5724FA" w:rsidR="009B667A" w:rsidRDefault="008E67F4">
      <w:pPr>
        <w:pStyle w:val="Equation"/>
        <w:spacing w:before="200" w:after="200"/>
        <w:jc w:val="right"/>
      </w:pPr>
      <w:r>
        <w:lastRenderedPageBreak/>
        <w:tab/>
      </w:r>
      <m:oMath>
        <m:f>
          <m:fPr>
            <m:ctrlPr>
              <w:rPr>
                <w:rFonts w:ascii="Cambria Math" w:hAnsi="Cambria Math"/>
                <w:sz w:val="24"/>
                <w:szCs w:val="24"/>
              </w:rPr>
            </m:ctrlPr>
          </m:fPr>
          <m:num>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σ</m:t>
                </m:r>
              </m:e>
              <m:sub>
                <m:r>
                  <w:rPr>
                    <w:rFonts w:ascii="Cambria Math" w:hAnsi="Cambria Math"/>
                    <w:sz w:val="24"/>
                    <w:szCs w:val="24"/>
                  </w:rPr>
                  <m:t>s</m:t>
                </m:r>
              </m:sub>
            </m:sSub>
          </m:num>
          <m:den>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ε</m:t>
                </m:r>
              </m:e>
              <m:sub>
                <m:r>
                  <m:rPr>
                    <m:lit/>
                    <m:nor/>
                  </m:rPr>
                  <w:rPr>
                    <w:rFonts w:ascii="Cambria Math" w:hAnsi="Cambria Math"/>
                    <w:sz w:val="24"/>
                    <w:szCs w:val="24"/>
                  </w:rPr>
                  <m:t>eq</m:t>
                </m:r>
              </m:sub>
              <m:sup>
                <m:r>
                  <w:rPr>
                    <w:rFonts w:ascii="Cambria Math" w:hAnsi="Cambria Math"/>
                    <w:sz w:val="24"/>
                    <w:szCs w:val="24"/>
                  </w:rPr>
                  <m:t>p</m:t>
                </m:r>
              </m:sup>
            </m:sSubSup>
          </m:den>
        </m:f>
        <m:r>
          <m:rPr>
            <m:lit/>
            <m:nor/>
          </m:rPr>
          <w:rPr>
            <w:rFonts w:ascii="Cambria Math" w:hAnsi="Cambria Math"/>
            <w:sz w:val="24"/>
            <w:szCs w:val="24"/>
          </w:rPr>
          <m:t xml:space="preserve"> =</m:t>
        </m:r>
        <m:r>
          <w:rPr>
            <w:rFonts w:ascii="Cambria Math" w:hAnsi="Cambria Math"/>
            <w:sz w:val="24"/>
            <w:szCs w:val="24"/>
          </w:rPr>
          <m:t>(</m:t>
        </m:r>
        <m:r>
          <m:rPr>
            <m:lit/>
            <m:nor/>
          </m:rPr>
          <w:rPr>
            <w:rFonts w:ascii="Cambria Math" w:hAnsi="Cambria Math"/>
            <w:sz w:val="24"/>
            <w:szCs w:val="24"/>
          </w:rPr>
          <m:t xml:space="preserve">1-  </m:t>
        </m:r>
        <m:f>
          <m:fPr>
            <m:ctrlPr>
              <w:rPr>
                <w:rFonts w:ascii="Cambria Math" w:hAnsi="Cambria Math"/>
                <w:sz w:val="24"/>
                <w:szCs w:val="24"/>
              </w:rPr>
            </m:ctrlPr>
          </m:fPr>
          <m:num>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σ</m:t>
                </m:r>
              </m:e>
              <m:sub>
                <m:r>
                  <w:rPr>
                    <w:rFonts w:ascii="Cambria Math" w:hAnsi="Cambria Math"/>
                    <w:sz w:val="24"/>
                    <w:szCs w:val="24"/>
                  </w:rPr>
                  <m:t>s</m:t>
                </m:r>
              </m:sub>
            </m:sSub>
          </m:num>
          <m:den>
            <m:r>
              <w:rPr>
                <w:rFonts w:ascii="Cambria Math" w:hAnsi="Cambria Math"/>
                <w:sz w:val="24"/>
                <w:szCs w:val="24"/>
              </w:rPr>
              <m:t>∂T</m:t>
            </m:r>
          </m:den>
        </m:f>
        <m:f>
          <m:fPr>
            <m:ctrlPr>
              <w:rPr>
                <w:rFonts w:ascii="Cambria Math" w:hAnsi="Cambria Math"/>
                <w:sz w:val="24"/>
                <w:szCs w:val="24"/>
              </w:rPr>
            </m:ctrlPr>
          </m:fPr>
          <m:num>
            <m:r>
              <w:rPr>
                <w:rFonts w:ascii="Cambria Math" w:hAnsi="Cambria Math"/>
                <w:sz w:val="24"/>
                <w:szCs w:val="24"/>
              </w:rPr>
              <m:t>β</m:t>
            </m:r>
          </m:num>
          <m:den>
            <m:sSub>
              <m:sSubPr>
                <m:ctrlPr>
                  <w:rPr>
                    <w:rFonts w:ascii="Cambria Math" w:hAnsi="Cambria Math"/>
                    <w:sz w:val="24"/>
                    <w:szCs w:val="24"/>
                  </w:rPr>
                </m:ctrlPr>
              </m:sSubPr>
              <m:e>
                <m:r>
                  <w:rPr>
                    <w:rFonts w:ascii="Cambria Math" w:hAnsi="Cambria Math"/>
                    <w:sz w:val="24"/>
                    <w:szCs w:val="24"/>
                  </w:rPr>
                  <m:t>ρC</m:t>
                </m:r>
              </m:e>
              <m:sub>
                <m:r>
                  <w:rPr>
                    <w:rFonts w:ascii="Cambria Math" w:hAnsi="Cambria Math"/>
                    <w:sz w:val="24"/>
                    <w:szCs w:val="24"/>
                  </w:rPr>
                  <m:t>p</m:t>
                </m:r>
              </m:sub>
            </m:sSub>
          </m:den>
        </m:f>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σ</m:t>
            </m:r>
          </m:e>
          <m:sub>
            <m:r>
              <w:rPr>
                <w:rFonts w:ascii="Cambria Math" w:hAnsi="Cambria Math"/>
                <w:sz w:val="24"/>
                <w:szCs w:val="24"/>
              </w:rPr>
              <m:t>s</m:t>
            </m:r>
          </m:sub>
        </m:sSub>
        <m:r>
          <m:rPr>
            <m:lit/>
            <m:nor/>
          </m:rPr>
          <w:rPr>
            <w:rFonts w:ascii="Cambria Math" w:hAnsi="Cambria Math"/>
            <w:sz w:val="24"/>
            <w:szCs w:val="24"/>
          </w:rPr>
          <m:t xml:space="preserve"> ,</m:t>
        </m:r>
      </m:oMath>
      <w:r>
        <w:rPr>
          <w:position w:val="-14"/>
        </w:rPr>
        <w:tab/>
        <w:t>(5)</w:t>
      </w:r>
    </w:p>
    <w:p w14:paraId="3B9BDC01" w14:textId="77777777" w:rsidR="009B667A" w:rsidRDefault="00000000">
      <w:pPr>
        <w:pStyle w:val="Paragraph"/>
        <w:ind w:firstLine="289"/>
        <w:jc w:val="left"/>
        <w:rPr>
          <w:bCs/>
          <w:iCs/>
          <w:lang w:eastAsia="ru-RU"/>
        </w:rPr>
      </w:pPr>
      <w:r>
        <w:rPr>
          <w:bCs/>
          <w:iCs/>
          <w:position w:val="-30"/>
          <w:lang w:eastAsia="ru-RU"/>
        </w:rPr>
        <w:t xml:space="preserve">The values of the coefficients were determined taking into account the experimental data [12-14] for magnesium </w:t>
      </w:r>
      <w:r>
        <w:rPr>
          <w:bCs/>
          <w:iCs/>
          <w:lang w:eastAsia="ru-RU"/>
        </w:rPr>
        <w:t>alloy.The model parameters for МА2 alloy were obtained in a semi-inverse numerical simulation of a uniaxial tensile test: q</w:t>
      </w:r>
      <w:r>
        <w:rPr>
          <w:bCs/>
          <w:i/>
          <w:iCs/>
          <w:vertAlign w:val="subscript"/>
          <w:lang w:eastAsia="ru-RU"/>
        </w:rPr>
        <w:t>1</w:t>
      </w:r>
      <w:r>
        <w:rPr>
          <w:bCs/>
          <w:i/>
          <w:iCs/>
          <w:lang w:eastAsia="ru-RU"/>
        </w:rPr>
        <w:t xml:space="preserve"> </w:t>
      </w:r>
      <w:r>
        <w:rPr>
          <w:bCs/>
          <w:iCs/>
          <w:lang w:eastAsia="ru-RU"/>
        </w:rPr>
        <w:t>= 1.5, q</w:t>
      </w:r>
      <w:r>
        <w:rPr>
          <w:bCs/>
          <w:i/>
          <w:iCs/>
          <w:vertAlign w:val="subscript"/>
          <w:lang w:eastAsia="ru-RU"/>
        </w:rPr>
        <w:t>2</w:t>
      </w:r>
      <w:r>
        <w:rPr>
          <w:bCs/>
          <w:iCs/>
          <w:lang w:eastAsia="ru-RU"/>
        </w:rPr>
        <w:t xml:space="preserve"> = 1, q</w:t>
      </w:r>
      <w:r>
        <w:rPr>
          <w:bCs/>
          <w:iCs/>
          <w:vertAlign w:val="subscript"/>
          <w:lang w:eastAsia="ru-RU"/>
        </w:rPr>
        <w:t>3</w:t>
      </w:r>
      <w:r>
        <w:rPr>
          <w:bCs/>
          <w:iCs/>
          <w:lang w:eastAsia="ru-RU"/>
        </w:rPr>
        <w:t xml:space="preserve"> = 1.0, f</w:t>
      </w:r>
      <w:r>
        <w:rPr>
          <w:bCs/>
          <w:i/>
          <w:iCs/>
          <w:vertAlign w:val="subscript"/>
          <w:lang w:eastAsia="ru-RU"/>
        </w:rPr>
        <w:t>0</w:t>
      </w:r>
      <w:r>
        <w:rPr>
          <w:bCs/>
          <w:iCs/>
          <w:lang w:eastAsia="ru-RU"/>
        </w:rPr>
        <w:t xml:space="preserve"> = 0, f</w:t>
      </w:r>
      <w:r>
        <w:rPr>
          <w:bCs/>
          <w:iCs/>
          <w:vertAlign w:val="subscript"/>
          <w:lang w:eastAsia="ru-RU"/>
        </w:rPr>
        <w:t xml:space="preserve">N </w:t>
      </w:r>
      <w:r>
        <w:rPr>
          <w:bCs/>
          <w:iCs/>
          <w:lang w:eastAsia="ru-RU"/>
        </w:rPr>
        <w:t>= 0.156, f</w:t>
      </w:r>
      <w:r>
        <w:rPr>
          <w:bCs/>
          <w:iCs/>
          <w:vertAlign w:val="subscript"/>
          <w:lang w:eastAsia="ru-RU"/>
        </w:rPr>
        <w:t>c</w:t>
      </w:r>
      <w:r>
        <w:rPr>
          <w:bCs/>
          <w:iCs/>
          <w:lang w:eastAsia="ru-RU"/>
        </w:rPr>
        <w:t xml:space="preserve"> = 0.112, f</w:t>
      </w:r>
      <w:r>
        <w:rPr>
          <w:bCs/>
          <w:iCs/>
          <w:vertAlign w:val="subscript"/>
          <w:lang w:eastAsia="ru-RU"/>
        </w:rPr>
        <w:t>F</w:t>
      </w:r>
      <w:r>
        <w:rPr>
          <w:bCs/>
          <w:iCs/>
          <w:lang w:eastAsia="ru-RU"/>
        </w:rPr>
        <w:t xml:space="preserve"> = 0.260, </w:t>
      </w:r>
      <w:r>
        <w:rPr>
          <w:bCs/>
          <w:i/>
          <w:iCs/>
          <w:lang w:eastAsia="ru-RU"/>
        </w:rPr>
        <w:t>ε</w:t>
      </w:r>
      <w:r>
        <w:rPr>
          <w:bCs/>
          <w:iCs/>
          <w:vertAlign w:val="subscript"/>
          <w:lang w:eastAsia="ru-RU"/>
        </w:rPr>
        <w:t>N</w:t>
      </w:r>
      <w:r>
        <w:rPr>
          <w:bCs/>
          <w:iCs/>
          <w:lang w:eastAsia="ru-RU"/>
        </w:rPr>
        <w:t xml:space="preserve"> = 0.1, s</w:t>
      </w:r>
      <w:r>
        <w:rPr>
          <w:bCs/>
          <w:iCs/>
          <w:vertAlign w:val="subscript"/>
          <w:lang w:eastAsia="ru-RU"/>
        </w:rPr>
        <w:t>N</w:t>
      </w:r>
      <w:r>
        <w:rPr>
          <w:bCs/>
          <w:iCs/>
          <w:lang w:eastAsia="ru-RU"/>
        </w:rPr>
        <w:t xml:space="preserve"> = 0.02.</w:t>
      </w:r>
    </w:p>
    <w:p w14:paraId="6553E65B" w14:textId="77777777" w:rsidR="009B667A" w:rsidRDefault="00000000">
      <w:pPr>
        <w:ind w:firstLine="284"/>
        <w:jc w:val="both"/>
        <w:rPr>
          <w:bCs/>
          <w:iCs/>
          <w:sz w:val="20"/>
          <w:lang w:eastAsia="ru-RU"/>
        </w:rPr>
      </w:pPr>
      <w:r>
        <w:rPr>
          <w:bCs/>
          <w:iCs/>
          <w:sz w:val="20"/>
          <w:lang w:eastAsia="ru-RU"/>
        </w:rPr>
        <w:t>The model parameters for the AMg2 alloy were obtained in a semi-inverse numerical simulation of a uniaxial tensile test: q</w:t>
      </w:r>
      <w:r>
        <w:rPr>
          <w:bCs/>
          <w:i/>
          <w:iCs/>
          <w:sz w:val="20"/>
          <w:vertAlign w:val="subscript"/>
          <w:lang w:eastAsia="ru-RU"/>
        </w:rPr>
        <w:t>1</w:t>
      </w:r>
      <w:r>
        <w:rPr>
          <w:bCs/>
          <w:i/>
          <w:iCs/>
          <w:sz w:val="20"/>
          <w:lang w:eastAsia="ru-RU"/>
        </w:rPr>
        <w:t xml:space="preserve"> </w:t>
      </w:r>
      <w:r>
        <w:rPr>
          <w:bCs/>
          <w:iCs/>
          <w:sz w:val="20"/>
          <w:lang w:eastAsia="ru-RU"/>
        </w:rPr>
        <w:t>= 1.5, q</w:t>
      </w:r>
      <w:r>
        <w:rPr>
          <w:bCs/>
          <w:i/>
          <w:iCs/>
          <w:sz w:val="20"/>
          <w:vertAlign w:val="subscript"/>
          <w:lang w:eastAsia="ru-RU"/>
        </w:rPr>
        <w:t>2</w:t>
      </w:r>
      <w:r>
        <w:rPr>
          <w:bCs/>
          <w:iCs/>
          <w:sz w:val="20"/>
          <w:lang w:eastAsia="ru-RU"/>
        </w:rPr>
        <w:t xml:space="preserve"> = 1, q</w:t>
      </w:r>
      <w:r>
        <w:rPr>
          <w:bCs/>
          <w:iCs/>
          <w:sz w:val="20"/>
          <w:vertAlign w:val="subscript"/>
          <w:lang w:eastAsia="ru-RU"/>
        </w:rPr>
        <w:t>3</w:t>
      </w:r>
      <w:r>
        <w:rPr>
          <w:bCs/>
          <w:iCs/>
          <w:sz w:val="20"/>
          <w:lang w:eastAsia="ru-RU"/>
        </w:rPr>
        <w:t xml:space="preserve"> = 2.25, f</w:t>
      </w:r>
      <w:r>
        <w:rPr>
          <w:bCs/>
          <w:i/>
          <w:iCs/>
          <w:sz w:val="20"/>
          <w:vertAlign w:val="subscript"/>
          <w:lang w:eastAsia="ru-RU"/>
        </w:rPr>
        <w:t>0</w:t>
      </w:r>
      <w:r>
        <w:rPr>
          <w:bCs/>
          <w:iCs/>
          <w:sz w:val="20"/>
          <w:lang w:eastAsia="ru-RU"/>
        </w:rPr>
        <w:t xml:space="preserve"> = 0, f</w:t>
      </w:r>
      <w:r>
        <w:rPr>
          <w:bCs/>
          <w:iCs/>
          <w:sz w:val="20"/>
          <w:vertAlign w:val="subscript"/>
          <w:lang w:eastAsia="ru-RU"/>
        </w:rPr>
        <w:t xml:space="preserve">N </w:t>
      </w:r>
      <w:r>
        <w:rPr>
          <w:bCs/>
          <w:iCs/>
          <w:sz w:val="20"/>
          <w:lang w:eastAsia="ru-RU"/>
        </w:rPr>
        <w:t>= 0.136, f</w:t>
      </w:r>
      <w:r>
        <w:rPr>
          <w:bCs/>
          <w:iCs/>
          <w:sz w:val="20"/>
          <w:vertAlign w:val="subscript"/>
          <w:lang w:eastAsia="ru-RU"/>
        </w:rPr>
        <w:t>c</w:t>
      </w:r>
      <w:r>
        <w:rPr>
          <w:bCs/>
          <w:iCs/>
          <w:sz w:val="20"/>
          <w:lang w:eastAsia="ru-RU"/>
        </w:rPr>
        <w:t xml:space="preserve"> = 0.02, f</w:t>
      </w:r>
      <w:r>
        <w:rPr>
          <w:bCs/>
          <w:iCs/>
          <w:sz w:val="20"/>
          <w:vertAlign w:val="subscript"/>
          <w:lang w:eastAsia="ru-RU"/>
        </w:rPr>
        <w:t>F</w:t>
      </w:r>
      <w:r>
        <w:rPr>
          <w:bCs/>
          <w:iCs/>
          <w:sz w:val="20"/>
          <w:lang w:eastAsia="ru-RU"/>
        </w:rPr>
        <w:t xml:space="preserve"> = 0.03, </w:t>
      </w:r>
      <w:r>
        <w:rPr>
          <w:bCs/>
          <w:i/>
          <w:iCs/>
          <w:sz w:val="20"/>
          <w:lang w:eastAsia="ru-RU"/>
        </w:rPr>
        <w:t>ε</w:t>
      </w:r>
      <w:r>
        <w:rPr>
          <w:bCs/>
          <w:iCs/>
          <w:sz w:val="20"/>
          <w:vertAlign w:val="subscript"/>
          <w:lang w:eastAsia="ru-RU"/>
        </w:rPr>
        <w:t>N</w:t>
      </w:r>
      <w:r>
        <w:rPr>
          <w:bCs/>
          <w:iCs/>
          <w:sz w:val="20"/>
          <w:lang w:eastAsia="ru-RU"/>
        </w:rPr>
        <w:t xml:space="preserve"> = 0.26, s</w:t>
      </w:r>
      <w:r>
        <w:rPr>
          <w:bCs/>
          <w:iCs/>
          <w:sz w:val="20"/>
          <w:vertAlign w:val="subscript"/>
          <w:lang w:eastAsia="ru-RU"/>
        </w:rPr>
        <w:t>N</w:t>
      </w:r>
      <w:r>
        <w:rPr>
          <w:bCs/>
          <w:iCs/>
          <w:sz w:val="20"/>
          <w:lang w:eastAsia="ru-RU"/>
        </w:rPr>
        <w:t xml:space="preserve"> = 0.1.</w:t>
      </w:r>
    </w:p>
    <w:p w14:paraId="5EB922A6" w14:textId="77777777" w:rsidR="009B667A" w:rsidRDefault="009B667A">
      <w:pPr>
        <w:ind w:firstLine="284"/>
        <w:jc w:val="both"/>
        <w:rPr>
          <w:bCs/>
          <w:iCs/>
          <w:sz w:val="20"/>
          <w:lang w:eastAsia="ru-RU"/>
        </w:rPr>
      </w:pPr>
    </w:p>
    <w:p w14:paraId="7F73223A" w14:textId="77777777" w:rsidR="009B667A" w:rsidRDefault="00000000">
      <w:pPr>
        <w:ind w:firstLine="284"/>
        <w:jc w:val="both"/>
        <w:rPr>
          <w:bCs/>
          <w:iCs/>
          <w:sz w:val="20"/>
          <w:lang w:eastAsia="ru-RU"/>
        </w:rPr>
      </w:pPr>
      <w:r>
        <w:rPr>
          <w:bCs/>
          <w:iCs/>
          <w:sz w:val="20"/>
          <w:lang w:eastAsia="ru-RU"/>
        </w:rPr>
        <w:t>In modeling the punching of plates by a hemispherical indenter, boundary conditions (9) specified on the surfaces shown in Fig. 1 were used.</w:t>
      </w:r>
    </w:p>
    <w:p w14:paraId="7EF508CC" w14:textId="77777777" w:rsidR="009B667A" w:rsidRDefault="00000000">
      <w:pPr>
        <w:pStyle w:val="Paragraph"/>
        <w:rPr>
          <w:bCs/>
          <w:iCs/>
          <w:lang w:eastAsia="ru-RU"/>
        </w:rPr>
      </w:pPr>
      <w:r>
        <w:rPr>
          <w:bCs/>
          <w:iCs/>
          <w:lang w:eastAsia="ru-RU"/>
        </w:rPr>
        <w:t xml:space="preserve"> The surface of the hemispherical indenter is designated S</w:t>
      </w:r>
      <w:r>
        <w:rPr>
          <w:bCs/>
          <w:iCs/>
          <w:vertAlign w:val="subscript"/>
          <w:lang w:eastAsia="ru-RU"/>
        </w:rPr>
        <w:t>1</w:t>
      </w:r>
      <w:r>
        <w:rPr>
          <w:bCs/>
          <w:iCs/>
          <w:lang w:eastAsia="ru-RU"/>
        </w:rPr>
        <w:t>. The fixed parts of the specimen surface between the upper and lower support matrices are designated S</w:t>
      </w:r>
      <w:r>
        <w:rPr>
          <w:bCs/>
          <w:iCs/>
          <w:vertAlign w:val="subscript"/>
          <w:lang w:eastAsia="ru-RU"/>
        </w:rPr>
        <w:t>2</w:t>
      </w:r>
      <w:r>
        <w:rPr>
          <w:bCs/>
          <w:iCs/>
          <w:lang w:eastAsia="ru-RU"/>
        </w:rPr>
        <w:t>, S</w:t>
      </w:r>
      <w:r>
        <w:rPr>
          <w:bCs/>
          <w:iCs/>
          <w:vertAlign w:val="subscript"/>
          <w:lang w:eastAsia="ru-RU"/>
        </w:rPr>
        <w:t>3</w:t>
      </w:r>
      <w:r>
        <w:rPr>
          <w:bCs/>
          <w:iCs/>
          <w:lang w:eastAsia="ru-RU"/>
        </w:rPr>
        <w:t>, and S</w:t>
      </w:r>
      <w:r>
        <w:rPr>
          <w:bCs/>
          <w:iCs/>
          <w:vertAlign w:val="subscript"/>
          <w:lang w:eastAsia="ru-RU"/>
        </w:rPr>
        <w:t>4</w:t>
      </w:r>
      <w:r>
        <w:rPr>
          <w:bCs/>
          <w:iCs/>
          <w:lang w:eastAsia="ru-RU"/>
        </w:rPr>
        <w:t>, respectively. The lower part of the specimen surface S</w:t>
      </w:r>
      <w:r>
        <w:rPr>
          <w:bCs/>
          <w:iCs/>
          <w:vertAlign w:val="subscript"/>
          <w:lang w:eastAsia="ru-RU"/>
        </w:rPr>
        <w:t>5</w:t>
      </w:r>
      <w:r>
        <w:rPr>
          <w:bCs/>
          <w:iCs/>
          <w:lang w:eastAsia="ru-RU"/>
        </w:rPr>
        <w:t xml:space="preserve"> is the free surface, and the changing contact surface between the specimen and the indenter is designated S</w:t>
      </w:r>
      <w:r>
        <w:rPr>
          <w:bCs/>
          <w:iCs/>
          <w:vertAlign w:val="subscript"/>
          <w:lang w:eastAsia="ru-RU"/>
        </w:rPr>
        <w:t>6</w:t>
      </w:r>
      <w:r>
        <w:rPr>
          <w:bCs/>
          <w:iCs/>
          <w:lang w:eastAsia="ru-RU"/>
        </w:rPr>
        <w:t>.</w:t>
      </w:r>
    </w:p>
    <w:p w14:paraId="195F7286" w14:textId="77777777" w:rsidR="009B667A" w:rsidRDefault="00000000">
      <w:pPr>
        <w:pStyle w:val="Paragraph"/>
        <w:spacing w:before="120" w:after="120"/>
        <w:jc w:val="center"/>
        <w:rPr>
          <w:bCs/>
          <w:iCs/>
          <w:lang w:eastAsia="ru-RU"/>
        </w:rPr>
      </w:pPr>
      <w:r>
        <w:rPr>
          <w:noProof/>
        </w:rPr>
        <w:drawing>
          <wp:inline distT="0" distB="0" distL="0" distR="0" wp14:anchorId="701000EB" wp14:editId="048B99C1">
            <wp:extent cx="1974850" cy="1002644"/>
            <wp:effectExtent l="0" t="0" r="0" b="0"/>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9"/>
                    <pic:cNvPicPr>
                      <a:picLocks noChangeAspect="1" noChangeArrowheads="1"/>
                    </pic:cNvPicPr>
                  </pic:nvPicPr>
                  <pic:blipFill>
                    <a:blip r:embed="rId18"/>
                    <a:stretch>
                      <a:fillRect/>
                    </a:stretch>
                  </pic:blipFill>
                  <pic:spPr bwMode="auto">
                    <a:xfrm>
                      <a:off x="0" y="0"/>
                      <a:ext cx="1975096" cy="1002769"/>
                    </a:xfrm>
                    <a:prstGeom prst="rect">
                      <a:avLst/>
                    </a:prstGeom>
                  </pic:spPr>
                </pic:pic>
              </a:graphicData>
            </a:graphic>
          </wp:inline>
        </w:drawing>
      </w:r>
    </w:p>
    <w:p w14:paraId="7DB92E41" w14:textId="77777777" w:rsidR="009B667A" w:rsidRDefault="00000000">
      <w:pPr>
        <w:pStyle w:val="Paragraph"/>
        <w:jc w:val="center"/>
        <w:rPr>
          <w:bCs/>
          <w:iCs/>
          <w:sz w:val="18"/>
          <w:szCs w:val="18"/>
          <w:lang w:eastAsia="ru-RU"/>
        </w:rPr>
      </w:pPr>
      <w:r>
        <w:rPr>
          <w:b/>
          <w:caps/>
          <w:sz w:val="18"/>
          <w:szCs w:val="18"/>
        </w:rPr>
        <w:t>Figure 1.</w:t>
      </w:r>
      <w:r>
        <w:rPr>
          <w:sz w:val="18"/>
          <w:szCs w:val="18"/>
        </w:rPr>
        <w:t xml:space="preserve"> </w:t>
      </w:r>
      <w:r>
        <w:rPr>
          <w:bCs/>
          <w:iCs/>
          <w:sz w:val="18"/>
          <w:szCs w:val="18"/>
          <w:lang w:eastAsia="ru-RU"/>
        </w:rPr>
        <w:t>Surface numbering scheme for formulating boundary conditions for pushing by a hemispherical indenter</w:t>
      </w:r>
    </w:p>
    <w:p w14:paraId="443080EE" w14:textId="77777777" w:rsidR="009B667A" w:rsidRDefault="00000000">
      <w:pPr>
        <w:spacing w:before="200"/>
        <w:ind w:firstLine="284"/>
        <w:jc w:val="both"/>
        <w:rPr>
          <w:bCs/>
          <w:iCs/>
          <w:sz w:val="20"/>
          <w:lang w:eastAsia="ru-RU"/>
        </w:rPr>
      </w:pPr>
      <w:r>
        <w:rPr>
          <w:bCs/>
          <w:iCs/>
          <w:sz w:val="20"/>
          <w:lang w:eastAsia="ru-RU"/>
        </w:rPr>
        <w:t>The boundary conditions are as follows for high-velocity pressing of a flat sample by a hemispherical indenter:</w:t>
      </w:r>
    </w:p>
    <w:p w14:paraId="13CEF41E" w14:textId="2C58ACD6" w:rsidR="009B667A" w:rsidRDefault="008E67F4">
      <w:pPr>
        <w:pStyle w:val="Equation"/>
        <w:spacing w:before="200" w:after="200"/>
        <w:jc w:val="right"/>
      </w:pPr>
      <w:r>
        <w:tab/>
      </w:r>
      <m:oMath>
        <m:eqArr>
          <m:eqArrPr>
            <m:ctrlPr>
              <w:rPr>
                <w:rFonts w:ascii="Cambria Math" w:hAnsi="Cambria Math"/>
              </w:rPr>
            </m:ctrlPr>
          </m:eqArrPr>
          <m:e>
            <m:r>
              <m:rPr>
                <m:lit/>
                <m:nor/>
              </m:rPr>
              <w:rPr>
                <w:rFonts w:ascii="Cambria Math" w:hAnsi="Cambria Math"/>
              </w:rPr>
              <m:t xml:space="preserve"> </m:t>
            </m:r>
            <m:sSub>
              <m:sSubPr>
                <m:ctrlPr>
                  <w:rPr>
                    <w:rFonts w:ascii="Cambria Math" w:hAnsi="Cambria Math"/>
                  </w:rPr>
                </m:ctrlPr>
              </m:sSubPr>
              <m:e>
                <m:r>
                  <w:rPr>
                    <w:rFonts w:ascii="Cambria Math" w:hAnsi="Cambria Math"/>
                  </w:rPr>
                  <m:t>u</m:t>
                </m:r>
              </m:e>
              <m:sub>
                <m:r>
                  <w:rPr>
                    <w:rFonts w:ascii="Cambria Math" w:hAnsi="Cambria Math"/>
                  </w:rPr>
                  <m:t>3</m:t>
                </m:r>
              </m:sub>
            </m:sSub>
            <m:sSub>
              <m:sSubPr>
                <m:ctrlPr>
                  <w:rPr>
                    <w:rFonts w:ascii="Cambria Math" w:hAnsi="Cambria Math"/>
                  </w:rPr>
                </m:ctrlPr>
              </m:sSubPr>
              <m:e>
                <m:r>
                  <m:rPr>
                    <m:lit/>
                    <m:nor/>
                  </m:rPr>
                  <w:rPr>
                    <w:rFonts w:ascii="Cambria Math" w:hAnsi="Cambria Math"/>
                  </w:rPr>
                  <m:t>|</m:t>
                </m:r>
              </m:e>
              <m:sub>
                <m:sSub>
                  <m:sSubPr>
                    <m:ctrlPr>
                      <w:rPr>
                        <w:rFonts w:ascii="Cambria Math" w:hAnsi="Cambria Math"/>
                      </w:rPr>
                    </m:ctrlPr>
                  </m:sSubPr>
                  <m:e>
                    <m:r>
                      <w:rPr>
                        <w:rFonts w:ascii="Cambria Math" w:hAnsi="Cambria Math"/>
                      </w:rPr>
                      <m:t>S</m:t>
                    </m:r>
                  </m:e>
                  <m:sub>
                    <m:r>
                      <w:rPr>
                        <w:rFonts w:ascii="Cambria Math" w:hAnsi="Cambria Math"/>
                      </w:rPr>
                      <m:t>6</m:t>
                    </m:r>
                  </m:sub>
                </m:sSub>
              </m:sub>
            </m:sSub>
            <m:r>
              <m:rPr>
                <m:lit/>
                <m:nor/>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0</m:t>
                </m:r>
              </m:sub>
            </m:sSub>
            <m:r>
              <w:rPr>
                <w:rFonts w:ascii="Cambria Math" w:hAnsi="Cambria Math"/>
              </w:rPr>
              <m:t>,</m:t>
            </m:r>
            <m:r>
              <m:rPr>
                <m:lit/>
                <m:nor/>
              </m:rPr>
              <w:rPr>
                <w:rFonts w:ascii="Cambria Math" w:hAnsi="Cambria Math"/>
              </w:rPr>
              <m:t xml:space="preserve"> </m:t>
            </m:r>
            <m:sSub>
              <m:sSubPr>
                <m:ctrlPr>
                  <w:rPr>
                    <w:rFonts w:ascii="Cambria Math" w:hAnsi="Cambria Math"/>
                  </w:rPr>
                </m:ctrlPr>
              </m:sSubPr>
              <m:e>
                <m:r>
                  <w:rPr>
                    <w:rFonts w:ascii="Cambria Math" w:hAnsi="Cambria Math"/>
                  </w:rPr>
                  <m:t>u</m:t>
                </m:r>
              </m:e>
              <m:sub>
                <m:r>
                  <w:rPr>
                    <w:rFonts w:ascii="Cambria Math" w:hAnsi="Cambria Math"/>
                  </w:rPr>
                  <m:t>i</m:t>
                </m:r>
              </m:sub>
            </m:sSub>
            <m:sSub>
              <m:sSubPr>
                <m:ctrlPr>
                  <w:rPr>
                    <w:rFonts w:ascii="Cambria Math" w:hAnsi="Cambria Math"/>
                  </w:rPr>
                </m:ctrlPr>
              </m:sSubPr>
              <m:e>
                <m:r>
                  <m:rPr>
                    <m:lit/>
                    <m:nor/>
                  </m:rPr>
                  <w:rPr>
                    <w:rFonts w:ascii="Cambria Math" w:hAnsi="Cambria Math"/>
                  </w:rPr>
                  <m:t>|</m:t>
                </m:r>
              </m:e>
              <m:sub>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sub>
            </m:sSub>
            <m:r>
              <m:rPr>
                <m:lit/>
                <m:nor/>
              </m:rPr>
              <w:rPr>
                <w:rFonts w:ascii="Cambria Math" w:hAnsi="Cambria Math"/>
              </w:rPr>
              <m:t>=</m:t>
            </m:r>
            <m:r>
              <w:rPr>
                <w:rFonts w:ascii="Cambria Math" w:hAnsi="Cambria Math"/>
              </w:rPr>
              <m:t>0,</m:t>
            </m:r>
            <m:r>
              <m:rPr>
                <m:lit/>
                <m:nor/>
              </m:rPr>
              <w:rPr>
                <w:rFonts w:ascii="Cambria Math" w:hAnsi="Cambria Math"/>
              </w:rPr>
              <m:t xml:space="preserve"> </m:t>
            </m:r>
            <m:r>
              <w:rPr>
                <w:rFonts w:ascii="Cambria Math" w:hAnsi="Cambria Math"/>
              </w:rPr>
              <m:t>i</m:t>
            </m:r>
            <m:r>
              <m:rPr>
                <m:lit/>
                <m:nor/>
              </m:rPr>
              <w:rPr>
                <w:rFonts w:ascii="Cambria Math" w:hAnsi="Cambria Math"/>
              </w:rPr>
              <m:t>=</m:t>
            </m:r>
            <m:r>
              <w:rPr>
                <w:rFonts w:ascii="Cambria Math" w:hAnsi="Cambria Math"/>
              </w:rPr>
              <m:t>1,2,3</m:t>
            </m:r>
            <m:r>
              <m:rPr>
                <m:lit/>
                <m:nor/>
              </m:rPr>
              <w:rPr>
                <w:rFonts w:ascii="Cambria Math" w:hAnsi="Cambria Math"/>
              </w:rPr>
              <m:t xml:space="preserve"> </m:t>
            </m:r>
            <m:r>
              <w:rPr>
                <w:rFonts w:ascii="Cambria Math" w:hAnsi="Cambria Math"/>
              </w:rPr>
              <m:t>,</m:t>
            </m:r>
            <m:r>
              <m:rPr>
                <m:lit/>
                <m:nor/>
              </m:rPr>
              <w:rPr>
                <w:rFonts w:ascii="Cambria Math" w:hAnsi="Cambria Math"/>
              </w:rPr>
              <m:t xml:space="preserve"> </m:t>
            </m:r>
            <m:sSub>
              <m:sSubPr>
                <m:ctrlPr>
                  <w:rPr>
                    <w:rFonts w:ascii="Cambria Math" w:hAnsi="Cambria Math"/>
                  </w:rPr>
                </m:ctrlPr>
              </m:sSubPr>
              <m:e>
                <m:r>
                  <w:rPr>
                    <w:rFonts w:ascii="Cambria Math" w:hAnsi="Cambria Math"/>
                  </w:rPr>
                  <m:t>σ</m:t>
                </m:r>
              </m:e>
              <m:sub>
                <m:r>
                  <m:rPr>
                    <m:lit/>
                    <m:nor/>
                  </m:rPr>
                  <w:rPr>
                    <w:rFonts w:ascii="Cambria Math" w:hAnsi="Cambria Math"/>
                  </w:rPr>
                  <m:t>ij</m:t>
                </m:r>
              </m:sub>
            </m:sSub>
            <m:sSub>
              <m:sSubPr>
                <m:ctrlPr>
                  <w:rPr>
                    <w:rFonts w:ascii="Cambria Math" w:hAnsi="Cambria Math"/>
                  </w:rPr>
                </m:ctrlPr>
              </m:sSubPr>
              <m:e>
                <m:r>
                  <m:rPr>
                    <m:lit/>
                    <m:nor/>
                  </m:rPr>
                  <w:rPr>
                    <w:rFonts w:ascii="Cambria Math" w:hAnsi="Cambria Math"/>
                  </w:rPr>
                  <m:t>|</m:t>
                </m:r>
              </m:e>
              <m:sub>
                <m:sSub>
                  <m:sSubPr>
                    <m:ctrlPr>
                      <w:rPr>
                        <w:rFonts w:ascii="Cambria Math" w:hAnsi="Cambria Math"/>
                      </w:rPr>
                    </m:ctrlPr>
                  </m:sSubPr>
                  <m:e>
                    <m:r>
                      <w:rPr>
                        <w:rFonts w:ascii="Cambria Math" w:hAnsi="Cambria Math"/>
                      </w:rPr>
                      <m:t>s</m:t>
                    </m:r>
                  </m:e>
                  <m:sub>
                    <m:r>
                      <w:rPr>
                        <w:rFonts w:ascii="Cambria Math" w:hAnsi="Cambria Math"/>
                      </w:rPr>
                      <m:t>5</m:t>
                    </m:r>
                  </m:sub>
                </m:sSub>
              </m:sub>
            </m:sSub>
            <m:r>
              <m:rPr>
                <m:lit/>
                <m:nor/>
              </m:rPr>
              <w:rPr>
                <w:rFonts w:ascii="Cambria Math" w:hAnsi="Cambria Math"/>
              </w:rPr>
              <m:t>=</m:t>
            </m:r>
            <m:r>
              <w:rPr>
                <w:rFonts w:ascii="Cambria Math" w:hAnsi="Cambria Math"/>
              </w:rPr>
              <m:t>0,</m:t>
            </m:r>
            <m:sSub>
              <m:sSubPr>
                <m:ctrlPr>
                  <w:rPr>
                    <w:rFonts w:ascii="Cambria Math" w:hAnsi="Cambria Math"/>
                  </w:rPr>
                </m:ctrlPr>
              </m:sSubPr>
              <m:e>
                <m:r>
                  <w:rPr>
                    <w:rFonts w:ascii="Cambria Math" w:hAnsi="Cambria Math"/>
                  </w:rPr>
                  <m:t>σ</m:t>
                </m:r>
              </m:e>
              <m:sub>
                <m:r>
                  <m:rPr>
                    <m:lit/>
                    <m:nor/>
                  </m:rPr>
                  <w:rPr>
                    <w:rFonts w:ascii="Cambria Math" w:hAnsi="Cambria Math"/>
                  </w:rPr>
                  <m:t>ij</m:t>
                </m:r>
              </m:sub>
            </m:sSub>
            <m:sSub>
              <m:sSubPr>
                <m:ctrlPr>
                  <w:rPr>
                    <w:rFonts w:ascii="Cambria Math" w:hAnsi="Cambria Math"/>
                  </w:rPr>
                </m:ctrlPr>
              </m:sSubPr>
              <m:e>
                <m:r>
                  <m:rPr>
                    <m:lit/>
                    <m:nor/>
                  </m:rPr>
                  <w:rPr>
                    <w:rFonts w:ascii="Cambria Math" w:hAnsi="Cambria Math"/>
                  </w:rPr>
                  <m:t>|</m:t>
                </m:r>
              </m:e>
              <m:sub>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6</m:t>
                    </m:r>
                  </m:sub>
                </m:sSub>
              </m:sub>
            </m:sSub>
            <m:r>
              <m:rPr>
                <m:lit/>
                <m:nor/>
              </m:rPr>
              <w:rPr>
                <w:rFonts w:ascii="Cambria Math" w:hAnsi="Cambria Math"/>
              </w:rPr>
              <m:t>=</m:t>
            </m:r>
            <m:r>
              <w:rPr>
                <w:rFonts w:ascii="Cambria Math" w:hAnsi="Cambria Math"/>
              </w:rPr>
              <m:t>0,</m:t>
            </m:r>
          </m:e>
          <m:e>
            <m:r>
              <m:rPr>
                <m:lit/>
                <m:nor/>
              </m:rPr>
              <w:rPr>
                <w:rFonts w:ascii="Cambria Math" w:hAnsi="Cambria Math"/>
              </w:rPr>
              <m:t xml:space="preserve"> </m:t>
            </m:r>
            <m:sSub>
              <m:sSubPr>
                <m:ctrlPr>
                  <w:rPr>
                    <w:rFonts w:ascii="Cambria Math" w:hAnsi="Cambria Math"/>
                  </w:rPr>
                </m:ctrlPr>
              </m:sSubPr>
              <m:e>
                <m:r>
                  <w:rPr>
                    <w:rFonts w:ascii="Cambria Math" w:hAnsi="Cambria Math"/>
                  </w:rPr>
                  <m:t>u</m:t>
                </m:r>
              </m:e>
              <m:sub>
                <m:sSup>
                  <m:sSupPr>
                    <m:ctrlPr>
                      <w:rPr>
                        <w:rFonts w:ascii="Cambria Math" w:hAnsi="Cambria Math"/>
                      </w:rPr>
                    </m:ctrlPr>
                  </m:sSupPr>
                  <m:e>
                    <m:r>
                      <w:rPr>
                        <w:rFonts w:ascii="Cambria Math" w:hAnsi="Cambria Math"/>
                      </w:rPr>
                      <m:t>i</m:t>
                    </m:r>
                  </m:e>
                  <m:sup>
                    <m:r>
                      <m:rPr>
                        <m:lit/>
                        <m:nor/>
                      </m:rPr>
                      <w:rPr>
                        <w:rFonts w:ascii="Cambria Math" w:hAnsi="Cambria Math"/>
                      </w:rPr>
                      <m:t>+</m:t>
                    </m:r>
                  </m:sup>
                </m:sSup>
              </m:sub>
            </m:sSub>
            <m:sSub>
              <m:sSubPr>
                <m:ctrlPr>
                  <w:rPr>
                    <w:rFonts w:ascii="Cambria Math" w:hAnsi="Cambria Math"/>
                  </w:rPr>
                </m:ctrlPr>
              </m:sSubPr>
              <m:e>
                <m:r>
                  <m:rPr>
                    <m:lit/>
                    <m:nor/>
                  </m:rPr>
                  <w:rPr>
                    <w:rFonts w:ascii="Cambria Math" w:hAnsi="Cambria Math"/>
                  </w:rPr>
                  <m:t>|</m:t>
                </m:r>
              </m:e>
              <m:sub>
                <m:sSub>
                  <m:sSubPr>
                    <m:ctrlPr>
                      <w:rPr>
                        <w:rFonts w:ascii="Cambria Math" w:hAnsi="Cambria Math"/>
                      </w:rPr>
                    </m:ctrlPr>
                  </m:sSubPr>
                  <m:e>
                    <m:r>
                      <w:rPr>
                        <w:rFonts w:ascii="Cambria Math" w:hAnsi="Cambria Math"/>
                      </w:rPr>
                      <m:t>S</m:t>
                    </m:r>
                  </m:e>
                  <m:sub>
                    <m:r>
                      <w:rPr>
                        <w:rFonts w:ascii="Cambria Math" w:hAnsi="Cambria Math"/>
                      </w:rPr>
                      <m:t>6</m:t>
                    </m:r>
                  </m:sub>
                </m:sSub>
              </m:sub>
            </m:sSub>
            <m:r>
              <m:rPr>
                <m:lit/>
                <m:nor/>
              </m:rPr>
              <w:rPr>
                <w:rFonts w:ascii="Cambria Math" w:hAnsi="Cambria Math"/>
              </w:rPr>
              <m:t>=</m:t>
            </m:r>
            <m:sSub>
              <m:sSubPr>
                <m:ctrlPr>
                  <w:rPr>
                    <w:rFonts w:ascii="Cambria Math" w:hAnsi="Cambria Math"/>
                  </w:rPr>
                </m:ctrlPr>
              </m:sSubPr>
              <m:e>
                <m:r>
                  <w:rPr>
                    <w:rFonts w:ascii="Cambria Math" w:hAnsi="Cambria Math"/>
                  </w:rPr>
                  <m:t>u</m:t>
                </m:r>
              </m:e>
              <m:sub>
                <m:sSup>
                  <m:sSupPr>
                    <m:ctrlPr>
                      <w:rPr>
                        <w:rFonts w:ascii="Cambria Math" w:hAnsi="Cambria Math"/>
                      </w:rPr>
                    </m:ctrlPr>
                  </m:sSupPr>
                  <m:e>
                    <m:r>
                      <w:rPr>
                        <w:rFonts w:ascii="Cambria Math" w:hAnsi="Cambria Math"/>
                      </w:rPr>
                      <m:t>i</m:t>
                    </m:r>
                  </m:e>
                  <m:sup>
                    <m:r>
                      <w:rPr>
                        <w:rFonts w:ascii="Cambria Math" w:hAnsi="Cambria Math"/>
                      </w:rPr>
                      <m:t>-</m:t>
                    </m:r>
                  </m:sup>
                </m:sSup>
              </m:sub>
            </m:sSub>
            <m:sSub>
              <m:sSubPr>
                <m:ctrlPr>
                  <w:rPr>
                    <w:rFonts w:ascii="Cambria Math" w:hAnsi="Cambria Math"/>
                  </w:rPr>
                </m:ctrlPr>
              </m:sSubPr>
              <m:e>
                <m:r>
                  <m:rPr>
                    <m:lit/>
                    <m:nor/>
                  </m:rPr>
                  <w:rPr>
                    <w:rFonts w:ascii="Cambria Math" w:hAnsi="Cambria Math"/>
                  </w:rPr>
                  <m:t>|</m:t>
                </m:r>
              </m:e>
              <m:sub>
                <m:sSub>
                  <m:sSubPr>
                    <m:ctrlPr>
                      <w:rPr>
                        <w:rFonts w:ascii="Cambria Math" w:hAnsi="Cambria Math"/>
                      </w:rPr>
                    </m:ctrlPr>
                  </m:sSubPr>
                  <m:e>
                    <m:r>
                      <w:rPr>
                        <w:rFonts w:ascii="Cambria Math" w:hAnsi="Cambria Math"/>
                      </w:rPr>
                      <m:t>S</m:t>
                    </m:r>
                  </m:e>
                  <m:sub>
                    <m:r>
                      <w:rPr>
                        <w:rFonts w:ascii="Cambria Math" w:hAnsi="Cambria Math"/>
                      </w:rPr>
                      <m:t>6</m:t>
                    </m:r>
                  </m:sub>
                </m:sSub>
              </m:sub>
            </m:sSub>
            <m:r>
              <m:rPr>
                <m:lit/>
                <m:nor/>
              </m:rPr>
              <w:rPr>
                <w:rFonts w:ascii="Cambria Math" w:hAnsi="Cambria Math"/>
              </w:rPr>
              <m:t xml:space="preserve"> </m:t>
            </m:r>
            <m:r>
              <w:rPr>
                <w:rFonts w:ascii="Cambria Math" w:hAnsi="Cambria Math"/>
              </w:rPr>
              <m:t>,</m:t>
            </m:r>
            <m:r>
              <m:rPr>
                <m:lit/>
                <m:nor/>
              </m:rPr>
              <w:rPr>
                <w:rFonts w:ascii="Cambria Math" w:hAnsi="Cambria Math"/>
              </w:rPr>
              <m:t xml:space="preserve"> </m:t>
            </m:r>
            <m:sSup>
              <m:sSupPr>
                <m:ctrlPr>
                  <w:rPr>
                    <w:rFonts w:ascii="Cambria Math" w:hAnsi="Cambria Math"/>
                  </w:rPr>
                </m:ctrlPr>
              </m:sSupPr>
              <m:e>
                <m:r>
                  <w:rPr>
                    <w:rFonts w:ascii="Cambria Math" w:hAnsi="Cambria Math"/>
                  </w:rPr>
                  <m:t>p</m:t>
                </m:r>
              </m:e>
              <m:sup>
                <m:r>
                  <m:rPr>
                    <m:lit/>
                    <m:nor/>
                  </m:rPr>
                  <w:rPr>
                    <w:rFonts w:ascii="Cambria Math" w:hAnsi="Cambria Math"/>
                  </w:rPr>
                  <m:t>+</m:t>
                </m:r>
              </m:sup>
            </m:sSup>
            <m:sSub>
              <m:sSubPr>
                <m:ctrlPr>
                  <w:rPr>
                    <w:rFonts w:ascii="Cambria Math" w:hAnsi="Cambria Math"/>
                  </w:rPr>
                </m:ctrlPr>
              </m:sSubPr>
              <m:e>
                <m:r>
                  <m:rPr>
                    <m:lit/>
                    <m:nor/>
                  </m:rPr>
                  <w:rPr>
                    <w:rFonts w:ascii="Cambria Math" w:hAnsi="Cambria Math"/>
                  </w:rPr>
                  <m:t>|</m:t>
                </m:r>
              </m:e>
              <m:sub>
                <m:sSub>
                  <m:sSubPr>
                    <m:ctrlPr>
                      <w:rPr>
                        <w:rFonts w:ascii="Cambria Math" w:hAnsi="Cambria Math"/>
                      </w:rPr>
                    </m:ctrlPr>
                  </m:sSubPr>
                  <m:e>
                    <m:r>
                      <w:rPr>
                        <w:rFonts w:ascii="Cambria Math" w:hAnsi="Cambria Math"/>
                      </w:rPr>
                      <m:t>S</m:t>
                    </m:r>
                  </m:e>
                  <m:sub>
                    <m:r>
                      <w:rPr>
                        <w:rFonts w:ascii="Cambria Math" w:hAnsi="Cambria Math"/>
                      </w:rPr>
                      <m:t>6</m:t>
                    </m:r>
                  </m:sub>
                </m:sSub>
              </m:sub>
            </m:sSub>
            <m:r>
              <m:rPr>
                <m:lit/>
                <m:nor/>
              </m:rPr>
              <w:rPr>
                <w:rFonts w:ascii="Cambria Math" w:hAnsi="Cambria Math"/>
              </w:rPr>
              <m:t xml:space="preserve">= </m:t>
            </m:r>
            <m:r>
              <w:rPr>
                <w:rFonts w:ascii="Cambria Math" w:hAnsi="Cambria Math"/>
              </w:rPr>
              <m:t>-</m:t>
            </m:r>
            <m:sSup>
              <m:sSupPr>
                <m:ctrlPr>
                  <w:rPr>
                    <w:rFonts w:ascii="Cambria Math" w:hAnsi="Cambria Math"/>
                  </w:rPr>
                </m:ctrlPr>
              </m:sSupPr>
              <m:e>
                <m:r>
                  <w:rPr>
                    <w:rFonts w:ascii="Cambria Math" w:hAnsi="Cambria Math"/>
                  </w:rPr>
                  <m:t>p</m:t>
                </m:r>
              </m:e>
              <m:sup>
                <m:r>
                  <w:rPr>
                    <w:rFonts w:ascii="Cambria Math" w:hAnsi="Cambria Math"/>
                  </w:rPr>
                  <m:t>-</m:t>
                </m:r>
              </m:sup>
            </m:sSup>
            <m:sSub>
              <m:sSubPr>
                <m:ctrlPr>
                  <w:rPr>
                    <w:rFonts w:ascii="Cambria Math" w:hAnsi="Cambria Math"/>
                  </w:rPr>
                </m:ctrlPr>
              </m:sSubPr>
              <m:e>
                <m:r>
                  <m:rPr>
                    <m:lit/>
                    <m:nor/>
                  </m:rPr>
                  <w:rPr>
                    <w:rFonts w:ascii="Cambria Math" w:hAnsi="Cambria Math"/>
                  </w:rPr>
                  <m:t>|</m:t>
                </m:r>
              </m:e>
              <m:sub>
                <m:sSub>
                  <m:sSubPr>
                    <m:ctrlPr>
                      <w:rPr>
                        <w:rFonts w:ascii="Cambria Math" w:hAnsi="Cambria Math"/>
                      </w:rPr>
                    </m:ctrlPr>
                  </m:sSubPr>
                  <m:e>
                    <m:r>
                      <w:rPr>
                        <w:rFonts w:ascii="Cambria Math" w:hAnsi="Cambria Math"/>
                      </w:rPr>
                      <m:t>S</m:t>
                    </m:r>
                  </m:e>
                  <m:sub>
                    <m:r>
                      <w:rPr>
                        <w:rFonts w:ascii="Cambria Math" w:hAnsi="Cambria Math"/>
                      </w:rPr>
                      <m:t>6</m:t>
                    </m:r>
                  </m:sub>
                </m:sSub>
              </m:sub>
            </m:sSub>
            <m:r>
              <m:rPr>
                <m:lit/>
                <m:nor/>
              </m:rPr>
              <w:rPr>
                <w:rFonts w:ascii="Cambria Math" w:hAnsi="Cambria Math"/>
              </w:rPr>
              <m:t xml:space="preserve"> </m:t>
            </m:r>
            <m:r>
              <w:rPr>
                <w:rFonts w:ascii="Cambria Math" w:hAnsi="Cambria Math"/>
              </w:rPr>
              <m:t>,</m:t>
            </m:r>
            <m:r>
              <m:rPr>
                <m:lit/>
                <m:nor/>
              </m:rPr>
              <w:rPr>
                <w:rFonts w:ascii="Cambria Math" w:hAnsi="Cambria Math"/>
              </w:rPr>
              <m:t xml:space="preserve"> </m:t>
            </m:r>
            <m:sSub>
              <m:sSubPr>
                <m:ctrlPr>
                  <w:rPr>
                    <w:rFonts w:ascii="Cambria Math" w:hAnsi="Cambria Math"/>
                  </w:rPr>
                </m:ctrlPr>
              </m:sSubPr>
              <m:e>
                <m:r>
                  <w:rPr>
                    <w:rFonts w:ascii="Cambria Math" w:hAnsi="Cambria Math"/>
                  </w:rPr>
                  <m:t>σ</m:t>
                </m:r>
              </m:e>
              <m:sub>
                <m:sSup>
                  <m:sSupPr>
                    <m:ctrlPr>
                      <w:rPr>
                        <w:rFonts w:ascii="Cambria Math" w:hAnsi="Cambria Math"/>
                      </w:rPr>
                    </m:ctrlPr>
                  </m:sSupPr>
                  <m:e>
                    <m:r>
                      <m:rPr>
                        <m:lit/>
                        <m:nor/>
                      </m:rPr>
                      <w:rPr>
                        <w:rFonts w:ascii="Cambria Math" w:hAnsi="Cambria Math"/>
                      </w:rPr>
                      <m:t>ij</m:t>
                    </m:r>
                  </m:e>
                  <m:sup>
                    <m:r>
                      <m:rPr>
                        <m:lit/>
                        <m:nor/>
                      </m:rPr>
                      <w:rPr>
                        <w:rFonts w:ascii="Cambria Math" w:hAnsi="Cambria Math"/>
                      </w:rPr>
                      <m:t>+</m:t>
                    </m:r>
                  </m:sup>
                </m:sSup>
              </m:sub>
            </m:sSub>
            <m:sSub>
              <m:sSubPr>
                <m:ctrlPr>
                  <w:rPr>
                    <w:rFonts w:ascii="Cambria Math" w:hAnsi="Cambria Math"/>
                  </w:rPr>
                </m:ctrlPr>
              </m:sSubPr>
              <m:e>
                <m:r>
                  <m:rPr>
                    <m:lit/>
                    <m:nor/>
                  </m:rPr>
                  <w:rPr>
                    <w:rFonts w:ascii="Cambria Math" w:hAnsi="Cambria Math"/>
                  </w:rPr>
                  <m:t>|</m:t>
                </m:r>
              </m:e>
              <m:sub>
                <m:sSub>
                  <m:sSubPr>
                    <m:ctrlPr>
                      <w:rPr>
                        <w:rFonts w:ascii="Cambria Math" w:hAnsi="Cambria Math"/>
                      </w:rPr>
                    </m:ctrlPr>
                  </m:sSubPr>
                  <m:e>
                    <m:r>
                      <w:rPr>
                        <w:rFonts w:ascii="Cambria Math" w:hAnsi="Cambria Math"/>
                      </w:rPr>
                      <m:t>S</m:t>
                    </m:r>
                  </m:e>
                  <m:sub>
                    <m:r>
                      <w:rPr>
                        <w:rFonts w:ascii="Cambria Math" w:hAnsi="Cambria Math"/>
                      </w:rPr>
                      <m:t>6</m:t>
                    </m:r>
                  </m:sub>
                </m:sSub>
              </m:sub>
            </m:sSub>
            <m:r>
              <m:rPr>
                <m:lit/>
                <m:nor/>
              </m:rPr>
              <w:rPr>
                <w:rFonts w:ascii="Cambria Math" w:hAnsi="Cambria Math"/>
              </w:rPr>
              <m:t>=</m:t>
            </m:r>
            <m:sSub>
              <m:sSubPr>
                <m:ctrlPr>
                  <w:rPr>
                    <w:rFonts w:ascii="Cambria Math" w:hAnsi="Cambria Math"/>
                  </w:rPr>
                </m:ctrlPr>
              </m:sSubPr>
              <m:e>
                <m:r>
                  <w:rPr>
                    <w:rFonts w:ascii="Cambria Math" w:hAnsi="Cambria Math"/>
                  </w:rPr>
                  <m:t>σ</m:t>
                </m:r>
              </m:e>
              <m:sub>
                <m:sSup>
                  <m:sSupPr>
                    <m:ctrlPr>
                      <w:rPr>
                        <w:rFonts w:ascii="Cambria Math" w:hAnsi="Cambria Math"/>
                      </w:rPr>
                    </m:ctrlPr>
                  </m:sSupPr>
                  <m:e>
                    <m:r>
                      <m:rPr>
                        <m:lit/>
                        <m:nor/>
                      </m:rPr>
                      <w:rPr>
                        <w:rFonts w:ascii="Cambria Math" w:hAnsi="Cambria Math"/>
                      </w:rPr>
                      <m:t>ij</m:t>
                    </m:r>
                  </m:e>
                  <m:sup>
                    <m:r>
                      <w:rPr>
                        <w:rFonts w:ascii="Cambria Math" w:hAnsi="Cambria Math"/>
                      </w:rPr>
                      <m:t>-</m:t>
                    </m:r>
                  </m:sup>
                </m:sSup>
              </m:sub>
            </m:sSub>
            <m:sSub>
              <m:sSubPr>
                <m:ctrlPr>
                  <w:rPr>
                    <w:rFonts w:ascii="Cambria Math" w:hAnsi="Cambria Math"/>
                  </w:rPr>
                </m:ctrlPr>
              </m:sSubPr>
              <m:e>
                <m:r>
                  <m:rPr>
                    <m:lit/>
                    <m:nor/>
                  </m:rPr>
                  <w:rPr>
                    <w:rFonts w:ascii="Cambria Math" w:hAnsi="Cambria Math"/>
                  </w:rPr>
                  <m:t>|</m:t>
                </m:r>
              </m:e>
              <m:sub>
                <m:sSub>
                  <m:sSubPr>
                    <m:ctrlPr>
                      <w:rPr>
                        <w:rFonts w:ascii="Cambria Math" w:hAnsi="Cambria Math"/>
                      </w:rPr>
                    </m:ctrlPr>
                  </m:sSubPr>
                  <m:e>
                    <m:r>
                      <w:rPr>
                        <w:rFonts w:ascii="Cambria Math" w:hAnsi="Cambria Math"/>
                      </w:rPr>
                      <m:t>S</m:t>
                    </m:r>
                  </m:e>
                  <m:sub>
                    <m:r>
                      <w:rPr>
                        <w:rFonts w:ascii="Cambria Math" w:hAnsi="Cambria Math"/>
                      </w:rPr>
                      <m:t>6</m:t>
                    </m:r>
                  </m:sub>
                </m:sSub>
              </m:sub>
            </m:sSub>
            <m:r>
              <m:rPr>
                <m:lit/>
                <m:nor/>
              </m:rPr>
              <w:rPr>
                <w:rFonts w:ascii="Cambria Math" w:hAnsi="Cambria Math"/>
              </w:rPr>
              <m:t xml:space="preserve"> =</m:t>
            </m:r>
            <m:r>
              <w:rPr>
                <w:rFonts w:ascii="Cambria Math" w:hAnsi="Cambria Math"/>
              </w:rPr>
              <m:t>0,</m:t>
            </m:r>
            <m:r>
              <m:rPr>
                <m:lit/>
                <m:nor/>
              </m:rPr>
              <w:rPr>
                <w:rFonts w:ascii="Cambria Math" w:hAnsi="Cambria Math"/>
              </w:rPr>
              <m:t xml:space="preserve"> </m:t>
            </m:r>
            <m:r>
              <w:rPr>
                <w:rFonts w:ascii="Cambria Math" w:hAnsi="Cambria Math"/>
              </w:rPr>
              <m:t>i≠</m:t>
            </m:r>
            <m:r>
              <m:rPr>
                <m:lit/>
                <m:nor/>
              </m:rPr>
              <w:rPr>
                <w:rFonts w:ascii="Cambria Math" w:hAnsi="Cambria Math"/>
              </w:rPr>
              <m:t xml:space="preserve"> </m:t>
            </m:r>
            <m:r>
              <w:rPr>
                <w:rFonts w:ascii="Cambria Math" w:hAnsi="Cambria Math"/>
              </w:rPr>
              <m:t>j,</m:t>
            </m:r>
          </m:e>
        </m:eqArr>
      </m:oMath>
      <w:r>
        <w:rPr>
          <w:position w:val="-14"/>
        </w:rPr>
        <w:tab/>
        <w:t>(5)</w:t>
      </w:r>
    </w:p>
    <w:p w14:paraId="0577EB95" w14:textId="77777777" w:rsidR="009B667A" w:rsidRDefault="00000000">
      <w:pPr>
        <w:ind w:firstLine="284"/>
        <w:jc w:val="both"/>
        <w:rPr>
          <w:bCs/>
          <w:iCs/>
          <w:sz w:val="20"/>
          <w:lang w:eastAsia="ru-RU"/>
        </w:rPr>
      </w:pPr>
      <w:r>
        <w:rPr>
          <w:bCs/>
          <w:iCs/>
          <w:sz w:val="20"/>
          <w:lang w:eastAsia="ru-RU"/>
        </w:rPr>
        <w:t>where u</w:t>
      </w:r>
      <w:r>
        <w:rPr>
          <w:bCs/>
          <w:iCs/>
          <w:sz w:val="20"/>
          <w:vertAlign w:val="subscript"/>
          <w:lang w:eastAsia="ru-RU"/>
        </w:rPr>
        <w:t>3</w:t>
      </w:r>
      <w:r>
        <w:rPr>
          <w:bCs/>
          <w:iCs/>
          <w:sz w:val="20"/>
          <w:lang w:eastAsia="ru-RU"/>
        </w:rPr>
        <w:t xml:space="preserve"> are the components of the particle velocity vector on the surface S</w:t>
      </w:r>
      <w:r>
        <w:rPr>
          <w:bCs/>
          <w:iCs/>
          <w:sz w:val="20"/>
          <w:vertAlign w:val="subscript"/>
          <w:lang w:eastAsia="ru-RU"/>
        </w:rPr>
        <w:t>k</w:t>
      </w:r>
      <w:r>
        <w:rPr>
          <w:bCs/>
          <w:iCs/>
          <w:sz w:val="20"/>
          <w:lang w:eastAsia="ru-RU"/>
        </w:rPr>
        <w:t xml:space="preserve">, k=1…6, </w:t>
      </w:r>
      <w:r>
        <w:rPr>
          <w:bCs/>
          <w:iCs/>
          <w:sz w:val="20"/>
          <w:lang w:val="ru-RU" w:eastAsia="ru-RU"/>
        </w:rPr>
        <w:t>σ</w:t>
      </w:r>
      <w:r>
        <w:rPr>
          <w:bCs/>
          <w:iCs/>
          <w:sz w:val="20"/>
          <w:vertAlign w:val="subscript"/>
          <w:lang w:eastAsia="ru-RU"/>
        </w:rPr>
        <w:t>ij</w:t>
      </w:r>
      <w:r>
        <w:rPr>
          <w:bCs/>
          <w:iCs/>
          <w:sz w:val="20"/>
          <w:lang w:eastAsia="ru-RU"/>
        </w:rPr>
        <w:t xml:space="preserve"> are the stress tensor components, p is the pressure, V</w:t>
      </w:r>
      <w:r>
        <w:rPr>
          <w:bCs/>
          <w:iCs/>
          <w:sz w:val="20"/>
          <w:vertAlign w:val="subscript"/>
          <w:lang w:eastAsia="ru-RU"/>
        </w:rPr>
        <w:t xml:space="preserve">0 </w:t>
      </w:r>
      <w:r>
        <w:rPr>
          <w:bCs/>
          <w:iCs/>
          <w:sz w:val="20"/>
          <w:lang w:eastAsia="ru-RU"/>
        </w:rPr>
        <w:t xml:space="preserve">is the velocity of the rigid stamp. </w:t>
      </w:r>
    </w:p>
    <w:p w14:paraId="64956DF2" w14:textId="77777777" w:rsidR="009B667A" w:rsidRDefault="00000000">
      <w:pPr>
        <w:spacing w:before="240"/>
        <w:ind w:firstLine="284"/>
        <w:jc w:val="both"/>
        <w:rPr>
          <w:bCs/>
          <w:iCs/>
          <w:sz w:val="20"/>
          <w:lang w:eastAsia="ru-RU"/>
        </w:rPr>
      </w:pPr>
      <w:r>
        <w:rPr>
          <w:bCs/>
          <w:iCs/>
          <w:sz w:val="20"/>
          <w:lang w:eastAsia="ru-RU"/>
        </w:rPr>
        <w:t>It was assumed that at the initial moment of time the sample material was in a uniform temperature field in an unstressed state. The contact conditions of the interaction of the indenter with the sample and the clamping device with the sample were described using the model implemented in the automatic_surface_to_surface LS DYNA map. The friction coefficient parameters were set at F</w:t>
      </w:r>
      <w:r>
        <w:rPr>
          <w:bCs/>
          <w:iCs/>
          <w:sz w:val="20"/>
          <w:vertAlign w:val="subscript"/>
          <w:lang w:eastAsia="ru-RU"/>
        </w:rPr>
        <w:t>S</w:t>
      </w:r>
      <w:r>
        <w:rPr>
          <w:bCs/>
          <w:iCs/>
          <w:sz w:val="20"/>
          <w:lang w:eastAsia="ru-RU"/>
        </w:rPr>
        <w:t xml:space="preserve"> = 0.4, and the damping coefficients were V</w:t>
      </w:r>
      <w:r>
        <w:rPr>
          <w:bCs/>
          <w:iCs/>
          <w:sz w:val="20"/>
          <w:vertAlign w:val="subscript"/>
          <w:lang w:eastAsia="ru-RU"/>
        </w:rPr>
        <w:t>DC</w:t>
      </w:r>
      <w:r>
        <w:rPr>
          <w:bCs/>
          <w:iCs/>
          <w:sz w:val="20"/>
          <w:lang w:eastAsia="ru-RU"/>
        </w:rPr>
        <w:t xml:space="preserve"> = 30, which ensured the absence of oscillations of the calculated forces in the contact zone. A second-order finite-difference scheme with a characteristic spatial grid step size of 0.3 mm was used in the calculations. Three-dimensional linear hexagonal elements (~200,000 elements) were used to discretize the calculated region of the sample. The indenter and clamping device elements were modeled as rigid bodies. The selected step of the spatial grid ensured the convergence of the numerical simulation results.</w:t>
      </w:r>
    </w:p>
    <w:p w14:paraId="53A7CD4E" w14:textId="77777777" w:rsidR="009B667A" w:rsidRDefault="00000000">
      <w:pPr>
        <w:pStyle w:val="berschrift1"/>
      </w:pPr>
      <w:r>
        <w:t>Results and discussion</w:t>
      </w:r>
    </w:p>
    <w:p w14:paraId="677C14DB" w14:textId="77777777" w:rsidR="009B667A" w:rsidRDefault="00000000">
      <w:pPr>
        <w:pStyle w:val="Paragraph"/>
        <w:rPr>
          <w:bCs/>
          <w:iCs/>
          <w:lang w:eastAsia="ru-RU"/>
        </w:rPr>
      </w:pPr>
      <w:r>
        <w:rPr>
          <w:bCs/>
          <w:iCs/>
          <w:lang w:eastAsia="ru-RU"/>
        </w:rPr>
        <w:t>Experimental force resistance curves to punching versus the deflection F(u</w:t>
      </w:r>
      <w:r>
        <w:rPr>
          <w:bCs/>
          <w:iCs/>
          <w:vertAlign w:val="subscript"/>
          <w:lang w:eastAsia="ru-RU"/>
        </w:rPr>
        <w:t>3</w:t>
      </w:r>
      <w:r>
        <w:rPr>
          <w:bCs/>
          <w:iCs/>
          <w:lang w:eastAsia="ru-RU"/>
        </w:rPr>
        <w:t>) for velocities from 0.1 to 10 m/s are shown in Fig. 2. The patterns of dependence of the punching force on the deflection, shown in Fig. 2, are preserved for the entire investigated range of punching velocities for MA2-1 and AMg2.</w:t>
      </w:r>
    </w:p>
    <w:p w14:paraId="1E390880" w14:textId="77777777" w:rsidR="009B667A" w:rsidRDefault="00000000">
      <w:pPr>
        <w:pStyle w:val="Paragraph"/>
      </w:pPr>
      <w:r>
        <w:lastRenderedPageBreak/>
        <w:pict w14:anchorId="6E726A64">
          <v:shape id="_x0000_tole_rId13" o:spid="_x0000_s1041" type="#_x0000_t75" style="position:absolute;left:0;text-align:left;margin-left:0;margin-top:0;width:50pt;height:50pt;z-index:251656192;visibility:hidden">
            <o:lock v:ext="edit" selection="t"/>
          </v:shape>
        </w:pict>
      </w:r>
      <w:r>
        <w:object w:dxaOrig="4404" w:dyaOrig="3336" w14:anchorId="366870F8">
          <v:shape id="ole_rId13" o:spid="_x0000_i1029" type="#_x0000_t75" style="width:220pt;height:167pt;visibility:visible;mso-wrap-distance-right:0" o:ole="">
            <v:imagedata r:id="rId19" o:title=""/>
          </v:shape>
          <o:OLEObject Type="Embed" ProgID="Origin95.Graph" ShapeID="ole_rId13" DrawAspect="Content" ObjectID="_1825928281" r:id="rId20"/>
        </w:object>
      </w:r>
      <w:r>
        <w:t xml:space="preserve"> </w:t>
      </w:r>
      <w:r>
        <w:pict w14:anchorId="5FC2B0A2">
          <v:shape id="_x0000_tole_rId15" o:spid="_x0000_s1039" type="#_x0000_t75" style="position:absolute;left:0;text-align:left;margin-left:0;margin-top:0;width:50pt;height:50pt;z-index:251657216;visibility:hidden;mso-position-horizontal-relative:text;mso-position-vertical-relative:text">
            <o:lock v:ext="edit" selection="t"/>
          </v:shape>
        </w:pict>
      </w:r>
      <w:r>
        <w:object w:dxaOrig="4236" w:dyaOrig="3204" w14:anchorId="4AFF2F30">
          <v:shape id="ole_rId15" o:spid="_x0000_i1030" type="#_x0000_t75" style="width:212pt;height:160pt;visibility:visible;mso-wrap-distance-right:0" o:ole="">
            <v:imagedata r:id="rId21" o:title=""/>
          </v:shape>
          <o:OLEObject Type="Embed" ProgID="Origin95.Graph" ShapeID="ole_rId15" DrawAspect="Content" ObjectID="_1825928282" r:id="rId22"/>
        </w:object>
      </w:r>
    </w:p>
    <w:tbl>
      <w:tblPr>
        <w:tblStyle w:val="Tabellenraster"/>
        <w:tblW w:w="9576" w:type="dxa"/>
        <w:tblLayout w:type="fixed"/>
        <w:tblLook w:val="04A0" w:firstRow="1" w:lastRow="0" w:firstColumn="1" w:lastColumn="0" w:noHBand="0" w:noVBand="1"/>
      </w:tblPr>
      <w:tblGrid>
        <w:gridCol w:w="4789"/>
        <w:gridCol w:w="4787"/>
      </w:tblGrid>
      <w:tr w:rsidR="009B667A" w14:paraId="52408C85" w14:textId="77777777">
        <w:trPr>
          <w:trHeight w:val="291"/>
        </w:trPr>
        <w:tc>
          <w:tcPr>
            <w:tcW w:w="4788" w:type="dxa"/>
            <w:tcBorders>
              <w:top w:val="nil"/>
              <w:left w:val="nil"/>
              <w:bottom w:val="nil"/>
              <w:right w:val="nil"/>
            </w:tcBorders>
          </w:tcPr>
          <w:p w14:paraId="0D07E268" w14:textId="77777777" w:rsidR="009B667A" w:rsidRDefault="00000000">
            <w:pPr>
              <w:pStyle w:val="Paragraph"/>
              <w:ind w:firstLine="0"/>
              <w:jc w:val="center"/>
            </w:pPr>
            <w:r>
              <w:t>(a)</w:t>
            </w:r>
          </w:p>
        </w:tc>
        <w:tc>
          <w:tcPr>
            <w:tcW w:w="4787" w:type="dxa"/>
            <w:tcBorders>
              <w:top w:val="nil"/>
              <w:left w:val="nil"/>
              <w:bottom w:val="nil"/>
              <w:right w:val="nil"/>
            </w:tcBorders>
          </w:tcPr>
          <w:p w14:paraId="02856356" w14:textId="77777777" w:rsidR="009B667A" w:rsidRDefault="00000000">
            <w:pPr>
              <w:pStyle w:val="Paragraph"/>
              <w:ind w:firstLine="0"/>
              <w:jc w:val="center"/>
            </w:pPr>
            <w:r>
              <w:t>(b)</w:t>
            </w:r>
          </w:p>
        </w:tc>
      </w:tr>
    </w:tbl>
    <w:p w14:paraId="115B9F97" w14:textId="77777777" w:rsidR="009B667A" w:rsidRDefault="00000000">
      <w:pPr>
        <w:pStyle w:val="FigureCaption"/>
        <w:spacing w:before="0"/>
        <w:rPr>
          <w:bCs/>
          <w:iCs/>
          <w:szCs w:val="18"/>
          <w:lang w:eastAsia="ru-RU"/>
        </w:rPr>
      </w:pPr>
      <w:r>
        <w:rPr>
          <w:b/>
          <w:caps/>
          <w:szCs w:val="18"/>
        </w:rPr>
        <w:t>Figure 2.</w:t>
      </w:r>
      <w:r>
        <w:rPr>
          <w:szCs w:val="18"/>
        </w:rPr>
        <w:t xml:space="preserve"> (a) </w:t>
      </w:r>
      <w:r>
        <w:rPr>
          <w:bCs/>
          <w:iCs/>
          <w:szCs w:val="18"/>
          <w:lang w:eastAsia="ru-RU"/>
        </w:rPr>
        <w:t xml:space="preserve">Experimental diagrams </w:t>
      </w:r>
      <w:r>
        <w:rPr>
          <w:bCs/>
          <w:i/>
          <w:iCs/>
          <w:szCs w:val="18"/>
          <w:lang w:eastAsia="ru-RU"/>
        </w:rPr>
        <w:t>F</w:t>
      </w:r>
      <w:r>
        <w:rPr>
          <w:bCs/>
          <w:iCs/>
          <w:szCs w:val="18"/>
          <w:lang w:eastAsia="ru-RU"/>
        </w:rPr>
        <w:t>(</w:t>
      </w:r>
      <w:r>
        <w:rPr>
          <w:bCs/>
          <w:i/>
          <w:iCs/>
          <w:szCs w:val="18"/>
          <w:lang w:eastAsia="ru-RU"/>
        </w:rPr>
        <w:t>u</w:t>
      </w:r>
      <w:r>
        <w:rPr>
          <w:bCs/>
          <w:iCs/>
          <w:szCs w:val="18"/>
          <w:vertAlign w:val="subscript"/>
          <w:lang w:eastAsia="ru-RU"/>
        </w:rPr>
        <w:t>3</w:t>
      </w:r>
      <w:r>
        <w:rPr>
          <w:bCs/>
          <w:iCs/>
          <w:szCs w:val="18"/>
          <w:lang w:eastAsia="ru-RU"/>
        </w:rPr>
        <w:t>) for MA2-1 alloy, and (b) for AMg2</w:t>
      </w:r>
    </w:p>
    <w:p w14:paraId="03062319" w14:textId="77777777" w:rsidR="009B667A" w:rsidRDefault="009B667A">
      <w:pPr>
        <w:pStyle w:val="Paragraph"/>
        <w:rPr>
          <w:lang w:eastAsia="ru-RU"/>
        </w:rPr>
      </w:pPr>
    </w:p>
    <w:p w14:paraId="1D7D3540" w14:textId="77777777" w:rsidR="009B667A" w:rsidRDefault="00000000">
      <w:pPr>
        <w:ind w:firstLine="284"/>
        <w:jc w:val="both"/>
        <w:rPr>
          <w:bCs/>
          <w:iCs/>
          <w:sz w:val="20"/>
          <w:lang w:eastAsia="ru-RU"/>
        </w:rPr>
      </w:pPr>
      <w:r>
        <w:rPr>
          <w:bCs/>
          <w:iCs/>
          <w:sz w:val="20"/>
          <w:lang w:eastAsia="ru-RU"/>
        </w:rPr>
        <w:t>The obtained results indicate that in the considered range of loading rates from 0.1 to 10 m/s, viscous fracture is realized in the MA2-1 alloy under deformation conditions during punching. The formation of cracks is preceded by significant equivalent plastic deformation.</w:t>
      </w:r>
    </w:p>
    <w:p w14:paraId="67709072" w14:textId="77777777" w:rsidR="009B667A" w:rsidRDefault="00000000">
      <w:pPr>
        <w:ind w:firstLine="284"/>
        <w:jc w:val="both"/>
        <w:rPr>
          <w:bCs/>
          <w:iCs/>
          <w:sz w:val="20"/>
          <w:lang w:eastAsia="ru-RU"/>
        </w:rPr>
      </w:pPr>
      <w:r>
        <w:rPr>
          <w:bCs/>
          <w:iCs/>
          <w:sz w:val="20"/>
          <w:lang w:eastAsia="ru-RU"/>
        </w:rPr>
        <w:t>The oscillations of the punching forces observed in Fig. 2(a) are caused by the relaxation of tangential stresses during the nucleation of localized shear micro bands at high deformation rates of the magnesium alloy. The strain rates increase with increasing punching rate, which is accompanied by an increase in the oscillation amplitude. It should be noted that the use of a special lubricant in the contact zone of the indenter and sample surfaces not only reduces friction forces, but also contributes to an increase in the deflection of the sample before the moment of crack nucleation.</w:t>
      </w:r>
    </w:p>
    <w:p w14:paraId="64625F19" w14:textId="7C04EED2" w:rsidR="009B667A" w:rsidRDefault="00000000">
      <w:pPr>
        <w:ind w:firstLine="284"/>
        <w:jc w:val="both"/>
        <w:rPr>
          <w:bCs/>
          <w:iCs/>
          <w:sz w:val="20"/>
          <w:lang w:eastAsia="ru-RU"/>
        </w:rPr>
      </w:pPr>
      <w:r>
        <w:rPr>
          <w:bCs/>
          <w:iCs/>
          <w:sz w:val="20"/>
          <w:lang w:eastAsia="ru-RU"/>
        </w:rPr>
        <w:t>Fig</w:t>
      </w:r>
      <w:r w:rsidR="00D2612E">
        <w:rPr>
          <w:bCs/>
          <w:iCs/>
          <w:sz w:val="20"/>
          <w:lang w:eastAsia="ru-RU"/>
        </w:rPr>
        <w:t>ure</w:t>
      </w:r>
      <w:r>
        <w:rPr>
          <w:bCs/>
          <w:iCs/>
          <w:sz w:val="20"/>
          <w:lang w:eastAsia="ru-RU"/>
        </w:rPr>
        <w:t xml:space="preserve"> 4 shows photographs of MA2-1 samples after punching with a hemispherical indenter at speeds of 10, 5, 1 and 0.1 m/s, respectively. </w:t>
      </w:r>
    </w:p>
    <w:p w14:paraId="2CE71B53" w14:textId="77777777" w:rsidR="009B667A" w:rsidRDefault="00000000">
      <w:pPr>
        <w:ind w:firstLine="284"/>
        <w:jc w:val="both"/>
        <w:rPr>
          <w:bCs/>
          <w:iCs/>
          <w:sz w:val="20"/>
          <w:lang w:eastAsia="ru-RU"/>
        </w:rPr>
      </w:pPr>
      <w:r>
        <w:rPr>
          <w:bCs/>
          <w:iCs/>
          <w:sz w:val="20"/>
          <w:lang w:eastAsia="ru-RU"/>
        </w:rPr>
        <w:t xml:space="preserve">The shape of the cracks in the indentation zone depends on the indentation velocity and the thickness of the specimens. At an indentation velocity of 10 m/s, all tested specimens of the MA2-1 alloy with a thickness of 2 mm developed only radial cracks, which led to the opening of 4 fragments. No circumferential cracks were observed. At lower indentation velocities, three radial cracks were formed, which led to the opening of 3 fragments, as can be seen in Fig. 3. </w:t>
      </w:r>
    </w:p>
    <w:p w14:paraId="390FFF71" w14:textId="77777777" w:rsidR="009B667A" w:rsidRDefault="00000000">
      <w:pPr>
        <w:ind w:firstLine="284"/>
        <w:jc w:val="both"/>
        <w:rPr>
          <w:bCs/>
          <w:iCs/>
          <w:sz w:val="20"/>
          <w:lang w:eastAsia="ru-RU"/>
        </w:rPr>
      </w:pPr>
      <w:r>
        <w:rPr>
          <w:bCs/>
          <w:iCs/>
          <w:sz w:val="20"/>
          <w:lang w:eastAsia="ru-RU"/>
        </w:rPr>
        <w:t xml:space="preserve">The results of numerical modeling of the conditions of high-speed indentation of MA2-1 alloy plates showed that the strength under biaxial tension is 0.24 GPa at an indentation velocity of 10 m/s, and 0.17 GPa at a velocity of 0.1 m/s. The obtained estimates of the tensile strength of the MA2-1 alloy under dynamic indentation are consistent with the data [1, 9, 10] obtained under uniaxial tension. The values of ultimate deformations before failure under biaxial tension under punching were found to be significantly lower than under uniaxial tension. </w:t>
      </w:r>
    </w:p>
    <w:p w14:paraId="35C7660C" w14:textId="77777777" w:rsidR="009B667A" w:rsidRDefault="00000000">
      <w:pPr>
        <w:ind w:firstLine="284"/>
        <w:jc w:val="both"/>
        <w:rPr>
          <w:bCs/>
          <w:iCs/>
          <w:sz w:val="20"/>
          <w:lang w:eastAsia="ru-RU"/>
        </w:rPr>
      </w:pPr>
      <w:r>
        <w:rPr>
          <w:bCs/>
          <w:iCs/>
          <w:sz w:val="20"/>
          <w:lang w:eastAsia="ru-RU"/>
        </w:rPr>
        <w:t xml:space="preserve">Thus, for the MA2-1 alloy in the failure zone of samples under biaxial tension under dynamic punching, the value of plastic deformation is significantly lower than the values of residual elongation </w:t>
      </w:r>
      <w:r>
        <w:rPr>
          <w:bCs/>
          <w:iCs/>
          <w:sz w:val="20"/>
          <w:lang w:val="ru-RU" w:eastAsia="ru-RU"/>
        </w:rPr>
        <w:t>δ</w:t>
      </w:r>
      <w:r>
        <w:rPr>
          <w:bCs/>
          <w:iCs/>
          <w:sz w:val="20"/>
          <w:lang w:eastAsia="ru-RU"/>
        </w:rPr>
        <w:t xml:space="preserve"> under uniaxial tension at strain rates of 0.1, 10</w:t>
      </w:r>
      <w:r>
        <w:rPr>
          <w:bCs/>
          <w:iCs/>
          <w:sz w:val="20"/>
          <w:vertAlign w:val="superscript"/>
          <w:lang w:eastAsia="ru-RU"/>
        </w:rPr>
        <w:t>2</w:t>
      </w:r>
      <w:r>
        <w:rPr>
          <w:bCs/>
          <w:iCs/>
          <w:sz w:val="20"/>
          <w:lang w:eastAsia="ru-RU"/>
        </w:rPr>
        <w:t xml:space="preserve"> and 10</w:t>
      </w:r>
      <w:r>
        <w:rPr>
          <w:bCs/>
          <w:iCs/>
          <w:sz w:val="20"/>
          <w:vertAlign w:val="superscript"/>
          <w:lang w:eastAsia="ru-RU"/>
        </w:rPr>
        <w:t>3</w:t>
      </w:r>
      <w:r>
        <w:rPr>
          <w:bCs/>
          <w:iCs/>
          <w:sz w:val="20"/>
          <w:lang w:eastAsia="ru-RU"/>
        </w:rPr>
        <w:t xml:space="preserve"> s</w:t>
      </w:r>
      <w:r>
        <w:rPr>
          <w:bCs/>
          <w:iCs/>
          <w:sz w:val="20"/>
          <w:vertAlign w:val="superscript"/>
          <w:lang w:eastAsia="ru-RU"/>
        </w:rPr>
        <w:t>-1</w:t>
      </w:r>
      <w:r>
        <w:rPr>
          <w:bCs/>
          <w:iCs/>
          <w:sz w:val="20"/>
          <w:lang w:eastAsia="ru-RU"/>
        </w:rPr>
        <w:t xml:space="preserve"> and an initial temperature of 295 K.</w:t>
      </w:r>
    </w:p>
    <w:p w14:paraId="3DA2A596" w14:textId="77777777" w:rsidR="009B667A" w:rsidRDefault="00000000">
      <w:pPr>
        <w:pStyle w:val="MDPI31text"/>
        <w:spacing w:line="240" w:lineRule="auto"/>
        <w:ind w:left="0" w:firstLine="0"/>
        <w:jc w:val="center"/>
        <w:rPr>
          <w:rFonts w:ascii="Times New Roman" w:hAnsi="Times New Roman"/>
          <w:bCs/>
          <w:iCs/>
          <w:color w:val="auto"/>
          <w:szCs w:val="20"/>
          <w:lang w:eastAsia="ru-RU" w:bidi="ar-SA"/>
        </w:rPr>
      </w:pPr>
      <w:r>
        <w:rPr>
          <w:noProof/>
        </w:rPr>
        <w:drawing>
          <wp:inline distT="0" distB="0" distL="0" distR="0" wp14:anchorId="3AC21356" wp14:editId="426CAE59">
            <wp:extent cx="1483360" cy="161925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pic:cNvPicPr>
                      <a:picLocks noChangeAspect="1" noChangeArrowheads="1"/>
                    </pic:cNvPicPr>
                  </pic:nvPicPr>
                  <pic:blipFill>
                    <a:blip r:embed="rId23"/>
                    <a:stretch>
                      <a:fillRect/>
                    </a:stretch>
                  </pic:blipFill>
                  <pic:spPr bwMode="auto">
                    <a:xfrm>
                      <a:off x="0" y="0"/>
                      <a:ext cx="1483360" cy="1619250"/>
                    </a:xfrm>
                    <a:prstGeom prst="rect">
                      <a:avLst/>
                    </a:prstGeom>
                  </pic:spPr>
                </pic:pic>
              </a:graphicData>
            </a:graphic>
          </wp:inline>
        </w:drawing>
      </w:r>
      <w:r>
        <w:rPr>
          <w:rFonts w:ascii="Times New Roman" w:hAnsi="Times New Roman"/>
          <w:bCs/>
          <w:iCs/>
          <w:color w:val="auto"/>
          <w:szCs w:val="20"/>
          <w:lang w:eastAsia="ru-RU" w:bidi="ar-SA"/>
        </w:rPr>
        <w:t xml:space="preserve">  </w:t>
      </w:r>
      <w:r>
        <w:rPr>
          <w:noProof/>
        </w:rPr>
        <w:drawing>
          <wp:inline distT="0" distB="0" distL="0" distR="0" wp14:anchorId="5E695995" wp14:editId="0A9E8D63">
            <wp:extent cx="1302385" cy="1615440"/>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pic:cNvPicPr>
                      <a:picLocks noChangeAspect="1" noChangeArrowheads="1"/>
                    </pic:cNvPicPr>
                  </pic:nvPicPr>
                  <pic:blipFill>
                    <a:blip r:embed="rId24"/>
                    <a:stretch>
                      <a:fillRect/>
                    </a:stretch>
                  </pic:blipFill>
                  <pic:spPr bwMode="auto">
                    <a:xfrm>
                      <a:off x="0" y="0"/>
                      <a:ext cx="1302385" cy="1615440"/>
                    </a:xfrm>
                    <a:prstGeom prst="rect">
                      <a:avLst/>
                    </a:prstGeom>
                  </pic:spPr>
                </pic:pic>
              </a:graphicData>
            </a:graphic>
          </wp:inline>
        </w:drawing>
      </w:r>
      <w:r>
        <w:rPr>
          <w:rFonts w:ascii="Times New Roman" w:hAnsi="Times New Roman"/>
          <w:bCs/>
          <w:iCs/>
          <w:color w:val="auto"/>
          <w:szCs w:val="20"/>
          <w:lang w:eastAsia="ru-RU" w:bidi="ar-SA"/>
        </w:rPr>
        <w:t xml:space="preserve"> </w:t>
      </w:r>
      <w:r>
        <w:rPr>
          <w:noProof/>
        </w:rPr>
        <w:drawing>
          <wp:inline distT="0" distB="0" distL="0" distR="0" wp14:anchorId="7FA2C3C9" wp14:editId="223DF866">
            <wp:extent cx="1286510" cy="159258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pic:cNvPicPr>
                      <a:picLocks noChangeAspect="1" noChangeArrowheads="1"/>
                    </pic:cNvPicPr>
                  </pic:nvPicPr>
                  <pic:blipFill>
                    <a:blip r:embed="rId25"/>
                    <a:stretch>
                      <a:fillRect/>
                    </a:stretch>
                  </pic:blipFill>
                  <pic:spPr bwMode="auto">
                    <a:xfrm>
                      <a:off x="0" y="0"/>
                      <a:ext cx="1286510" cy="1592580"/>
                    </a:xfrm>
                    <a:prstGeom prst="rect">
                      <a:avLst/>
                    </a:prstGeom>
                  </pic:spPr>
                </pic:pic>
              </a:graphicData>
            </a:graphic>
          </wp:inline>
        </w:drawing>
      </w:r>
      <w:r>
        <w:rPr>
          <w:noProof/>
        </w:rPr>
        <w:drawing>
          <wp:inline distT="0" distB="0" distL="0" distR="0" wp14:anchorId="3E6F16A1" wp14:editId="46C3F375">
            <wp:extent cx="1392555" cy="159639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26"/>
                    <a:stretch>
                      <a:fillRect/>
                    </a:stretch>
                  </pic:blipFill>
                  <pic:spPr bwMode="auto">
                    <a:xfrm>
                      <a:off x="0" y="0"/>
                      <a:ext cx="1392555" cy="1596390"/>
                    </a:xfrm>
                    <a:prstGeom prst="rect">
                      <a:avLst/>
                    </a:prstGeom>
                  </pic:spPr>
                </pic:pic>
              </a:graphicData>
            </a:graphic>
          </wp:inline>
        </w:drawing>
      </w:r>
    </w:p>
    <w:p w14:paraId="23B7536B" w14:textId="77777777" w:rsidR="009B667A" w:rsidRDefault="00000000">
      <w:pPr>
        <w:pStyle w:val="MDPI31text"/>
        <w:spacing w:line="240" w:lineRule="auto"/>
        <w:ind w:left="0" w:firstLine="0"/>
        <w:jc w:val="center"/>
        <w:rPr>
          <w:rFonts w:ascii="Times New Roman" w:hAnsi="Times New Roman"/>
          <w:bCs/>
          <w:iCs/>
          <w:color w:val="auto"/>
          <w:szCs w:val="20"/>
          <w:lang w:eastAsia="ru-RU" w:bidi="ar-SA"/>
        </w:rPr>
      </w:pPr>
      <w:r>
        <w:rPr>
          <w:rFonts w:ascii="Times New Roman" w:hAnsi="Times New Roman"/>
          <w:bCs/>
          <w:iCs/>
          <w:color w:val="auto"/>
          <w:szCs w:val="20"/>
          <w:lang w:eastAsia="ru-RU" w:bidi="ar-SA"/>
        </w:rPr>
        <w:t>(a)</w:t>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t>(</w:t>
      </w:r>
      <w:r>
        <w:rPr>
          <w:rFonts w:ascii="Times New Roman" w:hAnsi="Times New Roman"/>
          <w:bCs/>
          <w:color w:val="auto"/>
          <w:szCs w:val="20"/>
          <w:lang w:eastAsia="ru-RU" w:bidi="ar-SA"/>
        </w:rPr>
        <w:t xml:space="preserve">b) </w:t>
      </w:r>
      <w:r>
        <w:rPr>
          <w:rFonts w:ascii="Times New Roman" w:hAnsi="Times New Roman"/>
          <w:bCs/>
          <w:color w:val="auto"/>
          <w:szCs w:val="20"/>
          <w:lang w:eastAsia="ru-RU" w:bidi="ar-SA"/>
        </w:rPr>
        <w:tab/>
      </w:r>
      <w:r>
        <w:rPr>
          <w:rFonts w:ascii="Times New Roman" w:hAnsi="Times New Roman"/>
          <w:bCs/>
          <w:color w:val="auto"/>
          <w:szCs w:val="20"/>
          <w:lang w:eastAsia="ru-RU" w:bidi="ar-SA"/>
        </w:rPr>
        <w:tab/>
      </w:r>
      <w:r>
        <w:rPr>
          <w:rFonts w:ascii="Times New Roman" w:hAnsi="Times New Roman"/>
          <w:bCs/>
          <w:color w:val="auto"/>
          <w:szCs w:val="20"/>
          <w:lang w:eastAsia="ru-RU" w:bidi="ar-SA"/>
        </w:rPr>
        <w:tab/>
      </w:r>
      <w:r>
        <w:rPr>
          <w:rFonts w:ascii="Times New Roman" w:hAnsi="Times New Roman"/>
          <w:bCs/>
          <w:iCs/>
          <w:color w:val="auto"/>
          <w:szCs w:val="20"/>
          <w:lang w:eastAsia="ru-RU" w:bidi="ar-SA"/>
        </w:rPr>
        <w:t xml:space="preserve"> (c) </w:t>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t>(d)</w:t>
      </w:r>
    </w:p>
    <w:p w14:paraId="4B08073D" w14:textId="77777777" w:rsidR="009B667A" w:rsidRDefault="00000000">
      <w:pPr>
        <w:ind w:firstLine="284"/>
        <w:jc w:val="center"/>
        <w:rPr>
          <w:bCs/>
          <w:iCs/>
          <w:sz w:val="18"/>
          <w:szCs w:val="18"/>
          <w:lang w:eastAsia="ru-RU"/>
        </w:rPr>
      </w:pPr>
      <w:r>
        <w:rPr>
          <w:b/>
          <w:caps/>
          <w:sz w:val="18"/>
          <w:szCs w:val="18"/>
        </w:rPr>
        <w:t>Figure 3.</w:t>
      </w:r>
      <w:r>
        <w:rPr>
          <w:sz w:val="18"/>
          <w:szCs w:val="18"/>
        </w:rPr>
        <w:t xml:space="preserve"> </w:t>
      </w:r>
      <w:r>
        <w:rPr>
          <w:bCs/>
          <w:iCs/>
          <w:sz w:val="18"/>
          <w:szCs w:val="18"/>
          <w:lang w:eastAsia="ru-RU"/>
        </w:rPr>
        <w:t>Photographs of the samples after indentation with the hemispherical punch at velocities of (</w:t>
      </w:r>
      <w:r>
        <w:rPr>
          <w:bCs/>
          <w:i/>
          <w:iCs/>
          <w:sz w:val="18"/>
          <w:szCs w:val="18"/>
          <w:lang w:eastAsia="ru-RU"/>
        </w:rPr>
        <w:t>a</w:t>
      </w:r>
      <w:r>
        <w:rPr>
          <w:bCs/>
          <w:iCs/>
          <w:sz w:val="18"/>
          <w:szCs w:val="18"/>
          <w:lang w:eastAsia="ru-RU"/>
        </w:rPr>
        <w:t>) 10, (</w:t>
      </w:r>
      <w:r>
        <w:rPr>
          <w:bCs/>
          <w:i/>
          <w:iCs/>
          <w:sz w:val="18"/>
          <w:szCs w:val="18"/>
          <w:lang w:eastAsia="ru-RU"/>
        </w:rPr>
        <w:t>b</w:t>
      </w:r>
      <w:r>
        <w:rPr>
          <w:bCs/>
          <w:iCs/>
          <w:sz w:val="18"/>
          <w:szCs w:val="18"/>
          <w:lang w:eastAsia="ru-RU"/>
        </w:rPr>
        <w:t>) 5, (</w:t>
      </w:r>
      <w:r>
        <w:rPr>
          <w:bCs/>
          <w:i/>
          <w:iCs/>
          <w:sz w:val="18"/>
          <w:szCs w:val="18"/>
          <w:lang w:eastAsia="ru-RU"/>
        </w:rPr>
        <w:t>c</w:t>
      </w:r>
      <w:r>
        <w:rPr>
          <w:bCs/>
          <w:iCs/>
          <w:sz w:val="18"/>
          <w:szCs w:val="18"/>
          <w:lang w:eastAsia="ru-RU"/>
        </w:rPr>
        <w:t>) 1, and (</w:t>
      </w:r>
      <w:r>
        <w:rPr>
          <w:bCs/>
          <w:i/>
          <w:iCs/>
          <w:sz w:val="18"/>
          <w:szCs w:val="18"/>
          <w:lang w:eastAsia="ru-RU"/>
        </w:rPr>
        <w:t>d</w:t>
      </w:r>
      <w:r>
        <w:rPr>
          <w:bCs/>
          <w:iCs/>
          <w:sz w:val="18"/>
          <w:szCs w:val="18"/>
          <w:lang w:eastAsia="ru-RU"/>
        </w:rPr>
        <w:t>) 0.1 m/s</w:t>
      </w:r>
    </w:p>
    <w:p w14:paraId="0E0A810F" w14:textId="1682FB85" w:rsidR="009B667A" w:rsidRDefault="00000000">
      <w:pPr>
        <w:spacing w:before="200"/>
        <w:ind w:firstLine="284"/>
        <w:rPr>
          <w:bCs/>
          <w:iCs/>
          <w:sz w:val="20"/>
          <w:lang w:eastAsia="ru-RU"/>
        </w:rPr>
      </w:pPr>
      <w:r>
        <w:rPr>
          <w:bCs/>
          <w:iCs/>
          <w:sz w:val="20"/>
          <w:lang w:eastAsia="ru-RU"/>
        </w:rPr>
        <w:lastRenderedPageBreak/>
        <w:t>Fig</w:t>
      </w:r>
      <w:r w:rsidR="00D2612E">
        <w:rPr>
          <w:bCs/>
          <w:iCs/>
          <w:sz w:val="20"/>
          <w:lang w:eastAsia="ru-RU"/>
        </w:rPr>
        <w:t>ure</w:t>
      </w:r>
      <w:r>
        <w:rPr>
          <w:bCs/>
          <w:iCs/>
          <w:sz w:val="20"/>
          <w:lang w:eastAsia="ru-RU"/>
        </w:rPr>
        <w:t xml:space="preserve"> 3 shows photographs of AMg2 samples after punching with a hemispherical indenter at speeds of 10, 5, 1 and 0.1 m/s, respectively. The shape of the cracks in the indentation zone depends on the indentation velocity and the thickness of the specimens.</w:t>
      </w:r>
    </w:p>
    <w:p w14:paraId="4405E461" w14:textId="77777777" w:rsidR="009B667A" w:rsidRDefault="00000000">
      <w:pPr>
        <w:ind w:firstLine="284"/>
        <w:jc w:val="both"/>
        <w:rPr>
          <w:bCs/>
          <w:iCs/>
          <w:sz w:val="20"/>
          <w:lang w:eastAsia="ru-RU"/>
        </w:rPr>
      </w:pPr>
      <w:r>
        <w:rPr>
          <w:noProof/>
        </w:rPr>
        <w:drawing>
          <wp:inline distT="0" distB="0" distL="0" distR="0" wp14:anchorId="665FA897" wp14:editId="7ED3A7EE">
            <wp:extent cx="1242060" cy="1333500"/>
            <wp:effectExtent l="0" t="0" r="0" b="0"/>
            <wp:docPr id="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1"/>
                    <pic:cNvPicPr>
                      <a:picLocks noChangeAspect="1" noChangeArrowheads="1"/>
                    </pic:cNvPicPr>
                  </pic:nvPicPr>
                  <pic:blipFill>
                    <a:blip r:embed="rId27"/>
                    <a:stretch>
                      <a:fillRect/>
                    </a:stretch>
                  </pic:blipFill>
                  <pic:spPr bwMode="auto">
                    <a:xfrm>
                      <a:off x="0" y="0"/>
                      <a:ext cx="1242060" cy="1333500"/>
                    </a:xfrm>
                    <a:prstGeom prst="rect">
                      <a:avLst/>
                    </a:prstGeom>
                  </pic:spPr>
                </pic:pic>
              </a:graphicData>
            </a:graphic>
          </wp:inline>
        </w:drawing>
      </w:r>
      <w:r>
        <w:rPr>
          <w:noProof/>
        </w:rPr>
        <w:drawing>
          <wp:inline distT="0" distB="0" distL="0" distR="0" wp14:anchorId="18DE5810" wp14:editId="24E5285E">
            <wp:extent cx="1354455" cy="1349375"/>
            <wp:effectExtent l="0" t="0" r="0" b="0"/>
            <wp:docPr id="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0"/>
                    <pic:cNvPicPr>
                      <a:picLocks noChangeAspect="1" noChangeArrowheads="1"/>
                    </pic:cNvPicPr>
                  </pic:nvPicPr>
                  <pic:blipFill>
                    <a:blip r:embed="rId28"/>
                    <a:stretch>
                      <a:fillRect/>
                    </a:stretch>
                  </pic:blipFill>
                  <pic:spPr bwMode="auto">
                    <a:xfrm>
                      <a:off x="0" y="0"/>
                      <a:ext cx="1354455" cy="1349375"/>
                    </a:xfrm>
                    <a:prstGeom prst="rect">
                      <a:avLst/>
                    </a:prstGeom>
                  </pic:spPr>
                </pic:pic>
              </a:graphicData>
            </a:graphic>
          </wp:inline>
        </w:drawing>
      </w:r>
      <w:r>
        <w:rPr>
          <w:noProof/>
        </w:rPr>
        <w:drawing>
          <wp:inline distT="0" distB="0" distL="0" distR="0" wp14:anchorId="064A6DBA" wp14:editId="7060284C">
            <wp:extent cx="1379220" cy="1363980"/>
            <wp:effectExtent l="0" t="0" r="0"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9"/>
                    <pic:cNvPicPr>
                      <a:picLocks noChangeAspect="1" noChangeArrowheads="1"/>
                    </pic:cNvPicPr>
                  </pic:nvPicPr>
                  <pic:blipFill>
                    <a:blip r:embed="rId29"/>
                    <a:stretch>
                      <a:fillRect/>
                    </a:stretch>
                  </pic:blipFill>
                  <pic:spPr bwMode="auto">
                    <a:xfrm>
                      <a:off x="0" y="0"/>
                      <a:ext cx="1379220" cy="1363980"/>
                    </a:xfrm>
                    <a:prstGeom prst="rect">
                      <a:avLst/>
                    </a:prstGeom>
                  </pic:spPr>
                </pic:pic>
              </a:graphicData>
            </a:graphic>
          </wp:inline>
        </w:drawing>
      </w:r>
      <w:r>
        <w:rPr>
          <w:noProof/>
        </w:rPr>
        <w:drawing>
          <wp:inline distT="0" distB="0" distL="0" distR="0" wp14:anchorId="33F6E080" wp14:editId="210F4FC4">
            <wp:extent cx="1334770" cy="1354455"/>
            <wp:effectExtent l="0" t="0" r="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8"/>
                    <pic:cNvPicPr>
                      <a:picLocks noChangeAspect="1" noChangeArrowheads="1"/>
                    </pic:cNvPicPr>
                  </pic:nvPicPr>
                  <pic:blipFill>
                    <a:blip r:embed="rId30"/>
                    <a:stretch>
                      <a:fillRect/>
                    </a:stretch>
                  </pic:blipFill>
                  <pic:spPr bwMode="auto">
                    <a:xfrm>
                      <a:off x="0" y="0"/>
                      <a:ext cx="1334770" cy="1354455"/>
                    </a:xfrm>
                    <a:prstGeom prst="rect">
                      <a:avLst/>
                    </a:prstGeom>
                  </pic:spPr>
                </pic:pic>
              </a:graphicData>
            </a:graphic>
          </wp:inline>
        </w:drawing>
      </w:r>
      <w:r>
        <w:rPr>
          <w:bCs/>
          <w:iCs/>
          <w:sz w:val="20"/>
          <w:lang w:eastAsia="ru-RU"/>
        </w:rPr>
        <w:t xml:space="preserve"> </w:t>
      </w:r>
    </w:p>
    <w:p w14:paraId="31174577" w14:textId="77777777" w:rsidR="009B667A" w:rsidRDefault="00000000">
      <w:pPr>
        <w:pStyle w:val="MDPI31text"/>
        <w:spacing w:line="240" w:lineRule="auto"/>
        <w:ind w:left="0" w:firstLine="0"/>
        <w:jc w:val="center"/>
        <w:rPr>
          <w:rFonts w:ascii="Times New Roman" w:hAnsi="Times New Roman"/>
          <w:bCs/>
          <w:iCs/>
          <w:color w:val="auto"/>
          <w:szCs w:val="20"/>
          <w:lang w:eastAsia="ru-RU" w:bidi="ar-SA"/>
        </w:rPr>
      </w:pPr>
      <w:r>
        <w:rPr>
          <w:rFonts w:ascii="Times New Roman" w:hAnsi="Times New Roman"/>
          <w:bCs/>
          <w:iCs/>
          <w:color w:val="auto"/>
          <w:szCs w:val="20"/>
          <w:lang w:eastAsia="ru-RU" w:bidi="ar-SA"/>
        </w:rPr>
        <w:t>(a)</w:t>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t>(</w:t>
      </w:r>
      <w:r>
        <w:rPr>
          <w:rFonts w:ascii="Times New Roman" w:hAnsi="Times New Roman"/>
          <w:bCs/>
          <w:color w:val="auto"/>
          <w:szCs w:val="20"/>
          <w:lang w:eastAsia="ru-RU" w:bidi="ar-SA"/>
        </w:rPr>
        <w:t xml:space="preserve">b) </w:t>
      </w:r>
      <w:r>
        <w:rPr>
          <w:rFonts w:ascii="Times New Roman" w:hAnsi="Times New Roman"/>
          <w:bCs/>
          <w:color w:val="auto"/>
          <w:szCs w:val="20"/>
          <w:lang w:eastAsia="ru-RU" w:bidi="ar-SA"/>
        </w:rPr>
        <w:tab/>
      </w:r>
      <w:r>
        <w:rPr>
          <w:rFonts w:ascii="Times New Roman" w:hAnsi="Times New Roman"/>
          <w:bCs/>
          <w:color w:val="auto"/>
          <w:szCs w:val="20"/>
          <w:lang w:eastAsia="ru-RU" w:bidi="ar-SA"/>
        </w:rPr>
        <w:tab/>
      </w:r>
      <w:r>
        <w:rPr>
          <w:rFonts w:ascii="Times New Roman" w:hAnsi="Times New Roman"/>
          <w:bCs/>
          <w:color w:val="auto"/>
          <w:szCs w:val="20"/>
          <w:lang w:eastAsia="ru-RU" w:bidi="ar-SA"/>
        </w:rPr>
        <w:tab/>
      </w:r>
      <w:r>
        <w:rPr>
          <w:rFonts w:ascii="Times New Roman" w:hAnsi="Times New Roman"/>
          <w:bCs/>
          <w:iCs/>
          <w:color w:val="auto"/>
          <w:szCs w:val="20"/>
          <w:lang w:eastAsia="ru-RU" w:bidi="ar-SA"/>
        </w:rPr>
        <w:t xml:space="preserve"> (c) </w:t>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t>(d)</w:t>
      </w:r>
    </w:p>
    <w:p w14:paraId="64D0B31B" w14:textId="77777777" w:rsidR="009B667A" w:rsidRDefault="00000000">
      <w:pPr>
        <w:jc w:val="center"/>
        <w:rPr>
          <w:bCs/>
          <w:iCs/>
          <w:sz w:val="18"/>
          <w:szCs w:val="18"/>
          <w:lang w:eastAsia="ru-RU"/>
        </w:rPr>
      </w:pPr>
      <w:r>
        <w:rPr>
          <w:b/>
          <w:caps/>
          <w:sz w:val="18"/>
          <w:szCs w:val="18"/>
        </w:rPr>
        <w:t>Figure 4.</w:t>
      </w:r>
      <w:r>
        <w:rPr>
          <w:sz w:val="18"/>
          <w:szCs w:val="18"/>
        </w:rPr>
        <w:t xml:space="preserve"> </w:t>
      </w:r>
      <w:r>
        <w:rPr>
          <w:bCs/>
          <w:iCs/>
          <w:sz w:val="18"/>
          <w:szCs w:val="18"/>
          <w:lang w:eastAsia="ru-RU"/>
        </w:rPr>
        <w:t>Photographs of the samples after indentation with the hemispherical punch at velocities of (a) 10, (b) 5, (c) 1, and (d) 0.1 m/s</w:t>
      </w:r>
    </w:p>
    <w:p w14:paraId="3573FA96" w14:textId="77777777" w:rsidR="009B667A" w:rsidRDefault="009B667A">
      <w:pPr>
        <w:ind w:firstLine="284"/>
        <w:jc w:val="center"/>
        <w:rPr>
          <w:bCs/>
          <w:iCs/>
          <w:sz w:val="18"/>
          <w:szCs w:val="18"/>
          <w:lang w:eastAsia="ru-RU"/>
        </w:rPr>
      </w:pPr>
    </w:p>
    <w:p w14:paraId="3D6115EC" w14:textId="170744F9" w:rsidR="009B667A" w:rsidRDefault="00000000">
      <w:pPr>
        <w:ind w:firstLine="284"/>
        <w:jc w:val="both"/>
        <w:rPr>
          <w:bCs/>
          <w:iCs/>
          <w:sz w:val="20"/>
          <w:lang w:eastAsia="ru-RU"/>
        </w:rPr>
      </w:pPr>
      <w:r>
        <w:rPr>
          <w:bCs/>
          <w:iCs/>
          <w:sz w:val="20"/>
          <w:lang w:eastAsia="ru-RU"/>
        </w:rPr>
        <w:t>Fig</w:t>
      </w:r>
      <w:r w:rsidR="00D2612E">
        <w:rPr>
          <w:bCs/>
          <w:iCs/>
          <w:sz w:val="20"/>
          <w:lang w:eastAsia="ru-RU"/>
        </w:rPr>
        <w:t>ure</w:t>
      </w:r>
      <w:r>
        <w:rPr>
          <w:bCs/>
          <w:iCs/>
          <w:sz w:val="20"/>
          <w:lang w:eastAsia="ru-RU"/>
        </w:rPr>
        <w:t xml:space="preserve"> 5 shows the calculated and experimental dependences of force on deflection at an indentation speed of 10 m/s. Curve 1 corresponds to the calculated values, and curve 2 to the experimental ones.</w:t>
      </w:r>
    </w:p>
    <w:p w14:paraId="5092D8DF" w14:textId="77777777" w:rsidR="009B667A" w:rsidRDefault="00000000">
      <w:pPr>
        <w:ind w:firstLine="284"/>
        <w:jc w:val="both"/>
        <w:rPr>
          <w:lang w:val="en-GB" w:eastAsia="en-GB"/>
        </w:rPr>
      </w:pPr>
      <w:r>
        <w:pict w14:anchorId="6373CDB2">
          <v:shape id="_x0000_tole_rId25" o:spid="_x0000_s1037" type="#_x0000_t75" style="position:absolute;left:0;text-align:left;margin-left:0;margin-top:0;width:50pt;height:50pt;z-index:251658240;visibility:hidden">
            <o:lock v:ext="edit" selection="t"/>
          </v:shape>
        </w:pict>
      </w:r>
      <w:r>
        <w:object w:dxaOrig="4572" w:dyaOrig="3468" w14:anchorId="6CA7080B">
          <v:shape id="ole_rId25" o:spid="_x0000_i1031" type="#_x0000_t75" style="width:228.5pt;height:173.5pt;visibility:visible;mso-wrap-distance-right:0" o:ole="">
            <v:imagedata r:id="rId31" o:title=""/>
          </v:shape>
          <o:OLEObject Type="Embed" ProgID="Origin95.Graph" ShapeID="ole_rId25" DrawAspect="Content" ObjectID="_1825928283" r:id="rId32"/>
        </w:object>
      </w:r>
      <w:r>
        <w:pict w14:anchorId="5EEC7ACA">
          <v:shape id="_x0000_tole_rId27" o:spid="_x0000_s1035" type="#_x0000_t75" style="position:absolute;left:0;text-align:left;margin-left:0;margin-top:0;width:50pt;height:50pt;z-index:251659264;visibility:hidden;mso-position-horizontal-relative:text;mso-position-vertical-relative:text">
            <o:lock v:ext="edit" selection="t"/>
          </v:shape>
        </w:pict>
      </w:r>
      <w:r>
        <w:object w:dxaOrig="4440" w:dyaOrig="3360" w14:anchorId="312F8DB2">
          <v:shape id="ole_rId27" o:spid="_x0000_i1032" type="#_x0000_t75" style="width:222pt;height:168pt;visibility:visible;mso-wrap-distance-right:0" o:ole="">
            <v:imagedata r:id="rId33" o:title=""/>
          </v:shape>
          <o:OLEObject Type="Embed" ProgID="Origin95.Graph" ShapeID="ole_rId27" DrawAspect="Content" ObjectID="_1825928284" r:id="rId34"/>
        </w:object>
      </w:r>
      <w:r>
        <w:rPr>
          <w:lang w:val="en-GB" w:eastAsia="en-GB"/>
        </w:rPr>
        <w:t xml:space="preserve"> </w:t>
      </w:r>
    </w:p>
    <w:tbl>
      <w:tblPr>
        <w:tblStyle w:val="Tabellenraster"/>
        <w:tblW w:w="9576" w:type="dxa"/>
        <w:tblLayout w:type="fixed"/>
        <w:tblLook w:val="04A0" w:firstRow="1" w:lastRow="0" w:firstColumn="1" w:lastColumn="0" w:noHBand="0" w:noVBand="1"/>
      </w:tblPr>
      <w:tblGrid>
        <w:gridCol w:w="4789"/>
        <w:gridCol w:w="4787"/>
      </w:tblGrid>
      <w:tr w:rsidR="009B667A" w14:paraId="14988F49" w14:textId="77777777">
        <w:trPr>
          <w:trHeight w:val="291"/>
        </w:trPr>
        <w:tc>
          <w:tcPr>
            <w:tcW w:w="4788" w:type="dxa"/>
            <w:tcBorders>
              <w:top w:val="nil"/>
              <w:left w:val="nil"/>
              <w:bottom w:val="nil"/>
              <w:right w:val="nil"/>
            </w:tcBorders>
          </w:tcPr>
          <w:p w14:paraId="2C96D08F" w14:textId="77777777" w:rsidR="009B667A" w:rsidRDefault="00000000">
            <w:pPr>
              <w:pStyle w:val="Paragraph"/>
              <w:ind w:firstLine="0"/>
              <w:jc w:val="center"/>
            </w:pPr>
            <w:r>
              <w:t>(a)</w:t>
            </w:r>
          </w:p>
        </w:tc>
        <w:tc>
          <w:tcPr>
            <w:tcW w:w="4787" w:type="dxa"/>
            <w:tcBorders>
              <w:top w:val="nil"/>
              <w:left w:val="nil"/>
              <w:bottom w:val="nil"/>
              <w:right w:val="nil"/>
            </w:tcBorders>
          </w:tcPr>
          <w:p w14:paraId="30CBC6DB" w14:textId="77777777" w:rsidR="009B667A" w:rsidRDefault="00000000">
            <w:pPr>
              <w:pStyle w:val="Paragraph"/>
              <w:ind w:firstLine="0"/>
              <w:jc w:val="center"/>
            </w:pPr>
            <w:r>
              <w:t>(b)</w:t>
            </w:r>
          </w:p>
        </w:tc>
      </w:tr>
    </w:tbl>
    <w:p w14:paraId="3BBDA130" w14:textId="77777777" w:rsidR="009B667A" w:rsidRDefault="00000000">
      <w:pPr>
        <w:jc w:val="center"/>
        <w:rPr>
          <w:color w:val="000000"/>
          <w:sz w:val="18"/>
          <w:szCs w:val="18"/>
        </w:rPr>
      </w:pPr>
      <w:r>
        <w:rPr>
          <w:b/>
          <w:caps/>
          <w:sz w:val="18"/>
          <w:szCs w:val="18"/>
        </w:rPr>
        <w:t>Figure 5.</w:t>
      </w:r>
      <w:r>
        <w:rPr>
          <w:sz w:val="18"/>
          <w:szCs w:val="18"/>
        </w:rPr>
        <w:t xml:space="preserve"> </w:t>
      </w:r>
      <w:r>
        <w:rPr>
          <w:i/>
          <w:iCs/>
          <w:color w:val="000000"/>
          <w:sz w:val="18"/>
          <w:szCs w:val="18"/>
        </w:rPr>
        <w:t>a</w:t>
      </w:r>
      <w:r>
        <w:rPr>
          <w:color w:val="000000"/>
          <w:sz w:val="18"/>
          <w:szCs w:val="18"/>
        </w:rPr>
        <w:t xml:space="preserve">) </w:t>
      </w:r>
      <w:r>
        <w:rPr>
          <w:bCs/>
          <w:iCs/>
          <w:sz w:val="18"/>
          <w:szCs w:val="18"/>
          <w:lang w:eastAsia="ru-RU"/>
        </w:rPr>
        <w:t xml:space="preserve">Calculated and experimental dependences of the force on deflection at an indentation velocity of 10 m/s; curve </w:t>
      </w:r>
      <w:r>
        <w:rPr>
          <w:bCs/>
          <w:sz w:val="18"/>
          <w:szCs w:val="18"/>
          <w:lang w:eastAsia="ru-RU"/>
        </w:rPr>
        <w:t>1</w:t>
      </w:r>
      <w:r>
        <w:rPr>
          <w:bCs/>
          <w:iCs/>
          <w:sz w:val="18"/>
          <w:szCs w:val="18"/>
          <w:lang w:eastAsia="ru-RU"/>
        </w:rPr>
        <w:t xml:space="preserve"> corresponds to calculation result, and </w:t>
      </w:r>
      <w:r>
        <w:rPr>
          <w:bCs/>
          <w:sz w:val="18"/>
          <w:szCs w:val="18"/>
          <w:lang w:eastAsia="ru-RU"/>
        </w:rPr>
        <w:t>2</w:t>
      </w:r>
      <w:r>
        <w:rPr>
          <w:bCs/>
          <w:iCs/>
          <w:sz w:val="18"/>
          <w:szCs w:val="18"/>
          <w:lang w:eastAsia="ru-RU"/>
        </w:rPr>
        <w:t xml:space="preserve"> is  experimental data;</w:t>
      </w:r>
      <w:r>
        <w:rPr>
          <w:color w:val="000000"/>
          <w:sz w:val="18"/>
          <w:szCs w:val="18"/>
        </w:rPr>
        <w:t xml:space="preserve"> (</w:t>
      </w:r>
      <w:r>
        <w:rPr>
          <w:i/>
          <w:iCs/>
          <w:color w:val="000000"/>
          <w:sz w:val="18"/>
          <w:szCs w:val="18"/>
        </w:rPr>
        <w:t>b</w:t>
      </w:r>
      <w:r>
        <w:rPr>
          <w:color w:val="000000"/>
          <w:sz w:val="18"/>
          <w:szCs w:val="18"/>
        </w:rPr>
        <w:t xml:space="preserve">) </w:t>
      </w:r>
      <w:r>
        <w:rPr>
          <w:bCs/>
          <w:iCs/>
          <w:sz w:val="18"/>
          <w:szCs w:val="18"/>
          <w:lang w:eastAsia="ru-RU"/>
        </w:rPr>
        <w:t xml:space="preserve"> Calculated and e</w:t>
      </w:r>
      <w:r>
        <w:rPr>
          <w:color w:val="000000"/>
          <w:sz w:val="18"/>
          <w:szCs w:val="18"/>
        </w:rPr>
        <w:t xml:space="preserve">xperimental force </w:t>
      </w:r>
      <w:r>
        <w:rPr>
          <w:i/>
          <w:iCs/>
          <w:color w:val="000000"/>
          <w:sz w:val="18"/>
          <w:szCs w:val="18"/>
        </w:rPr>
        <w:t>F</w:t>
      </w:r>
      <w:r>
        <w:rPr>
          <w:color w:val="000000"/>
          <w:sz w:val="18"/>
          <w:szCs w:val="18"/>
        </w:rPr>
        <w:t>(</w:t>
      </w:r>
      <w:r>
        <w:rPr>
          <w:i/>
          <w:iCs/>
          <w:color w:val="000000"/>
          <w:sz w:val="18"/>
          <w:szCs w:val="18"/>
        </w:rPr>
        <w:t>u</w:t>
      </w:r>
      <w:r>
        <w:rPr>
          <w:color w:val="000000"/>
          <w:sz w:val="18"/>
          <w:szCs w:val="18"/>
          <w:vertAlign w:val="subscript"/>
        </w:rPr>
        <w:t>z</w:t>
      </w:r>
      <w:r>
        <w:rPr>
          <w:color w:val="000000"/>
          <w:sz w:val="18"/>
          <w:szCs w:val="18"/>
        </w:rPr>
        <w:t>) versus deflection curves for punching through aluminum plates of alloy AMg2 by a hemispherical indenter with a diameter of 20 mm</w:t>
      </w:r>
    </w:p>
    <w:p w14:paraId="74DD74B8" w14:textId="77777777" w:rsidR="009B667A" w:rsidRDefault="009B667A">
      <w:pPr>
        <w:jc w:val="center"/>
        <w:rPr>
          <w:bCs/>
          <w:iCs/>
          <w:sz w:val="18"/>
          <w:szCs w:val="18"/>
          <w:lang w:eastAsia="ru-RU"/>
        </w:rPr>
      </w:pPr>
    </w:p>
    <w:p w14:paraId="6ED39F37" w14:textId="77777777" w:rsidR="009B667A" w:rsidRDefault="00000000">
      <w:pPr>
        <w:rPr>
          <w:b/>
          <w:caps/>
          <w:sz w:val="20"/>
        </w:rPr>
      </w:pPr>
      <w:r>
        <w:rPr>
          <w:bCs/>
          <w:iCs/>
          <w:sz w:val="20"/>
          <w:lang w:eastAsia="ru-RU"/>
        </w:rPr>
        <w:t xml:space="preserve">The simulation results indicate that the distribution of equivalent plastic strain is non-uniform across the plate thickness during dynamic punching as MA2-1 as AMg2 plates with a hemispherical indenter. The calculated distribution of the equivalent plastic strain and equivalent Mises stress in the cross section of AMg2 samples is shown in </w:t>
      </w:r>
      <w:r>
        <w:rPr>
          <w:caps/>
          <w:sz w:val="20"/>
        </w:rPr>
        <w:t>F</w:t>
      </w:r>
      <w:r>
        <w:rPr>
          <w:sz w:val="20"/>
        </w:rPr>
        <w:t>ig.</w:t>
      </w:r>
      <w:r>
        <w:rPr>
          <w:caps/>
          <w:sz w:val="20"/>
        </w:rPr>
        <w:t xml:space="preserve"> 6</w:t>
      </w:r>
      <w:r>
        <w:rPr>
          <w:b/>
          <w:caps/>
          <w:sz w:val="20"/>
        </w:rPr>
        <w:t>.</w:t>
      </w:r>
    </w:p>
    <w:tbl>
      <w:tblPr>
        <w:tblStyle w:val="Tabellenraster"/>
        <w:tblW w:w="9576" w:type="dxa"/>
        <w:tblLayout w:type="fixed"/>
        <w:tblLook w:val="04A0" w:firstRow="1" w:lastRow="0" w:firstColumn="1" w:lastColumn="0" w:noHBand="0" w:noVBand="1"/>
      </w:tblPr>
      <w:tblGrid>
        <w:gridCol w:w="4784"/>
        <w:gridCol w:w="566"/>
        <w:gridCol w:w="3426"/>
        <w:gridCol w:w="800"/>
      </w:tblGrid>
      <w:tr w:rsidR="009B667A" w14:paraId="2BB2D81E" w14:textId="77777777">
        <w:tc>
          <w:tcPr>
            <w:tcW w:w="4784" w:type="dxa"/>
            <w:tcBorders>
              <w:top w:val="nil"/>
              <w:left w:val="nil"/>
              <w:bottom w:val="nil"/>
              <w:right w:val="nil"/>
            </w:tcBorders>
          </w:tcPr>
          <w:p w14:paraId="4790023B" w14:textId="77777777" w:rsidR="009B667A" w:rsidRDefault="00000000">
            <w:pPr>
              <w:jc w:val="center"/>
              <w:rPr>
                <w:sz w:val="20"/>
              </w:rPr>
            </w:pPr>
            <w:r>
              <w:rPr>
                <w:sz w:val="20"/>
              </w:rPr>
              <w:t xml:space="preserve"> </w:t>
            </w:r>
            <w:r>
              <w:pict w14:anchorId="085BB83D">
                <v:shape id="_x0000_tole_rId29" o:spid="_x0000_s1033" type="#_x0000_t75" style="position:absolute;left:0;text-align:left;margin-left:0;margin-top:0;width:50pt;height:50pt;z-index:251660288;visibility:hidden;mso-position-horizontal-relative:text;mso-position-vertical-relative:text">
                  <o:lock v:ext="edit" selection="t"/>
                </v:shape>
              </w:pict>
            </w:r>
            <w:r>
              <w:object w:dxaOrig="3090" w:dyaOrig="1908" w14:anchorId="41B7B614">
                <v:shape id="ole_rId29" o:spid="_x0000_i1033" type="#_x0000_t75" style="width:154.5pt;height:95.5pt;visibility:visible;mso-wrap-distance-right:0" o:ole="">
                  <v:imagedata r:id="rId35" o:title=""/>
                </v:shape>
                <o:OLEObject Type="Embed" ProgID="PBrush" ShapeID="ole_rId29" DrawAspect="Content" ObjectID="_1825928285" r:id="rId36"/>
              </w:object>
            </w:r>
          </w:p>
        </w:tc>
        <w:tc>
          <w:tcPr>
            <w:tcW w:w="4792" w:type="dxa"/>
            <w:gridSpan w:val="3"/>
            <w:tcBorders>
              <w:top w:val="nil"/>
              <w:left w:val="nil"/>
              <w:bottom w:val="nil"/>
              <w:right w:val="nil"/>
            </w:tcBorders>
          </w:tcPr>
          <w:p w14:paraId="7AB27802" w14:textId="77777777" w:rsidR="009B667A" w:rsidRDefault="00000000">
            <w:pPr>
              <w:jc w:val="center"/>
              <w:rPr>
                <w:sz w:val="20"/>
              </w:rPr>
            </w:pPr>
            <w:r>
              <w:pict w14:anchorId="3FD106C4">
                <v:shape id="_x0000_tole_rId31" o:spid="_x0000_s1031" type="#_x0000_t75" style="position:absolute;left:0;text-align:left;margin-left:0;margin-top:0;width:50pt;height:50pt;z-index:251661312;visibility:hidden;mso-position-horizontal-relative:text;mso-position-vertical-relative:text">
                  <o:lock v:ext="edit" selection="t"/>
                </v:shape>
              </w:pict>
            </w:r>
            <w:r>
              <w:object w:dxaOrig="2850" w:dyaOrig="1884" w14:anchorId="50FD5D73">
                <v:shape id="ole_rId31" o:spid="_x0000_i1034" type="#_x0000_t75" style="width:142.5pt;height:94pt;visibility:visible;mso-wrap-distance-right:0" o:ole="">
                  <v:imagedata r:id="rId37" o:title=""/>
                </v:shape>
                <o:OLEObject Type="Embed" ProgID="PBrush" ShapeID="ole_rId31" DrawAspect="Content" ObjectID="_1825928286" r:id="rId38"/>
              </w:object>
            </w:r>
          </w:p>
        </w:tc>
      </w:tr>
      <w:tr w:rsidR="009B667A" w14:paraId="3ECD1AE8" w14:textId="77777777">
        <w:trPr>
          <w:trHeight w:val="393"/>
        </w:trPr>
        <w:tc>
          <w:tcPr>
            <w:tcW w:w="5350" w:type="dxa"/>
            <w:gridSpan w:val="2"/>
            <w:tcBorders>
              <w:top w:val="nil"/>
              <w:left w:val="nil"/>
              <w:bottom w:val="nil"/>
              <w:right w:val="nil"/>
            </w:tcBorders>
          </w:tcPr>
          <w:p w14:paraId="0719C640" w14:textId="77777777" w:rsidR="009B667A" w:rsidRDefault="00000000">
            <w:pPr>
              <w:pStyle w:val="Paragraph"/>
              <w:ind w:firstLine="0"/>
              <w:jc w:val="center"/>
            </w:pPr>
            <w:r>
              <w:t>(a)</w:t>
            </w:r>
          </w:p>
        </w:tc>
        <w:tc>
          <w:tcPr>
            <w:tcW w:w="3426" w:type="dxa"/>
            <w:tcBorders>
              <w:top w:val="nil"/>
              <w:left w:val="nil"/>
              <w:bottom w:val="nil"/>
              <w:right w:val="nil"/>
            </w:tcBorders>
          </w:tcPr>
          <w:p w14:paraId="02D74671" w14:textId="77777777" w:rsidR="009B667A" w:rsidRDefault="00000000">
            <w:pPr>
              <w:pStyle w:val="Paragraph"/>
              <w:ind w:firstLine="0"/>
              <w:jc w:val="center"/>
            </w:pPr>
            <w:r>
              <w:t>(b)</w:t>
            </w:r>
          </w:p>
        </w:tc>
        <w:tc>
          <w:tcPr>
            <w:tcW w:w="800" w:type="dxa"/>
            <w:tcBorders>
              <w:top w:val="nil"/>
              <w:left w:val="nil"/>
              <w:bottom w:val="nil"/>
              <w:right w:val="nil"/>
            </w:tcBorders>
          </w:tcPr>
          <w:p w14:paraId="17B61194" w14:textId="77777777" w:rsidR="009B667A" w:rsidRDefault="009B667A"/>
        </w:tc>
      </w:tr>
      <w:tr w:rsidR="009B667A" w14:paraId="4AF6E2D5" w14:textId="77777777">
        <w:trPr>
          <w:trHeight w:val="291"/>
        </w:trPr>
        <w:tc>
          <w:tcPr>
            <w:tcW w:w="5350" w:type="dxa"/>
            <w:gridSpan w:val="2"/>
          </w:tcPr>
          <w:tbl>
            <w:tblPr>
              <w:tblStyle w:val="Tabellenraster"/>
              <w:tblW w:w="4673" w:type="dxa"/>
              <w:tblLayout w:type="fixed"/>
              <w:tblLook w:val="04A0" w:firstRow="1" w:lastRow="0" w:firstColumn="1" w:lastColumn="0" w:noHBand="0" w:noVBand="1"/>
            </w:tblPr>
            <w:tblGrid>
              <w:gridCol w:w="4673"/>
            </w:tblGrid>
            <w:tr w:rsidR="009B667A" w14:paraId="2E88E160" w14:textId="77777777">
              <w:tc>
                <w:tcPr>
                  <w:tcW w:w="4673" w:type="dxa"/>
                  <w:tcBorders>
                    <w:top w:val="nil"/>
                    <w:left w:val="nil"/>
                    <w:bottom w:val="nil"/>
                    <w:right w:val="nil"/>
                  </w:tcBorders>
                </w:tcPr>
                <w:p w14:paraId="5D8E1357" w14:textId="77777777" w:rsidR="009B667A" w:rsidRDefault="00000000">
                  <w:pPr>
                    <w:pStyle w:val="Paragraph"/>
                    <w:ind w:firstLine="0"/>
                    <w:jc w:val="center"/>
                  </w:pPr>
                  <w:r>
                    <w:lastRenderedPageBreak/>
                    <w:pict w14:anchorId="22F6F339">
                      <v:shape id="_x0000_tole_rId33" o:spid="_x0000_s1029" type="#_x0000_t75" style="position:absolute;left:0;text-align:left;margin-left:0;margin-top:0;width:50pt;height:50pt;z-index:251662336;visibility:hidden;mso-position-horizontal-relative:text;mso-position-vertical-relative:text">
                        <o:lock v:ext="edit" selection="t"/>
                      </v:shape>
                    </w:pict>
                  </w:r>
                  <w:r>
                    <w:object w:dxaOrig="2910" w:dyaOrig="2280" w14:anchorId="76DDA181">
                      <v:shape id="ole_rId33" o:spid="_x0000_i1035" type="#_x0000_t75" style="width:145.5pt;height:114pt;visibility:visible;mso-wrap-distance-right:0" o:ole="">
                        <v:imagedata r:id="rId39" o:title=""/>
                      </v:shape>
                      <o:OLEObject Type="Embed" ProgID="PBrush" ShapeID="ole_rId33" DrawAspect="Content" ObjectID="_1825928287" r:id="rId40"/>
                    </w:object>
                  </w:r>
                </w:p>
              </w:tc>
            </w:tr>
          </w:tbl>
          <w:p w14:paraId="543AE183" w14:textId="77777777" w:rsidR="009B667A" w:rsidRDefault="009B667A">
            <w:pPr>
              <w:pStyle w:val="Paragraph"/>
              <w:ind w:firstLine="0"/>
              <w:jc w:val="center"/>
            </w:pPr>
          </w:p>
        </w:tc>
        <w:tc>
          <w:tcPr>
            <w:tcW w:w="3426" w:type="dxa"/>
          </w:tcPr>
          <w:p w14:paraId="71EA3CEC" w14:textId="77777777" w:rsidR="009B667A" w:rsidRDefault="00000000">
            <w:pPr>
              <w:pStyle w:val="Paragraph"/>
              <w:ind w:firstLine="0"/>
              <w:jc w:val="center"/>
            </w:pPr>
            <w:r>
              <w:pict w14:anchorId="2F89BCDD">
                <v:shape id="_x0000_tole_rId35" o:spid="_x0000_s1027" type="#_x0000_t75" style="position:absolute;left:0;text-align:left;margin-left:0;margin-top:0;width:50pt;height:50pt;z-index:251663360;visibility:hidden;mso-position-horizontal-relative:text;mso-position-vertical-relative:text">
                  <o:lock v:ext="edit" selection="t"/>
                </v:shape>
              </w:pict>
            </w:r>
            <w:r>
              <w:object w:dxaOrig="3210" w:dyaOrig="2514" w14:anchorId="521F2C72">
                <v:shape id="ole_rId35" o:spid="_x0000_i1036" type="#_x0000_t75" style="width:160.5pt;height:125.5pt;visibility:visible;mso-wrap-distance-right:0" o:ole="">
                  <v:imagedata r:id="rId41" o:title=""/>
                </v:shape>
                <o:OLEObject Type="Embed" ProgID="PBrush" ShapeID="ole_rId35" DrawAspect="Content" ObjectID="_1825928288" r:id="rId42"/>
              </w:object>
            </w:r>
          </w:p>
        </w:tc>
        <w:tc>
          <w:tcPr>
            <w:tcW w:w="800" w:type="dxa"/>
            <w:tcBorders>
              <w:top w:val="nil"/>
              <w:left w:val="nil"/>
              <w:bottom w:val="nil"/>
              <w:right w:val="nil"/>
            </w:tcBorders>
          </w:tcPr>
          <w:p w14:paraId="42301DE0" w14:textId="77777777" w:rsidR="009B667A" w:rsidRDefault="009B667A"/>
        </w:tc>
      </w:tr>
      <w:tr w:rsidR="009B667A" w14:paraId="1BF749B6" w14:textId="77777777">
        <w:trPr>
          <w:trHeight w:val="291"/>
        </w:trPr>
        <w:tc>
          <w:tcPr>
            <w:tcW w:w="4784" w:type="dxa"/>
            <w:tcBorders>
              <w:top w:val="nil"/>
              <w:left w:val="nil"/>
              <w:bottom w:val="nil"/>
              <w:right w:val="nil"/>
            </w:tcBorders>
          </w:tcPr>
          <w:p w14:paraId="7C68D1A7" w14:textId="77777777" w:rsidR="009B667A" w:rsidRDefault="00000000">
            <w:pPr>
              <w:pStyle w:val="Paragraph"/>
              <w:ind w:firstLine="0"/>
              <w:jc w:val="center"/>
            </w:pPr>
            <w:r>
              <w:t>(c)</w:t>
            </w:r>
          </w:p>
        </w:tc>
        <w:tc>
          <w:tcPr>
            <w:tcW w:w="4792" w:type="dxa"/>
            <w:gridSpan w:val="3"/>
            <w:tcBorders>
              <w:top w:val="nil"/>
              <w:left w:val="nil"/>
              <w:bottom w:val="nil"/>
              <w:right w:val="nil"/>
            </w:tcBorders>
          </w:tcPr>
          <w:p w14:paraId="5C3FF06C" w14:textId="77777777" w:rsidR="009B667A" w:rsidRDefault="00000000">
            <w:pPr>
              <w:pStyle w:val="Paragraph"/>
              <w:ind w:firstLine="0"/>
              <w:jc w:val="center"/>
            </w:pPr>
            <w:r>
              <w:t>(d)</w:t>
            </w:r>
          </w:p>
        </w:tc>
      </w:tr>
    </w:tbl>
    <w:p w14:paraId="78D382DC" w14:textId="77777777" w:rsidR="009B667A" w:rsidRDefault="00000000">
      <w:pPr>
        <w:spacing w:before="120"/>
        <w:jc w:val="center"/>
        <w:rPr>
          <w:bCs/>
          <w:iCs/>
          <w:sz w:val="18"/>
          <w:szCs w:val="18"/>
          <w:lang w:eastAsia="ru-RU"/>
        </w:rPr>
      </w:pPr>
      <w:r>
        <w:rPr>
          <w:b/>
          <w:caps/>
          <w:sz w:val="18"/>
          <w:szCs w:val="18"/>
        </w:rPr>
        <w:t>Figure 6.</w:t>
      </w:r>
      <w:r>
        <w:rPr>
          <w:sz w:val="18"/>
          <w:szCs w:val="18"/>
        </w:rPr>
        <w:t xml:space="preserve"> </w:t>
      </w:r>
      <w:r>
        <w:rPr>
          <w:bCs/>
          <w:iCs/>
          <w:sz w:val="18"/>
          <w:szCs w:val="18"/>
          <w:lang w:eastAsia="ru-RU"/>
        </w:rPr>
        <w:t xml:space="preserve">Calculated distribution of the equivalent plastic strain at the back surface of AMg2 plate at the punching velocity of 10 m/s </w:t>
      </w:r>
      <w:r>
        <w:rPr>
          <w:sz w:val="18"/>
          <w:szCs w:val="18"/>
        </w:rPr>
        <w:t>(</w:t>
      </w:r>
      <w:r>
        <w:rPr>
          <w:iCs/>
          <w:color w:val="000000"/>
          <w:sz w:val="18"/>
          <w:szCs w:val="18"/>
        </w:rPr>
        <w:t>a, b</w:t>
      </w:r>
      <w:r>
        <w:rPr>
          <w:color w:val="000000"/>
          <w:sz w:val="18"/>
          <w:szCs w:val="18"/>
        </w:rPr>
        <w:t>)</w:t>
      </w:r>
      <w:r>
        <w:rPr>
          <w:bCs/>
          <w:iCs/>
          <w:sz w:val="18"/>
          <w:szCs w:val="18"/>
          <w:lang w:eastAsia="ru-RU"/>
        </w:rPr>
        <w:t xml:space="preserve">; (Calculated distribution of equivalent Mises stress at the back surface of the punched samples (c,d) </w:t>
      </w:r>
    </w:p>
    <w:p w14:paraId="65503784" w14:textId="77777777" w:rsidR="009B667A" w:rsidRDefault="009B667A">
      <w:pPr>
        <w:jc w:val="center"/>
        <w:rPr>
          <w:bCs/>
          <w:iCs/>
          <w:sz w:val="18"/>
          <w:szCs w:val="18"/>
          <w:lang w:eastAsia="ru-RU"/>
        </w:rPr>
      </w:pPr>
    </w:p>
    <w:p w14:paraId="516EBE0F" w14:textId="77777777" w:rsidR="009B667A" w:rsidRDefault="00000000">
      <w:pPr>
        <w:ind w:firstLine="284"/>
        <w:jc w:val="both"/>
        <w:rPr>
          <w:bCs/>
          <w:iCs/>
          <w:sz w:val="20"/>
          <w:lang w:eastAsia="ru-RU"/>
        </w:rPr>
      </w:pPr>
      <w:r>
        <w:rPr>
          <w:bCs/>
          <w:iCs/>
          <w:sz w:val="20"/>
          <w:lang w:eastAsia="ru-RU"/>
        </w:rPr>
        <w:t xml:space="preserve">The maximum values of equivalent plastic strain are achieved during stretching of the material in the near-surface layer on the back surface of the loaded plate. Therefore, during punching, cracks initiate precisely from the back surface of the plates, which leads to the formation of a system of cracks with increasing strain. The experimental and calculated dependences of the punching force on the deflection have a good correlation at the velocities of 0.01, 0.1, 1, 5 and 10 m/s. </w:t>
      </w:r>
    </w:p>
    <w:p w14:paraId="207E3000" w14:textId="77777777" w:rsidR="009B667A" w:rsidRDefault="00000000">
      <w:pPr>
        <w:ind w:firstLine="284"/>
        <w:jc w:val="both"/>
        <w:rPr>
          <w:bCs/>
          <w:iCs/>
          <w:sz w:val="20"/>
          <w:lang w:eastAsia="ru-RU"/>
        </w:rPr>
      </w:pPr>
      <w:r>
        <w:rPr>
          <w:bCs/>
          <w:iCs/>
          <w:sz w:val="20"/>
          <w:lang w:eastAsia="ru-RU"/>
        </w:rPr>
        <w:t>The simulation results indicate that the distribution of equivalent plastic strain is essentially non-uniform across the plate thickness during dynamic punching of MA2-1 alloy plates with a hemispherical indenter. The calculated distribution of the equivalent plastic strain and equivalent Mises stress in the cross section of the deformed MA2-1 sample at the time of 0.202 ms is shown in Fig. 7(a) and Fig. 7(b) respectively.</w:t>
      </w:r>
    </w:p>
    <w:p w14:paraId="24042EB8" w14:textId="77777777" w:rsidR="009B667A" w:rsidRDefault="00000000">
      <w:pPr>
        <w:jc w:val="both"/>
        <w:rPr>
          <w:bCs/>
          <w:iCs/>
          <w:sz w:val="20"/>
          <w:lang w:eastAsia="ru-RU"/>
        </w:rPr>
      </w:pPr>
      <w:r>
        <w:rPr>
          <w:noProof/>
        </w:rPr>
        <w:drawing>
          <wp:inline distT="0" distB="0" distL="0" distR="0" wp14:anchorId="10F8FA2B" wp14:editId="3AA1F48D">
            <wp:extent cx="2864485" cy="1129665"/>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pic:cNvPicPr>
                      <a:picLocks noChangeAspect="1" noChangeArrowheads="1"/>
                    </pic:cNvPicPr>
                  </pic:nvPicPr>
                  <pic:blipFill>
                    <a:blip r:embed="rId43"/>
                    <a:stretch>
                      <a:fillRect/>
                    </a:stretch>
                  </pic:blipFill>
                  <pic:spPr bwMode="auto">
                    <a:xfrm>
                      <a:off x="0" y="0"/>
                      <a:ext cx="2864485" cy="1129665"/>
                    </a:xfrm>
                    <a:prstGeom prst="rect">
                      <a:avLst/>
                    </a:prstGeom>
                  </pic:spPr>
                </pic:pic>
              </a:graphicData>
            </a:graphic>
          </wp:inline>
        </w:drawing>
      </w:r>
      <w:r>
        <w:rPr>
          <w:bCs/>
          <w:iCs/>
          <w:sz w:val="20"/>
          <w:lang w:eastAsia="ru-RU"/>
        </w:rPr>
        <w:t xml:space="preserve"> </w:t>
      </w:r>
      <w:r>
        <w:rPr>
          <w:noProof/>
        </w:rPr>
        <w:drawing>
          <wp:inline distT="0" distB="0" distL="0" distR="0" wp14:anchorId="722F9026" wp14:editId="25B9F439">
            <wp:extent cx="2987675" cy="1179195"/>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pic:cNvPicPr>
                      <a:picLocks noChangeAspect="1" noChangeArrowheads="1"/>
                    </pic:cNvPicPr>
                  </pic:nvPicPr>
                  <pic:blipFill>
                    <a:blip r:embed="rId44"/>
                    <a:stretch>
                      <a:fillRect/>
                    </a:stretch>
                  </pic:blipFill>
                  <pic:spPr bwMode="auto">
                    <a:xfrm>
                      <a:off x="0" y="0"/>
                      <a:ext cx="2987675" cy="1179195"/>
                    </a:xfrm>
                    <a:prstGeom prst="rect">
                      <a:avLst/>
                    </a:prstGeom>
                  </pic:spPr>
                </pic:pic>
              </a:graphicData>
            </a:graphic>
          </wp:inline>
        </w:drawing>
      </w:r>
    </w:p>
    <w:tbl>
      <w:tblPr>
        <w:tblStyle w:val="Tabellenraster"/>
        <w:tblW w:w="9576" w:type="dxa"/>
        <w:tblLayout w:type="fixed"/>
        <w:tblLook w:val="04A0" w:firstRow="1" w:lastRow="0" w:firstColumn="1" w:lastColumn="0" w:noHBand="0" w:noVBand="1"/>
      </w:tblPr>
      <w:tblGrid>
        <w:gridCol w:w="4789"/>
        <w:gridCol w:w="4787"/>
      </w:tblGrid>
      <w:tr w:rsidR="009B667A" w14:paraId="2A3E3B66" w14:textId="77777777">
        <w:trPr>
          <w:trHeight w:val="291"/>
        </w:trPr>
        <w:tc>
          <w:tcPr>
            <w:tcW w:w="4788" w:type="dxa"/>
            <w:tcBorders>
              <w:top w:val="nil"/>
              <w:left w:val="nil"/>
              <w:bottom w:val="nil"/>
              <w:right w:val="nil"/>
            </w:tcBorders>
          </w:tcPr>
          <w:p w14:paraId="4F80FD98" w14:textId="77777777" w:rsidR="009B667A" w:rsidRDefault="00000000">
            <w:pPr>
              <w:pStyle w:val="Paragraph"/>
              <w:ind w:firstLine="0"/>
              <w:jc w:val="center"/>
            </w:pPr>
            <w:r>
              <w:t>(a)</w:t>
            </w:r>
          </w:p>
        </w:tc>
        <w:tc>
          <w:tcPr>
            <w:tcW w:w="4787" w:type="dxa"/>
            <w:tcBorders>
              <w:top w:val="nil"/>
              <w:left w:val="nil"/>
              <w:bottom w:val="nil"/>
              <w:right w:val="nil"/>
            </w:tcBorders>
          </w:tcPr>
          <w:p w14:paraId="228D8544" w14:textId="77777777" w:rsidR="009B667A" w:rsidRDefault="00000000">
            <w:pPr>
              <w:pStyle w:val="Paragraph"/>
              <w:ind w:firstLine="0"/>
              <w:jc w:val="center"/>
            </w:pPr>
            <w:r>
              <w:t>(b)</w:t>
            </w:r>
          </w:p>
        </w:tc>
      </w:tr>
    </w:tbl>
    <w:p w14:paraId="30798CA6" w14:textId="77777777" w:rsidR="009B667A" w:rsidRDefault="00000000">
      <w:pPr>
        <w:jc w:val="center"/>
        <w:rPr>
          <w:bCs/>
          <w:iCs/>
          <w:sz w:val="18"/>
          <w:szCs w:val="18"/>
          <w:lang w:eastAsia="ru-RU"/>
        </w:rPr>
      </w:pPr>
      <w:r>
        <w:rPr>
          <w:b/>
          <w:caps/>
          <w:sz w:val="18"/>
          <w:szCs w:val="18"/>
        </w:rPr>
        <w:t>Figure 7.</w:t>
      </w:r>
      <w:r>
        <w:rPr>
          <w:bCs/>
          <w:iCs/>
          <w:sz w:val="18"/>
          <w:szCs w:val="18"/>
          <w:lang w:eastAsia="ru-RU"/>
        </w:rPr>
        <w:t xml:space="preserve"> (</w:t>
      </w:r>
      <w:r>
        <w:rPr>
          <w:bCs/>
          <w:sz w:val="18"/>
          <w:szCs w:val="18"/>
          <w:lang w:eastAsia="ru-RU"/>
        </w:rPr>
        <w:t>a</w:t>
      </w:r>
      <w:r>
        <w:rPr>
          <w:bCs/>
          <w:iCs/>
          <w:sz w:val="18"/>
          <w:szCs w:val="18"/>
          <w:lang w:eastAsia="ru-RU"/>
        </w:rPr>
        <w:t>) Calculated distribution of the equivalent plastic strain in the cross section of MA2-1 samples at a time instant of 0.202 ms with an indentation velocity of 10 m/s; (</w:t>
      </w:r>
      <w:r>
        <w:rPr>
          <w:bCs/>
          <w:sz w:val="18"/>
          <w:szCs w:val="18"/>
          <w:lang w:eastAsia="ru-RU"/>
        </w:rPr>
        <w:t>b</w:t>
      </w:r>
      <w:r>
        <w:rPr>
          <w:bCs/>
          <w:iCs/>
          <w:sz w:val="18"/>
          <w:szCs w:val="18"/>
          <w:lang w:eastAsia="ru-RU"/>
        </w:rPr>
        <w:t>) Calculated distribution of equivalent Mises stress at time of 0.202 ms</w:t>
      </w:r>
    </w:p>
    <w:p w14:paraId="421598EB" w14:textId="77777777" w:rsidR="009B667A" w:rsidRDefault="00000000">
      <w:pPr>
        <w:jc w:val="center"/>
        <w:rPr>
          <w:bCs/>
          <w:iCs/>
          <w:sz w:val="18"/>
          <w:szCs w:val="18"/>
          <w:lang w:eastAsia="ru-RU"/>
        </w:rPr>
      </w:pPr>
      <w:r>
        <w:rPr>
          <w:bCs/>
          <w:iCs/>
          <w:sz w:val="18"/>
          <w:szCs w:val="18"/>
          <w:lang w:eastAsia="ru-RU"/>
        </w:rPr>
        <w:t xml:space="preserve"> </w:t>
      </w:r>
    </w:p>
    <w:p w14:paraId="51983654" w14:textId="77777777" w:rsidR="009B667A" w:rsidRDefault="00000000">
      <w:pPr>
        <w:ind w:firstLine="284"/>
        <w:jc w:val="both"/>
        <w:rPr>
          <w:bCs/>
          <w:iCs/>
          <w:sz w:val="20"/>
          <w:lang w:eastAsia="ru-RU"/>
        </w:rPr>
      </w:pPr>
      <w:r>
        <w:rPr>
          <w:bCs/>
          <w:iCs/>
          <w:sz w:val="20"/>
          <w:lang w:eastAsia="ru-RU"/>
        </w:rPr>
        <w:t xml:space="preserve">The obtained results explain the reasons for the absence of the formation of a system of circular cracks during dynamic loading of magnesium alloy plates. The calculated distribution of the equivalent von Mises stress in the cross section of the MA2-1 alloy sample during punching at a time of 0.202 ms is shown in Fig. 7(b). </w:t>
      </w:r>
    </w:p>
    <w:p w14:paraId="57690EE1" w14:textId="77777777" w:rsidR="009B667A" w:rsidRDefault="00000000">
      <w:pPr>
        <w:ind w:firstLine="284"/>
        <w:jc w:val="both"/>
        <w:rPr>
          <w:bCs/>
          <w:iCs/>
          <w:sz w:val="20"/>
          <w:lang w:eastAsia="ru-RU"/>
        </w:rPr>
      </w:pPr>
      <w:r>
        <w:rPr>
          <w:bCs/>
          <w:iCs/>
          <w:sz w:val="20"/>
          <w:lang w:eastAsia="ru-RU"/>
        </w:rPr>
        <w:t xml:space="preserve">The calculated distributions of equivalent stresses in the plate cross-section during punching indicate that near the middle surface the shear stresses are significantly lower than on the contact and back free surfaces of the plate. </w:t>
      </w:r>
    </w:p>
    <w:p w14:paraId="746CA9D3" w14:textId="77777777" w:rsidR="009B667A" w:rsidRDefault="00000000">
      <w:pPr>
        <w:ind w:firstLine="284"/>
        <w:jc w:val="both"/>
        <w:rPr>
          <w:bCs/>
          <w:iCs/>
          <w:sz w:val="20"/>
          <w:lang w:eastAsia="ru-RU"/>
        </w:rPr>
      </w:pPr>
      <w:r>
        <w:rPr>
          <w:bCs/>
          <w:iCs/>
          <w:sz w:val="20"/>
          <w:lang w:eastAsia="ru-RU"/>
        </w:rPr>
        <w:t>The relatively low friction on the contact surfaces taken into account in the calculation model does not introduce significant distortions into the calculated distributions of equivalent von Mises stresses and does not cause changes in the nature of crack initiation. No initiation of brittle micro cracks is observed.</w:t>
      </w:r>
    </w:p>
    <w:p w14:paraId="07BBE690" w14:textId="77777777" w:rsidR="009B667A" w:rsidRDefault="00000000">
      <w:pPr>
        <w:ind w:firstLine="284"/>
        <w:jc w:val="both"/>
        <w:rPr>
          <w:bCs/>
          <w:iCs/>
          <w:sz w:val="20"/>
          <w:lang w:eastAsia="ru-RU"/>
        </w:rPr>
      </w:pPr>
      <w:r>
        <w:rPr>
          <w:bCs/>
          <w:iCs/>
          <w:sz w:val="20"/>
          <w:lang w:eastAsia="ru-RU"/>
        </w:rPr>
        <w:t>The evolution of equivalent stresses and equivalent plastic strains corresponds to the viscous nature of fracture of magnesium alloy plates in the studied range of punching speeds up to 10 m/s. The obtained results indicate the potential possibility of using dynamic stamping for the production of products from sheet rolled magnesium alloy MA2-1. The calculated distribution of effective strain rates in the cross section of MA2-1 alloy samples after punching at a speed of 10 m/s are shown in Fig. 8 at a time of 0.202 ms (a); at a time of 0.606 ms (b). Note that the configuration of forming cracks obtained in the calculations agrees with the experimental results shown in Fig. 4.</w:t>
      </w:r>
    </w:p>
    <w:p w14:paraId="4E88CCCC" w14:textId="77777777" w:rsidR="009B667A" w:rsidRDefault="00000000">
      <w:pPr>
        <w:jc w:val="both"/>
        <w:rPr>
          <w:bCs/>
          <w:iCs/>
          <w:sz w:val="20"/>
          <w:lang w:eastAsia="ru-RU"/>
        </w:rPr>
      </w:pPr>
      <w:r>
        <w:rPr>
          <w:noProof/>
        </w:rPr>
        <w:lastRenderedPageBreak/>
        <w:drawing>
          <wp:inline distT="0" distB="0" distL="0" distR="0" wp14:anchorId="69DAF044" wp14:editId="0F405E70">
            <wp:extent cx="2910840" cy="1440180"/>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pic:cNvPicPr>
                      <a:picLocks noChangeAspect="1" noChangeArrowheads="1"/>
                    </pic:cNvPicPr>
                  </pic:nvPicPr>
                  <pic:blipFill>
                    <a:blip r:embed="rId45"/>
                    <a:stretch>
                      <a:fillRect/>
                    </a:stretch>
                  </pic:blipFill>
                  <pic:spPr bwMode="auto">
                    <a:xfrm>
                      <a:off x="0" y="0"/>
                      <a:ext cx="2910840" cy="1440180"/>
                    </a:xfrm>
                    <a:prstGeom prst="rect">
                      <a:avLst/>
                    </a:prstGeom>
                  </pic:spPr>
                </pic:pic>
              </a:graphicData>
            </a:graphic>
          </wp:inline>
        </w:drawing>
      </w:r>
      <w:r>
        <w:rPr>
          <w:bCs/>
          <w:iCs/>
          <w:sz w:val="20"/>
          <w:lang w:eastAsia="ru-RU"/>
        </w:rPr>
        <w:t xml:space="preserve"> </w:t>
      </w:r>
      <w:r>
        <w:rPr>
          <w:noProof/>
        </w:rPr>
        <w:drawing>
          <wp:inline distT="0" distB="0" distL="0" distR="0" wp14:anchorId="33739A39" wp14:editId="74F044A3">
            <wp:extent cx="2880360" cy="1264920"/>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
                    <pic:cNvPicPr>
                      <a:picLocks noChangeAspect="1" noChangeArrowheads="1"/>
                    </pic:cNvPicPr>
                  </pic:nvPicPr>
                  <pic:blipFill>
                    <a:blip r:embed="rId46"/>
                    <a:stretch>
                      <a:fillRect/>
                    </a:stretch>
                  </pic:blipFill>
                  <pic:spPr bwMode="auto">
                    <a:xfrm>
                      <a:off x="0" y="0"/>
                      <a:ext cx="2880360" cy="1264920"/>
                    </a:xfrm>
                    <a:prstGeom prst="rect">
                      <a:avLst/>
                    </a:prstGeom>
                  </pic:spPr>
                </pic:pic>
              </a:graphicData>
            </a:graphic>
          </wp:inline>
        </w:drawing>
      </w:r>
    </w:p>
    <w:p w14:paraId="71258792" w14:textId="77777777" w:rsidR="009B667A" w:rsidRDefault="00000000">
      <w:pPr>
        <w:pStyle w:val="MDPI31text"/>
        <w:spacing w:line="240" w:lineRule="auto"/>
        <w:ind w:left="284" w:firstLine="0"/>
        <w:jc w:val="center"/>
        <w:rPr>
          <w:rFonts w:ascii="Times New Roman" w:hAnsi="Times New Roman"/>
          <w:bCs/>
          <w:iCs/>
          <w:color w:val="auto"/>
          <w:szCs w:val="20"/>
          <w:lang w:eastAsia="ru-RU" w:bidi="ar-SA"/>
        </w:rPr>
      </w:pPr>
      <w:r>
        <w:rPr>
          <w:rFonts w:ascii="Times New Roman" w:hAnsi="Times New Roman"/>
          <w:bCs/>
          <w:iCs/>
          <w:color w:val="auto"/>
          <w:szCs w:val="20"/>
          <w:lang w:eastAsia="ru-RU" w:bidi="ar-SA"/>
        </w:rPr>
        <w:t xml:space="preserve">(a) </w:t>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r>
      <w:r>
        <w:rPr>
          <w:rFonts w:ascii="Times New Roman" w:hAnsi="Times New Roman"/>
          <w:bCs/>
          <w:iCs/>
          <w:color w:val="auto"/>
          <w:szCs w:val="20"/>
          <w:lang w:eastAsia="ru-RU" w:bidi="ar-SA"/>
        </w:rPr>
        <w:tab/>
        <w:t>(b)</w:t>
      </w:r>
    </w:p>
    <w:p w14:paraId="47CEE798" w14:textId="77777777" w:rsidR="009B667A" w:rsidRDefault="00000000">
      <w:pPr>
        <w:spacing w:before="120"/>
        <w:jc w:val="center"/>
        <w:rPr>
          <w:bCs/>
          <w:iCs/>
          <w:sz w:val="18"/>
          <w:szCs w:val="18"/>
          <w:lang w:eastAsia="ru-RU"/>
        </w:rPr>
      </w:pPr>
      <w:r>
        <w:rPr>
          <w:b/>
          <w:caps/>
          <w:sz w:val="18"/>
          <w:szCs w:val="18"/>
        </w:rPr>
        <w:t>Figure 8.</w:t>
      </w:r>
      <w:r>
        <w:rPr>
          <w:bCs/>
          <w:iCs/>
          <w:sz w:val="18"/>
          <w:szCs w:val="18"/>
          <w:lang w:eastAsia="ru-RU"/>
        </w:rPr>
        <w:t xml:space="preserve"> Calculated distribution of effective strain rates in the cross section of MA2-1 samples with an indentation velocity of 10 m/s at time instants of (</w:t>
      </w:r>
      <w:r>
        <w:rPr>
          <w:bCs/>
          <w:i/>
          <w:sz w:val="18"/>
          <w:szCs w:val="18"/>
          <w:lang w:eastAsia="ru-RU"/>
        </w:rPr>
        <w:t>a</w:t>
      </w:r>
      <w:r>
        <w:rPr>
          <w:bCs/>
          <w:iCs/>
          <w:sz w:val="18"/>
          <w:szCs w:val="18"/>
          <w:lang w:eastAsia="ru-RU"/>
        </w:rPr>
        <w:t>) 0.202 and (</w:t>
      </w:r>
      <w:r>
        <w:rPr>
          <w:bCs/>
          <w:i/>
          <w:sz w:val="18"/>
          <w:szCs w:val="18"/>
          <w:lang w:eastAsia="ru-RU"/>
        </w:rPr>
        <w:t>b</w:t>
      </w:r>
      <w:r>
        <w:rPr>
          <w:bCs/>
          <w:iCs/>
          <w:sz w:val="18"/>
          <w:szCs w:val="18"/>
          <w:lang w:eastAsia="ru-RU"/>
        </w:rPr>
        <w:t>) 0.606 ms</w:t>
      </w:r>
    </w:p>
    <w:p w14:paraId="6797A049" w14:textId="77777777" w:rsidR="009B667A" w:rsidRDefault="009B667A">
      <w:pPr>
        <w:spacing w:before="120"/>
        <w:jc w:val="center"/>
        <w:rPr>
          <w:bCs/>
          <w:iCs/>
          <w:sz w:val="18"/>
          <w:szCs w:val="18"/>
          <w:lang w:eastAsia="ru-RU"/>
        </w:rPr>
      </w:pPr>
    </w:p>
    <w:p w14:paraId="3EED0A34" w14:textId="77777777" w:rsidR="009B667A" w:rsidRDefault="00000000">
      <w:pPr>
        <w:ind w:firstLine="284"/>
        <w:jc w:val="both"/>
        <w:rPr>
          <w:bCs/>
          <w:iCs/>
          <w:sz w:val="20"/>
          <w:lang w:eastAsia="ru-RU"/>
        </w:rPr>
      </w:pPr>
      <w:r>
        <w:rPr>
          <w:bCs/>
          <w:iCs/>
          <w:sz w:val="20"/>
          <w:lang w:eastAsia="ru-RU"/>
        </w:rPr>
        <w:t>The strain rate in the plastic deformation zone during punching at a speed of 10 m/s varies in the range from 100 to 530 s</w:t>
      </w:r>
      <w:r>
        <w:rPr>
          <w:bCs/>
          <w:iCs/>
          <w:sz w:val="20"/>
          <w:vertAlign w:val="superscript"/>
          <w:lang w:eastAsia="ru-RU"/>
        </w:rPr>
        <w:t>−1</w:t>
      </w:r>
      <w:r>
        <w:rPr>
          <w:bCs/>
          <w:iCs/>
          <w:sz w:val="20"/>
          <w:lang w:eastAsia="ru-RU"/>
        </w:rPr>
        <w:t xml:space="preserve">. The strain rate in the local zone near the crack formation can achieved up to ~6300 s−1. Thus, to improve the accuracy of predictions of the mechanical behavior of the magnesium alloy MA2-1 (damage and residual stresses) obtained as a result of numerical modeling of dynamic punching of plates, it is necessary to use wide-range governing equations and kinetic models of damage and fracture of alloys that take into account the influence of loading parameters such as temperature, strain rate, plastic deformation value, stress triaxiality parameter, as well as structural factors, including grain structure parameters. The calculated distribution of the stress state triaxiality parameter in the cross section of the MA2-1 alloy specimens at a time of 0.202 ms at an indentation speed of 10 m/s is shown in Fig. 9. </w:t>
      </w:r>
    </w:p>
    <w:p w14:paraId="26AD4622" w14:textId="77777777" w:rsidR="009B667A" w:rsidRDefault="00000000">
      <w:pPr>
        <w:pStyle w:val="MDPI31text"/>
        <w:spacing w:line="240" w:lineRule="auto"/>
        <w:ind w:left="0" w:firstLine="284"/>
        <w:jc w:val="center"/>
        <w:rPr>
          <w:rFonts w:ascii="Times New Roman" w:hAnsi="Times New Roman"/>
          <w:bCs/>
          <w:iCs/>
          <w:color w:val="auto"/>
          <w:szCs w:val="20"/>
          <w:lang w:eastAsia="ru-RU" w:bidi="ar-SA"/>
        </w:rPr>
      </w:pPr>
      <w:r>
        <w:rPr>
          <w:noProof/>
        </w:rPr>
        <w:drawing>
          <wp:inline distT="0" distB="0" distL="0" distR="0" wp14:anchorId="40860971" wp14:editId="71250100">
            <wp:extent cx="2929890" cy="1599565"/>
            <wp:effectExtent l="0" t="0" r="0" b="0"/>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8"/>
                    <pic:cNvPicPr>
                      <a:picLocks noChangeAspect="1" noChangeArrowheads="1"/>
                    </pic:cNvPicPr>
                  </pic:nvPicPr>
                  <pic:blipFill>
                    <a:blip r:embed="rId47"/>
                    <a:stretch>
                      <a:fillRect/>
                    </a:stretch>
                  </pic:blipFill>
                  <pic:spPr bwMode="auto">
                    <a:xfrm>
                      <a:off x="0" y="0"/>
                      <a:ext cx="2929890" cy="1599565"/>
                    </a:xfrm>
                    <a:prstGeom prst="rect">
                      <a:avLst/>
                    </a:prstGeom>
                  </pic:spPr>
                </pic:pic>
              </a:graphicData>
            </a:graphic>
          </wp:inline>
        </w:drawing>
      </w:r>
    </w:p>
    <w:p w14:paraId="606846A3" w14:textId="77777777" w:rsidR="009B667A" w:rsidRDefault="00000000">
      <w:pPr>
        <w:ind w:firstLine="284"/>
        <w:jc w:val="center"/>
        <w:rPr>
          <w:bCs/>
          <w:iCs/>
          <w:sz w:val="18"/>
          <w:szCs w:val="18"/>
          <w:lang w:eastAsia="ru-RU"/>
        </w:rPr>
      </w:pPr>
      <w:r>
        <w:rPr>
          <w:b/>
          <w:caps/>
          <w:sz w:val="18"/>
          <w:szCs w:val="18"/>
        </w:rPr>
        <w:t>Figure</w:t>
      </w:r>
      <w:r>
        <w:rPr>
          <w:b/>
          <w:iCs/>
          <w:sz w:val="18"/>
          <w:szCs w:val="18"/>
          <w:lang w:eastAsia="ru-RU"/>
        </w:rPr>
        <w:t>. 9.</w:t>
      </w:r>
      <w:r>
        <w:rPr>
          <w:bCs/>
          <w:iCs/>
          <w:sz w:val="18"/>
          <w:szCs w:val="18"/>
          <w:lang w:eastAsia="ru-RU"/>
        </w:rPr>
        <w:t xml:space="preserve"> Calculated distribution of the stress triaxiality in the cross-section of the MA2-1 sample during indentation at a time instant of 0.202 ms </w:t>
      </w:r>
    </w:p>
    <w:p w14:paraId="1B6AD593" w14:textId="77777777" w:rsidR="009B667A" w:rsidRDefault="00000000">
      <w:pPr>
        <w:spacing w:before="200"/>
        <w:ind w:firstLine="284"/>
        <w:jc w:val="both"/>
        <w:rPr>
          <w:bCs/>
          <w:iCs/>
          <w:sz w:val="20"/>
          <w:lang w:eastAsia="ru-RU"/>
        </w:rPr>
      </w:pPr>
      <w:r>
        <w:rPr>
          <w:bCs/>
          <w:iCs/>
          <w:sz w:val="20"/>
          <w:lang w:eastAsia="ru-RU"/>
        </w:rPr>
        <w:t>The obtained results of numerical modeling of high-speed punching of MA2-1 alloy plates with a hemispherical indenter indicate that the plate material is deformed under stress states that change in the plate volume during deformation. Note that at the initial stages of plate deflection, the material was deformed at negative and positive values of the stress triaxiality parameter, which is due to the tensile and compressive states in the plate layers during deflection. The stress state in the zone of the deformable plate near the forming cracks changes, which leads not only to a change in the absolute values of the stress state triaxiality parameter, but also to a change in its sign. Therefore, the resulting effect of the stress triaxiality parameter on the strain before failure decreases with increasing strain rates under biaxial tension during dynamic punching.</w:t>
      </w:r>
    </w:p>
    <w:p w14:paraId="6C9033A1" w14:textId="77777777" w:rsidR="009B667A" w:rsidRDefault="00000000">
      <w:pPr>
        <w:pStyle w:val="berschrift1"/>
        <w:rPr>
          <w:b w:val="0"/>
          <w:caps w:val="0"/>
          <w:sz w:val="20"/>
        </w:rPr>
      </w:pPr>
      <w:r>
        <w:rPr>
          <w:rFonts w:cstheme="majorBidi"/>
        </w:rPr>
        <w:t>CONCLUSION</w:t>
      </w:r>
    </w:p>
    <w:p w14:paraId="73198F69" w14:textId="77777777" w:rsidR="009B667A" w:rsidRDefault="00000000">
      <w:pPr>
        <w:ind w:firstLine="284"/>
        <w:jc w:val="both"/>
        <w:rPr>
          <w:bCs/>
          <w:iCs/>
          <w:sz w:val="20"/>
          <w:lang w:eastAsia="ru-RU"/>
        </w:rPr>
      </w:pPr>
      <w:r>
        <w:rPr>
          <w:bCs/>
          <w:iCs/>
          <w:sz w:val="20"/>
          <w:lang w:eastAsia="ru-RU"/>
        </w:rPr>
        <w:t>An experimental and theoretical research of the deformation and fracture processes of magnesium alloy MA2-1 and aluminum alloy AMg2 were carried out under biaxial tension during punching with a hemispherical indenter at speeds of 0.1, 1, 5 and 10 m/s at room temperature.</w:t>
      </w:r>
    </w:p>
    <w:p w14:paraId="369FACF3" w14:textId="77777777" w:rsidR="009B667A" w:rsidRDefault="00000000">
      <w:pPr>
        <w:ind w:firstLine="284"/>
        <w:jc w:val="both"/>
        <w:rPr>
          <w:bCs/>
          <w:iCs/>
          <w:sz w:val="20"/>
          <w:lang w:eastAsia="ru-RU"/>
        </w:rPr>
      </w:pPr>
      <w:r>
        <w:rPr>
          <w:bCs/>
          <w:iCs/>
          <w:sz w:val="20"/>
          <w:lang w:eastAsia="ru-RU"/>
        </w:rPr>
        <w:t>The results obtained indicate that for the MA2-1 alloy, the equivalent plastic strains at which damage accumulation begins are close to the values of the onset of plastic flow instability and decrease with an increase in the tensile strain rate from 0.1 to 1000 s</w:t>
      </w:r>
      <w:r>
        <w:rPr>
          <w:bCs/>
          <w:iCs/>
          <w:sz w:val="20"/>
          <w:vertAlign w:val="superscript"/>
          <w:lang w:eastAsia="ru-RU"/>
        </w:rPr>
        <w:t>-1</w:t>
      </w:r>
      <w:r>
        <w:rPr>
          <w:bCs/>
          <w:iCs/>
          <w:sz w:val="20"/>
          <w:lang w:eastAsia="ru-RU"/>
        </w:rPr>
        <w:t>. It was shown that for the MA2-1 alloy in the considered range of loading rates from 0.1 to 10 m/s, ductile fracture occurs during deformation under punching.</w:t>
      </w:r>
    </w:p>
    <w:p w14:paraId="26BABF38" w14:textId="77777777" w:rsidR="009B667A" w:rsidRDefault="00000000">
      <w:pPr>
        <w:ind w:firstLine="284"/>
        <w:jc w:val="both"/>
        <w:rPr>
          <w:bCs/>
          <w:iCs/>
          <w:sz w:val="20"/>
          <w:lang w:eastAsia="ru-RU"/>
        </w:rPr>
      </w:pPr>
      <w:r>
        <w:rPr>
          <w:bCs/>
          <w:iCs/>
          <w:sz w:val="20"/>
          <w:lang w:eastAsia="ru-RU"/>
        </w:rPr>
        <w:lastRenderedPageBreak/>
        <w:t>The results obtained in this work indicate that for the magnesium alloy MA2-1 under biaxial tension under punching, the plastic deformation in the fracture zone of the sample is significantly lower than the values of residual elongation before fracture under uniaxial tension with strain rates of 0.1, 10, 100 and 1000 s-1 and initial room temperature.</w:t>
      </w:r>
    </w:p>
    <w:p w14:paraId="6546921F" w14:textId="77777777" w:rsidR="009B667A" w:rsidRDefault="00000000">
      <w:pPr>
        <w:ind w:firstLine="284"/>
        <w:jc w:val="both"/>
        <w:rPr>
          <w:bCs/>
          <w:iCs/>
          <w:sz w:val="20"/>
          <w:lang w:eastAsia="ru-RU"/>
        </w:rPr>
      </w:pPr>
      <w:r>
        <w:rPr>
          <w:bCs/>
          <w:iCs/>
          <w:sz w:val="20"/>
          <w:lang w:eastAsia="ru-RU"/>
        </w:rPr>
        <w:t>It was shown that the evolution of equivalent stresses and equivalent plastic strains corresponds to the ductile nature of fracture of magnesium alloy plates in the studied range of punching rates.</w:t>
      </w:r>
    </w:p>
    <w:p w14:paraId="5F6093BD" w14:textId="77777777" w:rsidR="009B667A" w:rsidRDefault="00000000">
      <w:pPr>
        <w:ind w:firstLine="284"/>
        <w:jc w:val="both"/>
        <w:rPr>
          <w:bCs/>
          <w:iCs/>
          <w:sz w:val="20"/>
          <w:lang w:eastAsia="ru-RU"/>
        </w:rPr>
      </w:pPr>
      <w:r>
        <w:rPr>
          <w:bCs/>
          <w:iCs/>
          <w:sz w:val="20"/>
          <w:lang w:eastAsia="ru-RU"/>
        </w:rPr>
        <w:t xml:space="preserve">The strains before fracture of magnesium alloy under biaxial tension under punching increases with increasing strain rate. </w:t>
      </w:r>
    </w:p>
    <w:p w14:paraId="1710A9C1" w14:textId="77777777" w:rsidR="009B667A" w:rsidRDefault="00000000">
      <w:pPr>
        <w:ind w:firstLine="284"/>
        <w:jc w:val="both"/>
        <w:rPr>
          <w:bCs/>
          <w:iCs/>
          <w:sz w:val="20"/>
          <w:lang w:eastAsia="ru-RU"/>
        </w:rPr>
      </w:pPr>
      <w:r>
        <w:rPr>
          <w:bCs/>
          <w:iCs/>
          <w:sz w:val="20"/>
          <w:lang w:eastAsia="ru-RU"/>
        </w:rPr>
        <w:t>The obtained results of numerical modeling of high-speed punching of MA2-1 alloy plates with a hemispherical indenter indicate that the plate material is deformed under stress states that change in the plate volume during deformation. The effect of the stress triaxiality parameter on deformation before failure decreases with increasing deformation rates.</w:t>
      </w:r>
    </w:p>
    <w:p w14:paraId="754D20C2" w14:textId="77777777" w:rsidR="009B667A" w:rsidRDefault="00000000">
      <w:pPr>
        <w:ind w:firstLine="284"/>
        <w:jc w:val="both"/>
        <w:rPr>
          <w:bCs/>
          <w:iCs/>
          <w:sz w:val="20"/>
          <w:lang w:eastAsia="ru-RU"/>
        </w:rPr>
      </w:pPr>
      <w:r>
        <w:rPr>
          <w:bCs/>
          <w:iCs/>
          <w:sz w:val="20"/>
          <w:lang w:eastAsia="ru-RU"/>
        </w:rPr>
        <w:t>The obtained results indicate the potential possibility of using dynamic stamping for the production of products from sheet rolled magnesium alloy MA2-1. The research results obtained in this paper can be used in the development and modification of computational models of the mechanical behavior of magnesium alloy structures that are subject to plastic deformation under dynamic effects.</w:t>
      </w:r>
    </w:p>
    <w:p w14:paraId="2AEEB5E7" w14:textId="77777777" w:rsidR="009B667A" w:rsidRDefault="00000000">
      <w:pPr>
        <w:pStyle w:val="Paragraph"/>
      </w:pPr>
      <w:r>
        <w:rPr>
          <w:bCs/>
          <w:iCs/>
          <w:lang w:eastAsia="ru-RU"/>
        </w:rPr>
        <w:t>It is shown that under high-speed tension, ductile fracture of aluminum alloy AMg2 occurs as a result of damage initiation and growth in the zones of plastic deformation localization</w:t>
      </w:r>
      <w:r>
        <w:rPr>
          <w:rFonts w:cstheme="majorBidi"/>
        </w:rPr>
        <w:t>.</w:t>
      </w:r>
    </w:p>
    <w:p w14:paraId="22C52979" w14:textId="77777777" w:rsidR="009B667A" w:rsidRDefault="00000000">
      <w:pPr>
        <w:pStyle w:val="berschrift1"/>
        <w:rPr>
          <w:rFonts w:asciiTheme="majorBidi" w:hAnsiTheme="majorBidi" w:cstheme="majorBidi"/>
        </w:rPr>
      </w:pPr>
      <w:r>
        <w:rPr>
          <w:rFonts w:cstheme="majorBidi"/>
        </w:rPr>
        <w:t>Acknowledgments</w:t>
      </w:r>
    </w:p>
    <w:p w14:paraId="00D4D689" w14:textId="77777777" w:rsidR="009B667A" w:rsidRDefault="00000000">
      <w:pPr>
        <w:pStyle w:val="berschrift1"/>
        <w:ind w:firstLine="289"/>
        <w:jc w:val="left"/>
        <w:rPr>
          <w:b w:val="0"/>
          <w:bCs/>
          <w:iCs/>
          <w:caps w:val="0"/>
          <w:sz w:val="20"/>
          <w:lang w:eastAsia="ru-RU"/>
        </w:rPr>
      </w:pPr>
      <w:r>
        <w:rPr>
          <w:b w:val="0"/>
          <w:bCs/>
          <w:iCs/>
          <w:caps w:val="0"/>
          <w:sz w:val="20"/>
          <w:lang w:eastAsia="ru-RU"/>
        </w:rPr>
        <w:t>The work was supported by the Russian Science Foundation: project 24-79-10103. The authors thank the Russian Science Foundation for research support.</w:t>
      </w:r>
    </w:p>
    <w:p w14:paraId="0036F581" w14:textId="77777777" w:rsidR="009B667A" w:rsidRDefault="00000000">
      <w:pPr>
        <w:pStyle w:val="Reference"/>
        <w:numPr>
          <w:ilvl w:val="0"/>
          <w:numId w:val="0"/>
        </w:numPr>
        <w:spacing w:after="240"/>
        <w:ind w:left="425"/>
        <w:jc w:val="center"/>
        <w:rPr>
          <w:rFonts w:asciiTheme="majorBidi" w:hAnsiTheme="majorBidi" w:cstheme="majorBidi"/>
          <w:b/>
          <w:caps/>
          <w:sz w:val="24"/>
        </w:rPr>
      </w:pPr>
      <w:r>
        <w:rPr>
          <w:rFonts w:cstheme="majorBidi"/>
          <w:b/>
          <w:caps/>
          <w:sz w:val="24"/>
        </w:rPr>
        <w:t>References</w:t>
      </w:r>
    </w:p>
    <w:p w14:paraId="5774FE06" w14:textId="77777777" w:rsidR="009B667A" w:rsidRDefault="00000000">
      <w:pPr>
        <w:pStyle w:val="Reference"/>
        <w:numPr>
          <w:ilvl w:val="0"/>
          <w:numId w:val="7"/>
        </w:numPr>
        <w:ind w:left="425" w:hanging="425"/>
      </w:pPr>
      <w:r>
        <w:t xml:space="preserve">J. Yang, Z. Zhu, S. Han, Y. Gu, Z. Zhu, H.-D. Zhang, Evolution, limitations, advantages, and future challenges of magnesium alloys as materials for aerospace applications. J. Alloy. Compd. </w:t>
      </w:r>
      <w:r>
        <w:rPr>
          <w:b/>
        </w:rPr>
        <w:t>1008</w:t>
      </w:r>
      <w:r>
        <w:t xml:space="preserve">, 176707 (2024). </w:t>
      </w:r>
      <w:r>
        <w:rPr>
          <w:rStyle w:val="Hyperlink"/>
        </w:rPr>
        <w:t>https://doi.org/</w:t>
      </w:r>
      <w:hyperlink r:id="rId48" w:tgtFrame="Persistent link using digital object identifier">
        <w:r w:rsidR="009B667A">
          <w:rPr>
            <w:rStyle w:val="Hyperlink"/>
          </w:rPr>
          <w:t>10.1016/j.jallcom.2024.176707</w:t>
        </w:r>
      </w:hyperlink>
    </w:p>
    <w:p w14:paraId="3E421F4E" w14:textId="77777777" w:rsidR="009B667A" w:rsidRDefault="00000000">
      <w:pPr>
        <w:pStyle w:val="Reference"/>
        <w:numPr>
          <w:ilvl w:val="0"/>
          <w:numId w:val="8"/>
        </w:numPr>
        <w:ind w:left="425" w:hanging="425"/>
      </w:pPr>
      <w:r>
        <w:t xml:space="preserve">M. Yang, C. Chen, D. Wang, Y. Shao, W. Zhou, C. Shuai, Y. Yang, X. Ning, Biomedical rare-earth magnesium alloy: Current status and future prospects. J. Magnes. Alloy </w:t>
      </w:r>
      <w:r>
        <w:rPr>
          <w:b/>
        </w:rPr>
        <w:t>12</w:t>
      </w:r>
      <w:r>
        <w:t>, 1260–1282 (2024).</w:t>
      </w:r>
      <w:hyperlink r:id="rId49">
        <w:r w:rsidR="009B667A">
          <w:rPr>
            <w:rStyle w:val="Hyperlink"/>
          </w:rPr>
          <w:t xml:space="preserve"> https://doi.org/10.1016/j.jma.2024.03.014</w:t>
        </w:r>
      </w:hyperlink>
    </w:p>
    <w:p w14:paraId="09B7CFBA" w14:textId="77777777" w:rsidR="009B667A" w:rsidRDefault="00000000">
      <w:pPr>
        <w:pStyle w:val="Reference"/>
        <w:numPr>
          <w:ilvl w:val="0"/>
          <w:numId w:val="9"/>
        </w:numPr>
        <w:ind w:left="425" w:hanging="425"/>
      </w:pPr>
      <w:r>
        <w:t xml:space="preserve">V.V. Skripnyak, V.A Skripnyak, Hexagonal close-packed (hcp) alloys under dynamic impacts. J. Appl. Phys. </w:t>
      </w:r>
      <w:r>
        <w:rPr>
          <w:b/>
        </w:rPr>
        <w:t>131</w:t>
      </w:r>
      <w:r>
        <w:t xml:space="preserve">, 165902 (2022). </w:t>
      </w:r>
      <w:hyperlink r:id="rId50">
        <w:r w:rsidR="009B667A">
          <w:rPr>
            <w:rStyle w:val="Hyperlink"/>
          </w:rPr>
          <w:t xml:space="preserve"> https://doi.org/10.1063/5.0085338</w:t>
        </w:r>
      </w:hyperlink>
    </w:p>
    <w:p w14:paraId="6BA8C49F" w14:textId="77777777" w:rsidR="009B667A" w:rsidRDefault="00000000">
      <w:pPr>
        <w:pStyle w:val="Reference"/>
        <w:numPr>
          <w:ilvl w:val="0"/>
          <w:numId w:val="10"/>
        </w:numPr>
        <w:ind w:left="425" w:hanging="425"/>
        <w:rPr>
          <w:rStyle w:val="Hyperlink"/>
        </w:rPr>
      </w:pPr>
      <w:r>
        <w:t>J. Wang, X. Yuan, P. Jin, H. Ma, B. Shi, H. Zheng, T. Chen, W. Xia, Study on modified Johnson-Cook constitutive material model to predict the dynamic behavior Mg-1Al-4Y alloy Mater. Res. Express</w:t>
      </w:r>
      <w:r>
        <w:rPr>
          <w:b/>
        </w:rPr>
        <w:t xml:space="preserve"> 7</w:t>
      </w:r>
      <w:r>
        <w:t xml:space="preserve">, 026522 (2020). </w:t>
      </w:r>
      <w:r>
        <w:rPr>
          <w:rStyle w:val="Hyperlink"/>
        </w:rPr>
        <w:t>https://doi.org/10.1088/2053-1591/ab7070</w:t>
      </w:r>
    </w:p>
    <w:p w14:paraId="448BEE7D" w14:textId="77777777" w:rsidR="009B667A" w:rsidRDefault="00000000">
      <w:pPr>
        <w:pStyle w:val="Reference"/>
        <w:numPr>
          <w:ilvl w:val="0"/>
          <w:numId w:val="11"/>
        </w:numPr>
        <w:ind w:left="425" w:hanging="425"/>
      </w:pPr>
      <w:r w:rsidRPr="005874AA">
        <w:rPr>
          <w:lang w:val="fr-FR"/>
        </w:rPr>
        <w:t xml:space="preserve">J. </w:t>
      </w:r>
      <w:hyperlink r:id="rId51">
        <w:r w:rsidR="009B667A" w:rsidRPr="005874AA">
          <w:rPr>
            <w:lang w:val="fr-FR"/>
          </w:rPr>
          <w:t>Luan</w:t>
        </w:r>
      </w:hyperlink>
      <w:r w:rsidRPr="005874AA">
        <w:rPr>
          <w:lang w:val="fr-FR"/>
        </w:rPr>
        <w:t xml:space="preserve">, C. </w:t>
      </w:r>
      <w:hyperlink r:id="rId52">
        <w:r w:rsidR="009B667A" w:rsidRPr="005874AA">
          <w:rPr>
            <w:lang w:val="fr-FR"/>
          </w:rPr>
          <w:t>Sun</w:t>
        </w:r>
      </w:hyperlink>
      <w:r w:rsidRPr="005874AA">
        <w:rPr>
          <w:lang w:val="fr-FR"/>
        </w:rPr>
        <w:t xml:space="preserve">, X. </w:t>
      </w:r>
      <w:hyperlink r:id="rId53">
        <w:r w:rsidR="009B667A" w:rsidRPr="005874AA">
          <w:rPr>
            <w:lang w:val="fr-FR"/>
          </w:rPr>
          <w:t>Li</w:t>
        </w:r>
      </w:hyperlink>
      <w:r w:rsidRPr="005874AA">
        <w:rPr>
          <w:lang w:val="fr-FR"/>
        </w:rPr>
        <w:t xml:space="preserve">, Q. </w:t>
      </w:r>
      <w:hyperlink r:id="rId54">
        <w:r w:rsidR="009B667A">
          <w:t>Zhang</w:t>
        </w:r>
      </w:hyperlink>
      <w:r>
        <w:t xml:space="preserve">, Constitutive model for AZ31 magnesium alloy based on isothermal compression test. Mater. Sci. Technol. </w:t>
      </w:r>
      <w:r>
        <w:rPr>
          <w:b/>
        </w:rPr>
        <w:t>30</w:t>
      </w:r>
      <w:r>
        <w:t xml:space="preserve">, 211–219 (2014). </w:t>
      </w:r>
      <w:r>
        <w:rPr>
          <w:rStyle w:val="Hyperlink"/>
        </w:rPr>
        <w:t>https://doi.org/</w:t>
      </w:r>
      <w:hyperlink r:id="rId55" w:tgtFrame="_blank">
        <w:r w:rsidR="009B667A">
          <w:rPr>
            <w:rStyle w:val="Hyperlink"/>
          </w:rPr>
          <w:t>10.1179/1743284713Y.0000000341</w:t>
        </w:r>
      </w:hyperlink>
    </w:p>
    <w:p w14:paraId="47490C73" w14:textId="77777777" w:rsidR="009B667A" w:rsidRDefault="00000000">
      <w:pPr>
        <w:pStyle w:val="Reference"/>
        <w:numPr>
          <w:ilvl w:val="0"/>
          <w:numId w:val="12"/>
        </w:numPr>
        <w:ind w:left="425" w:hanging="425"/>
      </w:pPr>
      <w:r>
        <w:t xml:space="preserve">X. Huang, J. Hou, B. Lin, B. Li, B. Jiang, Deformation localization behavior research of AZ31 magnesium alloy under impact load. J. Phys. Conf. Ser. </w:t>
      </w:r>
      <w:r>
        <w:rPr>
          <w:b/>
        </w:rPr>
        <w:t>2541</w:t>
      </w:r>
      <w:r>
        <w:t>, 012054 (2023).</w:t>
      </w:r>
      <w:hyperlink r:id="rId56">
        <w:r w:rsidR="009B667A">
          <w:rPr>
            <w:rStyle w:val="Hyperlink"/>
          </w:rPr>
          <w:t xml:space="preserve"> https://doi.org/10.1088/1742-6596/2541/1/012054</w:t>
        </w:r>
      </w:hyperlink>
    </w:p>
    <w:p w14:paraId="586F65DA" w14:textId="77777777" w:rsidR="009B667A" w:rsidRDefault="00000000">
      <w:pPr>
        <w:pStyle w:val="Reference"/>
        <w:numPr>
          <w:ilvl w:val="0"/>
          <w:numId w:val="13"/>
        </w:numPr>
        <w:ind w:left="425" w:hanging="425"/>
      </w:pPr>
      <w:r>
        <w:t xml:space="preserve">N. A. Ozdur, S. C. Ermana, R. Seghir, L. Stainier, C.C. Aydıner, A thermomechanical investigation of textured magnesium in an effort to validate crystalplasticity simulations. Procedia Structural Integrity IWPDF 2023, 61, 277–284 (2024) Procedia Structural Integrity. </w:t>
      </w:r>
      <w:r>
        <w:rPr>
          <w:b/>
        </w:rPr>
        <w:t>61</w:t>
      </w:r>
      <w:r>
        <w:t>. pp. 277–284.</w:t>
      </w:r>
      <w:hyperlink r:id="rId57" w:tgtFrame="Persistent link using digital object identifier">
        <w:r w:rsidR="009B667A">
          <w:rPr>
            <w:rStyle w:val="Hyperlink"/>
          </w:rPr>
          <w:t xml:space="preserve"> https://doi.org/10.1016/j.prostr.2024.06.035</w:t>
        </w:r>
      </w:hyperlink>
    </w:p>
    <w:p w14:paraId="44A34060" w14:textId="77777777" w:rsidR="009B667A" w:rsidRDefault="00000000">
      <w:pPr>
        <w:pStyle w:val="Reference"/>
        <w:numPr>
          <w:ilvl w:val="0"/>
          <w:numId w:val="14"/>
        </w:numPr>
        <w:ind w:left="425" w:hanging="425"/>
      </w:pPr>
      <w:r>
        <w:t xml:space="preserve">F.J. Zerilli, R.W. Armstrong, Constitutive equation for h.c.p. metals and high strength alloy steels. High strain rate effects on polymer, metal and ceramic matrix composites and other advanced materials. ASME </w:t>
      </w:r>
      <w:r>
        <w:rPr>
          <w:b/>
        </w:rPr>
        <w:t>48</w:t>
      </w:r>
      <w:r>
        <w:t>, 121–126 (1995).</w:t>
      </w:r>
    </w:p>
    <w:p w14:paraId="45E97718" w14:textId="77777777" w:rsidR="009B667A" w:rsidRDefault="00000000">
      <w:pPr>
        <w:pStyle w:val="Reference"/>
        <w:numPr>
          <w:ilvl w:val="0"/>
          <w:numId w:val="15"/>
        </w:numPr>
        <w:ind w:left="425" w:hanging="425"/>
      </w:pPr>
      <w:r>
        <w:rPr>
          <w:bCs/>
          <w:iCs/>
          <w:lang w:eastAsia="ru-RU"/>
        </w:rPr>
        <w:t xml:space="preserve">X. Zhu,·Y. Lei, H. Wan,· S. Li, G. Dui Constitutive modeling of porosity and grain size effects on superelasticity of porous nanocrystalline NiTi shape memory alloy. Acta Mechanica. </w:t>
      </w:r>
      <w:r>
        <w:rPr>
          <w:b/>
          <w:bCs/>
          <w:iCs/>
          <w:lang w:eastAsia="ru-RU"/>
        </w:rPr>
        <w:t>234</w:t>
      </w:r>
      <w:r>
        <w:rPr>
          <w:bCs/>
          <w:iCs/>
          <w:lang w:eastAsia="ru-RU"/>
        </w:rPr>
        <w:t xml:space="preserve">, 6499 – 6513 (2023). </w:t>
      </w:r>
      <w:r>
        <w:rPr>
          <w:rStyle w:val="Hyperlink"/>
        </w:rPr>
        <w:t>https ://doi.org /10.1007/s00707-023-03721-0</w:t>
      </w:r>
    </w:p>
    <w:p w14:paraId="288AB3DA" w14:textId="77777777" w:rsidR="009B667A" w:rsidRDefault="00000000">
      <w:pPr>
        <w:pStyle w:val="Reference"/>
        <w:numPr>
          <w:ilvl w:val="0"/>
          <w:numId w:val="16"/>
        </w:numPr>
        <w:ind w:left="425" w:hanging="425"/>
      </w:pPr>
      <w:r>
        <w:t xml:space="preserve">A. Needleman, V. Tvergaard, Analyses of plastic flow localization in metals. Appl. Mech. Rev. </w:t>
      </w:r>
      <w:r>
        <w:rPr>
          <w:b/>
        </w:rPr>
        <w:t>45</w:t>
      </w:r>
      <w:r>
        <w:t xml:space="preserve">, S3–S18 (1992). </w:t>
      </w:r>
      <w:r>
        <w:rPr>
          <w:rStyle w:val="Hyperlink"/>
        </w:rPr>
        <w:t>https://doi.org/10.1115/1.3121390</w:t>
      </w:r>
    </w:p>
    <w:p w14:paraId="6C228DC1" w14:textId="77777777" w:rsidR="009B667A" w:rsidRDefault="00000000">
      <w:pPr>
        <w:pStyle w:val="Reference"/>
        <w:numPr>
          <w:ilvl w:val="0"/>
          <w:numId w:val="17"/>
        </w:numPr>
        <w:ind w:left="425" w:hanging="425"/>
        <w:rPr>
          <w:rStyle w:val="Hyperlink"/>
        </w:rPr>
      </w:pPr>
      <w:r>
        <w:t xml:space="preserve">I.S. Yasnikov, A. Vinogradov, Y. Estrin, Revisiting the Considère criterion from the viewpoint of dislocation theory fundamentals. Scr. Mater. </w:t>
      </w:r>
      <w:r>
        <w:rPr>
          <w:b/>
        </w:rPr>
        <w:t>76</w:t>
      </w:r>
      <w:r>
        <w:t xml:space="preserve">, 37–40 (2014). </w:t>
      </w:r>
      <w:hyperlink r:id="rId58">
        <w:r w:rsidR="009B667A">
          <w:rPr>
            <w:rStyle w:val="Hyperlink"/>
          </w:rPr>
          <w:t xml:space="preserve"> https://doi.org/10.1016/j.scriptamat.2013.12.009</w:t>
        </w:r>
      </w:hyperlink>
    </w:p>
    <w:p w14:paraId="04A523F9" w14:textId="77777777" w:rsidR="009B667A" w:rsidRDefault="00000000">
      <w:pPr>
        <w:pStyle w:val="Reference"/>
        <w:numPr>
          <w:ilvl w:val="0"/>
          <w:numId w:val="18"/>
        </w:numPr>
        <w:ind w:left="425" w:hanging="425"/>
        <w:rPr>
          <w:rStyle w:val="Hyperlink"/>
        </w:rPr>
      </w:pPr>
      <w:r>
        <w:lastRenderedPageBreak/>
        <w:t xml:space="preserve">P. Lukas, Z. Trojanova, Effect of fabrication processing on the deformation behaviour of AZ31 magnesium alloys. Kovove Mater. </w:t>
      </w:r>
      <w:r>
        <w:rPr>
          <w:b/>
        </w:rPr>
        <w:t>49</w:t>
      </w:r>
      <w:r>
        <w:t xml:space="preserve">, 385–391 (2011). </w:t>
      </w:r>
      <w:r>
        <w:rPr>
          <w:rStyle w:val="Hyperlink"/>
        </w:rPr>
        <w:t>https://doi.org/10.4149/km-2011-6-385</w:t>
      </w:r>
    </w:p>
    <w:p w14:paraId="4E61A880" w14:textId="77777777" w:rsidR="009B667A" w:rsidRDefault="00000000">
      <w:pPr>
        <w:pStyle w:val="Reference"/>
        <w:numPr>
          <w:ilvl w:val="0"/>
          <w:numId w:val="19"/>
        </w:numPr>
        <w:ind w:left="425" w:hanging="425"/>
      </w:pPr>
      <w:r>
        <w:t xml:space="preserve">V.A. Skripnyak, V.V. Skripnyak, A.A. Kozulin, K.V. Iokhim, The influence of stress concentrators on the magnesium alloy mechanical behavior under deformation at high strain rates in the temperature range from 295 to 673 K. PNRPU Mechanics Bulletin </w:t>
      </w:r>
      <w:r>
        <w:rPr>
          <w:b/>
        </w:rPr>
        <w:t>1</w:t>
      </w:r>
      <w:r>
        <w:t xml:space="preserve">, 151–160 (2019).  </w:t>
      </w:r>
      <w:hyperlink r:id="rId59">
        <w:r w:rsidR="009B667A">
          <w:rPr>
            <w:rStyle w:val="Hyperlink"/>
          </w:rPr>
          <w:t>https://doi.org/10.15593/perm.mech/2019.1.13</w:t>
        </w:r>
      </w:hyperlink>
    </w:p>
    <w:p w14:paraId="138A1450" w14:textId="77777777" w:rsidR="009B667A" w:rsidRPr="005874AA" w:rsidRDefault="00000000">
      <w:pPr>
        <w:pStyle w:val="Reference"/>
        <w:numPr>
          <w:ilvl w:val="0"/>
          <w:numId w:val="20"/>
        </w:numPr>
        <w:ind w:left="425" w:hanging="425"/>
        <w:rPr>
          <w:lang w:val="fr-FR"/>
        </w:rPr>
      </w:pPr>
      <w:r>
        <w:rPr>
          <w:rFonts w:ascii="MyriadPro-Cond" w:hAnsi="MyriadPro-Cond"/>
          <w:color w:val="231F20"/>
        </w:rPr>
        <w:t>S.</w:t>
      </w:r>
      <w:r>
        <w:t xml:space="preserve"> </w:t>
      </w:r>
      <w:r>
        <w:rPr>
          <w:rFonts w:ascii="MyriadPro-Cond" w:hAnsi="MyriadPro-Cond"/>
          <w:color w:val="231F20"/>
        </w:rPr>
        <w:t xml:space="preserve">Kurukuri, M.J. Worswick, D. Ghaffri Tari, R.K. Mishra, J.T. Carter, Rate sensitivity and tension–compression asymmetry in AZ31B magnesium alloy sheet. </w:t>
      </w:r>
      <w:r w:rsidRPr="005874AA">
        <w:rPr>
          <w:iCs/>
          <w:color w:val="231F20"/>
          <w:lang w:val="fr-FR"/>
        </w:rPr>
        <w:t>Phil. Trans. R. Soc. A.</w:t>
      </w:r>
      <w:r w:rsidRPr="005874AA">
        <w:rPr>
          <w:rFonts w:ascii="MyriadPro-CondIt" w:hAnsi="MyriadPro-CondIt"/>
          <w:i/>
          <w:iCs/>
          <w:color w:val="231F20"/>
          <w:lang w:val="fr-FR"/>
        </w:rPr>
        <w:t xml:space="preserve"> </w:t>
      </w:r>
      <w:r w:rsidRPr="005874AA">
        <w:rPr>
          <w:rFonts w:ascii="MyriadPro-BoldCond" w:hAnsi="MyriadPro-BoldCond"/>
          <w:b/>
          <w:bCs/>
          <w:color w:val="231F20"/>
          <w:lang w:val="fr-FR"/>
        </w:rPr>
        <w:t>372</w:t>
      </w:r>
      <w:r w:rsidRPr="005874AA">
        <w:rPr>
          <w:rFonts w:ascii="MyriadPro-Cond" w:hAnsi="MyriadPro-Cond"/>
          <w:color w:val="231F20"/>
          <w:lang w:val="fr-FR"/>
        </w:rPr>
        <w:t xml:space="preserve">, 20130216. (2014). </w:t>
      </w:r>
      <w:r w:rsidRPr="005874AA">
        <w:rPr>
          <w:rStyle w:val="Hyperlink"/>
          <w:lang w:val="fr-FR"/>
        </w:rPr>
        <w:t>http://dx.doi.org/10.1098/rsta.2013.0216</w:t>
      </w:r>
      <w:r w:rsidRPr="005874AA">
        <w:rPr>
          <w:lang w:val="fr-FR"/>
        </w:rPr>
        <w:t xml:space="preserve"> </w:t>
      </w:r>
    </w:p>
    <w:p w14:paraId="333A046D" w14:textId="77777777" w:rsidR="009B667A" w:rsidRPr="005874AA" w:rsidRDefault="009B667A">
      <w:pPr>
        <w:pStyle w:val="berschrift1"/>
        <w:rPr>
          <w:lang w:val="fr-FR"/>
        </w:rPr>
      </w:pPr>
    </w:p>
    <w:sectPr w:rsidR="009B667A" w:rsidRPr="005874AA">
      <w:pgSz w:w="12240" w:h="15840"/>
      <w:pgMar w:top="1440" w:right="1440" w:bottom="1440" w:left="1440"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yriadPro-Cond">
    <w:altName w:val="Cambria"/>
    <w:charset w:val="01"/>
    <w:family w:val="roman"/>
    <w:pitch w:val="variable"/>
  </w:font>
  <w:font w:name="MyriadPro-CondIt">
    <w:altName w:val="Cambria"/>
    <w:charset w:val="01"/>
    <w:family w:val="roman"/>
    <w:pitch w:val="variable"/>
  </w:font>
  <w:font w:name="MyriadPro-BoldCond">
    <w:altName w:val="Cambria"/>
    <w:charset w:val="01"/>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7584C"/>
    <w:multiLevelType w:val="multilevel"/>
    <w:tmpl w:val="30246100"/>
    <w:lvl w:ilvl="0">
      <w:start w:val="1"/>
      <w:numFmt w:val="decimal"/>
      <w:pStyle w:val="Referen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E903636"/>
    <w:multiLevelType w:val="multilevel"/>
    <w:tmpl w:val="D51E8D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3AB07A2"/>
    <w:multiLevelType w:val="multilevel"/>
    <w:tmpl w:val="21B2F31E"/>
    <w:lvl w:ilvl="0">
      <w:start w:val="1"/>
      <w:numFmt w:val="bullet"/>
      <w:pStyle w:val="Paragraphbulleted"/>
      <w:lvlText w:val=""/>
      <w:lvlJc w:val="left"/>
      <w:pPr>
        <w:tabs>
          <w:tab w:val="num" w:pos="0"/>
        </w:tabs>
        <w:ind w:left="1920" w:hanging="360"/>
      </w:pPr>
      <w:rPr>
        <w:rFonts w:ascii="Symbol" w:hAnsi="Symbol" w:cs="Symbol"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3" w15:restartNumberingAfterBreak="0">
    <w:nsid w:val="28353B9B"/>
    <w:multiLevelType w:val="multilevel"/>
    <w:tmpl w:val="C01A3216"/>
    <w:lvl w:ilvl="0">
      <w:start w:val="1"/>
      <w:numFmt w:val="decimal"/>
      <w:pStyle w:val="Paragraphnumbered"/>
      <w:lvlText w:val="%1."/>
      <w:lvlJc w:val="left"/>
      <w:pPr>
        <w:tabs>
          <w:tab w:val="num" w:pos="0"/>
        </w:tabs>
        <w:ind w:left="644"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6EED5AEA"/>
    <w:multiLevelType w:val="multilevel"/>
    <w:tmpl w:val="27787D0E"/>
    <w:lvl w:ilvl="0">
      <w:start w:val="1"/>
      <w:numFmt w:val="decimal"/>
      <w:lvlText w:val="%1."/>
      <w:lvlJc w:val="left"/>
      <w:pPr>
        <w:tabs>
          <w:tab w:val="num" w:pos="0"/>
        </w:tabs>
        <w:ind w:left="4188" w:hanging="360"/>
      </w:pPr>
    </w:lvl>
    <w:lvl w:ilvl="1">
      <w:start w:val="1"/>
      <w:numFmt w:val="lowerLetter"/>
      <w:lvlText w:val="%2."/>
      <w:lvlJc w:val="left"/>
      <w:pPr>
        <w:tabs>
          <w:tab w:val="num" w:pos="0"/>
        </w:tabs>
        <w:ind w:left="6609" w:hanging="360"/>
      </w:pPr>
    </w:lvl>
    <w:lvl w:ilvl="2">
      <w:start w:val="1"/>
      <w:numFmt w:val="lowerRoman"/>
      <w:lvlText w:val="%3."/>
      <w:lvlJc w:val="right"/>
      <w:pPr>
        <w:tabs>
          <w:tab w:val="num" w:pos="0"/>
        </w:tabs>
        <w:ind w:left="7329" w:hanging="180"/>
      </w:pPr>
    </w:lvl>
    <w:lvl w:ilvl="3">
      <w:start w:val="1"/>
      <w:numFmt w:val="decimal"/>
      <w:lvlText w:val="%4."/>
      <w:lvlJc w:val="left"/>
      <w:pPr>
        <w:tabs>
          <w:tab w:val="num" w:pos="0"/>
        </w:tabs>
        <w:ind w:left="8049" w:hanging="360"/>
      </w:pPr>
    </w:lvl>
    <w:lvl w:ilvl="4">
      <w:start w:val="1"/>
      <w:numFmt w:val="lowerLetter"/>
      <w:lvlText w:val="%5."/>
      <w:lvlJc w:val="left"/>
      <w:pPr>
        <w:tabs>
          <w:tab w:val="num" w:pos="0"/>
        </w:tabs>
        <w:ind w:left="8769" w:hanging="360"/>
      </w:pPr>
    </w:lvl>
    <w:lvl w:ilvl="5">
      <w:start w:val="1"/>
      <w:numFmt w:val="lowerRoman"/>
      <w:lvlText w:val="%6."/>
      <w:lvlJc w:val="right"/>
      <w:pPr>
        <w:tabs>
          <w:tab w:val="num" w:pos="0"/>
        </w:tabs>
        <w:ind w:left="9489" w:hanging="180"/>
      </w:pPr>
    </w:lvl>
    <w:lvl w:ilvl="6">
      <w:start w:val="1"/>
      <w:numFmt w:val="decimal"/>
      <w:lvlText w:val="%7."/>
      <w:lvlJc w:val="left"/>
      <w:pPr>
        <w:tabs>
          <w:tab w:val="num" w:pos="0"/>
        </w:tabs>
        <w:ind w:left="10209" w:hanging="360"/>
      </w:pPr>
    </w:lvl>
    <w:lvl w:ilvl="7">
      <w:start w:val="1"/>
      <w:numFmt w:val="lowerLetter"/>
      <w:lvlText w:val="%8."/>
      <w:lvlJc w:val="left"/>
      <w:pPr>
        <w:tabs>
          <w:tab w:val="num" w:pos="0"/>
        </w:tabs>
        <w:ind w:left="10929" w:hanging="360"/>
      </w:pPr>
    </w:lvl>
    <w:lvl w:ilvl="8">
      <w:start w:val="1"/>
      <w:numFmt w:val="lowerRoman"/>
      <w:lvlText w:val="%9."/>
      <w:lvlJc w:val="right"/>
      <w:pPr>
        <w:tabs>
          <w:tab w:val="num" w:pos="0"/>
        </w:tabs>
        <w:ind w:left="11649" w:hanging="180"/>
      </w:pPr>
    </w:lvl>
  </w:abstractNum>
  <w:abstractNum w:abstractNumId="5" w15:restartNumberingAfterBreak="0">
    <w:nsid w:val="75103351"/>
    <w:multiLevelType w:val="multilevel"/>
    <w:tmpl w:val="E118F16E"/>
    <w:lvl w:ilvl="0">
      <w:start w:val="1"/>
      <w:numFmt w:val="decimal"/>
      <w:lvlText w:val="%1."/>
      <w:lvlJc w:val="left"/>
      <w:pPr>
        <w:tabs>
          <w:tab w:val="num" w:pos="0"/>
        </w:tabs>
        <w:ind w:left="4188" w:hanging="360"/>
      </w:pPr>
    </w:lvl>
    <w:lvl w:ilvl="1">
      <w:start w:val="1"/>
      <w:numFmt w:val="lowerLetter"/>
      <w:lvlText w:val="%2."/>
      <w:lvlJc w:val="left"/>
      <w:pPr>
        <w:tabs>
          <w:tab w:val="num" w:pos="0"/>
        </w:tabs>
        <w:ind w:left="6609" w:hanging="360"/>
      </w:pPr>
    </w:lvl>
    <w:lvl w:ilvl="2">
      <w:start w:val="1"/>
      <w:numFmt w:val="lowerRoman"/>
      <w:lvlText w:val="%3."/>
      <w:lvlJc w:val="right"/>
      <w:pPr>
        <w:tabs>
          <w:tab w:val="num" w:pos="0"/>
        </w:tabs>
        <w:ind w:left="7329" w:hanging="180"/>
      </w:pPr>
    </w:lvl>
    <w:lvl w:ilvl="3">
      <w:start w:val="1"/>
      <w:numFmt w:val="decimal"/>
      <w:lvlText w:val="%4."/>
      <w:lvlJc w:val="left"/>
      <w:pPr>
        <w:tabs>
          <w:tab w:val="num" w:pos="0"/>
        </w:tabs>
        <w:ind w:left="8049" w:hanging="360"/>
      </w:pPr>
    </w:lvl>
    <w:lvl w:ilvl="4">
      <w:start w:val="1"/>
      <w:numFmt w:val="lowerLetter"/>
      <w:lvlText w:val="%5."/>
      <w:lvlJc w:val="left"/>
      <w:pPr>
        <w:tabs>
          <w:tab w:val="num" w:pos="0"/>
        </w:tabs>
        <w:ind w:left="8769" w:hanging="360"/>
      </w:pPr>
    </w:lvl>
    <w:lvl w:ilvl="5">
      <w:start w:val="1"/>
      <w:numFmt w:val="lowerRoman"/>
      <w:lvlText w:val="%6."/>
      <w:lvlJc w:val="right"/>
      <w:pPr>
        <w:tabs>
          <w:tab w:val="num" w:pos="0"/>
        </w:tabs>
        <w:ind w:left="9489" w:hanging="180"/>
      </w:pPr>
    </w:lvl>
    <w:lvl w:ilvl="6">
      <w:start w:val="1"/>
      <w:numFmt w:val="decimal"/>
      <w:lvlText w:val="%7."/>
      <w:lvlJc w:val="left"/>
      <w:pPr>
        <w:tabs>
          <w:tab w:val="num" w:pos="0"/>
        </w:tabs>
        <w:ind w:left="10209" w:hanging="360"/>
      </w:pPr>
    </w:lvl>
    <w:lvl w:ilvl="7">
      <w:start w:val="1"/>
      <w:numFmt w:val="lowerLetter"/>
      <w:lvlText w:val="%8."/>
      <w:lvlJc w:val="left"/>
      <w:pPr>
        <w:tabs>
          <w:tab w:val="num" w:pos="0"/>
        </w:tabs>
        <w:ind w:left="10929" w:hanging="360"/>
      </w:pPr>
    </w:lvl>
    <w:lvl w:ilvl="8">
      <w:start w:val="1"/>
      <w:numFmt w:val="lowerRoman"/>
      <w:lvlText w:val="%9."/>
      <w:lvlJc w:val="right"/>
      <w:pPr>
        <w:tabs>
          <w:tab w:val="num" w:pos="0"/>
        </w:tabs>
        <w:ind w:left="11649" w:hanging="180"/>
      </w:pPr>
    </w:lvl>
  </w:abstractNum>
  <w:num w:numId="1" w16cid:durableId="715470693">
    <w:abstractNumId w:val="1"/>
  </w:num>
  <w:num w:numId="2" w16cid:durableId="784739799">
    <w:abstractNumId w:val="0"/>
  </w:num>
  <w:num w:numId="3" w16cid:durableId="169688092">
    <w:abstractNumId w:val="2"/>
  </w:num>
  <w:num w:numId="4" w16cid:durableId="921987145">
    <w:abstractNumId w:val="3"/>
  </w:num>
  <w:num w:numId="5" w16cid:durableId="1673607479">
    <w:abstractNumId w:val="4"/>
  </w:num>
  <w:num w:numId="6" w16cid:durableId="1784153353">
    <w:abstractNumId w:val="5"/>
  </w:num>
  <w:num w:numId="7" w16cid:durableId="2147311414">
    <w:abstractNumId w:val="5"/>
    <w:lvlOverride w:ilvl="0">
      <w:startOverride w:val="1"/>
    </w:lvlOverride>
  </w:num>
  <w:num w:numId="8" w16cid:durableId="1022972341">
    <w:abstractNumId w:val="5"/>
  </w:num>
  <w:num w:numId="9" w16cid:durableId="1002583397">
    <w:abstractNumId w:val="5"/>
  </w:num>
  <w:num w:numId="10" w16cid:durableId="203098513">
    <w:abstractNumId w:val="5"/>
  </w:num>
  <w:num w:numId="11" w16cid:durableId="1451970303">
    <w:abstractNumId w:val="5"/>
  </w:num>
  <w:num w:numId="12" w16cid:durableId="417948481">
    <w:abstractNumId w:val="5"/>
  </w:num>
  <w:num w:numId="13" w16cid:durableId="1439566692">
    <w:abstractNumId w:val="5"/>
  </w:num>
  <w:num w:numId="14" w16cid:durableId="1168402912">
    <w:abstractNumId w:val="5"/>
  </w:num>
  <w:num w:numId="15" w16cid:durableId="1103720106">
    <w:abstractNumId w:val="5"/>
  </w:num>
  <w:num w:numId="16" w16cid:durableId="1788348071">
    <w:abstractNumId w:val="5"/>
  </w:num>
  <w:num w:numId="17" w16cid:durableId="1422145433">
    <w:abstractNumId w:val="5"/>
  </w:num>
  <w:num w:numId="18" w16cid:durableId="522018999">
    <w:abstractNumId w:val="5"/>
  </w:num>
  <w:num w:numId="19" w16cid:durableId="1574855649">
    <w:abstractNumId w:val="5"/>
  </w:num>
  <w:num w:numId="20" w16cid:durableId="3088319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autoHyphenation/>
  <w:hyphenationZone w:val="425"/>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667A"/>
    <w:rsid w:val="000130FE"/>
    <w:rsid w:val="000D38DE"/>
    <w:rsid w:val="00222602"/>
    <w:rsid w:val="005874AA"/>
    <w:rsid w:val="007B0469"/>
    <w:rsid w:val="007C1D78"/>
    <w:rsid w:val="008E67F4"/>
    <w:rsid w:val="009B667A"/>
    <w:rsid w:val="00A16A12"/>
    <w:rsid w:val="00A56EA8"/>
    <w:rsid w:val="00C53A87"/>
    <w:rsid w:val="00CC6C8B"/>
    <w:rsid w:val="00D2612E"/>
    <w:rsid w:val="00DA3C21"/>
    <w:rsid w:val="00E7253B"/>
    <w:rsid w:val="00F336CE"/>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5F278227"/>
  <w15:docId w15:val="{0F6E905A-EEEB-416F-B8B5-69A097685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E3CB2"/>
    <w:rPr>
      <w:sz w:val="24"/>
      <w:lang w:val="en-US" w:eastAsia="en-US"/>
    </w:rPr>
  </w:style>
  <w:style w:type="paragraph" w:styleId="berschrift1">
    <w:name w:val="heading 1"/>
    <w:basedOn w:val="Standard"/>
    <w:next w:val="Paragraph"/>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link w:val="berschrift3Zchn"/>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semiHidden/>
    <w:qFormat/>
    <w:rPr>
      <w:vertAlign w:val="superscript"/>
    </w:rPr>
  </w:style>
  <w:style w:type="character" w:styleId="Funotenzeichen">
    <w:name w:val="footnote reference"/>
    <w:rPr>
      <w:vertAlign w:val="superscript"/>
    </w:rPr>
  </w:style>
  <w:style w:type="character" w:customStyle="1" w:styleId="SprechblasentextZchn">
    <w:name w:val="Sprechblasentext Zchn"/>
    <w:basedOn w:val="Absatz-Standardschriftart"/>
    <w:link w:val="Sprechblasentext"/>
    <w:qFormat/>
    <w:rsid w:val="00114AB1"/>
    <w:rPr>
      <w:rFonts w:ascii="Tahoma" w:hAnsi="Tahoma" w:cs="Tahoma"/>
      <w:sz w:val="16"/>
      <w:szCs w:val="16"/>
      <w:lang w:val="en-US" w:eastAsia="en-US"/>
    </w:rPr>
  </w:style>
  <w:style w:type="character" w:styleId="Hyperlink">
    <w:name w:val="Hyperlink"/>
    <w:uiPriority w:val="99"/>
    <w:rPr>
      <w:color w:val="0000FF"/>
      <w:u w:val="single"/>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character" w:customStyle="1" w:styleId="NichtaufgelsteErwhnung1">
    <w:name w:val="Nicht aufgelöste Erwähnung1"/>
    <w:basedOn w:val="Absatz-Standardschriftart"/>
    <w:uiPriority w:val="99"/>
    <w:semiHidden/>
    <w:unhideWhenUsed/>
    <w:qFormat/>
    <w:rsid w:val="00613B4D"/>
    <w:rPr>
      <w:color w:val="808080"/>
      <w:shd w:val="clear" w:color="auto" w:fill="E6E6E6"/>
    </w:rPr>
  </w:style>
  <w:style w:type="character" w:styleId="Kommentarzeichen">
    <w:name w:val="annotation reference"/>
    <w:basedOn w:val="Absatz-Standardschriftart"/>
    <w:semiHidden/>
    <w:unhideWhenUsed/>
    <w:qFormat/>
    <w:rsid w:val="005E71ED"/>
    <w:rPr>
      <w:sz w:val="16"/>
      <w:szCs w:val="16"/>
    </w:rPr>
  </w:style>
  <w:style w:type="character" w:customStyle="1" w:styleId="KommentartextZchn">
    <w:name w:val="Kommentartext Zchn"/>
    <w:basedOn w:val="Absatz-Standardschriftart"/>
    <w:link w:val="Kommentartext"/>
    <w:semiHidden/>
    <w:qFormat/>
    <w:rsid w:val="005E71ED"/>
    <w:rPr>
      <w:lang w:val="en-US" w:eastAsia="en-US"/>
    </w:rPr>
  </w:style>
  <w:style w:type="character" w:customStyle="1" w:styleId="KommentarthemaZchn">
    <w:name w:val="Kommentarthema Zchn"/>
    <w:basedOn w:val="KommentartextZchn"/>
    <w:link w:val="Kommentarthema"/>
    <w:semiHidden/>
    <w:qFormat/>
    <w:rsid w:val="005E71ED"/>
    <w:rPr>
      <w:b/>
      <w:bCs/>
      <w:lang w:val="en-US" w:eastAsia="en-US"/>
    </w:rPr>
  </w:style>
  <w:style w:type="character" w:customStyle="1" w:styleId="berschrift3Zchn">
    <w:name w:val="Überschrift 3 Zchn"/>
    <w:basedOn w:val="Absatz-Standardschriftart"/>
    <w:link w:val="berschrift3"/>
    <w:uiPriority w:val="9"/>
    <w:qFormat/>
    <w:rsid w:val="00DD171C"/>
    <w:rPr>
      <w:i/>
      <w:iCs/>
    </w:rPr>
  </w:style>
  <w:style w:type="paragraph" w:customStyle="1" w:styleId="Heading">
    <w:name w:val="Heading"/>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Index">
    <w:name w:val="Index"/>
    <w:basedOn w:val="Standard"/>
    <w:qFormat/>
    <w:pPr>
      <w:suppressLineNumbers/>
    </w:pPr>
    <w:rPr>
      <w:rFonts w:cs="Noto Sans"/>
    </w:rPr>
  </w:style>
  <w:style w:type="paragraph" w:styleId="Funotentext">
    <w:name w:val="footnote text"/>
    <w:basedOn w:val="Standard"/>
    <w:semiHidden/>
    <w:rPr>
      <w:sz w:val="16"/>
    </w:rPr>
  </w:style>
  <w:style w:type="paragraph" w:customStyle="1" w:styleId="PaperTitle">
    <w:name w:val="Paper Title"/>
    <w:basedOn w:val="Standard"/>
    <w:next w:val="AuthorName"/>
    <w:qFormat/>
    <w:pPr>
      <w:spacing w:before="1200"/>
      <w:jc w:val="center"/>
    </w:pPr>
    <w:rPr>
      <w:b/>
      <w:sz w:val="36"/>
    </w:rPr>
  </w:style>
  <w:style w:type="paragraph" w:customStyle="1" w:styleId="AuthorName">
    <w:name w:val="Author Name"/>
    <w:basedOn w:val="Standard"/>
    <w:next w:val="AuthorAffiliation"/>
    <w:qFormat/>
    <w:pPr>
      <w:spacing w:before="360" w:after="360"/>
      <w:jc w:val="center"/>
    </w:pPr>
    <w:rPr>
      <w:sz w:val="28"/>
    </w:rPr>
  </w:style>
  <w:style w:type="paragraph" w:customStyle="1" w:styleId="AuthorAffiliation">
    <w:name w:val="Author Affiliation"/>
    <w:basedOn w:val="Standard"/>
    <w:qFormat/>
    <w:pPr>
      <w:jc w:val="center"/>
    </w:pPr>
    <w:rPr>
      <w:i/>
      <w:sz w:val="20"/>
    </w:rPr>
  </w:style>
  <w:style w:type="paragraph" w:customStyle="1" w:styleId="Abstract">
    <w:name w:val="Abstract"/>
    <w:basedOn w:val="Standard"/>
    <w:next w:val="berschrift1"/>
    <w:qFormat/>
    <w:rsid w:val="00F20BFC"/>
    <w:pPr>
      <w:spacing w:before="360" w:after="360"/>
      <w:ind w:left="289" w:right="289"/>
      <w:jc w:val="both"/>
    </w:pPr>
    <w:rPr>
      <w:sz w:val="18"/>
    </w:rPr>
  </w:style>
  <w:style w:type="paragraph" w:customStyle="1" w:styleId="Paragraph">
    <w:name w:val="Paragraph"/>
    <w:basedOn w:val="Standard"/>
    <w:qFormat/>
    <w:rsid w:val="005E415C"/>
    <w:pPr>
      <w:ind w:firstLine="284"/>
      <w:jc w:val="both"/>
    </w:pPr>
    <w:rPr>
      <w:sz w:val="20"/>
    </w:rPr>
  </w:style>
  <w:style w:type="paragraph" w:customStyle="1" w:styleId="Reference">
    <w:name w:val="Reference"/>
    <w:basedOn w:val="Paragraph"/>
    <w:qFormat/>
    <w:rsid w:val="00AE7500"/>
    <w:pPr>
      <w:numPr>
        <w:numId w:val="2"/>
      </w:numPr>
    </w:pPr>
  </w:style>
  <w:style w:type="paragraph" w:customStyle="1" w:styleId="FigureCaption">
    <w:name w:val="Figure Caption"/>
    <w:next w:val="Paragraph"/>
    <w:qFormat/>
    <w:rsid w:val="00161A5B"/>
    <w:pPr>
      <w:spacing w:before="120"/>
      <w:jc w:val="center"/>
    </w:pPr>
    <w:rPr>
      <w:sz w:val="18"/>
      <w:lang w:val="en-US" w:eastAsia="en-US"/>
    </w:rPr>
  </w:style>
  <w:style w:type="paragraph" w:customStyle="1" w:styleId="Figure">
    <w:name w:val="Figure"/>
    <w:basedOn w:val="Paragraph"/>
    <w:qFormat/>
    <w:pPr>
      <w:keepNext/>
      <w:ind w:firstLine="0"/>
      <w:jc w:val="center"/>
    </w:pPr>
  </w:style>
  <w:style w:type="paragraph" w:customStyle="1" w:styleId="Equation">
    <w:name w:val="Equation"/>
    <w:basedOn w:val="Paragraph"/>
    <w:qFormat/>
    <w:rsid w:val="001146DC"/>
    <w:pPr>
      <w:tabs>
        <w:tab w:val="center" w:pos="4320"/>
        <w:tab w:val="right" w:pos="9242"/>
      </w:tabs>
      <w:ind w:firstLine="0"/>
      <w:jc w:val="center"/>
    </w:pPr>
  </w:style>
  <w:style w:type="paragraph" w:styleId="Sprechblasentext">
    <w:name w:val="Balloon Text"/>
    <w:basedOn w:val="Standard"/>
    <w:link w:val="SprechblasentextZchn"/>
    <w:qFormat/>
    <w:rsid w:val="00114AB1"/>
    <w:rPr>
      <w:rFonts w:ascii="Tahoma" w:hAnsi="Tahoma" w:cs="Tahoma"/>
      <w:sz w:val="16"/>
      <w:szCs w:val="16"/>
    </w:rPr>
  </w:style>
  <w:style w:type="paragraph" w:customStyle="1" w:styleId="Paragraphbulleted">
    <w:name w:val="Paragraph (bulleted)"/>
    <w:basedOn w:val="Paragraph"/>
    <w:qFormat/>
    <w:rsid w:val="0040225B"/>
    <w:pPr>
      <w:numPr>
        <w:numId w:val="3"/>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qFormat/>
    <w:rsid w:val="005F7475"/>
    <w:pPr>
      <w:spacing w:beforeAutospacing="1" w:afterAutospacing="1"/>
    </w:pPr>
    <w:rPr>
      <w:szCs w:val="24"/>
      <w:lang w:val="en-GB" w:eastAsia="en-GB"/>
    </w:rPr>
  </w:style>
  <w:style w:type="paragraph" w:customStyle="1" w:styleId="TableCaption">
    <w:name w:val="Table Caption"/>
    <w:basedOn w:val="FigureCaption"/>
    <w:qFormat/>
    <w:rsid w:val="005A0E21"/>
    <w:rPr>
      <w:szCs w:val="18"/>
    </w:rPr>
  </w:style>
  <w:style w:type="paragraph" w:customStyle="1" w:styleId="Paragraphnumbered">
    <w:name w:val="Paragraph (numbered)"/>
    <w:qFormat/>
    <w:rsid w:val="000B49C0"/>
    <w:pPr>
      <w:numPr>
        <w:numId w:val="4"/>
      </w:numPr>
      <w:jc w:val="both"/>
    </w:pPr>
    <w:rPr>
      <w:lang w:val="en-US" w:eastAsia="en-US"/>
    </w:rPr>
  </w:style>
  <w:style w:type="paragraph" w:styleId="Listenabsatz">
    <w:name w:val="List Paragraph"/>
    <w:basedOn w:val="Standard"/>
    <w:uiPriority w:val="34"/>
    <w:qFormat/>
    <w:rsid w:val="006E4474"/>
    <w:pPr>
      <w:ind w:left="720"/>
      <w:contextualSpacing/>
    </w:pPr>
  </w:style>
  <w:style w:type="paragraph" w:styleId="Kommentartext">
    <w:name w:val="annotation text"/>
    <w:basedOn w:val="Standard"/>
    <w:link w:val="KommentartextZchn"/>
    <w:semiHidden/>
    <w:unhideWhenUsed/>
    <w:rsid w:val="005E71ED"/>
    <w:rPr>
      <w:sz w:val="20"/>
    </w:rPr>
  </w:style>
  <w:style w:type="paragraph" w:styleId="Kommentarthema">
    <w:name w:val="annotation subject"/>
    <w:basedOn w:val="Kommentartext"/>
    <w:next w:val="Kommentartext"/>
    <w:link w:val="KommentarthemaZchn"/>
    <w:semiHidden/>
    <w:unhideWhenUsed/>
    <w:qFormat/>
    <w:rsid w:val="005E71ED"/>
    <w:rPr>
      <w:b/>
      <w:bCs/>
    </w:rPr>
  </w:style>
  <w:style w:type="paragraph" w:customStyle="1" w:styleId="MDPI31text">
    <w:name w:val="MDPI_3.1_text"/>
    <w:uiPriority w:val="99"/>
    <w:qFormat/>
    <w:rsid w:val="00720054"/>
    <w:pPr>
      <w:snapToGrid w:val="0"/>
      <w:spacing w:line="228" w:lineRule="auto"/>
      <w:ind w:left="2608" w:firstLine="425"/>
      <w:jc w:val="both"/>
    </w:pPr>
    <w:rPr>
      <w:rFonts w:ascii="Palatino Linotype" w:hAnsi="Palatino Linotype"/>
      <w:color w:val="000000"/>
      <w:szCs w:val="22"/>
      <w:lang w:val="en-US" w:eastAsia="de-DE" w:bidi="en-US"/>
    </w:rPr>
  </w:style>
  <w:style w:type="table" w:styleId="Tabellenraster">
    <w:name w:val="Table Grid"/>
    <w:basedOn w:val="NormaleTabelle"/>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Standard"/>
    <w:next w:val="Standard"/>
    <w:link w:val="MTDisplayEquationZchn"/>
    <w:rsid w:val="000D38DE"/>
    <w:pPr>
      <w:tabs>
        <w:tab w:val="center" w:pos="4680"/>
        <w:tab w:val="right" w:pos="9360"/>
      </w:tabs>
      <w:ind w:firstLine="289"/>
      <w:jc w:val="both"/>
    </w:pPr>
    <w:rPr>
      <w:bCs/>
      <w:iCs/>
      <w:sz w:val="20"/>
      <w:lang w:eastAsia="ru-RU"/>
    </w:rPr>
  </w:style>
  <w:style w:type="character" w:customStyle="1" w:styleId="MTDisplayEquationZchn">
    <w:name w:val="MTDisplayEquation Zchn"/>
    <w:basedOn w:val="Absatz-Standardschriftart"/>
    <w:link w:val="MTDisplayEquation"/>
    <w:rsid w:val="000D38DE"/>
    <w:rPr>
      <w:bCs/>
      <w:iCs/>
      <w:lang w:val="en-US" w:eastAsia="ru-RU"/>
    </w:rPr>
  </w:style>
  <w:style w:type="character" w:styleId="NichtaufgelsteErwhnung">
    <w:name w:val="Unresolved Mention"/>
    <w:basedOn w:val="Absatz-Standardschriftart"/>
    <w:uiPriority w:val="99"/>
    <w:semiHidden/>
    <w:unhideWhenUsed/>
    <w:rsid w:val="00A16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20.png"/><Relationship Id="rId21" Type="http://schemas.openxmlformats.org/officeDocument/2006/relationships/image" Target="media/image7.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6.png"/><Relationship Id="rId50" Type="http://schemas.openxmlformats.org/officeDocument/2006/relationships/hyperlink" Target="https://doi.org/10.1063/5.0085338" TargetMode="External"/><Relationship Id="rId55" Type="http://schemas.openxmlformats.org/officeDocument/2006/relationships/hyperlink" Target="http://dx.doi.org/10.1179/1743284713Y.000000034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4.png"/><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oleObject" Target="embeddings/oleObject7.bin"/><Relationship Id="rId37" Type="http://schemas.openxmlformats.org/officeDocument/2006/relationships/image" Target="media/image19.png"/><Relationship Id="rId40" Type="http://schemas.openxmlformats.org/officeDocument/2006/relationships/oleObject" Target="embeddings/oleObject11.bin"/><Relationship Id="rId45" Type="http://schemas.openxmlformats.org/officeDocument/2006/relationships/image" Target="media/image24.png"/><Relationship Id="rId53" Type="http://schemas.openxmlformats.org/officeDocument/2006/relationships/hyperlink" Target="https://www.researchgate.net/scientific-contributions/X-Li-2080120313?_sg%5B0%5D=BII2ZHE1B3VFRxvmMRdokZAyxsTOMW1lqWcws6BKhFMDmBPCDx4Dpnj3e1lH5ArKiHPH82o.GE4Znq0XubGSrfVb6IxdXIljVrdlLw8PDVdOhnYtYl3KlyW7fcRFbgPvzpkcYRaouhyInispMx5MTrY8EkG5kg&amp;_sg%5B1%5D=wROXOh5hOsVji8574w_fk8LXwl2UUY5hp_5344asGHm1NWPHolwophXZP2M0XoyBaQ4GVGY.DN0xWgavTRDdCmwaIZerG0FqN0M9MKTimgdjNCFt-YE7ej-6g9qLEo2Vq96p98RN2kBYOAbjLXvbotRI9vBAUw&amp;_tp=eyJjb250ZXh0Ijp7ImZpcnN0UGFnZSI6InB1YmxpY2F0aW9uIiwicGFnZSI6InB1YmxpY2F0aW9uIiwicG9zaXRpb24iOiJwYWdlSGVhZGVyIn19" TargetMode="External"/><Relationship Id="rId58" Type="http://schemas.openxmlformats.org/officeDocument/2006/relationships/hyperlink" Target="./%20https://doi.org/10.1016/j.scriptamat.2013.12.009"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hyperlink" Target="https://doi.org/10.1016/j.jallcom.2024.176707" TargetMode="External"/><Relationship Id="rId56" Type="http://schemas.openxmlformats.org/officeDocument/2006/relationships/hyperlink" Target="./%20https://doi.org/10.1088/1742-6596/2541/1/012054" TargetMode="External"/><Relationship Id="rId8" Type="http://schemas.openxmlformats.org/officeDocument/2006/relationships/webSettings" Target="webSettings.xml"/><Relationship Id="rId51" Type="http://schemas.openxmlformats.org/officeDocument/2006/relationships/hyperlink" Target="https://www.researchgate.net/scientific-contributions/Jingdong-Luan-2072953791?_sg%5B0%5D=BII2ZHE1B3VFRxvmMRdokZAyxsTOMW1lqWcws6BKhFMDmBPCDx4Dpnj3e1lH5ArKiHPH82o.GE4Znq0XubGSrfVb6IxdXIljVrdlLw8PDVdOhnYtYl3KlyW7fcRFbgPvzpkcYRaouhyInispMx5MTrY8EkG5kg&amp;_sg%5B1%5D=wROXOh5hOsVji8574w_fk8LXwl2UUY5hp_5344asGHm1NWPHolwophXZP2M0XoyBaQ4GVGY.DN0xWgavTRDdCmwaIZerG0FqN0M9MKTimgdjNCFt-YE7ej-6g9qLEo2Vq96p98RN2kBYOAbjLXvbotRI9vBAUw" TargetMode="Externa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0.jpeg"/><Relationship Id="rId33" Type="http://schemas.openxmlformats.org/officeDocument/2006/relationships/image" Target="media/image17.emf"/><Relationship Id="rId38" Type="http://schemas.openxmlformats.org/officeDocument/2006/relationships/oleObject" Target="embeddings/oleObject10.bin"/><Relationship Id="rId46" Type="http://schemas.openxmlformats.org/officeDocument/2006/relationships/image" Target="media/image25.png"/><Relationship Id="rId59" Type="http://schemas.openxmlformats.org/officeDocument/2006/relationships/hyperlink" Target="https://doi.org/10.15593/perm.mech/2019.1.13" TargetMode="External"/><Relationship Id="rId20" Type="http://schemas.openxmlformats.org/officeDocument/2006/relationships/oleObject" Target="embeddings/oleObject5.bin"/><Relationship Id="rId41" Type="http://schemas.openxmlformats.org/officeDocument/2006/relationships/image" Target="media/image21.png"/><Relationship Id="rId54" Type="http://schemas.openxmlformats.org/officeDocument/2006/relationships/hyperlink" Target="https://www.researchgate.net/scientific-contributions/Q-Zhang-2067193638?_sg%5B0%5D=BII2ZHE1B3VFRxvmMRdokZAyxsTOMW1lqWcws6BKhFMDmBPCDx4Dpnj3e1lH5ArKiHPH82o.GE4Znq0XubGSrfVb6IxdXIljVrdlLw8PDVdOhnYtYl3KlyW7fcRFbgPvzpkcYRaouhyInispMx5MTrY8EkG5kg&amp;_sg%5B1%5D=wROXOh5hOsVji8574w_fk8LXwl2UUY5hp_5344asGHm1NWPHolwophXZP2M0XoyBaQ4GVGY.DN0xWgavTRDdCmwaIZerG0FqN0M9MKTimgdjNCFt-YE7ej-6g9qLEo2Vq96p98RN2kBYOAbjLXvbotRI9vBAUw&amp;_tp=eyJjb250ZXh0Ijp7ImZpcnN0UGFnZSI6InB1YmxpY2F0aW9uIiwicGFnZSI6InB1YmxpY2F0aW9uIiwicG9zaXRpb24iOiJwYWdlSGVhZGVyIn1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oleObject" Target="embeddings/oleObject9.bin"/><Relationship Id="rId49" Type="http://schemas.openxmlformats.org/officeDocument/2006/relationships/hyperlink" Target="./%20https://doi.org/10.1016/j.jma.2024.03.014" TargetMode="External"/><Relationship Id="rId57" Type="http://schemas.openxmlformats.org/officeDocument/2006/relationships/hyperlink" Target="https://doi.org/10.1016/j.prostr.2024.06.035" TargetMode="External"/><Relationship Id="rId10" Type="http://schemas.openxmlformats.org/officeDocument/2006/relationships/image" Target="media/image1.wmf"/><Relationship Id="rId31" Type="http://schemas.openxmlformats.org/officeDocument/2006/relationships/image" Target="media/image16.emf"/><Relationship Id="rId44" Type="http://schemas.openxmlformats.org/officeDocument/2006/relationships/image" Target="media/image23.png"/><Relationship Id="rId52" Type="http://schemas.openxmlformats.org/officeDocument/2006/relationships/hyperlink" Target="https://www.researchgate.net/profile/Chaoyang-Sun-2?_sg%5B0%5D=BII2ZHE1B3VFRxvmMRdokZAyxsTOMW1lqWcws6BKhFMDmBPCDx4Dpnj3e1lH5ArKiHPH82o.GE4Znq0XubGSrfVb6IxdXIljVrdlLw8PDVdOhnYtYl3KlyW7fcRFbgPvzpkcYRaouhyInispMx5MTrY8EkG5kg&amp;_sg%5B1%5D=wROXOh5hOsVji8574w_fk8LXwl2UUY5hp_5344asGHm1NWPHolwophXZP2M0XoyBaQ4GVGY.DN0xWgavTRDdCmwaIZerG0FqN0M9MKTimgdjNCFt-YE7ej-6g9qLEo2Vq96p98RN2kBYOAbjLXvbotRI9vBAUw&amp;_tp=eyJjb250ZXh0Ijp7ImZpcnN0UGFnZSI6InB1YmxpY2F0aW9uIiwicGFnZSI6InB1YmxpY2F0aW9uIiwicG9zaXRpb24iOiJwYWdlSGVhZGVyIn19"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skrp2006@yandex.ru"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9CD59D96-C1C0-4705-9D5A-51504BD85C67}">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4632</Words>
  <Characters>27613</Characters>
  <Application>Microsoft Office Word</Application>
  <DocSecurity>0</DocSecurity>
  <Lines>431</Lines>
  <Paragraphs>219</Paragraphs>
  <ScaleCrop>false</ScaleCrop>
  <HeadingPairs>
    <vt:vector size="2" baseType="variant">
      <vt:variant>
        <vt:lpstr>Titel</vt:lpstr>
      </vt:variant>
      <vt:variant>
        <vt:i4>1</vt:i4>
      </vt:variant>
    </vt:vector>
  </HeadingPairs>
  <TitlesOfParts>
    <vt:vector size="1" baseType="lpstr">
      <vt:lpstr>Title Goes Here</vt:lpstr>
    </vt:vector>
  </TitlesOfParts>
  <Company>PPI</Company>
  <LinksUpToDate>false</LinksUpToDate>
  <CharactersWithSpaces>32026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dc:description/>
  <cp:lastModifiedBy>TU-Pseudonym 5300993042411274</cp:lastModifiedBy>
  <cp:revision>15</cp:revision>
  <cp:lastPrinted>2011-03-03T08:29:00Z</cp:lastPrinted>
  <dcterms:created xsi:type="dcterms:W3CDTF">2025-09-30T15:16:00Z</dcterms:created>
  <dcterms:modified xsi:type="dcterms:W3CDTF">2025-11-29T11:47:00Z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MTWinEqns">
    <vt:bool>true</vt:bool>
  </property>
</Properties>
</file>