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815EA" w14:textId="5B1415E5" w:rsidR="0016385D" w:rsidRPr="00A16572" w:rsidRDefault="00063263" w:rsidP="00156025">
      <w:pPr>
        <w:pStyle w:val="PaperTitle"/>
      </w:pPr>
      <w:r>
        <w:t xml:space="preserve">Comparative Analysis of the Main Analysis parameters of Domestic and Foreign Standards Seismic Design of Moment-Resisting Frame </w:t>
      </w:r>
      <w:r w:rsidRPr="00156025">
        <w:t>Buildings</w:t>
      </w:r>
    </w:p>
    <w:p w14:paraId="548D96A3" w14:textId="6498E9B6" w:rsidR="00C14B14" w:rsidRDefault="00B526E8" w:rsidP="2F830975">
      <w:pPr>
        <w:pStyle w:val="AuthorName"/>
        <w:rPr>
          <w:sz w:val="20"/>
          <w:lang w:val="en-GB" w:eastAsia="en-GB"/>
        </w:rPr>
      </w:pPr>
      <w:r>
        <w:t>Vladimir Kondratyev</w:t>
      </w:r>
      <w:r>
        <w:rPr>
          <w:vertAlign w:val="superscript"/>
        </w:rPr>
        <w:t>1</w:t>
      </w:r>
      <w:r>
        <w:rPr>
          <w:vertAlign w:val="superscript"/>
        </w:rPr>
        <w:t xml:space="preserve">, </w:t>
      </w:r>
      <w:r>
        <w:rPr>
          <w:vertAlign w:val="superscript"/>
        </w:rPr>
        <w:t>a</w:t>
      </w:r>
      <w:r w:rsidRPr="2F830975">
        <w:rPr>
          <w:vertAlign w:val="superscript"/>
        </w:rPr>
        <w:t>)</w:t>
      </w:r>
      <w:r w:rsidR="0016385D">
        <w:t xml:space="preserve"> and </w:t>
      </w:r>
      <w:r>
        <w:t>Odil Abbasov</w:t>
      </w:r>
      <w:r>
        <w:rPr>
          <w:vertAlign w:val="superscript"/>
        </w:rPr>
        <w:t>2</w:t>
      </w:r>
      <w:r w:rsidRPr="2F830975">
        <w:rPr>
          <w:vertAlign w:val="superscript"/>
        </w:rPr>
        <w:t xml:space="preserve">, </w:t>
      </w:r>
      <w:r>
        <w:rPr>
          <w:vertAlign w:val="superscript"/>
        </w:rPr>
        <w:t>b</w:t>
      </w:r>
      <w:r w:rsidRPr="2F830975">
        <w:rPr>
          <w:vertAlign w:val="superscript"/>
        </w:rPr>
        <w:t>)</w:t>
      </w:r>
    </w:p>
    <w:p w14:paraId="771D6B6C" w14:textId="7C985B27" w:rsidR="00C14B14" w:rsidRDefault="00B42108" w:rsidP="00B42108">
      <w:pPr>
        <w:pStyle w:val="AuthorAffiliation"/>
      </w:pPr>
      <w:r w:rsidRPr="0004017A">
        <w:rPr>
          <w:vertAlign w:val="superscript"/>
          <w:lang w:val="en-GB" w:eastAsia="en-GB"/>
        </w:rPr>
        <w:t>1</w:t>
      </w:r>
      <w:r w:rsidRPr="00B42108">
        <w:rPr>
          <w:i w:val="0"/>
          <w:lang w:val="en-GB" w:eastAsia="en-GB"/>
        </w:rPr>
        <w:t xml:space="preserve"> </w:t>
      </w:r>
      <w:r w:rsidR="00B526E8">
        <w:t xml:space="preserve">Samarkand State University of </w:t>
      </w:r>
      <w:r w:rsidR="00B526E8" w:rsidRPr="00B42108">
        <w:t>Architecture and Civil Engineering</w:t>
      </w:r>
      <w:r w:rsidR="00B526E8">
        <w:t xml:space="preserve">, </w:t>
      </w:r>
      <w:r w:rsidR="00B526E8">
        <w:rPr>
          <w:lang w:val="en-GB" w:eastAsia="en-GB"/>
        </w:rPr>
        <w:t>Samarkand</w:t>
      </w:r>
      <w:r w:rsidR="00B526E8" w:rsidRPr="00B42108">
        <w:rPr>
          <w:lang w:val="en-GB" w:eastAsia="en-GB"/>
        </w:rPr>
        <w:t>, Uzbekistan</w:t>
      </w:r>
    </w:p>
    <w:p w14:paraId="15E5870A" w14:textId="7BEDD921" w:rsidR="00B42108" w:rsidRPr="00075EA6" w:rsidRDefault="00B42108" w:rsidP="00B526E8">
      <w:pPr>
        <w:pStyle w:val="AuthorAffiliation"/>
      </w:pPr>
      <w:r w:rsidRPr="0004017A">
        <w:rPr>
          <w:vertAlign w:val="superscript"/>
        </w:rPr>
        <w:t>2</w:t>
      </w:r>
      <w:r w:rsidR="00B526E8" w:rsidRPr="00B526E8">
        <w:rPr>
          <w:lang w:val="en-GB" w:eastAsia="en-GB"/>
        </w:rPr>
        <w:t xml:space="preserve"> </w:t>
      </w:r>
      <w:r w:rsidR="00B526E8" w:rsidRPr="00B42108">
        <w:rPr>
          <w:lang w:val="en-GB" w:eastAsia="en-GB"/>
        </w:rPr>
        <w:t xml:space="preserve">Scientific &amp; production association «ELXOLDING» Co. Ltd., </w:t>
      </w:r>
      <w:r w:rsidR="00B526E8">
        <w:rPr>
          <w:lang w:val="en-GB" w:eastAsia="en-GB"/>
        </w:rPr>
        <w:t>Samarkand</w:t>
      </w:r>
      <w:r w:rsidR="00B526E8" w:rsidRPr="00B42108">
        <w:rPr>
          <w:lang w:val="en-GB" w:eastAsia="en-GB"/>
        </w:rPr>
        <w:t>, Uzbekistan</w:t>
      </w:r>
    </w:p>
    <w:p w14:paraId="2213E866" w14:textId="2FECFA43" w:rsidR="00B42108" w:rsidRPr="005D1FE0" w:rsidRDefault="005F05CC" w:rsidP="00156025">
      <w:pPr>
        <w:pStyle w:val="AuthorEmail"/>
      </w:pPr>
      <w:r w:rsidRPr="00075EA6">
        <w:br/>
      </w:r>
      <w:r w:rsidR="00B42108" w:rsidRPr="005D1FE0">
        <w:rPr>
          <w:vertAlign w:val="superscript"/>
        </w:rPr>
        <w:t>a)</w:t>
      </w:r>
      <w:r w:rsidR="00AB3755" w:rsidRPr="00AB3755">
        <w:t xml:space="preserve"> </w:t>
      </w:r>
      <w:r w:rsidR="00B526E8" w:rsidRPr="00B42108">
        <w:t xml:space="preserve">corresponding author: </w:t>
      </w:r>
      <w:r w:rsidR="00B526E8" w:rsidRPr="00156025">
        <w:t>vkondratev1958</w:t>
      </w:r>
      <w:r w:rsidR="00B526E8" w:rsidRPr="00352BCC">
        <w:t>@mail.ru</w:t>
      </w:r>
    </w:p>
    <w:p w14:paraId="70C76186" w14:textId="04865163" w:rsidR="00B42108" w:rsidRPr="00352BCC" w:rsidRDefault="00B42108" w:rsidP="00156025">
      <w:pPr>
        <w:pStyle w:val="AuthorEmail"/>
        <w:rPr>
          <w:lang w:val="uz-Cyrl-UZ"/>
        </w:rPr>
      </w:pPr>
      <w:r w:rsidRPr="005D1FE0">
        <w:rPr>
          <w:vertAlign w:val="superscript"/>
        </w:rPr>
        <w:t>b)</w:t>
      </w:r>
      <w:r w:rsidRPr="00B42108">
        <w:t xml:space="preserve"> </w:t>
      </w:r>
      <w:r w:rsidR="00B526E8" w:rsidRPr="005D1FE0">
        <w:t>odilabbosov12@gmail.com</w:t>
      </w:r>
      <w:r w:rsidR="00B526E8" w:rsidRPr="00B42108">
        <w:t xml:space="preserve"> </w:t>
      </w:r>
    </w:p>
    <w:p w14:paraId="22C3F2A8" w14:textId="2C98E103" w:rsidR="0016385D" w:rsidRPr="00075EA6" w:rsidRDefault="0016385D" w:rsidP="00B42108">
      <w:pPr>
        <w:pStyle w:val="Abstract"/>
      </w:pPr>
      <w:r w:rsidRPr="00075EA6">
        <w:rPr>
          <w:b/>
          <w:bCs/>
        </w:rPr>
        <w:t>Abstract.</w:t>
      </w:r>
      <w:r w:rsidRPr="00075EA6">
        <w:t xml:space="preserve"> </w:t>
      </w:r>
      <w:r w:rsidR="00B42108">
        <w:t>The article compares the main calculation parameters for determining seismic loads on moment-resisting frame buildings used in domestic KMK2.01.03-19 [1] and methods used in the standards of Russia, the European Union and the USA. When calculating seismic loads under the same conditions according to the specified standards, a significant discrepancy in the results obtained is observed. As a result of the conducted computational analysis of the two models, the values of seismic loads on frame buildings, determined according to domestic and foreign seismic design standards, were compared.</w:t>
      </w:r>
    </w:p>
    <w:p w14:paraId="5240E3FB" w14:textId="452C7B9C" w:rsidR="003A287B" w:rsidRPr="00075EA6" w:rsidRDefault="00B42108" w:rsidP="00B42108">
      <w:pPr>
        <w:pStyle w:val="1"/>
        <w:rPr>
          <w:sz w:val="20"/>
        </w:rPr>
      </w:pPr>
      <w:r w:rsidRPr="00B42108">
        <w:t>INTRODUCTION</w:t>
      </w:r>
    </w:p>
    <w:p w14:paraId="171AEF03" w14:textId="22275173" w:rsidR="00B42108" w:rsidRDefault="00B42108" w:rsidP="004E4E0D">
      <w:pPr>
        <w:pStyle w:val="Paragraph"/>
      </w:pPr>
      <w:r>
        <w:t>While work</w:t>
      </w:r>
      <w:r w:rsidR="004E4E0D">
        <w:t xml:space="preserve">ing on changes and additions to </w:t>
      </w:r>
      <w:r w:rsidR="002D2DE9">
        <w:t>KMK</w:t>
      </w:r>
      <w:r w:rsidR="00DB790D">
        <w:t xml:space="preserve"> 2.01.03-19 </w:t>
      </w:r>
      <w:r w:rsidR="00DB790D" w:rsidRPr="00DB790D">
        <w:t>«</w:t>
      </w:r>
      <w:r>
        <w:t>Construction in seismic areas</w:t>
      </w:r>
      <w:r w:rsidR="00DB790D" w:rsidRPr="00DB790D">
        <w:t>»</w:t>
      </w:r>
      <w:r>
        <w:t xml:space="preserve"> [1] The important is-sue of seismic loads remained virtually untouched. Given the widespread construction of high-rise frame buildings, we believe this issue remains relevant. Therefore, to assess the situation, the authors deemed it nec</w:t>
      </w:r>
      <w:r w:rsidR="005D1FE0">
        <w:t>es</w:t>
      </w:r>
      <w:r>
        <w:t>sary to conduct comparative calculations using international standards.</w:t>
      </w:r>
    </w:p>
    <w:p w14:paraId="7F501403" w14:textId="77777777" w:rsidR="00B42108" w:rsidRDefault="00B42108" w:rsidP="00B42108">
      <w:pPr>
        <w:pStyle w:val="Paragraph"/>
      </w:pPr>
      <w:r>
        <w:t>Criteria to select foreign design standards to be compared with KMK, the authors chose the following:</w:t>
      </w:r>
    </w:p>
    <w:p w14:paraId="3E1CB3B2" w14:textId="3F6151C0" w:rsidR="00B42108" w:rsidRDefault="00B42108" w:rsidP="00B42108">
      <w:pPr>
        <w:pStyle w:val="Paragraph"/>
      </w:pPr>
      <w:r>
        <w:t>- a high level of development of the scien</w:t>
      </w:r>
      <w:r w:rsidR="005D1FE0">
        <w:t>tific base and practical experi</w:t>
      </w:r>
      <w:r>
        <w:t>ence in applying selected foreign standards in the design of earthquake-resistant buildings;</w:t>
      </w:r>
    </w:p>
    <w:p w14:paraId="6E269033" w14:textId="2F2F0FC4" w:rsidR="00B42108" w:rsidRDefault="00B42108" w:rsidP="00B42108">
      <w:pPr>
        <w:pStyle w:val="Paragraph"/>
      </w:pPr>
      <w:r>
        <w:t xml:space="preserve">- the widespread use of selected norms </w:t>
      </w:r>
      <w:r w:rsidR="005D1FE0">
        <w:t>not only in the respective coun</w:t>
      </w:r>
      <w:r>
        <w:t>tries where they are legally in force, but also in many other states geo-graphically distant from them.</w:t>
      </w:r>
    </w:p>
    <w:p w14:paraId="5876DAE1" w14:textId="23891A30" w:rsidR="00B42108" w:rsidRDefault="00B42108" w:rsidP="00B42108">
      <w:pPr>
        <w:pStyle w:val="Paragraph"/>
      </w:pPr>
      <w:r>
        <w:t>According to the authors the following foreign standards meet the specified criteria:</w:t>
      </w:r>
    </w:p>
    <w:p w14:paraId="62B7C85F" w14:textId="23D0A570" w:rsidR="00B42108" w:rsidRDefault="00B42108" w:rsidP="00B42108">
      <w:pPr>
        <w:pStyle w:val="Paragraph"/>
      </w:pPr>
      <w:r>
        <w:t xml:space="preserve">- SP 14.13330.2018 </w:t>
      </w:r>
      <w:r w:rsidR="00DB790D" w:rsidRPr="00DB790D">
        <w:t>«</w:t>
      </w:r>
      <w:r>
        <w:t>Construction in seismic areas</w:t>
      </w:r>
      <w:r w:rsidR="00DB790D" w:rsidRPr="00DB790D">
        <w:t xml:space="preserve">» </w:t>
      </w:r>
      <w:r>
        <w:t xml:space="preserve">[2] are an up-dated version of </w:t>
      </w:r>
      <w:proofErr w:type="spellStart"/>
      <w:r>
        <w:t>SNiP</w:t>
      </w:r>
      <w:proofErr w:type="spellEnd"/>
      <w:r>
        <w:t xml:space="preserve"> II-7-81*, which largely became the basis for the standards of most states in the territory of the former USSR;</w:t>
      </w:r>
    </w:p>
    <w:p w14:paraId="3F8ECE29" w14:textId="0C6155D9" w:rsidR="00B42108" w:rsidRDefault="00B42108" w:rsidP="00B42108">
      <w:pPr>
        <w:pStyle w:val="Paragraph"/>
      </w:pPr>
      <w:r>
        <w:t>- Eurocode 8 (EN 1998-1-2004/2012) [3]– operates in the territory of the European Union countries, has bee</w:t>
      </w:r>
      <w:r w:rsidR="005D1FE0">
        <w:t>n implemented or is being imple</w:t>
      </w:r>
      <w:r>
        <w:t>mented in Belarus, Ukraine, Kazakhstan;</w:t>
      </w:r>
    </w:p>
    <w:p w14:paraId="6487D914" w14:textId="368DEE70" w:rsidR="00B42108" w:rsidRDefault="00B42108" w:rsidP="00B42108">
      <w:pPr>
        <w:pStyle w:val="Paragraph"/>
      </w:pPr>
      <w:r>
        <w:t xml:space="preserve">- Uniform Building Code (UBC-97 </w:t>
      </w:r>
      <w:r w:rsidR="005D1FE0">
        <w:t>– USA) [4] - one of the most au</w:t>
      </w:r>
      <w:r>
        <w:t>thoritative normative documents in the field of earthquake engineering, which was the result of many years of joint work between the American Society of Civil Engineers (ASCE) and the Society of Civil Engineers of California (SEAOC). UBC-97 became the prototype for national codes in India, Pakistan, the Arab countries of the Middle East, and countries in Southeast Asia and the Pacific region;</w:t>
      </w:r>
    </w:p>
    <w:p w14:paraId="1E7702EE" w14:textId="41B56C9A" w:rsidR="00B1000D" w:rsidRDefault="005D1FE0" w:rsidP="00B42108">
      <w:pPr>
        <w:pStyle w:val="Paragraph"/>
      </w:pPr>
      <w:r>
        <w:t xml:space="preserve">- </w:t>
      </w:r>
      <w:r w:rsidR="00B42108">
        <w:t xml:space="preserve">ASCE-7-10 (7-16, 7-22) </w:t>
      </w:r>
      <w:r w:rsidR="00DB790D" w:rsidRPr="00DB790D">
        <w:t>«</w:t>
      </w:r>
      <w:r w:rsidR="00B42108">
        <w:t>Minimum design loads for buildings and structures</w:t>
      </w:r>
      <w:r w:rsidR="00DB790D" w:rsidRPr="00DB790D">
        <w:t>»</w:t>
      </w:r>
      <w:r>
        <w:t xml:space="preserve"> </w:t>
      </w:r>
      <w:r w:rsidR="00B42108">
        <w:t xml:space="preserve">[5]-The USA equivalent of the </w:t>
      </w:r>
      <w:r w:rsidR="00DB790D" w:rsidRPr="00DB790D">
        <w:t>«</w:t>
      </w:r>
      <w:r w:rsidR="00B42108">
        <w:t>Loads and Impacts</w:t>
      </w:r>
      <w:r w:rsidR="00DB790D" w:rsidRPr="00DB790D">
        <w:t>»</w:t>
      </w:r>
      <w:r w:rsidR="00B42108">
        <w:t xml:space="preserve"> code, in which the seismic loads section was modernized to incorporate a database created using probabilistic seismic hazard analysis (PSHA) for the entire United States and the implementation of new information </w:t>
      </w:r>
      <w:r w:rsidR="00DB790D">
        <w:t>tech</w:t>
      </w:r>
      <w:r w:rsidR="00B42108">
        <w:t xml:space="preserve">nologies in design. These codes have been or are being implemented in Asian countries that previously adopted UBC-97. </w:t>
      </w:r>
    </w:p>
    <w:p w14:paraId="6FC16BBB" w14:textId="096DD08B" w:rsidR="00B42108" w:rsidRDefault="00B42108" w:rsidP="00B42108">
      <w:pPr>
        <w:pStyle w:val="1"/>
      </w:pPr>
      <w:r w:rsidRPr="00B42108">
        <w:lastRenderedPageBreak/>
        <w:t>METHODOLOGY OF COMPARATIVE ANALYSIS</w:t>
      </w:r>
    </w:p>
    <w:p w14:paraId="5979D97C" w14:textId="69D03A84" w:rsidR="00B42108" w:rsidRDefault="00B42108" w:rsidP="00B42108">
      <w:pPr>
        <w:pStyle w:val="Paragraph"/>
      </w:pPr>
      <w:r>
        <w:t>Structures have the ability to dissipate seismic energy through the nonlinear behavior of their elements and other mechanisms. This ability allows for the avoidance of explicit nonlinear analysis during design, by performing an elastic analysis based on a response spectrum whose ordinate values are scaled down relative to those of the elastic response spectrum.</w:t>
      </w:r>
    </w:p>
    <w:p w14:paraId="32994277" w14:textId="6BA4B29E" w:rsidR="00B42108" w:rsidRDefault="00B42108" w:rsidP="00B42108">
      <w:pPr>
        <w:pStyle w:val="Paragraph"/>
      </w:pPr>
      <w:r>
        <w:t xml:space="preserve">The response spectrum with reduced ordinate values is hereinafter referred to as the </w:t>
      </w:r>
      <w:r w:rsidR="00DB790D" w:rsidRPr="00DB790D">
        <w:t>«</w:t>
      </w:r>
      <w:r>
        <w:t>design spe</w:t>
      </w:r>
      <w:r w:rsidR="00DB790D">
        <w:t>ctrum</w:t>
      </w:r>
      <w:r w:rsidR="00DB790D" w:rsidRPr="00DB790D">
        <w:t>»</w:t>
      </w:r>
      <w:r w:rsidR="00DB790D">
        <w:t>.</w:t>
      </w:r>
      <w:r>
        <w:t xml:space="preserve"> Reduction of the elastic response spectrum is achieved by introducing reduction factors in various variations, which will be discussed below.</w:t>
      </w:r>
    </w:p>
    <w:p w14:paraId="6EDBEB7E" w14:textId="50798E31" w:rsidR="00B42108" w:rsidRDefault="00B42108" w:rsidP="00B42108">
      <w:pPr>
        <w:pStyle w:val="Paragraph"/>
      </w:pPr>
      <w:r>
        <w:t>Based on the above, as well as the widespread use of this technique in international design practice, the methodology of the comparative analysis used consisted of calculating seismic loads and comparing them for 2 models of reinforced concrete moment-resisting frame structures ac-cording to 5 regulatory documents, taking into account the main parameters, which were adopted as:</w:t>
      </w:r>
    </w:p>
    <w:p w14:paraId="6B2CC199" w14:textId="7DEFED6D" w:rsidR="00B42108" w:rsidRDefault="00624B95" w:rsidP="00B1000D">
      <w:pPr>
        <w:pStyle w:val="Paragraph"/>
      </w:pPr>
      <w:r>
        <w:t xml:space="preserve">1. </w:t>
      </w:r>
      <w:r w:rsidR="00B42108" w:rsidRPr="00B42108">
        <w:t xml:space="preserve">Design </w:t>
      </w:r>
      <w:r w:rsidR="000A650D">
        <w:t>spectrum</w:t>
      </w:r>
      <w:r w:rsidR="00B42108" w:rsidRPr="00B42108">
        <w:t xml:space="preserve"> curve, as a derivative o</w:t>
      </w:r>
      <w:r w:rsidR="00B42108">
        <w:t xml:space="preserve">f the standardized elastic </w:t>
      </w:r>
      <w:r w:rsidR="000A650D">
        <w:t>spectrum</w:t>
      </w:r>
      <w:r w:rsidR="00B42108" w:rsidRPr="00B42108">
        <w:t xml:space="preserve"> curve, obtained taking into account </w:t>
      </w:r>
      <w:r w:rsidR="00B42108">
        <w:t>the relevant design factors (re</w:t>
      </w:r>
      <w:r w:rsidR="00B42108" w:rsidRPr="00B42108">
        <w:t xml:space="preserve">sponsibility, regularity, dissipation, and others), modified by multiplication (or division – for European and American codes) by the reduction factors. The procedure for converting from the elastic to the design </w:t>
      </w:r>
      <w:r w:rsidR="000A650D">
        <w:t>spectrum</w:t>
      </w:r>
      <w:r w:rsidR="00B42108">
        <w:t xml:space="preserve"> curve is clear from Fig.</w:t>
      </w:r>
      <w:r w:rsidR="00B42108" w:rsidRPr="00B42108">
        <w:t>1.</w:t>
      </w:r>
    </w:p>
    <w:tbl>
      <w:tblPr>
        <w:tblStyle w:val="a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B42108" w14:paraId="4908009A" w14:textId="77777777" w:rsidTr="00B42108">
        <w:trPr>
          <w:jc w:val="center"/>
        </w:trPr>
        <w:tc>
          <w:tcPr>
            <w:tcW w:w="9350" w:type="dxa"/>
          </w:tcPr>
          <w:p w14:paraId="13874FAB" w14:textId="5FE5F316" w:rsidR="00B42108" w:rsidRDefault="00B42108" w:rsidP="005F05CC">
            <w:pPr>
              <w:pStyle w:val="Figure"/>
              <w:spacing w:before="120"/>
            </w:pPr>
            <w:r>
              <w:rPr>
                <w:noProof/>
                <w:lang w:val="ru-RU" w:eastAsia="ja-JP"/>
              </w:rPr>
              <w:drawing>
                <wp:inline distT="0" distB="0" distL="0" distR="0" wp14:anchorId="13AB8423" wp14:editId="440C82E1">
                  <wp:extent cx="3773653" cy="22907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34860" cy="2388609"/>
                          </a:xfrm>
                          <a:prstGeom prst="rect">
                            <a:avLst/>
                          </a:prstGeom>
                          <a:noFill/>
                        </pic:spPr>
                      </pic:pic>
                    </a:graphicData>
                  </a:graphic>
                </wp:inline>
              </w:drawing>
            </w:r>
          </w:p>
        </w:tc>
      </w:tr>
    </w:tbl>
    <w:p w14:paraId="13E92237" w14:textId="78745ADE" w:rsidR="00B42108" w:rsidRDefault="00B42108" w:rsidP="00B42108">
      <w:pPr>
        <w:pStyle w:val="FigureCaption"/>
      </w:pPr>
      <w:r w:rsidRPr="00B42108">
        <w:rPr>
          <w:b/>
        </w:rPr>
        <w:t>FIGURE 1.</w:t>
      </w:r>
      <w:r w:rsidRPr="00B42108">
        <w:t xml:space="preserve"> Scheme of transition from elastic to calculated </w:t>
      </w:r>
      <w:r w:rsidR="000A650D">
        <w:t>spectrum</w:t>
      </w:r>
      <w:r w:rsidRPr="00B42108">
        <w:t xml:space="preserve"> curve.</w:t>
      </w:r>
    </w:p>
    <w:p w14:paraId="34074C96" w14:textId="6C3ACCBE" w:rsidR="00B42108" w:rsidRDefault="00B42108" w:rsidP="00DB790D">
      <w:pPr>
        <w:pStyle w:val="Paragraph"/>
        <w:spacing w:before="120"/>
      </w:pPr>
      <w:r w:rsidRPr="00B42108">
        <w:t>For visual examination, the elastic spe</w:t>
      </w:r>
      <w:r w:rsidR="005D1FE0">
        <w:t>ctr</w:t>
      </w:r>
      <w:r w:rsidR="003F370E">
        <w:t>um</w:t>
      </w:r>
      <w:r w:rsidR="005D1FE0">
        <w:t xml:space="preserve"> curves for the five stand</w:t>
      </w:r>
      <w:r w:rsidRPr="00B42108">
        <w:t>ards under consideration for the first of the models under consideration are presented in Figure 2. Curves acco</w:t>
      </w:r>
      <w:r>
        <w:t xml:space="preserve">rding to KMK </w:t>
      </w:r>
      <w:r w:rsidRPr="00B42108">
        <w:t xml:space="preserve">[1] and SP-14 are generated for an 8-intensity </w:t>
      </w:r>
      <w:r w:rsidR="005F05CC" w:rsidRPr="00B42108">
        <w:t>degree</w:t>
      </w:r>
      <w:r w:rsidRPr="00B42108">
        <w:t xml:space="preserve"> zone by MSK scale - </w:t>
      </w:r>
      <w:proofErr w:type="spellStart"/>
      <w:r w:rsidRPr="00B42108">
        <w:t>macroseismic</w:t>
      </w:r>
      <w:proofErr w:type="spellEnd"/>
      <w:r w:rsidRPr="00B42108">
        <w:t xml:space="preserve"> intensity scale and type «2» soils, and for European and USA standards – for zones with a pe</w:t>
      </w:r>
      <w:r w:rsidR="005D1FE0">
        <w:t xml:space="preserve">ak ground acceleration of PGA=0.2g and type </w:t>
      </w:r>
      <w:r w:rsidR="005D1FE0" w:rsidRPr="005D1FE0">
        <w:t>«</w:t>
      </w:r>
      <w:r w:rsidR="005D1FE0">
        <w:t>C</w:t>
      </w:r>
      <w:r w:rsidR="005D1FE0" w:rsidRPr="005D1FE0">
        <w:t>»</w:t>
      </w:r>
      <w:r w:rsidRPr="00B42108">
        <w:t xml:space="preserve"> soils accord</w:t>
      </w:r>
      <w:r w:rsidR="005D1FE0">
        <w:t xml:space="preserve">ing to Eurocode 8 and type </w:t>
      </w:r>
      <w:r w:rsidR="005D1FE0" w:rsidRPr="005D1FE0">
        <w:t>«</w:t>
      </w:r>
      <w:r w:rsidRPr="005D1FE0">
        <w:t>D</w:t>
      </w:r>
      <w:r w:rsidR="005D1FE0" w:rsidRPr="005D1FE0">
        <w:t>»</w:t>
      </w:r>
      <w:r w:rsidRPr="00B42108">
        <w:t xml:space="preserve"> for UBC-97 and ASCE 7-10. When generating the curve according to SP-14-2018, the dissipation co-efficient</w:t>
      </w:r>
      <w:r>
        <w:t xml:space="preserve"> </w:t>
      </w:r>
      <w:proofErr w:type="spellStart"/>
      <w:r w:rsidRPr="005D1FE0">
        <w:rPr>
          <w:i/>
        </w:rPr>
        <w:t>K</w:t>
      </w:r>
      <w:r w:rsidRPr="005D1FE0">
        <w:rPr>
          <w:i/>
          <w:vertAlign w:val="subscript"/>
        </w:rPr>
        <w:t>ψ</w:t>
      </w:r>
      <w:proofErr w:type="spellEnd"/>
      <w:r>
        <w:t>=1,3 was taken into account</w:t>
      </w:r>
      <w:r w:rsidRPr="00B42108">
        <w:t>.</w:t>
      </w:r>
      <w:r>
        <w:t xml:space="preserve"> </w:t>
      </w:r>
    </w:p>
    <w:p w14:paraId="4C6BC940" w14:textId="77777777" w:rsidR="005F05CC" w:rsidRDefault="005F05CC" w:rsidP="005F05CC">
      <w:pPr>
        <w:pStyle w:val="Paragraph"/>
      </w:pPr>
      <w:r>
        <w:t xml:space="preserve">2. </w:t>
      </w:r>
      <w:r w:rsidRPr="00624B95">
        <w:t>Reduction coefficients in the following variations:</w:t>
      </w:r>
    </w:p>
    <w:p w14:paraId="5E146CCC" w14:textId="77777777" w:rsidR="005F05CC" w:rsidRDefault="005F05CC" w:rsidP="005F05CC">
      <w:pPr>
        <w:pStyle w:val="Paragraph"/>
      </w:pPr>
      <w:r>
        <w:t xml:space="preserve">- KMK 2.01.03-19 [1] - </w:t>
      </w:r>
      <w:r w:rsidRPr="00624B95">
        <w:rPr>
          <w:i/>
        </w:rPr>
        <w:t>r</w:t>
      </w:r>
      <w:r>
        <w:t xml:space="preserve"> is the reduction coefficient determined ac-cording to clause 2.22; for reinforced concrete columns at the level of inelastic deformations </w:t>
      </w:r>
      <w:r w:rsidRPr="00624B95">
        <w:rPr>
          <w:i/>
        </w:rPr>
        <w:t>μ</w:t>
      </w:r>
      <w:r>
        <w:t xml:space="preserve">=5, </w:t>
      </w:r>
      <w:r w:rsidRPr="00624B95">
        <w:rPr>
          <w:i/>
        </w:rPr>
        <w:t>r</w:t>
      </w:r>
      <w:r>
        <w:t>=0.85</w:t>
      </w:r>
      <w:r w:rsidRPr="005D1FE0">
        <w:rPr>
          <w:i/>
        </w:rPr>
        <w:t>μ</w:t>
      </w:r>
      <w:r w:rsidRPr="003F370E">
        <w:rPr>
          <w:vertAlign w:val="superscript"/>
        </w:rPr>
        <w:t>(-0.67)</w:t>
      </w:r>
      <w:r>
        <w:t>=0.29;</w:t>
      </w:r>
    </w:p>
    <w:p w14:paraId="509EB210" w14:textId="77777777" w:rsidR="005F05CC" w:rsidRDefault="005F05CC" w:rsidP="005F05CC">
      <w:pPr>
        <w:pStyle w:val="Paragraph"/>
      </w:pPr>
      <w:r>
        <w:t xml:space="preserve">- SP-14-2018 -Coefficient </w:t>
      </w:r>
      <w:r w:rsidRPr="00624B95">
        <w:rPr>
          <w:i/>
        </w:rPr>
        <w:t>K</w:t>
      </w:r>
      <w:r w:rsidRPr="00624B95">
        <w:rPr>
          <w:vertAlign w:val="subscript"/>
        </w:rPr>
        <w:t>1</w:t>
      </w:r>
      <w:r>
        <w:t xml:space="preserve">, taking into account the permissible damage to buildings and structures according to Table 5.2 for buildings with a reinforced concrete frame without vertical diaphragms or ties </w:t>
      </w:r>
      <w:r w:rsidRPr="00624B95">
        <w:rPr>
          <w:i/>
        </w:rPr>
        <w:t>K</w:t>
      </w:r>
      <w:r w:rsidRPr="00624B95">
        <w:rPr>
          <w:vertAlign w:val="subscript"/>
        </w:rPr>
        <w:t>1</w:t>
      </w:r>
      <w:r>
        <w:t>=0.35;</w:t>
      </w:r>
    </w:p>
    <w:p w14:paraId="7321F57D" w14:textId="77777777" w:rsidR="005F05CC" w:rsidRDefault="005F05CC" w:rsidP="005F05CC">
      <w:pPr>
        <w:pStyle w:val="Paragraph"/>
      </w:pPr>
      <w:r>
        <w:t xml:space="preserve">- Eurocode 8 - behavior factor q, determined according to clause 5.2.2.2 and recommended for reinforced concrete moment-resisting frames </w:t>
      </w:r>
      <w:r w:rsidRPr="00624B95">
        <w:rPr>
          <w:i/>
        </w:rPr>
        <w:t>q</w:t>
      </w:r>
      <w:r>
        <w:t xml:space="preserve">=3. Taking into account that </w:t>
      </w:r>
      <w:r w:rsidRPr="00624B95">
        <w:rPr>
          <w:i/>
        </w:rPr>
        <w:t>r</w:t>
      </w:r>
      <w:r>
        <w:t>=1/</w:t>
      </w:r>
      <w:r w:rsidRPr="00624B95">
        <w:rPr>
          <w:i/>
        </w:rPr>
        <w:t>q</w:t>
      </w:r>
      <w:r>
        <w:t xml:space="preserve">, in the European edition the reduction factor </w:t>
      </w:r>
      <w:r w:rsidRPr="00624B95">
        <w:rPr>
          <w:i/>
        </w:rPr>
        <w:t>r</w:t>
      </w:r>
      <w:r>
        <w:t>=0.33;</w:t>
      </w:r>
    </w:p>
    <w:p w14:paraId="78D3A8E7" w14:textId="2F407D97" w:rsidR="005F05CC" w:rsidRDefault="005F05CC" w:rsidP="005F05CC">
      <w:pPr>
        <w:pStyle w:val="Paragraph"/>
      </w:pPr>
      <w:r>
        <w:t xml:space="preserve">- UBC-97 and ASCE 7-10 – response modification factor </w:t>
      </w:r>
      <w:r w:rsidRPr="00624B95">
        <w:rPr>
          <w:i/>
        </w:rPr>
        <w:t>R</w:t>
      </w:r>
      <w:r>
        <w:t xml:space="preserve">, an analogue of the European behavior factor </w:t>
      </w:r>
      <w:r w:rsidRPr="00624B95">
        <w:rPr>
          <w:i/>
        </w:rPr>
        <w:t>q</w:t>
      </w:r>
      <w:r>
        <w:t xml:space="preserve">. In the latest editions of the standards for reinforced concrete moment-resisting frame structures, R=3 is recommended, just like in Eurocode 8. That is, the reduction coefficient in the American edition is </w:t>
      </w:r>
      <w:r w:rsidRPr="00624B95">
        <w:rPr>
          <w:i/>
        </w:rPr>
        <w:t>r</w:t>
      </w:r>
      <w:r>
        <w:t>=1/</w:t>
      </w:r>
      <w:r w:rsidRPr="00624B95">
        <w:rPr>
          <w:i/>
        </w:rPr>
        <w:t>R</w:t>
      </w:r>
      <w:r>
        <w:t>=0.33</w:t>
      </w:r>
      <w:r w:rsidRPr="00B526E8">
        <w:t>.</w:t>
      </w:r>
    </w:p>
    <w:p w14:paraId="0DA1AFF5" w14:textId="77777777" w:rsidR="005F05CC" w:rsidRDefault="005F05CC" w:rsidP="005F05CC">
      <w:pPr>
        <w:pStyle w:val="Paragraph"/>
      </w:pPr>
      <w:r>
        <w:t>3. Soil conditions – Soil classification for selecting the spectrum curve type, despite its importance, is highly specific and varies across countries. For the purposes of this analysis, soil type «2» for 8-intensity degree zone in Tashkent was adopted, and we a priori assume that, in terms of shear wave velocity, V</w:t>
      </w:r>
      <w:r w:rsidRPr="003F370E">
        <w:rPr>
          <w:vertAlign w:val="subscript"/>
        </w:rPr>
        <w:t>s30</w:t>
      </w:r>
      <w:r>
        <w:t xml:space="preserve"> is equivalent to soil type «2» </w:t>
      </w:r>
      <w:r>
        <w:lastRenderedPageBreak/>
        <w:t xml:space="preserve">according to SP-14, as well as soil type </w:t>
      </w:r>
      <w:r w:rsidRPr="00624B95">
        <w:t>«</w:t>
      </w:r>
      <w:r w:rsidRPr="00DB790D">
        <w:t>C</w:t>
      </w:r>
      <w:r w:rsidRPr="00624B95">
        <w:t>»</w:t>
      </w:r>
      <w:r>
        <w:t xml:space="preserve"> according to Eurocode 8 and soil type </w:t>
      </w:r>
      <w:r w:rsidRPr="00624B95">
        <w:t>«</w:t>
      </w:r>
      <w:r>
        <w:t>D</w:t>
      </w:r>
      <w:r w:rsidRPr="00624B95">
        <w:t>»</w:t>
      </w:r>
      <w:r>
        <w:t xml:space="preserve"> ac-cording to UBC-97 and ASCE 7-10, for which 180 m/s&lt;</w:t>
      </w:r>
      <w:r w:rsidRPr="00624B95">
        <w:rPr>
          <w:i/>
        </w:rPr>
        <w:t>V</w:t>
      </w:r>
      <w:r w:rsidRPr="00624B95">
        <w:rPr>
          <w:i/>
          <w:vertAlign w:val="subscript"/>
        </w:rPr>
        <w:t>s</w:t>
      </w:r>
      <w:r w:rsidRPr="003F370E">
        <w:rPr>
          <w:vertAlign w:val="subscript"/>
        </w:rPr>
        <w:t>30</w:t>
      </w:r>
      <w:r>
        <w:t>&lt;360 m/s.</w:t>
      </w:r>
    </w:p>
    <w:tbl>
      <w:tblPr>
        <w:tblStyle w:val="a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624B95" w14:paraId="352593D0" w14:textId="77777777" w:rsidTr="00DC70A0">
        <w:trPr>
          <w:jc w:val="center"/>
        </w:trPr>
        <w:tc>
          <w:tcPr>
            <w:tcW w:w="9360" w:type="dxa"/>
          </w:tcPr>
          <w:p w14:paraId="52AF964B" w14:textId="42FDECC0" w:rsidR="00624B95" w:rsidRPr="00B744C5" w:rsidRDefault="00B744C5" w:rsidP="00156025">
            <w:pPr>
              <w:pStyle w:val="Figure"/>
            </w:pPr>
            <w:r>
              <w:rPr>
                <w:noProof/>
                <w:lang w:val="ru-RU" w:eastAsia="ja-JP"/>
              </w:rPr>
              <w:drawing>
                <wp:inline distT="0" distB="0" distL="0" distR="0" wp14:anchorId="22705393" wp14:editId="74B4EC33">
                  <wp:extent cx="5549689" cy="2890520"/>
                  <wp:effectExtent l="0" t="0" r="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638"/>
                          <a:stretch/>
                        </pic:blipFill>
                        <pic:spPr bwMode="auto">
                          <a:xfrm>
                            <a:off x="0" y="0"/>
                            <a:ext cx="5559536" cy="2895649"/>
                          </a:xfrm>
                          <a:prstGeom prst="rect">
                            <a:avLst/>
                          </a:prstGeom>
                          <a:ln>
                            <a:noFill/>
                          </a:ln>
                          <a:extLst>
                            <a:ext uri="{53640926-AAD7-44D8-BBD7-CCE9431645EC}">
                              <a14:shadowObscured xmlns:a14="http://schemas.microsoft.com/office/drawing/2010/main"/>
                            </a:ext>
                          </a:extLst>
                        </pic:spPr>
                      </pic:pic>
                    </a:graphicData>
                  </a:graphic>
                </wp:inline>
              </w:drawing>
            </w:r>
          </w:p>
        </w:tc>
      </w:tr>
      <w:tr w:rsidR="00DC70A0" w14:paraId="7B7D516D" w14:textId="77777777" w:rsidTr="00DC70A0">
        <w:trPr>
          <w:jc w:val="center"/>
        </w:trPr>
        <w:tc>
          <w:tcPr>
            <w:tcW w:w="9360" w:type="dxa"/>
          </w:tcPr>
          <w:tbl>
            <w:tblPr>
              <w:tblStyle w:val="a8"/>
              <w:tblW w:w="0" w:type="auto"/>
              <w:jc w:val="center"/>
              <w:tblLook w:val="04A0" w:firstRow="1" w:lastRow="0" w:firstColumn="1" w:lastColumn="0" w:noHBand="0" w:noVBand="1"/>
            </w:tblPr>
            <w:tblGrid>
              <w:gridCol w:w="2122"/>
              <w:gridCol w:w="1671"/>
              <w:gridCol w:w="1645"/>
              <w:gridCol w:w="1559"/>
              <w:gridCol w:w="1869"/>
            </w:tblGrid>
            <w:tr w:rsidR="00DC70A0" w14:paraId="50F9CA8C" w14:textId="77777777" w:rsidTr="00AB2B84">
              <w:trPr>
                <w:jc w:val="center"/>
              </w:trPr>
              <w:tc>
                <w:tcPr>
                  <w:tcW w:w="2122" w:type="dxa"/>
                </w:tcPr>
                <w:p w14:paraId="11A9BA30" w14:textId="77777777" w:rsidR="00DC70A0" w:rsidRPr="00DC70A0" w:rsidRDefault="00DC70A0" w:rsidP="00DC70A0">
                  <w:pPr>
                    <w:jc w:val="center"/>
                    <w:rPr>
                      <w:sz w:val="20"/>
                    </w:rPr>
                  </w:pPr>
                  <w:r w:rsidRPr="00DC70A0">
                    <w:rPr>
                      <w:sz w:val="20"/>
                    </w:rPr>
                    <w:t>КМК 2.01.03-19</w:t>
                  </w:r>
                </w:p>
              </w:tc>
              <w:tc>
                <w:tcPr>
                  <w:tcW w:w="1671" w:type="dxa"/>
                </w:tcPr>
                <w:p w14:paraId="37587305" w14:textId="77777777" w:rsidR="00DC70A0" w:rsidRPr="00DC70A0" w:rsidRDefault="00DC70A0" w:rsidP="00DC70A0">
                  <w:pPr>
                    <w:jc w:val="center"/>
                    <w:rPr>
                      <w:sz w:val="20"/>
                      <w:szCs w:val="26"/>
                    </w:rPr>
                  </w:pPr>
                  <w:r w:rsidRPr="00DC70A0">
                    <w:rPr>
                      <w:sz w:val="20"/>
                      <w:szCs w:val="26"/>
                    </w:rPr>
                    <w:t>SP-14-2018</w:t>
                  </w:r>
                </w:p>
              </w:tc>
              <w:tc>
                <w:tcPr>
                  <w:tcW w:w="1645" w:type="dxa"/>
                </w:tcPr>
                <w:p w14:paraId="57414767" w14:textId="77777777" w:rsidR="00DC70A0" w:rsidRPr="00DC70A0" w:rsidRDefault="00DC70A0" w:rsidP="00DC70A0">
                  <w:pPr>
                    <w:jc w:val="center"/>
                    <w:rPr>
                      <w:sz w:val="20"/>
                      <w:szCs w:val="26"/>
                    </w:rPr>
                  </w:pPr>
                  <w:r w:rsidRPr="00DC70A0">
                    <w:rPr>
                      <w:sz w:val="20"/>
                      <w:szCs w:val="26"/>
                    </w:rPr>
                    <w:t>Eurocode-8</w:t>
                  </w:r>
                </w:p>
              </w:tc>
              <w:tc>
                <w:tcPr>
                  <w:tcW w:w="1559" w:type="dxa"/>
                </w:tcPr>
                <w:p w14:paraId="7E5D2A48" w14:textId="77777777" w:rsidR="00DC70A0" w:rsidRPr="00DC70A0" w:rsidRDefault="00DC70A0" w:rsidP="00DC70A0">
                  <w:pPr>
                    <w:jc w:val="center"/>
                    <w:rPr>
                      <w:sz w:val="20"/>
                      <w:szCs w:val="26"/>
                    </w:rPr>
                  </w:pPr>
                  <w:r w:rsidRPr="00DC70A0">
                    <w:rPr>
                      <w:sz w:val="20"/>
                      <w:szCs w:val="26"/>
                    </w:rPr>
                    <w:t>UBC-97</w:t>
                  </w:r>
                </w:p>
              </w:tc>
              <w:tc>
                <w:tcPr>
                  <w:tcW w:w="1869" w:type="dxa"/>
                </w:tcPr>
                <w:p w14:paraId="572C13A0" w14:textId="77777777" w:rsidR="00DC70A0" w:rsidRPr="00DC70A0" w:rsidRDefault="00DC70A0" w:rsidP="00DC70A0">
                  <w:pPr>
                    <w:jc w:val="center"/>
                    <w:rPr>
                      <w:sz w:val="20"/>
                      <w:szCs w:val="26"/>
                    </w:rPr>
                  </w:pPr>
                  <w:r w:rsidRPr="00DC70A0">
                    <w:rPr>
                      <w:sz w:val="20"/>
                      <w:szCs w:val="26"/>
                    </w:rPr>
                    <w:t>ASCE 7-10</w:t>
                  </w:r>
                </w:p>
              </w:tc>
            </w:tr>
            <w:tr w:rsidR="00DC70A0" w14:paraId="734E1A7E" w14:textId="77777777" w:rsidTr="00AB2B84">
              <w:trPr>
                <w:jc w:val="center"/>
              </w:trPr>
              <w:tc>
                <w:tcPr>
                  <w:tcW w:w="2122" w:type="dxa"/>
                </w:tcPr>
                <w:p w14:paraId="19DC4C81" w14:textId="77777777" w:rsidR="00DC70A0" w:rsidRDefault="00DC70A0" w:rsidP="00DC70A0">
                  <w:pPr>
                    <w:jc w:val="both"/>
                  </w:pPr>
                  <w:r>
                    <w:rPr>
                      <w:noProof/>
                      <w:lang w:val="ru-RU" w:eastAsia="ja-JP"/>
                    </w:rPr>
                    <mc:AlternateContent>
                      <mc:Choice Requires="wps">
                        <w:drawing>
                          <wp:anchor distT="0" distB="0" distL="114300" distR="114300" simplePos="0" relativeHeight="251659264" behindDoc="0" locked="0" layoutInCell="1" allowOverlap="1" wp14:anchorId="165B3CAD" wp14:editId="453377B6">
                            <wp:simplePos x="0" y="0"/>
                            <wp:positionH relativeFrom="column">
                              <wp:posOffset>67945</wp:posOffset>
                            </wp:positionH>
                            <wp:positionV relativeFrom="paragraph">
                              <wp:posOffset>121285</wp:posOffset>
                            </wp:positionV>
                            <wp:extent cx="775970" cy="6985"/>
                            <wp:effectExtent l="0" t="0" r="5080" b="12065"/>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5970" cy="6985"/>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B3E15F" id="Прямая соединительная линия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5pt,9.55pt" to="66.4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" strokecolor="black [3213]" strokeweight="1.75pt">
                            <o:lock v:ext="edit" shapetype="f"/>
                          </v:line>
                        </w:pict>
                      </mc:Fallback>
                    </mc:AlternateContent>
                  </w:r>
                </w:p>
              </w:tc>
              <w:tc>
                <w:tcPr>
                  <w:tcW w:w="1671" w:type="dxa"/>
                </w:tcPr>
                <w:p w14:paraId="336FBD11" w14:textId="77777777" w:rsidR="00DC70A0" w:rsidRDefault="00DC70A0" w:rsidP="00DC70A0">
                  <w:pPr>
                    <w:jc w:val="both"/>
                  </w:pPr>
                  <w:r>
                    <w:rPr>
                      <w:noProof/>
                      <w:lang w:val="ru-RU" w:eastAsia="ja-JP"/>
                    </w:rPr>
                    <mc:AlternateContent>
                      <mc:Choice Requires="wps">
                        <w:drawing>
                          <wp:anchor distT="4294967295" distB="4294967295" distL="114300" distR="114300" simplePos="0" relativeHeight="251661312" behindDoc="0" locked="0" layoutInCell="1" allowOverlap="1" wp14:anchorId="62846A2A" wp14:editId="0CE9C06D">
                            <wp:simplePos x="0" y="0"/>
                            <wp:positionH relativeFrom="column">
                              <wp:posOffset>65405</wp:posOffset>
                            </wp:positionH>
                            <wp:positionV relativeFrom="paragraph">
                              <wp:posOffset>108584</wp:posOffset>
                            </wp:positionV>
                            <wp:extent cx="900430" cy="0"/>
                            <wp:effectExtent l="0" t="0" r="0" b="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0430" cy="0"/>
                                    </a:xfrm>
                                    <a:prstGeom prst="line">
                                      <a:avLst/>
                                    </a:prstGeom>
                                    <a:ln w="22225">
                                      <a:solidFill>
                                        <a:schemeClr val="tx1"/>
                                      </a:solidFill>
                                      <a:prstDash val="lgDashDotDot"/>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75E925A" id="Прямая соединительная линия 9"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5pt,8.55pt" to="76.0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" strokecolor="black [3213]" strokeweight="1.75pt">
                            <v:stroke dashstyle="longDashDotDot"/>
                            <o:lock v:ext="edit" shapetype="f"/>
                          </v:line>
                        </w:pict>
                      </mc:Fallback>
                    </mc:AlternateContent>
                  </w:r>
                </w:p>
              </w:tc>
              <w:tc>
                <w:tcPr>
                  <w:tcW w:w="1645" w:type="dxa"/>
                </w:tcPr>
                <w:p w14:paraId="60B50499" w14:textId="77777777" w:rsidR="00DC70A0" w:rsidRDefault="00DC70A0" w:rsidP="00DC70A0">
                  <w:pPr>
                    <w:jc w:val="both"/>
                  </w:pPr>
                  <w:r>
                    <w:rPr>
                      <w:noProof/>
                      <w:lang w:val="ru-RU" w:eastAsia="ja-JP"/>
                    </w:rPr>
                    <mc:AlternateContent>
                      <mc:Choice Requires="wps">
                        <w:drawing>
                          <wp:anchor distT="4294967295" distB="4294967295" distL="114300" distR="114300" simplePos="0" relativeHeight="251662336" behindDoc="0" locked="0" layoutInCell="1" allowOverlap="1" wp14:anchorId="7E87D00A" wp14:editId="3B45038C">
                            <wp:simplePos x="0" y="0"/>
                            <wp:positionH relativeFrom="column">
                              <wp:posOffset>97790</wp:posOffset>
                            </wp:positionH>
                            <wp:positionV relativeFrom="paragraph">
                              <wp:posOffset>88264</wp:posOffset>
                            </wp:positionV>
                            <wp:extent cx="817245" cy="0"/>
                            <wp:effectExtent l="0" t="0" r="1905" b="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17245" cy="0"/>
                                    </a:xfrm>
                                    <a:prstGeom prst="line">
                                      <a:avLst/>
                                    </a:prstGeom>
                                    <a:ln w="254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A2A7E35" id="Прямая соединительная линия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7pt,6.95pt" to="72.0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" strokecolor="black [3213]" strokeweight="2pt">
                            <v:stroke dashstyle="1 1"/>
                            <o:lock v:ext="edit" shapetype="f"/>
                          </v:line>
                        </w:pict>
                      </mc:Fallback>
                    </mc:AlternateContent>
                  </w:r>
                </w:p>
              </w:tc>
              <w:tc>
                <w:tcPr>
                  <w:tcW w:w="1559" w:type="dxa"/>
                </w:tcPr>
                <w:p w14:paraId="1B7E501B" w14:textId="77777777" w:rsidR="00DC70A0" w:rsidRDefault="00DC70A0" w:rsidP="00DC70A0">
                  <w:pPr>
                    <w:jc w:val="both"/>
                  </w:pPr>
                  <w:r>
                    <w:rPr>
                      <w:noProof/>
                      <w:lang w:val="ru-RU" w:eastAsia="ja-JP"/>
                    </w:rPr>
                    <mc:AlternateContent>
                      <mc:Choice Requires="wps">
                        <w:drawing>
                          <wp:anchor distT="0" distB="0" distL="114300" distR="114300" simplePos="0" relativeHeight="251660288" behindDoc="0" locked="0" layoutInCell="1" allowOverlap="1" wp14:anchorId="61A5EBB2" wp14:editId="355003B3">
                            <wp:simplePos x="0" y="0"/>
                            <wp:positionH relativeFrom="column">
                              <wp:posOffset>74930</wp:posOffset>
                            </wp:positionH>
                            <wp:positionV relativeFrom="paragraph">
                              <wp:posOffset>95250</wp:posOffset>
                            </wp:positionV>
                            <wp:extent cx="824230" cy="13970"/>
                            <wp:effectExtent l="19050" t="19050" r="13970" b="508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24230" cy="13970"/>
                                    </a:xfrm>
                                    <a:prstGeom prst="line">
                                      <a:avLst/>
                                    </a:prstGeom>
                                    <a:ln w="285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7E29D4" id="Прямая соединительная линия 1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pt,7.5pt" to="70.8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" strokecolor="black [3213]" strokeweight="2.25pt">
                            <v:stroke dashstyle="dash"/>
                            <o:lock v:ext="edit" shapetype="f"/>
                          </v:line>
                        </w:pict>
                      </mc:Fallback>
                    </mc:AlternateContent>
                  </w:r>
                </w:p>
              </w:tc>
              <w:tc>
                <w:tcPr>
                  <w:tcW w:w="1869" w:type="dxa"/>
                </w:tcPr>
                <w:p w14:paraId="57D3CC36" w14:textId="77777777" w:rsidR="00DC70A0" w:rsidRDefault="00DC70A0" w:rsidP="00DC70A0">
                  <w:pPr>
                    <w:jc w:val="both"/>
                  </w:pPr>
                  <w:r>
                    <w:rPr>
                      <w:noProof/>
                      <w:lang w:val="ru-RU" w:eastAsia="ja-JP"/>
                    </w:rPr>
                    <mc:AlternateContent>
                      <mc:Choice Requires="wps">
                        <w:drawing>
                          <wp:anchor distT="0" distB="0" distL="114300" distR="114300" simplePos="0" relativeHeight="251663360" behindDoc="0" locked="0" layoutInCell="1" allowOverlap="1" wp14:anchorId="59AAC36A" wp14:editId="0717AE1A">
                            <wp:simplePos x="0" y="0"/>
                            <wp:positionH relativeFrom="column">
                              <wp:posOffset>66040</wp:posOffset>
                            </wp:positionH>
                            <wp:positionV relativeFrom="paragraph">
                              <wp:posOffset>109220</wp:posOffset>
                            </wp:positionV>
                            <wp:extent cx="852170" cy="635"/>
                            <wp:effectExtent l="0" t="0" r="0" b="18415"/>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52170" cy="635"/>
                                    </a:xfrm>
                                    <a:prstGeom prst="line">
                                      <a:avLst/>
                                    </a:prstGeom>
                                    <a:ln w="22225">
                                      <a:solidFill>
                                        <a:schemeClr val="tx1"/>
                                      </a:solidFill>
                                      <a:prstDash val="lgDashDot"/>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FFA342B" id="Прямая соединительная линия 1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8.6pt" to="72.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" strokecolor="black [3213]" strokeweight="1.75pt">
                            <v:stroke dashstyle="longDashDot"/>
                            <o:lock v:ext="edit" shapetype="f"/>
                          </v:line>
                        </w:pict>
                      </mc:Fallback>
                    </mc:AlternateContent>
                  </w:r>
                </w:p>
              </w:tc>
            </w:tr>
          </w:tbl>
          <w:p w14:paraId="209B28EA" w14:textId="77777777" w:rsidR="00DC70A0" w:rsidRDefault="00DC70A0" w:rsidP="00624B95">
            <w:pPr>
              <w:pStyle w:val="Paragraph"/>
              <w:ind w:firstLine="0"/>
              <w:jc w:val="center"/>
              <w:rPr>
                <w:noProof/>
                <w:lang w:val="ru-RU" w:eastAsia="ru-RU"/>
              </w:rPr>
            </w:pPr>
          </w:p>
        </w:tc>
      </w:tr>
    </w:tbl>
    <w:p w14:paraId="216D6A6C" w14:textId="4495458C" w:rsidR="00624B95" w:rsidRPr="00624B95" w:rsidRDefault="00624B95" w:rsidP="005F05CC">
      <w:pPr>
        <w:pStyle w:val="FigureCaption"/>
        <w:spacing w:after="120"/>
      </w:pPr>
      <w:r w:rsidRPr="00624B95">
        <w:rPr>
          <w:b/>
        </w:rPr>
        <w:t>FIGURE</w:t>
      </w:r>
      <w:r w:rsidR="005F05CC" w:rsidRPr="00B526E8">
        <w:rPr>
          <w:b/>
        </w:rPr>
        <w:t xml:space="preserve"> </w:t>
      </w:r>
      <w:r w:rsidRPr="00624B95">
        <w:rPr>
          <w:b/>
        </w:rPr>
        <w:t>2.</w:t>
      </w:r>
      <w:r w:rsidRPr="00624B95">
        <w:t xml:space="preserve"> Elasti</w:t>
      </w:r>
      <w:r w:rsidR="00DB790D">
        <w:t>c spectr</w:t>
      </w:r>
      <w:r w:rsidR="004674B5">
        <w:t>um</w:t>
      </w:r>
      <w:r w:rsidR="00DB790D">
        <w:t xml:space="preserve"> curves for model No.</w:t>
      </w:r>
      <w:r w:rsidRPr="00624B95">
        <w:t>1.</w:t>
      </w:r>
    </w:p>
    <w:p w14:paraId="7B4D5427" w14:textId="06A350B1" w:rsidR="00624B95" w:rsidRDefault="00624B95" w:rsidP="00624B95">
      <w:pPr>
        <w:pStyle w:val="1"/>
      </w:pPr>
      <w:r>
        <w:t>DESCRIPTION OF CALCULATION MODELS AND THE ACCEPTED CALCULATION PROGRAM</w:t>
      </w:r>
    </w:p>
    <w:p w14:paraId="718E1A87" w14:textId="77777777" w:rsidR="00624B95" w:rsidRDefault="00624B95" w:rsidP="00624B95">
      <w:pPr>
        <w:pStyle w:val="Paragraph"/>
      </w:pPr>
      <w:r>
        <w:t>Description of models</w:t>
      </w:r>
    </w:p>
    <w:p w14:paraId="739C9950" w14:textId="051369EF" w:rsidR="00624B95" w:rsidRDefault="00624B95" w:rsidP="00624B95">
      <w:pPr>
        <w:pStyle w:val="Paragraph"/>
      </w:pPr>
      <w:r>
        <w:t>Two models of flat reinforced concrete frames of 3 and 9 floors on category «2» soils, designed for the 8-intensity degree zone of Tashkent, were adopted as calculation models.</w:t>
      </w:r>
    </w:p>
    <w:p w14:paraId="34A88F60" w14:textId="25830194" w:rsidR="00624B95" w:rsidRDefault="00DB790D" w:rsidP="00624B95">
      <w:pPr>
        <w:pStyle w:val="Paragraph"/>
      </w:pPr>
      <w:r>
        <w:t>Model No. 1 (Fig.</w:t>
      </w:r>
      <w:r w:rsidR="00624B95">
        <w:t>3) is adopted similarly to the model from Example No. 2 [6]. The reason for this is the ability to verify the results of the modal analysis using the frequency parameters of the model with machine calculation, as well as to evaluate the authors' conclusions using regional spectr</w:t>
      </w:r>
      <w:r w:rsidR="004674B5">
        <w:t>um</w:t>
      </w:r>
      <w:r w:rsidR="00624B95">
        <w:t xml:space="preserve"> curves for the city of Tashkent, similar to the spectr</w:t>
      </w:r>
      <w:r w:rsidR="004674B5">
        <w:t>um</w:t>
      </w:r>
      <w:r w:rsidR="00624B95">
        <w:t xml:space="preserve"> curves of the KMK [1]. The cross-section of the 1st floor columns section is 40x60 cm; 2 and 3 floor columns section </w:t>
      </w:r>
      <w:r>
        <w:t>– 40x40 cm; beams 40x50 cm; con</w:t>
      </w:r>
      <w:r w:rsidR="00624B95">
        <w:t>crete B20. The loads are accepted in accordance with [6].</w:t>
      </w:r>
    </w:p>
    <w:tbl>
      <w:tblPr>
        <w:tblStyle w:val="a8"/>
        <w:tblW w:w="73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1"/>
      </w:tblGrid>
      <w:tr w:rsidR="00624B95" w14:paraId="079620A0" w14:textId="77777777" w:rsidTr="005F05CC">
        <w:trPr>
          <w:jc w:val="center"/>
        </w:trPr>
        <w:tc>
          <w:tcPr>
            <w:tcW w:w="7371" w:type="dxa"/>
          </w:tcPr>
          <w:p w14:paraId="7C028430" w14:textId="74F46BEC" w:rsidR="00624B95" w:rsidRDefault="00624B95" w:rsidP="005F05CC">
            <w:pPr>
              <w:pStyle w:val="Paragraph"/>
              <w:spacing w:before="120"/>
              <w:ind w:firstLine="0"/>
              <w:jc w:val="center"/>
            </w:pPr>
            <w:r>
              <w:rPr>
                <w:noProof/>
                <w:lang w:val="ru-RU" w:eastAsia="ja-JP"/>
              </w:rPr>
              <w:drawing>
                <wp:inline distT="0" distB="0" distL="0" distR="0" wp14:anchorId="5FDD458D" wp14:editId="15057269">
                  <wp:extent cx="2896321" cy="2306471"/>
                  <wp:effectExtent l="0" t="0" r="0" b="0"/>
                  <wp:docPr id="427307078" name="Рисунок 427307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973854" cy="2368214"/>
                          </a:xfrm>
                          <a:prstGeom prst="rect">
                            <a:avLst/>
                          </a:prstGeom>
                        </pic:spPr>
                      </pic:pic>
                    </a:graphicData>
                  </a:graphic>
                </wp:inline>
              </w:drawing>
            </w:r>
          </w:p>
        </w:tc>
      </w:tr>
    </w:tbl>
    <w:p w14:paraId="2B083D9D" w14:textId="4ACA77E7" w:rsidR="00624B95" w:rsidRDefault="00624B95" w:rsidP="005F05CC">
      <w:pPr>
        <w:pStyle w:val="FigureCaption"/>
        <w:spacing w:after="120"/>
      </w:pPr>
      <w:r w:rsidRPr="00624B95">
        <w:rPr>
          <w:b/>
        </w:rPr>
        <w:t>FIGURE</w:t>
      </w:r>
      <w:r w:rsidR="005F05CC" w:rsidRPr="00B526E8">
        <w:rPr>
          <w:b/>
        </w:rPr>
        <w:t xml:space="preserve"> </w:t>
      </w:r>
      <w:r w:rsidRPr="00624B95">
        <w:rPr>
          <w:b/>
        </w:rPr>
        <w:t>3.</w:t>
      </w:r>
      <w:r w:rsidRPr="00624B95">
        <w:t xml:space="preserve"> </w:t>
      </w:r>
      <w:r w:rsidR="00863CE3">
        <w:t>Calculation scheme of model No.</w:t>
      </w:r>
      <w:r w:rsidRPr="00624B95">
        <w:t>1.</w:t>
      </w:r>
    </w:p>
    <w:p w14:paraId="2784E734" w14:textId="26DA5A64" w:rsidR="00624B95" w:rsidRDefault="00624B95" w:rsidP="00B1000D">
      <w:pPr>
        <w:pStyle w:val="Paragraph"/>
      </w:pPr>
      <w:r w:rsidRPr="00624B95">
        <w:lastRenderedPageBreak/>
        <w:t>Model No. 2 (Fig. 4) – 3-span 9-storey frame; column pitch 6 m; floor height 3 m; column section of floors 1-2 – 50x50 cm; 3-9 columns section – 40x40 cm; beams 40x50 cm; material – B20 concrete.</w:t>
      </w:r>
      <w:r w:rsidR="00863CE3">
        <w:t xml:space="preserve"> </w:t>
      </w:r>
    </w:p>
    <w:tbl>
      <w:tblPr>
        <w:tblStyle w:val="a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863CE3" w14:paraId="01A7FA9E" w14:textId="77777777" w:rsidTr="00863CE3">
        <w:trPr>
          <w:jc w:val="center"/>
        </w:trPr>
        <w:tc>
          <w:tcPr>
            <w:tcW w:w="4675" w:type="dxa"/>
          </w:tcPr>
          <w:p w14:paraId="4275D067" w14:textId="450B2EB8" w:rsidR="00863CE3" w:rsidRDefault="00863CE3" w:rsidP="005F05CC">
            <w:pPr>
              <w:pStyle w:val="Paragraph"/>
              <w:spacing w:before="120"/>
              <w:ind w:firstLine="0"/>
              <w:jc w:val="center"/>
            </w:pPr>
            <w:r w:rsidRPr="00630EBF">
              <w:rPr>
                <w:rFonts w:ascii="Arial" w:hAnsi="Arial" w:cs="Arial"/>
                <w:b/>
                <w:i/>
                <w:noProof/>
                <w:szCs w:val="28"/>
                <w:lang w:val="ru-RU" w:eastAsia="ja-JP"/>
              </w:rPr>
              <w:drawing>
                <wp:inline distT="0" distB="0" distL="0" distR="0" wp14:anchorId="590C2561" wp14:editId="38F031CF">
                  <wp:extent cx="1994114" cy="2552873"/>
                  <wp:effectExtent l="0" t="0" r="635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032080" cy="2601477"/>
                          </a:xfrm>
                          <a:prstGeom prst="rect">
                            <a:avLst/>
                          </a:prstGeom>
                        </pic:spPr>
                      </pic:pic>
                    </a:graphicData>
                  </a:graphic>
                </wp:inline>
              </w:drawing>
            </w:r>
          </w:p>
        </w:tc>
        <w:tc>
          <w:tcPr>
            <w:tcW w:w="4675" w:type="dxa"/>
          </w:tcPr>
          <w:p w14:paraId="3CC8E28C" w14:textId="1F1C9E22" w:rsidR="00863CE3" w:rsidRDefault="00863CE3" w:rsidP="005F05CC">
            <w:pPr>
              <w:pStyle w:val="Paragraph"/>
              <w:spacing w:before="120"/>
              <w:ind w:firstLine="0"/>
              <w:jc w:val="center"/>
            </w:pPr>
            <w:r w:rsidRPr="00ED73F9">
              <w:rPr>
                <w:rFonts w:ascii="Arial" w:hAnsi="Arial" w:cs="Arial"/>
                <w:b/>
                <w:i/>
                <w:noProof/>
                <w:szCs w:val="28"/>
                <w:lang w:val="ru-RU" w:eastAsia="ja-JP"/>
              </w:rPr>
              <w:drawing>
                <wp:inline distT="0" distB="0" distL="0" distR="0" wp14:anchorId="27EB4F80" wp14:editId="1F9A8DA5">
                  <wp:extent cx="1808112" cy="2523001"/>
                  <wp:effectExtent l="0" t="0" r="190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858632" cy="2593496"/>
                          </a:xfrm>
                          <a:prstGeom prst="rect">
                            <a:avLst/>
                          </a:prstGeom>
                        </pic:spPr>
                      </pic:pic>
                    </a:graphicData>
                  </a:graphic>
                </wp:inline>
              </w:drawing>
            </w:r>
          </w:p>
        </w:tc>
      </w:tr>
      <w:tr w:rsidR="00863CE3" w14:paraId="3EDF98D7" w14:textId="77777777" w:rsidTr="00863CE3">
        <w:trPr>
          <w:jc w:val="center"/>
        </w:trPr>
        <w:tc>
          <w:tcPr>
            <w:tcW w:w="4675" w:type="dxa"/>
          </w:tcPr>
          <w:p w14:paraId="24462623" w14:textId="463A0D84" w:rsidR="00863CE3" w:rsidRPr="00DB790D" w:rsidRDefault="00DB790D" w:rsidP="00863CE3">
            <w:pPr>
              <w:pStyle w:val="Paragraph"/>
              <w:ind w:firstLine="0"/>
              <w:jc w:val="center"/>
            </w:pPr>
            <w:r w:rsidRPr="00DB790D">
              <w:t>(</w:t>
            </w:r>
            <w:r w:rsidR="00863CE3" w:rsidRPr="00DB790D">
              <w:t>a)</w:t>
            </w:r>
          </w:p>
        </w:tc>
        <w:tc>
          <w:tcPr>
            <w:tcW w:w="4675" w:type="dxa"/>
          </w:tcPr>
          <w:p w14:paraId="3231E309" w14:textId="3C254B5C" w:rsidR="00863CE3" w:rsidRPr="00DB790D" w:rsidRDefault="00DB790D" w:rsidP="00863CE3">
            <w:pPr>
              <w:pStyle w:val="Paragraph"/>
              <w:ind w:firstLine="0"/>
              <w:jc w:val="center"/>
            </w:pPr>
            <w:r w:rsidRPr="00DB790D">
              <w:t>(</w:t>
            </w:r>
            <w:r w:rsidR="00863CE3" w:rsidRPr="00DB790D">
              <w:t xml:space="preserve">b) </w:t>
            </w:r>
          </w:p>
        </w:tc>
      </w:tr>
    </w:tbl>
    <w:p w14:paraId="785962BD" w14:textId="0299D184" w:rsidR="00624B95" w:rsidRDefault="00863CE3" w:rsidP="005F05CC">
      <w:pPr>
        <w:pStyle w:val="FigureCaption"/>
        <w:spacing w:after="120"/>
      </w:pPr>
      <w:r w:rsidRPr="00863CE3">
        <w:rPr>
          <w:b/>
        </w:rPr>
        <w:t>FIGURE</w:t>
      </w:r>
      <w:r w:rsidR="005F05CC" w:rsidRPr="00B526E8">
        <w:rPr>
          <w:b/>
        </w:rPr>
        <w:t xml:space="preserve"> </w:t>
      </w:r>
      <w:r w:rsidRPr="00863CE3">
        <w:rPr>
          <w:b/>
        </w:rPr>
        <w:t>4.</w:t>
      </w:r>
      <w:r>
        <w:t xml:space="preserve"> Analysis scheme of model No.</w:t>
      </w:r>
      <w:r w:rsidRPr="00863CE3">
        <w:t>2.</w:t>
      </w:r>
    </w:p>
    <w:p w14:paraId="58DD19D4" w14:textId="73563A29" w:rsidR="00863CE3" w:rsidRDefault="00863CE3" w:rsidP="00B1000D">
      <w:pPr>
        <w:pStyle w:val="Paragraph"/>
      </w:pPr>
      <w:r w:rsidRPr="00863CE3">
        <w:t>Selecting analysis software.</w:t>
      </w:r>
      <w:r>
        <w:t xml:space="preserve"> </w:t>
      </w:r>
    </w:p>
    <w:p w14:paraId="5790E32C" w14:textId="77777777" w:rsidR="00863CE3" w:rsidRDefault="00863CE3" w:rsidP="00863CE3">
      <w:pPr>
        <w:pStyle w:val="Paragraph"/>
      </w:pPr>
      <w:r>
        <w:t xml:space="preserve">The authors had the opportunity to use such well-known software packages for calculating frame buildings as ETABS (CSI product), </w:t>
      </w:r>
      <w:proofErr w:type="spellStart"/>
      <w:r>
        <w:t>StaadPro</w:t>
      </w:r>
      <w:proofErr w:type="spellEnd"/>
      <w:r>
        <w:t xml:space="preserve"> (Bentley product), RFEM (</w:t>
      </w:r>
      <w:proofErr w:type="spellStart"/>
      <w:r>
        <w:t>Dlubal</w:t>
      </w:r>
      <w:proofErr w:type="spellEnd"/>
      <w:r>
        <w:t xml:space="preserve"> product), LIRA-SAPR (LIRA-SAPR product)</w:t>
      </w:r>
    </w:p>
    <w:p w14:paraId="43DE9378" w14:textId="3B1EE765" w:rsidR="00863CE3" w:rsidRDefault="00863CE3" w:rsidP="00863CE3">
      <w:pPr>
        <w:pStyle w:val="Paragraph"/>
      </w:pPr>
      <w:r>
        <w:t xml:space="preserve">However, taking into account the specifics of the stated goals and objectives, as well as the structure of the input data and output results, the </w:t>
      </w:r>
      <w:r w:rsidR="00DB790D">
        <w:t xml:space="preserve">authors settled on the program </w:t>
      </w:r>
      <w:r w:rsidR="00DB790D" w:rsidRPr="00DB790D">
        <w:t>«</w:t>
      </w:r>
      <w:r>
        <w:t>2DFrame Dynamic Edition» (</w:t>
      </w:r>
      <w:proofErr w:type="spellStart"/>
      <w:r>
        <w:t>Engissol</w:t>
      </w:r>
      <w:proofErr w:type="spellEnd"/>
      <w:r>
        <w:t xml:space="preserve"> product), which, with a simple interface, allows you to quickly enter and change the initial calculated spectr</w:t>
      </w:r>
      <w:r w:rsidR="00D83973">
        <w:t>um</w:t>
      </w:r>
      <w:r>
        <w:t xml:space="preserve"> curves and output the necessary results, including frequency characteristics, design forces for given load combinations and support reactions, including the total seismic load (base shear). </w:t>
      </w:r>
    </w:p>
    <w:p w14:paraId="52AFFA90" w14:textId="20D61C57" w:rsidR="00863CE3" w:rsidRDefault="00863CE3" w:rsidP="00863CE3">
      <w:pPr>
        <w:pStyle w:val="1"/>
      </w:pPr>
      <w:r w:rsidRPr="00863CE3">
        <w:t>RESULTS OF THE ANALYSIS</w:t>
      </w:r>
    </w:p>
    <w:p w14:paraId="7B644001" w14:textId="77777777" w:rsidR="00863CE3" w:rsidRDefault="00863CE3" w:rsidP="00863CE3">
      <w:pPr>
        <w:pStyle w:val="Paragraph"/>
      </w:pPr>
      <w:r>
        <w:t>All model calculations were performed in a linear setting. The seismic load on the building (base shear) Fb was determined as the sum of the horizontal support reactions of the first-floor columns.</w:t>
      </w:r>
    </w:p>
    <w:p w14:paraId="07BD17D7" w14:textId="15E185BD" w:rsidR="00863CE3" w:rsidRDefault="00863CE3" w:rsidP="00863CE3">
      <w:pPr>
        <w:pStyle w:val="Paragraph"/>
      </w:pPr>
      <w:r>
        <w:t>Analysis results for model No.1.</w:t>
      </w:r>
    </w:p>
    <w:p w14:paraId="5014B661" w14:textId="7C484767" w:rsidR="00624B95" w:rsidRDefault="00863CE3" w:rsidP="00863CE3">
      <w:pPr>
        <w:pStyle w:val="Paragraph"/>
      </w:pPr>
      <w:r>
        <w:t>The results of the modal analysis are presented in Table 1 (screen-shot of the 2DFrame report).</w:t>
      </w:r>
    </w:p>
    <w:tbl>
      <w:tblPr>
        <w:tblStyle w:val="a8"/>
        <w:tblW w:w="0" w:type="auto"/>
        <w:tblLook w:val="04A0" w:firstRow="1" w:lastRow="0" w:firstColumn="1" w:lastColumn="0" w:noHBand="0" w:noVBand="1"/>
      </w:tblPr>
      <w:tblGrid>
        <w:gridCol w:w="1558"/>
        <w:gridCol w:w="1558"/>
        <w:gridCol w:w="1558"/>
        <w:gridCol w:w="1558"/>
        <w:gridCol w:w="1559"/>
        <w:gridCol w:w="1559"/>
      </w:tblGrid>
      <w:tr w:rsidR="00F43C5F" w14:paraId="0D4E6C91" w14:textId="77777777" w:rsidTr="00C943F2">
        <w:tc>
          <w:tcPr>
            <w:tcW w:w="9350" w:type="dxa"/>
            <w:gridSpan w:val="6"/>
            <w:tcBorders>
              <w:top w:val="nil"/>
              <w:left w:val="nil"/>
              <w:bottom w:val="single" w:sz="4" w:space="0" w:color="auto"/>
              <w:right w:val="nil"/>
            </w:tcBorders>
          </w:tcPr>
          <w:p w14:paraId="69416862" w14:textId="0C736805" w:rsidR="00F43C5F" w:rsidRDefault="00F43C5F" w:rsidP="00F43C5F">
            <w:pPr>
              <w:pStyle w:val="TableCaption"/>
            </w:pPr>
            <w:r w:rsidRPr="00F43C5F">
              <w:rPr>
                <w:b/>
              </w:rPr>
              <w:t>TABLE 1</w:t>
            </w:r>
            <w:r w:rsidR="00DB790D">
              <w:rPr>
                <w:b/>
              </w:rPr>
              <w:t>.</w:t>
            </w:r>
            <w:r w:rsidRPr="00F43C5F">
              <w:t xml:space="preserve"> Result of modal analysis model No.1</w:t>
            </w:r>
          </w:p>
        </w:tc>
      </w:tr>
      <w:tr w:rsidR="00F43C5F" w14:paraId="509A3D46" w14:textId="77777777" w:rsidTr="00C943F2">
        <w:tc>
          <w:tcPr>
            <w:tcW w:w="1558" w:type="dxa"/>
            <w:tcBorders>
              <w:left w:val="nil"/>
              <w:bottom w:val="single" w:sz="4" w:space="0" w:color="auto"/>
              <w:right w:val="nil"/>
            </w:tcBorders>
          </w:tcPr>
          <w:p w14:paraId="14A7BEE9" w14:textId="0644FE58" w:rsidR="00F43C5F" w:rsidRPr="00F43C5F" w:rsidRDefault="00F43C5F" w:rsidP="00F43C5F">
            <w:pPr>
              <w:pStyle w:val="Paragraph"/>
              <w:ind w:firstLine="0"/>
              <w:jc w:val="center"/>
              <w:rPr>
                <w:b/>
              </w:rPr>
            </w:pPr>
            <w:r w:rsidRPr="00F43C5F">
              <w:rPr>
                <w:b/>
              </w:rPr>
              <w:t>Mode</w:t>
            </w:r>
          </w:p>
        </w:tc>
        <w:tc>
          <w:tcPr>
            <w:tcW w:w="1558" w:type="dxa"/>
            <w:tcBorders>
              <w:left w:val="nil"/>
              <w:bottom w:val="single" w:sz="4" w:space="0" w:color="auto"/>
              <w:right w:val="nil"/>
            </w:tcBorders>
          </w:tcPr>
          <w:p w14:paraId="37E00852" w14:textId="77777777" w:rsidR="00C943F2" w:rsidRDefault="00F43C5F" w:rsidP="00F43C5F">
            <w:pPr>
              <w:pStyle w:val="Paragraph"/>
              <w:ind w:firstLine="0"/>
              <w:jc w:val="center"/>
              <w:rPr>
                <w:b/>
              </w:rPr>
            </w:pPr>
            <w:r w:rsidRPr="00F43C5F">
              <w:rPr>
                <w:b/>
              </w:rPr>
              <w:t xml:space="preserve">Period </w:t>
            </w:r>
          </w:p>
          <w:p w14:paraId="0253A805" w14:textId="7BD1BA2B" w:rsidR="00F43C5F" w:rsidRPr="00F43C5F" w:rsidRDefault="00F43C5F" w:rsidP="00F43C5F">
            <w:pPr>
              <w:pStyle w:val="Paragraph"/>
              <w:ind w:firstLine="0"/>
              <w:jc w:val="center"/>
              <w:rPr>
                <w:b/>
              </w:rPr>
            </w:pPr>
            <w:r w:rsidRPr="00F43C5F">
              <w:rPr>
                <w:b/>
              </w:rPr>
              <w:t>(sec)</w:t>
            </w:r>
          </w:p>
        </w:tc>
        <w:tc>
          <w:tcPr>
            <w:tcW w:w="1558" w:type="dxa"/>
            <w:tcBorders>
              <w:left w:val="nil"/>
              <w:bottom w:val="single" w:sz="4" w:space="0" w:color="auto"/>
              <w:right w:val="nil"/>
            </w:tcBorders>
          </w:tcPr>
          <w:p w14:paraId="0279201D" w14:textId="77777777" w:rsidR="00C943F2" w:rsidRDefault="00F43C5F" w:rsidP="00F43C5F">
            <w:pPr>
              <w:pStyle w:val="Paragraph"/>
              <w:ind w:firstLine="0"/>
              <w:jc w:val="center"/>
              <w:rPr>
                <w:b/>
              </w:rPr>
            </w:pPr>
            <w:r w:rsidRPr="00F43C5F">
              <w:rPr>
                <w:b/>
              </w:rPr>
              <w:t xml:space="preserve">Frequency </w:t>
            </w:r>
          </w:p>
          <w:p w14:paraId="5E618435" w14:textId="03C0473A" w:rsidR="00F43C5F" w:rsidRPr="00F43C5F" w:rsidRDefault="00F43C5F" w:rsidP="00F43C5F">
            <w:pPr>
              <w:pStyle w:val="Paragraph"/>
              <w:ind w:firstLine="0"/>
              <w:jc w:val="center"/>
              <w:rPr>
                <w:b/>
              </w:rPr>
            </w:pPr>
            <w:r w:rsidRPr="00F43C5F">
              <w:rPr>
                <w:b/>
              </w:rPr>
              <w:t>(Hz)</w:t>
            </w:r>
          </w:p>
        </w:tc>
        <w:tc>
          <w:tcPr>
            <w:tcW w:w="1558" w:type="dxa"/>
            <w:tcBorders>
              <w:left w:val="nil"/>
              <w:bottom w:val="single" w:sz="4" w:space="0" w:color="auto"/>
              <w:right w:val="nil"/>
            </w:tcBorders>
          </w:tcPr>
          <w:p w14:paraId="5E19CE87" w14:textId="5E4483A0" w:rsidR="00F43C5F" w:rsidRPr="00F43C5F" w:rsidRDefault="00F43C5F" w:rsidP="00F43C5F">
            <w:pPr>
              <w:pStyle w:val="Paragraph"/>
              <w:ind w:firstLine="0"/>
              <w:jc w:val="center"/>
              <w:rPr>
                <w:b/>
              </w:rPr>
            </w:pPr>
            <w:r w:rsidRPr="00F43C5F">
              <w:rPr>
                <w:b/>
              </w:rPr>
              <w:t>Mass X (tons, metric)</w:t>
            </w:r>
          </w:p>
        </w:tc>
        <w:tc>
          <w:tcPr>
            <w:tcW w:w="1559" w:type="dxa"/>
            <w:tcBorders>
              <w:left w:val="nil"/>
              <w:bottom w:val="single" w:sz="4" w:space="0" w:color="auto"/>
              <w:right w:val="nil"/>
            </w:tcBorders>
          </w:tcPr>
          <w:p w14:paraId="1F1509C1" w14:textId="434B3E19" w:rsidR="00F43C5F" w:rsidRPr="00F43C5F" w:rsidRDefault="00F43C5F" w:rsidP="00F43C5F">
            <w:pPr>
              <w:pStyle w:val="Paragraph"/>
              <w:ind w:firstLine="0"/>
              <w:jc w:val="center"/>
              <w:rPr>
                <w:b/>
              </w:rPr>
            </w:pPr>
            <w:r w:rsidRPr="00F43C5F">
              <w:rPr>
                <w:b/>
              </w:rPr>
              <w:t>Cum. Mass X (tons, metric)</w:t>
            </w:r>
          </w:p>
        </w:tc>
        <w:tc>
          <w:tcPr>
            <w:tcW w:w="1559" w:type="dxa"/>
            <w:tcBorders>
              <w:left w:val="nil"/>
              <w:bottom w:val="single" w:sz="4" w:space="0" w:color="auto"/>
              <w:right w:val="nil"/>
            </w:tcBorders>
          </w:tcPr>
          <w:p w14:paraId="0523FC7F" w14:textId="0FA71F82" w:rsidR="00F43C5F" w:rsidRPr="00F43C5F" w:rsidRDefault="00F43C5F" w:rsidP="00F43C5F">
            <w:pPr>
              <w:pStyle w:val="Paragraph"/>
              <w:ind w:firstLine="0"/>
              <w:jc w:val="center"/>
              <w:rPr>
                <w:b/>
              </w:rPr>
            </w:pPr>
            <w:r w:rsidRPr="00F43C5F">
              <w:rPr>
                <w:b/>
              </w:rPr>
              <w:t>Rel. Cum. Mass X (%)</w:t>
            </w:r>
          </w:p>
        </w:tc>
      </w:tr>
      <w:tr w:rsidR="00F43C5F" w14:paraId="0FBE48E6" w14:textId="77777777" w:rsidTr="00C943F2">
        <w:trPr>
          <w:trHeight w:val="950"/>
        </w:trPr>
        <w:tc>
          <w:tcPr>
            <w:tcW w:w="1558" w:type="dxa"/>
            <w:tcBorders>
              <w:left w:val="nil"/>
              <w:right w:val="nil"/>
            </w:tcBorders>
          </w:tcPr>
          <w:p w14:paraId="2499FBD4" w14:textId="77777777" w:rsidR="00F43C5F" w:rsidRDefault="00F43C5F" w:rsidP="00F43C5F">
            <w:pPr>
              <w:pStyle w:val="Paragraph"/>
              <w:ind w:firstLine="0"/>
              <w:jc w:val="center"/>
            </w:pPr>
            <w:r>
              <w:t>1</w:t>
            </w:r>
          </w:p>
          <w:p w14:paraId="425EC550" w14:textId="77777777" w:rsidR="00F43C5F" w:rsidRDefault="00F43C5F" w:rsidP="00F43C5F">
            <w:pPr>
              <w:pStyle w:val="Paragraph"/>
              <w:ind w:firstLine="0"/>
              <w:jc w:val="center"/>
            </w:pPr>
            <w:r>
              <w:t>2</w:t>
            </w:r>
          </w:p>
          <w:p w14:paraId="661FAE33" w14:textId="792FD2BE" w:rsidR="00F43C5F" w:rsidRDefault="00F43C5F" w:rsidP="00F43C5F">
            <w:pPr>
              <w:pStyle w:val="Paragraph"/>
              <w:ind w:firstLine="0"/>
              <w:jc w:val="center"/>
            </w:pPr>
            <w:r>
              <w:t>3</w:t>
            </w:r>
          </w:p>
          <w:p w14:paraId="482D758E" w14:textId="6516F7F5" w:rsidR="00F43C5F" w:rsidRDefault="00F43C5F" w:rsidP="00F43C5F">
            <w:pPr>
              <w:pStyle w:val="Paragraph"/>
              <w:ind w:firstLine="0"/>
              <w:jc w:val="center"/>
            </w:pPr>
            <w:r>
              <w:t>4</w:t>
            </w:r>
          </w:p>
        </w:tc>
        <w:tc>
          <w:tcPr>
            <w:tcW w:w="1558" w:type="dxa"/>
            <w:tcBorders>
              <w:left w:val="nil"/>
              <w:right w:val="nil"/>
            </w:tcBorders>
          </w:tcPr>
          <w:p w14:paraId="26282DF7" w14:textId="77777777" w:rsidR="00F43C5F" w:rsidRDefault="00F43C5F" w:rsidP="00F43C5F">
            <w:pPr>
              <w:pStyle w:val="Paragraph"/>
              <w:ind w:firstLine="0"/>
              <w:jc w:val="center"/>
            </w:pPr>
            <w:r>
              <w:t>0.85</w:t>
            </w:r>
          </w:p>
          <w:p w14:paraId="6E781560" w14:textId="77777777" w:rsidR="00F43C5F" w:rsidRDefault="00F43C5F" w:rsidP="00F43C5F">
            <w:pPr>
              <w:pStyle w:val="Paragraph"/>
              <w:ind w:firstLine="0"/>
              <w:jc w:val="center"/>
            </w:pPr>
            <w:r>
              <w:t>0.27</w:t>
            </w:r>
          </w:p>
          <w:p w14:paraId="4EC55DF6" w14:textId="4EF022CC" w:rsidR="00F43C5F" w:rsidRDefault="00F43C5F" w:rsidP="00F43C5F">
            <w:pPr>
              <w:pStyle w:val="Paragraph"/>
              <w:ind w:firstLine="0"/>
              <w:jc w:val="center"/>
            </w:pPr>
            <w:r>
              <w:t>0.18</w:t>
            </w:r>
          </w:p>
          <w:p w14:paraId="13039B3C" w14:textId="11E9BB5B" w:rsidR="00F43C5F" w:rsidRDefault="00F43C5F" w:rsidP="00F43C5F">
            <w:pPr>
              <w:pStyle w:val="Paragraph"/>
              <w:ind w:firstLine="0"/>
              <w:jc w:val="center"/>
            </w:pPr>
            <w:r>
              <w:t>0.13</w:t>
            </w:r>
          </w:p>
        </w:tc>
        <w:tc>
          <w:tcPr>
            <w:tcW w:w="1558" w:type="dxa"/>
            <w:tcBorders>
              <w:left w:val="nil"/>
              <w:right w:val="nil"/>
            </w:tcBorders>
          </w:tcPr>
          <w:p w14:paraId="0BE4893E" w14:textId="77777777" w:rsidR="00F43C5F" w:rsidRDefault="00F43C5F" w:rsidP="00F43C5F">
            <w:pPr>
              <w:pStyle w:val="Paragraph"/>
              <w:ind w:firstLine="0"/>
              <w:jc w:val="center"/>
            </w:pPr>
            <w:r>
              <w:t>1.18</w:t>
            </w:r>
          </w:p>
          <w:p w14:paraId="5971D8CD" w14:textId="77777777" w:rsidR="00F43C5F" w:rsidRDefault="00F43C5F" w:rsidP="00F43C5F">
            <w:pPr>
              <w:pStyle w:val="Paragraph"/>
              <w:ind w:firstLine="0"/>
              <w:jc w:val="center"/>
            </w:pPr>
            <w:r>
              <w:t>3.66</w:t>
            </w:r>
          </w:p>
          <w:p w14:paraId="7AD090CF" w14:textId="77777777" w:rsidR="00F43C5F" w:rsidRDefault="00F43C5F" w:rsidP="00F43C5F">
            <w:pPr>
              <w:pStyle w:val="Paragraph"/>
              <w:ind w:firstLine="0"/>
              <w:jc w:val="center"/>
            </w:pPr>
            <w:r>
              <w:t>5.62</w:t>
            </w:r>
          </w:p>
          <w:p w14:paraId="0C670DB0" w14:textId="0DFB3FF0" w:rsidR="00F43C5F" w:rsidRDefault="00F43C5F" w:rsidP="00F43C5F">
            <w:pPr>
              <w:pStyle w:val="Paragraph"/>
              <w:ind w:firstLine="0"/>
              <w:jc w:val="center"/>
            </w:pPr>
            <w:r>
              <w:t>7.87</w:t>
            </w:r>
          </w:p>
        </w:tc>
        <w:tc>
          <w:tcPr>
            <w:tcW w:w="1558" w:type="dxa"/>
            <w:tcBorders>
              <w:left w:val="nil"/>
              <w:right w:val="nil"/>
            </w:tcBorders>
          </w:tcPr>
          <w:p w14:paraId="4F9C6BF5" w14:textId="77777777" w:rsidR="00F43C5F" w:rsidRDefault="00F43C5F" w:rsidP="00F43C5F">
            <w:pPr>
              <w:pStyle w:val="Paragraph"/>
              <w:ind w:firstLine="0"/>
              <w:jc w:val="center"/>
            </w:pPr>
            <w:r>
              <w:t>278.17</w:t>
            </w:r>
          </w:p>
          <w:p w14:paraId="3EE6717E" w14:textId="77777777" w:rsidR="00F43C5F" w:rsidRDefault="00F43C5F" w:rsidP="00F43C5F">
            <w:pPr>
              <w:pStyle w:val="Paragraph"/>
              <w:ind w:firstLine="0"/>
              <w:jc w:val="center"/>
            </w:pPr>
            <w:r>
              <w:t>23.99</w:t>
            </w:r>
          </w:p>
          <w:p w14:paraId="1D4C7ED7" w14:textId="77777777" w:rsidR="00F43C5F" w:rsidRDefault="00F43C5F" w:rsidP="00F43C5F">
            <w:pPr>
              <w:pStyle w:val="Paragraph"/>
              <w:ind w:firstLine="0"/>
              <w:jc w:val="center"/>
            </w:pPr>
            <w:r>
              <w:t>4.58</w:t>
            </w:r>
          </w:p>
          <w:p w14:paraId="6884D7F3" w14:textId="36C0CB85" w:rsidR="00F43C5F" w:rsidRDefault="00F43C5F" w:rsidP="00F43C5F">
            <w:pPr>
              <w:pStyle w:val="Paragraph"/>
              <w:ind w:firstLine="0"/>
              <w:jc w:val="center"/>
            </w:pPr>
            <w:r>
              <w:t>0.00</w:t>
            </w:r>
          </w:p>
        </w:tc>
        <w:tc>
          <w:tcPr>
            <w:tcW w:w="1559" w:type="dxa"/>
            <w:tcBorders>
              <w:left w:val="nil"/>
              <w:right w:val="nil"/>
            </w:tcBorders>
          </w:tcPr>
          <w:p w14:paraId="109C40A9" w14:textId="77777777" w:rsidR="00F43C5F" w:rsidRDefault="00F43C5F" w:rsidP="00F43C5F">
            <w:pPr>
              <w:pStyle w:val="Paragraph"/>
              <w:ind w:firstLine="0"/>
              <w:jc w:val="center"/>
            </w:pPr>
            <w:r>
              <w:t>278.17</w:t>
            </w:r>
          </w:p>
          <w:p w14:paraId="55694140" w14:textId="77777777" w:rsidR="00F43C5F" w:rsidRDefault="00F43C5F" w:rsidP="00F43C5F">
            <w:pPr>
              <w:pStyle w:val="Paragraph"/>
              <w:ind w:firstLine="0"/>
              <w:jc w:val="center"/>
            </w:pPr>
            <w:r>
              <w:t>302.16</w:t>
            </w:r>
          </w:p>
          <w:p w14:paraId="015D0557" w14:textId="77777777" w:rsidR="00F43C5F" w:rsidRDefault="00F43C5F" w:rsidP="00F43C5F">
            <w:pPr>
              <w:pStyle w:val="Paragraph"/>
              <w:ind w:firstLine="0"/>
              <w:jc w:val="center"/>
            </w:pPr>
            <w:r>
              <w:t>306.74</w:t>
            </w:r>
          </w:p>
          <w:p w14:paraId="4B5D7C43" w14:textId="0376D884" w:rsidR="00F43C5F" w:rsidRDefault="00F43C5F" w:rsidP="00F43C5F">
            <w:pPr>
              <w:pStyle w:val="Paragraph"/>
              <w:ind w:firstLine="0"/>
              <w:jc w:val="center"/>
            </w:pPr>
            <w:r>
              <w:t>306.74</w:t>
            </w:r>
          </w:p>
        </w:tc>
        <w:tc>
          <w:tcPr>
            <w:tcW w:w="1559" w:type="dxa"/>
            <w:tcBorders>
              <w:left w:val="nil"/>
              <w:right w:val="nil"/>
            </w:tcBorders>
          </w:tcPr>
          <w:p w14:paraId="023EB813" w14:textId="77777777" w:rsidR="00F43C5F" w:rsidRDefault="00F43C5F" w:rsidP="00F43C5F">
            <w:pPr>
              <w:pStyle w:val="Paragraph"/>
              <w:ind w:firstLine="0"/>
              <w:jc w:val="center"/>
            </w:pPr>
            <w:r>
              <w:t>90.68</w:t>
            </w:r>
          </w:p>
          <w:p w14:paraId="3B287251" w14:textId="77777777" w:rsidR="00F43C5F" w:rsidRDefault="00F43C5F" w:rsidP="00F43C5F">
            <w:pPr>
              <w:pStyle w:val="Paragraph"/>
              <w:ind w:firstLine="0"/>
              <w:jc w:val="center"/>
            </w:pPr>
            <w:r>
              <w:t>98.51</w:t>
            </w:r>
          </w:p>
          <w:p w14:paraId="7F3134C4" w14:textId="77777777" w:rsidR="00F43C5F" w:rsidRDefault="00F43C5F" w:rsidP="00F43C5F">
            <w:pPr>
              <w:pStyle w:val="Paragraph"/>
              <w:ind w:firstLine="0"/>
              <w:jc w:val="center"/>
            </w:pPr>
            <w:r>
              <w:t>100.00</w:t>
            </w:r>
          </w:p>
          <w:p w14:paraId="5C750143" w14:textId="1A210107" w:rsidR="00F43C5F" w:rsidRDefault="00F43C5F" w:rsidP="00F43C5F">
            <w:pPr>
              <w:pStyle w:val="Paragraph"/>
              <w:ind w:firstLine="0"/>
              <w:jc w:val="center"/>
            </w:pPr>
            <w:r>
              <w:t>100.00</w:t>
            </w:r>
          </w:p>
        </w:tc>
      </w:tr>
    </w:tbl>
    <w:p w14:paraId="43FDA9FF" w14:textId="701C153A" w:rsidR="00F43C5F" w:rsidRDefault="00F43C5F" w:rsidP="00C943F2">
      <w:pPr>
        <w:pStyle w:val="Paragraph"/>
      </w:pPr>
      <w:r w:rsidRPr="00F43C5F">
        <w:t>The seismic load (equal to the total horizontal support reaction) when analysis using the design spectr</w:t>
      </w:r>
      <w:r w:rsidR="00460877">
        <w:t>um</w:t>
      </w:r>
      <w:r w:rsidRPr="00F43C5F">
        <w:t xml:space="preserve"> curves</w:t>
      </w:r>
      <w:r>
        <w:t xml:space="preserve"> and the percentage of calculat</w:t>
      </w:r>
      <w:r w:rsidRPr="00F43C5F">
        <w:t>ed reinforcement of the first floor columns according to the reinforced concrete design standards for structures are given in Table 2.</w:t>
      </w:r>
      <w:r>
        <w:t xml:space="preserve"> </w:t>
      </w:r>
    </w:p>
    <w:tbl>
      <w:tblPr>
        <w:tblStyle w:val="a8"/>
        <w:tblW w:w="0" w:type="auto"/>
        <w:jc w:val="center"/>
        <w:tblBorders>
          <w:left w:val="none" w:sz="0" w:space="0" w:color="auto"/>
          <w:right w:val="none" w:sz="0" w:space="0" w:color="auto"/>
        </w:tblBorders>
        <w:tblLook w:val="04A0" w:firstRow="1" w:lastRow="0" w:firstColumn="1" w:lastColumn="0" w:noHBand="0" w:noVBand="1"/>
      </w:tblPr>
      <w:tblGrid>
        <w:gridCol w:w="2122"/>
        <w:gridCol w:w="1842"/>
        <w:gridCol w:w="1560"/>
        <w:gridCol w:w="1417"/>
        <w:gridCol w:w="1134"/>
        <w:gridCol w:w="1275"/>
      </w:tblGrid>
      <w:tr w:rsidR="00F43C5F" w14:paraId="261C1505" w14:textId="77777777" w:rsidTr="00C943F2">
        <w:trPr>
          <w:jc w:val="center"/>
        </w:trPr>
        <w:tc>
          <w:tcPr>
            <w:tcW w:w="9350" w:type="dxa"/>
            <w:gridSpan w:val="6"/>
            <w:tcBorders>
              <w:top w:val="nil"/>
              <w:bottom w:val="single" w:sz="4" w:space="0" w:color="auto"/>
            </w:tcBorders>
          </w:tcPr>
          <w:p w14:paraId="19BA9613" w14:textId="195C7EA6" w:rsidR="00F43C5F" w:rsidRDefault="00542214" w:rsidP="00542214">
            <w:pPr>
              <w:pStyle w:val="TableCaption"/>
            </w:pPr>
            <w:r w:rsidRPr="00542214">
              <w:rPr>
                <w:b/>
              </w:rPr>
              <w:t>TABLE 2</w:t>
            </w:r>
            <w:r w:rsidR="00DB790D">
              <w:rPr>
                <w:b/>
              </w:rPr>
              <w:t>.</w:t>
            </w:r>
            <w:r w:rsidR="00F43C5F" w:rsidRPr="00F43C5F">
              <w:t xml:space="preserve"> Seismic load on the frame an</w:t>
            </w:r>
            <w:r>
              <w:t>d the design percentage of rein</w:t>
            </w:r>
            <w:r w:rsidR="00F43C5F" w:rsidRPr="00F43C5F">
              <w:t>forcement of the fi</w:t>
            </w:r>
            <w:r>
              <w:t>rst floor columns for model No.</w:t>
            </w:r>
            <w:r w:rsidR="00F43C5F" w:rsidRPr="00F43C5F">
              <w:t>1</w:t>
            </w:r>
          </w:p>
        </w:tc>
      </w:tr>
      <w:tr w:rsidR="00F43C5F" w14:paraId="6BE94B55" w14:textId="77777777" w:rsidTr="00C943F2">
        <w:trPr>
          <w:jc w:val="center"/>
        </w:trPr>
        <w:tc>
          <w:tcPr>
            <w:tcW w:w="2122" w:type="dxa"/>
            <w:tcBorders>
              <w:bottom w:val="single" w:sz="4" w:space="0" w:color="auto"/>
              <w:right w:val="nil"/>
            </w:tcBorders>
          </w:tcPr>
          <w:p w14:paraId="1E5F2A8C" w14:textId="54888ADD" w:rsidR="00F43C5F" w:rsidRPr="00542214" w:rsidRDefault="00542214" w:rsidP="00542214">
            <w:pPr>
              <w:pStyle w:val="Paragraph"/>
              <w:ind w:firstLine="0"/>
              <w:jc w:val="center"/>
              <w:rPr>
                <w:b/>
              </w:rPr>
            </w:pPr>
            <w:r w:rsidRPr="00542214">
              <w:rPr>
                <w:b/>
              </w:rPr>
              <w:t>Norms</w:t>
            </w:r>
          </w:p>
        </w:tc>
        <w:tc>
          <w:tcPr>
            <w:tcW w:w="1842" w:type="dxa"/>
            <w:tcBorders>
              <w:left w:val="nil"/>
              <w:bottom w:val="single" w:sz="4" w:space="0" w:color="auto"/>
              <w:right w:val="nil"/>
            </w:tcBorders>
          </w:tcPr>
          <w:p w14:paraId="43F00C82" w14:textId="06F86C8A" w:rsidR="00F43C5F" w:rsidRPr="00542214" w:rsidRDefault="00542214" w:rsidP="00542214">
            <w:pPr>
              <w:pStyle w:val="Paragraph"/>
              <w:ind w:firstLine="0"/>
              <w:jc w:val="center"/>
              <w:rPr>
                <w:b/>
              </w:rPr>
            </w:pPr>
            <w:r w:rsidRPr="00542214">
              <w:rPr>
                <w:b/>
              </w:rPr>
              <w:t>KMK 2.01.03-19</w:t>
            </w:r>
          </w:p>
        </w:tc>
        <w:tc>
          <w:tcPr>
            <w:tcW w:w="1560" w:type="dxa"/>
            <w:tcBorders>
              <w:left w:val="nil"/>
              <w:bottom w:val="single" w:sz="4" w:space="0" w:color="auto"/>
              <w:right w:val="nil"/>
            </w:tcBorders>
          </w:tcPr>
          <w:p w14:paraId="6B1CB449" w14:textId="087892F8" w:rsidR="00F43C5F" w:rsidRPr="00542214" w:rsidRDefault="00542214" w:rsidP="00542214">
            <w:pPr>
              <w:pStyle w:val="Paragraph"/>
              <w:ind w:firstLine="0"/>
              <w:jc w:val="center"/>
              <w:rPr>
                <w:b/>
              </w:rPr>
            </w:pPr>
            <w:r w:rsidRPr="00542214">
              <w:rPr>
                <w:b/>
              </w:rPr>
              <w:t>SP-14-2018</w:t>
            </w:r>
          </w:p>
        </w:tc>
        <w:tc>
          <w:tcPr>
            <w:tcW w:w="1417" w:type="dxa"/>
            <w:tcBorders>
              <w:left w:val="nil"/>
              <w:bottom w:val="single" w:sz="4" w:space="0" w:color="auto"/>
              <w:right w:val="nil"/>
            </w:tcBorders>
          </w:tcPr>
          <w:p w14:paraId="473D4549" w14:textId="7DEE6D66" w:rsidR="00F43C5F" w:rsidRPr="00542214" w:rsidRDefault="00542214" w:rsidP="00542214">
            <w:pPr>
              <w:pStyle w:val="Paragraph"/>
              <w:ind w:firstLine="0"/>
              <w:jc w:val="center"/>
              <w:rPr>
                <w:b/>
              </w:rPr>
            </w:pPr>
            <w:r w:rsidRPr="00542214">
              <w:rPr>
                <w:b/>
              </w:rPr>
              <w:t>Eurocode-8</w:t>
            </w:r>
          </w:p>
        </w:tc>
        <w:tc>
          <w:tcPr>
            <w:tcW w:w="1134" w:type="dxa"/>
            <w:tcBorders>
              <w:left w:val="nil"/>
              <w:bottom w:val="single" w:sz="4" w:space="0" w:color="auto"/>
              <w:right w:val="nil"/>
            </w:tcBorders>
          </w:tcPr>
          <w:p w14:paraId="1497E999" w14:textId="14E9D50A" w:rsidR="00F43C5F" w:rsidRPr="00542214" w:rsidRDefault="00542214" w:rsidP="00542214">
            <w:pPr>
              <w:pStyle w:val="Paragraph"/>
              <w:ind w:firstLine="0"/>
              <w:jc w:val="center"/>
              <w:rPr>
                <w:b/>
              </w:rPr>
            </w:pPr>
            <w:r w:rsidRPr="00542214">
              <w:rPr>
                <w:b/>
              </w:rPr>
              <w:t>UBC-97</w:t>
            </w:r>
          </w:p>
        </w:tc>
        <w:tc>
          <w:tcPr>
            <w:tcW w:w="1275" w:type="dxa"/>
            <w:tcBorders>
              <w:left w:val="nil"/>
              <w:bottom w:val="single" w:sz="4" w:space="0" w:color="auto"/>
            </w:tcBorders>
          </w:tcPr>
          <w:p w14:paraId="22E95186" w14:textId="66B8A46B" w:rsidR="00F43C5F" w:rsidRPr="00542214" w:rsidRDefault="00542214" w:rsidP="00542214">
            <w:pPr>
              <w:pStyle w:val="Paragraph"/>
              <w:ind w:firstLine="0"/>
              <w:jc w:val="center"/>
              <w:rPr>
                <w:b/>
              </w:rPr>
            </w:pPr>
            <w:r w:rsidRPr="00542214">
              <w:rPr>
                <w:b/>
              </w:rPr>
              <w:t>ASCE 7-10</w:t>
            </w:r>
          </w:p>
        </w:tc>
      </w:tr>
      <w:tr w:rsidR="00542214" w14:paraId="0906301C" w14:textId="77777777" w:rsidTr="00C943F2">
        <w:trPr>
          <w:trHeight w:val="950"/>
          <w:jc w:val="center"/>
        </w:trPr>
        <w:tc>
          <w:tcPr>
            <w:tcW w:w="2122" w:type="dxa"/>
            <w:tcBorders>
              <w:right w:val="nil"/>
            </w:tcBorders>
          </w:tcPr>
          <w:p w14:paraId="0C360E24" w14:textId="77777777" w:rsidR="00542214" w:rsidRDefault="00542214" w:rsidP="00542214">
            <w:pPr>
              <w:pStyle w:val="Paragraph"/>
              <w:ind w:firstLine="0"/>
              <w:jc w:val="center"/>
            </w:pPr>
            <w:r w:rsidRPr="00542214">
              <w:t xml:space="preserve">Seismic load </w:t>
            </w:r>
            <w:r w:rsidRPr="00D8500A">
              <w:rPr>
                <w:i/>
              </w:rPr>
              <w:t>F</w:t>
            </w:r>
            <w:r w:rsidRPr="00D8500A">
              <w:rPr>
                <w:i/>
                <w:vertAlign w:val="subscript"/>
              </w:rPr>
              <w:t>b</w:t>
            </w:r>
            <w:r w:rsidRPr="00542214">
              <w:t xml:space="preserve">, </w:t>
            </w:r>
            <w:proofErr w:type="spellStart"/>
            <w:r w:rsidRPr="00542214">
              <w:t>kN</w:t>
            </w:r>
            <w:proofErr w:type="spellEnd"/>
          </w:p>
          <w:p w14:paraId="0C257676" w14:textId="77777777" w:rsidR="00542214" w:rsidRDefault="00542214" w:rsidP="00542214">
            <w:pPr>
              <w:pStyle w:val="Paragraph"/>
              <w:ind w:firstLine="0"/>
              <w:jc w:val="center"/>
            </w:pPr>
            <w:r w:rsidRPr="00542214">
              <w:t>Relation to KMK</w:t>
            </w:r>
          </w:p>
          <w:p w14:paraId="443AF943" w14:textId="77777777" w:rsidR="00542214" w:rsidRDefault="00542214" w:rsidP="00542214">
            <w:pPr>
              <w:pStyle w:val="Paragraph"/>
              <w:ind w:firstLine="0"/>
              <w:jc w:val="center"/>
            </w:pPr>
            <w:r>
              <w:t>R</w:t>
            </w:r>
            <w:r w:rsidRPr="00542214">
              <w:t>einforcement</w:t>
            </w:r>
            <w:r>
              <w:t xml:space="preserve"> %</w:t>
            </w:r>
          </w:p>
          <w:p w14:paraId="6FFBEAEC" w14:textId="4C5DC427" w:rsidR="00542214" w:rsidRDefault="00542214" w:rsidP="00542214">
            <w:pPr>
              <w:pStyle w:val="Paragraph"/>
              <w:ind w:firstLine="0"/>
              <w:jc w:val="center"/>
            </w:pPr>
            <w:r w:rsidRPr="00542214">
              <w:t>Relation to KMK</w:t>
            </w:r>
          </w:p>
        </w:tc>
        <w:tc>
          <w:tcPr>
            <w:tcW w:w="1842" w:type="dxa"/>
            <w:tcBorders>
              <w:left w:val="nil"/>
              <w:right w:val="nil"/>
            </w:tcBorders>
          </w:tcPr>
          <w:p w14:paraId="1DB62DEC" w14:textId="77777777" w:rsidR="00542214" w:rsidRDefault="00542214" w:rsidP="00542214">
            <w:pPr>
              <w:pStyle w:val="Paragraph"/>
              <w:ind w:firstLine="0"/>
              <w:jc w:val="center"/>
            </w:pPr>
            <w:r>
              <w:t>197</w:t>
            </w:r>
          </w:p>
          <w:p w14:paraId="710C797E" w14:textId="77777777" w:rsidR="00542214" w:rsidRDefault="00542214" w:rsidP="00542214">
            <w:pPr>
              <w:pStyle w:val="Paragraph"/>
              <w:ind w:firstLine="0"/>
              <w:jc w:val="center"/>
            </w:pPr>
            <w:r>
              <w:t>1</w:t>
            </w:r>
          </w:p>
          <w:p w14:paraId="1FAD1A2A" w14:textId="77777777" w:rsidR="00542214" w:rsidRDefault="00542214" w:rsidP="00542214">
            <w:pPr>
              <w:pStyle w:val="Paragraph"/>
              <w:ind w:firstLine="0"/>
              <w:jc w:val="center"/>
            </w:pPr>
            <w:r>
              <w:t>2.07</w:t>
            </w:r>
          </w:p>
          <w:p w14:paraId="2E704111" w14:textId="2A47CDC0" w:rsidR="00542214" w:rsidRDefault="00542214" w:rsidP="00542214">
            <w:pPr>
              <w:pStyle w:val="Paragraph"/>
              <w:ind w:firstLine="0"/>
              <w:jc w:val="center"/>
            </w:pPr>
            <w:r>
              <w:t>1</w:t>
            </w:r>
          </w:p>
        </w:tc>
        <w:tc>
          <w:tcPr>
            <w:tcW w:w="1560" w:type="dxa"/>
            <w:tcBorders>
              <w:left w:val="nil"/>
              <w:right w:val="nil"/>
            </w:tcBorders>
          </w:tcPr>
          <w:p w14:paraId="522F5BDB" w14:textId="77777777" w:rsidR="00542214" w:rsidRDefault="00542214" w:rsidP="00542214">
            <w:pPr>
              <w:pStyle w:val="Paragraph"/>
              <w:ind w:firstLine="0"/>
              <w:jc w:val="center"/>
            </w:pPr>
            <w:r>
              <w:t>430</w:t>
            </w:r>
          </w:p>
          <w:p w14:paraId="7DE3B7EC" w14:textId="77777777" w:rsidR="00542214" w:rsidRDefault="00542214" w:rsidP="00542214">
            <w:pPr>
              <w:pStyle w:val="Paragraph"/>
              <w:ind w:firstLine="0"/>
              <w:jc w:val="center"/>
            </w:pPr>
            <w:r>
              <w:t>2.18</w:t>
            </w:r>
          </w:p>
          <w:p w14:paraId="1884EA4B" w14:textId="77777777" w:rsidR="00542214" w:rsidRDefault="00542214" w:rsidP="00542214">
            <w:pPr>
              <w:pStyle w:val="Paragraph"/>
              <w:ind w:firstLine="0"/>
              <w:jc w:val="center"/>
            </w:pPr>
            <w:r>
              <w:t>3.23</w:t>
            </w:r>
          </w:p>
          <w:p w14:paraId="237D0138" w14:textId="46752E7A" w:rsidR="00542214" w:rsidRDefault="00542214" w:rsidP="00542214">
            <w:pPr>
              <w:pStyle w:val="Paragraph"/>
              <w:ind w:firstLine="0"/>
              <w:jc w:val="center"/>
            </w:pPr>
            <w:r>
              <w:t>1.56</w:t>
            </w:r>
          </w:p>
        </w:tc>
        <w:tc>
          <w:tcPr>
            <w:tcW w:w="1417" w:type="dxa"/>
            <w:tcBorders>
              <w:left w:val="nil"/>
              <w:right w:val="nil"/>
            </w:tcBorders>
          </w:tcPr>
          <w:p w14:paraId="7D4B0DA7" w14:textId="77777777" w:rsidR="00542214" w:rsidRDefault="00542214" w:rsidP="00542214">
            <w:pPr>
              <w:pStyle w:val="Paragraph"/>
              <w:ind w:firstLine="0"/>
              <w:jc w:val="center"/>
            </w:pPr>
            <w:r>
              <w:t>374</w:t>
            </w:r>
          </w:p>
          <w:p w14:paraId="4357B9CD" w14:textId="77777777" w:rsidR="00542214" w:rsidRDefault="00542214" w:rsidP="00542214">
            <w:pPr>
              <w:pStyle w:val="Paragraph"/>
              <w:ind w:firstLine="0"/>
              <w:jc w:val="center"/>
            </w:pPr>
            <w:r>
              <w:t>1.9</w:t>
            </w:r>
          </w:p>
          <w:p w14:paraId="510C853C" w14:textId="77777777" w:rsidR="00542214" w:rsidRDefault="00542214" w:rsidP="00542214">
            <w:pPr>
              <w:pStyle w:val="Paragraph"/>
              <w:ind w:firstLine="0"/>
              <w:jc w:val="center"/>
            </w:pPr>
            <w:r>
              <w:t>2.96</w:t>
            </w:r>
          </w:p>
          <w:p w14:paraId="0DA4853B" w14:textId="0D60AE54" w:rsidR="00542214" w:rsidRDefault="00542214" w:rsidP="00542214">
            <w:pPr>
              <w:pStyle w:val="Paragraph"/>
              <w:ind w:firstLine="0"/>
              <w:jc w:val="center"/>
            </w:pPr>
            <w:r>
              <w:t>1.43</w:t>
            </w:r>
          </w:p>
        </w:tc>
        <w:tc>
          <w:tcPr>
            <w:tcW w:w="1134" w:type="dxa"/>
            <w:tcBorders>
              <w:left w:val="nil"/>
              <w:right w:val="nil"/>
            </w:tcBorders>
          </w:tcPr>
          <w:p w14:paraId="1389B071" w14:textId="77777777" w:rsidR="00542214" w:rsidRDefault="00542214" w:rsidP="00542214">
            <w:pPr>
              <w:pStyle w:val="Paragraph"/>
              <w:ind w:firstLine="0"/>
              <w:jc w:val="center"/>
            </w:pPr>
            <w:r>
              <w:t>434</w:t>
            </w:r>
          </w:p>
          <w:p w14:paraId="24429048" w14:textId="77777777" w:rsidR="00542214" w:rsidRDefault="00542214" w:rsidP="00542214">
            <w:pPr>
              <w:pStyle w:val="Paragraph"/>
              <w:ind w:firstLine="0"/>
              <w:jc w:val="center"/>
            </w:pPr>
            <w:r>
              <w:t>2.2</w:t>
            </w:r>
          </w:p>
          <w:p w14:paraId="7BE5F7EE" w14:textId="77777777" w:rsidR="00542214" w:rsidRDefault="00542214" w:rsidP="00542214">
            <w:pPr>
              <w:pStyle w:val="Paragraph"/>
              <w:ind w:firstLine="0"/>
              <w:jc w:val="center"/>
            </w:pPr>
            <w:r>
              <w:t>3.26</w:t>
            </w:r>
          </w:p>
          <w:p w14:paraId="7B97F1A3" w14:textId="71A256B9" w:rsidR="00542214" w:rsidRDefault="00542214" w:rsidP="00542214">
            <w:pPr>
              <w:pStyle w:val="Paragraph"/>
              <w:ind w:firstLine="0"/>
              <w:jc w:val="center"/>
            </w:pPr>
            <w:r>
              <w:t>1.57</w:t>
            </w:r>
          </w:p>
        </w:tc>
        <w:tc>
          <w:tcPr>
            <w:tcW w:w="1275" w:type="dxa"/>
            <w:tcBorders>
              <w:left w:val="nil"/>
            </w:tcBorders>
          </w:tcPr>
          <w:p w14:paraId="7044129D" w14:textId="77777777" w:rsidR="00542214" w:rsidRDefault="00542214" w:rsidP="00542214">
            <w:pPr>
              <w:pStyle w:val="Paragraph"/>
              <w:ind w:firstLine="0"/>
              <w:jc w:val="center"/>
            </w:pPr>
            <w:r>
              <w:t>390</w:t>
            </w:r>
          </w:p>
          <w:p w14:paraId="7E8B0AF1" w14:textId="77777777" w:rsidR="00542214" w:rsidRDefault="00542214" w:rsidP="00542214">
            <w:pPr>
              <w:pStyle w:val="Paragraph"/>
              <w:ind w:firstLine="0"/>
              <w:jc w:val="center"/>
            </w:pPr>
            <w:r>
              <w:t>1.97</w:t>
            </w:r>
          </w:p>
          <w:p w14:paraId="2B80AFEE" w14:textId="77777777" w:rsidR="00542214" w:rsidRDefault="00542214" w:rsidP="00542214">
            <w:pPr>
              <w:pStyle w:val="Paragraph"/>
              <w:ind w:firstLine="0"/>
              <w:jc w:val="center"/>
            </w:pPr>
            <w:r>
              <w:t>3.03</w:t>
            </w:r>
          </w:p>
          <w:p w14:paraId="0F1DE5D1" w14:textId="02525482" w:rsidR="00542214" w:rsidRDefault="00542214" w:rsidP="00542214">
            <w:pPr>
              <w:pStyle w:val="Paragraph"/>
              <w:ind w:firstLine="0"/>
              <w:jc w:val="center"/>
            </w:pPr>
            <w:r>
              <w:t>1.46</w:t>
            </w:r>
          </w:p>
        </w:tc>
      </w:tr>
    </w:tbl>
    <w:p w14:paraId="5105EEF7" w14:textId="6BAD5391" w:rsidR="00F43C5F" w:rsidRDefault="00F43C5F" w:rsidP="00B1000D">
      <w:pPr>
        <w:pStyle w:val="Paragraph"/>
      </w:pPr>
    </w:p>
    <w:tbl>
      <w:tblPr>
        <w:tblStyle w:val="a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542214" w14:paraId="38205FB5" w14:textId="77777777" w:rsidTr="000F6A15">
        <w:trPr>
          <w:jc w:val="center"/>
        </w:trPr>
        <w:tc>
          <w:tcPr>
            <w:tcW w:w="9350" w:type="dxa"/>
          </w:tcPr>
          <w:p w14:paraId="315C2C68" w14:textId="2FF6CD15" w:rsidR="00542214" w:rsidRDefault="00542214" w:rsidP="00542214">
            <w:pPr>
              <w:pStyle w:val="Paragraph"/>
              <w:ind w:firstLine="0"/>
              <w:jc w:val="center"/>
            </w:pPr>
            <w:r>
              <w:rPr>
                <w:rFonts w:ascii="Arial" w:hAnsi="Arial" w:cs="Arial"/>
                <w:b/>
                <w:i/>
                <w:noProof/>
                <w:szCs w:val="28"/>
                <w:lang w:val="ru-RU" w:eastAsia="ja-JP"/>
              </w:rPr>
              <w:drawing>
                <wp:inline distT="0" distB="0" distL="0" distR="0" wp14:anchorId="2A266237" wp14:editId="347EB300">
                  <wp:extent cx="4290312" cy="2223162"/>
                  <wp:effectExtent l="0" t="0" r="15240" b="5715"/>
                  <wp:docPr id="1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bl>
    <w:p w14:paraId="736BD9B5" w14:textId="4FFC241E" w:rsidR="00F43C5F" w:rsidRDefault="00542214" w:rsidP="005F05CC">
      <w:pPr>
        <w:pStyle w:val="FigureCaption"/>
        <w:spacing w:after="120"/>
      </w:pPr>
      <w:r w:rsidRPr="00542214">
        <w:rPr>
          <w:b/>
        </w:rPr>
        <w:t>FIGURE</w:t>
      </w:r>
      <w:r w:rsidR="005F05CC" w:rsidRPr="00B526E8">
        <w:rPr>
          <w:b/>
        </w:rPr>
        <w:t xml:space="preserve"> </w:t>
      </w:r>
      <w:r w:rsidRPr="00542214">
        <w:rPr>
          <w:b/>
        </w:rPr>
        <w:t>5.</w:t>
      </w:r>
      <w:r w:rsidRPr="00542214">
        <w:t xml:space="preserve"> Seismic</w:t>
      </w:r>
      <w:r>
        <w:t xml:space="preserve"> load on the frame of model No.</w:t>
      </w:r>
      <w:r w:rsidRPr="00542214">
        <w:t>1.</w:t>
      </w:r>
    </w:p>
    <w:p w14:paraId="3034C0BC" w14:textId="77777777" w:rsidR="000F6A15" w:rsidRPr="000F6A15" w:rsidRDefault="000F6A15" w:rsidP="000F6A15">
      <w:pPr>
        <w:pStyle w:val="Paragraph"/>
      </w:pPr>
      <w:r w:rsidRPr="000F6A15">
        <w:t>Analysis results for model No. 2</w:t>
      </w:r>
    </w:p>
    <w:p w14:paraId="2A4C9577" w14:textId="3E8177E0" w:rsidR="00F43C5F" w:rsidRPr="000F6A15" w:rsidRDefault="000F6A15" w:rsidP="000F6A15">
      <w:pPr>
        <w:pStyle w:val="Paragraph"/>
      </w:pPr>
      <w:r w:rsidRPr="000F6A15">
        <w:t xml:space="preserve">The results of the modal analysis are presented in Table 3 (screen-shot of the 2DFrame report). </w:t>
      </w:r>
    </w:p>
    <w:tbl>
      <w:tblPr>
        <w:tblStyle w:val="a8"/>
        <w:tblW w:w="0" w:type="auto"/>
        <w:jc w:val="center"/>
        <w:tblBorders>
          <w:left w:val="none" w:sz="0" w:space="0" w:color="auto"/>
          <w:right w:val="none" w:sz="0" w:space="0" w:color="auto"/>
        </w:tblBorders>
        <w:tblLook w:val="04A0" w:firstRow="1" w:lastRow="0" w:firstColumn="1" w:lastColumn="0" w:noHBand="0" w:noVBand="1"/>
      </w:tblPr>
      <w:tblGrid>
        <w:gridCol w:w="1271"/>
        <w:gridCol w:w="1276"/>
        <w:gridCol w:w="1559"/>
        <w:gridCol w:w="1701"/>
        <w:gridCol w:w="1701"/>
        <w:gridCol w:w="1842"/>
      </w:tblGrid>
      <w:tr w:rsidR="0064175C" w14:paraId="060AF16B" w14:textId="77777777" w:rsidTr="00C943F2">
        <w:trPr>
          <w:jc w:val="center"/>
        </w:trPr>
        <w:tc>
          <w:tcPr>
            <w:tcW w:w="9350" w:type="dxa"/>
            <w:gridSpan w:val="6"/>
            <w:tcBorders>
              <w:top w:val="nil"/>
              <w:bottom w:val="single" w:sz="4" w:space="0" w:color="auto"/>
            </w:tcBorders>
          </w:tcPr>
          <w:p w14:paraId="2797CFC8" w14:textId="51744E1E" w:rsidR="0064175C" w:rsidRPr="00F43C5F" w:rsidRDefault="0064175C" w:rsidP="0064175C">
            <w:pPr>
              <w:pStyle w:val="TableCaption"/>
              <w:rPr>
                <w:b/>
              </w:rPr>
            </w:pPr>
            <w:r>
              <w:rPr>
                <w:b/>
              </w:rPr>
              <w:t>TABLE 3.</w:t>
            </w:r>
            <w:r w:rsidRPr="00F43C5F">
              <w:t xml:space="preserve"> Res</w:t>
            </w:r>
            <w:r>
              <w:t>ult of modal analysis model No.2</w:t>
            </w:r>
          </w:p>
        </w:tc>
      </w:tr>
      <w:tr w:rsidR="0064175C" w14:paraId="02A68DAB" w14:textId="77777777" w:rsidTr="00C943F2">
        <w:trPr>
          <w:jc w:val="center"/>
        </w:trPr>
        <w:tc>
          <w:tcPr>
            <w:tcW w:w="1271" w:type="dxa"/>
            <w:tcBorders>
              <w:bottom w:val="single" w:sz="4" w:space="0" w:color="auto"/>
              <w:right w:val="nil"/>
            </w:tcBorders>
          </w:tcPr>
          <w:p w14:paraId="7F113F18" w14:textId="457EDF14" w:rsidR="0064175C" w:rsidRPr="00F43C5F" w:rsidRDefault="0064175C" w:rsidP="00956BAD">
            <w:pPr>
              <w:pStyle w:val="Paragraph"/>
              <w:ind w:firstLine="0"/>
              <w:jc w:val="center"/>
              <w:rPr>
                <w:b/>
              </w:rPr>
            </w:pPr>
            <w:r w:rsidRPr="00F43C5F">
              <w:rPr>
                <w:b/>
              </w:rPr>
              <w:t>Mode</w:t>
            </w:r>
          </w:p>
        </w:tc>
        <w:tc>
          <w:tcPr>
            <w:tcW w:w="1276" w:type="dxa"/>
            <w:tcBorders>
              <w:left w:val="nil"/>
              <w:bottom w:val="single" w:sz="4" w:space="0" w:color="auto"/>
              <w:right w:val="nil"/>
            </w:tcBorders>
          </w:tcPr>
          <w:p w14:paraId="07B0CEE5" w14:textId="77777777" w:rsidR="0064175C" w:rsidRDefault="0064175C" w:rsidP="00956BAD">
            <w:pPr>
              <w:pStyle w:val="Paragraph"/>
              <w:ind w:firstLine="0"/>
              <w:jc w:val="center"/>
              <w:rPr>
                <w:b/>
              </w:rPr>
            </w:pPr>
            <w:r w:rsidRPr="00F43C5F">
              <w:rPr>
                <w:b/>
              </w:rPr>
              <w:t xml:space="preserve">Period </w:t>
            </w:r>
          </w:p>
          <w:p w14:paraId="53AE6F8F" w14:textId="4531199F" w:rsidR="0064175C" w:rsidRPr="00F43C5F" w:rsidRDefault="0064175C" w:rsidP="00956BAD">
            <w:pPr>
              <w:pStyle w:val="Paragraph"/>
              <w:ind w:firstLine="0"/>
              <w:jc w:val="center"/>
              <w:rPr>
                <w:b/>
              </w:rPr>
            </w:pPr>
            <w:r w:rsidRPr="00F43C5F">
              <w:rPr>
                <w:b/>
              </w:rPr>
              <w:t>(sec)</w:t>
            </w:r>
          </w:p>
        </w:tc>
        <w:tc>
          <w:tcPr>
            <w:tcW w:w="1559" w:type="dxa"/>
            <w:tcBorders>
              <w:left w:val="nil"/>
              <w:bottom w:val="single" w:sz="4" w:space="0" w:color="auto"/>
              <w:right w:val="nil"/>
            </w:tcBorders>
          </w:tcPr>
          <w:p w14:paraId="0642A142" w14:textId="77777777" w:rsidR="0064175C" w:rsidRDefault="0064175C" w:rsidP="00956BAD">
            <w:pPr>
              <w:pStyle w:val="Paragraph"/>
              <w:ind w:firstLine="0"/>
              <w:jc w:val="center"/>
              <w:rPr>
                <w:b/>
              </w:rPr>
            </w:pPr>
            <w:r w:rsidRPr="00F43C5F">
              <w:rPr>
                <w:b/>
              </w:rPr>
              <w:t xml:space="preserve">Frequency </w:t>
            </w:r>
          </w:p>
          <w:p w14:paraId="65FA93E5" w14:textId="1CF1E09D" w:rsidR="0064175C" w:rsidRPr="00F43C5F" w:rsidRDefault="0064175C" w:rsidP="00956BAD">
            <w:pPr>
              <w:pStyle w:val="Paragraph"/>
              <w:ind w:firstLine="0"/>
              <w:jc w:val="center"/>
              <w:rPr>
                <w:b/>
              </w:rPr>
            </w:pPr>
            <w:r w:rsidRPr="00F43C5F">
              <w:rPr>
                <w:b/>
              </w:rPr>
              <w:t>(Hz)</w:t>
            </w:r>
          </w:p>
        </w:tc>
        <w:tc>
          <w:tcPr>
            <w:tcW w:w="1701" w:type="dxa"/>
            <w:tcBorders>
              <w:left w:val="nil"/>
              <w:bottom w:val="single" w:sz="4" w:space="0" w:color="auto"/>
              <w:right w:val="nil"/>
            </w:tcBorders>
          </w:tcPr>
          <w:p w14:paraId="1ADCFBB9" w14:textId="77777777" w:rsidR="0064175C" w:rsidRDefault="0064175C" w:rsidP="0064175C">
            <w:pPr>
              <w:pStyle w:val="Paragraph"/>
              <w:ind w:firstLine="0"/>
              <w:jc w:val="center"/>
              <w:rPr>
                <w:b/>
              </w:rPr>
            </w:pPr>
            <w:r w:rsidRPr="00F43C5F">
              <w:rPr>
                <w:b/>
              </w:rPr>
              <w:t xml:space="preserve">Mass X </w:t>
            </w:r>
          </w:p>
          <w:p w14:paraId="590894F4" w14:textId="2AB1A546" w:rsidR="0064175C" w:rsidRPr="00F43C5F" w:rsidRDefault="0064175C" w:rsidP="0064175C">
            <w:pPr>
              <w:pStyle w:val="Paragraph"/>
              <w:ind w:firstLine="0"/>
              <w:jc w:val="center"/>
              <w:rPr>
                <w:b/>
              </w:rPr>
            </w:pPr>
            <w:r w:rsidRPr="00F43C5F">
              <w:rPr>
                <w:b/>
              </w:rPr>
              <w:t>(tons, metric)</w:t>
            </w:r>
          </w:p>
        </w:tc>
        <w:tc>
          <w:tcPr>
            <w:tcW w:w="1701" w:type="dxa"/>
            <w:tcBorders>
              <w:left w:val="nil"/>
              <w:bottom w:val="single" w:sz="4" w:space="0" w:color="auto"/>
              <w:right w:val="nil"/>
            </w:tcBorders>
          </w:tcPr>
          <w:p w14:paraId="39472989" w14:textId="0C1069FC" w:rsidR="0064175C" w:rsidRPr="00F43C5F" w:rsidRDefault="0064175C" w:rsidP="00956BAD">
            <w:pPr>
              <w:pStyle w:val="Paragraph"/>
              <w:ind w:firstLine="0"/>
              <w:jc w:val="center"/>
              <w:rPr>
                <w:b/>
              </w:rPr>
            </w:pPr>
            <w:r w:rsidRPr="00F43C5F">
              <w:rPr>
                <w:b/>
              </w:rPr>
              <w:t>Cum. Mass X (tons, metric)</w:t>
            </w:r>
          </w:p>
        </w:tc>
        <w:tc>
          <w:tcPr>
            <w:tcW w:w="1842" w:type="dxa"/>
            <w:tcBorders>
              <w:left w:val="nil"/>
              <w:bottom w:val="single" w:sz="4" w:space="0" w:color="auto"/>
            </w:tcBorders>
          </w:tcPr>
          <w:p w14:paraId="7A113EE3" w14:textId="2EC6D54E" w:rsidR="0064175C" w:rsidRPr="00F43C5F" w:rsidRDefault="0064175C" w:rsidP="00956BAD">
            <w:pPr>
              <w:pStyle w:val="Paragraph"/>
              <w:ind w:firstLine="0"/>
              <w:jc w:val="center"/>
              <w:rPr>
                <w:b/>
              </w:rPr>
            </w:pPr>
            <w:r w:rsidRPr="00F43C5F">
              <w:rPr>
                <w:b/>
              </w:rPr>
              <w:t>Rel. Cum. Mass X (%)</w:t>
            </w:r>
          </w:p>
        </w:tc>
      </w:tr>
      <w:tr w:rsidR="005D1FE0" w14:paraId="30DD03C4" w14:textId="77777777" w:rsidTr="00C943F2">
        <w:trPr>
          <w:trHeight w:val="1910"/>
          <w:jc w:val="center"/>
        </w:trPr>
        <w:tc>
          <w:tcPr>
            <w:tcW w:w="1271" w:type="dxa"/>
            <w:tcBorders>
              <w:top w:val="single" w:sz="4" w:space="0" w:color="auto"/>
              <w:right w:val="nil"/>
            </w:tcBorders>
          </w:tcPr>
          <w:p w14:paraId="6CDC4D77" w14:textId="77777777" w:rsidR="005D1FE0" w:rsidRDefault="005D1FE0" w:rsidP="00956BAD">
            <w:pPr>
              <w:pStyle w:val="Paragraph"/>
              <w:ind w:firstLine="0"/>
              <w:jc w:val="center"/>
            </w:pPr>
            <w:r>
              <w:t>1</w:t>
            </w:r>
          </w:p>
          <w:p w14:paraId="5A94C5E4" w14:textId="77777777" w:rsidR="005D1FE0" w:rsidRDefault="005D1FE0" w:rsidP="00956BAD">
            <w:pPr>
              <w:pStyle w:val="Paragraph"/>
              <w:ind w:firstLine="0"/>
              <w:jc w:val="center"/>
            </w:pPr>
            <w:r>
              <w:t>2</w:t>
            </w:r>
          </w:p>
          <w:p w14:paraId="187898D1" w14:textId="77777777" w:rsidR="005D1FE0" w:rsidRDefault="005D1FE0" w:rsidP="00956BAD">
            <w:pPr>
              <w:pStyle w:val="Paragraph"/>
              <w:ind w:firstLine="0"/>
              <w:jc w:val="center"/>
            </w:pPr>
            <w:r>
              <w:t>3</w:t>
            </w:r>
          </w:p>
          <w:p w14:paraId="2EDA590A" w14:textId="77777777" w:rsidR="005D1FE0" w:rsidRDefault="005D1FE0" w:rsidP="00956BAD">
            <w:pPr>
              <w:pStyle w:val="Paragraph"/>
              <w:ind w:firstLine="0"/>
              <w:jc w:val="center"/>
            </w:pPr>
            <w:r>
              <w:t>4</w:t>
            </w:r>
          </w:p>
          <w:p w14:paraId="0996A269" w14:textId="77777777" w:rsidR="005D1FE0" w:rsidRPr="00DB790D" w:rsidRDefault="005D1FE0" w:rsidP="00956BAD">
            <w:pPr>
              <w:pStyle w:val="Paragraph"/>
              <w:ind w:firstLine="0"/>
              <w:jc w:val="center"/>
            </w:pPr>
            <w:r w:rsidRPr="00DB790D">
              <w:t>5</w:t>
            </w:r>
          </w:p>
          <w:p w14:paraId="72E15E73" w14:textId="77777777" w:rsidR="005D1FE0" w:rsidRPr="00DB790D" w:rsidRDefault="005D1FE0" w:rsidP="00956BAD">
            <w:pPr>
              <w:pStyle w:val="Paragraph"/>
              <w:ind w:firstLine="0"/>
              <w:jc w:val="center"/>
            </w:pPr>
            <w:r w:rsidRPr="00DB790D">
              <w:t>6</w:t>
            </w:r>
          </w:p>
          <w:p w14:paraId="0BC813B7" w14:textId="77777777" w:rsidR="005D1FE0" w:rsidRPr="00DB790D" w:rsidRDefault="005D1FE0" w:rsidP="005D1FE0">
            <w:pPr>
              <w:pStyle w:val="Paragraph"/>
              <w:ind w:firstLine="0"/>
              <w:jc w:val="center"/>
            </w:pPr>
            <w:r w:rsidRPr="00DB790D">
              <w:t>7</w:t>
            </w:r>
          </w:p>
          <w:p w14:paraId="658B4D5C" w14:textId="321C8932" w:rsidR="005D1FE0" w:rsidRPr="00DB790D" w:rsidRDefault="005D1FE0" w:rsidP="005D1FE0">
            <w:pPr>
              <w:pStyle w:val="Paragraph"/>
              <w:ind w:firstLine="0"/>
              <w:jc w:val="center"/>
            </w:pPr>
            <w:r w:rsidRPr="00DB790D">
              <w:t>8</w:t>
            </w:r>
          </w:p>
        </w:tc>
        <w:tc>
          <w:tcPr>
            <w:tcW w:w="1276" w:type="dxa"/>
            <w:tcBorders>
              <w:top w:val="single" w:sz="4" w:space="0" w:color="auto"/>
              <w:left w:val="nil"/>
              <w:right w:val="nil"/>
            </w:tcBorders>
          </w:tcPr>
          <w:p w14:paraId="2C23AE8C" w14:textId="77777777" w:rsidR="005D1FE0" w:rsidRDefault="005D1FE0" w:rsidP="00956BAD">
            <w:pPr>
              <w:pStyle w:val="Paragraph"/>
              <w:ind w:firstLine="0"/>
              <w:jc w:val="center"/>
            </w:pPr>
            <w:r>
              <w:t>0.85</w:t>
            </w:r>
          </w:p>
          <w:p w14:paraId="6FEBE874" w14:textId="77777777" w:rsidR="005D1FE0" w:rsidRDefault="005D1FE0" w:rsidP="00956BAD">
            <w:pPr>
              <w:pStyle w:val="Paragraph"/>
              <w:ind w:firstLine="0"/>
              <w:jc w:val="center"/>
            </w:pPr>
            <w:r>
              <w:t>0.27</w:t>
            </w:r>
          </w:p>
          <w:p w14:paraId="4841A1CD" w14:textId="77777777" w:rsidR="005D1FE0" w:rsidRDefault="005D1FE0" w:rsidP="00956BAD">
            <w:pPr>
              <w:pStyle w:val="Paragraph"/>
              <w:ind w:firstLine="0"/>
              <w:jc w:val="center"/>
            </w:pPr>
            <w:r>
              <w:t>0.18</w:t>
            </w:r>
          </w:p>
          <w:p w14:paraId="17F8067D" w14:textId="77777777" w:rsidR="005D1FE0" w:rsidRDefault="005D1FE0" w:rsidP="00956BAD">
            <w:pPr>
              <w:pStyle w:val="Paragraph"/>
              <w:ind w:firstLine="0"/>
              <w:jc w:val="center"/>
            </w:pPr>
            <w:r>
              <w:t>0.13</w:t>
            </w:r>
          </w:p>
          <w:p w14:paraId="211DA428" w14:textId="77777777" w:rsidR="005D1FE0" w:rsidRDefault="005D1FE0" w:rsidP="00956BAD">
            <w:pPr>
              <w:pStyle w:val="Paragraph"/>
              <w:ind w:firstLine="0"/>
              <w:jc w:val="center"/>
            </w:pPr>
            <w:r>
              <w:t>0.18</w:t>
            </w:r>
          </w:p>
          <w:p w14:paraId="092F5599" w14:textId="77777777" w:rsidR="005D1FE0" w:rsidRDefault="005D1FE0" w:rsidP="00956BAD">
            <w:pPr>
              <w:pStyle w:val="Paragraph"/>
              <w:ind w:firstLine="0"/>
              <w:jc w:val="center"/>
            </w:pPr>
            <w:r>
              <w:t>0.15</w:t>
            </w:r>
          </w:p>
          <w:p w14:paraId="7584EED8" w14:textId="77777777" w:rsidR="005D1FE0" w:rsidRDefault="005D1FE0" w:rsidP="005D1FE0">
            <w:pPr>
              <w:pStyle w:val="Paragraph"/>
              <w:ind w:firstLine="0"/>
              <w:jc w:val="center"/>
            </w:pPr>
            <w:r>
              <w:t>0.15</w:t>
            </w:r>
          </w:p>
          <w:p w14:paraId="18E91276" w14:textId="6E420349" w:rsidR="005D1FE0" w:rsidRDefault="005D1FE0" w:rsidP="005D1FE0">
            <w:pPr>
              <w:pStyle w:val="Paragraph"/>
              <w:ind w:firstLine="0"/>
              <w:jc w:val="center"/>
            </w:pPr>
            <w:r>
              <w:t>0.14</w:t>
            </w:r>
          </w:p>
        </w:tc>
        <w:tc>
          <w:tcPr>
            <w:tcW w:w="1559" w:type="dxa"/>
            <w:tcBorders>
              <w:top w:val="single" w:sz="4" w:space="0" w:color="auto"/>
              <w:left w:val="nil"/>
              <w:right w:val="nil"/>
            </w:tcBorders>
          </w:tcPr>
          <w:p w14:paraId="4075FC4E" w14:textId="77777777" w:rsidR="005D1FE0" w:rsidRDefault="005D1FE0" w:rsidP="00956BAD">
            <w:pPr>
              <w:pStyle w:val="Paragraph"/>
              <w:ind w:firstLine="0"/>
              <w:jc w:val="center"/>
            </w:pPr>
            <w:r>
              <w:t>1.18</w:t>
            </w:r>
          </w:p>
          <w:p w14:paraId="095D0219" w14:textId="77777777" w:rsidR="005D1FE0" w:rsidRDefault="005D1FE0" w:rsidP="00956BAD">
            <w:pPr>
              <w:pStyle w:val="Paragraph"/>
              <w:ind w:firstLine="0"/>
              <w:jc w:val="center"/>
            </w:pPr>
            <w:r>
              <w:t>3.66</w:t>
            </w:r>
          </w:p>
          <w:p w14:paraId="502630AE" w14:textId="77777777" w:rsidR="005D1FE0" w:rsidRDefault="005D1FE0" w:rsidP="00956BAD">
            <w:pPr>
              <w:pStyle w:val="Paragraph"/>
              <w:ind w:firstLine="0"/>
              <w:jc w:val="center"/>
            </w:pPr>
            <w:r>
              <w:t>5.62</w:t>
            </w:r>
          </w:p>
          <w:p w14:paraId="110434D3" w14:textId="77777777" w:rsidR="005D1FE0" w:rsidRDefault="005D1FE0" w:rsidP="00956BAD">
            <w:pPr>
              <w:pStyle w:val="Paragraph"/>
              <w:ind w:firstLine="0"/>
              <w:jc w:val="center"/>
            </w:pPr>
            <w:r>
              <w:t>7.87</w:t>
            </w:r>
          </w:p>
          <w:p w14:paraId="696B3620" w14:textId="77777777" w:rsidR="005D1FE0" w:rsidRDefault="005D1FE0" w:rsidP="00956BAD">
            <w:pPr>
              <w:pStyle w:val="Paragraph"/>
              <w:ind w:firstLine="0"/>
              <w:jc w:val="center"/>
            </w:pPr>
            <w:r>
              <w:t>5.54</w:t>
            </w:r>
          </w:p>
          <w:p w14:paraId="510861A9" w14:textId="77777777" w:rsidR="005D1FE0" w:rsidRDefault="005D1FE0" w:rsidP="00956BAD">
            <w:pPr>
              <w:pStyle w:val="Paragraph"/>
              <w:ind w:firstLine="0"/>
              <w:jc w:val="center"/>
            </w:pPr>
            <w:r>
              <w:t>6.57</w:t>
            </w:r>
          </w:p>
          <w:p w14:paraId="6EEFCD1C" w14:textId="77777777" w:rsidR="005D1FE0" w:rsidRDefault="005D1FE0" w:rsidP="005D1FE0">
            <w:pPr>
              <w:pStyle w:val="Paragraph"/>
              <w:ind w:firstLine="0"/>
              <w:jc w:val="center"/>
            </w:pPr>
            <w:r>
              <w:t>6.85</w:t>
            </w:r>
          </w:p>
          <w:p w14:paraId="64265482" w14:textId="7E6B2177" w:rsidR="005D1FE0" w:rsidRDefault="005D1FE0" w:rsidP="005D1FE0">
            <w:pPr>
              <w:pStyle w:val="Paragraph"/>
              <w:ind w:firstLine="0"/>
              <w:jc w:val="center"/>
            </w:pPr>
            <w:r>
              <w:t>7.13</w:t>
            </w:r>
          </w:p>
        </w:tc>
        <w:tc>
          <w:tcPr>
            <w:tcW w:w="1701" w:type="dxa"/>
            <w:tcBorders>
              <w:top w:val="single" w:sz="4" w:space="0" w:color="auto"/>
              <w:left w:val="nil"/>
              <w:right w:val="nil"/>
            </w:tcBorders>
          </w:tcPr>
          <w:p w14:paraId="2D84DC24" w14:textId="77777777" w:rsidR="005D1FE0" w:rsidRDefault="005D1FE0" w:rsidP="00956BAD">
            <w:pPr>
              <w:pStyle w:val="Paragraph"/>
              <w:ind w:firstLine="0"/>
              <w:jc w:val="center"/>
            </w:pPr>
            <w:r>
              <w:t>278.17</w:t>
            </w:r>
          </w:p>
          <w:p w14:paraId="5CFE0D8B" w14:textId="77777777" w:rsidR="005D1FE0" w:rsidRDefault="005D1FE0" w:rsidP="00956BAD">
            <w:pPr>
              <w:pStyle w:val="Paragraph"/>
              <w:ind w:firstLine="0"/>
              <w:jc w:val="center"/>
            </w:pPr>
            <w:r>
              <w:t>23.99</w:t>
            </w:r>
          </w:p>
          <w:p w14:paraId="195A7DBE" w14:textId="77777777" w:rsidR="005D1FE0" w:rsidRDefault="005D1FE0" w:rsidP="00956BAD">
            <w:pPr>
              <w:pStyle w:val="Paragraph"/>
              <w:ind w:firstLine="0"/>
              <w:jc w:val="center"/>
            </w:pPr>
            <w:r>
              <w:t>4.58</w:t>
            </w:r>
          </w:p>
          <w:p w14:paraId="145E8D8A" w14:textId="77777777" w:rsidR="005D1FE0" w:rsidRDefault="005D1FE0" w:rsidP="00956BAD">
            <w:pPr>
              <w:pStyle w:val="Paragraph"/>
              <w:ind w:firstLine="0"/>
              <w:jc w:val="center"/>
            </w:pPr>
            <w:r>
              <w:t>0.00</w:t>
            </w:r>
          </w:p>
          <w:p w14:paraId="0A68A4BA" w14:textId="77777777" w:rsidR="005D1FE0" w:rsidRDefault="005D1FE0" w:rsidP="00956BAD">
            <w:pPr>
              <w:pStyle w:val="Paragraph"/>
              <w:ind w:firstLine="0"/>
              <w:jc w:val="center"/>
            </w:pPr>
            <w:r>
              <w:t>14.22</w:t>
            </w:r>
          </w:p>
          <w:p w14:paraId="6B8432E2" w14:textId="77777777" w:rsidR="005D1FE0" w:rsidRDefault="005D1FE0" w:rsidP="00956BAD">
            <w:pPr>
              <w:pStyle w:val="Paragraph"/>
              <w:ind w:firstLine="0"/>
              <w:jc w:val="center"/>
            </w:pPr>
            <w:r>
              <w:t>0.00</w:t>
            </w:r>
          </w:p>
          <w:p w14:paraId="5B8210B1" w14:textId="77777777" w:rsidR="005D1FE0" w:rsidRDefault="005D1FE0" w:rsidP="005D1FE0">
            <w:pPr>
              <w:pStyle w:val="Paragraph"/>
              <w:ind w:firstLine="0"/>
              <w:jc w:val="center"/>
            </w:pPr>
            <w:r>
              <w:t>0.12</w:t>
            </w:r>
          </w:p>
          <w:p w14:paraId="3F96993F" w14:textId="38A63668" w:rsidR="005D1FE0" w:rsidRDefault="005D1FE0" w:rsidP="005D1FE0">
            <w:pPr>
              <w:pStyle w:val="Paragraph"/>
              <w:ind w:firstLine="0"/>
              <w:jc w:val="center"/>
            </w:pPr>
            <w:r>
              <w:t>8.64</w:t>
            </w:r>
          </w:p>
        </w:tc>
        <w:tc>
          <w:tcPr>
            <w:tcW w:w="1701" w:type="dxa"/>
            <w:tcBorders>
              <w:top w:val="single" w:sz="4" w:space="0" w:color="auto"/>
              <w:left w:val="nil"/>
              <w:right w:val="nil"/>
            </w:tcBorders>
          </w:tcPr>
          <w:p w14:paraId="0F81DAB5" w14:textId="77777777" w:rsidR="005D1FE0" w:rsidRDefault="005D1FE0" w:rsidP="00956BAD">
            <w:pPr>
              <w:pStyle w:val="Paragraph"/>
              <w:ind w:firstLine="0"/>
              <w:jc w:val="center"/>
            </w:pPr>
            <w:r>
              <w:t>278.17</w:t>
            </w:r>
          </w:p>
          <w:p w14:paraId="03B01CE9" w14:textId="77777777" w:rsidR="005D1FE0" w:rsidRDefault="005D1FE0" w:rsidP="00956BAD">
            <w:pPr>
              <w:pStyle w:val="Paragraph"/>
              <w:ind w:firstLine="0"/>
              <w:jc w:val="center"/>
            </w:pPr>
            <w:r>
              <w:t>302.16</w:t>
            </w:r>
          </w:p>
          <w:p w14:paraId="1651D13E" w14:textId="77777777" w:rsidR="005D1FE0" w:rsidRDefault="005D1FE0" w:rsidP="00956BAD">
            <w:pPr>
              <w:pStyle w:val="Paragraph"/>
              <w:ind w:firstLine="0"/>
              <w:jc w:val="center"/>
            </w:pPr>
            <w:r>
              <w:t>306.74</w:t>
            </w:r>
          </w:p>
          <w:p w14:paraId="5E8A0F4D" w14:textId="77777777" w:rsidR="005D1FE0" w:rsidRDefault="005D1FE0" w:rsidP="00956BAD">
            <w:pPr>
              <w:pStyle w:val="Paragraph"/>
              <w:ind w:firstLine="0"/>
              <w:jc w:val="center"/>
            </w:pPr>
            <w:r>
              <w:t>306.74</w:t>
            </w:r>
          </w:p>
          <w:p w14:paraId="7179EE56" w14:textId="77777777" w:rsidR="005D1FE0" w:rsidRDefault="005D1FE0" w:rsidP="00956BAD">
            <w:pPr>
              <w:pStyle w:val="Paragraph"/>
              <w:ind w:firstLine="0"/>
              <w:jc w:val="center"/>
            </w:pPr>
            <w:r>
              <w:t>842.36</w:t>
            </w:r>
          </w:p>
          <w:p w14:paraId="6DB952A0" w14:textId="77777777" w:rsidR="005D1FE0" w:rsidRDefault="005D1FE0" w:rsidP="00956BAD">
            <w:pPr>
              <w:pStyle w:val="Paragraph"/>
              <w:ind w:firstLine="0"/>
              <w:jc w:val="center"/>
            </w:pPr>
            <w:r>
              <w:t>842.36</w:t>
            </w:r>
          </w:p>
          <w:p w14:paraId="15603DF9" w14:textId="77777777" w:rsidR="005D1FE0" w:rsidRDefault="005D1FE0" w:rsidP="005D1FE0">
            <w:pPr>
              <w:pStyle w:val="Paragraph"/>
              <w:ind w:firstLine="0"/>
              <w:jc w:val="center"/>
            </w:pPr>
            <w:r>
              <w:t>842.36</w:t>
            </w:r>
          </w:p>
          <w:p w14:paraId="5BD4ECA5" w14:textId="02586D28" w:rsidR="005D1FE0" w:rsidRDefault="005D1FE0" w:rsidP="005D1FE0">
            <w:pPr>
              <w:pStyle w:val="Paragraph"/>
              <w:ind w:firstLine="0"/>
              <w:jc w:val="center"/>
            </w:pPr>
            <w:r>
              <w:t>851.12</w:t>
            </w:r>
          </w:p>
        </w:tc>
        <w:tc>
          <w:tcPr>
            <w:tcW w:w="1842" w:type="dxa"/>
            <w:tcBorders>
              <w:top w:val="single" w:sz="4" w:space="0" w:color="auto"/>
              <w:left w:val="nil"/>
            </w:tcBorders>
          </w:tcPr>
          <w:p w14:paraId="3CF1991B" w14:textId="77777777" w:rsidR="00C66CB9" w:rsidRDefault="00C66CB9" w:rsidP="00956BAD">
            <w:pPr>
              <w:pStyle w:val="Paragraph"/>
              <w:ind w:firstLine="0"/>
              <w:jc w:val="center"/>
            </w:pPr>
            <w:r>
              <w:t>79.63</w:t>
            </w:r>
          </w:p>
          <w:p w14:paraId="1B8B6BAA" w14:textId="3E7E2366" w:rsidR="00C66CB9" w:rsidRDefault="00C66CB9" w:rsidP="00956BAD">
            <w:pPr>
              <w:pStyle w:val="Paragraph"/>
              <w:ind w:firstLine="0"/>
              <w:jc w:val="center"/>
            </w:pPr>
            <w:r>
              <w:t>90.17</w:t>
            </w:r>
          </w:p>
          <w:p w14:paraId="4EAE1DD7" w14:textId="0820C392" w:rsidR="00C66CB9" w:rsidRDefault="00C66CB9" w:rsidP="00956BAD">
            <w:pPr>
              <w:pStyle w:val="Paragraph"/>
              <w:ind w:firstLine="0"/>
              <w:jc w:val="center"/>
            </w:pPr>
            <w:r>
              <w:t>94.67</w:t>
            </w:r>
          </w:p>
          <w:p w14:paraId="08BBAD15" w14:textId="6BFB5E66" w:rsidR="00C66CB9" w:rsidRDefault="00C66CB9" w:rsidP="00956BAD">
            <w:pPr>
              <w:pStyle w:val="Paragraph"/>
              <w:ind w:firstLine="0"/>
              <w:jc w:val="center"/>
            </w:pPr>
            <w:r>
              <w:t>97.30</w:t>
            </w:r>
          </w:p>
          <w:p w14:paraId="0CAB0143" w14:textId="77777777" w:rsidR="005D1FE0" w:rsidRDefault="005D1FE0" w:rsidP="00956BAD">
            <w:pPr>
              <w:pStyle w:val="Paragraph"/>
              <w:ind w:firstLine="0"/>
              <w:jc w:val="center"/>
            </w:pPr>
            <w:r>
              <w:t>98.97</w:t>
            </w:r>
          </w:p>
          <w:p w14:paraId="175C102E" w14:textId="77777777" w:rsidR="005D1FE0" w:rsidRDefault="005D1FE0" w:rsidP="00956BAD">
            <w:pPr>
              <w:pStyle w:val="Paragraph"/>
              <w:ind w:firstLine="0"/>
              <w:jc w:val="center"/>
            </w:pPr>
            <w:r>
              <w:t>98.97</w:t>
            </w:r>
          </w:p>
          <w:p w14:paraId="7EADE0B8" w14:textId="77777777" w:rsidR="005D1FE0" w:rsidRDefault="005D1FE0" w:rsidP="005D1FE0">
            <w:pPr>
              <w:pStyle w:val="Paragraph"/>
              <w:ind w:firstLine="0"/>
              <w:jc w:val="center"/>
            </w:pPr>
            <w:r>
              <w:t>98.99</w:t>
            </w:r>
          </w:p>
          <w:p w14:paraId="3587ABF7" w14:textId="43A727C7" w:rsidR="005D1FE0" w:rsidRDefault="005D1FE0" w:rsidP="005D1FE0">
            <w:pPr>
              <w:pStyle w:val="Paragraph"/>
              <w:ind w:firstLine="0"/>
              <w:jc w:val="center"/>
            </w:pPr>
            <w:r>
              <w:t>100.00</w:t>
            </w:r>
          </w:p>
        </w:tc>
      </w:tr>
    </w:tbl>
    <w:p w14:paraId="754CA356" w14:textId="7E036DFA" w:rsidR="000F6A15" w:rsidRDefault="000F6A15" w:rsidP="000F6A15">
      <w:pPr>
        <w:pStyle w:val="Paragraph"/>
      </w:pPr>
      <w:r>
        <w:t>When forming spectr</w:t>
      </w:r>
      <w:r w:rsidR="0044547E">
        <w:t>um</w:t>
      </w:r>
      <w:r>
        <w:t xml:space="preserve"> curves according to the </w:t>
      </w:r>
      <w:r w:rsidR="005D1FE0">
        <w:t>KMK2.01.03-19 [1] for model No.</w:t>
      </w:r>
      <w:r>
        <w:t>2 of a 9-story frame, in contrast to the first model, the num</w:t>
      </w:r>
      <w:r w:rsidR="005D1FE0">
        <w:t xml:space="preserve">ber of </w:t>
      </w:r>
      <w:proofErr w:type="spellStart"/>
      <w:r w:rsidR="005D1FE0">
        <w:t>storeys</w:t>
      </w:r>
      <w:proofErr w:type="spellEnd"/>
      <w:r w:rsidR="005D1FE0">
        <w:t xml:space="preserve"> coefficient </w:t>
      </w:r>
      <w:r w:rsidR="005D1FE0" w:rsidRPr="005D1FE0">
        <w:rPr>
          <w:i/>
        </w:rPr>
        <w:t>K</w:t>
      </w:r>
      <w:r w:rsidR="005D1FE0" w:rsidRPr="005D1FE0">
        <w:rPr>
          <w:i/>
          <w:vertAlign w:val="subscript"/>
        </w:rPr>
        <w:t>t</w:t>
      </w:r>
      <w:r w:rsidR="005D1FE0">
        <w:t>=1+0.1 (</w:t>
      </w:r>
      <w:r w:rsidR="005D1FE0" w:rsidRPr="00A83F56">
        <w:rPr>
          <w:sz w:val="24"/>
        </w:rPr>
        <w:t>n</w:t>
      </w:r>
      <w:r w:rsidR="005D1FE0" w:rsidRPr="00A83F56">
        <w:rPr>
          <w:vertAlign w:val="subscript"/>
        </w:rPr>
        <w:t>st</w:t>
      </w:r>
      <w:r w:rsidR="005D1FE0">
        <w:t>-5)=</w:t>
      </w:r>
      <w:r>
        <w:t xml:space="preserve">1.4 was taken into account ac-cording to clause 2.17, that is, the curve was raised relative to the curve for model </w:t>
      </w:r>
    </w:p>
    <w:p w14:paraId="18231EDE" w14:textId="5CB23052" w:rsidR="000F6A15" w:rsidRDefault="005D1FE0" w:rsidP="000F6A15">
      <w:pPr>
        <w:pStyle w:val="Paragraph"/>
      </w:pPr>
      <w:r>
        <w:t>No.</w:t>
      </w:r>
      <w:r w:rsidR="000F6A15">
        <w:t>1 by 40% with unchanged curves of foreign standards.</w:t>
      </w:r>
    </w:p>
    <w:p w14:paraId="5D08CFF6" w14:textId="2F8E85AB" w:rsidR="00542214" w:rsidRDefault="000F6A15" w:rsidP="000F6A15">
      <w:pPr>
        <w:pStyle w:val="Paragraph"/>
      </w:pPr>
      <w:r>
        <w:t>The seismic load (equal to the total horizontal support reaction) when calculated using the design spectrum curves and the perc</w:t>
      </w:r>
      <w:r w:rsidR="005D1FE0">
        <w:t>entage of cal</w:t>
      </w:r>
      <w:r>
        <w:t>culated reinforcement of the first floor columns according to the design standards for reinforced concrete structures are given in Table 4.</w:t>
      </w:r>
    </w:p>
    <w:tbl>
      <w:tblPr>
        <w:tblStyle w:val="a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1842"/>
        <w:gridCol w:w="1560"/>
        <w:gridCol w:w="1417"/>
        <w:gridCol w:w="1134"/>
        <w:gridCol w:w="1275"/>
      </w:tblGrid>
      <w:tr w:rsidR="0064175C" w14:paraId="38177689" w14:textId="77777777" w:rsidTr="00C943F2">
        <w:trPr>
          <w:jc w:val="center"/>
        </w:trPr>
        <w:tc>
          <w:tcPr>
            <w:tcW w:w="9350" w:type="dxa"/>
            <w:gridSpan w:val="6"/>
            <w:tcBorders>
              <w:bottom w:val="single" w:sz="4" w:space="0" w:color="auto"/>
            </w:tcBorders>
          </w:tcPr>
          <w:p w14:paraId="20CB736A" w14:textId="6EE057A0" w:rsidR="0064175C" w:rsidRPr="00542214" w:rsidRDefault="0064175C" w:rsidP="0064175C">
            <w:pPr>
              <w:pStyle w:val="TableCaption"/>
              <w:rPr>
                <w:b/>
              </w:rPr>
            </w:pPr>
            <w:r w:rsidRPr="0064175C">
              <w:rPr>
                <w:b/>
              </w:rPr>
              <w:t>TABLE 4.</w:t>
            </w:r>
            <w:r w:rsidRPr="00653129">
              <w:t xml:space="preserve"> Seismic load on the frame and the design percentage of reinforcement of the first floor columns for model No.2</w:t>
            </w:r>
          </w:p>
        </w:tc>
      </w:tr>
      <w:tr w:rsidR="0064175C" w14:paraId="4C9FBAA3" w14:textId="77777777" w:rsidTr="00C943F2">
        <w:trPr>
          <w:jc w:val="center"/>
        </w:trPr>
        <w:tc>
          <w:tcPr>
            <w:tcW w:w="2122" w:type="dxa"/>
            <w:tcBorders>
              <w:top w:val="single" w:sz="4" w:space="0" w:color="auto"/>
              <w:bottom w:val="single" w:sz="4" w:space="0" w:color="auto"/>
            </w:tcBorders>
          </w:tcPr>
          <w:p w14:paraId="7C7BBC35" w14:textId="06623E03" w:rsidR="0064175C" w:rsidRPr="00542214" w:rsidRDefault="0064175C" w:rsidP="0064175C">
            <w:pPr>
              <w:pStyle w:val="Paragraph"/>
              <w:ind w:firstLine="0"/>
              <w:jc w:val="center"/>
              <w:rPr>
                <w:b/>
              </w:rPr>
            </w:pPr>
            <w:r w:rsidRPr="00542214">
              <w:rPr>
                <w:b/>
              </w:rPr>
              <w:t>Norms</w:t>
            </w:r>
          </w:p>
        </w:tc>
        <w:tc>
          <w:tcPr>
            <w:tcW w:w="1842" w:type="dxa"/>
            <w:tcBorders>
              <w:top w:val="single" w:sz="4" w:space="0" w:color="auto"/>
              <w:bottom w:val="single" w:sz="4" w:space="0" w:color="auto"/>
            </w:tcBorders>
          </w:tcPr>
          <w:p w14:paraId="31F04181" w14:textId="01F19EC8" w:rsidR="0064175C" w:rsidRPr="00542214" w:rsidRDefault="0064175C" w:rsidP="0064175C">
            <w:pPr>
              <w:pStyle w:val="Paragraph"/>
              <w:ind w:firstLine="0"/>
              <w:jc w:val="center"/>
              <w:rPr>
                <w:b/>
              </w:rPr>
            </w:pPr>
            <w:r w:rsidRPr="00542214">
              <w:rPr>
                <w:b/>
              </w:rPr>
              <w:t>KMK 2.01.03-19</w:t>
            </w:r>
          </w:p>
        </w:tc>
        <w:tc>
          <w:tcPr>
            <w:tcW w:w="1560" w:type="dxa"/>
            <w:tcBorders>
              <w:top w:val="single" w:sz="4" w:space="0" w:color="auto"/>
              <w:bottom w:val="single" w:sz="4" w:space="0" w:color="auto"/>
            </w:tcBorders>
          </w:tcPr>
          <w:p w14:paraId="690DBC44" w14:textId="2D652025" w:rsidR="0064175C" w:rsidRPr="00542214" w:rsidRDefault="0064175C" w:rsidP="0064175C">
            <w:pPr>
              <w:pStyle w:val="Paragraph"/>
              <w:ind w:firstLine="0"/>
              <w:jc w:val="center"/>
              <w:rPr>
                <w:b/>
              </w:rPr>
            </w:pPr>
            <w:r w:rsidRPr="00542214">
              <w:rPr>
                <w:b/>
              </w:rPr>
              <w:t>SP-14-2018</w:t>
            </w:r>
          </w:p>
        </w:tc>
        <w:tc>
          <w:tcPr>
            <w:tcW w:w="1417" w:type="dxa"/>
            <w:tcBorders>
              <w:top w:val="single" w:sz="4" w:space="0" w:color="auto"/>
              <w:bottom w:val="single" w:sz="4" w:space="0" w:color="auto"/>
            </w:tcBorders>
          </w:tcPr>
          <w:p w14:paraId="4EFC64B4" w14:textId="1B8EFBD8" w:rsidR="0064175C" w:rsidRPr="00542214" w:rsidRDefault="0064175C" w:rsidP="0064175C">
            <w:pPr>
              <w:pStyle w:val="Paragraph"/>
              <w:ind w:firstLine="0"/>
              <w:jc w:val="center"/>
              <w:rPr>
                <w:b/>
              </w:rPr>
            </w:pPr>
            <w:r w:rsidRPr="00542214">
              <w:rPr>
                <w:b/>
              </w:rPr>
              <w:t>Eurocode-8</w:t>
            </w:r>
          </w:p>
        </w:tc>
        <w:tc>
          <w:tcPr>
            <w:tcW w:w="1134" w:type="dxa"/>
            <w:tcBorders>
              <w:top w:val="single" w:sz="4" w:space="0" w:color="auto"/>
              <w:bottom w:val="single" w:sz="4" w:space="0" w:color="auto"/>
            </w:tcBorders>
          </w:tcPr>
          <w:p w14:paraId="43B02BBA" w14:textId="57605420" w:rsidR="0064175C" w:rsidRPr="00542214" w:rsidRDefault="0064175C" w:rsidP="0064175C">
            <w:pPr>
              <w:pStyle w:val="Paragraph"/>
              <w:ind w:firstLine="0"/>
              <w:jc w:val="center"/>
              <w:rPr>
                <w:b/>
              </w:rPr>
            </w:pPr>
            <w:r w:rsidRPr="00542214">
              <w:rPr>
                <w:b/>
              </w:rPr>
              <w:t>UBC-97</w:t>
            </w:r>
          </w:p>
        </w:tc>
        <w:tc>
          <w:tcPr>
            <w:tcW w:w="1275" w:type="dxa"/>
            <w:tcBorders>
              <w:top w:val="single" w:sz="4" w:space="0" w:color="auto"/>
              <w:bottom w:val="single" w:sz="4" w:space="0" w:color="auto"/>
            </w:tcBorders>
          </w:tcPr>
          <w:p w14:paraId="588A4C58" w14:textId="2588347B" w:rsidR="0064175C" w:rsidRPr="00542214" w:rsidRDefault="0064175C" w:rsidP="0064175C">
            <w:pPr>
              <w:pStyle w:val="Paragraph"/>
              <w:ind w:firstLine="0"/>
              <w:jc w:val="center"/>
              <w:rPr>
                <w:b/>
              </w:rPr>
            </w:pPr>
            <w:r w:rsidRPr="00542214">
              <w:rPr>
                <w:b/>
              </w:rPr>
              <w:t>ASCE 7-10</w:t>
            </w:r>
          </w:p>
        </w:tc>
      </w:tr>
      <w:tr w:rsidR="0064175C" w14:paraId="5210C605" w14:textId="77777777" w:rsidTr="00C943F2">
        <w:trPr>
          <w:trHeight w:val="950"/>
          <w:jc w:val="center"/>
        </w:trPr>
        <w:tc>
          <w:tcPr>
            <w:tcW w:w="2122" w:type="dxa"/>
            <w:tcBorders>
              <w:top w:val="single" w:sz="4" w:space="0" w:color="auto"/>
              <w:bottom w:val="single" w:sz="4" w:space="0" w:color="auto"/>
            </w:tcBorders>
          </w:tcPr>
          <w:p w14:paraId="772B351E" w14:textId="77777777" w:rsidR="0064175C" w:rsidRDefault="0064175C" w:rsidP="0064175C">
            <w:pPr>
              <w:pStyle w:val="Paragraph"/>
              <w:ind w:firstLine="0"/>
              <w:jc w:val="center"/>
            </w:pPr>
            <w:r w:rsidRPr="00542214">
              <w:t xml:space="preserve">Seismic load </w:t>
            </w:r>
            <w:r w:rsidRPr="005D1FE0">
              <w:rPr>
                <w:i/>
              </w:rPr>
              <w:t>F</w:t>
            </w:r>
            <w:r w:rsidRPr="005D1FE0">
              <w:rPr>
                <w:i/>
                <w:vertAlign w:val="subscript"/>
              </w:rPr>
              <w:t>b</w:t>
            </w:r>
            <w:r w:rsidRPr="00542214">
              <w:t xml:space="preserve">, </w:t>
            </w:r>
            <w:proofErr w:type="spellStart"/>
            <w:r w:rsidRPr="00542214">
              <w:t>kN</w:t>
            </w:r>
            <w:proofErr w:type="spellEnd"/>
          </w:p>
          <w:p w14:paraId="4FA1A773" w14:textId="77777777" w:rsidR="0064175C" w:rsidRDefault="0064175C" w:rsidP="0064175C">
            <w:pPr>
              <w:pStyle w:val="Paragraph"/>
              <w:ind w:firstLine="0"/>
              <w:jc w:val="center"/>
            </w:pPr>
            <w:r w:rsidRPr="00542214">
              <w:t>Relation to KMK</w:t>
            </w:r>
          </w:p>
          <w:p w14:paraId="07A1C1D2" w14:textId="77777777" w:rsidR="0064175C" w:rsidRDefault="0064175C" w:rsidP="0064175C">
            <w:pPr>
              <w:pStyle w:val="Paragraph"/>
              <w:ind w:firstLine="0"/>
              <w:jc w:val="center"/>
            </w:pPr>
            <w:r>
              <w:t>R</w:t>
            </w:r>
            <w:r w:rsidRPr="00542214">
              <w:t>einforcement</w:t>
            </w:r>
            <w:r>
              <w:t xml:space="preserve"> %</w:t>
            </w:r>
          </w:p>
          <w:p w14:paraId="63953D00" w14:textId="77777777" w:rsidR="0064175C" w:rsidRDefault="0064175C" w:rsidP="0064175C">
            <w:pPr>
              <w:pStyle w:val="Paragraph"/>
              <w:ind w:firstLine="0"/>
              <w:jc w:val="center"/>
            </w:pPr>
            <w:r w:rsidRPr="00542214">
              <w:t>Relation to KMK</w:t>
            </w:r>
          </w:p>
        </w:tc>
        <w:tc>
          <w:tcPr>
            <w:tcW w:w="1842" w:type="dxa"/>
            <w:tcBorders>
              <w:top w:val="single" w:sz="4" w:space="0" w:color="auto"/>
              <w:bottom w:val="single" w:sz="4" w:space="0" w:color="auto"/>
            </w:tcBorders>
          </w:tcPr>
          <w:p w14:paraId="6F520D2D" w14:textId="2F53F1E0" w:rsidR="0064175C" w:rsidRDefault="0064175C" w:rsidP="0064175C">
            <w:pPr>
              <w:pStyle w:val="Paragraph"/>
              <w:ind w:firstLine="0"/>
              <w:jc w:val="center"/>
            </w:pPr>
            <w:r>
              <w:t>346</w:t>
            </w:r>
          </w:p>
          <w:p w14:paraId="39D071EE" w14:textId="77777777" w:rsidR="0064175C" w:rsidRDefault="0064175C" w:rsidP="0064175C">
            <w:pPr>
              <w:pStyle w:val="Paragraph"/>
              <w:ind w:firstLine="0"/>
              <w:jc w:val="center"/>
            </w:pPr>
            <w:r>
              <w:t>1</w:t>
            </w:r>
          </w:p>
          <w:p w14:paraId="0CAF9799" w14:textId="662DB021" w:rsidR="0064175C" w:rsidRDefault="0064175C" w:rsidP="0064175C">
            <w:pPr>
              <w:pStyle w:val="Paragraph"/>
              <w:ind w:firstLine="0"/>
              <w:jc w:val="center"/>
            </w:pPr>
            <w:r>
              <w:t>3.74</w:t>
            </w:r>
          </w:p>
          <w:p w14:paraId="47577DC8" w14:textId="77777777" w:rsidR="0064175C" w:rsidRDefault="0064175C" w:rsidP="0064175C">
            <w:pPr>
              <w:pStyle w:val="Paragraph"/>
              <w:ind w:firstLine="0"/>
              <w:jc w:val="center"/>
            </w:pPr>
            <w:r>
              <w:t>1</w:t>
            </w:r>
          </w:p>
        </w:tc>
        <w:tc>
          <w:tcPr>
            <w:tcW w:w="1560" w:type="dxa"/>
            <w:tcBorders>
              <w:top w:val="single" w:sz="4" w:space="0" w:color="auto"/>
              <w:bottom w:val="single" w:sz="4" w:space="0" w:color="auto"/>
            </w:tcBorders>
          </w:tcPr>
          <w:p w14:paraId="02813A27" w14:textId="4750808D" w:rsidR="0064175C" w:rsidRDefault="0064175C" w:rsidP="0064175C">
            <w:pPr>
              <w:pStyle w:val="Paragraph"/>
              <w:ind w:firstLine="0"/>
              <w:jc w:val="center"/>
            </w:pPr>
            <w:r>
              <w:t>712</w:t>
            </w:r>
          </w:p>
          <w:p w14:paraId="32A08B23" w14:textId="2CF4F63A" w:rsidR="0064175C" w:rsidRDefault="0064175C" w:rsidP="0064175C">
            <w:pPr>
              <w:pStyle w:val="Paragraph"/>
              <w:ind w:firstLine="0"/>
              <w:jc w:val="center"/>
            </w:pPr>
            <w:r>
              <w:t>2.06</w:t>
            </w:r>
          </w:p>
          <w:p w14:paraId="5406948F" w14:textId="46CCAB7B" w:rsidR="0064175C" w:rsidRDefault="0064175C" w:rsidP="0064175C">
            <w:pPr>
              <w:pStyle w:val="Paragraph"/>
              <w:ind w:firstLine="0"/>
              <w:jc w:val="center"/>
            </w:pPr>
            <w:r>
              <w:t>5.24</w:t>
            </w:r>
          </w:p>
          <w:p w14:paraId="1B7E1070" w14:textId="274014E8" w:rsidR="0064175C" w:rsidRDefault="0064175C" w:rsidP="0064175C">
            <w:pPr>
              <w:pStyle w:val="Paragraph"/>
              <w:ind w:firstLine="0"/>
              <w:jc w:val="center"/>
            </w:pPr>
            <w:r>
              <w:t>1.4</w:t>
            </w:r>
          </w:p>
        </w:tc>
        <w:tc>
          <w:tcPr>
            <w:tcW w:w="1417" w:type="dxa"/>
            <w:tcBorders>
              <w:top w:val="single" w:sz="4" w:space="0" w:color="auto"/>
              <w:bottom w:val="single" w:sz="4" w:space="0" w:color="auto"/>
            </w:tcBorders>
          </w:tcPr>
          <w:p w14:paraId="4E494E09" w14:textId="02C223E2" w:rsidR="0064175C" w:rsidRDefault="0064175C" w:rsidP="0064175C">
            <w:pPr>
              <w:pStyle w:val="Paragraph"/>
              <w:ind w:firstLine="0"/>
              <w:jc w:val="center"/>
            </w:pPr>
            <w:r>
              <w:t>434</w:t>
            </w:r>
          </w:p>
          <w:p w14:paraId="6D4395B2" w14:textId="0FDAC148" w:rsidR="0064175C" w:rsidRDefault="0064175C" w:rsidP="0064175C">
            <w:pPr>
              <w:pStyle w:val="Paragraph"/>
              <w:ind w:firstLine="0"/>
              <w:jc w:val="center"/>
            </w:pPr>
            <w:r>
              <w:t>1.25</w:t>
            </w:r>
          </w:p>
          <w:p w14:paraId="54D2B31E" w14:textId="2CA0203C" w:rsidR="0064175C" w:rsidRDefault="0064175C" w:rsidP="0064175C">
            <w:pPr>
              <w:pStyle w:val="Paragraph"/>
              <w:ind w:firstLine="0"/>
              <w:jc w:val="center"/>
            </w:pPr>
            <w:r>
              <w:t>4.11</w:t>
            </w:r>
          </w:p>
          <w:p w14:paraId="322E5DA4" w14:textId="1C9F198C" w:rsidR="0064175C" w:rsidRDefault="0064175C" w:rsidP="0064175C">
            <w:pPr>
              <w:pStyle w:val="Paragraph"/>
              <w:ind w:firstLine="0"/>
              <w:jc w:val="center"/>
            </w:pPr>
            <w:r>
              <w:t>1.1</w:t>
            </w:r>
          </w:p>
        </w:tc>
        <w:tc>
          <w:tcPr>
            <w:tcW w:w="1134" w:type="dxa"/>
            <w:tcBorders>
              <w:top w:val="single" w:sz="4" w:space="0" w:color="auto"/>
              <w:bottom w:val="single" w:sz="4" w:space="0" w:color="auto"/>
            </w:tcBorders>
          </w:tcPr>
          <w:p w14:paraId="37CB2AF4" w14:textId="7CB0CDB6" w:rsidR="0064175C" w:rsidRDefault="0064175C" w:rsidP="0064175C">
            <w:pPr>
              <w:pStyle w:val="Paragraph"/>
              <w:ind w:firstLine="0"/>
              <w:jc w:val="center"/>
            </w:pPr>
            <w:r>
              <w:t>504</w:t>
            </w:r>
          </w:p>
          <w:p w14:paraId="083BAC55" w14:textId="6B4E26D3" w:rsidR="0064175C" w:rsidRDefault="0064175C" w:rsidP="0064175C">
            <w:pPr>
              <w:pStyle w:val="Paragraph"/>
              <w:ind w:firstLine="0"/>
              <w:jc w:val="center"/>
            </w:pPr>
            <w:r>
              <w:t>1.46</w:t>
            </w:r>
          </w:p>
          <w:p w14:paraId="744EFC9C" w14:textId="64A22921" w:rsidR="0064175C" w:rsidRDefault="0064175C" w:rsidP="0064175C">
            <w:pPr>
              <w:pStyle w:val="Paragraph"/>
              <w:ind w:firstLine="0"/>
              <w:jc w:val="center"/>
            </w:pPr>
            <w:r>
              <w:t>4.35</w:t>
            </w:r>
          </w:p>
          <w:p w14:paraId="153DF4AB" w14:textId="549ED41F" w:rsidR="0064175C" w:rsidRDefault="0064175C" w:rsidP="0064175C">
            <w:pPr>
              <w:pStyle w:val="Paragraph"/>
              <w:ind w:firstLine="0"/>
              <w:jc w:val="center"/>
            </w:pPr>
            <w:r>
              <w:t>1.16</w:t>
            </w:r>
          </w:p>
        </w:tc>
        <w:tc>
          <w:tcPr>
            <w:tcW w:w="1275" w:type="dxa"/>
            <w:tcBorders>
              <w:top w:val="single" w:sz="4" w:space="0" w:color="auto"/>
              <w:bottom w:val="single" w:sz="4" w:space="0" w:color="auto"/>
            </w:tcBorders>
          </w:tcPr>
          <w:p w14:paraId="04E011AD" w14:textId="1AC0B17F" w:rsidR="0064175C" w:rsidRDefault="0064175C" w:rsidP="0064175C">
            <w:pPr>
              <w:pStyle w:val="Paragraph"/>
              <w:ind w:firstLine="0"/>
              <w:jc w:val="center"/>
            </w:pPr>
            <w:r>
              <w:t>452</w:t>
            </w:r>
          </w:p>
          <w:p w14:paraId="2312CD40" w14:textId="0D3E34E8" w:rsidR="0064175C" w:rsidRDefault="0064175C" w:rsidP="0064175C">
            <w:pPr>
              <w:pStyle w:val="Paragraph"/>
              <w:ind w:firstLine="0"/>
              <w:jc w:val="center"/>
            </w:pPr>
            <w:r>
              <w:t>1.31</w:t>
            </w:r>
          </w:p>
          <w:p w14:paraId="2358DAF5" w14:textId="64F223CB" w:rsidR="0064175C" w:rsidRDefault="0064175C" w:rsidP="0064175C">
            <w:pPr>
              <w:pStyle w:val="Paragraph"/>
              <w:ind w:firstLine="0"/>
              <w:jc w:val="center"/>
            </w:pPr>
            <w:r>
              <w:t>4.15</w:t>
            </w:r>
          </w:p>
          <w:p w14:paraId="22D4A027" w14:textId="0C8DDD55" w:rsidR="0064175C" w:rsidRDefault="0064175C" w:rsidP="0064175C">
            <w:pPr>
              <w:pStyle w:val="Paragraph"/>
              <w:ind w:firstLine="0"/>
              <w:jc w:val="center"/>
            </w:pPr>
            <w:r>
              <w:t>1.11</w:t>
            </w:r>
          </w:p>
        </w:tc>
      </w:tr>
    </w:tbl>
    <w:p w14:paraId="61857C15" w14:textId="58F618BB" w:rsidR="000F6A15" w:rsidRDefault="000F6A15" w:rsidP="00B1000D">
      <w:pPr>
        <w:pStyle w:val="Paragraph"/>
      </w:pPr>
    </w:p>
    <w:tbl>
      <w:tblPr>
        <w:tblStyle w:val="a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0F6A15" w14:paraId="1210796F" w14:textId="77777777" w:rsidTr="005D1FE0">
        <w:trPr>
          <w:jc w:val="center"/>
        </w:trPr>
        <w:tc>
          <w:tcPr>
            <w:tcW w:w="9350" w:type="dxa"/>
          </w:tcPr>
          <w:p w14:paraId="754924AA" w14:textId="7EE5BEA7" w:rsidR="000F6A15" w:rsidRDefault="003B01F9" w:rsidP="003B01F9">
            <w:pPr>
              <w:pStyle w:val="Paragraph"/>
              <w:ind w:firstLine="0"/>
              <w:jc w:val="center"/>
            </w:pPr>
            <w:r>
              <w:rPr>
                <w:rFonts w:ascii="Arial" w:hAnsi="Arial" w:cs="Arial"/>
                <w:b/>
                <w:i/>
                <w:noProof/>
                <w:szCs w:val="28"/>
                <w:lang w:val="ru-RU" w:eastAsia="ja-JP"/>
              </w:rPr>
              <w:lastRenderedPageBreak/>
              <w:drawing>
                <wp:inline distT="0" distB="0" distL="0" distR="0" wp14:anchorId="4ECFFF02" wp14:editId="066295FB">
                  <wp:extent cx="5524500" cy="2762250"/>
                  <wp:effectExtent l="0" t="0" r="0" b="0"/>
                  <wp:docPr id="23" name="Диаграм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bl>
    <w:p w14:paraId="741F955F" w14:textId="7E8C4551" w:rsidR="000F6A15" w:rsidRDefault="003B01F9" w:rsidP="003B01F9">
      <w:pPr>
        <w:pStyle w:val="Paragraph"/>
        <w:ind w:firstLine="0"/>
        <w:jc w:val="center"/>
      </w:pPr>
      <w:r w:rsidRPr="003B01F9">
        <w:rPr>
          <w:b/>
        </w:rPr>
        <w:t>FIGURE</w:t>
      </w:r>
      <w:r w:rsidR="005F05CC" w:rsidRPr="00B526E8">
        <w:rPr>
          <w:b/>
        </w:rPr>
        <w:t xml:space="preserve"> </w:t>
      </w:r>
      <w:r w:rsidRPr="003B01F9">
        <w:rPr>
          <w:b/>
        </w:rPr>
        <w:t>6.</w:t>
      </w:r>
      <w:r w:rsidRPr="003B01F9">
        <w:t xml:space="preserve"> Seismic</w:t>
      </w:r>
      <w:r w:rsidR="00DB790D">
        <w:t xml:space="preserve"> load on the frame of model No.</w:t>
      </w:r>
      <w:r w:rsidRPr="003B01F9">
        <w:t>2.</w:t>
      </w:r>
    </w:p>
    <w:p w14:paraId="1864A931" w14:textId="664C27AA" w:rsidR="000F6A15" w:rsidRDefault="003B01F9" w:rsidP="003B01F9">
      <w:pPr>
        <w:pStyle w:val="1"/>
      </w:pPr>
      <w:r w:rsidRPr="003B01F9">
        <w:t>CONCLUSIONS</w:t>
      </w:r>
    </w:p>
    <w:p w14:paraId="34EFC10C" w14:textId="77777777" w:rsidR="003B01F9" w:rsidRDefault="003B01F9" w:rsidP="003B01F9">
      <w:pPr>
        <w:pStyle w:val="Paragraph"/>
      </w:pPr>
      <w:r>
        <w:t>Comparative results of seismic load calculations for only two design models of the moment-resisting frame according to 5 standards showed the following:</w:t>
      </w:r>
    </w:p>
    <w:p w14:paraId="6CCDB75B" w14:textId="23EAB261" w:rsidR="003B01F9" w:rsidRDefault="003B01F9" w:rsidP="003B01F9">
      <w:pPr>
        <w:pStyle w:val="Paragraph"/>
      </w:pPr>
      <w:r>
        <w:t xml:space="preserve">1. Estimated seismic loads according to KMK standards2.01.03-2019 [1] significantly lower than foreign standards – from 100% for buildings up to 5 </w:t>
      </w:r>
      <w:proofErr w:type="spellStart"/>
      <w:r>
        <w:t>storeys</w:t>
      </w:r>
      <w:proofErr w:type="spellEnd"/>
      <w:r>
        <w:t xml:space="preserve"> to 25-46% for buildings abo</w:t>
      </w:r>
      <w:r w:rsidR="00DB790D">
        <w:t xml:space="preserve">ve 5 </w:t>
      </w:r>
      <w:proofErr w:type="spellStart"/>
      <w:r w:rsidR="00DB790D">
        <w:t>storeys</w:t>
      </w:r>
      <w:proofErr w:type="spellEnd"/>
      <w:r w:rsidR="00DB790D">
        <w:t>, with a correspond</w:t>
      </w:r>
      <w:r>
        <w:t>ing reduction in column reinforcement.</w:t>
      </w:r>
    </w:p>
    <w:p w14:paraId="2B0021A2" w14:textId="15D4E8DF" w:rsidR="003B01F9" w:rsidRDefault="003B01F9" w:rsidP="003B01F9">
      <w:pPr>
        <w:pStyle w:val="Paragraph"/>
      </w:pPr>
      <w:r>
        <w:t>In the opinion of authors, this is due to the reduced parameters of the spectr</w:t>
      </w:r>
      <w:r w:rsidR="00300FA7">
        <w:t>um</w:t>
      </w:r>
      <w:r>
        <w:t xml:space="preserve"> curve according to the KMK 2.01.03-2019 [1], whi</w:t>
      </w:r>
      <w:r w:rsidR="005D1FE0">
        <w:t>ch require addi</w:t>
      </w:r>
      <w:r>
        <w:t>tional attention and revision;</w:t>
      </w:r>
    </w:p>
    <w:p w14:paraId="3F171C31" w14:textId="6D75AB72" w:rsidR="003B01F9" w:rsidRDefault="003B01F9" w:rsidP="003B01F9">
      <w:pPr>
        <w:pStyle w:val="Paragraph"/>
      </w:pPr>
      <w:r>
        <w:t>2. It is necessary to reconsider the role</w:t>
      </w:r>
      <w:r w:rsidR="005D1FE0">
        <w:t xml:space="preserve"> and significance of the </w:t>
      </w:r>
      <w:proofErr w:type="spellStart"/>
      <w:r w:rsidR="005D1FE0" w:rsidRPr="00DB790D">
        <w:rPr>
          <w:i/>
        </w:rPr>
        <w:t>K</w:t>
      </w:r>
      <w:r w:rsidR="005D1FE0" w:rsidRPr="00DB790D">
        <w:rPr>
          <w:i/>
          <w:vertAlign w:val="subscript"/>
        </w:rPr>
        <w:t>st</w:t>
      </w:r>
      <w:proofErr w:type="spellEnd"/>
      <w:r w:rsidR="005D1FE0">
        <w:t xml:space="preserve"> co</w:t>
      </w:r>
      <w:r>
        <w:t xml:space="preserve">efficient, which, back in </w:t>
      </w:r>
      <w:proofErr w:type="spellStart"/>
      <w:r>
        <w:t>SNiP</w:t>
      </w:r>
      <w:proofErr w:type="spellEnd"/>
      <w:r>
        <w:t xml:space="preserve"> II-7-81*, took into account the risk of brittle failure of building structures with increasing number of stories, particularly in the long-period of the spectrum curve, the excess of which, in real-world conditions, was assumed to be relatively greater than in the short-period section. Currently, this factors </w:t>
      </w:r>
      <w:r w:rsidR="005F05CC">
        <w:t>are</w:t>
      </w:r>
      <w:r>
        <w:t xml:space="preserve"> derived from Russian SP-14-2018, and was not included in other foreign standards at all;</w:t>
      </w:r>
    </w:p>
    <w:p w14:paraId="4B250196" w14:textId="2DBFEDAD" w:rsidR="003B01F9" w:rsidRDefault="003B01F9" w:rsidP="003B01F9">
      <w:pPr>
        <w:pStyle w:val="Paragraph"/>
      </w:pPr>
      <w:r>
        <w:t>3. The standards for determining reduction factors in accordance with paragraph 2.22 also require revision by assigning them directly to the type and materials of structures, as is practiced in foreign standards, and not through the “level of inelastic deformations.”</w:t>
      </w:r>
    </w:p>
    <w:p w14:paraId="16F21B4D" w14:textId="39E51F70" w:rsidR="00613B4D" w:rsidRDefault="0016385D" w:rsidP="00613B4D">
      <w:pPr>
        <w:pStyle w:val="1"/>
        <w:rPr>
          <w:b w:val="0"/>
          <w:caps w:val="0"/>
          <w:sz w:val="20"/>
        </w:rPr>
      </w:pPr>
      <w:r w:rsidRPr="00075EA6">
        <w:rPr>
          <w:rFonts w:asciiTheme="majorBidi" w:hAnsiTheme="majorBidi" w:cstheme="majorBidi"/>
        </w:rPr>
        <w:t>References</w:t>
      </w:r>
    </w:p>
    <w:p w14:paraId="228D1A50" w14:textId="712982A0" w:rsidR="003B01F9" w:rsidRPr="003B01F9" w:rsidRDefault="003B01F9" w:rsidP="003B01F9">
      <w:pPr>
        <w:pStyle w:val="Reference"/>
        <w:rPr>
          <w:rFonts w:asciiTheme="majorBidi" w:hAnsiTheme="majorBidi" w:cstheme="majorBidi"/>
        </w:rPr>
      </w:pPr>
      <w:r w:rsidRPr="008E2222">
        <w:rPr>
          <w:rFonts w:asciiTheme="majorBidi" w:hAnsiTheme="majorBidi" w:cstheme="majorBidi"/>
        </w:rPr>
        <w:t>KMK 2.01.03-19</w:t>
      </w:r>
      <w:r w:rsidR="008E2222" w:rsidRPr="008E2222">
        <w:rPr>
          <w:rFonts w:asciiTheme="majorBidi" w:hAnsiTheme="majorBidi" w:cstheme="majorBidi"/>
        </w:rPr>
        <w:t>,</w:t>
      </w:r>
      <w:r w:rsidRPr="008E2222">
        <w:rPr>
          <w:rFonts w:asciiTheme="majorBidi" w:hAnsiTheme="majorBidi" w:cstheme="majorBidi"/>
        </w:rPr>
        <w:t xml:space="preserve"> </w:t>
      </w:r>
      <w:r w:rsidRPr="008E2222">
        <w:rPr>
          <w:rFonts w:asciiTheme="majorBidi" w:hAnsiTheme="majorBidi" w:cstheme="majorBidi"/>
          <w:i/>
        </w:rPr>
        <w:t>Construction in seismic areas</w:t>
      </w:r>
      <w:r w:rsidRPr="003B01F9">
        <w:rPr>
          <w:rFonts w:asciiTheme="majorBidi" w:hAnsiTheme="majorBidi" w:cstheme="majorBidi"/>
        </w:rPr>
        <w:t xml:space="preserve"> </w:t>
      </w:r>
      <w:r w:rsidR="008E2222">
        <w:rPr>
          <w:rFonts w:asciiTheme="majorBidi" w:hAnsiTheme="majorBidi" w:cstheme="majorBidi"/>
        </w:rPr>
        <w:t>(</w:t>
      </w:r>
      <w:r w:rsidRPr="003B01F9">
        <w:rPr>
          <w:rFonts w:asciiTheme="majorBidi" w:hAnsiTheme="majorBidi" w:cstheme="majorBidi"/>
        </w:rPr>
        <w:t>Ministry of Construction of the Republic of Uzbekistan</w:t>
      </w:r>
      <w:r w:rsidR="008E2222">
        <w:rPr>
          <w:rFonts w:asciiTheme="majorBidi" w:hAnsiTheme="majorBidi" w:cstheme="majorBidi"/>
        </w:rPr>
        <w:t xml:space="preserve">, </w:t>
      </w:r>
      <w:r w:rsidRPr="003B01F9">
        <w:rPr>
          <w:rFonts w:asciiTheme="majorBidi" w:hAnsiTheme="majorBidi" w:cstheme="majorBidi"/>
        </w:rPr>
        <w:t>Tashkent, 2019</w:t>
      </w:r>
      <w:r w:rsidR="008E2222">
        <w:rPr>
          <w:rFonts w:asciiTheme="majorBidi" w:hAnsiTheme="majorBidi" w:cstheme="majorBidi"/>
        </w:rPr>
        <w:t>)</w:t>
      </w:r>
      <w:r w:rsidRPr="003B01F9">
        <w:rPr>
          <w:rFonts w:asciiTheme="majorBidi" w:hAnsiTheme="majorBidi" w:cstheme="majorBidi"/>
        </w:rPr>
        <w:t>.</w:t>
      </w:r>
    </w:p>
    <w:p w14:paraId="1A374010" w14:textId="2C9CC7F1" w:rsidR="003B01F9" w:rsidRPr="003B01F9" w:rsidRDefault="003B01F9" w:rsidP="003B01F9">
      <w:pPr>
        <w:pStyle w:val="Reference"/>
        <w:rPr>
          <w:rFonts w:asciiTheme="majorBidi" w:hAnsiTheme="majorBidi" w:cstheme="majorBidi"/>
        </w:rPr>
      </w:pPr>
      <w:r w:rsidRPr="003B01F9">
        <w:rPr>
          <w:rFonts w:asciiTheme="majorBidi" w:hAnsiTheme="majorBidi" w:cstheme="majorBidi"/>
        </w:rPr>
        <w:t>SP 14.13330.2018</w:t>
      </w:r>
      <w:r w:rsidR="00AB3755">
        <w:rPr>
          <w:rFonts w:asciiTheme="majorBidi" w:hAnsiTheme="majorBidi" w:cstheme="majorBidi"/>
        </w:rPr>
        <w:t>,</w:t>
      </w:r>
      <w:r w:rsidRPr="003B01F9">
        <w:rPr>
          <w:rFonts w:asciiTheme="majorBidi" w:hAnsiTheme="majorBidi" w:cstheme="majorBidi"/>
        </w:rPr>
        <w:t xml:space="preserve"> </w:t>
      </w:r>
      <w:proofErr w:type="spellStart"/>
      <w:r w:rsidRPr="008E2222">
        <w:rPr>
          <w:rFonts w:asciiTheme="majorBidi" w:hAnsiTheme="majorBidi" w:cstheme="majorBidi"/>
          <w:i/>
        </w:rPr>
        <w:t>SNiP</w:t>
      </w:r>
      <w:proofErr w:type="spellEnd"/>
      <w:r w:rsidRPr="008E2222">
        <w:rPr>
          <w:rFonts w:asciiTheme="majorBidi" w:hAnsiTheme="majorBidi" w:cstheme="majorBidi"/>
          <w:i/>
        </w:rPr>
        <w:t xml:space="preserve"> II-7-81</w:t>
      </w:r>
      <w:r w:rsidR="00AB3755">
        <w:rPr>
          <w:rFonts w:asciiTheme="majorBidi" w:hAnsiTheme="majorBidi" w:cstheme="majorBidi"/>
          <w:i/>
        </w:rPr>
        <w:t xml:space="preserve"> -</w:t>
      </w:r>
      <w:r w:rsidR="00D8500A" w:rsidRPr="008E2222">
        <w:rPr>
          <w:rFonts w:asciiTheme="majorBidi" w:hAnsiTheme="majorBidi" w:cstheme="majorBidi"/>
          <w:i/>
        </w:rPr>
        <w:t xml:space="preserve"> Construction in seismic areas</w:t>
      </w:r>
      <w:r w:rsidR="008E2222">
        <w:rPr>
          <w:rFonts w:asciiTheme="majorBidi" w:hAnsiTheme="majorBidi" w:cstheme="majorBidi"/>
        </w:rPr>
        <w:t xml:space="preserve"> (</w:t>
      </w:r>
      <w:proofErr w:type="spellStart"/>
      <w:r w:rsidR="008E2222">
        <w:rPr>
          <w:rFonts w:asciiTheme="majorBidi" w:hAnsiTheme="majorBidi" w:cstheme="majorBidi"/>
        </w:rPr>
        <w:t>Stroyizdat</w:t>
      </w:r>
      <w:proofErr w:type="spellEnd"/>
      <w:r w:rsidR="008E2222">
        <w:rPr>
          <w:rFonts w:asciiTheme="majorBidi" w:hAnsiTheme="majorBidi" w:cstheme="majorBidi"/>
        </w:rPr>
        <w:t xml:space="preserve">, </w:t>
      </w:r>
      <w:r w:rsidRPr="003B01F9">
        <w:rPr>
          <w:rFonts w:asciiTheme="majorBidi" w:hAnsiTheme="majorBidi" w:cstheme="majorBidi"/>
        </w:rPr>
        <w:t>Moscow, 2018</w:t>
      </w:r>
      <w:r w:rsidR="008E2222">
        <w:rPr>
          <w:rFonts w:asciiTheme="majorBidi" w:hAnsiTheme="majorBidi" w:cstheme="majorBidi"/>
        </w:rPr>
        <w:t>)</w:t>
      </w:r>
      <w:r w:rsidRPr="003B01F9">
        <w:rPr>
          <w:rFonts w:asciiTheme="majorBidi" w:hAnsiTheme="majorBidi" w:cstheme="majorBidi"/>
        </w:rPr>
        <w:t>.</w:t>
      </w:r>
    </w:p>
    <w:p w14:paraId="54A166D9" w14:textId="7EA76898" w:rsidR="003B01F9" w:rsidRPr="003B01F9" w:rsidRDefault="003B01F9" w:rsidP="003B01F9">
      <w:pPr>
        <w:pStyle w:val="Reference"/>
        <w:rPr>
          <w:rFonts w:asciiTheme="majorBidi" w:hAnsiTheme="majorBidi" w:cstheme="majorBidi"/>
        </w:rPr>
      </w:pPr>
      <w:r w:rsidRPr="00AB3755">
        <w:rPr>
          <w:rFonts w:asciiTheme="majorBidi" w:hAnsiTheme="majorBidi" w:cstheme="majorBidi"/>
        </w:rPr>
        <w:t>European Committee for Standardization. Eurocode 8</w:t>
      </w:r>
      <w:r w:rsidR="00AB3755">
        <w:rPr>
          <w:rFonts w:asciiTheme="majorBidi" w:hAnsiTheme="majorBidi" w:cstheme="majorBidi"/>
        </w:rPr>
        <w:t>,</w:t>
      </w:r>
      <w:r w:rsidRPr="008E2222">
        <w:rPr>
          <w:rFonts w:asciiTheme="majorBidi" w:hAnsiTheme="majorBidi" w:cstheme="majorBidi"/>
          <w:i/>
        </w:rPr>
        <w:t xml:space="preserve"> Design of Structures for Earthquake Resistance Part 1: General Rules</w:t>
      </w:r>
      <w:r w:rsidRPr="003B01F9">
        <w:rPr>
          <w:rFonts w:asciiTheme="majorBidi" w:hAnsiTheme="majorBidi" w:cstheme="majorBidi"/>
        </w:rPr>
        <w:t xml:space="preserve"> </w:t>
      </w:r>
      <w:r w:rsidR="008E2222">
        <w:rPr>
          <w:rFonts w:asciiTheme="majorBidi" w:hAnsiTheme="majorBidi" w:cstheme="majorBidi"/>
        </w:rPr>
        <w:t>(</w:t>
      </w:r>
      <w:r w:rsidRPr="003B01F9">
        <w:rPr>
          <w:rFonts w:asciiTheme="majorBidi" w:hAnsiTheme="majorBidi" w:cstheme="majorBidi"/>
        </w:rPr>
        <w:t>Seismic Actions and Rules for Buildings. EN 1998-1:2004 ECS, Brussels</w:t>
      </w:r>
      <w:r w:rsidR="008E2222">
        <w:rPr>
          <w:rFonts w:asciiTheme="majorBidi" w:hAnsiTheme="majorBidi" w:cstheme="majorBidi"/>
        </w:rPr>
        <w:t xml:space="preserve">, </w:t>
      </w:r>
      <w:r w:rsidR="008E2222" w:rsidRPr="003B01F9">
        <w:rPr>
          <w:rFonts w:asciiTheme="majorBidi" w:hAnsiTheme="majorBidi" w:cstheme="majorBidi"/>
        </w:rPr>
        <w:t>2004</w:t>
      </w:r>
      <w:r w:rsidR="008E2222">
        <w:rPr>
          <w:rFonts w:asciiTheme="majorBidi" w:hAnsiTheme="majorBidi" w:cstheme="majorBidi"/>
        </w:rPr>
        <w:t>)</w:t>
      </w:r>
      <w:r w:rsidRPr="003B01F9">
        <w:rPr>
          <w:rFonts w:asciiTheme="majorBidi" w:hAnsiTheme="majorBidi" w:cstheme="majorBidi"/>
        </w:rPr>
        <w:t>.</w:t>
      </w:r>
    </w:p>
    <w:p w14:paraId="4EF38625" w14:textId="696AF1C2" w:rsidR="003B01F9" w:rsidRPr="003B01F9" w:rsidRDefault="003B01F9" w:rsidP="003B01F9">
      <w:pPr>
        <w:pStyle w:val="Reference"/>
        <w:rPr>
          <w:rFonts w:asciiTheme="majorBidi" w:hAnsiTheme="majorBidi" w:cstheme="majorBidi"/>
        </w:rPr>
      </w:pPr>
      <w:r w:rsidRPr="008E2222">
        <w:rPr>
          <w:rFonts w:asciiTheme="majorBidi" w:hAnsiTheme="majorBidi" w:cstheme="majorBidi"/>
          <w:i/>
        </w:rPr>
        <w:t>UBC Uniform Building Code</w:t>
      </w:r>
      <w:r w:rsidR="008E2222">
        <w:rPr>
          <w:rFonts w:asciiTheme="majorBidi" w:hAnsiTheme="majorBidi" w:cstheme="majorBidi"/>
        </w:rPr>
        <w:t xml:space="preserve"> (</w:t>
      </w:r>
      <w:r w:rsidRPr="003B01F9">
        <w:rPr>
          <w:rFonts w:asciiTheme="majorBidi" w:hAnsiTheme="majorBidi" w:cstheme="majorBidi"/>
        </w:rPr>
        <w:t>International Conference of Building Officials</w:t>
      </w:r>
      <w:r w:rsidR="008E2222">
        <w:rPr>
          <w:rFonts w:asciiTheme="majorBidi" w:hAnsiTheme="majorBidi" w:cstheme="majorBidi"/>
        </w:rPr>
        <w:t>,</w:t>
      </w:r>
      <w:r w:rsidRPr="003B01F9">
        <w:rPr>
          <w:rFonts w:asciiTheme="majorBidi" w:hAnsiTheme="majorBidi" w:cstheme="majorBidi"/>
        </w:rPr>
        <w:t xml:space="preserve"> Whittier, California, USA</w:t>
      </w:r>
      <w:r w:rsidR="008E2222">
        <w:rPr>
          <w:rFonts w:asciiTheme="majorBidi" w:hAnsiTheme="majorBidi" w:cstheme="majorBidi"/>
        </w:rPr>
        <w:t>,</w:t>
      </w:r>
      <w:r w:rsidRPr="003B01F9">
        <w:rPr>
          <w:rFonts w:asciiTheme="majorBidi" w:hAnsiTheme="majorBidi" w:cstheme="majorBidi"/>
        </w:rPr>
        <w:t xml:space="preserve"> 1997</w:t>
      </w:r>
      <w:r w:rsidR="008E2222">
        <w:rPr>
          <w:rFonts w:asciiTheme="majorBidi" w:hAnsiTheme="majorBidi" w:cstheme="majorBidi"/>
        </w:rPr>
        <w:t>)</w:t>
      </w:r>
      <w:r w:rsidR="00AA4815">
        <w:rPr>
          <w:rFonts w:asciiTheme="majorBidi" w:hAnsiTheme="majorBidi" w:cstheme="majorBidi"/>
        </w:rPr>
        <w:t>.</w:t>
      </w:r>
    </w:p>
    <w:p w14:paraId="6F6E282F" w14:textId="61D08B31" w:rsidR="003B01F9" w:rsidRPr="003B01F9" w:rsidRDefault="008E2222" w:rsidP="003B01F9">
      <w:pPr>
        <w:pStyle w:val="Reference"/>
        <w:rPr>
          <w:rFonts w:asciiTheme="majorBidi" w:hAnsiTheme="majorBidi" w:cstheme="majorBidi"/>
        </w:rPr>
      </w:pPr>
      <w:r w:rsidRPr="008E2222">
        <w:rPr>
          <w:rFonts w:asciiTheme="majorBidi" w:hAnsiTheme="majorBidi" w:cstheme="majorBidi"/>
        </w:rPr>
        <w:t>ASCE/SEI 7-10</w:t>
      </w:r>
      <w:r w:rsidR="00AB3755">
        <w:rPr>
          <w:rFonts w:asciiTheme="majorBidi" w:hAnsiTheme="majorBidi" w:cstheme="majorBidi"/>
        </w:rPr>
        <w:t>,</w:t>
      </w:r>
      <w:r w:rsidRPr="008E2222">
        <w:rPr>
          <w:rFonts w:asciiTheme="majorBidi" w:hAnsiTheme="majorBidi" w:cstheme="majorBidi"/>
          <w:i/>
        </w:rPr>
        <w:t xml:space="preserve"> Minimum Design Loads for Buildings and Other Structures</w:t>
      </w:r>
      <w:r>
        <w:rPr>
          <w:rFonts w:asciiTheme="majorBidi" w:hAnsiTheme="majorBidi" w:cstheme="majorBidi"/>
        </w:rPr>
        <w:t xml:space="preserve"> (</w:t>
      </w:r>
      <w:r w:rsidR="003B01F9" w:rsidRPr="003B01F9">
        <w:rPr>
          <w:rFonts w:asciiTheme="majorBidi" w:hAnsiTheme="majorBidi" w:cstheme="majorBidi"/>
        </w:rPr>
        <w:t>American Society of Civil Engineers</w:t>
      </w:r>
      <w:r>
        <w:rPr>
          <w:rFonts w:asciiTheme="majorBidi" w:hAnsiTheme="majorBidi" w:cstheme="majorBidi"/>
        </w:rPr>
        <w:t>,</w:t>
      </w:r>
      <w:r w:rsidR="003B01F9" w:rsidRPr="003B01F9">
        <w:rPr>
          <w:rFonts w:asciiTheme="majorBidi" w:hAnsiTheme="majorBidi" w:cstheme="majorBidi"/>
        </w:rPr>
        <w:t xml:space="preserve"> </w:t>
      </w:r>
      <w:r w:rsidRPr="003B01F9">
        <w:rPr>
          <w:rFonts w:asciiTheme="majorBidi" w:hAnsiTheme="majorBidi" w:cstheme="majorBidi"/>
        </w:rPr>
        <w:t>Washington, DC</w:t>
      </w:r>
      <w:r>
        <w:rPr>
          <w:rFonts w:asciiTheme="majorBidi" w:hAnsiTheme="majorBidi" w:cstheme="majorBidi"/>
        </w:rPr>
        <w:t xml:space="preserve">, </w:t>
      </w:r>
      <w:r w:rsidR="003B01F9" w:rsidRPr="003B01F9">
        <w:rPr>
          <w:rFonts w:asciiTheme="majorBidi" w:hAnsiTheme="majorBidi" w:cstheme="majorBidi"/>
        </w:rPr>
        <w:t>2010</w:t>
      </w:r>
      <w:r>
        <w:rPr>
          <w:rFonts w:asciiTheme="majorBidi" w:hAnsiTheme="majorBidi" w:cstheme="majorBidi"/>
        </w:rPr>
        <w:t>)</w:t>
      </w:r>
      <w:r w:rsidR="003B01F9" w:rsidRPr="003B01F9">
        <w:rPr>
          <w:rFonts w:asciiTheme="majorBidi" w:hAnsiTheme="majorBidi" w:cstheme="majorBidi"/>
        </w:rPr>
        <w:t>.</w:t>
      </w:r>
    </w:p>
    <w:p w14:paraId="4DE91CCB" w14:textId="278604F0" w:rsidR="00326AE0" w:rsidRDefault="003B01F9" w:rsidP="00C943F2">
      <w:pPr>
        <w:pStyle w:val="Reference"/>
        <w:rPr>
          <w:rFonts w:asciiTheme="majorBidi" w:hAnsiTheme="majorBidi" w:cstheme="majorBidi"/>
        </w:rPr>
      </w:pPr>
      <w:r w:rsidRPr="003B01F9">
        <w:rPr>
          <w:rFonts w:asciiTheme="majorBidi" w:hAnsiTheme="majorBidi" w:cstheme="majorBidi"/>
        </w:rPr>
        <w:t>A.I. Martemyanov</w:t>
      </w:r>
      <w:r w:rsidR="00156025">
        <w:rPr>
          <w:rFonts w:asciiTheme="majorBidi" w:hAnsiTheme="majorBidi" w:cstheme="majorBidi"/>
        </w:rPr>
        <w:t>,</w:t>
      </w:r>
      <w:r w:rsidRPr="003B01F9">
        <w:rPr>
          <w:rFonts w:asciiTheme="majorBidi" w:hAnsiTheme="majorBidi" w:cstheme="majorBidi"/>
        </w:rPr>
        <w:t xml:space="preserve"> </w:t>
      </w:r>
      <w:r w:rsidRPr="00156025">
        <w:rPr>
          <w:rFonts w:asciiTheme="majorBidi" w:hAnsiTheme="majorBidi" w:cstheme="majorBidi"/>
          <w:i/>
          <w:iCs/>
        </w:rPr>
        <w:t>Design and construction of buildings and structures in seismic areas</w:t>
      </w:r>
      <w:r>
        <w:rPr>
          <w:rFonts w:asciiTheme="majorBidi" w:hAnsiTheme="majorBidi" w:cstheme="majorBidi"/>
        </w:rPr>
        <w:t xml:space="preserve"> </w:t>
      </w:r>
      <w:r w:rsidR="00156025">
        <w:rPr>
          <w:rFonts w:asciiTheme="majorBidi" w:hAnsiTheme="majorBidi" w:cstheme="majorBidi"/>
        </w:rPr>
        <w:t>(</w:t>
      </w:r>
      <w:proofErr w:type="spellStart"/>
      <w:r w:rsidR="00156025">
        <w:rPr>
          <w:rFonts w:asciiTheme="majorBidi" w:hAnsiTheme="majorBidi" w:cstheme="majorBidi"/>
        </w:rPr>
        <w:t>Stroyizdat</w:t>
      </w:r>
      <w:proofErr w:type="spellEnd"/>
      <w:r w:rsidR="00156025">
        <w:rPr>
          <w:rFonts w:asciiTheme="majorBidi" w:hAnsiTheme="majorBidi" w:cstheme="majorBidi"/>
        </w:rPr>
        <w:t xml:space="preserve">, </w:t>
      </w:r>
      <w:r>
        <w:rPr>
          <w:rFonts w:asciiTheme="majorBidi" w:hAnsiTheme="majorBidi" w:cstheme="majorBidi"/>
        </w:rPr>
        <w:t>Moscow, 1988</w:t>
      </w:r>
      <w:r w:rsidR="00156025">
        <w:rPr>
          <w:rFonts w:asciiTheme="majorBidi" w:hAnsiTheme="majorBidi" w:cstheme="majorBidi"/>
        </w:rPr>
        <w:t>)</w:t>
      </w:r>
      <w:r>
        <w:rPr>
          <w:rFonts w:asciiTheme="majorBidi" w:hAnsiTheme="majorBidi" w:cstheme="majorBidi"/>
        </w:rPr>
        <w:t>.</w:t>
      </w:r>
    </w:p>
    <w:sectPr w:rsidR="00326AE0" w:rsidSect="00D30640">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1"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4"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16cid:durableId="1115758433">
    <w:abstractNumId w:val="2"/>
  </w:num>
  <w:num w:numId="2" w16cid:durableId="1511217772">
    <w:abstractNumId w:val="1"/>
  </w:num>
  <w:num w:numId="3" w16cid:durableId="834342007">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intPostScriptOverText/>
  <w:embedSystemFonts/>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B14"/>
    <w:rsid w:val="00003D7C"/>
    <w:rsid w:val="00014140"/>
    <w:rsid w:val="00027428"/>
    <w:rsid w:val="00031EC9"/>
    <w:rsid w:val="00035067"/>
    <w:rsid w:val="0004017A"/>
    <w:rsid w:val="00063263"/>
    <w:rsid w:val="00066FED"/>
    <w:rsid w:val="00075EA6"/>
    <w:rsid w:val="0007709F"/>
    <w:rsid w:val="00086F62"/>
    <w:rsid w:val="00090674"/>
    <w:rsid w:val="0009320B"/>
    <w:rsid w:val="00096AE0"/>
    <w:rsid w:val="000A650D"/>
    <w:rsid w:val="000B1B74"/>
    <w:rsid w:val="000B3A2D"/>
    <w:rsid w:val="000B49C0"/>
    <w:rsid w:val="000E382F"/>
    <w:rsid w:val="000E75CD"/>
    <w:rsid w:val="000F6A15"/>
    <w:rsid w:val="001036BA"/>
    <w:rsid w:val="001146DC"/>
    <w:rsid w:val="00114AB1"/>
    <w:rsid w:val="001230FF"/>
    <w:rsid w:val="00130BD7"/>
    <w:rsid w:val="00155B67"/>
    <w:rsid w:val="00156025"/>
    <w:rsid w:val="001562AF"/>
    <w:rsid w:val="00161A5B"/>
    <w:rsid w:val="0016385D"/>
    <w:rsid w:val="0016782F"/>
    <w:rsid w:val="00181012"/>
    <w:rsid w:val="001937E9"/>
    <w:rsid w:val="001964E5"/>
    <w:rsid w:val="001B263B"/>
    <w:rsid w:val="001B476A"/>
    <w:rsid w:val="001C764F"/>
    <w:rsid w:val="001C7BB3"/>
    <w:rsid w:val="001D469C"/>
    <w:rsid w:val="0021619E"/>
    <w:rsid w:val="0023171B"/>
    <w:rsid w:val="00236BFC"/>
    <w:rsid w:val="00237437"/>
    <w:rsid w:val="002502FD"/>
    <w:rsid w:val="00274622"/>
    <w:rsid w:val="00285D24"/>
    <w:rsid w:val="00290390"/>
    <w:rsid w:val="002915D3"/>
    <w:rsid w:val="002924DB"/>
    <w:rsid w:val="002941DA"/>
    <w:rsid w:val="002B5648"/>
    <w:rsid w:val="002D2DE9"/>
    <w:rsid w:val="002E3C35"/>
    <w:rsid w:val="002F5298"/>
    <w:rsid w:val="00300FA7"/>
    <w:rsid w:val="00326AE0"/>
    <w:rsid w:val="00337E4F"/>
    <w:rsid w:val="00340C36"/>
    <w:rsid w:val="00346A9D"/>
    <w:rsid w:val="00352BCC"/>
    <w:rsid w:val="0039376F"/>
    <w:rsid w:val="003A287B"/>
    <w:rsid w:val="003A5C85"/>
    <w:rsid w:val="003A61B1"/>
    <w:rsid w:val="003B0050"/>
    <w:rsid w:val="003B01F9"/>
    <w:rsid w:val="003D6312"/>
    <w:rsid w:val="003E7C74"/>
    <w:rsid w:val="003F31C6"/>
    <w:rsid w:val="003F370E"/>
    <w:rsid w:val="0040225B"/>
    <w:rsid w:val="00402DA2"/>
    <w:rsid w:val="00425AC2"/>
    <w:rsid w:val="0044547E"/>
    <w:rsid w:val="0044771F"/>
    <w:rsid w:val="00460877"/>
    <w:rsid w:val="004674B5"/>
    <w:rsid w:val="004B151D"/>
    <w:rsid w:val="004C7243"/>
    <w:rsid w:val="004E21DE"/>
    <w:rsid w:val="004E3C57"/>
    <w:rsid w:val="004E3CB2"/>
    <w:rsid w:val="004E4E0D"/>
    <w:rsid w:val="004F22CA"/>
    <w:rsid w:val="00525813"/>
    <w:rsid w:val="0053513F"/>
    <w:rsid w:val="00542214"/>
    <w:rsid w:val="00574405"/>
    <w:rsid w:val="005854B0"/>
    <w:rsid w:val="005A0E21"/>
    <w:rsid w:val="005B3A34"/>
    <w:rsid w:val="005D1FE0"/>
    <w:rsid w:val="005D49AF"/>
    <w:rsid w:val="005E415C"/>
    <w:rsid w:val="005E71ED"/>
    <w:rsid w:val="005E7946"/>
    <w:rsid w:val="005F05CC"/>
    <w:rsid w:val="005F7475"/>
    <w:rsid w:val="00611299"/>
    <w:rsid w:val="00613B4D"/>
    <w:rsid w:val="00616365"/>
    <w:rsid w:val="00616F3B"/>
    <w:rsid w:val="006249A7"/>
    <w:rsid w:val="00624B95"/>
    <w:rsid w:val="0064175C"/>
    <w:rsid w:val="0064225B"/>
    <w:rsid w:val="00653129"/>
    <w:rsid w:val="006763F9"/>
    <w:rsid w:val="006949BC"/>
    <w:rsid w:val="006D1229"/>
    <w:rsid w:val="006D372F"/>
    <w:rsid w:val="006D7A18"/>
    <w:rsid w:val="006E4474"/>
    <w:rsid w:val="00701388"/>
    <w:rsid w:val="00723B7F"/>
    <w:rsid w:val="00725861"/>
    <w:rsid w:val="0073393A"/>
    <w:rsid w:val="0073539D"/>
    <w:rsid w:val="00767B8A"/>
    <w:rsid w:val="00775481"/>
    <w:rsid w:val="007A233B"/>
    <w:rsid w:val="007B4863"/>
    <w:rsid w:val="007C65E6"/>
    <w:rsid w:val="007D406B"/>
    <w:rsid w:val="007D4407"/>
    <w:rsid w:val="007D4515"/>
    <w:rsid w:val="007E1CA3"/>
    <w:rsid w:val="00812D62"/>
    <w:rsid w:val="00812F29"/>
    <w:rsid w:val="00821713"/>
    <w:rsid w:val="00827050"/>
    <w:rsid w:val="0083278B"/>
    <w:rsid w:val="00834538"/>
    <w:rsid w:val="00850E89"/>
    <w:rsid w:val="00863CE3"/>
    <w:rsid w:val="008930E4"/>
    <w:rsid w:val="00893821"/>
    <w:rsid w:val="008A7B9C"/>
    <w:rsid w:val="008B39FA"/>
    <w:rsid w:val="008B4754"/>
    <w:rsid w:val="008E2222"/>
    <w:rsid w:val="008E6A7A"/>
    <w:rsid w:val="008F1038"/>
    <w:rsid w:val="008F7046"/>
    <w:rsid w:val="009005FC"/>
    <w:rsid w:val="00922E5A"/>
    <w:rsid w:val="00943315"/>
    <w:rsid w:val="00946C27"/>
    <w:rsid w:val="009A4F3D"/>
    <w:rsid w:val="009B696B"/>
    <w:rsid w:val="009B7671"/>
    <w:rsid w:val="009E5BA1"/>
    <w:rsid w:val="009F056E"/>
    <w:rsid w:val="00A16572"/>
    <w:rsid w:val="00A24F3D"/>
    <w:rsid w:val="00A26DCD"/>
    <w:rsid w:val="00A314BB"/>
    <w:rsid w:val="00A32B7D"/>
    <w:rsid w:val="00A5596B"/>
    <w:rsid w:val="00A646B3"/>
    <w:rsid w:val="00A6739B"/>
    <w:rsid w:val="00A83F56"/>
    <w:rsid w:val="00A90413"/>
    <w:rsid w:val="00AA4815"/>
    <w:rsid w:val="00AA728C"/>
    <w:rsid w:val="00AB0A9C"/>
    <w:rsid w:val="00AB3755"/>
    <w:rsid w:val="00AB7119"/>
    <w:rsid w:val="00AD5855"/>
    <w:rsid w:val="00AE7500"/>
    <w:rsid w:val="00AE7F87"/>
    <w:rsid w:val="00AF3542"/>
    <w:rsid w:val="00AF5ABE"/>
    <w:rsid w:val="00B00415"/>
    <w:rsid w:val="00B03C2A"/>
    <w:rsid w:val="00B1000D"/>
    <w:rsid w:val="00B10134"/>
    <w:rsid w:val="00B16BFE"/>
    <w:rsid w:val="00B42108"/>
    <w:rsid w:val="00B500E5"/>
    <w:rsid w:val="00B526E8"/>
    <w:rsid w:val="00B744C5"/>
    <w:rsid w:val="00B869AB"/>
    <w:rsid w:val="00BA1E0F"/>
    <w:rsid w:val="00BA39BB"/>
    <w:rsid w:val="00BA3B3D"/>
    <w:rsid w:val="00BB7EEA"/>
    <w:rsid w:val="00BD1909"/>
    <w:rsid w:val="00BE5E16"/>
    <w:rsid w:val="00BE5FD1"/>
    <w:rsid w:val="00C06E05"/>
    <w:rsid w:val="00C14B14"/>
    <w:rsid w:val="00C17370"/>
    <w:rsid w:val="00C2054D"/>
    <w:rsid w:val="00C252EB"/>
    <w:rsid w:val="00C26EC0"/>
    <w:rsid w:val="00C56C77"/>
    <w:rsid w:val="00C66CB9"/>
    <w:rsid w:val="00C84923"/>
    <w:rsid w:val="00C943F2"/>
    <w:rsid w:val="00CB7B3E"/>
    <w:rsid w:val="00CC739D"/>
    <w:rsid w:val="00D04468"/>
    <w:rsid w:val="00D30640"/>
    <w:rsid w:val="00D36257"/>
    <w:rsid w:val="00D4687E"/>
    <w:rsid w:val="00D53A12"/>
    <w:rsid w:val="00D83973"/>
    <w:rsid w:val="00D83A9C"/>
    <w:rsid w:val="00D8500A"/>
    <w:rsid w:val="00D87E2A"/>
    <w:rsid w:val="00DB0C43"/>
    <w:rsid w:val="00DB790D"/>
    <w:rsid w:val="00DC70A0"/>
    <w:rsid w:val="00DE3354"/>
    <w:rsid w:val="00DF7DCD"/>
    <w:rsid w:val="00E50B7D"/>
    <w:rsid w:val="00E904A1"/>
    <w:rsid w:val="00EB7D28"/>
    <w:rsid w:val="00EC0D0C"/>
    <w:rsid w:val="00ED4A2C"/>
    <w:rsid w:val="00EF6940"/>
    <w:rsid w:val="00F148EC"/>
    <w:rsid w:val="00F2044A"/>
    <w:rsid w:val="00F20BFC"/>
    <w:rsid w:val="00F24D5F"/>
    <w:rsid w:val="00F43C5F"/>
    <w:rsid w:val="00F726C3"/>
    <w:rsid w:val="00F820CA"/>
    <w:rsid w:val="00F8554C"/>
    <w:rsid w:val="00F95F82"/>
    <w:rsid w:val="00F97A90"/>
    <w:rsid w:val="00FC2F35"/>
    <w:rsid w:val="00FC3FD7"/>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rsid w:val="000F6A15"/>
    <w:rPr>
      <w:sz w:val="24"/>
      <w:lang w:val="en-US" w:eastAsia="en-US"/>
    </w:rPr>
  </w:style>
  <w:style w:type="paragraph" w:styleId="1">
    <w:name w:val="heading 1"/>
    <w:basedOn w:val="a"/>
    <w:next w:val="Paragraph"/>
    <w:qFormat/>
    <w:pPr>
      <w:keepNext/>
      <w:spacing w:before="240" w:after="240"/>
      <w:jc w:val="center"/>
      <w:outlineLvl w:val="0"/>
    </w:pPr>
    <w:rPr>
      <w:b/>
      <w:caps/>
    </w:rPr>
  </w:style>
  <w:style w:type="paragraph" w:styleId="2">
    <w:name w:val="heading 2"/>
    <w:basedOn w:val="a"/>
    <w:next w:val="Paragraph"/>
    <w:qFormat/>
    <w:pPr>
      <w:keepNext/>
      <w:spacing w:before="240" w:after="240"/>
      <w:jc w:val="center"/>
      <w:outlineLvl w:val="1"/>
    </w:pPr>
    <w:rPr>
      <w:b/>
    </w:rPr>
  </w:style>
  <w:style w:type="paragraph" w:styleId="3">
    <w:name w:val="heading 3"/>
    <w:basedOn w:val="a"/>
    <w:next w:val="a"/>
    <w:qFormat/>
    <w:rsid w:val="005854B0"/>
    <w:pPr>
      <w:keepNext/>
      <w:spacing w:before="240" w:after="240"/>
      <w:jc w:val="center"/>
      <w:outlineLvl w:val="2"/>
    </w:pPr>
    <w:rPr>
      <w:i/>
      <w:iCs/>
      <w:sz w:val="20"/>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16"/>
    </w:rPr>
  </w:style>
  <w:style w:type="paragraph" w:customStyle="1" w:styleId="PaperTitle">
    <w:name w:val="Paper Title"/>
    <w:basedOn w:val="a"/>
    <w:next w:val="AuthorName"/>
    <w:pPr>
      <w:spacing w:before="1200"/>
      <w:jc w:val="center"/>
    </w:pPr>
    <w:rPr>
      <w:b/>
      <w:sz w:val="36"/>
    </w:rPr>
  </w:style>
  <w:style w:type="paragraph" w:customStyle="1" w:styleId="AuthorName">
    <w:name w:val="Author Name"/>
    <w:basedOn w:val="a"/>
    <w:next w:val="AuthorAffiliation"/>
    <w:pPr>
      <w:spacing w:before="360" w:after="360"/>
      <w:jc w:val="center"/>
    </w:pPr>
    <w:rPr>
      <w:sz w:val="28"/>
    </w:rPr>
  </w:style>
  <w:style w:type="paragraph" w:customStyle="1" w:styleId="AuthorAffiliation">
    <w:name w:val="Author Affiliation"/>
    <w:basedOn w:val="a"/>
    <w:pPr>
      <w:jc w:val="center"/>
    </w:pPr>
    <w:rPr>
      <w:i/>
      <w:sz w:val="20"/>
    </w:rPr>
  </w:style>
  <w:style w:type="paragraph" w:customStyle="1" w:styleId="Abstract">
    <w:name w:val="Abstract"/>
    <w:basedOn w:val="a"/>
    <w:next w:val="1"/>
    <w:rsid w:val="00F20BFC"/>
    <w:pPr>
      <w:spacing w:before="360" w:after="360"/>
      <w:ind w:left="289" w:right="289"/>
      <w:jc w:val="both"/>
    </w:pPr>
    <w:rPr>
      <w:sz w:val="18"/>
    </w:rPr>
  </w:style>
  <w:style w:type="paragraph" w:customStyle="1" w:styleId="Paragraph">
    <w:name w:val="Paragraph"/>
    <w:basedOn w:val="a"/>
    <w:rsid w:val="005E415C"/>
    <w:pPr>
      <w:ind w:firstLine="284"/>
      <w:jc w:val="both"/>
    </w:pPr>
    <w:rPr>
      <w:sz w:val="20"/>
    </w:rPr>
  </w:style>
  <w:style w:type="character" w:styleId="a4">
    <w:name w:val="footnote reference"/>
    <w:semiHidden/>
    <w:rPr>
      <w:vertAlign w:val="superscript"/>
    </w:rPr>
  </w:style>
  <w:style w:type="paragraph" w:customStyle="1" w:styleId="Reference">
    <w:name w:val="Reference"/>
    <w:basedOn w:val="Paragraph"/>
    <w:rsid w:val="00AE7500"/>
    <w:pPr>
      <w:numPr>
        <w:numId w:val="1"/>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a5">
    <w:name w:val="Balloon Text"/>
    <w:basedOn w:val="a"/>
    <w:link w:val="a6"/>
    <w:rsid w:val="00114AB1"/>
    <w:rPr>
      <w:rFonts w:ascii="Tahoma" w:hAnsi="Tahoma" w:cs="Tahoma"/>
      <w:sz w:val="16"/>
      <w:szCs w:val="16"/>
    </w:rPr>
  </w:style>
  <w:style w:type="character" w:customStyle="1" w:styleId="a6">
    <w:name w:val="Текст выноски Знак"/>
    <w:basedOn w:val="a0"/>
    <w:link w:val="a5"/>
    <w:rsid w:val="00114AB1"/>
    <w:rPr>
      <w:rFonts w:ascii="Tahoma" w:hAnsi="Tahoma" w:cs="Tahoma"/>
      <w:sz w:val="16"/>
      <w:szCs w:val="16"/>
      <w:lang w:val="en-US" w:eastAsia="en-US"/>
    </w:rPr>
  </w:style>
  <w:style w:type="character" w:styleId="a7">
    <w:name w:val="Hyperlink"/>
    <w:rPr>
      <w:color w:val="0000FF"/>
      <w:u w:val="single"/>
    </w:rPr>
  </w:style>
  <w:style w:type="table" w:styleId="a8">
    <w:name w:val="Table Grid"/>
    <w:basedOn w:val="a1"/>
    <w:uiPriority w:val="39"/>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
      </w:numPr>
      <w:ind w:left="641" w:hanging="357"/>
    </w:pPr>
  </w:style>
  <w:style w:type="paragraph" w:customStyle="1" w:styleId="AuthorEmail">
    <w:name w:val="Author Email"/>
    <w:basedOn w:val="a"/>
    <w:qFormat/>
    <w:rsid w:val="001D469C"/>
    <w:pPr>
      <w:jc w:val="center"/>
    </w:pPr>
    <w:rPr>
      <w:sz w:val="20"/>
    </w:rPr>
  </w:style>
  <w:style w:type="paragraph" w:styleId="a9">
    <w:name w:val="Normal (Web)"/>
    <w:basedOn w:val="a"/>
    <w:uiPriority w:val="99"/>
    <w:unhideWhenUsed/>
    <w:rsid w:val="005F7475"/>
    <w:pPr>
      <w:spacing w:before="100" w:beforeAutospacing="1" w:after="100" w:afterAutospacing="1"/>
    </w:pPr>
    <w:rPr>
      <w:szCs w:val="24"/>
      <w:lang w:val="en-GB" w:eastAsia="en-GB"/>
    </w:rPr>
  </w:style>
  <w:style w:type="character" w:styleId="aa">
    <w:name w:val="Strong"/>
    <w:basedOn w:val="a0"/>
    <w:uiPriority w:val="22"/>
    <w:qFormat/>
    <w:rsid w:val="005F7475"/>
    <w:rPr>
      <w:b/>
      <w:bCs/>
    </w:rPr>
  </w:style>
  <w:style w:type="character" w:styleId="ab">
    <w:name w:val="Emphasis"/>
    <w:basedOn w:val="a0"/>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3"/>
      </w:numPr>
      <w:jc w:val="both"/>
    </w:pPr>
    <w:rPr>
      <w:lang w:val="en-US" w:eastAsia="en-US"/>
    </w:rPr>
  </w:style>
  <w:style w:type="character" w:customStyle="1" w:styleId="10">
    <w:name w:val="Неразрешенное упоминание1"/>
    <w:basedOn w:val="a0"/>
    <w:uiPriority w:val="99"/>
    <w:semiHidden/>
    <w:unhideWhenUsed/>
    <w:rsid w:val="00613B4D"/>
    <w:rPr>
      <w:color w:val="808080"/>
      <w:shd w:val="clear" w:color="auto" w:fill="E6E6E6"/>
    </w:rPr>
  </w:style>
  <w:style w:type="paragraph" w:styleId="ac">
    <w:name w:val="List Paragraph"/>
    <w:basedOn w:val="a"/>
    <w:uiPriority w:val="34"/>
    <w:rsid w:val="006E4474"/>
    <w:pPr>
      <w:ind w:left="720"/>
      <w:contextualSpacing/>
    </w:pPr>
  </w:style>
  <w:style w:type="character" w:styleId="ad">
    <w:name w:val="annotation reference"/>
    <w:basedOn w:val="a0"/>
    <w:semiHidden/>
    <w:unhideWhenUsed/>
    <w:rsid w:val="005E71ED"/>
    <w:rPr>
      <w:sz w:val="16"/>
      <w:szCs w:val="16"/>
    </w:rPr>
  </w:style>
  <w:style w:type="paragraph" w:styleId="ae">
    <w:name w:val="annotation text"/>
    <w:basedOn w:val="a"/>
    <w:link w:val="af"/>
    <w:semiHidden/>
    <w:unhideWhenUsed/>
    <w:rsid w:val="005E71ED"/>
    <w:rPr>
      <w:sz w:val="20"/>
    </w:rPr>
  </w:style>
  <w:style w:type="character" w:customStyle="1" w:styleId="af">
    <w:name w:val="Текст примечания Знак"/>
    <w:basedOn w:val="a0"/>
    <w:link w:val="ae"/>
    <w:semiHidden/>
    <w:rsid w:val="005E71ED"/>
    <w:rPr>
      <w:lang w:val="en-US" w:eastAsia="en-US"/>
    </w:rPr>
  </w:style>
  <w:style w:type="paragraph" w:styleId="af0">
    <w:name w:val="annotation subject"/>
    <w:basedOn w:val="ae"/>
    <w:next w:val="ae"/>
    <w:link w:val="af1"/>
    <w:semiHidden/>
    <w:unhideWhenUsed/>
    <w:rsid w:val="005E71ED"/>
    <w:rPr>
      <w:b/>
      <w:bCs/>
    </w:rPr>
  </w:style>
  <w:style w:type="character" w:customStyle="1" w:styleId="af1">
    <w:name w:val="Тема примечания Знак"/>
    <w:basedOn w:val="af"/>
    <w:link w:val="af0"/>
    <w:semiHidden/>
    <w:rsid w:val="005E71ED"/>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chart" Target="charts/chart2.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Лист1!$B$1</c:f>
              <c:strCache>
                <c:ptCount val="1"/>
                <c:pt idx="0">
                  <c:v>КМК 2.01.03</c:v>
                </c:pt>
              </c:strCache>
            </c:strRef>
          </c:tx>
          <c:spPr>
            <a:solidFill>
              <a:schemeClr val="dk1">
                <a:tint val="88500"/>
              </a:schemeClr>
            </a:solidFill>
            <a:ln>
              <a:noFill/>
            </a:ln>
            <a:effectLst/>
          </c:spPr>
          <c:invertIfNegative val="0"/>
          <c:cat>
            <c:strRef>
              <c:f>Лист1!$A$2</c:f>
              <c:strCache>
                <c:ptCount val="1"/>
                <c:pt idx="0">
                  <c:v>Сейсмическая нагрузка на каркас модели №1, кН</c:v>
                </c:pt>
              </c:strCache>
            </c:strRef>
          </c:cat>
          <c:val>
            <c:numRef>
              <c:f>Лист1!$B$2</c:f>
              <c:numCache>
                <c:formatCode>General</c:formatCode>
                <c:ptCount val="1"/>
                <c:pt idx="0">
                  <c:v>197</c:v>
                </c:pt>
              </c:numCache>
            </c:numRef>
          </c:val>
          <c:extLst>
            <c:ext xmlns:c16="http://schemas.microsoft.com/office/drawing/2014/chart" uri="{C3380CC4-5D6E-409C-BE32-E72D297353CC}">
              <c16:uniqueId val="{00000000-67FA-4042-91D1-EB6D3F06B33A}"/>
            </c:ext>
          </c:extLst>
        </c:ser>
        <c:ser>
          <c:idx val="1"/>
          <c:order val="1"/>
          <c:tx>
            <c:strRef>
              <c:f>Лист1!$C$1</c:f>
              <c:strCache>
                <c:ptCount val="1"/>
                <c:pt idx="0">
                  <c:v>SP 14-2018</c:v>
                </c:pt>
              </c:strCache>
            </c:strRef>
          </c:tx>
          <c:spPr>
            <a:solidFill>
              <a:schemeClr val="dk1">
                <a:tint val="55000"/>
              </a:schemeClr>
            </a:solidFill>
            <a:ln>
              <a:noFill/>
            </a:ln>
            <a:effectLst/>
          </c:spPr>
          <c:invertIfNegative val="0"/>
          <c:cat>
            <c:strRef>
              <c:f>Лист1!$A$2</c:f>
              <c:strCache>
                <c:ptCount val="1"/>
                <c:pt idx="0">
                  <c:v>Сейсмическая нагрузка на каркас модели №1, кН</c:v>
                </c:pt>
              </c:strCache>
            </c:strRef>
          </c:cat>
          <c:val>
            <c:numRef>
              <c:f>Лист1!$C$2</c:f>
              <c:numCache>
                <c:formatCode>General</c:formatCode>
                <c:ptCount val="1"/>
                <c:pt idx="0">
                  <c:v>430</c:v>
                </c:pt>
              </c:numCache>
            </c:numRef>
          </c:val>
          <c:extLst>
            <c:ext xmlns:c16="http://schemas.microsoft.com/office/drawing/2014/chart" uri="{C3380CC4-5D6E-409C-BE32-E72D297353CC}">
              <c16:uniqueId val="{00000001-67FA-4042-91D1-EB6D3F06B33A}"/>
            </c:ext>
          </c:extLst>
        </c:ser>
        <c:ser>
          <c:idx val="2"/>
          <c:order val="2"/>
          <c:tx>
            <c:strRef>
              <c:f>Лист1!$D$1</c:f>
              <c:strCache>
                <c:ptCount val="1"/>
                <c:pt idx="0">
                  <c:v>Eurocode 8</c:v>
                </c:pt>
              </c:strCache>
            </c:strRef>
          </c:tx>
          <c:spPr>
            <a:solidFill>
              <a:schemeClr val="dk1">
                <a:tint val="75000"/>
              </a:schemeClr>
            </a:solidFill>
            <a:ln>
              <a:noFill/>
            </a:ln>
            <a:effectLst/>
          </c:spPr>
          <c:invertIfNegative val="0"/>
          <c:cat>
            <c:strRef>
              <c:f>Лист1!$A$2</c:f>
              <c:strCache>
                <c:ptCount val="1"/>
                <c:pt idx="0">
                  <c:v>Сейсмическая нагрузка на каркас модели №1, кН</c:v>
                </c:pt>
              </c:strCache>
            </c:strRef>
          </c:cat>
          <c:val>
            <c:numRef>
              <c:f>Лист1!$D$2</c:f>
              <c:numCache>
                <c:formatCode>General</c:formatCode>
                <c:ptCount val="1"/>
                <c:pt idx="0">
                  <c:v>374</c:v>
                </c:pt>
              </c:numCache>
            </c:numRef>
          </c:val>
          <c:extLst>
            <c:ext xmlns:c16="http://schemas.microsoft.com/office/drawing/2014/chart" uri="{C3380CC4-5D6E-409C-BE32-E72D297353CC}">
              <c16:uniqueId val="{00000002-67FA-4042-91D1-EB6D3F06B33A}"/>
            </c:ext>
          </c:extLst>
        </c:ser>
        <c:ser>
          <c:idx val="3"/>
          <c:order val="3"/>
          <c:tx>
            <c:strRef>
              <c:f>Лист1!$E$1</c:f>
              <c:strCache>
                <c:ptCount val="1"/>
                <c:pt idx="0">
                  <c:v>UBC-97</c:v>
                </c:pt>
              </c:strCache>
            </c:strRef>
          </c:tx>
          <c:spPr>
            <a:solidFill>
              <a:schemeClr val="dk1">
                <a:tint val="98500"/>
              </a:schemeClr>
            </a:solidFill>
            <a:ln>
              <a:noFill/>
            </a:ln>
            <a:effectLst/>
          </c:spPr>
          <c:invertIfNegative val="0"/>
          <c:cat>
            <c:strRef>
              <c:f>Лист1!$A$2</c:f>
              <c:strCache>
                <c:ptCount val="1"/>
                <c:pt idx="0">
                  <c:v>Сейсмическая нагрузка на каркас модели №1, кН</c:v>
                </c:pt>
              </c:strCache>
            </c:strRef>
          </c:cat>
          <c:val>
            <c:numRef>
              <c:f>Лист1!$E$2</c:f>
              <c:numCache>
                <c:formatCode>General</c:formatCode>
                <c:ptCount val="1"/>
                <c:pt idx="0">
                  <c:v>434</c:v>
                </c:pt>
              </c:numCache>
            </c:numRef>
          </c:val>
          <c:extLst>
            <c:ext xmlns:c16="http://schemas.microsoft.com/office/drawing/2014/chart" uri="{C3380CC4-5D6E-409C-BE32-E72D297353CC}">
              <c16:uniqueId val="{00000003-67FA-4042-91D1-EB6D3F06B33A}"/>
            </c:ext>
          </c:extLst>
        </c:ser>
        <c:ser>
          <c:idx val="4"/>
          <c:order val="4"/>
          <c:tx>
            <c:strRef>
              <c:f>Лист1!$F$1</c:f>
              <c:strCache>
                <c:ptCount val="1"/>
                <c:pt idx="0">
                  <c:v>ASCE 7-10</c:v>
                </c:pt>
              </c:strCache>
            </c:strRef>
          </c:tx>
          <c:spPr>
            <a:solidFill>
              <a:schemeClr val="bg2">
                <a:lumMod val="90000"/>
              </a:schemeClr>
            </a:solidFill>
            <a:ln>
              <a:noFill/>
            </a:ln>
            <a:effectLst/>
          </c:spPr>
          <c:invertIfNegative val="0"/>
          <c:cat>
            <c:strRef>
              <c:f>Лист1!$A$2</c:f>
              <c:strCache>
                <c:ptCount val="1"/>
                <c:pt idx="0">
                  <c:v>Сейсмическая нагрузка на каркас модели №1, кН</c:v>
                </c:pt>
              </c:strCache>
            </c:strRef>
          </c:cat>
          <c:val>
            <c:numRef>
              <c:f>Лист1!$F$2</c:f>
              <c:numCache>
                <c:formatCode>General</c:formatCode>
                <c:ptCount val="1"/>
                <c:pt idx="0">
                  <c:v>390</c:v>
                </c:pt>
              </c:numCache>
            </c:numRef>
          </c:val>
          <c:extLst>
            <c:ext xmlns:c16="http://schemas.microsoft.com/office/drawing/2014/chart" uri="{C3380CC4-5D6E-409C-BE32-E72D297353CC}">
              <c16:uniqueId val="{00000004-67FA-4042-91D1-EB6D3F06B33A}"/>
            </c:ext>
          </c:extLst>
        </c:ser>
        <c:dLbls>
          <c:showLegendKey val="0"/>
          <c:showVal val="0"/>
          <c:showCatName val="0"/>
          <c:showSerName val="0"/>
          <c:showPercent val="0"/>
          <c:showBubbleSize val="0"/>
        </c:dLbls>
        <c:gapWidth val="219"/>
        <c:overlap val="-59"/>
        <c:axId val="427045464"/>
        <c:axId val="252976192"/>
      </c:barChart>
      <c:catAx>
        <c:axId val="427045464"/>
        <c:scaling>
          <c:orientation val="minMax"/>
        </c:scaling>
        <c:delete val="1"/>
        <c:axPos val="b"/>
        <c:numFmt formatCode="General" sourceLinked="1"/>
        <c:majorTickMark val="none"/>
        <c:minorTickMark val="none"/>
        <c:tickLblPos val="nextTo"/>
        <c:crossAx val="252976192"/>
        <c:crosses val="autoZero"/>
        <c:auto val="1"/>
        <c:lblAlgn val="ctr"/>
        <c:lblOffset val="100"/>
        <c:noMultiLvlLbl val="0"/>
      </c:catAx>
      <c:valAx>
        <c:axId val="2529761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ru-RU"/>
          </a:p>
        </c:txPr>
        <c:crossAx val="427045464"/>
        <c:crosses val="autoZero"/>
        <c:crossBetween val="between"/>
      </c:valAx>
      <c:spPr>
        <a:noFill/>
        <a:ln w="19050">
          <a:solidFill>
            <a:schemeClr val="tx1"/>
          </a:solidFill>
        </a:ln>
        <a:effectLst/>
      </c:spPr>
    </c:plotArea>
    <c:legend>
      <c:legendPos val="b"/>
      <c:legendEntry>
        <c:idx val="0"/>
        <c:txPr>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ru-RU"/>
          </a:p>
        </c:txPr>
      </c:legendEntry>
      <c:legendEntry>
        <c:idx val="1"/>
        <c:txPr>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ru-RU"/>
          </a:p>
        </c:txPr>
      </c:legendEntry>
      <c:legendEntry>
        <c:idx val="2"/>
        <c:txPr>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ru-RU"/>
          </a:p>
        </c:txPr>
      </c:legendEntry>
      <c:legendEntry>
        <c:idx val="3"/>
        <c:txPr>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ru-RU"/>
          </a:p>
        </c:txPr>
      </c:legendEntry>
      <c:legendEntry>
        <c:idx val="4"/>
        <c:txPr>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ru-RU"/>
          </a:p>
        </c:txPr>
      </c:legendEntry>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i="0" baseline="0"/>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Лист1!$B$1</c:f>
              <c:strCache>
                <c:ptCount val="1"/>
                <c:pt idx="0">
                  <c:v>КМК 2.01.03</c:v>
                </c:pt>
              </c:strCache>
            </c:strRef>
          </c:tx>
          <c:spPr>
            <a:solidFill>
              <a:schemeClr val="dk1">
                <a:tint val="88500"/>
              </a:schemeClr>
            </a:solidFill>
            <a:ln>
              <a:noFill/>
            </a:ln>
            <a:effectLst/>
          </c:spPr>
          <c:invertIfNegative val="0"/>
          <c:cat>
            <c:strRef>
              <c:f>Лист1!$A$2</c:f>
              <c:strCache>
                <c:ptCount val="1"/>
                <c:pt idx="0">
                  <c:v>Сейсмическая нагрузка на каркас модели №2, кН</c:v>
                </c:pt>
              </c:strCache>
            </c:strRef>
          </c:cat>
          <c:val>
            <c:numRef>
              <c:f>Лист1!$B$2</c:f>
              <c:numCache>
                <c:formatCode>General</c:formatCode>
                <c:ptCount val="1"/>
                <c:pt idx="0">
                  <c:v>346</c:v>
                </c:pt>
              </c:numCache>
            </c:numRef>
          </c:val>
          <c:extLst>
            <c:ext xmlns:c16="http://schemas.microsoft.com/office/drawing/2014/chart" uri="{C3380CC4-5D6E-409C-BE32-E72D297353CC}">
              <c16:uniqueId val="{00000000-CCCE-4C2F-B49A-3619E01D083F}"/>
            </c:ext>
          </c:extLst>
        </c:ser>
        <c:ser>
          <c:idx val="1"/>
          <c:order val="1"/>
          <c:tx>
            <c:strRef>
              <c:f>Лист1!$C$1</c:f>
              <c:strCache>
                <c:ptCount val="1"/>
                <c:pt idx="0">
                  <c:v>SP 14-2018</c:v>
                </c:pt>
              </c:strCache>
            </c:strRef>
          </c:tx>
          <c:spPr>
            <a:solidFill>
              <a:schemeClr val="dk1">
                <a:tint val="55000"/>
              </a:schemeClr>
            </a:solidFill>
            <a:ln>
              <a:noFill/>
            </a:ln>
            <a:effectLst/>
          </c:spPr>
          <c:invertIfNegative val="0"/>
          <c:cat>
            <c:strRef>
              <c:f>Лист1!$A$2</c:f>
              <c:strCache>
                <c:ptCount val="1"/>
                <c:pt idx="0">
                  <c:v>Сейсмическая нагрузка на каркас модели №2, кН</c:v>
                </c:pt>
              </c:strCache>
            </c:strRef>
          </c:cat>
          <c:val>
            <c:numRef>
              <c:f>Лист1!$C$2</c:f>
              <c:numCache>
                <c:formatCode>General</c:formatCode>
                <c:ptCount val="1"/>
                <c:pt idx="0">
                  <c:v>712</c:v>
                </c:pt>
              </c:numCache>
            </c:numRef>
          </c:val>
          <c:extLst>
            <c:ext xmlns:c16="http://schemas.microsoft.com/office/drawing/2014/chart" uri="{C3380CC4-5D6E-409C-BE32-E72D297353CC}">
              <c16:uniqueId val="{00000001-CCCE-4C2F-B49A-3619E01D083F}"/>
            </c:ext>
          </c:extLst>
        </c:ser>
        <c:ser>
          <c:idx val="2"/>
          <c:order val="2"/>
          <c:tx>
            <c:strRef>
              <c:f>Лист1!$D$1</c:f>
              <c:strCache>
                <c:ptCount val="1"/>
                <c:pt idx="0">
                  <c:v>Eurocode 8</c:v>
                </c:pt>
              </c:strCache>
            </c:strRef>
          </c:tx>
          <c:spPr>
            <a:solidFill>
              <a:schemeClr val="dk1">
                <a:tint val="75000"/>
              </a:schemeClr>
            </a:solidFill>
            <a:ln>
              <a:noFill/>
            </a:ln>
            <a:effectLst/>
          </c:spPr>
          <c:invertIfNegative val="0"/>
          <c:cat>
            <c:strRef>
              <c:f>Лист1!$A$2</c:f>
              <c:strCache>
                <c:ptCount val="1"/>
                <c:pt idx="0">
                  <c:v>Сейсмическая нагрузка на каркас модели №2, кН</c:v>
                </c:pt>
              </c:strCache>
            </c:strRef>
          </c:cat>
          <c:val>
            <c:numRef>
              <c:f>Лист1!$D$2</c:f>
              <c:numCache>
                <c:formatCode>General</c:formatCode>
                <c:ptCount val="1"/>
                <c:pt idx="0">
                  <c:v>434</c:v>
                </c:pt>
              </c:numCache>
            </c:numRef>
          </c:val>
          <c:extLst>
            <c:ext xmlns:c16="http://schemas.microsoft.com/office/drawing/2014/chart" uri="{C3380CC4-5D6E-409C-BE32-E72D297353CC}">
              <c16:uniqueId val="{00000002-CCCE-4C2F-B49A-3619E01D083F}"/>
            </c:ext>
          </c:extLst>
        </c:ser>
        <c:ser>
          <c:idx val="3"/>
          <c:order val="3"/>
          <c:tx>
            <c:strRef>
              <c:f>Лист1!$E$1</c:f>
              <c:strCache>
                <c:ptCount val="1"/>
                <c:pt idx="0">
                  <c:v>UBC-97</c:v>
                </c:pt>
              </c:strCache>
            </c:strRef>
          </c:tx>
          <c:spPr>
            <a:solidFill>
              <a:schemeClr val="dk1">
                <a:tint val="98500"/>
              </a:schemeClr>
            </a:solidFill>
            <a:ln>
              <a:noFill/>
            </a:ln>
            <a:effectLst/>
          </c:spPr>
          <c:invertIfNegative val="0"/>
          <c:cat>
            <c:strRef>
              <c:f>Лист1!$A$2</c:f>
              <c:strCache>
                <c:ptCount val="1"/>
                <c:pt idx="0">
                  <c:v>Сейсмическая нагрузка на каркас модели №2, кН</c:v>
                </c:pt>
              </c:strCache>
            </c:strRef>
          </c:cat>
          <c:val>
            <c:numRef>
              <c:f>Лист1!$E$2</c:f>
              <c:numCache>
                <c:formatCode>General</c:formatCode>
                <c:ptCount val="1"/>
                <c:pt idx="0">
                  <c:v>504</c:v>
                </c:pt>
              </c:numCache>
            </c:numRef>
          </c:val>
          <c:extLst>
            <c:ext xmlns:c16="http://schemas.microsoft.com/office/drawing/2014/chart" uri="{C3380CC4-5D6E-409C-BE32-E72D297353CC}">
              <c16:uniqueId val="{00000003-CCCE-4C2F-B49A-3619E01D083F}"/>
            </c:ext>
          </c:extLst>
        </c:ser>
        <c:ser>
          <c:idx val="4"/>
          <c:order val="4"/>
          <c:tx>
            <c:strRef>
              <c:f>Лист1!$F$1</c:f>
              <c:strCache>
                <c:ptCount val="1"/>
                <c:pt idx="0">
                  <c:v>ASCE 7-10</c:v>
                </c:pt>
              </c:strCache>
            </c:strRef>
          </c:tx>
          <c:spPr>
            <a:solidFill>
              <a:schemeClr val="bg2">
                <a:lumMod val="90000"/>
              </a:schemeClr>
            </a:solidFill>
            <a:ln>
              <a:noFill/>
            </a:ln>
            <a:effectLst/>
          </c:spPr>
          <c:invertIfNegative val="0"/>
          <c:cat>
            <c:strRef>
              <c:f>Лист1!$A$2</c:f>
              <c:strCache>
                <c:ptCount val="1"/>
                <c:pt idx="0">
                  <c:v>Сейсмическая нагрузка на каркас модели №2, кН</c:v>
                </c:pt>
              </c:strCache>
            </c:strRef>
          </c:cat>
          <c:val>
            <c:numRef>
              <c:f>Лист1!$F$2</c:f>
              <c:numCache>
                <c:formatCode>General</c:formatCode>
                <c:ptCount val="1"/>
                <c:pt idx="0">
                  <c:v>452</c:v>
                </c:pt>
              </c:numCache>
            </c:numRef>
          </c:val>
          <c:extLst>
            <c:ext xmlns:c16="http://schemas.microsoft.com/office/drawing/2014/chart" uri="{C3380CC4-5D6E-409C-BE32-E72D297353CC}">
              <c16:uniqueId val="{00000004-CCCE-4C2F-B49A-3619E01D083F}"/>
            </c:ext>
          </c:extLst>
        </c:ser>
        <c:dLbls>
          <c:showLegendKey val="0"/>
          <c:showVal val="0"/>
          <c:showCatName val="0"/>
          <c:showSerName val="0"/>
          <c:showPercent val="0"/>
          <c:showBubbleSize val="0"/>
        </c:dLbls>
        <c:gapWidth val="219"/>
        <c:overlap val="-27"/>
        <c:axId val="252976976"/>
        <c:axId val="328888864"/>
      </c:barChart>
      <c:catAx>
        <c:axId val="252976976"/>
        <c:scaling>
          <c:orientation val="minMax"/>
        </c:scaling>
        <c:delete val="1"/>
        <c:axPos val="b"/>
        <c:numFmt formatCode="General" sourceLinked="1"/>
        <c:majorTickMark val="none"/>
        <c:minorTickMark val="none"/>
        <c:tickLblPos val="nextTo"/>
        <c:crossAx val="328888864"/>
        <c:crosses val="autoZero"/>
        <c:auto val="1"/>
        <c:lblAlgn val="ctr"/>
        <c:lblOffset val="100"/>
        <c:noMultiLvlLbl val="0"/>
      </c:catAx>
      <c:valAx>
        <c:axId val="3288888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ru-RU"/>
          </a:p>
        </c:txPr>
        <c:crossAx val="252976976"/>
        <c:crosses val="autoZero"/>
        <c:crossBetween val="between"/>
      </c:valAx>
      <c:spPr>
        <a:noFill/>
        <a:ln w="19050">
          <a:solidFill>
            <a:schemeClr val="tx1"/>
          </a:solidFill>
        </a:ln>
        <a:effectLst/>
      </c:spPr>
    </c:plotArea>
    <c:legend>
      <c:legendPos val="b"/>
      <c:legendEntry>
        <c:idx val="0"/>
        <c:txPr>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ru-RU"/>
          </a:p>
        </c:txPr>
      </c:legendEntry>
      <c:legendEntry>
        <c:idx val="1"/>
        <c:txPr>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ru-RU"/>
          </a:p>
        </c:txPr>
      </c:legendEntry>
      <c:legendEntry>
        <c:idx val="2"/>
        <c:txPr>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ru-RU"/>
          </a:p>
        </c:txPr>
      </c:legendEntry>
      <c:legendEntry>
        <c:idx val="3"/>
        <c:txPr>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ru-RU"/>
          </a:p>
        </c:txPr>
      </c:legendEntry>
      <c:legendEntry>
        <c:idx val="4"/>
        <c:txPr>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ru-RU"/>
          </a:p>
        </c:txPr>
      </c:legendEntry>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i="0" baseline="0"/>
      </a:pPr>
      <a:endParaRPr lang="ru-RU"/>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2.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87BDF0-C81F-46EA-B2C5-344A09A47346}">
  <ds:schemaRefs>
    <ds:schemaRef ds:uri="http://schemas.openxmlformats.org/officeDocument/2006/bibliography"/>
  </ds:schemaRefs>
</ds:datastoreItem>
</file>

<file path=customXml/itemProps4.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30</TotalTime>
  <Pages>6</Pages>
  <Words>2075</Words>
  <Characters>11830</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Title Goes Here</vt:lpstr>
    </vt:vector>
  </TitlesOfParts>
  <Company>PPI</Company>
  <LinksUpToDate>false</LinksUpToDate>
  <CharactersWithSpaces>13878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USER</cp:lastModifiedBy>
  <cp:revision>8</cp:revision>
  <cp:lastPrinted>2011-03-03T08:29:00Z</cp:lastPrinted>
  <dcterms:created xsi:type="dcterms:W3CDTF">2025-11-03T05:44:00Z</dcterms:created>
  <dcterms:modified xsi:type="dcterms:W3CDTF">2025-11-20T12:23:00Z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