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338B167" w:rsidR="0016385D" w:rsidRPr="00075EA6" w:rsidRDefault="007F7D51" w:rsidP="00D33D2D">
      <w:pPr>
        <w:pStyle w:val="PaperTitle"/>
        <w:rPr>
          <w:b w:val="0"/>
          <w:bCs/>
          <w:sz w:val="24"/>
          <w:szCs w:val="24"/>
        </w:rPr>
      </w:pPr>
      <w:r w:rsidRPr="007F7D51">
        <w:t xml:space="preserve">Earthquake Prediction Using Artificial Intelligence with the Results of Mathematical Modeling of the Stress State of the Earth's Crust </w:t>
      </w:r>
    </w:p>
    <w:p w14:paraId="548D96A3" w14:textId="34598F59" w:rsidR="00C14B14" w:rsidRDefault="007F7D51" w:rsidP="2F830975">
      <w:pPr>
        <w:pStyle w:val="AuthorName"/>
        <w:rPr>
          <w:sz w:val="20"/>
          <w:lang w:val="en-GB" w:eastAsia="en-GB"/>
        </w:rPr>
      </w:pPr>
      <w:r w:rsidRPr="007F7D51">
        <w:t xml:space="preserve">Ikram Atabekov </w:t>
      </w:r>
      <w:r w:rsidR="00EF6940" w:rsidRPr="2F830975">
        <w:rPr>
          <w:vertAlign w:val="superscript"/>
        </w:rPr>
        <w:t>1,</w:t>
      </w:r>
      <w:r w:rsidR="003A5C85" w:rsidRPr="2F830975">
        <w:rPr>
          <w:vertAlign w:val="superscript"/>
        </w:rPr>
        <w:t xml:space="preserve"> </w:t>
      </w:r>
      <w:r w:rsidR="00EF6940" w:rsidRPr="2F830975">
        <w:rPr>
          <w:vertAlign w:val="superscript"/>
        </w:rPr>
        <w:t>a)</w:t>
      </w:r>
    </w:p>
    <w:p w14:paraId="5CFA9C09" w14:textId="5813832A" w:rsidR="007F7D51" w:rsidRPr="00075EA6" w:rsidRDefault="00027428" w:rsidP="007F7D51">
      <w:pPr>
        <w:pStyle w:val="AuthorAffiliation"/>
      </w:pPr>
      <w:r w:rsidRPr="00075EA6">
        <w:rPr>
          <w:i w:val="0"/>
          <w:iCs/>
          <w:vertAlign w:val="superscript"/>
        </w:rPr>
        <w:t>1</w:t>
      </w:r>
      <w:r w:rsidR="007F7D51" w:rsidRPr="007F7D51">
        <w:t xml:space="preserve"> </w:t>
      </w:r>
      <w:r w:rsidR="007F7D51" w:rsidRPr="00FD7E38">
        <w:t xml:space="preserve">Institute of Seismology, </w:t>
      </w:r>
      <w:proofErr w:type="spellStart"/>
      <w:r w:rsidR="007F7D51" w:rsidRPr="00FD7E38">
        <w:t>Zulfiyahanum</w:t>
      </w:r>
      <w:proofErr w:type="spellEnd"/>
      <w:r w:rsidR="007F7D51" w:rsidRPr="00FD7E38">
        <w:t xml:space="preserve"> Str. 3, Tashkent, 100128, Uzbekistan</w:t>
      </w:r>
      <w:r w:rsidR="007F7D51" w:rsidRPr="00C1348D">
        <w:t xml:space="preserve"> </w:t>
      </w:r>
    </w:p>
    <w:p w14:paraId="771D6B6C" w14:textId="77B5E1D8" w:rsidR="00C14B14" w:rsidRPr="00075EA6" w:rsidRDefault="00C14B14" w:rsidP="00C14B14">
      <w:pPr>
        <w:pStyle w:val="AuthorAffiliation"/>
      </w:pPr>
    </w:p>
    <w:p w14:paraId="5E05E235" w14:textId="4023F620" w:rsidR="003A5C85" w:rsidRPr="00075EA6" w:rsidRDefault="00003D7C">
      <w:pPr>
        <w:pStyle w:val="AuthorEmail"/>
      </w:pPr>
      <w:r w:rsidRPr="00075EA6">
        <w:rPr>
          <w:szCs w:val="28"/>
          <w:vertAlign w:val="superscript"/>
        </w:rPr>
        <w:t>a)</w:t>
      </w:r>
      <w:r w:rsidRPr="00075EA6">
        <w:t xml:space="preserve"> Corresponding</w:t>
      </w:r>
      <w:r w:rsidR="004E3CB2" w:rsidRPr="00075EA6">
        <w:t xml:space="preserve"> author: </w:t>
      </w:r>
      <w:r w:rsidR="007F7D51" w:rsidRPr="007F7D51">
        <w:t>atabekovi@mail.ru</w:t>
      </w:r>
      <w:r w:rsidR="00C1348D" w:rsidRPr="00075EA6">
        <w:rPr>
          <w:i/>
        </w:rPr>
        <w:t xml:space="preserve"> </w:t>
      </w:r>
    </w:p>
    <w:p w14:paraId="22C3F2A8" w14:textId="0142F119" w:rsidR="0016385D" w:rsidRPr="00075EA6" w:rsidRDefault="0016385D" w:rsidP="00C14B14">
      <w:pPr>
        <w:pStyle w:val="Abstract"/>
      </w:pPr>
      <w:r w:rsidRPr="00075EA6">
        <w:rPr>
          <w:b/>
          <w:bCs/>
        </w:rPr>
        <w:t>Abstract.</w:t>
      </w:r>
      <w:r w:rsidRPr="00075EA6">
        <w:t xml:space="preserve"> </w:t>
      </w:r>
      <w:r w:rsidR="007F7D51" w:rsidRPr="00FD7E38">
        <w:rPr>
          <w:bCs/>
          <w:szCs w:val="18"/>
          <w:lang w:eastAsia="ru-RU"/>
        </w:rPr>
        <w:t>A regional model of the Western Tien Shan and the Afghan-Tajik Basin was developed, reproducing stress and velocity distributions and demonstrating good agreement with GPS data and earthquake focal mechanism solutions. The model's numerical results were combined with seismological, tectonic, and morphological characteristics to conduct machine learning using a hybrid Kolmogorov-Arnold network coupled with an LSTM platform. The training results successfully confirmed that combining geodynamic modeling with artificial intelligence provides a powerful approach to practical prediction of future earthquake locations and magnitudes in regions with high seismic risk.</w:t>
      </w:r>
    </w:p>
    <w:p w14:paraId="5240E3FB" w14:textId="407D4F69" w:rsidR="003A287B" w:rsidRPr="00075EA6" w:rsidRDefault="0097061E" w:rsidP="00003D7C">
      <w:pPr>
        <w:pStyle w:val="1"/>
        <w:rPr>
          <w:b w:val="0"/>
          <w:caps w:val="0"/>
          <w:sz w:val="20"/>
        </w:rPr>
      </w:pPr>
      <w:r w:rsidRPr="0097061E">
        <w:t xml:space="preserve">Introduction </w:t>
      </w:r>
    </w:p>
    <w:p w14:paraId="0C39605E" w14:textId="1EFCD44A" w:rsidR="0097061E" w:rsidRPr="001C3223" w:rsidRDefault="007F7D51" w:rsidP="0097061E">
      <w:pPr>
        <w:pStyle w:val="Paragraph"/>
        <w:rPr>
          <w:lang w:val="uz-Cyrl-UZ"/>
        </w:rPr>
      </w:pPr>
      <w:r w:rsidRPr="007F7D51">
        <w:t>Earthquake prediction remains one of the most complex and pressing problems in science. Uzbekistan has experienced numerous devastating earthquakes, highlighting the need for reliable seismic hazard assessment. Numerical stress field modeling has become an effective tool for establishing the relationship between geodynamic processes and seismic hazard. However, a gap remains between physical models and forecasting systems capable of predicting the location and magnitude of future earthquakes. This study bridges this gap by integrating numerical modeling of the Earth's crustal stress-strain state with artificial intelligence methods. We integrate the results of the numerical model into a hybrid deep learning architecture (a Kolmogorov-Arnold network combined with LSTM), which allows us to explore spatial-magnitude patterns of seismic activity and assess the potential for earthquake prediction.</w:t>
      </w:r>
    </w:p>
    <w:p w14:paraId="0390C611" w14:textId="0F9CF4A2" w:rsidR="0097061E" w:rsidRDefault="0097061E" w:rsidP="0097061E">
      <w:pPr>
        <w:pStyle w:val="1"/>
      </w:pPr>
      <w:r w:rsidRPr="00174E15">
        <w:rPr>
          <w:lang w:eastAsia="zh-CN"/>
        </w:rPr>
        <w:t>Materials, methods, and objects of study</w:t>
      </w:r>
    </w:p>
    <w:p w14:paraId="3BC25E3F" w14:textId="75B15AC1" w:rsidR="007F7D51" w:rsidRDefault="007F7D51" w:rsidP="007F7D51">
      <w:pPr>
        <w:pStyle w:val="Paragraph"/>
      </w:pPr>
      <w:r w:rsidRPr="007F7D51">
        <w:t>The results of numerical experiments conducted in [1] can serve as a physical basis for modeling modern movements of the Western Tien Shan and the Afghan-Tajik depression (Fig.1) using the Stokes equations.</w:t>
      </w:r>
    </w:p>
    <w:p w14:paraId="2DB7E14A" w14:textId="77777777" w:rsidR="004F6848" w:rsidRDefault="004F6848" w:rsidP="004F6848">
      <w:pPr>
        <w:pStyle w:val="Paragraph"/>
      </w:pPr>
      <w:r w:rsidRPr="007F7D51">
        <w:t>The averaged Stokes equations of horizontal displacement ¯v(x</w:t>
      </w:r>
      <w:proofErr w:type="gramStart"/>
      <w:r w:rsidRPr="007F7D51">
        <w:t>1,x</w:t>
      </w:r>
      <w:proofErr w:type="gramEnd"/>
      <w:r w:rsidRPr="007F7D51">
        <w:t>2) and pressure ¯p(x1,x2) applied to some depths of the earth's crust have the following form[2]:</w:t>
      </w:r>
    </w:p>
    <w:p w14:paraId="024A91DA" w14:textId="77777777" w:rsidR="004F6848" w:rsidRPr="00BE211D" w:rsidRDefault="004F6848" w:rsidP="004F6848">
      <w:pPr>
        <w:pStyle w:val="Equation"/>
        <w:rPr>
          <w:noProof/>
          <w:lang w:val="en-AU"/>
        </w:rPr>
      </w:pPr>
      <w:r>
        <w:rPr>
          <w:noProof/>
        </w:rPr>
        <w:tab/>
      </w:r>
      <w:r w:rsidRPr="007F7D51">
        <w:rPr>
          <w:noProof/>
          <w:position w:val="-10"/>
        </w:rPr>
        <w:object w:dxaOrig="1640" w:dyaOrig="340" w14:anchorId="2CF28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7pt;height:17.25pt" o:ole="" fillcolor="window">
            <v:imagedata r:id="rId9" o:title=""/>
          </v:shape>
          <o:OLEObject Type="Embed" ProgID="Equation.3" ShapeID="_x0000_i1035" DrawAspect="Content" ObjectID="_1823605556" r:id="rId10"/>
        </w:object>
      </w:r>
      <w:r>
        <w:rPr>
          <w:noProof/>
        </w:rPr>
        <w:tab/>
      </w:r>
      <w:r w:rsidRPr="00BE211D">
        <w:rPr>
          <w:noProof/>
          <w:lang w:val="en-AU"/>
        </w:rPr>
        <w:t>(1)</w:t>
      </w:r>
    </w:p>
    <w:p w14:paraId="01CA13FE" w14:textId="77777777" w:rsidR="004F6848" w:rsidRPr="00BE211D" w:rsidRDefault="004F6848" w:rsidP="004F6848">
      <w:pPr>
        <w:pStyle w:val="Equation"/>
      </w:pPr>
      <w:r>
        <w:rPr>
          <w:noProof/>
        </w:rPr>
        <w:tab/>
      </w:r>
      <w:r w:rsidRPr="007F7D51">
        <w:rPr>
          <w:noProof/>
          <w:position w:val="-6"/>
        </w:rPr>
        <w:object w:dxaOrig="720" w:dyaOrig="300" w14:anchorId="70639882">
          <v:shape id="_x0000_i1036" type="#_x0000_t75" style="width:38.25pt;height:15.75pt" o:ole="" fillcolor="window">
            <v:imagedata r:id="rId11" o:title=""/>
          </v:shape>
          <o:OLEObject Type="Embed" ProgID="Equation.3" ShapeID="_x0000_i1036" DrawAspect="Content" ObjectID="_1823605557" r:id="rId12"/>
        </w:object>
      </w:r>
      <w:r>
        <w:rPr>
          <w:noProof/>
          <w:lang w:val="en-AU"/>
        </w:rPr>
        <w:tab/>
      </w:r>
      <w:r w:rsidRPr="00BE211D">
        <w:rPr>
          <w:noProof/>
          <w:lang w:val="en-AU"/>
        </w:rPr>
        <w:t>(2)</w:t>
      </w:r>
      <w:r w:rsidRPr="00BE211D">
        <w:t xml:space="preserve"> </w:t>
      </w:r>
    </w:p>
    <w:p w14:paraId="406DA8CE" w14:textId="77777777" w:rsidR="004F6848" w:rsidRDefault="004F6848" w:rsidP="004F6848">
      <w:pPr>
        <w:pStyle w:val="Paragraph"/>
        <w:ind w:firstLine="0"/>
      </w:pPr>
      <w:r w:rsidRPr="007F7D51">
        <w:t>where F (F1, F2) is a vector with components</w:t>
      </w:r>
    </w:p>
    <w:p w14:paraId="49F1B3C8" w14:textId="77777777" w:rsidR="004F6848" w:rsidRPr="00BE211D" w:rsidRDefault="004F6848" w:rsidP="004F6848">
      <w:pPr>
        <w:pStyle w:val="Equation"/>
      </w:pPr>
      <w:r>
        <w:tab/>
      </w:r>
      <w:r w:rsidRPr="005C6270">
        <w:rPr>
          <w:position w:val="-62"/>
        </w:rPr>
        <w:object w:dxaOrig="6860" w:dyaOrig="1340" w14:anchorId="37DE99F4">
          <v:shape id="_x0000_i1037" type="#_x0000_t75" style="width:312pt;height:60pt" o:ole="">
            <v:imagedata r:id="rId13" o:title=""/>
          </v:shape>
          <o:OLEObject Type="Embed" ProgID="Equation.3" ShapeID="_x0000_i1037" DrawAspect="Content" ObjectID="_1823605558" r:id="rId14"/>
        </w:object>
      </w:r>
      <w:r>
        <w:tab/>
      </w:r>
      <w:r w:rsidRPr="00BE211D">
        <w:t>(3)</w:t>
      </w:r>
    </w:p>
    <w:p w14:paraId="588AE6C2" w14:textId="77777777" w:rsidR="004F6848" w:rsidRPr="00BE211D" w:rsidRDefault="004F6848" w:rsidP="004F6848">
      <w:pPr>
        <w:pStyle w:val="Equation"/>
      </w:pPr>
      <w:r>
        <w:lastRenderedPageBreak/>
        <w:tab/>
      </w:r>
      <w:r w:rsidRPr="005C6270">
        <w:rPr>
          <w:position w:val="-62"/>
        </w:rPr>
        <w:object w:dxaOrig="6740" w:dyaOrig="1340" w14:anchorId="71C500AD">
          <v:shape id="_x0000_i1038" type="#_x0000_t75" style="width:306pt;height:60pt" o:ole="">
            <v:imagedata r:id="rId15" o:title=""/>
          </v:shape>
          <o:OLEObject Type="Embed" ProgID="Equation.3" ShapeID="_x0000_i1038" DrawAspect="Content" ObjectID="_1823605559" r:id="rId16"/>
        </w:object>
      </w:r>
      <w:r>
        <w:tab/>
      </w:r>
      <w:r w:rsidRPr="00BE211D">
        <w:t>(4)</w:t>
      </w:r>
    </w:p>
    <w:p w14:paraId="047C1871" w14:textId="7A4F6D88" w:rsidR="007F7D51" w:rsidRDefault="007F7D51" w:rsidP="007F7D51">
      <w:pPr>
        <w:pStyle w:val="Paragraph"/>
        <w:jc w:val="center"/>
      </w:pPr>
      <w:r w:rsidRPr="0041690F">
        <w:rPr>
          <w:noProof/>
          <w:lang w:val="ru-RU" w:eastAsia="ja-JP"/>
        </w:rPr>
        <w:drawing>
          <wp:inline distT="0" distB="0" distL="0" distR="0" wp14:anchorId="5429FA15" wp14:editId="696BE53F">
            <wp:extent cx="3857222" cy="278932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76163" cy="2803019"/>
                    </a:xfrm>
                    <a:prstGeom prst="rect">
                      <a:avLst/>
                    </a:prstGeom>
                    <a:noFill/>
                    <a:ln>
                      <a:noFill/>
                    </a:ln>
                  </pic:spPr>
                </pic:pic>
              </a:graphicData>
            </a:graphic>
          </wp:inline>
        </w:drawing>
      </w:r>
    </w:p>
    <w:p w14:paraId="623FAB21" w14:textId="6E329849" w:rsidR="0097061E" w:rsidRDefault="007F7D51" w:rsidP="004F6848">
      <w:pPr>
        <w:pStyle w:val="FigureCaption"/>
        <w:spacing w:after="120"/>
      </w:pPr>
      <w:r w:rsidRPr="001F72A9">
        <w:rPr>
          <w:b/>
          <w:lang w:eastAsia="ru-RU"/>
        </w:rPr>
        <w:t xml:space="preserve">FIGURE 1. </w:t>
      </w:r>
      <w:r w:rsidRPr="001F72A9">
        <w:rPr>
          <w:lang w:eastAsia="ru-RU"/>
        </w:rPr>
        <w:t>The territory of the studied area</w:t>
      </w:r>
    </w:p>
    <w:p w14:paraId="4E4434CC" w14:textId="1B485754" w:rsidR="007F7D51" w:rsidRDefault="005C6270" w:rsidP="0097061E">
      <w:pPr>
        <w:pStyle w:val="Paragraph"/>
      </w:pPr>
      <w:r w:rsidRPr="006C723F">
        <w:t xml:space="preserve">In these formulas, </w:t>
      </w:r>
      <w:proofErr w:type="spellStart"/>
      <w:r w:rsidRPr="006C723F">
        <w:rPr>
          <w:i/>
          <w:iCs/>
        </w:rPr>
        <w:t>σ</w:t>
      </w:r>
      <w:r w:rsidRPr="006C723F">
        <w:rPr>
          <w:i/>
          <w:iCs/>
          <w:vertAlign w:val="subscript"/>
        </w:rPr>
        <w:t>ij</w:t>
      </w:r>
      <w:proofErr w:type="spellEnd"/>
      <w:r w:rsidRPr="006C723F">
        <w:t xml:space="preserve"> with a bar is the initial stress reconstructed in [1], </w:t>
      </w:r>
      <w:proofErr w:type="gramStart"/>
      <w:r w:rsidRPr="006C723F">
        <w:rPr>
          <w:i/>
        </w:rPr>
        <w:t>H(</w:t>
      </w:r>
      <w:proofErr w:type="gramEnd"/>
      <w:r w:rsidRPr="006C723F">
        <w:rPr>
          <w:i/>
        </w:rPr>
        <w:t>x</w:t>
      </w:r>
      <w:r w:rsidRPr="006C723F">
        <w:rPr>
          <w:i/>
          <w:vertAlign w:val="subscript"/>
        </w:rPr>
        <w:t>1</w:t>
      </w:r>
      <w:r w:rsidRPr="006C723F">
        <w:rPr>
          <w:i/>
        </w:rPr>
        <w:t>,</w:t>
      </w:r>
      <w:r w:rsidR="004F6848">
        <w:rPr>
          <w:i/>
        </w:rPr>
        <w:t xml:space="preserve"> </w:t>
      </w:r>
      <w:r w:rsidRPr="006C723F">
        <w:rPr>
          <w:i/>
        </w:rPr>
        <w:t>x</w:t>
      </w:r>
      <w:r w:rsidRPr="006C723F">
        <w:rPr>
          <w:i/>
          <w:vertAlign w:val="subscript"/>
        </w:rPr>
        <w:t>2</w:t>
      </w:r>
      <w:r w:rsidRPr="006C723F">
        <w:rPr>
          <w:i/>
        </w:rPr>
        <w:t>)</w:t>
      </w:r>
      <w:r w:rsidRPr="006C723F">
        <w:rPr>
          <w:i/>
          <w:vertAlign w:val="subscript"/>
        </w:rPr>
        <w:t xml:space="preserve"> </w:t>
      </w:r>
      <w:r w:rsidRPr="006C723F">
        <w:t xml:space="preserve"> is the topography of the Earth's surface, </w:t>
      </w:r>
      <w:r w:rsidRPr="006C723F">
        <w:rPr>
          <w:i/>
        </w:rPr>
        <w:t>h=</w:t>
      </w:r>
      <w:r w:rsidRPr="006C723F">
        <w:t xml:space="preserve">const  is depth of lithosphere, </w:t>
      </w:r>
      <w:r w:rsidRPr="006C723F">
        <w:rPr>
          <w:i/>
          <w:iCs/>
          <w:lang w:val="ru-RU"/>
        </w:rPr>
        <w:t>ρ</w:t>
      </w:r>
      <w:r w:rsidRPr="006C723F">
        <w:rPr>
          <w:i/>
          <w:iCs/>
        </w:rPr>
        <w:t xml:space="preserve"> </w:t>
      </w:r>
      <w:r w:rsidRPr="006C723F">
        <w:t xml:space="preserve">is the density and </w:t>
      </w:r>
      <w:r w:rsidRPr="006C723F">
        <w:rPr>
          <w:i/>
          <w:iCs/>
        </w:rPr>
        <w:t>µ</w:t>
      </w:r>
      <w:r w:rsidRPr="006C723F">
        <w:t xml:space="preserve"> is the viscosity coefficient, </w:t>
      </w:r>
      <w:r w:rsidRPr="006C723F">
        <w:rPr>
          <w:i/>
          <w:iCs/>
          <w:lang w:val="ru-RU"/>
        </w:rPr>
        <w:t>Δ</w:t>
      </w:r>
      <w:r w:rsidRPr="006C723F">
        <w:rPr>
          <w:i/>
          <w:iCs/>
        </w:rPr>
        <w:t xml:space="preserve"> </w:t>
      </w:r>
      <w:r w:rsidRPr="006C723F">
        <w:t xml:space="preserve">is the two-dimensional Laplace operator. </w:t>
      </w:r>
      <w:r w:rsidRPr="006C723F">
        <w:rPr>
          <w:i/>
          <w:iCs/>
          <w:lang w:val="uz-Cyrl-UZ"/>
        </w:rPr>
        <w:t>k</w:t>
      </w:r>
      <w:r w:rsidRPr="006C723F">
        <w:rPr>
          <w:i/>
          <w:iCs/>
          <w:vertAlign w:val="subscript"/>
        </w:rPr>
        <w:t>z</w:t>
      </w:r>
      <w:r w:rsidRPr="006C723F">
        <w:t xml:space="preserve"> is the coefficient which appears in averaging[3]. The functions as </w:t>
      </w:r>
      <w:proofErr w:type="gramStart"/>
      <w:r w:rsidRPr="006C723F">
        <w:rPr>
          <w:i/>
        </w:rPr>
        <w:t>w(</w:t>
      </w:r>
      <w:proofErr w:type="gramEnd"/>
      <w:r w:rsidRPr="006C723F">
        <w:rPr>
          <w:i/>
        </w:rPr>
        <w:t>x</w:t>
      </w:r>
      <w:r w:rsidRPr="006C723F">
        <w:rPr>
          <w:i/>
          <w:vertAlign w:val="subscript"/>
        </w:rPr>
        <w:t>1</w:t>
      </w:r>
      <w:r w:rsidRPr="006C723F">
        <w:rPr>
          <w:i/>
        </w:rPr>
        <w:t>,</w:t>
      </w:r>
      <w:r w:rsidR="004F6848">
        <w:rPr>
          <w:i/>
        </w:rPr>
        <w:t xml:space="preserve"> </w:t>
      </w:r>
      <w:r w:rsidRPr="006C723F">
        <w:rPr>
          <w:i/>
        </w:rPr>
        <w:t>x</w:t>
      </w:r>
      <w:r w:rsidRPr="006C723F">
        <w:rPr>
          <w:i/>
          <w:vertAlign w:val="subscript"/>
        </w:rPr>
        <w:t>2</w:t>
      </w:r>
      <w:r w:rsidRPr="006C723F">
        <w:rPr>
          <w:i/>
        </w:rPr>
        <w:t>,</w:t>
      </w:r>
      <w:r w:rsidR="004F6848">
        <w:rPr>
          <w:i/>
        </w:rPr>
        <w:t xml:space="preserve"> </w:t>
      </w:r>
      <w:r w:rsidRPr="006C723F">
        <w:rPr>
          <w:i/>
        </w:rPr>
        <w:t>x</w:t>
      </w:r>
      <w:r w:rsidRPr="006C723F">
        <w:rPr>
          <w:i/>
          <w:vertAlign w:val="subscript"/>
        </w:rPr>
        <w:t>3</w:t>
      </w:r>
      <w:r w:rsidRPr="006C723F">
        <w:rPr>
          <w:i/>
        </w:rPr>
        <w:t>)</w:t>
      </w:r>
      <w:r w:rsidRPr="006C723F">
        <w:t xml:space="preserve"> were averaged  by the following formula:</w:t>
      </w:r>
    </w:p>
    <w:p w14:paraId="06E96205" w14:textId="3EDEC833" w:rsidR="007F7D51" w:rsidRDefault="005C6270" w:rsidP="005C6270">
      <w:pPr>
        <w:pStyle w:val="Equation"/>
      </w:pPr>
      <w:r>
        <w:rPr>
          <w:rFonts w:eastAsia="Calibri"/>
        </w:rPr>
        <w:tab/>
      </w:r>
      <w:r w:rsidRPr="00FF5D01">
        <w:rPr>
          <w:rFonts w:eastAsia="Calibri"/>
          <w:position w:val="-20"/>
        </w:rPr>
        <w:object w:dxaOrig="3000" w:dyaOrig="540" w14:anchorId="5D792CE6">
          <v:shape id="_x0000_i1029" type="#_x0000_t75" style="width:150pt;height:27pt" o:ole="">
            <v:imagedata r:id="rId18" o:title=""/>
          </v:shape>
          <o:OLEObject Type="Embed" ProgID="Equation.3" ShapeID="_x0000_i1029" DrawAspect="Content" ObjectID="_1823605560" r:id="rId19"/>
        </w:object>
      </w:r>
      <w:r>
        <w:rPr>
          <w:rFonts w:eastAsia="Calibri"/>
        </w:rPr>
        <w:tab/>
        <w:t>(5)</w:t>
      </w:r>
    </w:p>
    <w:p w14:paraId="43F8EC36" w14:textId="48A27C7E" w:rsidR="005C6270" w:rsidRDefault="005C6270" w:rsidP="005C6270">
      <w:pPr>
        <w:pStyle w:val="Paragraph"/>
      </w:pPr>
      <w:r w:rsidRPr="006C723F">
        <w:t xml:space="preserve">The vertical velocity of displacements on the Earth's surface is obtained by averaging of the incompressibility equation (2), assuming </w:t>
      </w:r>
      <w:r w:rsidRPr="006C723F">
        <w:rPr>
          <w:i/>
        </w:rPr>
        <w:t>v</w:t>
      </w:r>
      <w:r w:rsidRPr="006C723F">
        <w:rPr>
          <w:i/>
          <w:vertAlign w:val="subscript"/>
        </w:rPr>
        <w:t>3</w:t>
      </w:r>
      <w:r w:rsidRPr="006C723F">
        <w:rPr>
          <w:i/>
        </w:rPr>
        <w:t>(x</w:t>
      </w:r>
      <w:r w:rsidRPr="006C723F">
        <w:rPr>
          <w:i/>
          <w:vertAlign w:val="subscript"/>
        </w:rPr>
        <w:t>1</w:t>
      </w:r>
      <w:r w:rsidRPr="006C723F">
        <w:rPr>
          <w:i/>
        </w:rPr>
        <w:t>, x</w:t>
      </w:r>
      <w:r w:rsidRPr="006C723F">
        <w:rPr>
          <w:i/>
          <w:vertAlign w:val="subscript"/>
        </w:rPr>
        <w:t>2</w:t>
      </w:r>
      <w:r w:rsidRPr="006C723F">
        <w:rPr>
          <w:i/>
        </w:rPr>
        <w:t>, h) = 0</w:t>
      </w:r>
      <w:r w:rsidRPr="006C723F">
        <w:t>:</w:t>
      </w:r>
    </w:p>
    <w:p w14:paraId="54DA8F9D" w14:textId="2215DD11" w:rsidR="007F7D51" w:rsidRDefault="005C6270" w:rsidP="005C6270">
      <w:pPr>
        <w:pStyle w:val="Equation"/>
      </w:pPr>
      <w:r>
        <w:rPr>
          <w:noProof/>
        </w:rPr>
        <w:tab/>
      </w:r>
      <w:r w:rsidR="0026572F" w:rsidRPr="005C6270">
        <w:rPr>
          <w:noProof/>
          <w:position w:val="-28"/>
        </w:rPr>
        <w:object w:dxaOrig="5040" w:dyaOrig="660" w14:anchorId="765CCDAC">
          <v:shape id="_x0000_i1030" type="#_x0000_t75" style="width:229.5pt;height:30pt" o:ole="" fillcolor="window">
            <v:imagedata r:id="rId20" o:title=""/>
          </v:shape>
          <o:OLEObject Type="Embed" ProgID="Equation.3" ShapeID="_x0000_i1030" DrawAspect="Content" ObjectID="_1823605561" r:id="rId21"/>
        </w:object>
      </w:r>
      <w:r>
        <w:rPr>
          <w:noProof/>
        </w:rPr>
        <w:tab/>
        <w:t>(7)</w:t>
      </w:r>
    </w:p>
    <w:p w14:paraId="1A86EECA" w14:textId="2AE1B1E4" w:rsidR="005C6270" w:rsidRDefault="005C6270" w:rsidP="0097061E">
      <w:pPr>
        <w:pStyle w:val="Paragraph"/>
        <w:rPr>
          <w:lang w:eastAsia="ru-RU"/>
        </w:rPr>
      </w:pPr>
      <w:r w:rsidRPr="006C723F">
        <w:rPr>
          <w:lang w:eastAsia="ru-RU"/>
        </w:rPr>
        <w:t>The equations (1-4) were solved by boundary element method.</w:t>
      </w:r>
    </w:p>
    <w:p w14:paraId="3622D666" w14:textId="05A71E7F" w:rsidR="005C6270" w:rsidRDefault="005C6270" w:rsidP="005C6270">
      <w:pPr>
        <w:pStyle w:val="1"/>
      </w:pPr>
      <w:r w:rsidRPr="005C6270">
        <w:t>RESULTS AND ANALISING</w:t>
      </w:r>
    </w:p>
    <w:p w14:paraId="603D88B4" w14:textId="414B0390" w:rsidR="005C6270" w:rsidRDefault="005C6270" w:rsidP="0097061E">
      <w:pPr>
        <w:pStyle w:val="Paragraph"/>
      </w:pPr>
      <w:r w:rsidRPr="005C6270">
        <w:t>The obtained velocity fields</w:t>
      </w:r>
      <w:r w:rsidR="004F6848">
        <w:t xml:space="preserve"> </w:t>
      </w:r>
      <w:r w:rsidRPr="005C6270">
        <w:t xml:space="preserve">[4] were identified by all existing GPS data for studied </w:t>
      </w:r>
      <w:proofErr w:type="gramStart"/>
      <w:r w:rsidRPr="005C6270">
        <w:t>area[</w:t>
      </w:r>
      <w:proofErr w:type="gramEnd"/>
      <w:r w:rsidRPr="005C6270">
        <w:t>5-18] (fig.2). Based on the velocity of movements and pressures, tangential stresses (Fig. 3) and map of directions of the main stress vector (Fig. 4) were constructed, which were also verified with the available instrumental data.</w:t>
      </w:r>
    </w:p>
    <w:p w14:paraId="5771B9C9" w14:textId="4F194E80" w:rsidR="005C6270" w:rsidRDefault="0026572F" w:rsidP="0026572F">
      <w:pPr>
        <w:pStyle w:val="Figure"/>
      </w:pPr>
      <w:r w:rsidRPr="0041690F">
        <w:rPr>
          <w:noProof/>
          <w:lang w:val="ru-RU" w:eastAsia="ja-JP"/>
        </w:rPr>
        <w:lastRenderedPageBreak/>
        <w:drawing>
          <wp:inline distT="0" distB="0" distL="0" distR="0" wp14:anchorId="18E55DD1" wp14:editId="324CE22F">
            <wp:extent cx="3979205" cy="2116571"/>
            <wp:effectExtent l="0" t="0" r="2540" b="0"/>
            <wp:docPr id="13" name="Рисунок 13" descr="F:\Юж и Зап Т Ш\Поле скоростей верификация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Юж и Зап Т Ш\Поле скоростей верификация eng.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99505" cy="2127368"/>
                    </a:xfrm>
                    <a:prstGeom prst="rect">
                      <a:avLst/>
                    </a:prstGeom>
                    <a:noFill/>
                    <a:ln>
                      <a:noFill/>
                    </a:ln>
                  </pic:spPr>
                </pic:pic>
              </a:graphicData>
            </a:graphic>
          </wp:inline>
        </w:drawing>
      </w:r>
    </w:p>
    <w:p w14:paraId="01AF691F" w14:textId="07B35BF9" w:rsidR="005C6270" w:rsidRDefault="0026572F" w:rsidP="0026572F">
      <w:pPr>
        <w:pStyle w:val="FigureCaption"/>
      </w:pPr>
      <w:r w:rsidRPr="0026572F">
        <w:rPr>
          <w:b/>
          <w:bCs/>
        </w:rPr>
        <w:t>FIGURE 2.</w:t>
      </w:r>
      <w:r w:rsidRPr="0026572F">
        <w:t xml:space="preserve"> Recent horizontal velocity pattern of the Tien Shan and </w:t>
      </w:r>
      <w:proofErr w:type="spellStart"/>
      <w:r w:rsidRPr="0026572F">
        <w:t>Afgan</w:t>
      </w:r>
      <w:proofErr w:type="spellEnd"/>
      <w:r w:rsidRPr="0026572F">
        <w:t xml:space="preserve">-Tadjik depression and comparison with instrumental data calculated relative to stable parts of the Eurasian plate: 1) </w:t>
      </w:r>
      <w:proofErr w:type="gramStart"/>
      <w:r w:rsidRPr="0026572F">
        <w:t>–[</w:t>
      </w:r>
      <w:proofErr w:type="gramEnd"/>
      <w:r w:rsidRPr="0026572F">
        <w:t>5-13]; 2)-[14-15] ; 3)-[16] ; 4)-[17] ; 5)-[18]</w:t>
      </w:r>
    </w:p>
    <w:p w14:paraId="2CC4B8D9" w14:textId="0D9E53CC" w:rsidR="005C6270" w:rsidRDefault="0026572F" w:rsidP="0026572F">
      <w:pPr>
        <w:pStyle w:val="Figure"/>
      </w:pPr>
      <w:r w:rsidRPr="0041690F">
        <w:rPr>
          <w:noProof/>
          <w:lang w:val="ru-RU" w:eastAsia="ja-JP"/>
        </w:rPr>
        <w:drawing>
          <wp:inline distT="0" distB="0" distL="0" distR="0" wp14:anchorId="0E017940" wp14:editId="6995524E">
            <wp:extent cx="4154160" cy="2376152"/>
            <wp:effectExtent l="0" t="0" r="0" b="5715"/>
            <wp:docPr id="7" name="Рисунок 7" descr="F:\Юж и Зап Т Ш\Юж и Зап Т Ш напр+++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Юж и Зап Т Ш\Юж и Зап Т Ш напр+++En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721" cy="2397637"/>
                    </a:xfrm>
                    <a:prstGeom prst="rect">
                      <a:avLst/>
                    </a:prstGeom>
                    <a:noFill/>
                    <a:ln>
                      <a:noFill/>
                    </a:ln>
                  </pic:spPr>
                </pic:pic>
              </a:graphicData>
            </a:graphic>
          </wp:inline>
        </w:drawing>
      </w:r>
    </w:p>
    <w:p w14:paraId="5BFCEE8A" w14:textId="4B19F1EE" w:rsidR="005C6270" w:rsidRDefault="0026572F" w:rsidP="0026572F">
      <w:pPr>
        <w:pStyle w:val="FigureCaption"/>
      </w:pPr>
      <w:r w:rsidRPr="006C723F">
        <w:rPr>
          <w:b/>
          <w:noProof/>
        </w:rPr>
        <w:t xml:space="preserve">FIGURE 3. </w:t>
      </w:r>
      <w:r w:rsidRPr="006C723F">
        <w:rPr>
          <w:noProof/>
        </w:rPr>
        <w:t>Tangential stresses (kbars) at depths of 15 km of the earth's crust of the Western Tien Shan and the Afghan-Tajik depression</w:t>
      </w:r>
    </w:p>
    <w:p w14:paraId="7C74148D" w14:textId="39531E5C" w:rsidR="005C6270" w:rsidRDefault="0026572F" w:rsidP="0026572F">
      <w:pPr>
        <w:pStyle w:val="Figure"/>
      </w:pPr>
      <w:r w:rsidRPr="0041690F">
        <w:rPr>
          <w:noProof/>
          <w:lang w:val="ru-RU" w:eastAsia="ja-JP"/>
        </w:rPr>
        <w:drawing>
          <wp:inline distT="0" distB="0" distL="0" distR="0" wp14:anchorId="44C0728F" wp14:editId="25F7A833">
            <wp:extent cx="3850196" cy="2202287"/>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84956" cy="2222169"/>
                    </a:xfrm>
                    <a:prstGeom prst="rect">
                      <a:avLst/>
                    </a:prstGeom>
                    <a:noFill/>
                    <a:ln>
                      <a:noFill/>
                    </a:ln>
                  </pic:spPr>
                </pic:pic>
              </a:graphicData>
            </a:graphic>
          </wp:inline>
        </w:drawing>
      </w:r>
    </w:p>
    <w:p w14:paraId="5B56EF1B" w14:textId="0FB59290" w:rsidR="005C6270" w:rsidRDefault="0026572F" w:rsidP="0026572F">
      <w:pPr>
        <w:pStyle w:val="FigureCaption"/>
      </w:pPr>
      <w:r w:rsidRPr="006C723F">
        <w:rPr>
          <w:b/>
        </w:rPr>
        <w:t xml:space="preserve">FIGURE 4. </w:t>
      </w:r>
      <w:r w:rsidRPr="006C723F">
        <w:t xml:space="preserve">Comparison of the direction of the maximal vector of horizontal stresses σ₁ (gray opposite arrows) according to the numerical model of the stress-strain state with the directions given in the works of various authors: 1 – [5]; 2 – [14-15]; 3 – [19]; 4 – </w:t>
      </w:r>
      <w:bookmarkStart w:id="0" w:name="_GoBack"/>
      <w:bookmarkEnd w:id="0"/>
      <w:r w:rsidRPr="006C723F">
        <w:t>[17]; 5- [20-21]</w:t>
      </w:r>
    </w:p>
    <w:p w14:paraId="649C86E4" w14:textId="75D4812D" w:rsidR="0026572F" w:rsidRDefault="005017B8" w:rsidP="0097061E">
      <w:pPr>
        <w:pStyle w:val="Paragraph"/>
      </w:pPr>
      <w:r w:rsidRPr="005017B8">
        <w:t xml:space="preserve">The results of the geodynamic model were combined with seismological and morphological data to form the input </w:t>
      </w:r>
      <w:proofErr w:type="spellStart"/>
      <w:r w:rsidRPr="005017B8">
        <w:t>featheres</w:t>
      </w:r>
      <w:proofErr w:type="spellEnd"/>
      <w:r w:rsidRPr="005017B8">
        <w:t xml:space="preserve"> for machine learning. The combined classification Kolmogorov-Arnold Network (KAN) with regression </w:t>
      </w:r>
      <w:r w:rsidRPr="005017B8">
        <w:lastRenderedPageBreak/>
        <w:t>LSTM model (TKAN</w:t>
      </w:r>
      <w:proofErr w:type="gramStart"/>
      <w:r w:rsidRPr="005017B8">
        <w:t>)[</w:t>
      </w:r>
      <w:proofErr w:type="gramEnd"/>
      <w:r w:rsidRPr="005017B8">
        <w:t>] trained on these data. The TKAN model was tested on the independent events of Western Tien Shan for 2023 year (fig.5-6).  The model forecasts highlighted zones of elevated seismic hazard, which coincided with the locations of strong earthquakes with magnitude M&lt;5.2 that occurred in 2023. In the area under consideration, all earthquakes except only one had magnitudes less than M=5.2. The predicted magnitudes were also consistent with the observed values, confirming the practical potential of combining numerical stress modeling with artificial intelligence.</w:t>
      </w:r>
    </w:p>
    <w:p w14:paraId="7E8C1172" w14:textId="2C4027B0" w:rsidR="0026572F" w:rsidRDefault="005017B8" w:rsidP="005017B8">
      <w:pPr>
        <w:pStyle w:val="Figure"/>
      </w:pPr>
      <w:r w:rsidRPr="0041690F">
        <w:rPr>
          <w:noProof/>
          <w:lang w:val="ru-RU" w:eastAsia="ja-JP"/>
        </w:rPr>
        <w:drawing>
          <wp:inline distT="0" distB="0" distL="0" distR="0" wp14:anchorId="343F4EE6" wp14:editId="7BC29DBA">
            <wp:extent cx="3715555" cy="290055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30377" cy="2912127"/>
                    </a:xfrm>
                    <a:prstGeom prst="rect">
                      <a:avLst/>
                    </a:prstGeom>
                  </pic:spPr>
                </pic:pic>
              </a:graphicData>
            </a:graphic>
          </wp:inline>
        </w:drawing>
      </w:r>
    </w:p>
    <w:p w14:paraId="5C3B613C" w14:textId="19597289" w:rsidR="0026572F" w:rsidRPr="005017B8" w:rsidRDefault="005017B8" w:rsidP="005017B8">
      <w:pPr>
        <w:pStyle w:val="FigureCaption"/>
        <w:rPr>
          <w:b/>
          <w:bCs/>
        </w:rPr>
      </w:pPr>
      <w:r w:rsidRPr="006C723F">
        <w:rPr>
          <w:b/>
        </w:rPr>
        <w:t>FIGURE 5.</w:t>
      </w:r>
      <w:r w:rsidRPr="006C723F">
        <w:t xml:space="preserve"> Locations of predicted by the combined classification and regression model TKAN for 2023. Accuracy of geographic coordinates predicted events (with magnitude 3.9&lt;M&lt;5.2) is ΔL=±0.1</w:t>
      </w:r>
    </w:p>
    <w:p w14:paraId="52EF43B8" w14:textId="640E8A68" w:rsidR="0026572F" w:rsidRDefault="005017B8" w:rsidP="005017B8">
      <w:pPr>
        <w:pStyle w:val="Figure"/>
      </w:pPr>
      <w:r w:rsidRPr="0041690F">
        <w:rPr>
          <w:noProof/>
          <w:lang w:val="ru-RU" w:eastAsia="ja-JP"/>
        </w:rPr>
        <w:drawing>
          <wp:inline distT="0" distB="0" distL="0" distR="0" wp14:anchorId="1CE0B01E" wp14:editId="72D13DCC">
            <wp:extent cx="3638282" cy="2684277"/>
            <wp:effectExtent l="0" t="0" r="63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65055" cy="2704030"/>
                    </a:xfrm>
                    <a:prstGeom prst="rect">
                      <a:avLst/>
                    </a:prstGeom>
                  </pic:spPr>
                </pic:pic>
              </a:graphicData>
            </a:graphic>
          </wp:inline>
        </w:drawing>
      </w:r>
    </w:p>
    <w:p w14:paraId="38C65B86" w14:textId="6E7DA7D5" w:rsidR="0026572F" w:rsidRDefault="005017B8" w:rsidP="005017B8">
      <w:pPr>
        <w:pStyle w:val="FigureCaption"/>
      </w:pPr>
      <w:r w:rsidRPr="006C723F">
        <w:rPr>
          <w:b/>
        </w:rPr>
        <w:t xml:space="preserve">FIGURE 6. </w:t>
      </w:r>
      <w:r w:rsidRPr="006C723F">
        <w:t>Magnitudes discrepancy between actual and predicted earthquakes. A y=x match is considered ideal. Accuracy of predicted magnitudes (3.9&lt;M&lt;5.2) is ΔM=±0.4</w:t>
      </w:r>
    </w:p>
    <w:p w14:paraId="3FE81090" w14:textId="4623E2E7" w:rsidR="0026572F" w:rsidRDefault="005017B8" w:rsidP="0097061E">
      <w:pPr>
        <w:pStyle w:val="Paragraph"/>
      </w:pPr>
      <w:r w:rsidRPr="006C723F">
        <w:t>The</w:t>
      </w:r>
      <w:r w:rsidRPr="00BE211D">
        <w:t xml:space="preserve"> </w:t>
      </w:r>
      <w:r w:rsidRPr="006C723F">
        <w:t>earthquake forecast for the future, taking into account events up to December 31, 2024, is shown in Figure 7.</w:t>
      </w:r>
    </w:p>
    <w:p w14:paraId="031E3928" w14:textId="090DC58B" w:rsidR="0026572F" w:rsidRDefault="005017B8" w:rsidP="005017B8">
      <w:pPr>
        <w:pStyle w:val="Figure"/>
      </w:pPr>
      <w:r w:rsidRPr="00432E9A">
        <w:rPr>
          <w:noProof/>
          <w:lang w:val="ru-RU" w:eastAsia="ja-JP"/>
        </w:rPr>
        <w:lastRenderedPageBreak/>
        <w:drawing>
          <wp:inline distT="0" distB="0" distL="0" distR="0" wp14:anchorId="706023E9" wp14:editId="334E8740">
            <wp:extent cx="3938809" cy="3303430"/>
            <wp:effectExtent l="0" t="0" r="5080" b="0"/>
            <wp:docPr id="2" name="Рисунок 2" descr="F:\Articles\2025\Geosciences Insites2\Fig  GI\Предсказанные землетрясения на будуще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rticles\2025\Geosciences Insites2\Fig  GI\Предсказанные землетрясения на будущее.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4383" cy="3324879"/>
                    </a:xfrm>
                    <a:prstGeom prst="rect">
                      <a:avLst/>
                    </a:prstGeom>
                    <a:noFill/>
                    <a:ln>
                      <a:noFill/>
                    </a:ln>
                  </pic:spPr>
                </pic:pic>
              </a:graphicData>
            </a:graphic>
          </wp:inline>
        </w:drawing>
      </w:r>
    </w:p>
    <w:p w14:paraId="7F7B5BC3" w14:textId="4E573AB7" w:rsidR="0026572F" w:rsidRDefault="005017B8" w:rsidP="005017B8">
      <w:pPr>
        <w:pStyle w:val="FigureCaption"/>
      </w:pPr>
      <w:r w:rsidRPr="006C723F">
        <w:rPr>
          <w:b/>
          <w:noProof/>
        </w:rPr>
        <w:t xml:space="preserve">FIGURE 7. </w:t>
      </w:r>
      <w:r w:rsidRPr="006C723F">
        <w:t>The earthquake forecast for the future</w:t>
      </w:r>
    </w:p>
    <w:p w14:paraId="29D44F87" w14:textId="77777777" w:rsidR="005017B8" w:rsidRDefault="005017B8" w:rsidP="005017B8">
      <w:pPr>
        <w:pStyle w:val="1"/>
      </w:pPr>
      <w:r w:rsidRPr="00265FAF">
        <w:t>Analysis of results</w:t>
      </w:r>
    </w:p>
    <w:p w14:paraId="4445BE3A" w14:textId="62BE6E07" w:rsidR="005017B8" w:rsidRDefault="005017B8" w:rsidP="0097061E">
      <w:pPr>
        <w:pStyle w:val="Paragraph"/>
      </w:pPr>
      <w:r w:rsidRPr="005017B8">
        <w:t>This study demonstrates that integrating stress modeling with machine learning methods enables the effective simulation and prediction of seismic events. The agreement between the simulated and instrumental data indicates that the geodynamic structure is well reproduced by the numerical model. This allows us to confidently state that the obtained stress fields are suitable for assessing long-term tectonic loads and can be used as input for predictive algorithms. The ability of the TKAN model to identify high-hazard zones before strong earthquakes occurs underscores the practical validity of this approach. Combining physically based stress modeling with data-driven learning bridges the gap between geodynamic processes and probabilistic earthquake forecasting. Our model does not predict precise timing, but it helps narrow the area where the probability of future earthquakes is highest.</w:t>
      </w:r>
    </w:p>
    <w:p w14:paraId="260DB252" w14:textId="4AFD6307" w:rsidR="00C158CA" w:rsidRDefault="00C158CA" w:rsidP="00C158CA">
      <w:pPr>
        <w:pStyle w:val="1"/>
      </w:pPr>
      <w:r>
        <w:t>Conclusion</w:t>
      </w:r>
    </w:p>
    <w:p w14:paraId="04BB5BB6" w14:textId="77777777" w:rsidR="005017B8" w:rsidRPr="00921E5E" w:rsidRDefault="005017B8" w:rsidP="005017B8">
      <w:pPr>
        <w:pStyle w:val="Paragraph"/>
      </w:pPr>
      <w:r w:rsidRPr="00921E5E">
        <w:t>This study presents a novel framework that combines numerical stress–strain modeling with machine learning to predict seismicity in Western Tien Shan.</w:t>
      </w:r>
    </w:p>
    <w:p w14:paraId="78EB736F" w14:textId="5A3CE9BD" w:rsidR="00C158CA" w:rsidRPr="005017B8" w:rsidRDefault="005017B8" w:rsidP="005017B8">
      <w:pPr>
        <w:pStyle w:val="Paragraph"/>
      </w:pPr>
      <w:r w:rsidRPr="00921E5E">
        <w:t>The model highlighted high-risk zones in the Western Tien Shan prior to the strong earthquakes, demonstrating both scientific validity and practical value.</w:t>
      </w:r>
    </w:p>
    <w:p w14:paraId="06C2AA9A" w14:textId="250C1101" w:rsidR="00282354" w:rsidRDefault="00282354" w:rsidP="00282354">
      <w:pPr>
        <w:pStyle w:val="1"/>
      </w:pPr>
      <w:r>
        <w:t>References</w:t>
      </w:r>
    </w:p>
    <w:p w14:paraId="36551745" w14:textId="023DE496"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I. Atabekov, Geodesy and Geodynamics </w:t>
      </w:r>
      <w:r w:rsidRPr="005017B8">
        <w:rPr>
          <w:b/>
          <w:bCs/>
          <w:snapToGrid w:val="0"/>
          <w:szCs w:val="22"/>
          <w:lang w:eastAsia="de-DE" w:bidi="en-US"/>
        </w:rPr>
        <w:t>11(4)</w:t>
      </w:r>
      <w:r w:rsidRPr="005017B8">
        <w:rPr>
          <w:snapToGrid w:val="0"/>
          <w:szCs w:val="22"/>
          <w:lang w:eastAsia="de-DE" w:bidi="en-US"/>
        </w:rPr>
        <w:t>, 293–299 (2020)</w:t>
      </w:r>
      <w:r w:rsidR="007F2AE9">
        <w:rPr>
          <w:snapToGrid w:val="0"/>
          <w:szCs w:val="22"/>
          <w:lang w:eastAsia="de-DE" w:bidi="en-US"/>
        </w:rPr>
        <w:t>.</w:t>
      </w:r>
    </w:p>
    <w:p w14:paraId="796A8D67" w14:textId="0B100FE1"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I. U. </w:t>
      </w:r>
      <w:proofErr w:type="spellStart"/>
      <w:r w:rsidRPr="005017B8">
        <w:rPr>
          <w:snapToGrid w:val="0"/>
          <w:szCs w:val="22"/>
          <w:lang w:eastAsia="de-DE" w:bidi="en-US"/>
        </w:rPr>
        <w:t>Atabekov</w:t>
      </w:r>
      <w:proofErr w:type="spellEnd"/>
      <w:r w:rsidRPr="005017B8">
        <w:rPr>
          <w:snapToGrid w:val="0"/>
          <w:szCs w:val="22"/>
          <w:lang w:eastAsia="de-DE" w:bidi="en-US"/>
        </w:rPr>
        <w:t xml:space="preserve">, </w:t>
      </w:r>
      <w:proofErr w:type="spellStart"/>
      <w:r w:rsidRPr="005017B8">
        <w:rPr>
          <w:snapToGrid w:val="0"/>
          <w:szCs w:val="22"/>
          <w:lang w:eastAsia="de-DE" w:bidi="en-US"/>
        </w:rPr>
        <w:t>Izv</w:t>
      </w:r>
      <w:proofErr w:type="spellEnd"/>
      <w:r w:rsidRPr="005017B8">
        <w:rPr>
          <w:snapToGrid w:val="0"/>
          <w:szCs w:val="22"/>
          <w:lang w:eastAsia="de-DE" w:bidi="en-US"/>
        </w:rPr>
        <w:t xml:space="preserve">., Phys. Solid Earth </w:t>
      </w:r>
      <w:r w:rsidRPr="005017B8">
        <w:rPr>
          <w:b/>
          <w:bCs/>
          <w:snapToGrid w:val="0"/>
          <w:szCs w:val="22"/>
          <w:lang w:eastAsia="de-DE" w:bidi="en-US"/>
        </w:rPr>
        <w:t>57</w:t>
      </w:r>
      <w:r w:rsidRPr="005017B8">
        <w:rPr>
          <w:snapToGrid w:val="0"/>
          <w:szCs w:val="22"/>
          <w:lang w:eastAsia="de-DE" w:bidi="en-US"/>
        </w:rPr>
        <w:t>, 110–119 (2021)</w:t>
      </w:r>
      <w:r w:rsidR="007F2AE9">
        <w:rPr>
          <w:snapToGrid w:val="0"/>
          <w:szCs w:val="22"/>
          <w:lang w:eastAsia="de-DE" w:bidi="en-US"/>
        </w:rPr>
        <w:t>.</w:t>
      </w:r>
    </w:p>
    <w:p w14:paraId="07BF925F" w14:textId="076A10B8"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I. U. </w:t>
      </w:r>
      <w:proofErr w:type="spellStart"/>
      <w:r w:rsidRPr="005017B8">
        <w:rPr>
          <w:snapToGrid w:val="0"/>
          <w:szCs w:val="22"/>
          <w:lang w:eastAsia="de-DE" w:bidi="en-US"/>
        </w:rPr>
        <w:t>Atabekov</w:t>
      </w:r>
      <w:proofErr w:type="spellEnd"/>
      <w:r w:rsidRPr="005017B8">
        <w:rPr>
          <w:snapToGrid w:val="0"/>
          <w:szCs w:val="22"/>
          <w:lang w:eastAsia="de-DE" w:bidi="en-US"/>
        </w:rPr>
        <w:t xml:space="preserve"> </w:t>
      </w:r>
      <w:proofErr w:type="spellStart"/>
      <w:r w:rsidRPr="005017B8">
        <w:rPr>
          <w:snapToGrid w:val="0"/>
          <w:szCs w:val="22"/>
          <w:lang w:eastAsia="de-DE" w:bidi="en-US"/>
        </w:rPr>
        <w:t>Izv</w:t>
      </w:r>
      <w:proofErr w:type="spellEnd"/>
      <w:r w:rsidRPr="005017B8">
        <w:rPr>
          <w:snapToGrid w:val="0"/>
          <w:szCs w:val="22"/>
          <w:lang w:eastAsia="de-DE" w:bidi="en-US"/>
        </w:rPr>
        <w:t xml:space="preserve">., </w:t>
      </w:r>
      <w:proofErr w:type="spellStart"/>
      <w:r w:rsidRPr="005017B8">
        <w:rPr>
          <w:snapToGrid w:val="0"/>
          <w:szCs w:val="22"/>
          <w:lang w:eastAsia="de-DE" w:bidi="en-US"/>
        </w:rPr>
        <w:t>Phys.Solid</w:t>
      </w:r>
      <w:proofErr w:type="spellEnd"/>
      <w:r w:rsidRPr="005017B8">
        <w:rPr>
          <w:snapToGrid w:val="0"/>
          <w:szCs w:val="22"/>
          <w:lang w:eastAsia="de-DE" w:bidi="en-US"/>
        </w:rPr>
        <w:t xml:space="preserve"> Earth </w:t>
      </w:r>
      <w:r w:rsidRPr="005017B8">
        <w:rPr>
          <w:b/>
          <w:bCs/>
          <w:snapToGrid w:val="0"/>
          <w:szCs w:val="22"/>
          <w:lang w:eastAsia="de-DE" w:bidi="en-US"/>
        </w:rPr>
        <w:t>59(1)</w:t>
      </w:r>
      <w:r>
        <w:rPr>
          <w:snapToGrid w:val="0"/>
          <w:szCs w:val="22"/>
          <w:lang w:eastAsia="de-DE" w:bidi="en-US"/>
        </w:rPr>
        <w:t>,</w:t>
      </w:r>
      <w:r w:rsidRPr="005017B8">
        <w:rPr>
          <w:snapToGrid w:val="0"/>
          <w:szCs w:val="22"/>
          <w:lang w:eastAsia="de-DE" w:bidi="en-US"/>
        </w:rPr>
        <w:t xml:space="preserve"> 1-14 (2023)</w:t>
      </w:r>
      <w:r w:rsidR="007F2AE9">
        <w:rPr>
          <w:snapToGrid w:val="0"/>
          <w:szCs w:val="22"/>
          <w:lang w:eastAsia="de-DE" w:bidi="en-US"/>
        </w:rPr>
        <w:t>.</w:t>
      </w:r>
    </w:p>
    <w:p w14:paraId="5B5EF3FE" w14:textId="313989D9" w:rsidR="005017B8" w:rsidRPr="005017B8" w:rsidRDefault="005017B8" w:rsidP="005017B8">
      <w:pPr>
        <w:pStyle w:val="Reference"/>
        <w:rPr>
          <w:snapToGrid w:val="0"/>
          <w:szCs w:val="22"/>
          <w:lang w:eastAsia="de-DE" w:bidi="en-US"/>
        </w:rPr>
      </w:pPr>
      <w:r w:rsidRPr="005017B8">
        <w:rPr>
          <w:snapToGrid w:val="0"/>
          <w:szCs w:val="22"/>
          <w:lang w:eastAsia="de-DE" w:bidi="en-US"/>
        </w:rPr>
        <w:t>I. Atabekov, Geodesy and Geodynamics, 2025, (in print)</w:t>
      </w:r>
      <w:r w:rsidR="007F2AE9">
        <w:rPr>
          <w:snapToGrid w:val="0"/>
          <w:szCs w:val="22"/>
          <w:lang w:eastAsia="de-DE" w:bidi="en-US"/>
        </w:rPr>
        <w:t>.</w:t>
      </w:r>
    </w:p>
    <w:p w14:paraId="64C33AED" w14:textId="5CE0A57D"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A.V. </w:t>
      </w:r>
      <w:proofErr w:type="spellStart"/>
      <w:r w:rsidRPr="005017B8">
        <w:rPr>
          <w:snapToGrid w:val="0"/>
          <w:szCs w:val="22"/>
          <w:lang w:eastAsia="de-DE" w:bidi="en-US"/>
        </w:rPr>
        <w:t>Zubovich</w:t>
      </w:r>
      <w:proofErr w:type="spellEnd"/>
      <w:r w:rsidR="007F2AE9">
        <w:rPr>
          <w:snapToGrid w:val="0"/>
          <w:szCs w:val="22"/>
          <w:lang w:eastAsia="de-DE" w:bidi="en-US"/>
        </w:rPr>
        <w:t xml:space="preserve"> and</w:t>
      </w:r>
      <w:r w:rsidRPr="005017B8">
        <w:rPr>
          <w:snapToGrid w:val="0"/>
          <w:szCs w:val="22"/>
          <w:lang w:eastAsia="de-DE" w:bidi="en-US"/>
        </w:rPr>
        <w:t xml:space="preserve"> </w:t>
      </w:r>
      <w:proofErr w:type="spellStart"/>
      <w:r w:rsidRPr="005017B8">
        <w:rPr>
          <w:snapToGrid w:val="0"/>
          <w:szCs w:val="22"/>
          <w:lang w:eastAsia="de-DE" w:bidi="en-US"/>
        </w:rPr>
        <w:t>Sh.</w:t>
      </w:r>
      <w:proofErr w:type="gramStart"/>
      <w:r w:rsidRPr="005017B8">
        <w:rPr>
          <w:snapToGrid w:val="0"/>
          <w:szCs w:val="22"/>
          <w:lang w:eastAsia="de-DE" w:bidi="en-US"/>
        </w:rPr>
        <w:t>A.Mukhamediev</w:t>
      </w:r>
      <w:proofErr w:type="spellEnd"/>
      <w:proofErr w:type="gramEnd"/>
      <w:r w:rsidRPr="005017B8">
        <w:rPr>
          <w:snapToGrid w:val="0"/>
          <w:szCs w:val="22"/>
          <w:lang w:eastAsia="de-DE" w:bidi="en-US"/>
        </w:rPr>
        <w:t xml:space="preserve">, Geodynamics &amp; Tectonophysics </w:t>
      </w:r>
      <w:r w:rsidRPr="007F2AE9">
        <w:rPr>
          <w:b/>
          <w:bCs/>
          <w:snapToGrid w:val="0"/>
          <w:szCs w:val="22"/>
          <w:lang w:eastAsia="de-DE" w:bidi="en-US"/>
        </w:rPr>
        <w:t>1</w:t>
      </w:r>
      <w:r w:rsidR="007F2AE9" w:rsidRPr="007F2AE9">
        <w:rPr>
          <w:b/>
          <w:bCs/>
          <w:snapToGrid w:val="0"/>
          <w:szCs w:val="22"/>
          <w:lang w:eastAsia="de-DE" w:bidi="en-US"/>
        </w:rPr>
        <w:t>(2)</w:t>
      </w:r>
      <w:r w:rsidRPr="005017B8">
        <w:rPr>
          <w:snapToGrid w:val="0"/>
          <w:szCs w:val="22"/>
          <w:lang w:eastAsia="de-DE" w:bidi="en-US"/>
        </w:rPr>
        <w:t>, 169–185 (2010)</w:t>
      </w:r>
      <w:r w:rsidR="007F2AE9">
        <w:rPr>
          <w:snapToGrid w:val="0"/>
          <w:szCs w:val="22"/>
          <w:lang w:eastAsia="de-DE" w:bidi="en-US"/>
        </w:rPr>
        <w:t>.</w:t>
      </w:r>
    </w:p>
    <w:p w14:paraId="30B88644" w14:textId="6A2D11A9"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A. V. </w:t>
      </w:r>
      <w:proofErr w:type="spellStart"/>
      <w:r w:rsidRPr="005017B8">
        <w:rPr>
          <w:snapToGrid w:val="0"/>
          <w:szCs w:val="22"/>
          <w:lang w:eastAsia="de-DE" w:bidi="en-US"/>
        </w:rPr>
        <w:t>Zubovich</w:t>
      </w:r>
      <w:proofErr w:type="spellEnd"/>
      <w:r w:rsidRPr="005017B8">
        <w:rPr>
          <w:snapToGrid w:val="0"/>
          <w:szCs w:val="22"/>
          <w:lang w:eastAsia="de-DE" w:bidi="en-US"/>
        </w:rPr>
        <w:t xml:space="preserve">, </w:t>
      </w:r>
      <w:proofErr w:type="spellStart"/>
      <w:proofErr w:type="gramStart"/>
      <w:r w:rsidRPr="005017B8">
        <w:rPr>
          <w:snapToGrid w:val="0"/>
          <w:szCs w:val="22"/>
          <w:lang w:eastAsia="de-DE" w:bidi="en-US"/>
        </w:rPr>
        <w:t>X.Wang</w:t>
      </w:r>
      <w:proofErr w:type="spellEnd"/>
      <w:proofErr w:type="gramEnd"/>
      <w:r w:rsidRPr="005017B8">
        <w:rPr>
          <w:snapToGrid w:val="0"/>
          <w:szCs w:val="22"/>
          <w:lang w:eastAsia="de-DE" w:bidi="en-US"/>
        </w:rPr>
        <w:t xml:space="preserve">, Y.G. </w:t>
      </w:r>
      <w:proofErr w:type="spellStart"/>
      <w:r w:rsidRPr="005017B8">
        <w:rPr>
          <w:snapToGrid w:val="0"/>
          <w:szCs w:val="22"/>
          <w:lang w:eastAsia="de-DE" w:bidi="en-US"/>
        </w:rPr>
        <w:t>Scherba</w:t>
      </w:r>
      <w:proofErr w:type="spellEnd"/>
      <w:r w:rsidRPr="005017B8">
        <w:rPr>
          <w:snapToGrid w:val="0"/>
          <w:szCs w:val="22"/>
          <w:lang w:eastAsia="de-DE" w:bidi="en-US"/>
        </w:rPr>
        <w:t xml:space="preserve">, G.G. Schelochkov, R. </w:t>
      </w:r>
      <w:proofErr w:type="spellStart"/>
      <w:r w:rsidRPr="005017B8">
        <w:rPr>
          <w:snapToGrid w:val="0"/>
          <w:szCs w:val="22"/>
          <w:lang w:eastAsia="de-DE" w:bidi="en-US"/>
        </w:rPr>
        <w:t>Reilinger</w:t>
      </w:r>
      <w:proofErr w:type="spellEnd"/>
      <w:r w:rsidRPr="005017B8">
        <w:rPr>
          <w:snapToGrid w:val="0"/>
          <w:szCs w:val="22"/>
          <w:lang w:eastAsia="de-DE" w:bidi="en-US"/>
        </w:rPr>
        <w:t>, R.</w:t>
      </w:r>
      <w:r w:rsidR="007F2AE9">
        <w:rPr>
          <w:snapToGrid w:val="0"/>
          <w:szCs w:val="22"/>
          <w:lang w:eastAsia="de-DE" w:bidi="en-US"/>
        </w:rPr>
        <w:t xml:space="preserve"> and</w:t>
      </w:r>
      <w:r w:rsidRPr="005017B8">
        <w:rPr>
          <w:snapToGrid w:val="0"/>
          <w:szCs w:val="22"/>
          <w:lang w:eastAsia="de-DE" w:bidi="en-US"/>
        </w:rPr>
        <w:t xml:space="preserve"> C. </w:t>
      </w:r>
      <w:proofErr w:type="spellStart"/>
      <w:r w:rsidRPr="005017B8">
        <w:rPr>
          <w:snapToGrid w:val="0"/>
          <w:szCs w:val="22"/>
          <w:lang w:eastAsia="de-DE" w:bidi="en-US"/>
        </w:rPr>
        <w:t>Reigber</w:t>
      </w:r>
      <w:proofErr w:type="spellEnd"/>
      <w:r w:rsidRPr="005017B8">
        <w:rPr>
          <w:snapToGrid w:val="0"/>
          <w:szCs w:val="22"/>
          <w:lang w:eastAsia="de-DE" w:bidi="en-US"/>
        </w:rPr>
        <w:t xml:space="preserve">, et al., Tectonics, </w:t>
      </w:r>
      <w:r w:rsidRPr="007F2AE9">
        <w:rPr>
          <w:b/>
          <w:bCs/>
          <w:snapToGrid w:val="0"/>
          <w:szCs w:val="22"/>
          <w:lang w:eastAsia="de-DE" w:bidi="en-US"/>
        </w:rPr>
        <w:t>29(6)</w:t>
      </w:r>
      <w:r w:rsidRPr="005017B8">
        <w:rPr>
          <w:snapToGrid w:val="0"/>
          <w:szCs w:val="22"/>
          <w:lang w:eastAsia="de-DE" w:bidi="en-US"/>
        </w:rPr>
        <w:t>, TC6014 (2010)</w:t>
      </w:r>
      <w:r w:rsidR="007F2AE9">
        <w:rPr>
          <w:snapToGrid w:val="0"/>
          <w:szCs w:val="22"/>
          <w:lang w:eastAsia="de-DE" w:bidi="en-US"/>
        </w:rPr>
        <w:t>.</w:t>
      </w:r>
    </w:p>
    <w:p w14:paraId="3203B552" w14:textId="6D487D88" w:rsidR="005017B8" w:rsidRPr="007F2AE9" w:rsidRDefault="005017B8" w:rsidP="00AE10E0">
      <w:pPr>
        <w:pStyle w:val="Reference"/>
        <w:rPr>
          <w:snapToGrid w:val="0"/>
          <w:lang w:eastAsia="de-DE" w:bidi="en-US"/>
        </w:rPr>
      </w:pPr>
      <w:proofErr w:type="spellStart"/>
      <w:proofErr w:type="gramStart"/>
      <w:r w:rsidRPr="007F2AE9">
        <w:rPr>
          <w:snapToGrid w:val="0"/>
          <w:lang w:eastAsia="de-DE" w:bidi="en-US"/>
        </w:rPr>
        <w:t>Z.Liu</w:t>
      </w:r>
      <w:proofErr w:type="spellEnd"/>
      <w:proofErr w:type="gramEnd"/>
      <w:r w:rsidRPr="007F2AE9">
        <w:rPr>
          <w:snapToGrid w:val="0"/>
          <w:lang w:eastAsia="de-DE" w:bidi="en-US"/>
        </w:rPr>
        <w:t xml:space="preserve">, </w:t>
      </w:r>
      <w:proofErr w:type="spellStart"/>
      <w:r w:rsidRPr="007F2AE9">
        <w:rPr>
          <w:snapToGrid w:val="0"/>
          <w:lang w:eastAsia="de-DE" w:bidi="en-US"/>
        </w:rPr>
        <w:t>Y.Wang</w:t>
      </w:r>
      <w:proofErr w:type="spellEnd"/>
      <w:r w:rsidRPr="007F2AE9">
        <w:rPr>
          <w:snapToGrid w:val="0"/>
          <w:lang w:eastAsia="de-DE" w:bidi="en-US"/>
        </w:rPr>
        <w:t xml:space="preserve">, </w:t>
      </w:r>
      <w:proofErr w:type="spellStart"/>
      <w:r w:rsidRPr="007F2AE9">
        <w:rPr>
          <w:snapToGrid w:val="0"/>
          <w:lang w:eastAsia="de-DE" w:bidi="en-US"/>
        </w:rPr>
        <w:t>S.Vaidya</w:t>
      </w:r>
      <w:proofErr w:type="spellEnd"/>
      <w:r w:rsidRPr="007F2AE9">
        <w:rPr>
          <w:snapToGrid w:val="0"/>
          <w:lang w:eastAsia="de-DE" w:bidi="en-US"/>
        </w:rPr>
        <w:t xml:space="preserve">, F. </w:t>
      </w:r>
      <w:proofErr w:type="spellStart"/>
      <w:r w:rsidRPr="007F2AE9">
        <w:rPr>
          <w:snapToGrid w:val="0"/>
          <w:lang w:eastAsia="de-DE" w:bidi="en-US"/>
        </w:rPr>
        <w:t>Ruehle</w:t>
      </w:r>
      <w:proofErr w:type="spellEnd"/>
      <w:r w:rsidRPr="007F2AE9">
        <w:rPr>
          <w:snapToGrid w:val="0"/>
          <w:lang w:eastAsia="de-DE" w:bidi="en-US"/>
        </w:rPr>
        <w:t xml:space="preserve">, </w:t>
      </w:r>
      <w:proofErr w:type="spellStart"/>
      <w:r w:rsidRPr="007F2AE9">
        <w:rPr>
          <w:snapToGrid w:val="0"/>
          <w:lang w:eastAsia="de-DE" w:bidi="en-US"/>
        </w:rPr>
        <w:t>J.Halverson</w:t>
      </w:r>
      <w:proofErr w:type="spellEnd"/>
      <w:r w:rsidRPr="007F2AE9">
        <w:rPr>
          <w:snapToGrid w:val="0"/>
          <w:lang w:eastAsia="de-DE" w:bidi="en-US"/>
        </w:rPr>
        <w:t xml:space="preserve">, </w:t>
      </w:r>
      <w:proofErr w:type="spellStart"/>
      <w:r w:rsidRPr="007F2AE9">
        <w:rPr>
          <w:snapToGrid w:val="0"/>
          <w:lang w:eastAsia="de-DE" w:bidi="en-US"/>
        </w:rPr>
        <w:t>M.Soljačić</w:t>
      </w:r>
      <w:proofErr w:type="spellEnd"/>
      <w:r w:rsidRPr="007F2AE9">
        <w:rPr>
          <w:snapToGrid w:val="0"/>
          <w:lang w:eastAsia="de-DE" w:bidi="en-US"/>
        </w:rPr>
        <w:t xml:space="preserve">, </w:t>
      </w:r>
      <w:proofErr w:type="spellStart"/>
      <w:r w:rsidRPr="007F2AE9">
        <w:rPr>
          <w:snapToGrid w:val="0"/>
          <w:lang w:eastAsia="de-DE" w:bidi="en-US"/>
        </w:rPr>
        <w:t>Th.Y.Hou</w:t>
      </w:r>
      <w:proofErr w:type="spellEnd"/>
      <w:r w:rsidR="007F2AE9" w:rsidRPr="007F2AE9">
        <w:rPr>
          <w:snapToGrid w:val="0"/>
          <w:lang w:eastAsia="de-DE" w:bidi="en-US"/>
        </w:rPr>
        <w:t xml:space="preserve"> and</w:t>
      </w:r>
      <w:r w:rsidRPr="007F2AE9">
        <w:rPr>
          <w:snapToGrid w:val="0"/>
          <w:lang w:eastAsia="de-DE" w:bidi="en-US"/>
        </w:rPr>
        <w:t xml:space="preserve"> </w:t>
      </w:r>
      <w:proofErr w:type="spellStart"/>
      <w:r w:rsidRPr="007F2AE9">
        <w:rPr>
          <w:snapToGrid w:val="0"/>
          <w:lang w:eastAsia="de-DE" w:bidi="en-US"/>
        </w:rPr>
        <w:t>M.Tegmark</w:t>
      </w:r>
      <w:proofErr w:type="spellEnd"/>
      <w:r w:rsidR="007F2AE9">
        <w:rPr>
          <w:snapToGrid w:val="0"/>
          <w:lang w:eastAsia="de-DE" w:bidi="en-US"/>
        </w:rPr>
        <w:t>,</w:t>
      </w:r>
      <w:r w:rsidRPr="007F2AE9">
        <w:rPr>
          <w:snapToGrid w:val="0"/>
          <w:lang w:eastAsia="de-DE" w:bidi="en-US"/>
        </w:rPr>
        <w:t xml:space="preserve"> arXiv:2404.19756. (2024) </w:t>
      </w:r>
      <w:r w:rsidR="007F2AE9" w:rsidRPr="007F2AE9">
        <w:rPr>
          <w:snapToGrid w:val="0"/>
          <w:szCs w:val="22"/>
          <w:lang w:eastAsia="de-DE" w:bidi="en-US"/>
        </w:rPr>
        <w:t>https://doi.org/10.48550/arXiv.2404.19756</w:t>
      </w:r>
    </w:p>
    <w:p w14:paraId="534FE3BA" w14:textId="40DAB785" w:rsidR="005017B8" w:rsidRPr="005017B8" w:rsidRDefault="005017B8" w:rsidP="005017B8">
      <w:pPr>
        <w:pStyle w:val="Reference"/>
        <w:rPr>
          <w:snapToGrid w:val="0"/>
          <w:szCs w:val="22"/>
          <w:lang w:eastAsia="de-DE" w:bidi="en-US"/>
        </w:rPr>
      </w:pPr>
      <w:r w:rsidRPr="005017B8">
        <w:rPr>
          <w:snapToGrid w:val="0"/>
          <w:szCs w:val="22"/>
          <w:lang w:eastAsia="de-DE" w:bidi="en-US"/>
        </w:rPr>
        <w:t>A. N. Kolmogorov</w:t>
      </w:r>
      <w:r w:rsidR="007F2AE9">
        <w:rPr>
          <w:snapToGrid w:val="0"/>
          <w:szCs w:val="22"/>
          <w:lang w:eastAsia="de-DE" w:bidi="en-US"/>
        </w:rPr>
        <w:t>,</w:t>
      </w:r>
      <w:r w:rsidRPr="005017B8">
        <w:rPr>
          <w:snapToGrid w:val="0"/>
          <w:szCs w:val="22"/>
          <w:lang w:eastAsia="de-DE" w:bidi="en-US"/>
        </w:rPr>
        <w:t xml:space="preserve"> Reports of the USSR Academy of Sciences </w:t>
      </w:r>
      <w:r w:rsidRPr="007F2AE9">
        <w:rPr>
          <w:b/>
          <w:bCs/>
          <w:snapToGrid w:val="0"/>
          <w:szCs w:val="22"/>
          <w:lang w:eastAsia="de-DE" w:bidi="en-US"/>
        </w:rPr>
        <w:t>108</w:t>
      </w:r>
      <w:r w:rsidR="007F2AE9" w:rsidRPr="007F2AE9">
        <w:rPr>
          <w:b/>
          <w:bCs/>
          <w:snapToGrid w:val="0"/>
          <w:szCs w:val="22"/>
          <w:lang w:eastAsia="de-DE" w:bidi="en-US"/>
        </w:rPr>
        <w:t>(2)</w:t>
      </w:r>
      <w:r w:rsidR="007F2AE9" w:rsidRPr="007F2AE9">
        <w:rPr>
          <w:snapToGrid w:val="0"/>
          <w:szCs w:val="22"/>
          <w:lang w:eastAsia="de-DE" w:bidi="en-US"/>
        </w:rPr>
        <w:t>,</w:t>
      </w:r>
      <w:r w:rsidRPr="005017B8">
        <w:rPr>
          <w:snapToGrid w:val="0"/>
          <w:szCs w:val="22"/>
          <w:lang w:eastAsia="de-DE" w:bidi="en-US"/>
        </w:rPr>
        <w:t xml:space="preserve"> 179–182. [In </w:t>
      </w:r>
      <w:proofErr w:type="spellStart"/>
      <w:r w:rsidRPr="005017B8">
        <w:rPr>
          <w:snapToGrid w:val="0"/>
          <w:szCs w:val="22"/>
          <w:lang w:eastAsia="de-DE" w:bidi="en-US"/>
        </w:rPr>
        <w:t>Russion</w:t>
      </w:r>
      <w:proofErr w:type="spellEnd"/>
      <w:r w:rsidRPr="005017B8">
        <w:rPr>
          <w:snapToGrid w:val="0"/>
          <w:szCs w:val="22"/>
          <w:lang w:eastAsia="de-DE" w:bidi="en-US"/>
        </w:rPr>
        <w:t>] (1956)</w:t>
      </w:r>
    </w:p>
    <w:p w14:paraId="3AE047B6" w14:textId="374BBBD6" w:rsidR="005017B8" w:rsidRPr="005017B8" w:rsidRDefault="005017B8" w:rsidP="005017B8">
      <w:pPr>
        <w:pStyle w:val="Reference"/>
        <w:rPr>
          <w:snapToGrid w:val="0"/>
          <w:szCs w:val="22"/>
          <w:lang w:eastAsia="de-DE" w:bidi="en-US"/>
        </w:rPr>
      </w:pPr>
      <w:r w:rsidRPr="005017B8">
        <w:rPr>
          <w:snapToGrid w:val="0"/>
          <w:szCs w:val="22"/>
          <w:lang w:eastAsia="de-DE" w:bidi="en-US"/>
        </w:rPr>
        <w:lastRenderedPageBreak/>
        <w:t xml:space="preserve">C. </w:t>
      </w:r>
      <w:proofErr w:type="spellStart"/>
      <w:r w:rsidRPr="005017B8">
        <w:rPr>
          <w:snapToGrid w:val="0"/>
          <w:szCs w:val="22"/>
          <w:lang w:eastAsia="de-DE" w:bidi="en-US"/>
        </w:rPr>
        <w:t>Reigber</w:t>
      </w:r>
      <w:proofErr w:type="spellEnd"/>
      <w:r w:rsidRPr="005017B8">
        <w:rPr>
          <w:snapToGrid w:val="0"/>
          <w:szCs w:val="22"/>
          <w:lang w:eastAsia="de-DE" w:bidi="en-US"/>
        </w:rPr>
        <w:t xml:space="preserve">, G.W. Michel, R. Galas, D. Angermann, J. Klotz, J.Y. Chen, A. Papschev, R. </w:t>
      </w:r>
      <w:proofErr w:type="spellStart"/>
      <w:r w:rsidRPr="005017B8">
        <w:rPr>
          <w:snapToGrid w:val="0"/>
          <w:szCs w:val="22"/>
          <w:lang w:eastAsia="de-DE" w:bidi="en-US"/>
        </w:rPr>
        <w:t>Arslanov</w:t>
      </w:r>
      <w:proofErr w:type="spellEnd"/>
      <w:r w:rsidRPr="005017B8">
        <w:rPr>
          <w:snapToGrid w:val="0"/>
          <w:szCs w:val="22"/>
          <w:lang w:eastAsia="de-DE" w:bidi="en-US"/>
        </w:rPr>
        <w:t xml:space="preserve">, V.E. </w:t>
      </w:r>
      <w:proofErr w:type="spellStart"/>
      <w:r w:rsidRPr="005017B8">
        <w:rPr>
          <w:snapToGrid w:val="0"/>
          <w:szCs w:val="22"/>
          <w:lang w:eastAsia="de-DE" w:bidi="en-US"/>
        </w:rPr>
        <w:t>Tzurkov</w:t>
      </w:r>
      <w:proofErr w:type="spellEnd"/>
      <w:r w:rsidR="007F2AE9">
        <w:rPr>
          <w:snapToGrid w:val="0"/>
          <w:szCs w:val="22"/>
          <w:lang w:eastAsia="de-DE" w:bidi="en-US"/>
        </w:rPr>
        <w:t xml:space="preserve"> and</w:t>
      </w:r>
      <w:r w:rsidRPr="005017B8">
        <w:rPr>
          <w:snapToGrid w:val="0"/>
          <w:szCs w:val="22"/>
          <w:lang w:eastAsia="de-DE" w:bidi="en-US"/>
        </w:rPr>
        <w:t xml:space="preserve"> M.C. </w:t>
      </w:r>
      <w:proofErr w:type="spellStart"/>
      <w:r w:rsidRPr="005017B8">
        <w:rPr>
          <w:snapToGrid w:val="0"/>
          <w:szCs w:val="22"/>
          <w:lang w:eastAsia="de-DE" w:bidi="en-US"/>
        </w:rPr>
        <w:t>Ishanov</w:t>
      </w:r>
      <w:proofErr w:type="spellEnd"/>
      <w:r w:rsidRPr="005017B8">
        <w:rPr>
          <w:snapToGrid w:val="0"/>
          <w:szCs w:val="22"/>
          <w:lang w:eastAsia="de-DE" w:bidi="en-US"/>
        </w:rPr>
        <w:t xml:space="preserve">, Earth and Planetary Science Letters </w:t>
      </w:r>
      <w:r w:rsidRPr="007F2AE9">
        <w:rPr>
          <w:b/>
          <w:bCs/>
          <w:snapToGrid w:val="0"/>
          <w:szCs w:val="22"/>
          <w:lang w:eastAsia="de-DE" w:bidi="en-US"/>
        </w:rPr>
        <w:t>191</w:t>
      </w:r>
      <w:r w:rsidRPr="005017B8">
        <w:rPr>
          <w:snapToGrid w:val="0"/>
          <w:szCs w:val="22"/>
          <w:lang w:eastAsia="de-DE" w:bidi="en-US"/>
        </w:rPr>
        <w:t>, 157-165 (2001)</w:t>
      </w:r>
      <w:r w:rsidR="007F2AE9">
        <w:rPr>
          <w:snapToGrid w:val="0"/>
          <w:szCs w:val="22"/>
          <w:lang w:eastAsia="de-DE" w:bidi="en-US"/>
        </w:rPr>
        <w:t>.</w:t>
      </w:r>
    </w:p>
    <w:p w14:paraId="492BF599" w14:textId="07862972"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A.V. Zubovich, </w:t>
      </w:r>
      <w:r w:rsidRPr="007F2AE9">
        <w:rPr>
          <w:i/>
          <w:iCs/>
          <w:snapToGrid w:val="0"/>
          <w:szCs w:val="22"/>
          <w:lang w:eastAsia="de-DE" w:bidi="en-US"/>
        </w:rPr>
        <w:t>Modern geodynamics of areas of intracontinental collisional mountain building</w:t>
      </w:r>
      <w:r w:rsidRPr="005017B8">
        <w:rPr>
          <w:snapToGrid w:val="0"/>
          <w:szCs w:val="22"/>
          <w:lang w:eastAsia="de-DE" w:bidi="en-US"/>
        </w:rPr>
        <w:t xml:space="preserve"> (Central Asia), </w:t>
      </w:r>
      <w:r w:rsidR="007F2AE9">
        <w:rPr>
          <w:snapToGrid w:val="0"/>
          <w:szCs w:val="22"/>
          <w:lang w:eastAsia="de-DE" w:bidi="en-US"/>
        </w:rPr>
        <w:t>(</w:t>
      </w:r>
      <w:r w:rsidRPr="005017B8">
        <w:rPr>
          <w:snapToGrid w:val="0"/>
          <w:szCs w:val="22"/>
          <w:lang w:eastAsia="de-DE" w:bidi="en-US"/>
        </w:rPr>
        <w:t>Chief editor N.P. Lavrov, M. Scientific world, 2005</w:t>
      </w:r>
      <w:r w:rsidR="007F2AE9">
        <w:rPr>
          <w:snapToGrid w:val="0"/>
          <w:szCs w:val="22"/>
          <w:lang w:eastAsia="de-DE" w:bidi="en-US"/>
        </w:rPr>
        <w:t>)</w:t>
      </w:r>
      <w:r w:rsidRPr="005017B8">
        <w:rPr>
          <w:snapToGrid w:val="0"/>
          <w:szCs w:val="22"/>
          <w:lang w:eastAsia="de-DE" w:bidi="en-US"/>
        </w:rPr>
        <w:t xml:space="preserve">, pp. 201-219, [In </w:t>
      </w:r>
      <w:r w:rsidR="007F2AE9" w:rsidRPr="005017B8">
        <w:rPr>
          <w:snapToGrid w:val="0"/>
          <w:szCs w:val="22"/>
          <w:lang w:eastAsia="de-DE" w:bidi="en-US"/>
        </w:rPr>
        <w:t>Russian</w:t>
      </w:r>
      <w:r w:rsidRPr="005017B8">
        <w:rPr>
          <w:snapToGrid w:val="0"/>
          <w:szCs w:val="22"/>
          <w:lang w:eastAsia="de-DE" w:bidi="en-US"/>
        </w:rPr>
        <w:t xml:space="preserve">] </w:t>
      </w:r>
    </w:p>
    <w:p w14:paraId="3679B850" w14:textId="727BF280"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A.V. Zubovich, V. I. Makarov, S. I. Kuzikov, O. I. </w:t>
      </w:r>
      <w:proofErr w:type="spellStart"/>
      <w:r w:rsidRPr="005017B8">
        <w:rPr>
          <w:snapToGrid w:val="0"/>
          <w:szCs w:val="22"/>
          <w:lang w:eastAsia="de-DE" w:bidi="en-US"/>
        </w:rPr>
        <w:t>Mosienko</w:t>
      </w:r>
      <w:proofErr w:type="spellEnd"/>
      <w:r w:rsidR="007F2AE9">
        <w:rPr>
          <w:snapToGrid w:val="0"/>
          <w:szCs w:val="22"/>
          <w:lang w:eastAsia="de-DE" w:bidi="en-US"/>
        </w:rPr>
        <w:t xml:space="preserve"> and</w:t>
      </w:r>
      <w:r w:rsidRPr="005017B8">
        <w:rPr>
          <w:snapToGrid w:val="0"/>
          <w:szCs w:val="22"/>
          <w:lang w:eastAsia="de-DE" w:bidi="en-US"/>
        </w:rPr>
        <w:t xml:space="preserve"> G. G. </w:t>
      </w:r>
      <w:proofErr w:type="spellStart"/>
      <w:r w:rsidRPr="005017B8">
        <w:rPr>
          <w:snapToGrid w:val="0"/>
          <w:szCs w:val="22"/>
          <w:lang w:eastAsia="de-DE" w:bidi="en-US"/>
        </w:rPr>
        <w:t>Shchelochkov</w:t>
      </w:r>
      <w:proofErr w:type="spellEnd"/>
      <w:r w:rsidRPr="005017B8">
        <w:rPr>
          <w:snapToGrid w:val="0"/>
          <w:szCs w:val="22"/>
          <w:lang w:eastAsia="de-DE" w:bidi="en-US"/>
        </w:rPr>
        <w:t xml:space="preserve">, </w:t>
      </w:r>
      <w:proofErr w:type="spellStart"/>
      <w:r w:rsidRPr="005017B8">
        <w:rPr>
          <w:snapToGrid w:val="0"/>
          <w:szCs w:val="22"/>
          <w:lang w:eastAsia="de-DE" w:bidi="en-US"/>
        </w:rPr>
        <w:t>Geotectonics</w:t>
      </w:r>
      <w:proofErr w:type="spellEnd"/>
      <w:r w:rsidRPr="005017B8">
        <w:rPr>
          <w:snapToGrid w:val="0"/>
          <w:szCs w:val="22"/>
          <w:lang w:eastAsia="de-DE" w:bidi="en-US"/>
        </w:rPr>
        <w:t xml:space="preserve">, </w:t>
      </w:r>
      <w:r w:rsidRPr="007F2AE9">
        <w:rPr>
          <w:b/>
          <w:bCs/>
          <w:snapToGrid w:val="0"/>
          <w:szCs w:val="22"/>
          <w:lang w:eastAsia="de-DE" w:bidi="en-US"/>
        </w:rPr>
        <w:t>41</w:t>
      </w:r>
      <w:r w:rsidR="007F2AE9" w:rsidRPr="007F2AE9">
        <w:rPr>
          <w:b/>
          <w:bCs/>
          <w:snapToGrid w:val="0"/>
          <w:szCs w:val="22"/>
          <w:lang w:eastAsia="de-DE" w:bidi="en-US"/>
        </w:rPr>
        <w:t>(1)</w:t>
      </w:r>
      <w:r w:rsidR="007F2AE9">
        <w:rPr>
          <w:snapToGrid w:val="0"/>
          <w:szCs w:val="22"/>
          <w:lang w:eastAsia="de-DE" w:bidi="en-US"/>
        </w:rPr>
        <w:t>,</w:t>
      </w:r>
      <w:r w:rsidRPr="005017B8">
        <w:rPr>
          <w:snapToGrid w:val="0"/>
          <w:szCs w:val="22"/>
          <w:lang w:eastAsia="de-DE" w:bidi="en-US"/>
        </w:rPr>
        <w:t xml:space="preserve"> 13–25 (2007)</w:t>
      </w:r>
      <w:r w:rsidR="007F2AE9">
        <w:rPr>
          <w:snapToGrid w:val="0"/>
          <w:szCs w:val="22"/>
          <w:lang w:eastAsia="de-DE" w:bidi="en-US"/>
        </w:rPr>
        <w:t>.</w:t>
      </w:r>
    </w:p>
    <w:p w14:paraId="76A0A4B5" w14:textId="0F363663" w:rsidR="005017B8" w:rsidRPr="005017B8" w:rsidRDefault="005017B8" w:rsidP="005017B8">
      <w:pPr>
        <w:pStyle w:val="Reference"/>
        <w:rPr>
          <w:snapToGrid w:val="0"/>
          <w:szCs w:val="22"/>
          <w:lang w:eastAsia="de-DE" w:bidi="en-US"/>
        </w:rPr>
      </w:pPr>
      <w:r w:rsidRPr="005017B8">
        <w:rPr>
          <w:snapToGrid w:val="0"/>
          <w:szCs w:val="22"/>
          <w:lang w:eastAsia="de-DE" w:bidi="en-US"/>
        </w:rPr>
        <w:t>A</w:t>
      </w:r>
      <w:r w:rsidR="007F2AE9">
        <w:rPr>
          <w:snapToGrid w:val="0"/>
          <w:szCs w:val="22"/>
          <w:lang w:eastAsia="de-DE" w:bidi="en-US"/>
        </w:rPr>
        <w:t>.</w:t>
      </w:r>
      <w:r w:rsidRPr="005017B8">
        <w:rPr>
          <w:snapToGrid w:val="0"/>
          <w:szCs w:val="22"/>
          <w:lang w:eastAsia="de-DE" w:bidi="en-US"/>
        </w:rPr>
        <w:t xml:space="preserve"> Ischuk, R</w:t>
      </w:r>
      <w:r w:rsidR="007F2AE9">
        <w:rPr>
          <w:snapToGrid w:val="0"/>
          <w:szCs w:val="22"/>
          <w:lang w:eastAsia="de-DE" w:bidi="en-US"/>
        </w:rPr>
        <w:t>.</w:t>
      </w:r>
      <w:r w:rsidRPr="005017B8">
        <w:rPr>
          <w:snapToGrid w:val="0"/>
          <w:szCs w:val="22"/>
          <w:lang w:eastAsia="de-DE" w:bidi="en-US"/>
        </w:rPr>
        <w:t xml:space="preserve"> Bendick, A</w:t>
      </w:r>
      <w:r w:rsidR="007F2AE9">
        <w:rPr>
          <w:snapToGrid w:val="0"/>
          <w:szCs w:val="22"/>
          <w:lang w:eastAsia="de-DE" w:bidi="en-US"/>
        </w:rPr>
        <w:t>.</w:t>
      </w:r>
      <w:r w:rsidRPr="005017B8">
        <w:rPr>
          <w:snapToGrid w:val="0"/>
          <w:szCs w:val="22"/>
          <w:lang w:eastAsia="de-DE" w:bidi="en-US"/>
        </w:rPr>
        <w:t xml:space="preserve"> Rybin, P</w:t>
      </w:r>
      <w:r w:rsidR="007F2AE9">
        <w:rPr>
          <w:snapToGrid w:val="0"/>
          <w:szCs w:val="22"/>
          <w:lang w:eastAsia="de-DE" w:bidi="en-US"/>
        </w:rPr>
        <w:t>.</w:t>
      </w:r>
      <w:r w:rsidRPr="005017B8">
        <w:rPr>
          <w:snapToGrid w:val="0"/>
          <w:szCs w:val="22"/>
          <w:lang w:eastAsia="de-DE" w:bidi="en-US"/>
        </w:rPr>
        <w:t xml:space="preserve"> Molnar, Sh</w:t>
      </w:r>
      <w:r w:rsidR="007F2AE9">
        <w:rPr>
          <w:snapToGrid w:val="0"/>
          <w:szCs w:val="22"/>
          <w:lang w:eastAsia="de-DE" w:bidi="en-US"/>
        </w:rPr>
        <w:t>.</w:t>
      </w:r>
      <w:r w:rsidRPr="005017B8">
        <w:rPr>
          <w:snapToGrid w:val="0"/>
          <w:szCs w:val="22"/>
          <w:lang w:eastAsia="de-DE" w:bidi="en-US"/>
        </w:rPr>
        <w:t xml:space="preserve"> F</w:t>
      </w:r>
      <w:r w:rsidR="007F2AE9">
        <w:rPr>
          <w:snapToGrid w:val="0"/>
          <w:szCs w:val="22"/>
          <w:lang w:eastAsia="de-DE" w:bidi="en-US"/>
        </w:rPr>
        <w:t>.</w:t>
      </w:r>
      <w:r w:rsidRPr="005017B8">
        <w:rPr>
          <w:snapToGrid w:val="0"/>
          <w:szCs w:val="22"/>
          <w:lang w:eastAsia="de-DE" w:bidi="en-US"/>
        </w:rPr>
        <w:t xml:space="preserve"> Khan, S</w:t>
      </w:r>
      <w:r w:rsidR="007F2AE9">
        <w:rPr>
          <w:snapToGrid w:val="0"/>
          <w:szCs w:val="22"/>
          <w:lang w:eastAsia="de-DE" w:bidi="en-US"/>
        </w:rPr>
        <w:t>.</w:t>
      </w:r>
      <w:r w:rsidRPr="005017B8">
        <w:rPr>
          <w:snapToGrid w:val="0"/>
          <w:szCs w:val="22"/>
          <w:lang w:eastAsia="de-DE" w:bidi="en-US"/>
        </w:rPr>
        <w:t xml:space="preserve"> Kuzikov, S</w:t>
      </w:r>
      <w:r w:rsidR="007F2AE9">
        <w:rPr>
          <w:snapToGrid w:val="0"/>
          <w:szCs w:val="22"/>
          <w:lang w:eastAsia="de-DE" w:bidi="en-US"/>
        </w:rPr>
        <w:t>.</w:t>
      </w:r>
      <w:r w:rsidRPr="005017B8">
        <w:rPr>
          <w:snapToGrid w:val="0"/>
          <w:szCs w:val="22"/>
          <w:lang w:eastAsia="de-DE" w:bidi="en-US"/>
        </w:rPr>
        <w:t xml:space="preserve"> </w:t>
      </w:r>
      <w:proofErr w:type="spellStart"/>
      <w:r w:rsidRPr="005017B8">
        <w:rPr>
          <w:snapToGrid w:val="0"/>
          <w:szCs w:val="22"/>
          <w:lang w:eastAsia="de-DE" w:bidi="en-US"/>
        </w:rPr>
        <w:t>Mohadjer</w:t>
      </w:r>
      <w:proofErr w:type="spellEnd"/>
      <w:r w:rsidRPr="005017B8">
        <w:rPr>
          <w:snapToGrid w:val="0"/>
          <w:szCs w:val="22"/>
          <w:lang w:eastAsia="de-DE" w:bidi="en-US"/>
        </w:rPr>
        <w:t>, U</w:t>
      </w:r>
      <w:r w:rsidR="007F2AE9">
        <w:rPr>
          <w:snapToGrid w:val="0"/>
          <w:szCs w:val="22"/>
          <w:lang w:eastAsia="de-DE" w:bidi="en-US"/>
        </w:rPr>
        <w:t>.</w:t>
      </w:r>
      <w:r w:rsidRPr="005017B8">
        <w:rPr>
          <w:snapToGrid w:val="0"/>
          <w:szCs w:val="22"/>
          <w:lang w:eastAsia="de-DE" w:bidi="en-US"/>
        </w:rPr>
        <w:t xml:space="preserve"> Saydullaev, Z</w:t>
      </w:r>
      <w:r w:rsidR="007F2AE9">
        <w:rPr>
          <w:snapToGrid w:val="0"/>
          <w:szCs w:val="22"/>
          <w:lang w:eastAsia="de-DE" w:bidi="en-US"/>
        </w:rPr>
        <w:t>.</w:t>
      </w:r>
      <w:r w:rsidRPr="005017B8">
        <w:rPr>
          <w:snapToGrid w:val="0"/>
          <w:szCs w:val="22"/>
          <w:lang w:eastAsia="de-DE" w:bidi="en-US"/>
        </w:rPr>
        <w:t xml:space="preserve"> Ilyasova, G</w:t>
      </w:r>
      <w:r w:rsidR="007F2AE9">
        <w:rPr>
          <w:snapToGrid w:val="0"/>
          <w:szCs w:val="22"/>
          <w:lang w:eastAsia="de-DE" w:bidi="en-US"/>
        </w:rPr>
        <w:t>.</w:t>
      </w:r>
      <w:r w:rsidRPr="005017B8">
        <w:rPr>
          <w:snapToGrid w:val="0"/>
          <w:szCs w:val="22"/>
          <w:lang w:eastAsia="de-DE" w:bidi="en-US"/>
        </w:rPr>
        <w:t xml:space="preserve"> </w:t>
      </w:r>
      <w:proofErr w:type="spellStart"/>
      <w:r w:rsidRPr="005017B8">
        <w:rPr>
          <w:snapToGrid w:val="0"/>
          <w:szCs w:val="22"/>
          <w:lang w:eastAsia="de-DE" w:bidi="en-US"/>
        </w:rPr>
        <w:t>Schelochkov</w:t>
      </w:r>
      <w:proofErr w:type="spellEnd"/>
      <w:r w:rsidRPr="005017B8">
        <w:rPr>
          <w:snapToGrid w:val="0"/>
          <w:szCs w:val="22"/>
          <w:lang w:eastAsia="de-DE" w:bidi="en-US"/>
        </w:rPr>
        <w:t xml:space="preserve"> and A</w:t>
      </w:r>
      <w:r w:rsidR="007F2AE9">
        <w:rPr>
          <w:snapToGrid w:val="0"/>
          <w:szCs w:val="22"/>
          <w:lang w:eastAsia="de-DE" w:bidi="en-US"/>
        </w:rPr>
        <w:t>.</w:t>
      </w:r>
      <w:r w:rsidRPr="005017B8">
        <w:rPr>
          <w:snapToGrid w:val="0"/>
          <w:szCs w:val="22"/>
          <w:lang w:eastAsia="de-DE" w:bidi="en-US"/>
        </w:rPr>
        <w:t xml:space="preserve">V. </w:t>
      </w:r>
      <w:proofErr w:type="spellStart"/>
      <w:r w:rsidRPr="005017B8">
        <w:rPr>
          <w:snapToGrid w:val="0"/>
          <w:szCs w:val="22"/>
          <w:lang w:eastAsia="de-DE" w:bidi="en-US"/>
        </w:rPr>
        <w:t>Zubovich</w:t>
      </w:r>
      <w:proofErr w:type="spellEnd"/>
      <w:r w:rsidRPr="005017B8">
        <w:rPr>
          <w:snapToGrid w:val="0"/>
          <w:szCs w:val="22"/>
          <w:lang w:eastAsia="de-DE" w:bidi="en-US"/>
        </w:rPr>
        <w:t xml:space="preserve">, Journal of Geophysical Research: Solid Earth </w:t>
      </w:r>
      <w:r w:rsidRPr="007F2AE9">
        <w:rPr>
          <w:b/>
          <w:bCs/>
          <w:snapToGrid w:val="0"/>
          <w:szCs w:val="22"/>
          <w:lang w:eastAsia="de-DE" w:bidi="en-US"/>
        </w:rPr>
        <w:t>118</w:t>
      </w:r>
      <w:r w:rsidRPr="005017B8">
        <w:rPr>
          <w:snapToGrid w:val="0"/>
          <w:szCs w:val="22"/>
          <w:lang w:eastAsia="de-DE" w:bidi="en-US"/>
        </w:rPr>
        <w:t>, 2408–2416 (2013)</w:t>
      </w:r>
      <w:r w:rsidR="007F2AE9">
        <w:rPr>
          <w:snapToGrid w:val="0"/>
          <w:szCs w:val="22"/>
          <w:lang w:eastAsia="de-DE" w:bidi="en-US"/>
        </w:rPr>
        <w:t>.</w:t>
      </w:r>
    </w:p>
    <w:p w14:paraId="0BDBB72F" w14:textId="5462FDAE"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A.V. Zubovich, T. Schöne, S. Metzger, O. Mosienko, Sh. </w:t>
      </w:r>
      <w:proofErr w:type="spellStart"/>
      <w:r w:rsidRPr="005017B8">
        <w:rPr>
          <w:snapToGrid w:val="0"/>
          <w:szCs w:val="22"/>
          <w:lang w:eastAsia="de-DE" w:bidi="en-US"/>
        </w:rPr>
        <w:t>Mukhamediev</w:t>
      </w:r>
      <w:proofErr w:type="spellEnd"/>
      <w:r w:rsidRPr="005017B8">
        <w:rPr>
          <w:snapToGrid w:val="0"/>
          <w:szCs w:val="22"/>
          <w:lang w:eastAsia="de-DE" w:bidi="en-US"/>
        </w:rPr>
        <w:t xml:space="preserve">, A. Sharshebaev, and C. Zech, Tectonics </w:t>
      </w:r>
      <w:r w:rsidRPr="007F2AE9">
        <w:rPr>
          <w:b/>
          <w:bCs/>
          <w:snapToGrid w:val="0"/>
          <w:szCs w:val="22"/>
          <w:lang w:eastAsia="de-DE" w:bidi="en-US"/>
        </w:rPr>
        <w:t>35</w:t>
      </w:r>
      <w:r w:rsidRPr="005017B8">
        <w:rPr>
          <w:snapToGrid w:val="0"/>
          <w:szCs w:val="22"/>
          <w:lang w:eastAsia="de-DE" w:bidi="en-US"/>
        </w:rPr>
        <w:t>, 283–292(2016)</w:t>
      </w:r>
      <w:r w:rsidR="007F2AE9">
        <w:rPr>
          <w:snapToGrid w:val="0"/>
          <w:szCs w:val="22"/>
          <w:lang w:eastAsia="de-DE" w:bidi="en-US"/>
        </w:rPr>
        <w:t>.</w:t>
      </w:r>
    </w:p>
    <w:p w14:paraId="070F2A45" w14:textId="1CCD9DFE"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G. Zheng, </w:t>
      </w:r>
      <w:proofErr w:type="spellStart"/>
      <w:proofErr w:type="gramStart"/>
      <w:r w:rsidRPr="005017B8">
        <w:rPr>
          <w:snapToGrid w:val="0"/>
          <w:szCs w:val="22"/>
          <w:lang w:eastAsia="de-DE" w:bidi="en-US"/>
        </w:rPr>
        <w:t>H.Wang</w:t>
      </w:r>
      <w:proofErr w:type="spellEnd"/>
      <w:proofErr w:type="gramEnd"/>
      <w:r w:rsidRPr="005017B8">
        <w:rPr>
          <w:snapToGrid w:val="0"/>
          <w:szCs w:val="22"/>
          <w:lang w:eastAsia="de-DE" w:bidi="en-US"/>
        </w:rPr>
        <w:t xml:space="preserve">, </w:t>
      </w:r>
      <w:proofErr w:type="spellStart"/>
      <w:r w:rsidRPr="005017B8">
        <w:rPr>
          <w:snapToGrid w:val="0"/>
          <w:szCs w:val="22"/>
          <w:lang w:eastAsia="de-DE" w:bidi="en-US"/>
        </w:rPr>
        <w:t>T.J.Wright</w:t>
      </w:r>
      <w:proofErr w:type="spellEnd"/>
      <w:r w:rsidRPr="005017B8">
        <w:rPr>
          <w:snapToGrid w:val="0"/>
          <w:szCs w:val="22"/>
          <w:lang w:eastAsia="de-DE" w:bidi="en-US"/>
        </w:rPr>
        <w:t>, Y. Lou, R. Zhang, W. Zhang,</w:t>
      </w:r>
      <w:r w:rsidR="007F2AE9">
        <w:rPr>
          <w:snapToGrid w:val="0"/>
          <w:szCs w:val="22"/>
          <w:lang w:eastAsia="de-DE" w:bidi="en-US"/>
        </w:rPr>
        <w:t xml:space="preserve"> and</w:t>
      </w:r>
      <w:r w:rsidRPr="005017B8">
        <w:rPr>
          <w:snapToGrid w:val="0"/>
          <w:szCs w:val="22"/>
          <w:lang w:eastAsia="de-DE" w:bidi="en-US"/>
        </w:rPr>
        <w:t xml:space="preserve"> </w:t>
      </w:r>
      <w:proofErr w:type="spellStart"/>
      <w:r w:rsidRPr="005017B8">
        <w:rPr>
          <w:snapToGrid w:val="0"/>
          <w:szCs w:val="22"/>
          <w:lang w:eastAsia="de-DE" w:bidi="en-US"/>
        </w:rPr>
        <w:t>N.Wei</w:t>
      </w:r>
      <w:proofErr w:type="spellEnd"/>
      <w:r w:rsidRPr="005017B8">
        <w:rPr>
          <w:snapToGrid w:val="0"/>
          <w:szCs w:val="22"/>
          <w:lang w:eastAsia="de-DE" w:bidi="en-US"/>
        </w:rPr>
        <w:t xml:space="preserve">, Journal of Geophysical Research: Solid Earth </w:t>
      </w:r>
      <w:r w:rsidRPr="007F2AE9">
        <w:rPr>
          <w:b/>
          <w:bCs/>
          <w:snapToGrid w:val="0"/>
          <w:szCs w:val="22"/>
          <w:lang w:eastAsia="de-DE" w:bidi="en-US"/>
        </w:rPr>
        <w:t>122</w:t>
      </w:r>
      <w:r w:rsidRPr="005017B8">
        <w:rPr>
          <w:snapToGrid w:val="0"/>
          <w:szCs w:val="22"/>
          <w:lang w:eastAsia="de-DE" w:bidi="en-US"/>
        </w:rPr>
        <w:t>, 9290–9312 (2017)</w:t>
      </w:r>
      <w:r w:rsidR="00AA0C0A">
        <w:rPr>
          <w:snapToGrid w:val="0"/>
          <w:szCs w:val="22"/>
          <w:lang w:eastAsia="de-DE" w:bidi="en-US"/>
        </w:rPr>
        <w:t>.</w:t>
      </w:r>
    </w:p>
    <w:p w14:paraId="6BD54246" w14:textId="33967021" w:rsidR="005017B8" w:rsidRPr="005017B8" w:rsidRDefault="005017B8" w:rsidP="005017B8">
      <w:pPr>
        <w:pStyle w:val="Reference"/>
        <w:rPr>
          <w:snapToGrid w:val="0"/>
          <w:szCs w:val="22"/>
          <w:lang w:eastAsia="de-DE" w:bidi="en-US"/>
        </w:rPr>
      </w:pPr>
      <w:r w:rsidRPr="005017B8">
        <w:rPr>
          <w:snapToGrid w:val="0"/>
          <w:szCs w:val="22"/>
          <w:lang w:eastAsia="de-DE" w:bidi="en-US"/>
        </w:rPr>
        <w:t>M. Wang</w:t>
      </w:r>
      <w:r w:rsidR="00AA0C0A">
        <w:rPr>
          <w:snapToGrid w:val="0"/>
          <w:szCs w:val="22"/>
          <w:lang w:eastAsia="de-DE" w:bidi="en-US"/>
        </w:rPr>
        <w:t xml:space="preserve"> and</w:t>
      </w:r>
      <w:r w:rsidRPr="005017B8">
        <w:rPr>
          <w:snapToGrid w:val="0"/>
          <w:szCs w:val="22"/>
          <w:lang w:eastAsia="de-DE" w:bidi="en-US"/>
        </w:rPr>
        <w:t xml:space="preserve"> Z.‐K. Shen, Journal of Geophysical Research: Solid Earth </w:t>
      </w:r>
      <w:r w:rsidRPr="00AA0C0A">
        <w:rPr>
          <w:b/>
          <w:bCs/>
          <w:snapToGrid w:val="0"/>
          <w:szCs w:val="22"/>
          <w:lang w:eastAsia="de-DE" w:bidi="en-US"/>
        </w:rPr>
        <w:t>125</w:t>
      </w:r>
      <w:r w:rsidRPr="005017B8">
        <w:rPr>
          <w:snapToGrid w:val="0"/>
          <w:szCs w:val="22"/>
          <w:lang w:eastAsia="de-DE" w:bidi="en-US"/>
        </w:rPr>
        <w:t>, e2019JB</w:t>
      </w:r>
      <w:proofErr w:type="gramStart"/>
      <w:r w:rsidRPr="005017B8">
        <w:rPr>
          <w:snapToGrid w:val="0"/>
          <w:szCs w:val="22"/>
          <w:lang w:eastAsia="de-DE" w:bidi="en-US"/>
        </w:rPr>
        <w:t>018774,(</w:t>
      </w:r>
      <w:proofErr w:type="gramEnd"/>
      <w:r w:rsidRPr="005017B8">
        <w:rPr>
          <w:snapToGrid w:val="0"/>
          <w:szCs w:val="22"/>
          <w:lang w:eastAsia="de-DE" w:bidi="en-US"/>
        </w:rPr>
        <w:t>2020)</w:t>
      </w:r>
      <w:r w:rsidR="00AA0C0A">
        <w:rPr>
          <w:snapToGrid w:val="0"/>
          <w:szCs w:val="22"/>
          <w:lang w:eastAsia="de-DE" w:bidi="en-US"/>
        </w:rPr>
        <w:t>.</w:t>
      </w:r>
    </w:p>
    <w:p w14:paraId="6F5C73E2" w14:textId="6FDD37A6"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I.M. </w:t>
      </w:r>
      <w:proofErr w:type="spellStart"/>
      <w:proofErr w:type="gramStart"/>
      <w:r w:rsidRPr="005017B8">
        <w:rPr>
          <w:snapToGrid w:val="0"/>
          <w:szCs w:val="22"/>
          <w:lang w:eastAsia="de-DE" w:bidi="en-US"/>
        </w:rPr>
        <w:t>Alimukhamedov,Z.F</w:t>
      </w:r>
      <w:proofErr w:type="spellEnd"/>
      <w:r w:rsidRPr="005017B8">
        <w:rPr>
          <w:snapToGrid w:val="0"/>
          <w:szCs w:val="22"/>
          <w:lang w:eastAsia="de-DE" w:bidi="en-US"/>
        </w:rPr>
        <w:t>.</w:t>
      </w:r>
      <w:proofErr w:type="gramEnd"/>
      <w:r w:rsidRPr="005017B8">
        <w:rPr>
          <w:snapToGrid w:val="0"/>
          <w:szCs w:val="22"/>
          <w:lang w:eastAsia="de-DE" w:bidi="en-US"/>
        </w:rPr>
        <w:t xml:space="preserve"> Shukurov, A.V. Zubovich, S. </w:t>
      </w:r>
      <w:proofErr w:type="spellStart"/>
      <w:r w:rsidRPr="005017B8">
        <w:rPr>
          <w:snapToGrid w:val="0"/>
          <w:szCs w:val="22"/>
          <w:lang w:eastAsia="de-DE" w:bidi="en-US"/>
        </w:rPr>
        <w:t>Mohadjer</w:t>
      </w:r>
      <w:proofErr w:type="spellEnd"/>
      <w:r w:rsidRPr="005017B8">
        <w:rPr>
          <w:snapToGrid w:val="0"/>
          <w:szCs w:val="22"/>
          <w:lang w:eastAsia="de-DE" w:bidi="en-US"/>
        </w:rPr>
        <w:t xml:space="preserve">, O.I. </w:t>
      </w:r>
      <w:proofErr w:type="spellStart"/>
      <w:r w:rsidRPr="005017B8">
        <w:rPr>
          <w:snapToGrid w:val="0"/>
          <w:szCs w:val="22"/>
          <w:lang w:eastAsia="de-DE" w:bidi="en-US"/>
        </w:rPr>
        <w:t>Mosienko</w:t>
      </w:r>
      <w:proofErr w:type="spellEnd"/>
      <w:r w:rsidRPr="005017B8">
        <w:rPr>
          <w:snapToGrid w:val="0"/>
          <w:szCs w:val="22"/>
          <w:lang w:eastAsia="de-DE" w:bidi="en-US"/>
        </w:rPr>
        <w:t xml:space="preserve">, S.S. </w:t>
      </w:r>
      <w:proofErr w:type="spellStart"/>
      <w:r w:rsidRPr="005017B8">
        <w:rPr>
          <w:snapToGrid w:val="0"/>
          <w:szCs w:val="22"/>
          <w:lang w:eastAsia="de-DE" w:bidi="en-US"/>
        </w:rPr>
        <w:t>Radjabov</w:t>
      </w:r>
      <w:proofErr w:type="spellEnd"/>
      <w:r w:rsidRPr="005017B8">
        <w:rPr>
          <w:snapToGrid w:val="0"/>
          <w:szCs w:val="22"/>
          <w:lang w:eastAsia="de-DE" w:bidi="en-US"/>
        </w:rPr>
        <w:t xml:space="preserve">, F.H. </w:t>
      </w:r>
      <w:proofErr w:type="spellStart"/>
      <w:r w:rsidRPr="005017B8">
        <w:rPr>
          <w:snapToGrid w:val="0"/>
          <w:szCs w:val="22"/>
          <w:lang w:eastAsia="de-DE" w:bidi="en-US"/>
        </w:rPr>
        <w:t>Sadirov</w:t>
      </w:r>
      <w:proofErr w:type="spellEnd"/>
      <w:r w:rsidRPr="005017B8">
        <w:rPr>
          <w:snapToGrid w:val="0"/>
          <w:szCs w:val="22"/>
          <w:lang w:eastAsia="de-DE" w:bidi="en-US"/>
        </w:rPr>
        <w:t xml:space="preserve">, F.H. </w:t>
      </w:r>
      <w:proofErr w:type="spellStart"/>
      <w:r w:rsidRPr="005017B8">
        <w:rPr>
          <w:snapToGrid w:val="0"/>
          <w:szCs w:val="22"/>
          <w:lang w:eastAsia="de-DE" w:bidi="en-US"/>
        </w:rPr>
        <w:t>Tukhtameshov</w:t>
      </w:r>
      <w:proofErr w:type="spellEnd"/>
      <w:r w:rsidRPr="005017B8">
        <w:rPr>
          <w:snapToGrid w:val="0"/>
          <w:szCs w:val="22"/>
          <w:lang w:eastAsia="de-DE" w:bidi="en-US"/>
        </w:rPr>
        <w:t xml:space="preserve">, B.G. </w:t>
      </w:r>
      <w:proofErr w:type="spellStart"/>
      <w:r w:rsidRPr="005017B8">
        <w:rPr>
          <w:snapToGrid w:val="0"/>
          <w:szCs w:val="22"/>
          <w:lang w:eastAsia="de-DE" w:bidi="en-US"/>
        </w:rPr>
        <w:t>Abdurakhmonov</w:t>
      </w:r>
      <w:proofErr w:type="spellEnd"/>
      <w:r w:rsidR="00AA0C0A">
        <w:rPr>
          <w:snapToGrid w:val="0"/>
          <w:szCs w:val="22"/>
          <w:lang w:eastAsia="de-DE" w:bidi="en-US"/>
        </w:rPr>
        <w:t xml:space="preserve"> and</w:t>
      </w:r>
      <w:r w:rsidRPr="005017B8">
        <w:rPr>
          <w:snapToGrid w:val="0"/>
          <w:szCs w:val="22"/>
          <w:lang w:eastAsia="de-DE" w:bidi="en-US"/>
        </w:rPr>
        <w:t xml:space="preserve"> K.I. </w:t>
      </w:r>
      <w:proofErr w:type="spellStart"/>
      <w:r w:rsidRPr="005017B8">
        <w:rPr>
          <w:snapToGrid w:val="0"/>
          <w:szCs w:val="22"/>
          <w:lang w:eastAsia="de-DE" w:bidi="en-US"/>
        </w:rPr>
        <w:t>Kuchkarov</w:t>
      </w:r>
      <w:proofErr w:type="spellEnd"/>
      <w:r w:rsidRPr="005017B8">
        <w:rPr>
          <w:snapToGrid w:val="0"/>
          <w:szCs w:val="22"/>
          <w:lang w:eastAsia="de-DE" w:bidi="en-US"/>
        </w:rPr>
        <w:t>, Tectonics. (in print) (2025)</w:t>
      </w:r>
    </w:p>
    <w:p w14:paraId="48D69A10" w14:textId="477241A3" w:rsidR="005017B8" w:rsidRPr="005017B8" w:rsidRDefault="005017B8" w:rsidP="005017B8">
      <w:pPr>
        <w:pStyle w:val="Reference"/>
        <w:rPr>
          <w:snapToGrid w:val="0"/>
          <w:szCs w:val="22"/>
          <w:lang w:eastAsia="de-DE" w:bidi="en-US"/>
        </w:rPr>
      </w:pPr>
      <w:r w:rsidRPr="005017B8">
        <w:rPr>
          <w:snapToGrid w:val="0"/>
          <w:szCs w:val="22"/>
          <w:lang w:eastAsia="de-DE" w:bidi="en-US"/>
        </w:rPr>
        <w:t>D. Fazilova, M. Makhmudov</w:t>
      </w:r>
      <w:r w:rsidR="00AA0C0A">
        <w:rPr>
          <w:snapToGrid w:val="0"/>
          <w:szCs w:val="22"/>
          <w:lang w:eastAsia="de-DE" w:bidi="en-US"/>
        </w:rPr>
        <w:t xml:space="preserve"> and</w:t>
      </w:r>
      <w:r w:rsidRPr="005017B8">
        <w:rPr>
          <w:snapToGrid w:val="0"/>
          <w:szCs w:val="22"/>
          <w:lang w:eastAsia="de-DE" w:bidi="en-US"/>
        </w:rPr>
        <w:t xml:space="preserve"> B. Khalimov, Geodesy and Geodynamics </w:t>
      </w:r>
      <w:r w:rsidRPr="00AA0C0A">
        <w:rPr>
          <w:b/>
          <w:bCs/>
          <w:snapToGrid w:val="0"/>
          <w:szCs w:val="22"/>
          <w:lang w:eastAsia="de-DE" w:bidi="en-US"/>
        </w:rPr>
        <w:t>16</w:t>
      </w:r>
      <w:r w:rsidR="00AA0C0A" w:rsidRPr="00AA0C0A">
        <w:rPr>
          <w:b/>
          <w:bCs/>
          <w:snapToGrid w:val="0"/>
          <w:szCs w:val="22"/>
          <w:lang w:eastAsia="de-DE" w:bidi="en-US"/>
        </w:rPr>
        <w:t>(2)</w:t>
      </w:r>
      <w:r w:rsidRPr="005017B8">
        <w:rPr>
          <w:snapToGrid w:val="0"/>
          <w:szCs w:val="22"/>
          <w:lang w:eastAsia="de-DE" w:bidi="en-US"/>
        </w:rPr>
        <w:t>, 137-146 (2025)</w:t>
      </w:r>
      <w:r w:rsidR="00AA0C0A">
        <w:rPr>
          <w:snapToGrid w:val="0"/>
          <w:szCs w:val="22"/>
          <w:lang w:eastAsia="de-DE" w:bidi="en-US"/>
        </w:rPr>
        <w:t>.</w:t>
      </w:r>
      <w:r w:rsidRPr="005017B8">
        <w:rPr>
          <w:snapToGrid w:val="0"/>
          <w:szCs w:val="22"/>
          <w:lang w:eastAsia="de-DE" w:bidi="en-US"/>
        </w:rPr>
        <w:t xml:space="preserve"> </w:t>
      </w:r>
    </w:p>
    <w:p w14:paraId="6BE1467B" w14:textId="054CEE19"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Z.F. Shukurov, Y.A. </w:t>
      </w:r>
      <w:proofErr w:type="spellStart"/>
      <w:r w:rsidRPr="005017B8">
        <w:rPr>
          <w:snapToGrid w:val="0"/>
          <w:szCs w:val="22"/>
          <w:lang w:eastAsia="de-DE" w:bidi="en-US"/>
        </w:rPr>
        <w:t>Nurmatov</w:t>
      </w:r>
      <w:proofErr w:type="spellEnd"/>
      <w:r w:rsidRPr="005017B8">
        <w:rPr>
          <w:snapToGrid w:val="0"/>
          <w:szCs w:val="22"/>
          <w:lang w:eastAsia="de-DE" w:bidi="en-US"/>
        </w:rPr>
        <w:t xml:space="preserve">, </w:t>
      </w:r>
      <w:proofErr w:type="spellStart"/>
      <w:r w:rsidRPr="005017B8">
        <w:rPr>
          <w:snapToGrid w:val="0"/>
          <w:szCs w:val="22"/>
          <w:lang w:eastAsia="de-DE" w:bidi="en-US"/>
        </w:rPr>
        <w:t>F.Kh</w:t>
      </w:r>
      <w:proofErr w:type="spellEnd"/>
      <w:r w:rsidRPr="005017B8">
        <w:rPr>
          <w:snapToGrid w:val="0"/>
          <w:szCs w:val="22"/>
          <w:lang w:eastAsia="de-DE" w:bidi="en-US"/>
        </w:rPr>
        <w:t xml:space="preserve">. </w:t>
      </w:r>
      <w:proofErr w:type="spellStart"/>
      <w:r w:rsidRPr="005017B8">
        <w:rPr>
          <w:snapToGrid w:val="0"/>
          <w:szCs w:val="22"/>
          <w:lang w:eastAsia="de-DE" w:bidi="en-US"/>
        </w:rPr>
        <w:t>Sadirov</w:t>
      </w:r>
      <w:proofErr w:type="spellEnd"/>
      <w:r w:rsidRPr="005017B8">
        <w:rPr>
          <w:snapToGrid w:val="0"/>
          <w:szCs w:val="22"/>
          <w:lang w:eastAsia="de-DE" w:bidi="en-US"/>
        </w:rPr>
        <w:t xml:space="preserve"> and </w:t>
      </w:r>
      <w:proofErr w:type="spellStart"/>
      <w:r w:rsidRPr="005017B8">
        <w:rPr>
          <w:snapToGrid w:val="0"/>
          <w:szCs w:val="22"/>
          <w:lang w:eastAsia="de-DE" w:bidi="en-US"/>
        </w:rPr>
        <w:t>Kh.O</w:t>
      </w:r>
      <w:proofErr w:type="spellEnd"/>
      <w:r w:rsidRPr="005017B8">
        <w:rPr>
          <w:snapToGrid w:val="0"/>
          <w:szCs w:val="22"/>
          <w:lang w:eastAsia="de-DE" w:bidi="en-US"/>
        </w:rPr>
        <w:t xml:space="preserve">. </w:t>
      </w:r>
      <w:proofErr w:type="spellStart"/>
      <w:r w:rsidRPr="005017B8">
        <w:rPr>
          <w:snapToGrid w:val="0"/>
          <w:szCs w:val="22"/>
          <w:lang w:eastAsia="de-DE" w:bidi="en-US"/>
        </w:rPr>
        <w:t>Allaev</w:t>
      </w:r>
      <w:proofErr w:type="spellEnd"/>
      <w:r w:rsidRPr="005017B8">
        <w:rPr>
          <w:snapToGrid w:val="0"/>
          <w:szCs w:val="22"/>
          <w:lang w:eastAsia="de-DE" w:bidi="en-US"/>
        </w:rPr>
        <w:t xml:space="preserve">. Reports of the Academy of Sciences of the Republic of Uzbekistan </w:t>
      </w:r>
      <w:r w:rsidRPr="00AA0C0A">
        <w:rPr>
          <w:b/>
          <w:bCs/>
          <w:snapToGrid w:val="0"/>
          <w:szCs w:val="22"/>
          <w:lang w:eastAsia="de-DE" w:bidi="en-US"/>
        </w:rPr>
        <w:t>4</w:t>
      </w:r>
      <w:r w:rsidRPr="005017B8">
        <w:rPr>
          <w:snapToGrid w:val="0"/>
          <w:szCs w:val="22"/>
          <w:lang w:eastAsia="de-DE" w:bidi="en-US"/>
        </w:rPr>
        <w:t xml:space="preserve">, 87-92[In Uzbek] (2022) </w:t>
      </w:r>
    </w:p>
    <w:p w14:paraId="3C59C163" w14:textId="3FE66253" w:rsidR="005017B8" w:rsidRPr="005017B8" w:rsidRDefault="005017B8" w:rsidP="005017B8">
      <w:pPr>
        <w:pStyle w:val="Reference"/>
        <w:rPr>
          <w:snapToGrid w:val="0"/>
          <w:szCs w:val="22"/>
          <w:lang w:eastAsia="de-DE" w:bidi="en-US"/>
        </w:rPr>
      </w:pPr>
      <w:r w:rsidRPr="005017B8">
        <w:rPr>
          <w:snapToGrid w:val="0"/>
          <w:szCs w:val="22"/>
          <w:lang w:eastAsia="de-DE" w:bidi="en-US"/>
        </w:rPr>
        <w:t xml:space="preserve">T.L. </w:t>
      </w:r>
      <w:proofErr w:type="spellStart"/>
      <w:r w:rsidRPr="005017B8">
        <w:rPr>
          <w:snapToGrid w:val="0"/>
          <w:szCs w:val="22"/>
          <w:lang w:eastAsia="de-DE" w:bidi="en-US"/>
        </w:rPr>
        <w:t>Ibragimova</w:t>
      </w:r>
      <w:proofErr w:type="spellEnd"/>
      <w:r w:rsidRPr="005017B8">
        <w:rPr>
          <w:snapToGrid w:val="0"/>
          <w:szCs w:val="22"/>
          <w:lang w:eastAsia="de-DE" w:bidi="en-US"/>
        </w:rPr>
        <w:t xml:space="preserve">, R.S. </w:t>
      </w:r>
      <w:proofErr w:type="spellStart"/>
      <w:r w:rsidRPr="005017B8">
        <w:rPr>
          <w:snapToGrid w:val="0"/>
          <w:szCs w:val="22"/>
          <w:lang w:eastAsia="de-DE" w:bidi="en-US"/>
        </w:rPr>
        <w:t>Ibragimov</w:t>
      </w:r>
      <w:proofErr w:type="spellEnd"/>
      <w:r w:rsidRPr="005017B8">
        <w:rPr>
          <w:snapToGrid w:val="0"/>
          <w:szCs w:val="22"/>
          <w:lang w:eastAsia="de-DE" w:bidi="en-US"/>
        </w:rPr>
        <w:t xml:space="preserve">, M.A. </w:t>
      </w:r>
      <w:proofErr w:type="spellStart"/>
      <w:r w:rsidRPr="005017B8">
        <w:rPr>
          <w:snapToGrid w:val="0"/>
          <w:szCs w:val="22"/>
          <w:lang w:eastAsia="de-DE" w:bidi="en-US"/>
        </w:rPr>
        <w:t>Mirzaev</w:t>
      </w:r>
      <w:proofErr w:type="spellEnd"/>
      <w:r w:rsidR="00AA0C0A">
        <w:rPr>
          <w:snapToGrid w:val="0"/>
          <w:szCs w:val="22"/>
          <w:lang w:eastAsia="de-DE" w:bidi="en-US"/>
        </w:rPr>
        <w:t xml:space="preserve"> and</w:t>
      </w:r>
      <w:r w:rsidRPr="005017B8">
        <w:rPr>
          <w:snapToGrid w:val="0"/>
          <w:szCs w:val="22"/>
          <w:lang w:eastAsia="de-DE" w:bidi="en-US"/>
        </w:rPr>
        <w:t xml:space="preserve"> </w:t>
      </w:r>
      <w:proofErr w:type="spellStart"/>
      <w:r w:rsidRPr="005017B8">
        <w:rPr>
          <w:snapToGrid w:val="0"/>
          <w:szCs w:val="22"/>
          <w:lang w:eastAsia="de-DE" w:bidi="en-US"/>
        </w:rPr>
        <w:t>Yu.L</w:t>
      </w:r>
      <w:proofErr w:type="spellEnd"/>
      <w:r w:rsidRPr="005017B8">
        <w:rPr>
          <w:snapToGrid w:val="0"/>
          <w:szCs w:val="22"/>
          <w:lang w:eastAsia="de-DE" w:bidi="en-US"/>
        </w:rPr>
        <w:t xml:space="preserve">. Rebetsky, Geodynamics &amp; Tectonophysics </w:t>
      </w:r>
      <w:r w:rsidRPr="00AA0C0A">
        <w:rPr>
          <w:b/>
          <w:bCs/>
          <w:snapToGrid w:val="0"/>
          <w:szCs w:val="22"/>
          <w:lang w:eastAsia="de-DE" w:bidi="en-US"/>
        </w:rPr>
        <w:t>12(3)</w:t>
      </w:r>
      <w:r w:rsidRPr="005017B8">
        <w:rPr>
          <w:snapToGrid w:val="0"/>
          <w:szCs w:val="22"/>
          <w:lang w:eastAsia="de-DE" w:bidi="en-US"/>
        </w:rPr>
        <w:t xml:space="preserve">, 435–454 (2021) </w:t>
      </w:r>
    </w:p>
    <w:p w14:paraId="5A5CD199" w14:textId="5F5F4F10" w:rsidR="005017B8" w:rsidRPr="005017B8" w:rsidRDefault="005017B8" w:rsidP="005017B8">
      <w:pPr>
        <w:pStyle w:val="Reference"/>
        <w:rPr>
          <w:snapToGrid w:val="0"/>
          <w:szCs w:val="22"/>
          <w:lang w:eastAsia="de-DE" w:bidi="en-US"/>
        </w:rPr>
      </w:pPr>
      <w:r w:rsidRPr="005017B8">
        <w:rPr>
          <w:snapToGrid w:val="0"/>
          <w:szCs w:val="22"/>
          <w:lang w:eastAsia="de-DE" w:bidi="en-US"/>
        </w:rPr>
        <w:t>M.L. Zoback</w:t>
      </w:r>
      <w:r w:rsidR="00AA0C0A">
        <w:rPr>
          <w:snapToGrid w:val="0"/>
          <w:szCs w:val="22"/>
          <w:lang w:eastAsia="de-DE" w:bidi="en-US"/>
        </w:rPr>
        <w:t xml:space="preserve"> and</w:t>
      </w:r>
      <w:r w:rsidRPr="005017B8">
        <w:rPr>
          <w:snapToGrid w:val="0"/>
          <w:szCs w:val="22"/>
          <w:lang w:eastAsia="de-DE" w:bidi="en-US"/>
        </w:rPr>
        <w:t xml:space="preserve"> J. Geophys. Res.: Solid Earth </w:t>
      </w:r>
      <w:r w:rsidRPr="00AA0C0A">
        <w:rPr>
          <w:b/>
          <w:bCs/>
          <w:snapToGrid w:val="0"/>
          <w:szCs w:val="22"/>
          <w:lang w:eastAsia="de-DE" w:bidi="en-US"/>
        </w:rPr>
        <w:t>97</w:t>
      </w:r>
      <w:r w:rsidR="00AA0C0A" w:rsidRPr="00AA0C0A">
        <w:rPr>
          <w:b/>
          <w:bCs/>
          <w:snapToGrid w:val="0"/>
          <w:szCs w:val="22"/>
          <w:lang w:eastAsia="de-DE" w:bidi="en-US"/>
        </w:rPr>
        <w:t>(B8)</w:t>
      </w:r>
      <w:r w:rsidRPr="005017B8">
        <w:rPr>
          <w:snapToGrid w:val="0"/>
          <w:szCs w:val="22"/>
          <w:lang w:eastAsia="de-DE" w:bidi="en-US"/>
        </w:rPr>
        <w:t>, 11703–11728 (1992)</w:t>
      </w:r>
      <w:r w:rsidR="00AA0C0A">
        <w:rPr>
          <w:snapToGrid w:val="0"/>
          <w:szCs w:val="22"/>
          <w:lang w:eastAsia="de-DE" w:bidi="en-US"/>
        </w:rPr>
        <w:t>.</w:t>
      </w:r>
      <w:r w:rsidRPr="005017B8">
        <w:rPr>
          <w:snapToGrid w:val="0"/>
          <w:szCs w:val="22"/>
          <w:lang w:eastAsia="de-DE" w:bidi="en-US"/>
        </w:rPr>
        <w:t xml:space="preserve"> </w:t>
      </w:r>
    </w:p>
    <w:p w14:paraId="1596CB18" w14:textId="46612130" w:rsidR="00282354" w:rsidRPr="00282354" w:rsidRDefault="005017B8" w:rsidP="005017B8">
      <w:pPr>
        <w:pStyle w:val="Reference"/>
        <w:rPr>
          <w:lang w:eastAsia="ru-RU"/>
        </w:rPr>
      </w:pPr>
      <w:proofErr w:type="spellStart"/>
      <w:proofErr w:type="gramStart"/>
      <w:r w:rsidRPr="005017B8">
        <w:rPr>
          <w:snapToGrid w:val="0"/>
          <w:szCs w:val="22"/>
          <w:lang w:eastAsia="de-DE" w:bidi="en-US"/>
        </w:rPr>
        <w:t>O.Heidbach</w:t>
      </w:r>
      <w:proofErr w:type="spellEnd"/>
      <w:proofErr w:type="gramEnd"/>
      <w:r w:rsidRPr="005017B8">
        <w:rPr>
          <w:snapToGrid w:val="0"/>
          <w:szCs w:val="22"/>
          <w:lang w:eastAsia="de-DE" w:bidi="en-US"/>
        </w:rPr>
        <w:t xml:space="preserve">, M. Rajabi, X. Cui, K. Fuchs, B. Müller, J. </w:t>
      </w:r>
      <w:proofErr w:type="spellStart"/>
      <w:r w:rsidRPr="005017B8">
        <w:rPr>
          <w:snapToGrid w:val="0"/>
          <w:szCs w:val="22"/>
          <w:lang w:eastAsia="de-DE" w:bidi="en-US"/>
        </w:rPr>
        <w:t>Reinecker,K</w:t>
      </w:r>
      <w:proofErr w:type="spellEnd"/>
      <w:r w:rsidRPr="005017B8">
        <w:rPr>
          <w:snapToGrid w:val="0"/>
          <w:szCs w:val="22"/>
          <w:lang w:eastAsia="de-DE" w:bidi="en-US"/>
        </w:rPr>
        <w:t xml:space="preserve">. Reiter, M. </w:t>
      </w:r>
      <w:proofErr w:type="spellStart"/>
      <w:r w:rsidRPr="005017B8">
        <w:rPr>
          <w:snapToGrid w:val="0"/>
          <w:szCs w:val="22"/>
          <w:lang w:eastAsia="de-DE" w:bidi="en-US"/>
        </w:rPr>
        <w:t>Tingay</w:t>
      </w:r>
      <w:proofErr w:type="spellEnd"/>
      <w:r w:rsidRPr="005017B8">
        <w:rPr>
          <w:snapToGrid w:val="0"/>
          <w:szCs w:val="22"/>
          <w:lang w:eastAsia="de-DE" w:bidi="en-US"/>
        </w:rPr>
        <w:t xml:space="preserve">, </w:t>
      </w:r>
      <w:proofErr w:type="spellStart"/>
      <w:r w:rsidRPr="005017B8">
        <w:rPr>
          <w:snapToGrid w:val="0"/>
          <w:szCs w:val="22"/>
          <w:lang w:eastAsia="de-DE" w:bidi="en-US"/>
        </w:rPr>
        <w:t>F.Wenzel</w:t>
      </w:r>
      <w:proofErr w:type="spellEnd"/>
      <w:r w:rsidRPr="005017B8">
        <w:rPr>
          <w:snapToGrid w:val="0"/>
          <w:szCs w:val="22"/>
          <w:lang w:eastAsia="de-DE" w:bidi="en-US"/>
        </w:rPr>
        <w:t>, F. Xie, M.-O. Ziegler, M.L. Zoback</w:t>
      </w:r>
      <w:r w:rsidR="00AA0C0A">
        <w:rPr>
          <w:snapToGrid w:val="0"/>
          <w:szCs w:val="22"/>
          <w:lang w:eastAsia="de-DE" w:bidi="en-US"/>
        </w:rPr>
        <w:t xml:space="preserve"> and</w:t>
      </w:r>
      <w:r w:rsidRPr="005017B8">
        <w:rPr>
          <w:snapToGrid w:val="0"/>
          <w:szCs w:val="22"/>
          <w:lang w:eastAsia="de-DE" w:bidi="en-US"/>
        </w:rPr>
        <w:t xml:space="preserve"> M. Zoback, Tectonophysics </w:t>
      </w:r>
      <w:r w:rsidRPr="00AA0C0A">
        <w:rPr>
          <w:b/>
          <w:bCs/>
          <w:snapToGrid w:val="0"/>
          <w:szCs w:val="22"/>
          <w:lang w:eastAsia="de-DE" w:bidi="en-US"/>
        </w:rPr>
        <w:t>744</w:t>
      </w:r>
      <w:r w:rsidRPr="005017B8">
        <w:rPr>
          <w:snapToGrid w:val="0"/>
          <w:szCs w:val="22"/>
          <w:lang w:eastAsia="de-DE" w:bidi="en-US"/>
        </w:rPr>
        <w:t>, 484–498 (2018)</w:t>
      </w:r>
      <w:r w:rsidR="00AA0C0A">
        <w:rPr>
          <w:snapToGrid w:val="0"/>
          <w:szCs w:val="22"/>
          <w:lang w:eastAsia="de-DE" w:bidi="en-US"/>
        </w:rPr>
        <w:t>.</w:t>
      </w:r>
    </w:p>
    <w:sectPr w:rsidR="00282354" w:rsidRPr="00282354"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D4D8D"/>
    <w:multiLevelType w:val="hybridMultilevel"/>
    <w:tmpl w:val="53F42428"/>
    <w:lvl w:ilvl="0" w:tplc="FFFFFFFF">
      <w:start w:val="1"/>
      <w:numFmt w:val="decimal"/>
      <w:lvlText w:val="%1."/>
      <w:lvlJc w:val="left"/>
      <w:pPr>
        <w:ind w:left="1415" w:hanging="705"/>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0E147ED"/>
    <w:multiLevelType w:val="hybridMultilevel"/>
    <w:tmpl w:val="0D5E2900"/>
    <w:lvl w:ilvl="0" w:tplc="71D8EA9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7FD60F4"/>
    <w:multiLevelType w:val="hybridMultilevel"/>
    <w:tmpl w:val="BDA2740A"/>
    <w:lvl w:ilvl="0" w:tplc="1B36378E">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5"/>
  </w:num>
  <w:num w:numId="3">
    <w:abstractNumId w:val="15"/>
  </w:num>
  <w:num w:numId="4">
    <w:abstractNumId w:val="10"/>
  </w:num>
  <w:num w:numId="5">
    <w:abstractNumId w:val="14"/>
  </w:num>
  <w:num w:numId="6">
    <w:abstractNumId w:val="7"/>
  </w:num>
  <w:num w:numId="7">
    <w:abstractNumId w:val="9"/>
  </w:num>
  <w:num w:numId="8">
    <w:abstractNumId w:val="3"/>
  </w:num>
  <w:num w:numId="9">
    <w:abstractNumId w:val="17"/>
  </w:num>
  <w:num w:numId="10">
    <w:abstractNumId w:val="12"/>
  </w:num>
  <w:num w:numId="11">
    <w:abstractNumId w:val="16"/>
  </w:num>
  <w:num w:numId="12">
    <w:abstractNumId w:val="13"/>
  </w:num>
  <w:num w:numId="13">
    <w:abstractNumId w:val="8"/>
  </w:num>
  <w:num w:numId="14">
    <w:abstractNumId w:val="17"/>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4"/>
  </w:num>
  <w:num w:numId="45">
    <w:abstractNumId w:val="0"/>
  </w:num>
  <w:num w:numId="46">
    <w:abstractNumId w:val="6"/>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05B3"/>
    <w:rsid w:val="000B1B74"/>
    <w:rsid w:val="000B3A2D"/>
    <w:rsid w:val="000B49C0"/>
    <w:rsid w:val="000C09E2"/>
    <w:rsid w:val="000E382F"/>
    <w:rsid w:val="000E75CD"/>
    <w:rsid w:val="000F29F7"/>
    <w:rsid w:val="000F5584"/>
    <w:rsid w:val="001036BA"/>
    <w:rsid w:val="001039D2"/>
    <w:rsid w:val="001146DC"/>
    <w:rsid w:val="00114AB1"/>
    <w:rsid w:val="001230FF"/>
    <w:rsid w:val="00130BD7"/>
    <w:rsid w:val="00155B67"/>
    <w:rsid w:val="001562AF"/>
    <w:rsid w:val="00161A5B"/>
    <w:rsid w:val="0016385D"/>
    <w:rsid w:val="0016782F"/>
    <w:rsid w:val="001937E9"/>
    <w:rsid w:val="001964E5"/>
    <w:rsid w:val="001A5926"/>
    <w:rsid w:val="001B263B"/>
    <w:rsid w:val="001B476A"/>
    <w:rsid w:val="001C3223"/>
    <w:rsid w:val="001C764F"/>
    <w:rsid w:val="001C7BB3"/>
    <w:rsid w:val="001D469C"/>
    <w:rsid w:val="001E56E8"/>
    <w:rsid w:val="001F36C6"/>
    <w:rsid w:val="001F37AA"/>
    <w:rsid w:val="001F7946"/>
    <w:rsid w:val="0021619E"/>
    <w:rsid w:val="002264A5"/>
    <w:rsid w:val="00230608"/>
    <w:rsid w:val="0023171B"/>
    <w:rsid w:val="00236BFC"/>
    <w:rsid w:val="00237437"/>
    <w:rsid w:val="002502FD"/>
    <w:rsid w:val="0026572F"/>
    <w:rsid w:val="00274622"/>
    <w:rsid w:val="0027522D"/>
    <w:rsid w:val="00282354"/>
    <w:rsid w:val="00285D24"/>
    <w:rsid w:val="00290390"/>
    <w:rsid w:val="002915D3"/>
    <w:rsid w:val="002924DB"/>
    <w:rsid w:val="002941DA"/>
    <w:rsid w:val="002B5648"/>
    <w:rsid w:val="002E3C35"/>
    <w:rsid w:val="002F5298"/>
    <w:rsid w:val="00320CCE"/>
    <w:rsid w:val="00326AE0"/>
    <w:rsid w:val="00337E4F"/>
    <w:rsid w:val="00340C36"/>
    <w:rsid w:val="00346A9D"/>
    <w:rsid w:val="00375A01"/>
    <w:rsid w:val="0039376F"/>
    <w:rsid w:val="003A287B"/>
    <w:rsid w:val="003A5C85"/>
    <w:rsid w:val="003A61B1"/>
    <w:rsid w:val="003B0050"/>
    <w:rsid w:val="003B28A9"/>
    <w:rsid w:val="003D6312"/>
    <w:rsid w:val="003E7C74"/>
    <w:rsid w:val="003F31C6"/>
    <w:rsid w:val="0040225B"/>
    <w:rsid w:val="00402DA2"/>
    <w:rsid w:val="004113E5"/>
    <w:rsid w:val="00425AC2"/>
    <w:rsid w:val="004463A3"/>
    <w:rsid w:val="0044771F"/>
    <w:rsid w:val="004B151D"/>
    <w:rsid w:val="004C7243"/>
    <w:rsid w:val="004E21DE"/>
    <w:rsid w:val="004E3C57"/>
    <w:rsid w:val="004E3CB2"/>
    <w:rsid w:val="004F6848"/>
    <w:rsid w:val="005017B8"/>
    <w:rsid w:val="00525813"/>
    <w:rsid w:val="0053513F"/>
    <w:rsid w:val="00574405"/>
    <w:rsid w:val="005854B0"/>
    <w:rsid w:val="005A0E21"/>
    <w:rsid w:val="005B3A34"/>
    <w:rsid w:val="005C6270"/>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19AF"/>
    <w:rsid w:val="007F2AE9"/>
    <w:rsid w:val="007F7D51"/>
    <w:rsid w:val="00812D62"/>
    <w:rsid w:val="00812F29"/>
    <w:rsid w:val="00821713"/>
    <w:rsid w:val="00827050"/>
    <w:rsid w:val="0083278B"/>
    <w:rsid w:val="00834538"/>
    <w:rsid w:val="00850E89"/>
    <w:rsid w:val="008930E4"/>
    <w:rsid w:val="00893821"/>
    <w:rsid w:val="008A7B9C"/>
    <w:rsid w:val="008B39FA"/>
    <w:rsid w:val="008B4754"/>
    <w:rsid w:val="008C6BD2"/>
    <w:rsid w:val="008E6A7A"/>
    <w:rsid w:val="008F1038"/>
    <w:rsid w:val="008F7046"/>
    <w:rsid w:val="009005FC"/>
    <w:rsid w:val="00922E5A"/>
    <w:rsid w:val="00943315"/>
    <w:rsid w:val="00946C27"/>
    <w:rsid w:val="0097061E"/>
    <w:rsid w:val="009A4F3D"/>
    <w:rsid w:val="009B696B"/>
    <w:rsid w:val="009B7671"/>
    <w:rsid w:val="009E5BA1"/>
    <w:rsid w:val="009F056E"/>
    <w:rsid w:val="009F5CBE"/>
    <w:rsid w:val="00A147B4"/>
    <w:rsid w:val="00A24F3D"/>
    <w:rsid w:val="00A26DCD"/>
    <w:rsid w:val="00A314BB"/>
    <w:rsid w:val="00A32B7D"/>
    <w:rsid w:val="00A5596B"/>
    <w:rsid w:val="00A646B3"/>
    <w:rsid w:val="00A6739B"/>
    <w:rsid w:val="00A90413"/>
    <w:rsid w:val="00A9292E"/>
    <w:rsid w:val="00AA0C0A"/>
    <w:rsid w:val="00AA728C"/>
    <w:rsid w:val="00AB0A9C"/>
    <w:rsid w:val="00AB7119"/>
    <w:rsid w:val="00AD5855"/>
    <w:rsid w:val="00AE7500"/>
    <w:rsid w:val="00AE7F87"/>
    <w:rsid w:val="00AF3542"/>
    <w:rsid w:val="00AF5ABE"/>
    <w:rsid w:val="00B00415"/>
    <w:rsid w:val="00B03C2A"/>
    <w:rsid w:val="00B1000D"/>
    <w:rsid w:val="00B10134"/>
    <w:rsid w:val="00B16BFE"/>
    <w:rsid w:val="00B17A51"/>
    <w:rsid w:val="00B500E5"/>
    <w:rsid w:val="00B55528"/>
    <w:rsid w:val="00B65FD8"/>
    <w:rsid w:val="00BA39BB"/>
    <w:rsid w:val="00BA3B3D"/>
    <w:rsid w:val="00BB7EEA"/>
    <w:rsid w:val="00BD1909"/>
    <w:rsid w:val="00BE5E16"/>
    <w:rsid w:val="00BE5FD1"/>
    <w:rsid w:val="00C06E05"/>
    <w:rsid w:val="00C1348D"/>
    <w:rsid w:val="00C14B14"/>
    <w:rsid w:val="00C158CA"/>
    <w:rsid w:val="00C17370"/>
    <w:rsid w:val="00C2054D"/>
    <w:rsid w:val="00C252EB"/>
    <w:rsid w:val="00C26EC0"/>
    <w:rsid w:val="00C56C77"/>
    <w:rsid w:val="00C84923"/>
    <w:rsid w:val="00CB7B3E"/>
    <w:rsid w:val="00CC739D"/>
    <w:rsid w:val="00D04468"/>
    <w:rsid w:val="00D30640"/>
    <w:rsid w:val="00D33D2D"/>
    <w:rsid w:val="00D36257"/>
    <w:rsid w:val="00D4687E"/>
    <w:rsid w:val="00D53A12"/>
    <w:rsid w:val="00D87E2A"/>
    <w:rsid w:val="00DB0C43"/>
    <w:rsid w:val="00DE3354"/>
    <w:rsid w:val="00DF7DCD"/>
    <w:rsid w:val="00E36A76"/>
    <w:rsid w:val="00E50B7D"/>
    <w:rsid w:val="00E82F54"/>
    <w:rsid w:val="00E904A1"/>
    <w:rsid w:val="00EB7D28"/>
    <w:rsid w:val="00EC0D0C"/>
    <w:rsid w:val="00ED4A2C"/>
    <w:rsid w:val="00ED7991"/>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link w:val="ad"/>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jpeg"/><Relationship Id="rId27"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91BBC7CE-AB5C-4581-A32E-25013807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329</TotalTime>
  <Pages>6</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25</cp:revision>
  <cp:lastPrinted>2011-03-03T08:29:00Z</cp:lastPrinted>
  <dcterms:created xsi:type="dcterms:W3CDTF">2023-09-01T14:34:00Z</dcterms:created>
  <dcterms:modified xsi:type="dcterms:W3CDTF">2025-11-02T11:17:00Z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