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4FFCCAA0" w:rsidR="0016385D" w:rsidRPr="006A11C8" w:rsidRDefault="00C71C78" w:rsidP="00D33D2D">
      <w:pPr>
        <w:pStyle w:val="PaperTitle"/>
        <w:rPr>
          <w:b w:val="0"/>
          <w:bCs/>
          <w:sz w:val="24"/>
          <w:szCs w:val="24"/>
          <w:lang w:val="en-GB"/>
        </w:rPr>
      </w:pPr>
      <w:r w:rsidRPr="006A11C8">
        <w:rPr>
          <w:lang w:val="en-GB"/>
        </w:rPr>
        <w:t>Using the Probabilistic Seismic Hazard Analysis Results for Assessment the Provision of a Given Level of Seismic Resistance of Buildings by the Current Tajikistan Seismic Codes</w:t>
      </w:r>
    </w:p>
    <w:p w14:paraId="548D96A3" w14:textId="4D3FBF10" w:rsidR="00C14B14" w:rsidRPr="006A11C8" w:rsidRDefault="00C71C78" w:rsidP="2F830975">
      <w:pPr>
        <w:pStyle w:val="AuthorName"/>
        <w:rPr>
          <w:sz w:val="20"/>
          <w:lang w:val="en-GB" w:eastAsia="en-GB"/>
        </w:rPr>
      </w:pPr>
      <w:proofErr w:type="spellStart"/>
      <w:r w:rsidRPr="006A11C8">
        <w:rPr>
          <w:lang w:val="en-GB"/>
        </w:rPr>
        <w:t>Pulod</w:t>
      </w:r>
      <w:proofErr w:type="spellEnd"/>
      <w:r w:rsidRPr="006A11C8">
        <w:rPr>
          <w:lang w:val="en-GB"/>
        </w:rPr>
        <w:t xml:space="preserve"> </w:t>
      </w:r>
      <w:proofErr w:type="spellStart"/>
      <w:r w:rsidRPr="006A11C8">
        <w:rPr>
          <w:lang w:val="en-GB"/>
        </w:rPr>
        <w:t>Aminzoda</w:t>
      </w:r>
      <w:proofErr w:type="spellEnd"/>
      <w:r w:rsidRPr="006A11C8">
        <w:rPr>
          <w:lang w:val="en-GB"/>
        </w:rPr>
        <w:t xml:space="preserve"> </w:t>
      </w:r>
      <w:r w:rsidR="00EF6940" w:rsidRPr="006A11C8">
        <w:rPr>
          <w:vertAlign w:val="superscript"/>
          <w:lang w:val="en-GB"/>
        </w:rPr>
        <w:t>1,</w:t>
      </w:r>
      <w:r w:rsidR="003A5C85" w:rsidRPr="006A11C8">
        <w:rPr>
          <w:vertAlign w:val="superscript"/>
          <w:lang w:val="en-GB"/>
        </w:rPr>
        <w:t xml:space="preserve"> </w:t>
      </w:r>
      <w:r w:rsidR="00EF6940" w:rsidRPr="006A11C8">
        <w:rPr>
          <w:vertAlign w:val="superscript"/>
          <w:lang w:val="en-GB"/>
        </w:rPr>
        <w:t>a)</w:t>
      </w:r>
    </w:p>
    <w:p w14:paraId="5E05E235" w14:textId="50420C51" w:rsidR="003A5C85" w:rsidRPr="006A11C8" w:rsidRDefault="00027428" w:rsidP="006A11C8">
      <w:pPr>
        <w:pStyle w:val="AuthorAffiliation"/>
        <w:rPr>
          <w:i w:val="0"/>
          <w:lang w:val="en-GB"/>
        </w:rPr>
      </w:pPr>
      <w:r w:rsidRPr="006A11C8">
        <w:rPr>
          <w:i w:val="0"/>
          <w:iCs/>
          <w:vertAlign w:val="superscript"/>
          <w:lang w:val="en-GB"/>
        </w:rPr>
        <w:t>1</w:t>
      </w:r>
      <w:r w:rsidR="00C71C78" w:rsidRPr="006A11C8">
        <w:rPr>
          <w:lang w:val="en-GB"/>
        </w:rPr>
        <w:t xml:space="preserve"> Institute of Geology, Earthquake Engineering and Seismology of the National Academy of Sciences of Tajikistan</w:t>
      </w:r>
      <w:r w:rsidR="00C14B14" w:rsidRPr="006A11C8">
        <w:rPr>
          <w:lang w:val="en-GB"/>
        </w:rPr>
        <w:br/>
      </w:r>
      <w:r w:rsidR="006A11C8" w:rsidRPr="006A11C8">
        <w:rPr>
          <w:lang w:val="en-GB"/>
        </w:rPr>
        <w:br/>
      </w:r>
      <w:r w:rsidR="00003D7C" w:rsidRPr="006A11C8">
        <w:rPr>
          <w:szCs w:val="28"/>
          <w:vertAlign w:val="superscript"/>
          <w:lang w:val="en-GB"/>
        </w:rPr>
        <w:t>a)</w:t>
      </w:r>
      <w:r w:rsidR="00003D7C" w:rsidRPr="006A11C8">
        <w:rPr>
          <w:lang w:val="en-GB"/>
        </w:rPr>
        <w:t xml:space="preserve"> </w:t>
      </w:r>
      <w:r w:rsidR="00003D7C" w:rsidRPr="006A11C8">
        <w:rPr>
          <w:i w:val="0"/>
          <w:lang w:val="en-GB"/>
        </w:rPr>
        <w:t>Corresponding</w:t>
      </w:r>
      <w:r w:rsidR="004E3CB2" w:rsidRPr="006A11C8">
        <w:rPr>
          <w:i w:val="0"/>
          <w:lang w:val="en-GB"/>
        </w:rPr>
        <w:t xml:space="preserve"> author: </w:t>
      </w:r>
      <w:r w:rsidR="00C71C78" w:rsidRPr="006A11C8">
        <w:rPr>
          <w:i w:val="0"/>
          <w:lang w:val="en-GB"/>
        </w:rPr>
        <w:t>p.aminzoda@gmail.com</w:t>
      </w:r>
      <w:r w:rsidR="00C1348D" w:rsidRPr="006A11C8">
        <w:rPr>
          <w:i w:val="0"/>
          <w:lang w:val="en-GB"/>
        </w:rPr>
        <w:t xml:space="preserve"> </w:t>
      </w:r>
    </w:p>
    <w:p w14:paraId="22C3F2A8" w14:textId="5086D853" w:rsidR="0016385D" w:rsidRPr="006A11C8" w:rsidRDefault="0016385D" w:rsidP="00C14B14">
      <w:pPr>
        <w:pStyle w:val="Abstract"/>
        <w:rPr>
          <w:lang w:val="en-GB"/>
        </w:rPr>
      </w:pPr>
      <w:r w:rsidRPr="006A11C8">
        <w:rPr>
          <w:b/>
          <w:bCs/>
          <w:lang w:val="en-GB"/>
        </w:rPr>
        <w:t>Abstract.</w:t>
      </w:r>
      <w:r w:rsidRPr="006A11C8">
        <w:rPr>
          <w:lang w:val="en-GB"/>
        </w:rPr>
        <w:t xml:space="preserve"> </w:t>
      </w:r>
      <w:r w:rsidR="00C71C78" w:rsidRPr="006A11C8">
        <w:rPr>
          <w:lang w:val="en-GB"/>
        </w:rPr>
        <w:t xml:space="preserve">The consequences of the destructive earthquakes in Turkey, which occurred in early February 2023, and subsequent earthquakes in Morocco, China, Japan, Taiwan, Myanmar and other countries, have once again shown that none of the existing seismic codes in the world are fully perfect. In this connection, the question of how far the current seismic codes ensure the given level of earthquake resistance of structure is of particular relevance. At present, with the development of probabilistic seismic hazard maps in Tajikistan, a tool for assessing the provision of a given level of earthquake resistance of buildings and structures regulated by the current in Tajikistan seismic codes </w:t>
      </w:r>
      <w:proofErr w:type="spellStart"/>
      <w:r w:rsidR="00C71C78" w:rsidRPr="006A11C8">
        <w:rPr>
          <w:lang w:val="en-GB"/>
        </w:rPr>
        <w:t>SNiP</w:t>
      </w:r>
      <w:proofErr w:type="spellEnd"/>
      <w:r w:rsidR="00C71C78" w:rsidRPr="006A11C8">
        <w:rPr>
          <w:lang w:val="en-GB"/>
        </w:rPr>
        <w:t xml:space="preserve"> RT 22-07-2018 “Earthquake-resistant construction” has appeared.</w:t>
      </w:r>
    </w:p>
    <w:p w14:paraId="5240E3FB" w14:textId="0ADBE59F" w:rsidR="003A287B" w:rsidRPr="006A11C8" w:rsidRDefault="0097061E" w:rsidP="00003D7C">
      <w:pPr>
        <w:pStyle w:val="1"/>
        <w:rPr>
          <w:b w:val="0"/>
          <w:caps w:val="0"/>
          <w:sz w:val="20"/>
          <w:lang w:val="en-GB"/>
        </w:rPr>
      </w:pPr>
      <w:r w:rsidRPr="006A11C8">
        <w:rPr>
          <w:lang w:val="en-GB"/>
        </w:rPr>
        <w:t>Introduction</w:t>
      </w:r>
    </w:p>
    <w:p w14:paraId="26BADF49" w14:textId="77777777" w:rsidR="00C71C78" w:rsidRPr="006A11C8" w:rsidRDefault="00C71C78" w:rsidP="00C71C78">
      <w:pPr>
        <w:pStyle w:val="Paragraph"/>
        <w:rPr>
          <w:lang w:val="en-GB"/>
        </w:rPr>
      </w:pPr>
      <w:r w:rsidRPr="006A11C8">
        <w:rPr>
          <w:lang w:val="en-GB"/>
        </w:rPr>
        <w:t>Analysis of the catastrophic consequences of the destructive earthquakes in Turkey, which occurred in early February 2023, and the subsequent earthquakes in Morocco, China, Japan, Taiwan, Myanmar and other countries, once again showed that one of the reasons for the destruction of hundreds of buildings, cause a loss of tens of thousands of people, is, among other reasons, the failure to ensure their specified seismic resistance in accordance with the assessed seismic hazard of the territory.</w:t>
      </w:r>
    </w:p>
    <w:p w14:paraId="6A14A99E" w14:textId="77777777" w:rsidR="00C71C78" w:rsidRPr="006A11C8" w:rsidRDefault="00C71C78" w:rsidP="00C71C78">
      <w:pPr>
        <w:pStyle w:val="Paragraph"/>
        <w:rPr>
          <w:lang w:val="en-GB"/>
        </w:rPr>
      </w:pPr>
      <w:r w:rsidRPr="006A11C8">
        <w:rPr>
          <w:lang w:val="en-GB"/>
        </w:rPr>
        <w:t>The assessed seismic hazard is presented in seismic codes in the form of a list of settlement and seismic zoning maps with indicating the maximum ground accelerations, that serves as the basis for determining the design seismic loads.</w:t>
      </w:r>
    </w:p>
    <w:p w14:paraId="7F61CD97" w14:textId="77777777" w:rsidR="004E2289" w:rsidRPr="006A11C8" w:rsidRDefault="004E2289" w:rsidP="004E2289">
      <w:pPr>
        <w:pStyle w:val="1"/>
        <w:rPr>
          <w:lang w:val="en-GB"/>
        </w:rPr>
      </w:pPr>
      <w:r w:rsidRPr="006A11C8">
        <w:rPr>
          <w:lang w:val="en-GB"/>
        </w:rPr>
        <w:t>Statement of the problem</w:t>
      </w:r>
    </w:p>
    <w:p w14:paraId="0C39605E" w14:textId="10AA9F85" w:rsidR="0097061E" w:rsidRPr="006A11C8" w:rsidRDefault="00C71C78" w:rsidP="00C71C78">
      <w:pPr>
        <w:pStyle w:val="Paragraph"/>
        <w:rPr>
          <w:lang w:val="en-GB"/>
        </w:rPr>
      </w:pPr>
      <w:r w:rsidRPr="006A11C8">
        <w:rPr>
          <w:lang w:val="en-GB"/>
        </w:rPr>
        <w:t xml:space="preserve">During </w:t>
      </w:r>
      <w:proofErr w:type="spellStart"/>
      <w:r w:rsidRPr="006A11C8">
        <w:rPr>
          <w:lang w:val="en-GB"/>
        </w:rPr>
        <w:t>analyzing</w:t>
      </w:r>
      <w:proofErr w:type="spellEnd"/>
      <w:r w:rsidRPr="006A11C8">
        <w:rPr>
          <w:lang w:val="en-GB"/>
        </w:rPr>
        <w:t xml:space="preserve"> the causes of the catastrophic consequences of the Turkish, 2023 earthquakes, it was paid attention that most of the destroyed buildings were constructed in accordance with the Turkish seismic codes, developed in 2007 and based on the seismic zoning of the territory of Turkey, and worked using deterministic seismic hazard assessment results. At the same time the current Turkish seismic codes, developed in 2018 are based on a new probabilistic seismic hazard map of the territory of country for the earthquakes return period 475 years, which is significantly different of the previous one presented in the seismic codes, 2007. According to published sources, the using of the new probabilistic seismic hazard map has </w:t>
      </w:r>
      <w:r w:rsidR="006A11C8" w:rsidRPr="006A11C8">
        <w:rPr>
          <w:lang w:val="en-GB"/>
        </w:rPr>
        <w:t>brought</w:t>
      </w:r>
      <w:r w:rsidRPr="006A11C8">
        <w:rPr>
          <w:lang w:val="en-GB"/>
        </w:rPr>
        <w:t xml:space="preserve"> to a significant (up to two times) increasing the design seismic loads [1–3].</w:t>
      </w:r>
    </w:p>
    <w:p w14:paraId="06CF35A3" w14:textId="479116DD" w:rsidR="00C71C78" w:rsidRPr="006A11C8" w:rsidRDefault="00C71C78" w:rsidP="00C71C78">
      <w:pPr>
        <w:pStyle w:val="Paragraph"/>
        <w:rPr>
          <w:lang w:val="en-GB"/>
        </w:rPr>
      </w:pPr>
      <w:r w:rsidRPr="006A11C8">
        <w:rPr>
          <w:lang w:val="en-GB"/>
        </w:rPr>
        <w:t xml:space="preserve">This circumstance served as the basis for the assessment of providing a given level of seismic resistance of buildings and structures by the current Tajikistan’s seismic codes </w:t>
      </w:r>
      <w:proofErr w:type="spellStart"/>
      <w:r w:rsidRPr="006A11C8">
        <w:rPr>
          <w:lang w:val="en-GB"/>
        </w:rPr>
        <w:t>SNiP</w:t>
      </w:r>
      <w:proofErr w:type="spellEnd"/>
      <w:r w:rsidRPr="006A11C8">
        <w:rPr>
          <w:lang w:val="en-GB"/>
        </w:rPr>
        <w:t xml:space="preserve"> RT 22-07-2018 “Earthquake-resistant construction”, in which presents the deterministic seismic hazard map of the territory of Tajikistan, 1978 has developed in intensity points in accordance with the MSK-64 scale (Fig.1) [4].</w:t>
      </w:r>
    </w:p>
    <w:p w14:paraId="4F3AAA84" w14:textId="6B5959B4" w:rsidR="00C71C78" w:rsidRPr="006A11C8" w:rsidRDefault="00C71C78" w:rsidP="00C71C78">
      <w:pPr>
        <w:pStyle w:val="Figure"/>
        <w:rPr>
          <w:lang w:val="en-GB"/>
        </w:rPr>
      </w:pPr>
      <w:r w:rsidRPr="006A11C8">
        <w:rPr>
          <w:noProof/>
          <w:sz w:val="28"/>
          <w:szCs w:val="28"/>
          <w:lang w:val="en-GB" w:eastAsia="ja-JP"/>
        </w:rPr>
        <w:lastRenderedPageBreak/>
        <w:drawing>
          <wp:inline distT="0" distB="0" distL="0" distR="0" wp14:anchorId="5DD33BB6" wp14:editId="0BA68F8F">
            <wp:extent cx="4464451" cy="3157329"/>
            <wp:effectExtent l="0" t="0" r="0" b="5080"/>
            <wp:docPr id="4099" name="Picture 5" descr="Seismic Zoning MapTj -197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5" descr="Seismic Zoning MapTj -1978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80051" cy="3168362"/>
                    </a:xfrm>
                    <a:prstGeom prst="rect">
                      <a:avLst/>
                    </a:prstGeom>
                    <a:noFill/>
                    <a:ln>
                      <a:noFill/>
                    </a:ln>
                  </pic:spPr>
                </pic:pic>
              </a:graphicData>
            </a:graphic>
          </wp:inline>
        </w:drawing>
      </w:r>
    </w:p>
    <w:p w14:paraId="7053F4FA" w14:textId="2E60DA35" w:rsidR="00C71C78" w:rsidRPr="006A11C8" w:rsidRDefault="00C71C78" w:rsidP="006A11C8">
      <w:pPr>
        <w:pStyle w:val="FigureCaption"/>
        <w:spacing w:after="120"/>
        <w:rPr>
          <w:lang w:val="en-GB"/>
        </w:rPr>
      </w:pPr>
      <w:r w:rsidRPr="006A11C8">
        <w:rPr>
          <w:b/>
          <w:bCs/>
          <w:lang w:val="en-GB"/>
        </w:rPr>
        <w:t>FIGURE 1.</w:t>
      </w:r>
      <w:r w:rsidRPr="006A11C8">
        <w:rPr>
          <w:lang w:val="en-GB"/>
        </w:rPr>
        <w:t xml:space="preserve"> Current deterministic seismic hazard map of the territory of Tajikistan</w:t>
      </w:r>
    </w:p>
    <w:p w14:paraId="32A7108C" w14:textId="77777777" w:rsidR="00C71C78" w:rsidRPr="006A11C8" w:rsidRDefault="00C71C78" w:rsidP="00C71C78">
      <w:pPr>
        <w:pStyle w:val="Paragraph"/>
        <w:rPr>
          <w:lang w:val="en-GB"/>
        </w:rPr>
      </w:pPr>
      <w:r w:rsidRPr="006A11C8">
        <w:rPr>
          <w:lang w:val="en-GB"/>
        </w:rPr>
        <w:t>As can be seen from this map, the entire territory of Tajikistan is completely related to seismically hazardous where it is possible the occurrence of earthquakes with an intensity of 7, 8 and 9 points, for which the design accelerations, respectively, compose 0.1, 0.2 and 0.4g.</w:t>
      </w:r>
    </w:p>
    <w:p w14:paraId="4E329749" w14:textId="0C4CE3A7" w:rsidR="00C71C78" w:rsidRPr="006A11C8" w:rsidRDefault="00C71C78" w:rsidP="00C71C78">
      <w:pPr>
        <w:pStyle w:val="Paragraph"/>
        <w:rPr>
          <w:lang w:val="en-GB"/>
        </w:rPr>
      </w:pPr>
      <w:r w:rsidRPr="006A11C8">
        <w:rPr>
          <w:lang w:val="en-GB"/>
        </w:rPr>
        <w:t xml:space="preserve">Seismic design of buildings and structures using the spectral method in accordance with </w:t>
      </w:r>
      <w:proofErr w:type="spellStart"/>
      <w:r w:rsidRPr="006A11C8">
        <w:rPr>
          <w:lang w:val="en-GB"/>
        </w:rPr>
        <w:t>SNiP</w:t>
      </w:r>
      <w:proofErr w:type="spellEnd"/>
      <w:r w:rsidRPr="006A11C8">
        <w:rPr>
          <w:lang w:val="en-GB"/>
        </w:rPr>
        <w:t xml:space="preserve"> RT 22-07-2018 is based on the following regulations [4].</w:t>
      </w:r>
    </w:p>
    <w:p w14:paraId="623FAB21" w14:textId="1AB8E930" w:rsidR="0097061E" w:rsidRPr="006A11C8" w:rsidRDefault="00C71C78" w:rsidP="00C71C78">
      <w:pPr>
        <w:pStyle w:val="Paragraph"/>
        <w:rPr>
          <w:lang w:val="en-GB"/>
        </w:rPr>
      </w:pPr>
      <w:r w:rsidRPr="006A11C8">
        <w:rPr>
          <w:lang w:val="en-GB"/>
        </w:rPr>
        <w:t xml:space="preserve">The design seismic load </w:t>
      </w:r>
      <w:proofErr w:type="spellStart"/>
      <w:r w:rsidRPr="006A11C8">
        <w:rPr>
          <w:lang w:val="en-GB"/>
        </w:rPr>
        <w:t>S</w:t>
      </w:r>
      <w:r w:rsidRPr="004E2289">
        <w:rPr>
          <w:vertAlign w:val="subscript"/>
          <w:lang w:val="en-GB"/>
        </w:rPr>
        <w:t>ik</w:t>
      </w:r>
      <w:proofErr w:type="spellEnd"/>
      <w:r w:rsidRPr="006A11C8">
        <w:rPr>
          <w:lang w:val="en-GB"/>
        </w:rPr>
        <w:t xml:space="preserve"> in the selected direction, applied to point k and corresponding to the </w:t>
      </w:r>
      <w:proofErr w:type="spellStart"/>
      <w:r w:rsidRPr="004E2289">
        <w:rPr>
          <w:i/>
          <w:lang w:val="en-GB"/>
        </w:rPr>
        <w:t>i</w:t>
      </w:r>
      <w:r w:rsidRPr="004E2289">
        <w:rPr>
          <w:vertAlign w:val="superscript"/>
          <w:lang w:val="en-GB"/>
        </w:rPr>
        <w:t>th</w:t>
      </w:r>
      <w:proofErr w:type="spellEnd"/>
      <w:r w:rsidRPr="006A11C8">
        <w:rPr>
          <w:lang w:val="en-GB"/>
        </w:rPr>
        <w:t xml:space="preserve"> mode, is determined by the formula:</w:t>
      </w:r>
    </w:p>
    <w:p w14:paraId="1323C26E" w14:textId="0C5FE0B8" w:rsidR="0097061E" w:rsidRPr="006A11C8" w:rsidRDefault="0097061E" w:rsidP="0097061E">
      <w:pPr>
        <w:pStyle w:val="Equation"/>
        <w:rPr>
          <w:lang w:val="en-GB"/>
        </w:rPr>
      </w:pPr>
      <w:r w:rsidRPr="006A11C8">
        <w:rPr>
          <w:lang w:val="en-GB"/>
        </w:rPr>
        <w:tab/>
      </w:r>
      <w:r w:rsidR="00C71C78" w:rsidRPr="006A11C8">
        <w:rPr>
          <w:position w:val="-10"/>
          <w:lang w:val="en-GB"/>
        </w:rPr>
        <w:object w:dxaOrig="2000" w:dyaOrig="300" w14:anchorId="5CF08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95pt;height:15.05pt" o:ole="">
            <v:imagedata r:id="rId10" o:title=""/>
          </v:shape>
          <o:OLEObject Type="Embed" ProgID="Equation.3" ShapeID="_x0000_i1025" DrawAspect="Content" ObjectID="_1823947667" r:id="rId11"/>
        </w:object>
      </w:r>
      <w:r w:rsidRPr="006A11C8">
        <w:rPr>
          <w:lang w:val="en-GB"/>
        </w:rPr>
        <w:tab/>
        <w:t>(</w:t>
      </w:r>
      <w:r w:rsidRPr="006A11C8">
        <w:rPr>
          <w:lang w:val="en-GB"/>
        </w:rPr>
        <w:fldChar w:fldCharType="begin"/>
      </w:r>
      <w:r w:rsidRPr="006A11C8">
        <w:rPr>
          <w:lang w:val="en-GB"/>
        </w:rPr>
        <w:instrText xml:space="preserve"> EQ </w:instrText>
      </w:r>
      <w:r w:rsidRPr="006A11C8">
        <w:rPr>
          <w:lang w:val="en-GB"/>
        </w:rPr>
        <w:fldChar w:fldCharType="end"/>
      </w:r>
      <w:r w:rsidRPr="006A11C8">
        <w:rPr>
          <w:lang w:val="en-GB"/>
        </w:rPr>
        <w:fldChar w:fldCharType="begin"/>
      </w:r>
      <w:r w:rsidRPr="006A11C8">
        <w:rPr>
          <w:lang w:val="en-GB"/>
        </w:rPr>
        <w:instrText xml:space="preserve"> AUTONUMLGL  \* Arabic \e </w:instrText>
      </w:r>
      <w:r w:rsidRPr="006A11C8">
        <w:rPr>
          <w:lang w:val="en-GB"/>
        </w:rPr>
        <w:fldChar w:fldCharType="end"/>
      </w:r>
      <w:r w:rsidRPr="006A11C8">
        <w:rPr>
          <w:lang w:val="en-GB"/>
        </w:rPr>
        <w:t>)</w:t>
      </w:r>
    </w:p>
    <w:p w14:paraId="55341366" w14:textId="35AD8059" w:rsidR="0097061E" w:rsidRPr="006A11C8" w:rsidRDefault="00C71C78" w:rsidP="00C71C78">
      <w:pPr>
        <w:pStyle w:val="Paragraph"/>
        <w:ind w:firstLine="0"/>
        <w:rPr>
          <w:lang w:val="en-GB"/>
        </w:rPr>
      </w:pPr>
      <w:r w:rsidRPr="006A11C8">
        <w:rPr>
          <w:lang w:val="en-GB"/>
        </w:rPr>
        <w:t xml:space="preserve">where: </w:t>
      </w:r>
      <w:r w:rsidRPr="006A11C8">
        <w:rPr>
          <w:position w:val="-10"/>
          <w:lang w:val="en-GB"/>
        </w:rPr>
        <w:object w:dxaOrig="460" w:dyaOrig="300" w14:anchorId="553CA0A0">
          <v:shape id="_x0000_i1026" type="#_x0000_t75" style="width:23.1pt;height:15.05pt" o:ole="">
            <v:imagedata r:id="rId12" o:title=""/>
          </v:shape>
          <o:OLEObject Type="Embed" ProgID="Equation.3" ShapeID="_x0000_i1026" DrawAspect="Content" ObjectID="_1823947668" r:id="rId13"/>
        </w:object>
      </w:r>
      <w:r w:rsidRPr="006A11C8">
        <w:rPr>
          <w:lang w:val="en-GB"/>
        </w:rPr>
        <w:t xml:space="preserve"> – seismic load value for the </w:t>
      </w:r>
      <w:proofErr w:type="spellStart"/>
      <w:r w:rsidR="004E2289" w:rsidRPr="004E2289">
        <w:rPr>
          <w:i/>
          <w:lang w:val="en-GB"/>
        </w:rPr>
        <w:t>i</w:t>
      </w:r>
      <w:r w:rsidR="004E2289" w:rsidRPr="004E2289">
        <w:rPr>
          <w:vertAlign w:val="superscript"/>
          <w:lang w:val="en-GB"/>
        </w:rPr>
        <w:t>th</w:t>
      </w:r>
      <w:proofErr w:type="spellEnd"/>
      <w:r w:rsidRPr="006A11C8">
        <w:rPr>
          <w:lang w:val="en-GB"/>
        </w:rPr>
        <w:t xml:space="preserve"> mode, determined under the assumption of elastic deformation of structures by the following formula:</w:t>
      </w:r>
    </w:p>
    <w:p w14:paraId="7C75BDFE" w14:textId="21815C48" w:rsidR="00C71C78" w:rsidRPr="006A11C8" w:rsidRDefault="0097061E" w:rsidP="00C71C78">
      <w:pPr>
        <w:pStyle w:val="Equation"/>
        <w:spacing w:before="120" w:after="120"/>
        <w:rPr>
          <w:lang w:val="en-GB"/>
        </w:rPr>
      </w:pPr>
      <w:r w:rsidRPr="006A11C8">
        <w:rPr>
          <w:lang w:val="en-GB"/>
        </w:rPr>
        <w:tab/>
      </w:r>
      <w:r w:rsidR="004E0F6B" w:rsidRPr="006A11C8">
        <w:rPr>
          <w:position w:val="-12"/>
          <w:lang w:val="en-GB"/>
        </w:rPr>
        <w:object w:dxaOrig="1780" w:dyaOrig="320" w14:anchorId="16C4AA17">
          <v:shape id="_x0000_i1027" type="#_x0000_t75" style="width:90.8pt;height:16.65pt" o:ole="">
            <v:imagedata r:id="rId14" o:title=""/>
          </v:shape>
          <o:OLEObject Type="Embed" ProgID="Equation.3" ShapeID="_x0000_i1027" DrawAspect="Content" ObjectID="_1823947669" r:id="rId15"/>
        </w:object>
      </w:r>
      <w:r w:rsidRPr="006A11C8">
        <w:rPr>
          <w:lang w:val="en-GB"/>
        </w:rPr>
        <w:tab/>
        <w:t>(</w:t>
      </w:r>
      <w:r w:rsidRPr="006A11C8">
        <w:rPr>
          <w:lang w:val="en-GB"/>
        </w:rPr>
        <w:fldChar w:fldCharType="begin"/>
      </w:r>
      <w:r w:rsidRPr="006A11C8">
        <w:rPr>
          <w:lang w:val="en-GB"/>
        </w:rPr>
        <w:instrText xml:space="preserve"> EQ </w:instrText>
      </w:r>
      <w:r w:rsidRPr="006A11C8">
        <w:rPr>
          <w:lang w:val="en-GB"/>
        </w:rPr>
        <w:fldChar w:fldCharType="end"/>
      </w:r>
      <w:r w:rsidRPr="006A11C8">
        <w:rPr>
          <w:lang w:val="en-GB"/>
        </w:rPr>
        <w:fldChar w:fldCharType="begin"/>
      </w:r>
      <w:r w:rsidRPr="006A11C8">
        <w:rPr>
          <w:lang w:val="en-GB"/>
        </w:rPr>
        <w:instrText xml:space="preserve"> AUTONUMLGL  \* Arabic \e </w:instrText>
      </w:r>
      <w:r w:rsidRPr="006A11C8">
        <w:rPr>
          <w:lang w:val="en-GB"/>
        </w:rPr>
        <w:fldChar w:fldCharType="end"/>
      </w:r>
      <w:r w:rsidRPr="006A11C8">
        <w:rPr>
          <w:lang w:val="en-GB"/>
        </w:rPr>
        <w:t>)</w:t>
      </w:r>
    </w:p>
    <w:p w14:paraId="17358E48" w14:textId="5D0D4730" w:rsidR="004E0F6B" w:rsidRPr="006A11C8" w:rsidRDefault="004E0F6B" w:rsidP="004E0F6B">
      <w:pPr>
        <w:pStyle w:val="Paragraph"/>
        <w:rPr>
          <w:lang w:val="en-GB"/>
        </w:rPr>
      </w:pPr>
      <w:r w:rsidRPr="006A11C8">
        <w:rPr>
          <w:position w:val="-10"/>
          <w:lang w:val="en-GB"/>
        </w:rPr>
        <w:object w:dxaOrig="279" w:dyaOrig="300" w14:anchorId="04C921EC">
          <v:shape id="_x0000_i1028" type="#_x0000_t75" style="width:14.5pt;height:15.05pt" o:ole="">
            <v:imagedata r:id="rId16" o:title=""/>
          </v:shape>
          <o:OLEObject Type="Embed" ProgID="Equation.3" ShapeID="_x0000_i1028" DrawAspect="Content" ObjectID="_1823947670" r:id="rId17"/>
        </w:object>
      </w:r>
      <w:r w:rsidR="00C71C78" w:rsidRPr="006A11C8">
        <w:rPr>
          <w:lang w:val="en-GB"/>
        </w:rPr>
        <w:t xml:space="preserve"> – responsibility factor;</w:t>
      </w:r>
    </w:p>
    <w:p w14:paraId="7AFFEDD3" w14:textId="688B4598" w:rsidR="004E0F6B" w:rsidRPr="006A11C8" w:rsidRDefault="004E0F6B" w:rsidP="004E0F6B">
      <w:pPr>
        <w:pStyle w:val="Paragraph"/>
        <w:rPr>
          <w:lang w:val="en-GB"/>
        </w:rPr>
      </w:pPr>
      <w:r w:rsidRPr="006A11C8">
        <w:rPr>
          <w:position w:val="-10"/>
          <w:lang w:val="en-GB"/>
        </w:rPr>
        <w:object w:dxaOrig="320" w:dyaOrig="300" w14:anchorId="13278B0F">
          <v:shape id="_x0000_i1029" type="#_x0000_t75" style="width:15.6pt;height:15.05pt" o:ole="">
            <v:imagedata r:id="rId18" o:title=""/>
          </v:shape>
          <o:OLEObject Type="Embed" ProgID="Equation.3" ShapeID="_x0000_i1029" DrawAspect="Content" ObjectID="_1823947671" r:id="rId19"/>
        </w:object>
      </w:r>
      <w:r w:rsidR="00C71C78" w:rsidRPr="006A11C8">
        <w:rPr>
          <w:lang w:val="en-GB"/>
        </w:rPr>
        <w:t xml:space="preserve"> </w:t>
      </w:r>
      <w:r w:rsidRPr="006A11C8">
        <w:rPr>
          <w:lang w:val="en-GB"/>
        </w:rPr>
        <w:t>–</w:t>
      </w:r>
      <w:r w:rsidR="00C71C78" w:rsidRPr="006A11C8">
        <w:rPr>
          <w:lang w:val="en-GB"/>
        </w:rPr>
        <w:t xml:space="preserve"> reduction factor, taking into account structural solutions;</w:t>
      </w:r>
    </w:p>
    <w:p w14:paraId="55061906" w14:textId="7BB9EB67" w:rsidR="0097061E" w:rsidRPr="006A11C8" w:rsidRDefault="004E0F6B" w:rsidP="004E0F6B">
      <w:pPr>
        <w:pStyle w:val="Paragraph"/>
        <w:rPr>
          <w:lang w:val="en-GB"/>
        </w:rPr>
      </w:pPr>
      <w:r w:rsidRPr="006A11C8">
        <w:rPr>
          <w:position w:val="-10"/>
          <w:lang w:val="en-GB"/>
        </w:rPr>
        <w:object w:dxaOrig="300" w:dyaOrig="300" w14:anchorId="52B732B8">
          <v:shape id="_x0000_i1030" type="#_x0000_t75" style="width:15.05pt;height:15.05pt" o:ole="">
            <v:imagedata r:id="rId20" o:title=""/>
          </v:shape>
          <o:OLEObject Type="Embed" ProgID="Equation.3" ShapeID="_x0000_i1030" DrawAspect="Content" ObjectID="_1823947672" r:id="rId21"/>
        </w:object>
      </w:r>
      <w:r w:rsidR="00C71C78" w:rsidRPr="006A11C8">
        <w:rPr>
          <w:lang w:val="en-GB"/>
        </w:rPr>
        <w:t xml:space="preserve"> </w:t>
      </w:r>
      <w:r w:rsidRPr="006A11C8">
        <w:rPr>
          <w:lang w:val="en-GB"/>
        </w:rPr>
        <w:t>–</w:t>
      </w:r>
      <w:r w:rsidR="00C71C78" w:rsidRPr="006A11C8">
        <w:rPr>
          <w:lang w:val="en-GB"/>
        </w:rPr>
        <w:t xml:space="preserve"> factor, taking into account the height of buildings and structures, determined by the formula:</w:t>
      </w:r>
    </w:p>
    <w:p w14:paraId="01EB3CAA" w14:textId="3F6138EE" w:rsidR="0097061E" w:rsidRPr="006A11C8" w:rsidRDefault="0097061E" w:rsidP="0097061E">
      <w:pPr>
        <w:pStyle w:val="Equation"/>
        <w:spacing w:before="120" w:after="120"/>
        <w:rPr>
          <w:lang w:val="en-GB"/>
        </w:rPr>
      </w:pPr>
      <w:r w:rsidRPr="006A11C8">
        <w:rPr>
          <w:lang w:val="en-GB"/>
        </w:rPr>
        <w:tab/>
      </w:r>
      <w:r w:rsidR="004E0F6B" w:rsidRPr="006A11C8">
        <w:rPr>
          <w:position w:val="-10"/>
          <w:lang w:val="en-GB"/>
        </w:rPr>
        <w:object w:dxaOrig="1640" w:dyaOrig="300" w14:anchorId="4D08E81B">
          <v:shape id="_x0000_i1031" type="#_x0000_t75" style="width:82.75pt;height:15.6pt" o:ole="">
            <v:imagedata r:id="rId22" o:title=""/>
          </v:shape>
          <o:OLEObject Type="Embed" ProgID="Equation.3" ShapeID="_x0000_i1031" DrawAspect="Content" ObjectID="_1823947673" r:id="rId23"/>
        </w:object>
      </w:r>
      <w:r w:rsidRPr="006A11C8">
        <w:rPr>
          <w:lang w:val="en-GB"/>
        </w:rPr>
        <w:tab/>
        <w:t xml:space="preserve"> (</w:t>
      </w:r>
      <w:r w:rsidRPr="006A11C8">
        <w:rPr>
          <w:lang w:val="en-GB"/>
        </w:rPr>
        <w:fldChar w:fldCharType="begin"/>
      </w:r>
      <w:r w:rsidRPr="006A11C8">
        <w:rPr>
          <w:lang w:val="en-GB"/>
        </w:rPr>
        <w:instrText xml:space="preserve"> EQ </w:instrText>
      </w:r>
      <w:r w:rsidRPr="006A11C8">
        <w:rPr>
          <w:lang w:val="en-GB"/>
        </w:rPr>
        <w:fldChar w:fldCharType="end"/>
      </w:r>
      <w:r w:rsidRPr="006A11C8">
        <w:rPr>
          <w:lang w:val="en-GB"/>
        </w:rPr>
        <w:fldChar w:fldCharType="begin"/>
      </w:r>
      <w:r w:rsidRPr="006A11C8">
        <w:rPr>
          <w:lang w:val="en-GB"/>
        </w:rPr>
        <w:instrText xml:space="preserve"> AUTONUMLGL  \* Arabic \e </w:instrText>
      </w:r>
      <w:r w:rsidRPr="006A11C8">
        <w:rPr>
          <w:lang w:val="en-GB"/>
        </w:rPr>
        <w:fldChar w:fldCharType="end"/>
      </w:r>
      <w:r w:rsidRPr="006A11C8">
        <w:rPr>
          <w:lang w:val="en-GB"/>
        </w:rPr>
        <w:t>)</w:t>
      </w:r>
    </w:p>
    <w:p w14:paraId="070276D1" w14:textId="3E57B152" w:rsidR="004E0F6B" w:rsidRPr="006A11C8" w:rsidRDefault="004E0F6B" w:rsidP="004E0F6B">
      <w:pPr>
        <w:pStyle w:val="Paragraph"/>
        <w:ind w:firstLine="0"/>
        <w:rPr>
          <w:lang w:val="en-GB"/>
        </w:rPr>
      </w:pPr>
      <w:r w:rsidRPr="006A11C8">
        <w:rPr>
          <w:lang w:val="en-GB"/>
        </w:rPr>
        <w:t xml:space="preserve">where n - number of floors of the building (except for floors located below the ground level, basement and attic floors), whereby </w:t>
      </w:r>
      <w:r w:rsidRPr="006A11C8">
        <w:rPr>
          <w:position w:val="-10"/>
          <w:lang w:val="en-GB"/>
        </w:rPr>
        <w:object w:dxaOrig="1200" w:dyaOrig="300" w14:anchorId="13D5B9AD">
          <v:shape id="_x0000_i1032" type="#_x0000_t75" style="width:60.2pt;height:15.05pt" o:ole="">
            <v:imagedata r:id="rId24" o:title=""/>
          </v:shape>
          <o:OLEObject Type="Embed" ProgID="Equation.3" ShapeID="_x0000_i1032" DrawAspect="Content" ObjectID="_1823947674" r:id="rId25"/>
        </w:object>
      </w:r>
      <w:r w:rsidRPr="006A11C8">
        <w:rPr>
          <w:lang w:val="en-GB"/>
        </w:rPr>
        <w:t>;</w:t>
      </w:r>
    </w:p>
    <w:p w14:paraId="5E56A1A3" w14:textId="1356AEBB" w:rsidR="004E0F6B" w:rsidRPr="006A11C8" w:rsidRDefault="004E0F6B" w:rsidP="004E0F6B">
      <w:pPr>
        <w:pStyle w:val="Paragraph"/>
        <w:rPr>
          <w:lang w:val="en-GB"/>
        </w:rPr>
      </w:pPr>
      <w:r w:rsidRPr="006A11C8">
        <w:rPr>
          <w:position w:val="-10"/>
          <w:lang w:val="en-GB"/>
        </w:rPr>
        <w:object w:dxaOrig="300" w:dyaOrig="300" w14:anchorId="7CBD2F9B">
          <v:shape id="_x0000_i1033" type="#_x0000_t75" style="width:15.05pt;height:15.05pt" o:ole="">
            <v:imagedata r:id="rId26" o:title=""/>
          </v:shape>
          <o:OLEObject Type="Embed" ProgID="Equation.3" ShapeID="_x0000_i1033" DrawAspect="Content" ObjectID="_1823947675" r:id="rId27"/>
        </w:object>
      </w:r>
      <w:r w:rsidRPr="006A11C8">
        <w:rPr>
          <w:lang w:val="en-GB"/>
        </w:rPr>
        <w:t xml:space="preserve"> – the weight of the building or structure attributed to the point k, determined taking into account design loads on structures;</w:t>
      </w:r>
    </w:p>
    <w:p w14:paraId="3C787C74" w14:textId="37CFB167" w:rsidR="004E0F6B" w:rsidRPr="006A11C8" w:rsidRDefault="004E0F6B" w:rsidP="004E0F6B">
      <w:pPr>
        <w:pStyle w:val="Paragraph"/>
        <w:rPr>
          <w:lang w:val="en-GB"/>
        </w:rPr>
      </w:pPr>
      <w:r w:rsidRPr="006A11C8">
        <w:rPr>
          <w:position w:val="-4"/>
          <w:lang w:val="en-GB"/>
        </w:rPr>
        <w:object w:dxaOrig="220" w:dyaOrig="220" w14:anchorId="7A5F41A1">
          <v:shape id="_x0000_i1034" type="#_x0000_t75" style="width:11.3pt;height:11.3pt" o:ole="">
            <v:imagedata r:id="rId28" o:title=""/>
          </v:shape>
          <o:OLEObject Type="Embed" ProgID="Equation.3" ShapeID="_x0000_i1034" DrawAspect="Content" ObjectID="_1823947676" r:id="rId29"/>
        </w:object>
      </w:r>
      <w:r w:rsidRPr="006A11C8">
        <w:rPr>
          <w:lang w:val="en-GB"/>
        </w:rPr>
        <w:t xml:space="preserve"> – seismicity coefficient, the values of which should be taken equal to 0.1, 0.2, 0.4, 0.6, respectively, for design seismicity 7, 8, 9 and more </w:t>
      </w:r>
      <w:r w:rsidR="006A11C8" w:rsidRPr="006A11C8">
        <w:rPr>
          <w:lang w:val="en-GB"/>
        </w:rPr>
        <w:t>than</w:t>
      </w:r>
      <w:r w:rsidRPr="006A11C8">
        <w:rPr>
          <w:lang w:val="en-GB"/>
        </w:rPr>
        <w:t xml:space="preserve"> 9 </w:t>
      </w:r>
      <w:r w:rsidR="006A11C8" w:rsidRPr="006A11C8">
        <w:rPr>
          <w:lang w:val="en-GB"/>
        </w:rPr>
        <w:t>degrees</w:t>
      </w:r>
      <w:r w:rsidRPr="006A11C8">
        <w:rPr>
          <w:lang w:val="en-GB"/>
        </w:rPr>
        <w:t>;</w:t>
      </w:r>
    </w:p>
    <w:p w14:paraId="770A354B" w14:textId="12F4BF38" w:rsidR="004E0F6B" w:rsidRPr="006A11C8" w:rsidRDefault="004E0F6B" w:rsidP="004E0F6B">
      <w:pPr>
        <w:pStyle w:val="Paragraph"/>
        <w:rPr>
          <w:lang w:val="en-GB"/>
        </w:rPr>
      </w:pPr>
      <w:r w:rsidRPr="006A11C8">
        <w:rPr>
          <w:position w:val="-10"/>
          <w:lang w:val="en-GB"/>
        </w:rPr>
        <w:object w:dxaOrig="260" w:dyaOrig="300" w14:anchorId="2AAC306F">
          <v:shape id="_x0000_i1035" type="#_x0000_t75" style="width:12.9pt;height:15.05pt" o:ole="">
            <v:imagedata r:id="rId30" o:title=""/>
          </v:shape>
          <o:OLEObject Type="Embed" ProgID="Equation.3" ShapeID="_x0000_i1035" DrawAspect="Content" ObjectID="_1823947677" r:id="rId31"/>
        </w:object>
      </w:r>
      <w:r w:rsidRPr="006A11C8">
        <w:rPr>
          <w:lang w:val="en-GB"/>
        </w:rPr>
        <w:t xml:space="preserve">- dynamics coefficient (uniformed response spectra) corresponding to the </w:t>
      </w:r>
      <w:proofErr w:type="spellStart"/>
      <w:r w:rsidR="004E2289" w:rsidRPr="004E2289">
        <w:rPr>
          <w:i/>
          <w:lang w:val="en-GB"/>
        </w:rPr>
        <w:t>i</w:t>
      </w:r>
      <w:r w:rsidR="004E2289" w:rsidRPr="004E2289">
        <w:rPr>
          <w:vertAlign w:val="superscript"/>
          <w:lang w:val="en-GB"/>
        </w:rPr>
        <w:t>th</w:t>
      </w:r>
      <w:proofErr w:type="spellEnd"/>
      <w:r w:rsidRPr="006A11C8">
        <w:rPr>
          <w:lang w:val="en-GB"/>
        </w:rPr>
        <w:t xml:space="preserve"> modes, taken according to the graphs below (Fig.2);</w:t>
      </w:r>
    </w:p>
    <w:p w14:paraId="224A12B0" w14:textId="7DBF45B7" w:rsidR="0097061E" w:rsidRPr="006A11C8" w:rsidRDefault="004E0F6B" w:rsidP="004463A3">
      <w:pPr>
        <w:pStyle w:val="Figure"/>
        <w:rPr>
          <w:lang w:val="en-GB"/>
        </w:rPr>
      </w:pPr>
      <w:r w:rsidRPr="006A11C8">
        <w:rPr>
          <w:noProof/>
          <w:sz w:val="24"/>
          <w:lang w:val="en-GB" w:eastAsia="ja-JP"/>
        </w:rPr>
        <w:lastRenderedPageBreak/>
        <w:drawing>
          <wp:inline distT="0" distB="0" distL="0" distR="0" wp14:anchorId="277117A9" wp14:editId="6F7090F1">
            <wp:extent cx="4865429" cy="2390775"/>
            <wp:effectExtent l="0" t="0" r="0" b="0"/>
            <wp:docPr id="1911096340" name="Рисунок 1" descr="Описание: Beta31р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Beta31рус"/>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98762" cy="2407154"/>
                    </a:xfrm>
                    <a:prstGeom prst="rect">
                      <a:avLst/>
                    </a:prstGeom>
                    <a:noFill/>
                    <a:ln>
                      <a:noFill/>
                    </a:ln>
                  </pic:spPr>
                </pic:pic>
              </a:graphicData>
            </a:graphic>
          </wp:inline>
        </w:drawing>
      </w:r>
    </w:p>
    <w:p w14:paraId="0EB6AFB5" w14:textId="66902AEA" w:rsidR="004E0F6B" w:rsidRPr="006A11C8" w:rsidRDefault="004463A3" w:rsidP="006A11C8">
      <w:pPr>
        <w:pStyle w:val="FigureCaption"/>
        <w:spacing w:after="120"/>
        <w:rPr>
          <w:lang w:val="en-GB"/>
        </w:rPr>
      </w:pPr>
      <w:r w:rsidRPr="006A11C8">
        <w:rPr>
          <w:b/>
          <w:lang w:val="en-GB"/>
        </w:rPr>
        <w:t xml:space="preserve">FIGURE </w:t>
      </w:r>
      <w:r w:rsidR="00CF5B46" w:rsidRPr="006A11C8">
        <w:rPr>
          <w:b/>
          <w:lang w:val="en-GB"/>
        </w:rPr>
        <w:t>2</w:t>
      </w:r>
      <w:r w:rsidRPr="006A11C8">
        <w:rPr>
          <w:b/>
          <w:lang w:val="en-GB"/>
        </w:rPr>
        <w:t>.</w:t>
      </w:r>
      <w:r w:rsidRPr="006A11C8">
        <w:rPr>
          <w:lang w:val="en-GB"/>
        </w:rPr>
        <w:t xml:space="preserve"> </w:t>
      </w:r>
      <w:r w:rsidR="00CF5B46" w:rsidRPr="006A11C8">
        <w:rPr>
          <w:lang w:val="en-GB"/>
        </w:rPr>
        <w:t>Dynamic coefficient graph</w:t>
      </w:r>
      <w:r w:rsidR="004E0F6B" w:rsidRPr="006A11C8">
        <w:rPr>
          <w:lang w:val="en-GB"/>
        </w:rPr>
        <w:t xml:space="preserve"> </w:t>
      </w:r>
      <w:r w:rsidR="004E0F6B" w:rsidRPr="006A11C8">
        <w:rPr>
          <w:position w:val="-10"/>
          <w:lang w:val="en-GB"/>
        </w:rPr>
        <w:object w:dxaOrig="260" w:dyaOrig="300" w14:anchorId="0D62200B">
          <v:shape id="_x0000_i1036" type="#_x0000_t75" style="width:12.9pt;height:15.05pt" o:ole="">
            <v:imagedata r:id="rId30" o:title=""/>
          </v:shape>
          <o:OLEObject Type="Embed" ProgID="Equation.3" ShapeID="_x0000_i1036" DrawAspect="Content" ObjectID="_1823947678" r:id="rId33"/>
        </w:object>
      </w:r>
      <w:r w:rsidR="004E0F6B" w:rsidRPr="006A11C8">
        <w:rPr>
          <w:lang w:val="en-GB"/>
        </w:rPr>
        <w:t xml:space="preserve"> </w:t>
      </w:r>
    </w:p>
    <w:bookmarkStart w:id="0" w:name="_Hlk213324163"/>
    <w:p w14:paraId="10818718" w14:textId="77777777" w:rsidR="004E0F6B" w:rsidRPr="006A11C8" w:rsidRDefault="004E0F6B" w:rsidP="004E0F6B">
      <w:pPr>
        <w:pStyle w:val="Paragraph"/>
        <w:rPr>
          <w:lang w:val="en-GB"/>
        </w:rPr>
      </w:pPr>
      <w:r w:rsidRPr="006A11C8">
        <w:rPr>
          <w:position w:val="-12"/>
          <w:lang w:val="en-GB"/>
        </w:rPr>
        <w:object w:dxaOrig="340" w:dyaOrig="320" w14:anchorId="79A293B2">
          <v:shape id="_x0000_i1037" type="#_x0000_t75" style="width:17.2pt;height:15.6pt" o:ole="">
            <v:imagedata r:id="rId34" o:title=""/>
          </v:shape>
          <o:OLEObject Type="Embed" ProgID="Equation.3" ShapeID="_x0000_i1037" DrawAspect="Content" ObjectID="_1823947679" r:id="rId35"/>
        </w:object>
      </w:r>
      <w:bookmarkEnd w:id="0"/>
      <w:r w:rsidRPr="006A11C8">
        <w:rPr>
          <w:lang w:val="en-GB"/>
        </w:rPr>
        <w:t xml:space="preserve"> – coefficient that takes into account the ability of the building and structure to dissipate energy; </w:t>
      </w:r>
    </w:p>
    <w:p w14:paraId="446D0963" w14:textId="26A720C4" w:rsidR="004E0F6B" w:rsidRPr="006A11C8" w:rsidRDefault="004E0F6B" w:rsidP="004E0F6B">
      <w:pPr>
        <w:pStyle w:val="Paragraph"/>
        <w:rPr>
          <w:lang w:val="en-GB"/>
        </w:rPr>
      </w:pPr>
      <w:r w:rsidRPr="006A11C8">
        <w:rPr>
          <w:position w:val="-10"/>
          <w:lang w:val="en-GB"/>
        </w:rPr>
        <w:object w:dxaOrig="300" w:dyaOrig="300" w14:anchorId="576623EA">
          <v:shape id="_x0000_i1038" type="#_x0000_t75" style="width:15.05pt;height:15.05pt" o:ole="">
            <v:imagedata r:id="rId36" o:title=""/>
          </v:shape>
          <o:OLEObject Type="Embed" ProgID="Equation.3" ShapeID="_x0000_i1038" DrawAspect="Content" ObjectID="_1823947680" r:id="rId37"/>
        </w:object>
      </w:r>
      <w:r w:rsidRPr="006A11C8">
        <w:rPr>
          <w:lang w:val="en-GB"/>
        </w:rPr>
        <w:t xml:space="preserve"> – mode coefficient, depending on the shape of deformation of the building or structure during its free vibrations on the </w:t>
      </w:r>
      <w:proofErr w:type="spellStart"/>
      <w:r w:rsidR="004E2289" w:rsidRPr="004E2289">
        <w:rPr>
          <w:i/>
          <w:lang w:val="en-GB"/>
        </w:rPr>
        <w:t>i</w:t>
      </w:r>
      <w:r w:rsidR="004E2289" w:rsidRPr="004E2289">
        <w:rPr>
          <w:vertAlign w:val="superscript"/>
          <w:lang w:val="en-GB"/>
        </w:rPr>
        <w:t>th</w:t>
      </w:r>
      <w:proofErr w:type="spellEnd"/>
      <w:r w:rsidRPr="006A11C8">
        <w:rPr>
          <w:lang w:val="en-GB"/>
        </w:rPr>
        <w:t xml:space="preserve"> mode and on the location of the load.</w:t>
      </w:r>
    </w:p>
    <w:p w14:paraId="03FC0006" w14:textId="64E11BEC" w:rsidR="004463A3" w:rsidRPr="006A11C8" w:rsidRDefault="004E0F6B" w:rsidP="004E0F6B">
      <w:pPr>
        <w:pStyle w:val="Paragraph"/>
        <w:rPr>
          <w:lang w:val="en-GB"/>
        </w:rPr>
      </w:pPr>
      <w:r w:rsidRPr="006A11C8">
        <w:rPr>
          <w:lang w:val="en-GB"/>
        </w:rPr>
        <w:t>To present, the Institute of Geology, Earthquake Engineering and Seismology of NAST based a special methodology using the R CRISIS soft has developed the set of probabilistic seismic hazard maps for the territory of Tajikistan in units of peak ground acceleration PGA for earthquake return periods of 475, 975, 2475 and 4975 years for three types of soil conditions, characterized by the spreading speed of transverse seismic waves in the upper 30-meter ground layer velocity – Vs,30 (Fig.3) [5].</w:t>
      </w:r>
    </w:p>
    <w:p w14:paraId="5D5239C7" w14:textId="0C683621" w:rsidR="004E0F6B" w:rsidRPr="006A11C8" w:rsidRDefault="004E0F6B" w:rsidP="004E0F6B">
      <w:pPr>
        <w:pStyle w:val="Figure"/>
        <w:rPr>
          <w:lang w:val="en-GB"/>
        </w:rPr>
      </w:pPr>
      <w:r w:rsidRPr="006A11C8">
        <w:rPr>
          <w:noProof/>
          <w:sz w:val="24"/>
          <w:szCs w:val="24"/>
          <w:lang w:val="en-GB" w:eastAsia="ja-JP"/>
        </w:rPr>
        <w:drawing>
          <wp:inline distT="0" distB="0" distL="0" distR="0" wp14:anchorId="14F15394" wp14:editId="2F51078F">
            <wp:extent cx="4619625" cy="3268902"/>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55370" cy="3294195"/>
                    </a:xfrm>
                    <a:prstGeom prst="rect">
                      <a:avLst/>
                    </a:prstGeom>
                    <a:noFill/>
                    <a:ln>
                      <a:noFill/>
                    </a:ln>
                  </pic:spPr>
                </pic:pic>
              </a:graphicData>
            </a:graphic>
          </wp:inline>
        </w:drawing>
      </w:r>
    </w:p>
    <w:p w14:paraId="28D51E7E" w14:textId="736C160B" w:rsidR="004E0F6B" w:rsidRPr="006A11C8" w:rsidRDefault="004E0F6B" w:rsidP="006A11C8">
      <w:pPr>
        <w:pStyle w:val="FigureCaption"/>
        <w:spacing w:after="120"/>
        <w:rPr>
          <w:lang w:val="en-GB"/>
        </w:rPr>
      </w:pPr>
      <w:r w:rsidRPr="006A11C8">
        <w:rPr>
          <w:b/>
          <w:bCs/>
          <w:lang w:val="en-GB"/>
        </w:rPr>
        <w:t>FIGURE 3.</w:t>
      </w:r>
      <w:r w:rsidRPr="006A11C8">
        <w:rPr>
          <w:lang w:val="en-GB"/>
        </w:rPr>
        <w:t xml:space="preserve"> Example of probabilistic seismic hazard map in PGA for soils of seismic properties category II for earthquake return period of 475 years</w:t>
      </w:r>
    </w:p>
    <w:p w14:paraId="196F7845" w14:textId="77777777" w:rsidR="004E2289" w:rsidRPr="006A11C8" w:rsidRDefault="004E2289" w:rsidP="004E2289">
      <w:pPr>
        <w:pStyle w:val="1"/>
        <w:rPr>
          <w:lang w:val="en-GB"/>
        </w:rPr>
      </w:pPr>
      <w:r w:rsidRPr="006A11C8">
        <w:rPr>
          <w:lang w:val="en-GB"/>
        </w:rPr>
        <w:lastRenderedPageBreak/>
        <w:t>Analysis of results</w:t>
      </w:r>
    </w:p>
    <w:p w14:paraId="504540F2" w14:textId="6D6273AD" w:rsidR="004E0F6B" w:rsidRPr="006A11C8" w:rsidRDefault="00384F58" w:rsidP="004E0F6B">
      <w:pPr>
        <w:pStyle w:val="Paragraph"/>
        <w:rPr>
          <w:lang w:val="en-GB"/>
        </w:rPr>
      </w:pPr>
      <w:r w:rsidRPr="006A11C8">
        <w:rPr>
          <w:lang w:val="en-GB"/>
        </w:rPr>
        <w:t xml:space="preserve">One of the results during the maps developing in addition to peak ground accelerations assessment, are also the uniform hazard spectra in g values for three types of soil conditions, which can be fully used in design practice as </w:t>
      </w:r>
      <w:r w:rsidR="004E2289" w:rsidRPr="006A11C8">
        <w:rPr>
          <w:lang w:val="en-GB"/>
        </w:rPr>
        <w:t>a given design response spectrum</w:t>
      </w:r>
      <w:r w:rsidRPr="006A11C8">
        <w:rPr>
          <w:lang w:val="en-GB"/>
        </w:rPr>
        <w:t xml:space="preserve"> (Fig.4).</w:t>
      </w:r>
    </w:p>
    <w:p w14:paraId="2C956ACC" w14:textId="3CDCF30D" w:rsidR="004E0F6B" w:rsidRPr="006A11C8" w:rsidRDefault="00384F58" w:rsidP="00384F58">
      <w:pPr>
        <w:pStyle w:val="Figure"/>
        <w:rPr>
          <w:lang w:val="en-GB"/>
        </w:rPr>
      </w:pPr>
      <w:r w:rsidRPr="006A11C8">
        <w:rPr>
          <w:noProof/>
          <w:sz w:val="28"/>
          <w:szCs w:val="24"/>
          <w:lang w:val="en-GB" w:eastAsia="ja-JP"/>
        </w:rPr>
        <w:drawing>
          <wp:inline distT="0" distB="0" distL="0" distR="0" wp14:anchorId="0365149D" wp14:editId="0D445CAD">
            <wp:extent cx="4772025" cy="3225462"/>
            <wp:effectExtent l="0" t="0" r="0" b="0"/>
            <wp:docPr id="5" name="Рисунок 4">
              <a:extLst xmlns:a="http://schemas.openxmlformats.org/drawingml/2006/main">
                <a:ext uri="{FF2B5EF4-FFF2-40B4-BE49-F238E27FC236}">
                  <a16:creationId xmlns:a16="http://schemas.microsoft.com/office/drawing/2014/main" id="{49B5DA84-B74B-4E13-B924-A60E4166E4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49B5DA84-B74B-4E13-B924-A60E4166E406}"/>
                        </a:ext>
                      </a:extLst>
                    </pic:cNvPr>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835332" cy="3268252"/>
                    </a:xfrm>
                    <a:prstGeom prst="rect">
                      <a:avLst/>
                    </a:prstGeom>
                  </pic:spPr>
                </pic:pic>
              </a:graphicData>
            </a:graphic>
          </wp:inline>
        </w:drawing>
      </w:r>
    </w:p>
    <w:p w14:paraId="23A03DC8" w14:textId="210E0237" w:rsidR="00384F58" w:rsidRPr="006A11C8" w:rsidRDefault="00384F58" w:rsidP="006A11C8">
      <w:pPr>
        <w:pStyle w:val="FigureCaption"/>
        <w:spacing w:after="120"/>
        <w:rPr>
          <w:lang w:val="en-GB"/>
        </w:rPr>
      </w:pPr>
      <w:r w:rsidRPr="006A11C8">
        <w:rPr>
          <w:b/>
          <w:bCs/>
          <w:lang w:val="en-GB"/>
        </w:rPr>
        <w:t>FIGURE 4.</w:t>
      </w:r>
      <w:r w:rsidRPr="006A11C8">
        <w:rPr>
          <w:lang w:val="en-GB"/>
        </w:rPr>
        <w:t xml:space="preserve"> Example of developed response spectra</w:t>
      </w:r>
    </w:p>
    <w:p w14:paraId="39075E3E" w14:textId="5034F93F" w:rsidR="00384F58" w:rsidRPr="006A11C8" w:rsidRDefault="00384F58" w:rsidP="00384F58">
      <w:pPr>
        <w:pStyle w:val="Paragraph"/>
        <w:rPr>
          <w:lang w:val="en-GB"/>
        </w:rPr>
      </w:pPr>
      <w:r w:rsidRPr="006A11C8">
        <w:rPr>
          <w:lang w:val="en-GB"/>
        </w:rPr>
        <w:t xml:space="preserve">Analysis of the shape and parameters of the given design response spectra shown in fig.4 indicates that </w:t>
      </w:r>
      <w:r w:rsidR="006A11C8" w:rsidRPr="006A11C8">
        <w:rPr>
          <w:lang w:val="en-GB"/>
        </w:rPr>
        <w:t>their</w:t>
      </w:r>
      <w:r w:rsidRPr="006A11C8">
        <w:rPr>
          <w:lang w:val="en-GB"/>
        </w:rPr>
        <w:t xml:space="preserve"> application in design according to </w:t>
      </w:r>
      <w:proofErr w:type="spellStart"/>
      <w:r w:rsidRPr="006A11C8">
        <w:rPr>
          <w:lang w:val="en-GB"/>
        </w:rPr>
        <w:t>SNiP</w:t>
      </w:r>
      <w:proofErr w:type="spellEnd"/>
      <w:r w:rsidRPr="006A11C8">
        <w:rPr>
          <w:lang w:val="en-GB"/>
        </w:rPr>
        <w:t xml:space="preserve"> methodology will be incorrect and associated with errors.</w:t>
      </w:r>
    </w:p>
    <w:p w14:paraId="4E802215" w14:textId="6AB74F61" w:rsidR="004E0F6B" w:rsidRPr="006A11C8" w:rsidRDefault="00384F58" w:rsidP="00384F58">
      <w:pPr>
        <w:pStyle w:val="Paragraph"/>
        <w:rPr>
          <w:lang w:val="en-GB"/>
        </w:rPr>
      </w:pPr>
      <w:r w:rsidRPr="006A11C8">
        <w:rPr>
          <w:lang w:val="en-GB"/>
        </w:rPr>
        <w:t>Obviously, for linear spectral calculations, the design seismic load can be determined by the following formula:</w:t>
      </w:r>
    </w:p>
    <w:p w14:paraId="6C404273" w14:textId="22369FCB" w:rsidR="004E0F6B" w:rsidRPr="006A11C8" w:rsidRDefault="00384F58" w:rsidP="00384F58">
      <w:pPr>
        <w:pStyle w:val="Equation"/>
        <w:rPr>
          <w:lang w:val="en-GB"/>
        </w:rPr>
      </w:pPr>
      <w:r w:rsidRPr="006A11C8">
        <w:rPr>
          <w:lang w:val="en-GB"/>
        </w:rPr>
        <w:tab/>
      </w:r>
      <w:r w:rsidRPr="006A11C8">
        <w:rPr>
          <w:position w:val="-14"/>
          <w:lang w:val="en-GB"/>
        </w:rPr>
        <w:object w:dxaOrig="2500" w:dyaOrig="340" w14:anchorId="1126284C">
          <v:shape id="_x0000_i1039" type="#_x0000_t75" style="width:125.2pt;height:16.65pt" o:ole="">
            <v:imagedata r:id="rId40" o:title=""/>
          </v:shape>
          <o:OLEObject Type="Embed" ProgID="Equation.3" ShapeID="_x0000_i1039" DrawAspect="Content" ObjectID="_1823947681" r:id="rId41"/>
        </w:object>
      </w:r>
      <w:r w:rsidRPr="006A11C8">
        <w:rPr>
          <w:lang w:val="en-GB"/>
        </w:rPr>
        <w:tab/>
        <w:t>(</w:t>
      </w:r>
      <w:r w:rsidRPr="006A11C8">
        <w:rPr>
          <w:lang w:val="en-GB"/>
        </w:rPr>
        <w:fldChar w:fldCharType="begin"/>
      </w:r>
      <w:r w:rsidRPr="006A11C8">
        <w:rPr>
          <w:lang w:val="en-GB"/>
        </w:rPr>
        <w:instrText xml:space="preserve"> EQ </w:instrText>
      </w:r>
      <w:r w:rsidRPr="006A11C8">
        <w:rPr>
          <w:lang w:val="en-GB"/>
        </w:rPr>
        <w:fldChar w:fldCharType="end"/>
      </w:r>
      <w:r w:rsidRPr="006A11C8">
        <w:rPr>
          <w:lang w:val="en-GB"/>
        </w:rPr>
        <w:fldChar w:fldCharType="begin"/>
      </w:r>
      <w:r w:rsidRPr="006A11C8">
        <w:rPr>
          <w:lang w:val="en-GB"/>
        </w:rPr>
        <w:instrText xml:space="preserve"> AUTONUMLGL  \* Arabic \e </w:instrText>
      </w:r>
      <w:r w:rsidRPr="006A11C8">
        <w:rPr>
          <w:lang w:val="en-GB"/>
        </w:rPr>
        <w:fldChar w:fldCharType="end"/>
      </w:r>
      <w:r w:rsidRPr="006A11C8">
        <w:rPr>
          <w:lang w:val="en-GB"/>
        </w:rPr>
        <w:t>)</w:t>
      </w:r>
    </w:p>
    <w:p w14:paraId="306F619B" w14:textId="161C6748" w:rsidR="00384F58" w:rsidRPr="006A11C8" w:rsidRDefault="00384F58" w:rsidP="00384F58">
      <w:pPr>
        <w:pStyle w:val="Paragraph"/>
        <w:ind w:firstLine="0"/>
        <w:rPr>
          <w:lang w:val="en-GB"/>
        </w:rPr>
      </w:pPr>
      <w:r w:rsidRPr="006A11C8">
        <w:rPr>
          <w:lang w:val="en-GB"/>
        </w:rPr>
        <w:t xml:space="preserve">where </w:t>
      </w:r>
      <w:r w:rsidRPr="006A11C8">
        <w:rPr>
          <w:position w:val="-14"/>
          <w:lang w:val="en-GB"/>
        </w:rPr>
        <w:object w:dxaOrig="320" w:dyaOrig="340" w14:anchorId="1A4ED3B4">
          <v:shape id="_x0000_i1040" type="#_x0000_t75" style="width:15.6pt;height:16.65pt" o:ole="">
            <v:imagedata r:id="rId42" o:title=""/>
          </v:shape>
          <o:OLEObject Type="Embed" ProgID="Equation.3" ShapeID="_x0000_i1040" DrawAspect="Content" ObjectID="_1823947682" r:id="rId43"/>
        </w:object>
      </w:r>
      <w:r w:rsidRPr="006A11C8">
        <w:rPr>
          <w:lang w:val="en-GB"/>
        </w:rPr>
        <w:t xml:space="preserve"> – reduction factor depending on the level of seismic impact, </w:t>
      </w:r>
      <w:r w:rsidRPr="006A11C8">
        <w:rPr>
          <w:position w:val="-10"/>
          <w:lang w:val="en-GB"/>
        </w:rPr>
        <w:object w:dxaOrig="300" w:dyaOrig="300" w14:anchorId="325E24E2">
          <v:shape id="_x0000_i1041" type="#_x0000_t75" style="width:15.05pt;height:15.05pt" o:ole="">
            <v:imagedata r:id="rId44" o:title=""/>
          </v:shape>
          <o:OLEObject Type="Embed" ProgID="Equation.3" ShapeID="_x0000_i1041" DrawAspect="Content" ObjectID="_1823947683" r:id="rId45"/>
        </w:object>
      </w:r>
      <w:r w:rsidRPr="006A11C8">
        <w:rPr>
          <w:lang w:val="en-GB"/>
        </w:rPr>
        <w:t xml:space="preserve"> – load safety factor, </w:t>
      </w:r>
      <w:r w:rsidRPr="006A11C8">
        <w:rPr>
          <w:position w:val="-10"/>
          <w:lang w:val="en-GB"/>
        </w:rPr>
        <w:object w:dxaOrig="600" w:dyaOrig="300" w14:anchorId="7ADCA312">
          <v:shape id="_x0000_i1042" type="#_x0000_t75" style="width:30.1pt;height:15.05pt" o:ole="">
            <v:imagedata r:id="rId46" o:title=""/>
          </v:shape>
          <o:OLEObject Type="Embed" ProgID="Equation.3" ShapeID="_x0000_i1042" DrawAspect="Content" ObjectID="_1823947684" r:id="rId47"/>
        </w:object>
      </w:r>
      <w:r w:rsidRPr="006A11C8">
        <w:rPr>
          <w:lang w:val="en-GB"/>
        </w:rPr>
        <w:t xml:space="preserve"> – value of the design response spectra in g per period </w:t>
      </w:r>
      <w:proofErr w:type="spellStart"/>
      <w:r w:rsidRPr="006A11C8">
        <w:rPr>
          <w:i/>
          <w:iCs/>
          <w:lang w:val="en-GB"/>
        </w:rPr>
        <w:t>T</w:t>
      </w:r>
      <w:r w:rsidRPr="006A11C8">
        <w:rPr>
          <w:i/>
          <w:iCs/>
          <w:vertAlign w:val="subscript"/>
          <w:lang w:val="en-GB"/>
        </w:rPr>
        <w:t>i</w:t>
      </w:r>
      <w:proofErr w:type="spellEnd"/>
      <w:r w:rsidRPr="006A11C8">
        <w:rPr>
          <w:lang w:val="en-GB"/>
        </w:rPr>
        <w:t>.</w:t>
      </w:r>
    </w:p>
    <w:p w14:paraId="3C004469" w14:textId="546F2952" w:rsidR="00384F58" w:rsidRPr="006A11C8" w:rsidRDefault="00384F58" w:rsidP="00384F58">
      <w:pPr>
        <w:pStyle w:val="Paragraph"/>
        <w:rPr>
          <w:lang w:val="en-GB"/>
        </w:rPr>
      </w:pPr>
      <w:r w:rsidRPr="006A11C8">
        <w:rPr>
          <w:lang w:val="en-GB"/>
        </w:rPr>
        <w:t xml:space="preserve">According to the recommendations of international institutions, the using of formula 4 in structural design at </w:t>
      </w:r>
      <w:r w:rsidRPr="006A11C8">
        <w:rPr>
          <w:position w:val="-14"/>
          <w:lang w:val="en-GB"/>
        </w:rPr>
        <w:object w:dxaOrig="620" w:dyaOrig="340" w14:anchorId="5AB2F8BE">
          <v:shape id="_x0000_i1043" type="#_x0000_t75" style="width:30.65pt;height:16.65pt" o:ole="">
            <v:imagedata r:id="rId48" o:title=""/>
          </v:shape>
          <o:OLEObject Type="Embed" ProgID="Equation.3" ShapeID="_x0000_i1043" DrawAspect="Content" ObjectID="_1823947685" r:id="rId49"/>
        </w:object>
      </w:r>
      <w:r w:rsidRPr="006A11C8">
        <w:rPr>
          <w:lang w:val="en-GB"/>
        </w:rPr>
        <w:t>, indicating the prevention of damages in load-bearing structures of buildings, can take place only for service level earthquakes (SLE) with a 50% probability of exceeding the design values during the design life of the building [6–8]. In particular, for buildings and structures with a design life of 50 years, the SLE earthquake return period is 72 years.</w:t>
      </w:r>
    </w:p>
    <w:p w14:paraId="40A0DBDC" w14:textId="337283A0" w:rsidR="00384F58" w:rsidRPr="006A11C8" w:rsidRDefault="00384F58" w:rsidP="00384F58">
      <w:pPr>
        <w:pStyle w:val="Paragraph"/>
        <w:rPr>
          <w:lang w:val="en-GB"/>
        </w:rPr>
      </w:pPr>
      <w:r w:rsidRPr="006A11C8">
        <w:rPr>
          <w:lang w:val="en-GB"/>
        </w:rPr>
        <w:t>In this case, the design seismic excitation should be specified by the following combinations [9]:</w:t>
      </w:r>
    </w:p>
    <w:p w14:paraId="59F0275F" w14:textId="00223949" w:rsidR="004463A3" w:rsidRPr="006A11C8" w:rsidRDefault="004463A3" w:rsidP="004463A3">
      <w:pPr>
        <w:pStyle w:val="Equation"/>
        <w:rPr>
          <w:lang w:val="en-GB"/>
        </w:rPr>
      </w:pPr>
      <w:r w:rsidRPr="006A11C8">
        <w:rPr>
          <w:vertAlign w:val="subscript"/>
          <w:lang w:val="en-GB"/>
        </w:rPr>
        <w:tab/>
      </w:r>
      <w:r w:rsidR="00F910B7" w:rsidRPr="006A11C8">
        <w:rPr>
          <w:position w:val="-46"/>
          <w:vertAlign w:val="subscript"/>
          <w:lang w:val="en-GB"/>
        </w:rPr>
        <w:object w:dxaOrig="2500" w:dyaOrig="999" w14:anchorId="13067A33">
          <v:shape id="_x0000_i1044" type="#_x0000_t75" style="width:125.2pt;height:51.05pt" o:ole="">
            <v:imagedata r:id="rId50" o:title=""/>
          </v:shape>
          <o:OLEObject Type="Embed" ProgID="Equation.3" ShapeID="_x0000_i1044" DrawAspect="Content" ObjectID="_1823947686" r:id="rId51"/>
        </w:object>
      </w:r>
      <w:r w:rsidRPr="006A11C8">
        <w:rPr>
          <w:vertAlign w:val="subscript"/>
          <w:lang w:val="en-GB"/>
        </w:rPr>
        <w:tab/>
      </w:r>
      <w:r w:rsidRPr="006A11C8">
        <w:rPr>
          <w:lang w:val="en-GB"/>
        </w:rPr>
        <w:t>(</w:t>
      </w:r>
      <w:r w:rsidRPr="006A11C8">
        <w:rPr>
          <w:lang w:val="en-GB"/>
        </w:rPr>
        <w:fldChar w:fldCharType="begin"/>
      </w:r>
      <w:r w:rsidRPr="006A11C8">
        <w:rPr>
          <w:lang w:val="en-GB"/>
        </w:rPr>
        <w:instrText xml:space="preserve"> EQ </w:instrText>
      </w:r>
      <w:r w:rsidRPr="006A11C8">
        <w:rPr>
          <w:lang w:val="en-GB"/>
        </w:rPr>
        <w:fldChar w:fldCharType="end"/>
      </w:r>
      <w:r w:rsidRPr="006A11C8">
        <w:rPr>
          <w:lang w:val="en-GB"/>
        </w:rPr>
        <w:fldChar w:fldCharType="begin"/>
      </w:r>
      <w:r w:rsidRPr="006A11C8">
        <w:rPr>
          <w:lang w:val="en-GB"/>
        </w:rPr>
        <w:instrText xml:space="preserve"> AUTONUMLGL  \* Arabic \e </w:instrText>
      </w:r>
      <w:r w:rsidRPr="006A11C8">
        <w:rPr>
          <w:lang w:val="en-GB"/>
        </w:rPr>
        <w:fldChar w:fldCharType="end"/>
      </w:r>
      <w:r w:rsidRPr="006A11C8">
        <w:rPr>
          <w:lang w:val="en-GB"/>
        </w:rPr>
        <w:t>)</w:t>
      </w:r>
    </w:p>
    <w:p w14:paraId="5700B461" w14:textId="63749744" w:rsidR="004463A3" w:rsidRPr="006A11C8" w:rsidRDefault="00384F58" w:rsidP="004463A3">
      <w:pPr>
        <w:pStyle w:val="Paragraph"/>
        <w:ind w:firstLine="0"/>
        <w:rPr>
          <w:lang w:val="en-GB"/>
        </w:rPr>
      </w:pPr>
      <w:r w:rsidRPr="006A11C8">
        <w:rPr>
          <w:lang w:val="en-GB"/>
        </w:rPr>
        <w:t>This approach to the application of the results of PSHA for structural analysis was used in the design studies of the stress-strain state of a real 18-storey building has been constructed in Dushanbe and comparative analysis with the results obtained according to the current seismic codes of Tajikistan (</w:t>
      </w:r>
      <w:r w:rsidR="00F910B7" w:rsidRPr="006A11C8">
        <w:rPr>
          <w:lang w:val="en-GB"/>
        </w:rPr>
        <w:t>Figs</w:t>
      </w:r>
      <w:r w:rsidRPr="006A11C8">
        <w:rPr>
          <w:lang w:val="en-GB"/>
        </w:rPr>
        <w:t>. 5</w:t>
      </w:r>
      <w:r w:rsidR="004E2289">
        <w:rPr>
          <w:lang w:val="en-GB"/>
        </w:rPr>
        <w:t>-</w:t>
      </w:r>
      <w:r w:rsidRPr="006A11C8">
        <w:rPr>
          <w:lang w:val="en-GB"/>
        </w:rPr>
        <w:t xml:space="preserve">7). In said studies load safety factor was taken to be one – </w:t>
      </w:r>
      <w:r w:rsidR="00F910B7" w:rsidRPr="006A11C8">
        <w:rPr>
          <w:position w:val="-10"/>
          <w:lang w:val="en-GB"/>
        </w:rPr>
        <w:object w:dxaOrig="600" w:dyaOrig="300" w14:anchorId="2AC9D4FA">
          <v:shape id="_x0000_i1045" type="#_x0000_t75" style="width:30.1pt;height:15.05pt" o:ole="">
            <v:imagedata r:id="rId52" o:title=""/>
          </v:shape>
          <o:OLEObject Type="Embed" ProgID="Equation.3" ShapeID="_x0000_i1045" DrawAspect="Content" ObjectID="_1823947687" r:id="rId53"/>
        </w:object>
      </w:r>
      <w:r w:rsidRPr="006A11C8">
        <w:rPr>
          <w:lang w:val="en-GB"/>
        </w:rPr>
        <w:t>.</w:t>
      </w:r>
    </w:p>
    <w:p w14:paraId="0BD7713D" w14:textId="01E59459" w:rsidR="00F910B7" w:rsidRPr="006A11C8" w:rsidRDefault="00F910B7" w:rsidP="00F910B7">
      <w:pPr>
        <w:pStyle w:val="Figure"/>
        <w:rPr>
          <w:lang w:val="en-GB"/>
        </w:rPr>
      </w:pPr>
      <w:r w:rsidRPr="006A11C8">
        <w:rPr>
          <w:noProof/>
          <w:sz w:val="24"/>
          <w:szCs w:val="24"/>
          <w:lang w:val="en-GB" w:eastAsia="ja-JP"/>
        </w:rPr>
        <w:lastRenderedPageBreak/>
        <w:drawing>
          <wp:inline distT="0" distB="0" distL="0" distR="0" wp14:anchorId="5F78CC02" wp14:editId="3C72345A">
            <wp:extent cx="3482975" cy="4633201"/>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530927" cy="4696989"/>
                    </a:xfrm>
                    <a:prstGeom prst="rect">
                      <a:avLst/>
                    </a:prstGeom>
                    <a:noFill/>
                    <a:ln>
                      <a:noFill/>
                    </a:ln>
                  </pic:spPr>
                </pic:pic>
              </a:graphicData>
            </a:graphic>
          </wp:inline>
        </w:drawing>
      </w:r>
    </w:p>
    <w:p w14:paraId="1789B17D" w14:textId="72AA3804" w:rsidR="00F910B7" w:rsidRPr="006A11C8" w:rsidRDefault="00F910B7" w:rsidP="0093246F">
      <w:pPr>
        <w:pStyle w:val="FigureCaption"/>
        <w:spacing w:after="120"/>
        <w:rPr>
          <w:lang w:val="en-GB"/>
        </w:rPr>
      </w:pPr>
      <w:r w:rsidRPr="006A11C8">
        <w:rPr>
          <w:b/>
          <w:bCs/>
          <w:lang w:val="en-GB"/>
        </w:rPr>
        <w:t>FIGURE 5.</w:t>
      </w:r>
      <w:r w:rsidRPr="006A11C8">
        <w:rPr>
          <w:lang w:val="en-GB"/>
        </w:rPr>
        <w:t xml:space="preserve"> 3-D model of the studied building</w:t>
      </w:r>
    </w:p>
    <w:p w14:paraId="1779B6A0" w14:textId="4912757A" w:rsidR="00F910B7" w:rsidRPr="006A11C8" w:rsidRDefault="00F910B7" w:rsidP="00F910B7">
      <w:pPr>
        <w:pStyle w:val="Figure"/>
        <w:rPr>
          <w:lang w:val="en-GB"/>
        </w:rPr>
      </w:pPr>
      <w:r w:rsidRPr="006A11C8">
        <w:rPr>
          <w:i/>
          <w:iCs/>
          <w:noProof/>
          <w:sz w:val="24"/>
          <w:szCs w:val="24"/>
          <w:lang w:val="en-GB" w:eastAsia="ja-JP"/>
        </w:rPr>
        <w:drawing>
          <wp:inline distT="0" distB="0" distL="0" distR="0" wp14:anchorId="6431B49E" wp14:editId="5C70C7A3">
            <wp:extent cx="5489018" cy="260985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55" cstate="print">
                      <a:extLst>
                        <a:ext uri="{28A0092B-C50C-407E-A947-70E740481C1C}">
                          <a14:useLocalDpi xmlns:a14="http://schemas.microsoft.com/office/drawing/2010/main" val="0"/>
                        </a:ext>
                      </a:extLst>
                    </a:blip>
                    <a:stretch>
                      <a:fillRect/>
                    </a:stretch>
                  </pic:blipFill>
                  <pic:spPr>
                    <a:xfrm>
                      <a:off x="0" y="0"/>
                      <a:ext cx="5531257" cy="2629933"/>
                    </a:xfrm>
                    <a:prstGeom prst="rect">
                      <a:avLst/>
                    </a:prstGeom>
                  </pic:spPr>
                </pic:pic>
              </a:graphicData>
            </a:graphic>
          </wp:inline>
        </w:drawing>
      </w:r>
    </w:p>
    <w:p w14:paraId="7C3B0E50" w14:textId="411B5C9C" w:rsidR="00F910B7" w:rsidRPr="006A11C8" w:rsidRDefault="00F910B7" w:rsidP="0093246F">
      <w:pPr>
        <w:pStyle w:val="FigureCaption"/>
        <w:spacing w:after="120"/>
        <w:rPr>
          <w:lang w:val="en-GB"/>
        </w:rPr>
      </w:pPr>
      <w:r w:rsidRPr="006A11C8">
        <w:rPr>
          <w:b/>
          <w:bCs/>
          <w:lang w:val="en-GB"/>
        </w:rPr>
        <w:t>FIGURE 6.</w:t>
      </w:r>
      <w:r w:rsidRPr="006A11C8">
        <w:rPr>
          <w:lang w:val="en-GB"/>
        </w:rPr>
        <w:t xml:space="preserve"> Design seismic impact in the form of a given design spectrum (the abscissa axis is represented in circular frequencies)</w:t>
      </w:r>
    </w:p>
    <w:p w14:paraId="3EAF068D" w14:textId="4E458EA5" w:rsidR="00F910B7" w:rsidRPr="006A11C8" w:rsidRDefault="00F910B7" w:rsidP="00F910B7">
      <w:pPr>
        <w:pStyle w:val="Figure"/>
        <w:rPr>
          <w:lang w:val="en-GB"/>
        </w:rPr>
      </w:pPr>
      <w:r w:rsidRPr="006A11C8">
        <w:rPr>
          <w:i/>
          <w:iCs/>
          <w:noProof/>
          <w:sz w:val="24"/>
          <w:szCs w:val="24"/>
          <w:lang w:val="en-GB" w:eastAsia="ja-JP"/>
        </w:rPr>
        <w:lastRenderedPageBreak/>
        <w:drawing>
          <wp:inline distT="0" distB="0" distL="0" distR="0" wp14:anchorId="5D7E21FD" wp14:editId="32CF1A45">
            <wp:extent cx="3898231" cy="1853483"/>
            <wp:effectExtent l="0" t="0" r="7620" b="0"/>
            <wp:docPr id="14544691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3931404" cy="1869256"/>
                    </a:xfrm>
                    <a:prstGeom prst="rect">
                      <a:avLst/>
                    </a:prstGeom>
                  </pic:spPr>
                </pic:pic>
              </a:graphicData>
            </a:graphic>
          </wp:inline>
        </w:drawing>
      </w:r>
    </w:p>
    <w:p w14:paraId="69D3CFD6" w14:textId="0678213D" w:rsidR="00F910B7" w:rsidRPr="006A11C8" w:rsidRDefault="00F910B7" w:rsidP="0093246F">
      <w:pPr>
        <w:pStyle w:val="FigureCaption"/>
        <w:spacing w:after="120"/>
        <w:rPr>
          <w:lang w:val="en-GB"/>
        </w:rPr>
      </w:pPr>
      <w:r w:rsidRPr="006A11C8">
        <w:rPr>
          <w:b/>
          <w:bCs/>
          <w:lang w:val="en-GB"/>
        </w:rPr>
        <w:t>FIGURE 7.</w:t>
      </w:r>
      <w:r w:rsidRPr="006A11C8">
        <w:rPr>
          <w:lang w:val="en-GB"/>
        </w:rPr>
        <w:t xml:space="preserve"> Design seismic impact according to current seismic codes </w:t>
      </w:r>
      <w:proofErr w:type="spellStart"/>
      <w:r w:rsidRPr="006A11C8">
        <w:rPr>
          <w:lang w:val="en-GB"/>
        </w:rPr>
        <w:t>SNiP</w:t>
      </w:r>
      <w:proofErr w:type="spellEnd"/>
      <w:r w:rsidRPr="006A11C8">
        <w:rPr>
          <w:lang w:val="en-GB"/>
        </w:rPr>
        <w:t xml:space="preserve"> RT 22-07-2018</w:t>
      </w:r>
    </w:p>
    <w:p w14:paraId="2285BF82" w14:textId="77777777" w:rsidR="004E2289" w:rsidRPr="006A11C8" w:rsidRDefault="004E2289" w:rsidP="004E2289">
      <w:pPr>
        <w:pStyle w:val="1"/>
        <w:rPr>
          <w:lang w:val="en-GB"/>
        </w:rPr>
      </w:pPr>
      <w:r w:rsidRPr="006A11C8">
        <w:rPr>
          <w:lang w:val="en-GB"/>
        </w:rPr>
        <w:t>Conclusion</w:t>
      </w:r>
    </w:p>
    <w:p w14:paraId="0BE4D225" w14:textId="2A0E00B0" w:rsidR="00F910B7" w:rsidRPr="006A11C8" w:rsidRDefault="00F910B7" w:rsidP="00F910B7">
      <w:pPr>
        <w:pStyle w:val="Paragraph"/>
        <w:rPr>
          <w:lang w:val="en-GB"/>
        </w:rPr>
      </w:pPr>
      <w:bookmarkStart w:id="1" w:name="_GoBack"/>
      <w:bookmarkEnd w:id="1"/>
      <w:r w:rsidRPr="006A11C8">
        <w:rPr>
          <w:lang w:val="en-GB"/>
        </w:rPr>
        <w:t>The stress-strain state of the building was determined by the design reinforcement of the main load-bearing structures, which, in the author's opinion, is an integral indicator of the stress-strain state of the structures. According to the results of the conducted studies, the design reinforcement values of the load-bearing reinforced concrete structures determined by using the given design response spectra from the probabilistic seismic hazard analysis are up to 1.5-3 times lower in comparing to the results of calculations in accordance with seismic codes.</w:t>
      </w:r>
    </w:p>
    <w:p w14:paraId="0F5FB5D2" w14:textId="645E88EA" w:rsidR="00F910B7" w:rsidRPr="006A11C8" w:rsidRDefault="00F910B7" w:rsidP="00F910B7">
      <w:pPr>
        <w:pStyle w:val="Paragraph"/>
        <w:rPr>
          <w:lang w:val="en-GB"/>
        </w:rPr>
      </w:pPr>
      <w:r w:rsidRPr="006A11C8">
        <w:rPr>
          <w:lang w:val="en-GB"/>
        </w:rPr>
        <w:t xml:space="preserve">The results of the conducted research allow us to conclude that it is possible to revise in the future the normative coefficient К3, which takes into account the number of stories of buildings and structures, as well as to introduce into the codes the reduction coefficient </w:t>
      </w:r>
      <w:proofErr w:type="spellStart"/>
      <w:r w:rsidRPr="006A11C8">
        <w:rPr>
          <w:lang w:val="en-GB"/>
        </w:rPr>
        <w:t>Kр</w:t>
      </w:r>
      <w:proofErr w:type="spellEnd"/>
      <w:r w:rsidRPr="006A11C8">
        <w:rPr>
          <w:lang w:val="en-GB"/>
        </w:rPr>
        <w:t>, which depends on the level of seismic impact.</w:t>
      </w:r>
    </w:p>
    <w:p w14:paraId="06C2AA9A" w14:textId="250C1101" w:rsidR="00282354" w:rsidRPr="006A11C8" w:rsidRDefault="00282354" w:rsidP="00282354">
      <w:pPr>
        <w:pStyle w:val="1"/>
        <w:rPr>
          <w:lang w:val="en-GB"/>
        </w:rPr>
      </w:pPr>
      <w:r w:rsidRPr="006A11C8">
        <w:rPr>
          <w:lang w:val="en-GB"/>
        </w:rPr>
        <w:t>References</w:t>
      </w:r>
    </w:p>
    <w:p w14:paraId="414A2BE3" w14:textId="0D962A8A" w:rsidR="003D1120" w:rsidRPr="006A11C8" w:rsidRDefault="003D1120" w:rsidP="00282354">
      <w:pPr>
        <w:pStyle w:val="Reference"/>
        <w:rPr>
          <w:snapToGrid w:val="0"/>
          <w:szCs w:val="22"/>
          <w:lang w:val="en-GB" w:eastAsia="de-DE" w:bidi="en-US"/>
        </w:rPr>
      </w:pPr>
      <w:r w:rsidRPr="006A11C8">
        <w:rPr>
          <w:snapToGrid w:val="0"/>
          <w:szCs w:val="22"/>
          <w:lang w:val="en-GB" w:eastAsia="de-DE" w:bidi="en-US"/>
        </w:rPr>
        <w:t xml:space="preserve">C. </w:t>
      </w:r>
      <w:proofErr w:type="spellStart"/>
      <w:r w:rsidRPr="006A11C8">
        <w:rPr>
          <w:snapToGrid w:val="0"/>
          <w:szCs w:val="22"/>
          <w:lang w:val="en-GB" w:eastAsia="de-DE" w:bidi="en-US"/>
        </w:rPr>
        <w:t>Aksoylu</w:t>
      </w:r>
      <w:proofErr w:type="spellEnd"/>
      <w:r w:rsidRPr="006A11C8">
        <w:rPr>
          <w:snapToGrid w:val="0"/>
          <w:szCs w:val="22"/>
          <w:lang w:val="en-GB" w:eastAsia="de-DE" w:bidi="en-US"/>
        </w:rPr>
        <w:t xml:space="preserve">, A. </w:t>
      </w:r>
      <w:proofErr w:type="spellStart"/>
      <w:r w:rsidRPr="006A11C8">
        <w:rPr>
          <w:snapToGrid w:val="0"/>
          <w:szCs w:val="22"/>
          <w:lang w:val="en-GB" w:eastAsia="de-DE" w:bidi="en-US"/>
        </w:rPr>
        <w:t>Mobark</w:t>
      </w:r>
      <w:proofErr w:type="spellEnd"/>
      <w:r w:rsidRPr="006A11C8">
        <w:rPr>
          <w:snapToGrid w:val="0"/>
          <w:szCs w:val="22"/>
          <w:lang w:val="en-GB" w:eastAsia="de-DE" w:bidi="en-US"/>
        </w:rPr>
        <w:t xml:space="preserve">, M.H. </w:t>
      </w:r>
      <w:proofErr w:type="spellStart"/>
      <w:r w:rsidRPr="006A11C8">
        <w:rPr>
          <w:snapToGrid w:val="0"/>
          <w:szCs w:val="22"/>
          <w:lang w:val="en-GB" w:eastAsia="de-DE" w:bidi="en-US"/>
        </w:rPr>
        <w:t>Arslan</w:t>
      </w:r>
      <w:proofErr w:type="spellEnd"/>
      <w:r w:rsidRPr="006A11C8">
        <w:rPr>
          <w:snapToGrid w:val="0"/>
          <w:szCs w:val="22"/>
          <w:lang w:val="en-GB" w:eastAsia="de-DE" w:bidi="en-US"/>
        </w:rPr>
        <w:t xml:space="preserve"> and I.H. </w:t>
      </w:r>
      <w:proofErr w:type="spellStart"/>
      <w:r w:rsidRPr="006A11C8">
        <w:rPr>
          <w:snapToGrid w:val="0"/>
          <w:szCs w:val="22"/>
          <w:lang w:val="en-GB" w:eastAsia="de-DE" w:bidi="en-US"/>
        </w:rPr>
        <w:t>Erkan</w:t>
      </w:r>
      <w:proofErr w:type="spellEnd"/>
      <w:r w:rsidRPr="006A11C8">
        <w:rPr>
          <w:snapToGrid w:val="0"/>
          <w:szCs w:val="22"/>
          <w:lang w:val="en-GB" w:eastAsia="de-DE" w:bidi="en-US"/>
        </w:rPr>
        <w:t xml:space="preserve">, </w:t>
      </w:r>
      <w:proofErr w:type="spellStart"/>
      <w:r w:rsidRPr="006A11C8">
        <w:rPr>
          <w:snapToGrid w:val="0"/>
          <w:szCs w:val="22"/>
          <w:lang w:val="en-GB" w:eastAsia="de-DE" w:bidi="en-US"/>
        </w:rPr>
        <w:t>Revista</w:t>
      </w:r>
      <w:proofErr w:type="spellEnd"/>
      <w:r w:rsidRPr="006A11C8">
        <w:rPr>
          <w:snapToGrid w:val="0"/>
          <w:szCs w:val="22"/>
          <w:lang w:val="en-GB" w:eastAsia="de-DE" w:bidi="en-US"/>
        </w:rPr>
        <w:t xml:space="preserve"> de La </w:t>
      </w:r>
      <w:proofErr w:type="spellStart"/>
      <w:r w:rsidRPr="006A11C8">
        <w:rPr>
          <w:snapToGrid w:val="0"/>
          <w:szCs w:val="22"/>
          <w:lang w:val="en-GB" w:eastAsia="de-DE" w:bidi="en-US"/>
        </w:rPr>
        <w:t>Construccion</w:t>
      </w:r>
      <w:proofErr w:type="spellEnd"/>
      <w:r w:rsidRPr="006A11C8">
        <w:rPr>
          <w:snapToGrid w:val="0"/>
          <w:szCs w:val="22"/>
          <w:lang w:val="en-GB" w:eastAsia="de-DE" w:bidi="en-US"/>
        </w:rPr>
        <w:t xml:space="preserve"> </w:t>
      </w:r>
      <w:r w:rsidRPr="006A11C8">
        <w:rPr>
          <w:b/>
          <w:bCs/>
          <w:snapToGrid w:val="0"/>
          <w:szCs w:val="22"/>
          <w:lang w:val="en-GB" w:eastAsia="de-DE" w:bidi="en-US"/>
        </w:rPr>
        <w:t>19(2)</w:t>
      </w:r>
      <w:r w:rsidRPr="006A11C8">
        <w:rPr>
          <w:snapToGrid w:val="0"/>
          <w:szCs w:val="22"/>
          <w:lang w:val="en-GB" w:eastAsia="de-DE" w:bidi="en-US"/>
        </w:rPr>
        <w:t>, 282–305 (2020).</w:t>
      </w:r>
    </w:p>
    <w:p w14:paraId="07564A4F" w14:textId="54EABB23" w:rsidR="003D1120" w:rsidRDefault="003D1120" w:rsidP="00282354">
      <w:pPr>
        <w:pStyle w:val="Reference"/>
        <w:rPr>
          <w:snapToGrid w:val="0"/>
          <w:szCs w:val="22"/>
          <w:lang w:val="en-GB" w:eastAsia="de-DE" w:bidi="en-US"/>
        </w:rPr>
      </w:pPr>
      <w:r w:rsidRPr="006A11C8">
        <w:rPr>
          <w:snapToGrid w:val="0"/>
          <w:szCs w:val="22"/>
          <w:lang w:val="en-GB" w:eastAsia="de-DE" w:bidi="en-US"/>
        </w:rPr>
        <w:t xml:space="preserve">M. </w:t>
      </w:r>
      <w:proofErr w:type="spellStart"/>
      <w:r w:rsidRPr="006A11C8">
        <w:rPr>
          <w:snapToGrid w:val="0"/>
          <w:szCs w:val="22"/>
          <w:lang w:val="en-GB" w:eastAsia="de-DE" w:bidi="en-US"/>
        </w:rPr>
        <w:t>Koçer</w:t>
      </w:r>
      <w:proofErr w:type="spellEnd"/>
      <w:r w:rsidRPr="006A11C8">
        <w:rPr>
          <w:snapToGrid w:val="0"/>
          <w:szCs w:val="22"/>
          <w:lang w:val="en-GB" w:eastAsia="de-DE" w:bidi="en-US"/>
        </w:rPr>
        <w:t xml:space="preserve">, M. </w:t>
      </w:r>
      <w:proofErr w:type="spellStart"/>
      <w:r w:rsidRPr="006A11C8">
        <w:rPr>
          <w:snapToGrid w:val="0"/>
          <w:szCs w:val="22"/>
          <w:lang w:val="en-GB" w:eastAsia="de-DE" w:bidi="en-US"/>
        </w:rPr>
        <w:t>Uzun</w:t>
      </w:r>
      <w:proofErr w:type="spellEnd"/>
      <w:r w:rsidRPr="006A11C8">
        <w:rPr>
          <w:snapToGrid w:val="0"/>
          <w:szCs w:val="22"/>
          <w:lang w:val="en-GB" w:eastAsia="de-DE" w:bidi="en-US"/>
        </w:rPr>
        <w:t xml:space="preserve"> and M.T. Çöğürcü, Konya Journal of Engineering Sciences </w:t>
      </w:r>
      <w:r w:rsidRPr="006A11C8">
        <w:rPr>
          <w:b/>
          <w:bCs/>
          <w:snapToGrid w:val="0"/>
          <w:szCs w:val="22"/>
          <w:lang w:val="en-GB" w:eastAsia="de-DE" w:bidi="en-US"/>
        </w:rPr>
        <w:t>9(3)</w:t>
      </w:r>
      <w:r w:rsidRPr="006A11C8">
        <w:rPr>
          <w:snapToGrid w:val="0"/>
          <w:szCs w:val="22"/>
          <w:lang w:val="en-GB" w:eastAsia="de-DE" w:bidi="en-US"/>
        </w:rPr>
        <w:t>, 535–550 (2021).</w:t>
      </w:r>
    </w:p>
    <w:p w14:paraId="44C4CD0E" w14:textId="632B72FA" w:rsidR="003D1120" w:rsidRPr="006A11C8" w:rsidRDefault="001635BE" w:rsidP="00282354">
      <w:pPr>
        <w:pStyle w:val="Reference"/>
        <w:rPr>
          <w:snapToGrid w:val="0"/>
          <w:szCs w:val="22"/>
          <w:lang w:val="en-GB" w:eastAsia="de-DE" w:bidi="en-US"/>
        </w:rPr>
      </w:pPr>
      <w:r w:rsidRPr="006A11C8">
        <w:rPr>
          <w:snapToGrid w:val="0"/>
          <w:szCs w:val="22"/>
          <w:lang w:val="en-GB" w:eastAsia="de-DE" w:bidi="en-US"/>
        </w:rPr>
        <w:t xml:space="preserve">F. </w:t>
      </w:r>
      <w:proofErr w:type="spellStart"/>
      <w:r w:rsidRPr="006A11C8">
        <w:rPr>
          <w:snapToGrid w:val="0"/>
          <w:szCs w:val="22"/>
          <w:lang w:val="en-GB" w:eastAsia="de-DE" w:bidi="en-US"/>
        </w:rPr>
        <w:t>İnal</w:t>
      </w:r>
      <w:proofErr w:type="spellEnd"/>
      <w:r w:rsidRPr="006A11C8">
        <w:rPr>
          <w:snapToGrid w:val="0"/>
          <w:szCs w:val="22"/>
          <w:lang w:val="en-GB" w:eastAsia="de-DE" w:bidi="en-US"/>
        </w:rPr>
        <w:t xml:space="preserve"> and H</w:t>
      </w:r>
      <w:r w:rsidR="0093246F">
        <w:rPr>
          <w:snapToGrid w:val="0"/>
          <w:szCs w:val="22"/>
          <w:lang w:val="en-GB" w:eastAsia="de-DE" w:bidi="en-US"/>
        </w:rPr>
        <w:t>.</w:t>
      </w:r>
      <w:r w:rsidRPr="006A11C8">
        <w:rPr>
          <w:snapToGrid w:val="0"/>
          <w:szCs w:val="22"/>
          <w:lang w:val="en-GB" w:eastAsia="de-DE" w:bidi="en-US"/>
        </w:rPr>
        <w:t xml:space="preserve"> Can, Advanced Engineering Days (AED) </w:t>
      </w:r>
      <w:r w:rsidRPr="006A11C8">
        <w:rPr>
          <w:b/>
          <w:bCs/>
          <w:snapToGrid w:val="0"/>
          <w:szCs w:val="22"/>
          <w:lang w:val="en-GB" w:eastAsia="de-DE" w:bidi="en-US"/>
        </w:rPr>
        <w:t>5</w:t>
      </w:r>
      <w:r w:rsidRPr="006A11C8">
        <w:rPr>
          <w:snapToGrid w:val="0"/>
          <w:szCs w:val="22"/>
          <w:lang w:val="en-GB" w:eastAsia="de-DE" w:bidi="en-US"/>
        </w:rPr>
        <w:t>, 107–110 (2022).</w:t>
      </w:r>
    </w:p>
    <w:p w14:paraId="6387FEDB" w14:textId="3DD81BDE" w:rsidR="003D1120" w:rsidRPr="006A11C8" w:rsidRDefault="00FB6B6F" w:rsidP="00282354">
      <w:pPr>
        <w:pStyle w:val="Reference"/>
        <w:rPr>
          <w:snapToGrid w:val="0"/>
          <w:szCs w:val="22"/>
          <w:lang w:val="en-GB" w:eastAsia="de-DE" w:bidi="en-US"/>
        </w:rPr>
      </w:pPr>
      <w:proofErr w:type="spellStart"/>
      <w:r w:rsidRPr="006A11C8">
        <w:rPr>
          <w:snapToGrid w:val="0"/>
          <w:szCs w:val="22"/>
          <w:lang w:val="en-GB" w:eastAsia="de-DE" w:bidi="en-US"/>
        </w:rPr>
        <w:t>SNiP</w:t>
      </w:r>
      <w:proofErr w:type="spellEnd"/>
      <w:r w:rsidRPr="006A11C8">
        <w:rPr>
          <w:snapToGrid w:val="0"/>
          <w:szCs w:val="22"/>
          <w:lang w:val="en-GB" w:eastAsia="de-DE" w:bidi="en-US"/>
        </w:rPr>
        <w:t xml:space="preserve"> RT 22-07-2018</w:t>
      </w:r>
      <w:r w:rsidR="0093246F">
        <w:rPr>
          <w:snapToGrid w:val="0"/>
          <w:szCs w:val="22"/>
          <w:lang w:val="en-GB" w:eastAsia="de-DE" w:bidi="en-US"/>
        </w:rPr>
        <w:t>,</w:t>
      </w:r>
      <w:r w:rsidRPr="006A11C8">
        <w:rPr>
          <w:snapToGrid w:val="0"/>
          <w:szCs w:val="22"/>
          <w:lang w:val="en-GB" w:eastAsia="de-DE" w:bidi="en-US"/>
        </w:rPr>
        <w:t xml:space="preserve"> </w:t>
      </w:r>
      <w:r w:rsidRPr="0093246F">
        <w:rPr>
          <w:i/>
          <w:snapToGrid w:val="0"/>
          <w:szCs w:val="22"/>
          <w:lang w:val="en-GB" w:eastAsia="de-DE" w:bidi="en-US"/>
        </w:rPr>
        <w:t>Seismic resistance construction</w:t>
      </w:r>
      <w:r w:rsidR="0093246F">
        <w:rPr>
          <w:i/>
          <w:snapToGrid w:val="0"/>
          <w:szCs w:val="22"/>
          <w:lang w:val="en-GB" w:eastAsia="de-DE" w:bidi="en-US"/>
        </w:rPr>
        <w:t xml:space="preserve"> </w:t>
      </w:r>
      <w:r w:rsidR="0093246F" w:rsidRPr="0093246F">
        <w:rPr>
          <w:snapToGrid w:val="0"/>
          <w:szCs w:val="22"/>
          <w:lang w:val="en-GB" w:eastAsia="de-DE" w:bidi="en-US"/>
        </w:rPr>
        <w:t>(</w:t>
      </w:r>
      <w:r w:rsidR="0093246F" w:rsidRPr="006A11C8">
        <w:rPr>
          <w:snapToGrid w:val="0"/>
          <w:szCs w:val="22"/>
          <w:lang w:val="en-GB" w:eastAsia="de-DE" w:bidi="en-US"/>
        </w:rPr>
        <w:t xml:space="preserve">Publishing </w:t>
      </w:r>
      <w:proofErr w:type="spellStart"/>
      <w:r w:rsidR="0093246F" w:rsidRPr="006A11C8">
        <w:rPr>
          <w:snapToGrid w:val="0"/>
          <w:szCs w:val="22"/>
          <w:lang w:val="en-GB" w:eastAsia="de-DE" w:bidi="en-US"/>
        </w:rPr>
        <w:t>Center</w:t>
      </w:r>
      <w:proofErr w:type="spellEnd"/>
      <w:r w:rsidR="0093246F">
        <w:rPr>
          <w:snapToGrid w:val="0"/>
          <w:szCs w:val="22"/>
          <w:lang w:val="en-GB" w:eastAsia="de-DE" w:bidi="en-US"/>
        </w:rPr>
        <w:t>,</w:t>
      </w:r>
      <w:r w:rsidR="0093246F" w:rsidRPr="006A11C8">
        <w:rPr>
          <w:snapToGrid w:val="0"/>
          <w:szCs w:val="22"/>
          <w:lang w:val="en-GB" w:eastAsia="de-DE" w:bidi="en-US"/>
        </w:rPr>
        <w:t xml:space="preserve"> </w:t>
      </w:r>
      <w:r w:rsidRPr="006A11C8">
        <w:rPr>
          <w:snapToGrid w:val="0"/>
          <w:szCs w:val="22"/>
          <w:lang w:val="en-GB" w:eastAsia="de-DE" w:bidi="en-US"/>
        </w:rPr>
        <w:t>Dushanbe, 2018</w:t>
      </w:r>
      <w:r w:rsidR="0093246F">
        <w:rPr>
          <w:snapToGrid w:val="0"/>
          <w:szCs w:val="22"/>
          <w:lang w:val="en-GB" w:eastAsia="de-DE" w:bidi="en-US"/>
        </w:rPr>
        <w:t>)</w:t>
      </w:r>
      <w:r w:rsidRPr="006A11C8">
        <w:rPr>
          <w:snapToGrid w:val="0"/>
          <w:szCs w:val="22"/>
          <w:lang w:val="en-GB" w:eastAsia="de-DE" w:bidi="en-US"/>
        </w:rPr>
        <w:t>.</w:t>
      </w:r>
    </w:p>
    <w:p w14:paraId="527E0F6A" w14:textId="1C9B1007" w:rsidR="003D1120" w:rsidRDefault="00FB6B6F" w:rsidP="00282354">
      <w:pPr>
        <w:pStyle w:val="Reference"/>
        <w:rPr>
          <w:snapToGrid w:val="0"/>
          <w:szCs w:val="22"/>
          <w:lang w:val="en-GB" w:eastAsia="de-DE" w:bidi="en-US"/>
        </w:rPr>
      </w:pPr>
      <w:r w:rsidRPr="006A11C8">
        <w:rPr>
          <w:snapToGrid w:val="0"/>
          <w:szCs w:val="22"/>
          <w:lang w:val="en-GB" w:eastAsia="de-DE" w:bidi="en-US"/>
        </w:rPr>
        <w:t>Scientific-technical report</w:t>
      </w:r>
      <w:r w:rsidR="0093246F" w:rsidRPr="0093246F">
        <w:rPr>
          <w:snapToGrid w:val="0"/>
          <w:szCs w:val="22"/>
          <w:lang w:val="en-GB" w:eastAsia="de-DE" w:bidi="en-US"/>
        </w:rPr>
        <w:t xml:space="preserve"> </w:t>
      </w:r>
      <w:r w:rsidR="0093246F" w:rsidRPr="006A11C8">
        <w:rPr>
          <w:snapToGrid w:val="0"/>
          <w:szCs w:val="22"/>
          <w:lang w:val="en-GB" w:eastAsia="de-DE" w:bidi="en-US"/>
        </w:rPr>
        <w:t>No GR RB 0116TJ00576</w:t>
      </w:r>
      <w:r w:rsidRPr="006A11C8">
        <w:rPr>
          <w:snapToGrid w:val="0"/>
          <w:szCs w:val="22"/>
          <w:lang w:val="en-GB" w:eastAsia="de-DE" w:bidi="en-US"/>
        </w:rPr>
        <w:t xml:space="preserve"> </w:t>
      </w:r>
      <w:r w:rsidRPr="0093246F">
        <w:rPr>
          <w:i/>
          <w:snapToGrid w:val="0"/>
          <w:szCs w:val="22"/>
          <w:lang w:val="en-GB" w:eastAsia="de-DE" w:bidi="en-US"/>
        </w:rPr>
        <w:t>Development of a new seismic hazard map of the territory of Tajikistan</w:t>
      </w:r>
      <w:r w:rsidR="0093246F">
        <w:rPr>
          <w:i/>
          <w:snapToGrid w:val="0"/>
          <w:szCs w:val="22"/>
          <w:lang w:val="en-GB" w:eastAsia="de-DE" w:bidi="en-US"/>
        </w:rPr>
        <w:t xml:space="preserve"> </w:t>
      </w:r>
      <w:r w:rsidR="0093246F" w:rsidRPr="0093246F">
        <w:rPr>
          <w:snapToGrid w:val="0"/>
          <w:szCs w:val="22"/>
          <w:u w:val="single"/>
          <w:lang w:val="en-GB" w:eastAsia="de-DE" w:bidi="en-US"/>
        </w:rPr>
        <w:t>(</w:t>
      </w:r>
      <w:r w:rsidRPr="006A11C8">
        <w:rPr>
          <w:snapToGrid w:val="0"/>
          <w:szCs w:val="22"/>
          <w:lang w:val="en-GB" w:eastAsia="de-DE" w:bidi="en-US"/>
        </w:rPr>
        <w:t>IGEES NAST funds, Dushanbe, 2020</w:t>
      </w:r>
      <w:r w:rsidR="0093246F">
        <w:rPr>
          <w:snapToGrid w:val="0"/>
          <w:szCs w:val="22"/>
          <w:lang w:val="en-GB" w:eastAsia="de-DE" w:bidi="en-US"/>
        </w:rPr>
        <w:t>)</w:t>
      </w:r>
      <w:r w:rsidRPr="006A11C8">
        <w:rPr>
          <w:snapToGrid w:val="0"/>
          <w:szCs w:val="22"/>
          <w:lang w:val="en-GB" w:eastAsia="de-DE" w:bidi="en-US"/>
        </w:rPr>
        <w:t>.</w:t>
      </w:r>
    </w:p>
    <w:p w14:paraId="792B2913" w14:textId="72A5D6FB" w:rsidR="00FB6B6F" w:rsidRPr="006A11C8" w:rsidRDefault="008E3956" w:rsidP="00FB6B6F">
      <w:pPr>
        <w:pStyle w:val="Reference"/>
        <w:rPr>
          <w:snapToGrid w:val="0"/>
          <w:szCs w:val="22"/>
          <w:lang w:val="en-GB" w:eastAsia="de-DE" w:bidi="en-US"/>
        </w:rPr>
      </w:pPr>
      <w:r w:rsidRPr="004E2289">
        <w:rPr>
          <w:i/>
          <w:snapToGrid w:val="0"/>
          <w:szCs w:val="22"/>
          <w:lang w:val="en-GB" w:eastAsia="de-DE" w:bidi="en-US"/>
        </w:rPr>
        <w:t>Minimum Design Loads and Associated Criteria for Buildings and Other Structures</w:t>
      </w:r>
      <w:r w:rsidRPr="006A11C8">
        <w:rPr>
          <w:snapToGrid w:val="0"/>
          <w:szCs w:val="22"/>
          <w:lang w:val="en-GB" w:eastAsia="de-DE" w:bidi="en-US"/>
        </w:rPr>
        <w:t xml:space="preserve"> (American Society of Civil Engineers, Reston, VA, 2022)</w:t>
      </w:r>
    </w:p>
    <w:p w14:paraId="07D3B63E" w14:textId="3DDE869E" w:rsidR="00FB6B6F" w:rsidRPr="006A11C8" w:rsidRDefault="008E3956" w:rsidP="00FB6B6F">
      <w:pPr>
        <w:pStyle w:val="Reference"/>
        <w:rPr>
          <w:snapToGrid w:val="0"/>
          <w:szCs w:val="22"/>
          <w:lang w:val="en-GB" w:eastAsia="de-DE" w:bidi="en-US"/>
        </w:rPr>
      </w:pPr>
      <w:r w:rsidRPr="006A11C8">
        <w:rPr>
          <w:snapToGrid w:val="0"/>
          <w:szCs w:val="22"/>
          <w:lang w:val="en-GB" w:eastAsia="de-DE" w:bidi="en-US"/>
        </w:rPr>
        <w:t xml:space="preserve">J. </w:t>
      </w:r>
      <w:proofErr w:type="spellStart"/>
      <w:r w:rsidRPr="006A11C8">
        <w:rPr>
          <w:snapToGrid w:val="0"/>
          <w:szCs w:val="22"/>
          <w:lang w:val="en-GB" w:eastAsia="de-DE" w:bidi="en-US"/>
        </w:rPr>
        <w:t>Moehle</w:t>
      </w:r>
      <w:proofErr w:type="spellEnd"/>
      <w:r w:rsidRPr="006A11C8">
        <w:rPr>
          <w:snapToGrid w:val="0"/>
          <w:szCs w:val="22"/>
          <w:lang w:val="en-GB" w:eastAsia="de-DE" w:bidi="en-US"/>
        </w:rPr>
        <w:t xml:space="preserve">, Y. </w:t>
      </w:r>
      <w:proofErr w:type="spellStart"/>
      <w:r w:rsidRPr="006A11C8">
        <w:rPr>
          <w:snapToGrid w:val="0"/>
          <w:szCs w:val="22"/>
          <w:lang w:val="en-GB" w:eastAsia="de-DE" w:bidi="en-US"/>
        </w:rPr>
        <w:t>Bozorgnia</w:t>
      </w:r>
      <w:proofErr w:type="spellEnd"/>
      <w:r w:rsidRPr="006A11C8">
        <w:rPr>
          <w:snapToGrid w:val="0"/>
          <w:szCs w:val="22"/>
          <w:lang w:val="en-GB" w:eastAsia="de-DE" w:bidi="en-US"/>
        </w:rPr>
        <w:t xml:space="preserve">, N. </w:t>
      </w:r>
      <w:proofErr w:type="spellStart"/>
      <w:r w:rsidRPr="006A11C8">
        <w:rPr>
          <w:snapToGrid w:val="0"/>
          <w:szCs w:val="22"/>
          <w:lang w:val="en-GB" w:eastAsia="de-DE" w:bidi="en-US"/>
        </w:rPr>
        <w:t>Jayaram</w:t>
      </w:r>
      <w:proofErr w:type="spellEnd"/>
      <w:r w:rsidRPr="006A11C8">
        <w:rPr>
          <w:snapToGrid w:val="0"/>
          <w:szCs w:val="22"/>
          <w:lang w:val="en-GB" w:eastAsia="de-DE" w:bidi="en-US"/>
        </w:rPr>
        <w:t xml:space="preserve">, P. Jones, M. </w:t>
      </w:r>
      <w:proofErr w:type="spellStart"/>
      <w:r w:rsidRPr="006A11C8">
        <w:rPr>
          <w:snapToGrid w:val="0"/>
          <w:szCs w:val="22"/>
          <w:lang w:val="en-GB" w:eastAsia="de-DE" w:bidi="en-US"/>
        </w:rPr>
        <w:t>Rahnama</w:t>
      </w:r>
      <w:proofErr w:type="spellEnd"/>
      <w:r w:rsidRPr="006A11C8">
        <w:rPr>
          <w:snapToGrid w:val="0"/>
          <w:szCs w:val="22"/>
          <w:lang w:val="en-GB" w:eastAsia="de-DE" w:bidi="en-US"/>
        </w:rPr>
        <w:t xml:space="preserve"> and N. </w:t>
      </w:r>
      <w:proofErr w:type="spellStart"/>
      <w:r w:rsidRPr="006A11C8">
        <w:rPr>
          <w:snapToGrid w:val="0"/>
          <w:szCs w:val="22"/>
          <w:lang w:val="en-GB" w:eastAsia="de-DE" w:bidi="en-US"/>
        </w:rPr>
        <w:t>Shome</w:t>
      </w:r>
      <w:proofErr w:type="spellEnd"/>
      <w:r w:rsidRPr="006A11C8">
        <w:rPr>
          <w:snapToGrid w:val="0"/>
          <w:szCs w:val="22"/>
          <w:lang w:val="en-GB" w:eastAsia="de-DE" w:bidi="en-US"/>
        </w:rPr>
        <w:t xml:space="preserve">, </w:t>
      </w:r>
      <w:r w:rsidRPr="006A11C8">
        <w:rPr>
          <w:i/>
          <w:iCs/>
          <w:snapToGrid w:val="0"/>
          <w:szCs w:val="22"/>
          <w:lang w:val="en-GB" w:eastAsia="de-DE" w:bidi="en-US"/>
        </w:rPr>
        <w:t>PEER Case Studies of the Seismic Performance of Tall Buildings Designed by Alternative Means</w:t>
      </w:r>
      <w:r w:rsidRPr="006A11C8">
        <w:rPr>
          <w:snapToGrid w:val="0"/>
          <w:szCs w:val="22"/>
          <w:lang w:val="en-GB" w:eastAsia="de-DE" w:bidi="en-US"/>
        </w:rPr>
        <w:t xml:space="preserve"> </w:t>
      </w:r>
      <w:r w:rsidR="008C6D90" w:rsidRPr="006A11C8">
        <w:rPr>
          <w:snapToGrid w:val="0"/>
          <w:szCs w:val="22"/>
          <w:lang w:val="en-GB" w:eastAsia="de-DE" w:bidi="en-US"/>
        </w:rPr>
        <w:t>(University of California, Berkeley, 2011)</w:t>
      </w:r>
      <w:r w:rsidR="00FB6B6F" w:rsidRPr="006A11C8">
        <w:rPr>
          <w:snapToGrid w:val="0"/>
          <w:szCs w:val="22"/>
          <w:lang w:val="en-GB" w:eastAsia="de-DE" w:bidi="en-US"/>
        </w:rPr>
        <w:t>.</w:t>
      </w:r>
    </w:p>
    <w:p w14:paraId="60031135" w14:textId="188F7C6F" w:rsidR="00FB6B6F" w:rsidRPr="006A11C8" w:rsidRDefault="00C07FFC" w:rsidP="00FB6B6F">
      <w:pPr>
        <w:pStyle w:val="Reference"/>
        <w:rPr>
          <w:snapToGrid w:val="0"/>
          <w:szCs w:val="22"/>
          <w:lang w:val="en-GB" w:eastAsia="de-DE" w:bidi="en-US"/>
        </w:rPr>
      </w:pPr>
      <w:r w:rsidRPr="006A11C8">
        <w:rPr>
          <w:snapToGrid w:val="0"/>
          <w:szCs w:val="22"/>
          <w:lang w:val="en-GB" w:eastAsia="de-DE" w:bidi="en-US"/>
        </w:rPr>
        <w:t xml:space="preserve">R. </w:t>
      </w:r>
      <w:proofErr w:type="spellStart"/>
      <w:r w:rsidRPr="006A11C8">
        <w:rPr>
          <w:snapToGrid w:val="0"/>
          <w:szCs w:val="22"/>
          <w:lang w:val="en-GB" w:eastAsia="de-DE" w:bidi="en-US"/>
        </w:rPr>
        <w:t>Golesorkhi</w:t>
      </w:r>
      <w:proofErr w:type="spellEnd"/>
      <w:r w:rsidRPr="006A11C8">
        <w:rPr>
          <w:snapToGrid w:val="0"/>
          <w:szCs w:val="22"/>
          <w:lang w:val="en-GB" w:eastAsia="de-DE" w:bidi="en-US"/>
        </w:rPr>
        <w:t xml:space="preserve">, L. </w:t>
      </w:r>
      <w:proofErr w:type="spellStart"/>
      <w:r w:rsidRPr="006A11C8">
        <w:rPr>
          <w:snapToGrid w:val="0"/>
          <w:szCs w:val="22"/>
          <w:lang w:val="en-GB" w:eastAsia="de-DE" w:bidi="en-US"/>
        </w:rPr>
        <w:t>Josept</w:t>
      </w:r>
      <w:proofErr w:type="spellEnd"/>
      <w:r w:rsidRPr="006A11C8">
        <w:rPr>
          <w:snapToGrid w:val="0"/>
          <w:szCs w:val="22"/>
          <w:lang w:val="en-GB" w:eastAsia="de-DE" w:bidi="en-US"/>
        </w:rPr>
        <w:t xml:space="preserve">, R. </w:t>
      </w:r>
      <w:proofErr w:type="spellStart"/>
      <w:r w:rsidRPr="006A11C8">
        <w:rPr>
          <w:snapToGrid w:val="0"/>
          <w:szCs w:val="22"/>
          <w:lang w:val="en-GB" w:eastAsia="de-DE" w:bidi="en-US"/>
        </w:rPr>
        <w:t>Klemencic</w:t>
      </w:r>
      <w:proofErr w:type="spellEnd"/>
      <w:r w:rsidRPr="006A11C8">
        <w:rPr>
          <w:snapToGrid w:val="0"/>
          <w:szCs w:val="22"/>
          <w:lang w:val="en-GB" w:eastAsia="de-DE" w:bidi="en-US"/>
        </w:rPr>
        <w:t xml:space="preserve">, D. Shook and J. </w:t>
      </w:r>
      <w:proofErr w:type="spellStart"/>
      <w:r w:rsidRPr="006A11C8">
        <w:rPr>
          <w:snapToGrid w:val="0"/>
          <w:szCs w:val="22"/>
          <w:lang w:val="en-GB" w:eastAsia="de-DE" w:bidi="en-US"/>
        </w:rPr>
        <w:t>Viise</w:t>
      </w:r>
      <w:proofErr w:type="spellEnd"/>
      <w:r w:rsidRPr="006A11C8">
        <w:rPr>
          <w:snapToGrid w:val="0"/>
          <w:szCs w:val="22"/>
          <w:lang w:val="en-GB" w:eastAsia="de-DE" w:bidi="en-US"/>
        </w:rPr>
        <w:t xml:space="preserve">, </w:t>
      </w:r>
      <w:r w:rsidR="00FB6B6F" w:rsidRPr="006A11C8">
        <w:rPr>
          <w:i/>
          <w:iCs/>
          <w:snapToGrid w:val="0"/>
          <w:szCs w:val="22"/>
          <w:lang w:val="en-GB" w:eastAsia="de-DE" w:bidi="en-US"/>
        </w:rPr>
        <w:t xml:space="preserve">CTBUH Technical Guides. </w:t>
      </w:r>
      <w:bookmarkStart w:id="2" w:name="_Hlk213327477"/>
      <w:r w:rsidR="00FB6B6F" w:rsidRPr="006A11C8">
        <w:rPr>
          <w:i/>
          <w:iCs/>
          <w:snapToGrid w:val="0"/>
          <w:szCs w:val="22"/>
          <w:lang w:val="en-GB" w:eastAsia="de-DE" w:bidi="en-US"/>
        </w:rPr>
        <w:t>Performance-Based Seismic Design for Tall Buildings</w:t>
      </w:r>
      <w:bookmarkEnd w:id="2"/>
      <w:r w:rsidR="00FB6B6F" w:rsidRPr="006A11C8">
        <w:rPr>
          <w:i/>
          <w:iCs/>
          <w:snapToGrid w:val="0"/>
          <w:szCs w:val="22"/>
          <w:lang w:val="en-GB" w:eastAsia="de-DE" w:bidi="en-US"/>
        </w:rPr>
        <w:t>. 2nd Edition</w:t>
      </w:r>
      <w:r w:rsidR="00FB6B6F" w:rsidRPr="006A11C8">
        <w:rPr>
          <w:snapToGrid w:val="0"/>
          <w:szCs w:val="22"/>
          <w:lang w:val="en-GB" w:eastAsia="de-DE" w:bidi="en-US"/>
        </w:rPr>
        <w:t xml:space="preserve">. </w:t>
      </w:r>
      <w:r w:rsidRPr="006A11C8">
        <w:rPr>
          <w:snapToGrid w:val="0"/>
          <w:szCs w:val="22"/>
          <w:lang w:val="en-GB" w:eastAsia="de-DE" w:bidi="en-US"/>
        </w:rPr>
        <w:t xml:space="preserve">(Council on Tall Buildings and Urban Habitat, </w:t>
      </w:r>
      <w:r w:rsidR="00FB6B6F" w:rsidRPr="006A11C8">
        <w:rPr>
          <w:snapToGrid w:val="0"/>
          <w:szCs w:val="22"/>
          <w:lang w:val="en-GB" w:eastAsia="de-DE" w:bidi="en-US"/>
        </w:rPr>
        <w:t>Chicago</w:t>
      </w:r>
      <w:r w:rsidRPr="006A11C8">
        <w:rPr>
          <w:snapToGrid w:val="0"/>
          <w:szCs w:val="22"/>
          <w:lang w:val="en-GB" w:eastAsia="de-DE" w:bidi="en-US"/>
        </w:rPr>
        <w:t>,</w:t>
      </w:r>
      <w:r w:rsidR="00FB6B6F" w:rsidRPr="006A11C8">
        <w:rPr>
          <w:snapToGrid w:val="0"/>
          <w:szCs w:val="22"/>
          <w:lang w:val="en-GB" w:eastAsia="de-DE" w:bidi="en-US"/>
        </w:rPr>
        <w:t xml:space="preserve"> 2019</w:t>
      </w:r>
      <w:r w:rsidRPr="006A11C8">
        <w:rPr>
          <w:snapToGrid w:val="0"/>
          <w:szCs w:val="22"/>
          <w:lang w:val="en-GB" w:eastAsia="de-DE" w:bidi="en-US"/>
        </w:rPr>
        <w:t>)</w:t>
      </w:r>
      <w:r w:rsidR="00FB6B6F" w:rsidRPr="006A11C8">
        <w:rPr>
          <w:snapToGrid w:val="0"/>
          <w:szCs w:val="22"/>
          <w:lang w:val="en-GB" w:eastAsia="de-DE" w:bidi="en-US"/>
        </w:rPr>
        <w:t>.</w:t>
      </w:r>
    </w:p>
    <w:p w14:paraId="4287AFF6" w14:textId="182EB210" w:rsidR="00FB6B6F" w:rsidRDefault="00FB6B6F" w:rsidP="00C07FFC">
      <w:pPr>
        <w:pStyle w:val="Reference"/>
        <w:rPr>
          <w:snapToGrid w:val="0"/>
          <w:szCs w:val="22"/>
          <w:lang w:val="en-GB" w:eastAsia="de-DE" w:bidi="en-US"/>
        </w:rPr>
      </w:pPr>
      <w:r w:rsidRPr="006A11C8">
        <w:rPr>
          <w:snapToGrid w:val="0"/>
          <w:szCs w:val="22"/>
          <w:lang w:val="en-GB" w:eastAsia="de-DE" w:bidi="en-US"/>
        </w:rPr>
        <w:t>SP RK 2.03-30-2017</w:t>
      </w:r>
      <w:r w:rsidR="004E2289">
        <w:rPr>
          <w:snapToGrid w:val="0"/>
          <w:szCs w:val="22"/>
          <w:lang w:val="en-GB" w:eastAsia="de-DE" w:bidi="en-US"/>
        </w:rPr>
        <w:t>,</w:t>
      </w:r>
      <w:r w:rsidRPr="006A11C8">
        <w:rPr>
          <w:snapToGrid w:val="0"/>
          <w:szCs w:val="22"/>
          <w:lang w:val="en-GB" w:eastAsia="de-DE" w:bidi="en-US"/>
        </w:rPr>
        <w:t xml:space="preserve"> </w:t>
      </w:r>
      <w:r w:rsidRPr="004E2289">
        <w:rPr>
          <w:i/>
          <w:snapToGrid w:val="0"/>
          <w:szCs w:val="22"/>
          <w:lang w:val="en-GB" w:eastAsia="de-DE" w:bidi="en-US"/>
        </w:rPr>
        <w:t>Construction in seismic zones</w:t>
      </w:r>
      <w:r w:rsidR="004E2289">
        <w:rPr>
          <w:snapToGrid w:val="0"/>
          <w:szCs w:val="22"/>
          <w:lang w:val="en-GB" w:eastAsia="de-DE" w:bidi="en-US"/>
        </w:rPr>
        <w:t xml:space="preserve"> (</w:t>
      </w:r>
      <w:proofErr w:type="spellStart"/>
      <w:r w:rsidR="004E2289">
        <w:rPr>
          <w:snapToGrid w:val="0"/>
          <w:szCs w:val="22"/>
          <w:lang w:val="en-GB" w:eastAsia="de-DE" w:bidi="en-US"/>
        </w:rPr>
        <w:t>KazNISA</w:t>
      </w:r>
      <w:proofErr w:type="spellEnd"/>
      <w:r w:rsidR="004E2289">
        <w:rPr>
          <w:snapToGrid w:val="0"/>
          <w:szCs w:val="22"/>
          <w:lang w:val="en-GB" w:eastAsia="de-DE" w:bidi="en-US"/>
        </w:rPr>
        <w:t xml:space="preserve">, </w:t>
      </w:r>
      <w:r w:rsidRPr="006A11C8">
        <w:rPr>
          <w:snapToGrid w:val="0"/>
          <w:szCs w:val="22"/>
          <w:lang w:val="en-GB" w:eastAsia="de-DE" w:bidi="en-US"/>
        </w:rPr>
        <w:t>Astana, 2018</w:t>
      </w:r>
      <w:r w:rsidR="004E2289">
        <w:rPr>
          <w:snapToGrid w:val="0"/>
          <w:szCs w:val="22"/>
          <w:lang w:val="en-GB" w:eastAsia="de-DE" w:bidi="en-US"/>
        </w:rPr>
        <w:t>)</w:t>
      </w:r>
      <w:r w:rsidR="00C07FFC" w:rsidRPr="006A11C8">
        <w:rPr>
          <w:snapToGrid w:val="0"/>
          <w:szCs w:val="22"/>
          <w:lang w:val="en-GB" w:eastAsia="de-DE" w:bidi="en-US"/>
        </w:rPr>
        <w:t>.</w:t>
      </w:r>
    </w:p>
    <w:sectPr w:rsidR="00FB6B6F"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D4D8D"/>
    <w:multiLevelType w:val="hybridMultilevel"/>
    <w:tmpl w:val="53F42428"/>
    <w:lvl w:ilvl="0" w:tplc="FFFFFFFF">
      <w:start w:val="1"/>
      <w:numFmt w:val="decimal"/>
      <w:lvlText w:val="%1."/>
      <w:lvlJc w:val="left"/>
      <w:pPr>
        <w:ind w:left="1415" w:hanging="705"/>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7FD60F4"/>
    <w:multiLevelType w:val="hybridMultilevel"/>
    <w:tmpl w:val="BDA2740A"/>
    <w:lvl w:ilvl="0" w:tplc="1B36378E">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7"/>
  </w:num>
  <w:num w:numId="2">
    <w:abstractNumId w:val="4"/>
  </w:num>
  <w:num w:numId="3">
    <w:abstractNumId w:val="14"/>
  </w:num>
  <w:num w:numId="4">
    <w:abstractNumId w:val="9"/>
  </w:num>
  <w:num w:numId="5">
    <w:abstractNumId w:val="13"/>
  </w:num>
  <w:num w:numId="6">
    <w:abstractNumId w:val="6"/>
  </w:num>
  <w:num w:numId="7">
    <w:abstractNumId w:val="8"/>
  </w:num>
  <w:num w:numId="8">
    <w:abstractNumId w:val="2"/>
  </w:num>
  <w:num w:numId="9">
    <w:abstractNumId w:val="16"/>
  </w:num>
  <w:num w:numId="10">
    <w:abstractNumId w:val="11"/>
  </w:num>
  <w:num w:numId="11">
    <w:abstractNumId w:val="15"/>
  </w:num>
  <w:num w:numId="12">
    <w:abstractNumId w:val="12"/>
  </w:num>
  <w:num w:numId="13">
    <w:abstractNumId w:val="7"/>
  </w:num>
  <w:num w:numId="14">
    <w:abstractNumId w:val="16"/>
  </w:num>
  <w:num w:numId="15">
    <w:abstractNumId w:val="10"/>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3"/>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lvlOverride w:ilvl="0">
      <w:startOverride w:val="1"/>
    </w:lvlOverride>
  </w:num>
  <w:num w:numId="35">
    <w:abstractNumId w:val="14"/>
    <w:lvlOverride w:ilvl="0">
      <w:startOverride w:val="1"/>
    </w:lvlOverride>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num>
  <w:num w:numId="43">
    <w:abstractNumId w:val="14"/>
  </w:num>
  <w:num w:numId="44">
    <w:abstractNumId w:val="3"/>
  </w:num>
  <w:num w:numId="45">
    <w:abstractNumId w:val="0"/>
  </w:num>
  <w:num w:numId="46">
    <w:abstractNumId w:val="5"/>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05B3"/>
    <w:rsid w:val="000B1B74"/>
    <w:rsid w:val="000B3A2D"/>
    <w:rsid w:val="000B49C0"/>
    <w:rsid w:val="000C09E2"/>
    <w:rsid w:val="000E382F"/>
    <w:rsid w:val="000E75CD"/>
    <w:rsid w:val="000F29F7"/>
    <w:rsid w:val="000F5584"/>
    <w:rsid w:val="001036BA"/>
    <w:rsid w:val="001039D2"/>
    <w:rsid w:val="001146DC"/>
    <w:rsid w:val="00114AB1"/>
    <w:rsid w:val="001230FF"/>
    <w:rsid w:val="00130BD7"/>
    <w:rsid w:val="00155B67"/>
    <w:rsid w:val="001562AF"/>
    <w:rsid w:val="00161A5B"/>
    <w:rsid w:val="001635BE"/>
    <w:rsid w:val="0016385D"/>
    <w:rsid w:val="0016782F"/>
    <w:rsid w:val="001937E9"/>
    <w:rsid w:val="001964E5"/>
    <w:rsid w:val="001A5926"/>
    <w:rsid w:val="001B263B"/>
    <w:rsid w:val="001B476A"/>
    <w:rsid w:val="001C3223"/>
    <w:rsid w:val="001C764F"/>
    <w:rsid w:val="001C7BB3"/>
    <w:rsid w:val="001D469C"/>
    <w:rsid w:val="001E56E8"/>
    <w:rsid w:val="001F36C6"/>
    <w:rsid w:val="001F37AA"/>
    <w:rsid w:val="001F7946"/>
    <w:rsid w:val="0021619E"/>
    <w:rsid w:val="002264A5"/>
    <w:rsid w:val="00230608"/>
    <w:rsid w:val="0023171B"/>
    <w:rsid w:val="00236BFC"/>
    <w:rsid w:val="00237437"/>
    <w:rsid w:val="002502FD"/>
    <w:rsid w:val="00274622"/>
    <w:rsid w:val="0027522D"/>
    <w:rsid w:val="00282354"/>
    <w:rsid w:val="00285D24"/>
    <w:rsid w:val="00290390"/>
    <w:rsid w:val="002915D3"/>
    <w:rsid w:val="002924DB"/>
    <w:rsid w:val="002941DA"/>
    <w:rsid w:val="002B5648"/>
    <w:rsid w:val="002E3C35"/>
    <w:rsid w:val="002F5298"/>
    <w:rsid w:val="00320CCE"/>
    <w:rsid w:val="00326AE0"/>
    <w:rsid w:val="00337E4F"/>
    <w:rsid w:val="00340C36"/>
    <w:rsid w:val="00346A9D"/>
    <w:rsid w:val="00375A01"/>
    <w:rsid w:val="00384F58"/>
    <w:rsid w:val="0039376F"/>
    <w:rsid w:val="003A287B"/>
    <w:rsid w:val="003A5C85"/>
    <w:rsid w:val="003A61B1"/>
    <w:rsid w:val="003B0050"/>
    <w:rsid w:val="003B28A9"/>
    <w:rsid w:val="003D1120"/>
    <w:rsid w:val="003D6312"/>
    <w:rsid w:val="003E7C74"/>
    <w:rsid w:val="003F31C6"/>
    <w:rsid w:val="0040225B"/>
    <w:rsid w:val="00402DA2"/>
    <w:rsid w:val="004113E5"/>
    <w:rsid w:val="00425AC2"/>
    <w:rsid w:val="004463A3"/>
    <w:rsid w:val="0044771F"/>
    <w:rsid w:val="004B151D"/>
    <w:rsid w:val="004C7243"/>
    <w:rsid w:val="004E0F6B"/>
    <w:rsid w:val="004E21DE"/>
    <w:rsid w:val="004E2289"/>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A11C8"/>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7F19AF"/>
    <w:rsid w:val="00812D62"/>
    <w:rsid w:val="00812F29"/>
    <w:rsid w:val="00821713"/>
    <w:rsid w:val="00827050"/>
    <w:rsid w:val="0083278B"/>
    <w:rsid w:val="00834538"/>
    <w:rsid w:val="00850E89"/>
    <w:rsid w:val="008930E4"/>
    <w:rsid w:val="00893821"/>
    <w:rsid w:val="008A7B9C"/>
    <w:rsid w:val="008B39FA"/>
    <w:rsid w:val="008B4754"/>
    <w:rsid w:val="008C6BD2"/>
    <w:rsid w:val="008C6D90"/>
    <w:rsid w:val="008E3956"/>
    <w:rsid w:val="008E6A7A"/>
    <w:rsid w:val="008F1038"/>
    <w:rsid w:val="008F7046"/>
    <w:rsid w:val="009005FC"/>
    <w:rsid w:val="00922E5A"/>
    <w:rsid w:val="0093246F"/>
    <w:rsid w:val="00943315"/>
    <w:rsid w:val="00946C27"/>
    <w:rsid w:val="0097061E"/>
    <w:rsid w:val="009A4F3D"/>
    <w:rsid w:val="009B696B"/>
    <w:rsid w:val="009B7671"/>
    <w:rsid w:val="009E5BA1"/>
    <w:rsid w:val="009F056E"/>
    <w:rsid w:val="009F5CBE"/>
    <w:rsid w:val="00A147B4"/>
    <w:rsid w:val="00A24F3D"/>
    <w:rsid w:val="00A26DCD"/>
    <w:rsid w:val="00A27C1A"/>
    <w:rsid w:val="00A314BB"/>
    <w:rsid w:val="00A32B7D"/>
    <w:rsid w:val="00A5596B"/>
    <w:rsid w:val="00A646B3"/>
    <w:rsid w:val="00A6739B"/>
    <w:rsid w:val="00A90413"/>
    <w:rsid w:val="00A9292E"/>
    <w:rsid w:val="00AA728C"/>
    <w:rsid w:val="00AB0A9C"/>
    <w:rsid w:val="00AB7119"/>
    <w:rsid w:val="00AD5855"/>
    <w:rsid w:val="00AE7500"/>
    <w:rsid w:val="00AE7F87"/>
    <w:rsid w:val="00AF3542"/>
    <w:rsid w:val="00AF5ABE"/>
    <w:rsid w:val="00B00415"/>
    <w:rsid w:val="00B03C2A"/>
    <w:rsid w:val="00B1000D"/>
    <w:rsid w:val="00B10134"/>
    <w:rsid w:val="00B16BFE"/>
    <w:rsid w:val="00B17A51"/>
    <w:rsid w:val="00B500E5"/>
    <w:rsid w:val="00B55528"/>
    <w:rsid w:val="00B65FD8"/>
    <w:rsid w:val="00BA39BB"/>
    <w:rsid w:val="00BA3B3D"/>
    <w:rsid w:val="00BB7EEA"/>
    <w:rsid w:val="00BC48AA"/>
    <w:rsid w:val="00BD1909"/>
    <w:rsid w:val="00BE5E16"/>
    <w:rsid w:val="00BE5FD1"/>
    <w:rsid w:val="00C06E05"/>
    <w:rsid w:val="00C07FFC"/>
    <w:rsid w:val="00C1348D"/>
    <w:rsid w:val="00C14B14"/>
    <w:rsid w:val="00C158CA"/>
    <w:rsid w:val="00C17370"/>
    <w:rsid w:val="00C2054D"/>
    <w:rsid w:val="00C252EB"/>
    <w:rsid w:val="00C26EC0"/>
    <w:rsid w:val="00C56C77"/>
    <w:rsid w:val="00C71C78"/>
    <w:rsid w:val="00C84923"/>
    <w:rsid w:val="00CB7B3E"/>
    <w:rsid w:val="00CC739D"/>
    <w:rsid w:val="00CF5B46"/>
    <w:rsid w:val="00D04468"/>
    <w:rsid w:val="00D30640"/>
    <w:rsid w:val="00D33D2D"/>
    <w:rsid w:val="00D36257"/>
    <w:rsid w:val="00D4687E"/>
    <w:rsid w:val="00D53A12"/>
    <w:rsid w:val="00D87E2A"/>
    <w:rsid w:val="00DB0C43"/>
    <w:rsid w:val="00DE3354"/>
    <w:rsid w:val="00DF7DCD"/>
    <w:rsid w:val="00E36A76"/>
    <w:rsid w:val="00E50B7D"/>
    <w:rsid w:val="00E82F54"/>
    <w:rsid w:val="00E904A1"/>
    <w:rsid w:val="00EB7D28"/>
    <w:rsid w:val="00EC0D0C"/>
    <w:rsid w:val="00ED4A2C"/>
    <w:rsid w:val="00EF6940"/>
    <w:rsid w:val="00F2044A"/>
    <w:rsid w:val="00F20BFC"/>
    <w:rsid w:val="00F24D5F"/>
    <w:rsid w:val="00F726C3"/>
    <w:rsid w:val="00F820CA"/>
    <w:rsid w:val="00F8554C"/>
    <w:rsid w:val="00F910B7"/>
    <w:rsid w:val="00F95F82"/>
    <w:rsid w:val="00F97A90"/>
    <w:rsid w:val="00FB6B6F"/>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qFormat/>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link w:val="ad"/>
    <w:uiPriority w:val="34"/>
    <w:qFormat/>
    <w:rsid w:val="006E4474"/>
    <w:pPr>
      <w:ind w:left="720"/>
      <w:contextualSpacing/>
    </w:pPr>
  </w:style>
  <w:style w:type="character" w:styleId="ae">
    <w:name w:val="annotation reference"/>
    <w:basedOn w:val="a0"/>
    <w:semiHidden/>
    <w:unhideWhenUsed/>
    <w:rsid w:val="005E71ED"/>
    <w:rPr>
      <w:sz w:val="16"/>
      <w:szCs w:val="16"/>
    </w:rPr>
  </w:style>
  <w:style w:type="paragraph" w:styleId="af">
    <w:name w:val="annotation text"/>
    <w:basedOn w:val="a"/>
    <w:link w:val="af0"/>
    <w:semiHidden/>
    <w:unhideWhenUsed/>
    <w:rsid w:val="005E71ED"/>
    <w:rPr>
      <w:sz w:val="20"/>
    </w:rPr>
  </w:style>
  <w:style w:type="character" w:customStyle="1" w:styleId="af0">
    <w:name w:val="Текст примечания Знак"/>
    <w:basedOn w:val="a0"/>
    <w:link w:val="af"/>
    <w:semiHidden/>
    <w:rsid w:val="005E71ED"/>
    <w:rPr>
      <w:lang w:val="en-US" w:eastAsia="en-US"/>
    </w:rPr>
  </w:style>
  <w:style w:type="paragraph" w:styleId="af1">
    <w:name w:val="annotation subject"/>
    <w:basedOn w:val="af"/>
    <w:next w:val="af"/>
    <w:link w:val="af2"/>
    <w:semiHidden/>
    <w:unhideWhenUsed/>
    <w:rsid w:val="005E71ED"/>
    <w:rPr>
      <w:b/>
      <w:bCs/>
    </w:rPr>
  </w:style>
  <w:style w:type="character" w:customStyle="1" w:styleId="af2">
    <w:name w:val="Тема примечания Знак"/>
    <w:basedOn w:val="af0"/>
    <w:link w:val="af1"/>
    <w:semiHidden/>
    <w:rsid w:val="005E71ED"/>
    <w:rPr>
      <w:b/>
      <w:bCs/>
      <w:lang w:val="en-US" w:eastAsia="en-US"/>
    </w:rPr>
  </w:style>
  <w:style w:type="paragraph" w:styleId="af3">
    <w:name w:val="caption"/>
    <w:basedOn w:val="a"/>
    <w:next w:val="a"/>
    <w:unhideWhenUsed/>
    <w:qFormat/>
    <w:rsid w:val="0097061E"/>
    <w:pPr>
      <w:spacing w:after="200"/>
    </w:pPr>
    <w:rPr>
      <w:i/>
      <w:iCs/>
      <w:color w:val="1F497D" w:themeColor="text2"/>
      <w:sz w:val="18"/>
      <w:szCs w:val="18"/>
    </w:rPr>
  </w:style>
  <w:style w:type="paragraph" w:customStyle="1" w:styleId="af4">
    <w:name w:val="Формула"/>
    <w:basedOn w:val="a"/>
    <w:qFormat/>
    <w:rsid w:val="0097061E"/>
    <w:pPr>
      <w:tabs>
        <w:tab w:val="center" w:pos="4536"/>
        <w:tab w:val="right" w:pos="9356"/>
      </w:tabs>
      <w:spacing w:line="360" w:lineRule="auto"/>
    </w:pPr>
    <w:rPr>
      <w:rFonts w:eastAsiaTheme="minorHAnsi" w:cstheme="minorBidi"/>
      <w:sz w:val="28"/>
      <w:szCs w:val="22"/>
      <w:lang w:val="ru-RU"/>
    </w:rPr>
  </w:style>
  <w:style w:type="paragraph" w:customStyle="1" w:styleId="af5">
    <w:name w:val="текст"/>
    <w:basedOn w:val="a"/>
    <w:qFormat/>
    <w:rsid w:val="00E36A76"/>
    <w:pPr>
      <w:spacing w:after="40" w:line="259" w:lineRule="auto"/>
    </w:pPr>
    <w:rPr>
      <w:rFonts w:eastAsiaTheme="minorHAnsi" w:cstheme="minorBidi"/>
      <w:szCs w:val="22"/>
      <w:lang w:val="ru-RU"/>
    </w:rPr>
  </w:style>
  <w:style w:type="paragraph" w:customStyle="1" w:styleId="af6">
    <w:name w:val="Рисунок"/>
    <w:basedOn w:val="a"/>
    <w:autoRedefine/>
    <w:qFormat/>
    <w:rsid w:val="00375A01"/>
    <w:pPr>
      <w:jc w:val="center"/>
    </w:pPr>
    <w:rPr>
      <w:rFonts w:eastAsiaTheme="minorHAnsi"/>
      <w:sz w:val="22"/>
      <w:szCs w:val="22"/>
      <w:lang w:val="ru-RU" w:eastAsia="ru-RU"/>
    </w:rPr>
  </w:style>
  <w:style w:type="character" w:customStyle="1" w:styleId="30">
    <w:name w:val="Заголовок 3 Знак"/>
    <w:basedOn w:val="a0"/>
    <w:link w:val="3"/>
    <w:rsid w:val="00C158CA"/>
    <w:rPr>
      <w:i/>
      <w:iCs/>
    </w:rPr>
  </w:style>
  <w:style w:type="paragraph" w:customStyle="1" w:styleId="Text">
    <w:name w:val="Text"/>
    <w:link w:val="Text0"/>
    <w:qFormat/>
    <w:rsid w:val="00282354"/>
    <w:pPr>
      <w:snapToGrid w:val="0"/>
      <w:spacing w:line="300" w:lineRule="auto"/>
      <w:ind w:firstLine="425"/>
      <w:jc w:val="both"/>
    </w:pPr>
    <w:rPr>
      <w:snapToGrid w:val="0"/>
      <w:color w:val="000000"/>
      <w:sz w:val="24"/>
      <w:szCs w:val="22"/>
      <w:lang w:val="en-US" w:eastAsia="de-DE" w:bidi="en-US"/>
    </w:rPr>
  </w:style>
  <w:style w:type="character" w:customStyle="1" w:styleId="Text0">
    <w:name w:val="Text 字符"/>
    <w:basedOn w:val="a0"/>
    <w:link w:val="Text"/>
    <w:rsid w:val="00282354"/>
    <w:rPr>
      <w:snapToGrid w:val="0"/>
      <w:color w:val="000000"/>
      <w:sz w:val="24"/>
      <w:szCs w:val="22"/>
      <w:lang w:val="en-US" w:eastAsia="de-DE" w:bidi="en-US"/>
    </w:rPr>
  </w:style>
  <w:style w:type="character" w:customStyle="1" w:styleId="ad">
    <w:name w:val="Абзац списка Знак"/>
    <w:link w:val="ac"/>
    <w:uiPriority w:val="34"/>
    <w:locked/>
    <w:rsid w:val="00282354"/>
    <w:rPr>
      <w:sz w:val="24"/>
      <w:lang w:val="en-US" w:eastAsia="en-US"/>
    </w:rPr>
  </w:style>
  <w:style w:type="character" w:styleId="af7">
    <w:name w:val="FollowedHyperlink"/>
    <w:basedOn w:val="a0"/>
    <w:semiHidden/>
    <w:unhideWhenUsed/>
    <w:rsid w:val="00320C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jpeg"/><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9.wmf"/><Relationship Id="rId47" Type="http://schemas.openxmlformats.org/officeDocument/2006/relationships/oleObject" Target="embeddings/oleObject18.bin"/><Relationship Id="rId50" Type="http://schemas.openxmlformats.org/officeDocument/2006/relationships/image" Target="media/image23.wmf"/><Relationship Id="rId55" Type="http://schemas.openxmlformats.org/officeDocument/2006/relationships/image" Target="media/image26.png"/><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jpeg"/><Relationship Id="rId46" Type="http://schemas.openxmlformats.org/officeDocument/2006/relationships/image" Target="media/image21.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oleObject" Target="embeddings/oleObject15.bin"/><Relationship Id="rId54"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png"/><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9.bin"/><Relationship Id="rId57"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6.bin"/><Relationship Id="rId48" Type="http://schemas.openxmlformats.org/officeDocument/2006/relationships/image" Target="media/image22.wmf"/><Relationship Id="rId56" Type="http://schemas.openxmlformats.org/officeDocument/2006/relationships/image" Target="media/image27.png"/><Relationship Id="rId8" Type="http://schemas.openxmlformats.org/officeDocument/2006/relationships/webSettings" Target="webSettings.xml"/><Relationship Id="rId51" Type="http://schemas.openxmlformats.org/officeDocument/2006/relationships/oleObject" Target="embeddings/oleObject20.bin"/><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1007E9-B35F-4E56-9149-DAF7CBE9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360</TotalTime>
  <Pages>6</Pages>
  <Words>1544</Words>
  <Characters>8802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26</cp:revision>
  <cp:lastPrinted>2011-03-03T08:29:00Z</cp:lastPrinted>
  <dcterms:created xsi:type="dcterms:W3CDTF">2023-09-01T14:34:00Z</dcterms:created>
  <dcterms:modified xsi:type="dcterms:W3CDTF">2025-11-06T10:21:00Z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Recent Style Id 0_1">
    <vt:lpwstr>http://www.zotero.org/styles/aip-advances</vt:lpwstr>
  </property>
  <property fmtid="{D5CDD505-2E9C-101B-9397-08002B2CF9AE}" pid="4" name="Mendeley Recent Style Name 0_1">
    <vt:lpwstr>AIP Advances</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 11th edition</vt:lpwstr>
  </property>
  <property fmtid="{D5CDD505-2E9C-101B-9397-08002B2CF9AE}" pid="7" name="Mendeley Recent Style Id 2_1">
    <vt:lpwstr>http://www.zotero.org/styles/american-political-science-association</vt:lpwstr>
  </property>
  <property fmtid="{D5CDD505-2E9C-101B-9397-08002B2CF9AE}" pid="8" name="Mendeley Recent Style Name 2_1">
    <vt:lpwstr>American Political Science Association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http://www.zotero.org/styles/aip-advances</vt:lpwstr>
  </property>
  <property fmtid="{D5CDD505-2E9C-101B-9397-08002B2CF9AE}" pid="25" name="Mendeley Unique User Id_1">
    <vt:lpwstr>2fe91e96-0b54-341e-99c7-89a3dc01a37b</vt:lpwstr>
  </property>
</Properties>
</file>