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815EA" w14:textId="2CA12274" w:rsidR="0016385D" w:rsidRPr="005F0F0B" w:rsidRDefault="00637F62" w:rsidP="005F0F0B">
      <w:pPr>
        <w:pStyle w:val="PaperTitle"/>
      </w:pPr>
      <w:r w:rsidRPr="005F0F0B">
        <w:t xml:space="preserve">Structural Assessment of </w:t>
      </w:r>
      <w:proofErr w:type="spellStart"/>
      <w:r w:rsidRPr="005F0F0B">
        <w:t>Ully</w:t>
      </w:r>
      <w:proofErr w:type="spellEnd"/>
      <w:r w:rsidRPr="005F0F0B">
        <w:t xml:space="preserve"> </w:t>
      </w:r>
      <w:proofErr w:type="spellStart"/>
      <w:r w:rsidRPr="005F0F0B">
        <w:t>Hovli</w:t>
      </w:r>
      <w:proofErr w:type="spellEnd"/>
      <w:r w:rsidRPr="005F0F0B">
        <w:t xml:space="preserve"> in Uzbekistan by Laser Scanning: Preliminary Results</w:t>
      </w:r>
      <w:r w:rsidR="00BE5FD1" w:rsidRPr="005F0F0B">
        <w:t xml:space="preserve"> </w:t>
      </w:r>
    </w:p>
    <w:p w14:paraId="7B280201" w14:textId="6994F282" w:rsidR="00D9494C" w:rsidRDefault="004D4DB8" w:rsidP="00D9494C">
      <w:pPr>
        <w:pStyle w:val="AuthorName"/>
        <w:rPr>
          <w:sz w:val="20"/>
          <w:lang w:val="en-GB" w:eastAsia="en-GB"/>
        </w:rPr>
      </w:pPr>
      <w:proofErr w:type="spellStart"/>
      <w:r>
        <w:t>Shakhzod</w:t>
      </w:r>
      <w:proofErr w:type="spellEnd"/>
      <w:r>
        <w:t xml:space="preserve"> Takhirov</w:t>
      </w:r>
      <w:r w:rsidR="00EF6940" w:rsidRPr="2F830975">
        <w:rPr>
          <w:vertAlign w:val="superscript"/>
        </w:rPr>
        <w:t>1,</w:t>
      </w:r>
      <w:r w:rsidR="003A5C85" w:rsidRPr="2F830975">
        <w:rPr>
          <w:vertAlign w:val="superscript"/>
        </w:rPr>
        <w:t xml:space="preserve"> </w:t>
      </w:r>
      <w:r w:rsidR="00EF6940" w:rsidRPr="2F830975">
        <w:rPr>
          <w:vertAlign w:val="superscript"/>
        </w:rPr>
        <w:t>a)</w:t>
      </w:r>
      <w:r>
        <w:t xml:space="preserve">, </w:t>
      </w:r>
      <w:proofErr w:type="spellStart"/>
      <w:r w:rsidRPr="004D4DB8">
        <w:t>Bakhodir</w:t>
      </w:r>
      <w:proofErr w:type="spellEnd"/>
      <w:r w:rsidRPr="004D4DB8">
        <w:t xml:space="preserve"> Rakhmonov</w:t>
      </w:r>
      <w:r>
        <w:rPr>
          <w:vertAlign w:val="superscript"/>
        </w:rPr>
        <w:t>2</w:t>
      </w:r>
      <w:r w:rsidRPr="2F830975">
        <w:rPr>
          <w:vertAlign w:val="superscript"/>
        </w:rPr>
        <w:t xml:space="preserve">, </w:t>
      </w:r>
      <w:r>
        <w:rPr>
          <w:vertAlign w:val="superscript"/>
        </w:rPr>
        <w:t>b</w:t>
      </w:r>
      <w:r w:rsidRPr="2F830975">
        <w:rPr>
          <w:vertAlign w:val="superscript"/>
        </w:rPr>
        <w:t>)</w:t>
      </w:r>
      <w:r>
        <w:t xml:space="preserve">, </w:t>
      </w:r>
      <w:proofErr w:type="spellStart"/>
      <w:r w:rsidRPr="004D4DB8">
        <w:t>Mirzokhid</w:t>
      </w:r>
      <w:proofErr w:type="spellEnd"/>
      <w:r w:rsidRPr="004D4DB8">
        <w:t xml:space="preserve"> Akhmedov</w:t>
      </w:r>
      <w:r w:rsidR="00B376CF">
        <w:rPr>
          <w:vertAlign w:val="superscript"/>
        </w:rPr>
        <w:t>3</w:t>
      </w:r>
      <w:r w:rsidRPr="2F830975">
        <w:rPr>
          <w:vertAlign w:val="superscript"/>
        </w:rPr>
        <w:t xml:space="preserve">, </w:t>
      </w:r>
      <w:r w:rsidR="00B376CF">
        <w:rPr>
          <w:vertAlign w:val="superscript"/>
        </w:rPr>
        <w:t>c</w:t>
      </w:r>
      <w:r w:rsidRPr="2F830975">
        <w:rPr>
          <w:vertAlign w:val="superscript"/>
        </w:rPr>
        <w:t>)</w:t>
      </w:r>
      <w:r>
        <w:t xml:space="preserve">, </w:t>
      </w:r>
      <w:proofErr w:type="spellStart"/>
      <w:r w:rsidRPr="004D4DB8">
        <w:t>Ravshan</w:t>
      </w:r>
      <w:proofErr w:type="spellEnd"/>
      <w:r w:rsidRPr="004D4DB8">
        <w:t xml:space="preserve"> Shamansurov</w:t>
      </w:r>
      <w:r w:rsidR="00B376CF">
        <w:rPr>
          <w:vertAlign w:val="superscript"/>
        </w:rPr>
        <w:t>4</w:t>
      </w:r>
      <w:r w:rsidRPr="2F830975">
        <w:rPr>
          <w:vertAlign w:val="superscript"/>
        </w:rPr>
        <w:t xml:space="preserve">, </w:t>
      </w:r>
      <w:r w:rsidR="00B376CF">
        <w:rPr>
          <w:vertAlign w:val="superscript"/>
        </w:rPr>
        <w:t>d</w:t>
      </w:r>
      <w:r w:rsidRPr="2F830975">
        <w:rPr>
          <w:vertAlign w:val="superscript"/>
        </w:rPr>
        <w:t>)</w:t>
      </w:r>
      <w:r w:rsidR="00B376CF">
        <w:t xml:space="preserve">, </w:t>
      </w:r>
      <w:proofErr w:type="spellStart"/>
      <w:r w:rsidR="005004C5">
        <w:t>Ravshan</w:t>
      </w:r>
      <w:proofErr w:type="spellEnd"/>
      <w:r w:rsidR="005004C5">
        <w:t xml:space="preserve"> Nafasov</w:t>
      </w:r>
      <w:r w:rsidR="005004C5">
        <w:rPr>
          <w:vertAlign w:val="superscript"/>
        </w:rPr>
        <w:t>2</w:t>
      </w:r>
      <w:r w:rsidR="005004C5" w:rsidRPr="2F830975">
        <w:rPr>
          <w:vertAlign w:val="superscript"/>
        </w:rPr>
        <w:t xml:space="preserve">, </w:t>
      </w:r>
      <w:r w:rsidR="005004C5">
        <w:rPr>
          <w:vertAlign w:val="superscript"/>
        </w:rPr>
        <w:t>b</w:t>
      </w:r>
      <w:r w:rsidR="005004C5" w:rsidRPr="2F830975">
        <w:rPr>
          <w:vertAlign w:val="superscript"/>
        </w:rPr>
        <w:t>)</w:t>
      </w:r>
      <w:r w:rsidR="005004C5">
        <w:t xml:space="preserve">, </w:t>
      </w:r>
      <w:proofErr w:type="spellStart"/>
      <w:r w:rsidR="005004C5">
        <w:t>Ravshan</w:t>
      </w:r>
      <w:proofErr w:type="spellEnd"/>
      <w:r w:rsidR="005004C5">
        <w:t xml:space="preserve"> </w:t>
      </w:r>
      <w:r w:rsidR="00D3271B" w:rsidRPr="00D3271B">
        <w:t>Savutov</w:t>
      </w:r>
      <w:r w:rsidR="005004C5">
        <w:rPr>
          <w:vertAlign w:val="superscript"/>
        </w:rPr>
        <w:t>2</w:t>
      </w:r>
      <w:r w:rsidR="005004C5" w:rsidRPr="2F830975">
        <w:rPr>
          <w:vertAlign w:val="superscript"/>
        </w:rPr>
        <w:t xml:space="preserve">, </w:t>
      </w:r>
      <w:r w:rsidR="005004C5">
        <w:rPr>
          <w:vertAlign w:val="superscript"/>
        </w:rPr>
        <w:t>b</w:t>
      </w:r>
      <w:r w:rsidR="005004C5" w:rsidRPr="2F830975">
        <w:rPr>
          <w:vertAlign w:val="superscript"/>
        </w:rPr>
        <w:t>)</w:t>
      </w:r>
      <w:r w:rsidR="005004C5">
        <w:t xml:space="preserve"> </w:t>
      </w:r>
      <w:r w:rsidR="00D9494C">
        <w:br/>
      </w:r>
      <w:r>
        <w:t>a</w:t>
      </w:r>
      <w:r w:rsidR="0016385D">
        <w:t xml:space="preserve">nd </w:t>
      </w:r>
      <w:proofErr w:type="spellStart"/>
      <w:r>
        <w:t>Shukhrat</w:t>
      </w:r>
      <w:proofErr w:type="spellEnd"/>
      <w:r>
        <w:t xml:space="preserve"> Khasanov</w:t>
      </w:r>
      <w:r w:rsidR="00B376CF">
        <w:rPr>
          <w:vertAlign w:val="superscript"/>
        </w:rPr>
        <w:t>5</w:t>
      </w:r>
      <w:r w:rsidR="003A5C85" w:rsidRPr="2F830975">
        <w:rPr>
          <w:vertAlign w:val="superscript"/>
        </w:rPr>
        <w:t xml:space="preserve">, </w:t>
      </w:r>
      <w:r w:rsidR="00B376CF">
        <w:rPr>
          <w:vertAlign w:val="superscript"/>
        </w:rPr>
        <w:t>e</w:t>
      </w:r>
      <w:r w:rsidR="003A5C85" w:rsidRPr="2F830975">
        <w:rPr>
          <w:vertAlign w:val="superscript"/>
        </w:rPr>
        <w:t>)</w:t>
      </w:r>
    </w:p>
    <w:p w14:paraId="5CFA9C09" w14:textId="623ABF34" w:rsidR="00C14B14" w:rsidRDefault="00027428" w:rsidP="00C14B14">
      <w:pPr>
        <w:pStyle w:val="AuthorAffiliation"/>
      </w:pPr>
      <w:r w:rsidRPr="00075EA6">
        <w:rPr>
          <w:i w:val="0"/>
          <w:iCs/>
          <w:vertAlign w:val="superscript"/>
        </w:rPr>
        <w:t>1</w:t>
      </w:r>
      <w:r w:rsidR="004D4DB8" w:rsidRPr="004D4DB8">
        <w:t>University of California - Berkeley, Berkeley, California, United States of America</w:t>
      </w:r>
      <w:r w:rsidR="0016782F" w:rsidRPr="00075EA6">
        <w:t>.</w:t>
      </w:r>
    </w:p>
    <w:p w14:paraId="1540EEFF" w14:textId="3DF10B05" w:rsidR="00C14B14" w:rsidRPr="00075EA6" w:rsidRDefault="0016782F" w:rsidP="00C14B14">
      <w:pPr>
        <w:pStyle w:val="AuthorAffiliation"/>
      </w:pPr>
      <w:r w:rsidRPr="00075EA6">
        <w:t xml:space="preserve"> </w:t>
      </w:r>
      <w:r w:rsidR="00C14B14" w:rsidRPr="00075EA6">
        <w:rPr>
          <w:i w:val="0"/>
          <w:iCs/>
          <w:vertAlign w:val="superscript"/>
        </w:rPr>
        <w:t>2</w:t>
      </w:r>
      <w:r w:rsidR="004D4DB8" w:rsidRPr="004D4DB8">
        <w:t xml:space="preserve">Urgench State University, </w:t>
      </w:r>
      <w:proofErr w:type="spellStart"/>
      <w:r w:rsidR="004D4DB8" w:rsidRPr="004D4DB8">
        <w:t>Urgench</w:t>
      </w:r>
      <w:proofErr w:type="spellEnd"/>
      <w:r w:rsidR="004D4DB8" w:rsidRPr="004D4DB8">
        <w:t>, Uzbekistan</w:t>
      </w:r>
      <w:r w:rsidR="00C14B14">
        <w:t>.</w:t>
      </w:r>
    </w:p>
    <w:p w14:paraId="771D6B6C" w14:textId="7BF938B0" w:rsidR="00C14B14" w:rsidRDefault="00C14B14" w:rsidP="00C14B14">
      <w:pPr>
        <w:pStyle w:val="AuthorAffiliation"/>
      </w:pPr>
      <w:r w:rsidRPr="00075EA6">
        <w:rPr>
          <w:i w:val="0"/>
          <w:iCs/>
          <w:vertAlign w:val="superscript"/>
        </w:rPr>
        <w:t>3</w:t>
      </w:r>
      <w:r w:rsidR="00B376CF" w:rsidRPr="00B376CF">
        <w:t>Miyamoto International - Silk Road, Tashkent, Uzbekistan</w:t>
      </w:r>
      <w:r>
        <w:t>.</w:t>
      </w:r>
    </w:p>
    <w:p w14:paraId="7ED74EA1" w14:textId="215E2DAD" w:rsidR="00B376CF" w:rsidRPr="00075EA6" w:rsidRDefault="00B376CF" w:rsidP="00B376CF">
      <w:pPr>
        <w:pStyle w:val="AuthorAffiliation"/>
      </w:pPr>
      <w:r w:rsidRPr="00075EA6">
        <w:t xml:space="preserve"> </w:t>
      </w:r>
      <w:r>
        <w:rPr>
          <w:i w:val="0"/>
          <w:iCs/>
          <w:vertAlign w:val="superscript"/>
        </w:rPr>
        <w:t>4</w:t>
      </w:r>
      <w:r w:rsidRPr="00B376CF">
        <w:t>Sigma Innovative Tech, Tashkent, Uzbekistan</w:t>
      </w:r>
      <w:r>
        <w:t>.</w:t>
      </w:r>
    </w:p>
    <w:p w14:paraId="24F07199" w14:textId="319B3D3D" w:rsidR="00B376CF" w:rsidRPr="00075EA6" w:rsidRDefault="00B376CF" w:rsidP="00B376CF">
      <w:pPr>
        <w:pStyle w:val="AuthorAffiliation"/>
      </w:pPr>
      <w:r>
        <w:rPr>
          <w:i w:val="0"/>
          <w:iCs/>
          <w:vertAlign w:val="superscript"/>
        </w:rPr>
        <w:t>5</w:t>
      </w:r>
      <w:r>
        <w:t>BNZ Industrial Support</w:t>
      </w:r>
      <w:r w:rsidRPr="00B376CF">
        <w:t>, Tashkent, Uzbekistan</w:t>
      </w:r>
      <w:r>
        <w:t>.</w:t>
      </w:r>
    </w:p>
    <w:p w14:paraId="397FDF14" w14:textId="563753C1" w:rsidR="00B376CF" w:rsidRPr="005F0F0B" w:rsidRDefault="005F0F0B" w:rsidP="005F0F0B">
      <w:pPr>
        <w:pStyle w:val="AuthorAffiliation"/>
        <w:rPr>
          <w:i w:val="0"/>
        </w:rPr>
      </w:pPr>
      <w:r>
        <w:br/>
      </w:r>
      <w:r w:rsidR="00003D7C" w:rsidRPr="00B376CF">
        <w:rPr>
          <w:szCs w:val="28"/>
          <w:vertAlign w:val="superscript"/>
        </w:rPr>
        <w:t>a)</w:t>
      </w:r>
      <w:r w:rsidR="00003D7C" w:rsidRPr="00B376CF">
        <w:t xml:space="preserve"> </w:t>
      </w:r>
      <w:r w:rsidR="00003D7C" w:rsidRPr="005F0F0B">
        <w:rPr>
          <w:i w:val="0"/>
        </w:rPr>
        <w:t>Corresponding</w:t>
      </w:r>
      <w:r w:rsidR="004E3CB2" w:rsidRPr="005F0F0B">
        <w:rPr>
          <w:i w:val="0"/>
        </w:rPr>
        <w:t xml:space="preserve"> author: </w:t>
      </w:r>
      <w:hyperlink r:id="rId9" w:history="1">
        <w:r w:rsidR="00B376CF" w:rsidRPr="005F0F0B">
          <w:rPr>
            <w:i w:val="0"/>
          </w:rPr>
          <w:t>takhirov@berkeley.edu</w:t>
        </w:r>
      </w:hyperlink>
    </w:p>
    <w:p w14:paraId="10F47C8F" w14:textId="23B18F96" w:rsidR="00B376CF" w:rsidRDefault="003A5C85" w:rsidP="00FB619B">
      <w:pPr>
        <w:pStyle w:val="AuthorEmail"/>
        <w:rPr>
          <w:i/>
        </w:rPr>
      </w:pPr>
      <w:r w:rsidRPr="00B376CF">
        <w:rPr>
          <w:i/>
          <w:szCs w:val="28"/>
          <w:vertAlign w:val="superscript"/>
        </w:rPr>
        <w:t>b)</w:t>
      </w:r>
      <w:r w:rsidR="00B376CF" w:rsidRPr="00B376CF">
        <w:rPr>
          <w:i/>
          <w:szCs w:val="28"/>
          <w:vertAlign w:val="superscript"/>
        </w:rPr>
        <w:t xml:space="preserve"> </w:t>
      </w:r>
      <w:hyperlink r:id="rId10" w:history="1">
        <w:r w:rsidR="00B376CF" w:rsidRPr="00FB619B">
          <w:t>Rah-Bahodir@yandex.ru</w:t>
        </w:r>
      </w:hyperlink>
    </w:p>
    <w:p w14:paraId="71D6AA5D" w14:textId="5B0C9254" w:rsidR="00B376CF" w:rsidRPr="00FB619B" w:rsidRDefault="00B376CF" w:rsidP="00FB619B">
      <w:pPr>
        <w:pStyle w:val="AuthorEmail"/>
      </w:pPr>
      <w:r>
        <w:rPr>
          <w:i/>
          <w:szCs w:val="28"/>
          <w:vertAlign w:val="superscript"/>
        </w:rPr>
        <w:t>c</w:t>
      </w:r>
      <w:r w:rsidRPr="00B376CF">
        <w:rPr>
          <w:i/>
          <w:szCs w:val="28"/>
          <w:vertAlign w:val="superscript"/>
        </w:rPr>
        <w:t xml:space="preserve">) </w:t>
      </w:r>
      <w:hyperlink r:id="rId11" w:history="1">
        <w:r w:rsidRPr="00FB619B">
          <w:t>m.akhmedov@miyamotointernational.com</w:t>
        </w:r>
      </w:hyperlink>
      <w:r w:rsidRPr="00FB619B">
        <w:t xml:space="preserve"> </w:t>
      </w:r>
    </w:p>
    <w:p w14:paraId="4CC72A2F" w14:textId="579F8C1F" w:rsidR="00B376CF" w:rsidRDefault="00B376CF" w:rsidP="00FB619B">
      <w:pPr>
        <w:pStyle w:val="AuthorEmail"/>
        <w:rPr>
          <w:i/>
        </w:rPr>
      </w:pPr>
      <w:r>
        <w:rPr>
          <w:i/>
          <w:szCs w:val="28"/>
          <w:vertAlign w:val="superscript"/>
        </w:rPr>
        <w:t>d</w:t>
      </w:r>
      <w:r w:rsidRPr="00B376CF">
        <w:rPr>
          <w:i/>
          <w:szCs w:val="28"/>
          <w:vertAlign w:val="superscript"/>
        </w:rPr>
        <w:t xml:space="preserve">) </w:t>
      </w:r>
      <w:hyperlink r:id="rId12" w:history="1">
        <w:r w:rsidRPr="00FB619B">
          <w:t>shamansurov@rambler.ru</w:t>
        </w:r>
      </w:hyperlink>
      <w:r>
        <w:rPr>
          <w:i/>
        </w:rPr>
        <w:t xml:space="preserve"> </w:t>
      </w:r>
    </w:p>
    <w:p w14:paraId="6FE055D9" w14:textId="374FE82F" w:rsidR="00B376CF" w:rsidRDefault="00B376CF" w:rsidP="00FB619B">
      <w:pPr>
        <w:pStyle w:val="AuthorEmail"/>
        <w:rPr>
          <w:i/>
        </w:rPr>
      </w:pPr>
      <w:r>
        <w:rPr>
          <w:i/>
          <w:szCs w:val="28"/>
          <w:vertAlign w:val="superscript"/>
        </w:rPr>
        <w:t>e</w:t>
      </w:r>
      <w:r w:rsidRPr="00B376CF">
        <w:rPr>
          <w:i/>
          <w:szCs w:val="28"/>
          <w:vertAlign w:val="superscript"/>
        </w:rPr>
        <w:t xml:space="preserve">) </w:t>
      </w:r>
      <w:hyperlink r:id="rId13" w:history="1">
        <w:r w:rsidR="005004C5" w:rsidRPr="00FB619B">
          <w:t>xasanovshuxrat999@gmail.com</w:t>
        </w:r>
      </w:hyperlink>
      <w:r w:rsidR="005004C5" w:rsidRPr="00FB619B">
        <w:t xml:space="preserve"> </w:t>
      </w:r>
    </w:p>
    <w:p w14:paraId="5A5EE895" w14:textId="3B8D4BCA" w:rsidR="005004C5" w:rsidRDefault="0016385D" w:rsidP="00C14B14">
      <w:pPr>
        <w:pStyle w:val="Abstract"/>
      </w:pPr>
      <w:r w:rsidRPr="00075EA6">
        <w:rPr>
          <w:b/>
          <w:bCs/>
        </w:rPr>
        <w:t>Abstract.</w:t>
      </w:r>
      <w:r w:rsidRPr="00075EA6">
        <w:t xml:space="preserve"> </w:t>
      </w:r>
      <w:r w:rsidR="007416D9">
        <w:t xml:space="preserve">The paper is focused on the structural assessment of the ancient monument in the </w:t>
      </w:r>
      <w:proofErr w:type="spellStart"/>
      <w:r w:rsidR="007416D9">
        <w:t>Khorezm</w:t>
      </w:r>
      <w:proofErr w:type="spellEnd"/>
      <w:r w:rsidR="007416D9">
        <w:t xml:space="preserve"> region of Uzbekistan. A historic fortress, "</w:t>
      </w:r>
      <w:proofErr w:type="spellStart"/>
      <w:r w:rsidR="007416D9">
        <w:t>Ully</w:t>
      </w:r>
      <w:proofErr w:type="spellEnd"/>
      <w:r w:rsidR="007416D9">
        <w:t xml:space="preserve"> </w:t>
      </w:r>
      <w:proofErr w:type="spellStart"/>
      <w:r w:rsidR="007416D9">
        <w:t>Hovli</w:t>
      </w:r>
      <w:proofErr w:type="spellEnd"/>
      <w:r w:rsidR="007416D9">
        <w:t>," was studied. A terrestrial laser scanner was used to collect information about it</w:t>
      </w:r>
      <w:r w:rsidR="00B10134" w:rsidRPr="00075EA6">
        <w:t>.</w:t>
      </w:r>
      <w:r w:rsidR="007416D9">
        <w:t xml:space="preserve"> The laser scanner produced the so-called point cloud containing detailed information about its current geometry, including all imperfections and possible structural anomalies. The point cloud was investigated for two walls. One of the walls</w:t>
      </w:r>
      <w:r w:rsidR="005004C5">
        <w:t>—the front wall on the right side of the main entrance—</w:t>
      </w:r>
      <w:r w:rsidR="007416D9">
        <w:t>was fully reconstructed during the recent restoration effort.</w:t>
      </w:r>
      <w:r w:rsidR="00A12428">
        <w:t xml:space="preserve"> The analysis conducted during this study showed that this wall mimics the taper common to this type of construction from untreated earthen materials, called </w:t>
      </w:r>
      <w:proofErr w:type="spellStart"/>
      <w:r w:rsidR="00A12428">
        <w:t>pakhsa</w:t>
      </w:r>
      <w:proofErr w:type="spellEnd"/>
      <w:r w:rsidR="00A12428">
        <w:t>. It was shown that this wall has a much more regular structure than the inner wall, which was preserved with very limited alterations. It was shown that this inner wall has an irregular structure, with large indentations that reduce its thickness. This paper discusses the preliminary results of the analysis. The research team plans to conduct a new expedition to collect additional point clouds with a laser scanner</w:t>
      </w:r>
      <w:r w:rsidR="005004C5">
        <w:t>,</w:t>
      </w:r>
      <w:r w:rsidR="00A12428">
        <w:t xml:space="preserve"> a</w:t>
      </w:r>
      <w:r w:rsidR="005004C5">
        <w:t>n</w:t>
      </w:r>
      <w:r w:rsidR="00A12428">
        <w:t>d future work will yield more results.</w:t>
      </w:r>
    </w:p>
    <w:p w14:paraId="5240E3FB" w14:textId="7D5EE8C6" w:rsidR="003A287B" w:rsidRPr="00075EA6" w:rsidRDefault="00637F62" w:rsidP="00003D7C">
      <w:pPr>
        <w:pStyle w:val="1"/>
        <w:rPr>
          <w:b w:val="0"/>
          <w:caps w:val="0"/>
          <w:sz w:val="20"/>
        </w:rPr>
      </w:pPr>
      <w:r>
        <w:t>Introduction</w:t>
      </w:r>
    </w:p>
    <w:p w14:paraId="3C6B944B" w14:textId="604002E1" w:rsidR="00637F62" w:rsidRDefault="00637F62" w:rsidP="00637F62">
      <w:pPr>
        <w:pStyle w:val="Paragraph"/>
      </w:pPr>
      <w:r>
        <w:t>"</w:t>
      </w:r>
      <w:proofErr w:type="spellStart"/>
      <w:r w:rsidRPr="00637F62">
        <w:t>Ully</w:t>
      </w:r>
      <w:proofErr w:type="spellEnd"/>
      <w:r w:rsidRPr="00637F62">
        <w:t xml:space="preserve"> </w:t>
      </w:r>
      <w:proofErr w:type="spellStart"/>
      <w:r w:rsidRPr="00637F62">
        <w:t>Hovli</w:t>
      </w:r>
      <w:proofErr w:type="spellEnd"/>
      <w:r>
        <w:t xml:space="preserve">" (also known as </w:t>
      </w:r>
      <w:proofErr w:type="spellStart"/>
      <w:r>
        <w:t>Ulli</w:t>
      </w:r>
      <w:proofErr w:type="spellEnd"/>
      <w:r>
        <w:t xml:space="preserve"> </w:t>
      </w:r>
      <w:proofErr w:type="spellStart"/>
      <w:r>
        <w:t>Hovli</w:t>
      </w:r>
      <w:proofErr w:type="spellEnd"/>
      <w:r w:rsidR="000D08B0">
        <w:t xml:space="preserve">, </w:t>
      </w:r>
      <w:proofErr w:type="spellStart"/>
      <w:r w:rsidR="000D08B0">
        <w:t>Uly</w:t>
      </w:r>
      <w:proofErr w:type="spellEnd"/>
      <w:r w:rsidR="000D08B0">
        <w:t xml:space="preserve"> </w:t>
      </w:r>
      <w:proofErr w:type="spellStart"/>
      <w:r w:rsidR="004D4DB8">
        <w:t>H</w:t>
      </w:r>
      <w:r w:rsidR="000D08B0">
        <w:t>owly</w:t>
      </w:r>
      <w:proofErr w:type="spellEnd"/>
      <w:r w:rsidR="000D08B0">
        <w:t>,</w:t>
      </w:r>
      <w:r w:rsidR="003817B1">
        <w:t xml:space="preserve"> </w:t>
      </w:r>
      <w:r>
        <w:t xml:space="preserve">or </w:t>
      </w:r>
      <w:proofErr w:type="spellStart"/>
      <w:r>
        <w:t>Ulli-Huli</w:t>
      </w:r>
      <w:proofErr w:type="spellEnd"/>
      <w:r>
        <w:t xml:space="preserve">) is a historical fortress-settlement and cultural complex in the </w:t>
      </w:r>
      <w:proofErr w:type="spellStart"/>
      <w:r>
        <w:t>Khorezm</w:t>
      </w:r>
      <w:proofErr w:type="spellEnd"/>
      <w:r>
        <w:t xml:space="preserve"> region of Uzbekistan. The word-by-word translation of the name stands for "big yard" or "large house" in the local language. It was originally constructed in the 17th century and has recently been restored as a heritage and cultural space for the Turkmen people. The </w:t>
      </w:r>
      <w:r w:rsidR="005004C5">
        <w:t xml:space="preserve">entrance walls and </w:t>
      </w:r>
      <w:r>
        <w:t xml:space="preserve">plaque of the monument is presented in </w:t>
      </w:r>
      <w:r w:rsidR="00FB619B">
        <w:t xml:space="preserve">fug. </w:t>
      </w:r>
      <w:r>
        <w:t>1.</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616"/>
      </w:tblGrid>
      <w:tr w:rsidR="000D08B0" w14:paraId="2CEE8C96" w14:textId="77777777" w:rsidTr="00FB619B">
        <w:trPr>
          <w:trHeight w:val="2974"/>
        </w:trPr>
        <w:tc>
          <w:tcPr>
            <w:tcW w:w="4744" w:type="dxa"/>
          </w:tcPr>
          <w:p w14:paraId="2BE5F219" w14:textId="1E703E38" w:rsidR="000D08B0" w:rsidRDefault="000D08B0" w:rsidP="005B11EA">
            <w:pPr>
              <w:pStyle w:val="Paragraph"/>
              <w:ind w:firstLine="0"/>
              <w:jc w:val="center"/>
            </w:pPr>
            <w:r>
              <w:rPr>
                <w:noProof/>
                <w:lang w:val="ru-RU" w:eastAsia="ja-JP"/>
              </w:rPr>
              <w:lastRenderedPageBreak/>
              <w:drawing>
                <wp:inline distT="0" distB="0" distL="0" distR="0" wp14:anchorId="530FA623" wp14:editId="2206E199">
                  <wp:extent cx="2830446" cy="2120747"/>
                  <wp:effectExtent l="0" t="0" r="8255" b="0"/>
                  <wp:docPr id="3585466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46640" name="Picture 3585466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5628" cy="2124630"/>
                          </a:xfrm>
                          <a:prstGeom prst="rect">
                            <a:avLst/>
                          </a:prstGeom>
                        </pic:spPr>
                      </pic:pic>
                    </a:graphicData>
                  </a:graphic>
                </wp:inline>
              </w:drawing>
            </w:r>
          </w:p>
        </w:tc>
        <w:tc>
          <w:tcPr>
            <w:tcW w:w="4616" w:type="dxa"/>
          </w:tcPr>
          <w:p w14:paraId="2F856E8B" w14:textId="68DD01B9" w:rsidR="000D08B0" w:rsidRDefault="000D08B0" w:rsidP="005B11EA">
            <w:pPr>
              <w:pStyle w:val="Paragraph"/>
              <w:ind w:firstLine="0"/>
              <w:jc w:val="center"/>
            </w:pPr>
            <w:r>
              <w:rPr>
                <w:noProof/>
                <w:lang w:val="ru-RU" w:eastAsia="ja-JP"/>
              </w:rPr>
              <w:drawing>
                <wp:inline distT="0" distB="0" distL="0" distR="0" wp14:anchorId="01981178" wp14:editId="3EF04153">
                  <wp:extent cx="2648236" cy="2120265"/>
                  <wp:effectExtent l="0" t="0" r="0" b="0"/>
                  <wp:docPr id="528870755" name="Picture 5" descr="A sign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70755" name="Picture 5" descr="A sign in a garden&#10;&#10;AI-generated content may be incorrect."/>
                          <pic:cNvPicPr/>
                        </pic:nvPicPr>
                        <pic:blipFill rotWithShape="1">
                          <a:blip r:embed="rId15" cstate="print">
                            <a:extLst>
                              <a:ext uri="{28A0092B-C50C-407E-A947-70E740481C1C}">
                                <a14:useLocalDpi xmlns:a14="http://schemas.microsoft.com/office/drawing/2010/main" val="0"/>
                              </a:ext>
                            </a:extLst>
                          </a:blip>
                          <a:srcRect l="22746" t="15165" r="21025" b="24751"/>
                          <a:stretch>
                            <a:fillRect/>
                          </a:stretch>
                        </pic:blipFill>
                        <pic:spPr bwMode="auto">
                          <a:xfrm>
                            <a:off x="0" y="0"/>
                            <a:ext cx="2663133" cy="2132192"/>
                          </a:xfrm>
                          <a:prstGeom prst="rect">
                            <a:avLst/>
                          </a:prstGeom>
                          <a:ln>
                            <a:noFill/>
                          </a:ln>
                          <a:extLst>
                            <a:ext uri="{53640926-AAD7-44D8-BBD7-CCE9431645EC}">
                              <a14:shadowObscured xmlns:a14="http://schemas.microsoft.com/office/drawing/2010/main"/>
                            </a:ext>
                          </a:extLst>
                        </pic:spPr>
                      </pic:pic>
                    </a:graphicData>
                  </a:graphic>
                </wp:inline>
              </w:drawing>
            </w:r>
          </w:p>
        </w:tc>
      </w:tr>
      <w:tr w:rsidR="000D08B0" w14:paraId="0C9C5102" w14:textId="77777777" w:rsidTr="00FB619B">
        <w:trPr>
          <w:trHeight w:val="291"/>
        </w:trPr>
        <w:tc>
          <w:tcPr>
            <w:tcW w:w="4744" w:type="dxa"/>
          </w:tcPr>
          <w:p w14:paraId="569411E9" w14:textId="77777777" w:rsidR="000D08B0" w:rsidRDefault="000D08B0" w:rsidP="005B11EA">
            <w:pPr>
              <w:pStyle w:val="Paragraph"/>
              <w:ind w:firstLine="0"/>
              <w:jc w:val="center"/>
            </w:pPr>
            <w:r>
              <w:t>(a)</w:t>
            </w:r>
          </w:p>
        </w:tc>
        <w:tc>
          <w:tcPr>
            <w:tcW w:w="4616" w:type="dxa"/>
          </w:tcPr>
          <w:p w14:paraId="097FF310" w14:textId="77777777" w:rsidR="000D08B0" w:rsidRDefault="000D08B0" w:rsidP="005B11EA">
            <w:pPr>
              <w:pStyle w:val="Paragraph"/>
              <w:ind w:firstLine="0"/>
              <w:jc w:val="center"/>
            </w:pPr>
            <w:r>
              <w:t>(b)</w:t>
            </w:r>
          </w:p>
        </w:tc>
      </w:tr>
    </w:tbl>
    <w:p w14:paraId="7C569A2E" w14:textId="6029425C" w:rsidR="002D09DC" w:rsidRDefault="00637F62" w:rsidP="005F0F0B">
      <w:pPr>
        <w:pStyle w:val="FigureCaption"/>
        <w:spacing w:after="120"/>
      </w:pPr>
      <w:r>
        <w:rPr>
          <w:b/>
          <w:caps/>
        </w:rPr>
        <w:t>Figure 1.</w:t>
      </w:r>
      <w:r>
        <w:t xml:space="preserve"> </w:t>
      </w:r>
      <w:r w:rsidR="002D09DC">
        <w:t xml:space="preserve">The </w:t>
      </w:r>
      <w:r w:rsidR="000D08B0">
        <w:t xml:space="preserve">monument’s front wall on the </w:t>
      </w:r>
      <w:r w:rsidR="00B376CF">
        <w:t>left</w:t>
      </w:r>
      <w:r w:rsidR="000D08B0">
        <w:t xml:space="preserve"> side </w:t>
      </w:r>
      <w:r w:rsidR="002A5B7F">
        <w:t>of</w:t>
      </w:r>
      <w:r w:rsidR="000D08B0">
        <w:t xml:space="preserve"> the main entrance (a</w:t>
      </w:r>
      <w:r w:rsidR="00B376CF">
        <w:t>)</w:t>
      </w:r>
      <w:r w:rsidR="000D08B0">
        <w:t xml:space="preserve"> and its </w:t>
      </w:r>
      <w:r w:rsidR="002D09DC">
        <w:t xml:space="preserve">name plaque </w:t>
      </w:r>
      <w:r w:rsidR="000D08B0">
        <w:t>(b)</w:t>
      </w:r>
      <w:r w:rsidR="002D09DC">
        <w:t>.</w:t>
      </w:r>
    </w:p>
    <w:p w14:paraId="49D6FBD1" w14:textId="1E02FEF5" w:rsidR="002D09DC" w:rsidRDefault="00C75AF3" w:rsidP="002D09DC">
      <w:pPr>
        <w:pStyle w:val="Paragraph"/>
      </w:pPr>
      <w:r>
        <w:t xml:space="preserve">The monument’s history and its invaluable place in </w:t>
      </w:r>
      <w:r w:rsidR="002A5B7F">
        <w:t>Turkmen history in Central Asia are discussed in detail</w:t>
      </w:r>
      <w:r>
        <w:t xml:space="preserve"> in [1]. </w:t>
      </w:r>
      <w:r w:rsidR="003817B1">
        <w:t>T</w:t>
      </w:r>
      <w:r w:rsidR="00BD378A">
        <w:t xml:space="preserve">he monument </w:t>
      </w:r>
      <w:r>
        <w:t xml:space="preserve">underwent </w:t>
      </w:r>
      <w:r w:rsidR="00BD378A">
        <w:t>reconstruction</w:t>
      </w:r>
      <w:r w:rsidR="003817B1">
        <w:t>, which was completed in the fall of 2014</w:t>
      </w:r>
      <w:r w:rsidR="00BD378A">
        <w:t xml:space="preserve">. </w:t>
      </w:r>
      <w:r w:rsidR="00BD378A" w:rsidRPr="00BD378A">
        <w:t>The</w:t>
      </w:r>
      <w:r w:rsidR="00BD378A">
        <w:t xml:space="preserve"> work was conducted under </w:t>
      </w:r>
      <w:r w:rsidR="008969E0">
        <w:t xml:space="preserve">multiyear </w:t>
      </w:r>
      <w:r w:rsidR="00BD378A">
        <w:t>state funding [</w:t>
      </w:r>
      <w:r w:rsidR="002A5B7F">
        <w:t>2</w:t>
      </w:r>
      <w:r w:rsidR="00BD378A">
        <w:t xml:space="preserve">] from the program aiming at tourism development in the </w:t>
      </w:r>
      <w:proofErr w:type="spellStart"/>
      <w:r w:rsidR="00BD378A">
        <w:t>Khorezm</w:t>
      </w:r>
      <w:proofErr w:type="spellEnd"/>
      <w:r w:rsidR="00BD378A">
        <w:t xml:space="preserve"> region. </w:t>
      </w:r>
      <w:r w:rsidR="003817B1">
        <w:t>One of the festive</w:t>
      </w:r>
      <w:r w:rsidR="00BD378A">
        <w:t xml:space="preserve"> grand </w:t>
      </w:r>
      <w:r w:rsidR="003817B1">
        <w:t>openings</w:t>
      </w:r>
      <w:r w:rsidR="00BD378A">
        <w:t xml:space="preserve"> happened during the President of Turkmenistan's visit in April 2018 [</w:t>
      </w:r>
      <w:r w:rsidR="002A5B7F">
        <w:t>3</w:t>
      </w:r>
      <w:r w:rsidR="00BD378A">
        <w:t>]</w:t>
      </w:r>
      <w:r w:rsidR="00155B67" w:rsidRPr="00075EA6">
        <w:t xml:space="preserve">. </w:t>
      </w:r>
    </w:p>
    <w:p w14:paraId="1CACA7BD" w14:textId="2E7DF96D" w:rsidR="002D09DC" w:rsidRPr="00075EA6" w:rsidRDefault="002D09DC" w:rsidP="002D09DC">
      <w:pPr>
        <w:pStyle w:val="1"/>
        <w:rPr>
          <w:b w:val="0"/>
          <w:caps w:val="0"/>
          <w:sz w:val="20"/>
        </w:rPr>
      </w:pPr>
      <w:r>
        <w:t>Laser SCAnning</w:t>
      </w:r>
    </w:p>
    <w:p w14:paraId="72A3C1F7" w14:textId="0CE40A2A" w:rsidR="004D4DB8" w:rsidRDefault="002D09DC" w:rsidP="00FB619B">
      <w:pPr>
        <w:pStyle w:val="Paragraph"/>
      </w:pPr>
      <w:r>
        <w:t xml:space="preserve">A laser scanning project was conducted on </w:t>
      </w:r>
      <w:r w:rsidR="004D4DB8">
        <w:t>October 8</w:t>
      </w:r>
      <w:r>
        <w:t>, 2024, to acquire with high accuracy the current geometry of the object. A terrestrial laser scanner, C10, from Leica Geosystems was used. The laser scanning was conducted from 14 positions (the so-called stations), and all were stitched into a single point cloud in the Cyclone Register 360, also from Leica Geosystems</w:t>
      </w:r>
      <w:r w:rsidR="004F4FF6">
        <w:t xml:space="preserve"> [</w:t>
      </w:r>
      <w:r w:rsidR="002A5B7F">
        <w:t>4</w:t>
      </w:r>
      <w:r w:rsidR="004F4FF6">
        <w:t>]</w:t>
      </w:r>
      <w:r>
        <w:t xml:space="preserve">. A plan view of the final point cloud is presented in FIGURE 2. </w:t>
      </w:r>
    </w:p>
    <w:p w14:paraId="017947DA" w14:textId="5FFEA7C5" w:rsidR="002D09DC" w:rsidRDefault="002D09DC" w:rsidP="002D09DC">
      <w:pPr>
        <w:pStyle w:val="Paragraph"/>
        <w:jc w:val="center"/>
      </w:pPr>
      <w:r>
        <w:rPr>
          <w:noProof/>
          <w:lang w:val="ru-RU" w:eastAsia="ja-JP"/>
        </w:rPr>
        <w:drawing>
          <wp:inline distT="0" distB="0" distL="0" distR="0" wp14:anchorId="47771AAA" wp14:editId="2BB1ADCD">
            <wp:extent cx="4542963" cy="2933700"/>
            <wp:effectExtent l="0" t="0" r="0" b="0"/>
            <wp:docPr id="593773163" name="Picture 4" descr="A yellow and orange square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73163" name="Picture 4" descr="A yellow and orange square shap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0787" cy="2951668"/>
                    </a:xfrm>
                    <a:prstGeom prst="rect">
                      <a:avLst/>
                    </a:prstGeom>
                  </pic:spPr>
                </pic:pic>
              </a:graphicData>
            </a:graphic>
          </wp:inline>
        </w:drawing>
      </w:r>
    </w:p>
    <w:p w14:paraId="24C632BD" w14:textId="7E6A917D" w:rsidR="002D09DC" w:rsidRDefault="002D09DC" w:rsidP="005F0F0B">
      <w:pPr>
        <w:pStyle w:val="FigureCaption"/>
        <w:spacing w:after="120"/>
      </w:pPr>
      <w:r>
        <w:rPr>
          <w:b/>
          <w:caps/>
        </w:rPr>
        <w:t>Figure 2.</w:t>
      </w:r>
      <w:r>
        <w:t xml:space="preserve"> </w:t>
      </w:r>
      <w:r w:rsidR="004D4DB8">
        <w:t>The plan view</w:t>
      </w:r>
      <w:r>
        <w:t xml:space="preserve"> of the monument</w:t>
      </w:r>
      <w:r w:rsidR="004D4DB8">
        <w:t>’s point cloud</w:t>
      </w:r>
    </w:p>
    <w:p w14:paraId="15244354" w14:textId="30A68EF8" w:rsidR="000E691F" w:rsidRDefault="000E691F" w:rsidP="002D09DC">
      <w:pPr>
        <w:pStyle w:val="Paragraph"/>
      </w:pPr>
      <w:r>
        <w:t xml:space="preserve">The monument is constructed of </w:t>
      </w:r>
      <w:r w:rsidR="007B12F8">
        <w:t>uncured earthen material, or adobe. T</w:t>
      </w:r>
      <w:r>
        <w:t xml:space="preserve">his </w:t>
      </w:r>
      <w:r w:rsidR="007B12F8">
        <w:t>type</w:t>
      </w:r>
      <w:r>
        <w:t xml:space="preserve"> of construction is commonly called “</w:t>
      </w:r>
      <w:proofErr w:type="spellStart"/>
      <w:r>
        <w:t>pakhsa</w:t>
      </w:r>
      <w:proofErr w:type="spellEnd"/>
      <w:r>
        <w:t>” in the region of Central Asia. This type of construction is quite common in the region because of its low cost</w:t>
      </w:r>
      <w:r w:rsidR="007B12F8">
        <w:t xml:space="preserve"> and wide availability of this construction material [</w:t>
      </w:r>
      <w:r w:rsidR="002A5B7F">
        <w:t>5</w:t>
      </w:r>
      <w:r w:rsidR="00B11EFD">
        <w:t>-</w:t>
      </w:r>
      <w:r w:rsidR="002A5B7F">
        <w:t>7</w:t>
      </w:r>
      <w:r w:rsidR="007B12F8">
        <w:t>].</w:t>
      </w:r>
      <w:r>
        <w:t xml:space="preserve"> </w:t>
      </w:r>
      <w:r w:rsidR="00B11EFD">
        <w:t>Although it appears to be a simple construction technique, when the earthen material is properly prepared, placed, and cured, it can yield a material with adequate structural properties [</w:t>
      </w:r>
      <w:r w:rsidR="002A5B7F">
        <w:t>8</w:t>
      </w:r>
      <w:r w:rsidR="00B11EFD">
        <w:t xml:space="preserve">]. </w:t>
      </w:r>
      <w:r>
        <w:t xml:space="preserve"> </w:t>
      </w:r>
    </w:p>
    <w:p w14:paraId="5D56CD3C" w14:textId="0C4B9716" w:rsidR="0056495D" w:rsidRDefault="007B12F8" w:rsidP="002D09DC">
      <w:pPr>
        <w:pStyle w:val="Paragraph"/>
      </w:pPr>
      <w:r>
        <w:lastRenderedPageBreak/>
        <w:t>T</w:t>
      </w:r>
      <w:r w:rsidR="002D09DC">
        <w:t>he monument consists of a long corridor that leads from the main entrance to the inner courtyard</w:t>
      </w:r>
      <w:r>
        <w:t xml:space="preserve"> at its end</w:t>
      </w:r>
      <w:r w:rsidR="002D09DC">
        <w:t xml:space="preserve">. </w:t>
      </w:r>
      <w:r>
        <w:t>Based on the current arrangement,</w:t>
      </w:r>
      <w:r w:rsidR="002D09DC">
        <w:t xml:space="preserve"> the left side of the corridor</w:t>
      </w:r>
      <w:r>
        <w:t xml:space="preserve"> is occupied by a </w:t>
      </w:r>
      <w:r w:rsidR="002D09DC">
        <w:t xml:space="preserve">hotel </w:t>
      </w:r>
      <w:r>
        <w:t xml:space="preserve">and </w:t>
      </w:r>
      <w:r w:rsidR="002D09DC">
        <w:t xml:space="preserve">a few community rooms. On the right side of the corridor, a few museums are located after a large open space </w:t>
      </w:r>
      <w:r>
        <w:t xml:space="preserve">(smaller courtyard) </w:t>
      </w:r>
      <w:r w:rsidR="002D09DC">
        <w:t xml:space="preserve">allocated to </w:t>
      </w:r>
      <w:r w:rsidR="0056495D">
        <w:t xml:space="preserve">a stable with traditional animals. </w:t>
      </w:r>
    </w:p>
    <w:p w14:paraId="044E064D" w14:textId="38B4D88A" w:rsidR="0056495D" w:rsidRDefault="0056495D" w:rsidP="00FB619B">
      <w:pPr>
        <w:pStyle w:val="Paragraph"/>
      </w:pPr>
      <w:r>
        <w:t>The monument’s overall dimensions in a plan view are close to a rectangle with a length of close to 107.3 meters and a width of 64.3 meters, as presented in FIGURE 3.</w:t>
      </w:r>
    </w:p>
    <w:p w14:paraId="33773F08" w14:textId="03758A27" w:rsidR="0056495D" w:rsidRDefault="0056495D" w:rsidP="0056495D">
      <w:pPr>
        <w:pStyle w:val="Paragraph"/>
        <w:jc w:val="center"/>
      </w:pPr>
      <w:r>
        <w:rPr>
          <w:noProof/>
          <w:lang w:val="ru-RU" w:eastAsia="ja-JP"/>
        </w:rPr>
        <w:drawing>
          <wp:inline distT="0" distB="0" distL="0" distR="0" wp14:anchorId="4F41A10E" wp14:editId="4BD99C2D">
            <wp:extent cx="3933825" cy="2298933"/>
            <wp:effectExtent l="0" t="0" r="0" b="6350"/>
            <wp:docPr id="1608430436" name="Picture 6" descr="A group of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30436" name="Picture 6" descr="A group of building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83400" cy="2327905"/>
                    </a:xfrm>
                    <a:prstGeom prst="rect">
                      <a:avLst/>
                    </a:prstGeom>
                  </pic:spPr>
                </pic:pic>
              </a:graphicData>
            </a:graphic>
          </wp:inline>
        </w:drawing>
      </w:r>
    </w:p>
    <w:p w14:paraId="42618D51" w14:textId="36799966" w:rsidR="0056495D" w:rsidRPr="00FB619B" w:rsidRDefault="0056495D" w:rsidP="005F0F0B">
      <w:pPr>
        <w:pStyle w:val="FigureCaption"/>
        <w:spacing w:after="120"/>
        <w:rPr>
          <w:lang w:val="uz-Cyrl-UZ"/>
        </w:rPr>
      </w:pPr>
      <w:r>
        <w:rPr>
          <w:b/>
          <w:caps/>
        </w:rPr>
        <w:t>Figure 3.</w:t>
      </w:r>
      <w:r>
        <w:t xml:space="preserve"> </w:t>
      </w:r>
      <w:r w:rsidR="004D4DB8">
        <w:t>The overall dimensions of the monument</w:t>
      </w:r>
    </w:p>
    <w:p w14:paraId="60C3B378" w14:textId="214063AD" w:rsidR="0056495D" w:rsidRDefault="0056495D" w:rsidP="002D09DC">
      <w:pPr>
        <w:pStyle w:val="Paragraph"/>
      </w:pPr>
      <w:r>
        <w:t xml:space="preserve">An elevation view of the front wall is presented in </w:t>
      </w:r>
      <w:r w:rsidR="00FB619B">
        <w:t xml:space="preserve">fig. </w:t>
      </w:r>
      <w:r>
        <w:t>4.</w:t>
      </w:r>
      <w:r w:rsidR="00B376CF">
        <w:t xml:space="preserve"> As shown in the image, the front wall has two main towers right next to the entrance and three secondary towers on the left and right sides.</w:t>
      </w:r>
    </w:p>
    <w:p w14:paraId="78ED53AA" w14:textId="41072E69" w:rsidR="0056495D" w:rsidRDefault="0056495D" w:rsidP="002D09DC">
      <w:pPr>
        <w:pStyle w:val="FigureCaption"/>
        <w:rPr>
          <w:b/>
          <w:caps/>
        </w:rPr>
      </w:pPr>
      <w:r>
        <w:rPr>
          <w:b/>
          <w:caps/>
          <w:noProof/>
          <w:lang w:val="ru-RU" w:eastAsia="ja-JP"/>
        </w:rPr>
        <w:drawing>
          <wp:inline distT="0" distB="0" distL="0" distR="0" wp14:anchorId="4B8C525A" wp14:editId="11B09ABA">
            <wp:extent cx="5943600" cy="671195"/>
            <wp:effectExtent l="0" t="0" r="0" b="0"/>
            <wp:docPr id="13503107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10754" name="Picture 135031075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71195"/>
                    </a:xfrm>
                    <a:prstGeom prst="rect">
                      <a:avLst/>
                    </a:prstGeom>
                  </pic:spPr>
                </pic:pic>
              </a:graphicData>
            </a:graphic>
          </wp:inline>
        </w:drawing>
      </w:r>
    </w:p>
    <w:p w14:paraId="5F6C43E2" w14:textId="208B39CF" w:rsidR="002D09DC" w:rsidRDefault="002D09DC" w:rsidP="005F0F0B">
      <w:pPr>
        <w:pStyle w:val="FigureCaption"/>
        <w:spacing w:after="120"/>
      </w:pPr>
      <w:r>
        <w:rPr>
          <w:b/>
          <w:caps/>
        </w:rPr>
        <w:t xml:space="preserve">Figure </w:t>
      </w:r>
      <w:r w:rsidR="0056495D">
        <w:rPr>
          <w:b/>
          <w:caps/>
        </w:rPr>
        <w:t>4</w:t>
      </w:r>
      <w:r>
        <w:rPr>
          <w:b/>
          <w:caps/>
        </w:rPr>
        <w:t>.</w:t>
      </w:r>
      <w:r>
        <w:t xml:space="preserve"> </w:t>
      </w:r>
      <w:r w:rsidR="0056495D">
        <w:t>The elevation view of the front wall</w:t>
      </w:r>
    </w:p>
    <w:p w14:paraId="18ED9FED" w14:textId="72A031D6" w:rsidR="000E691F" w:rsidRDefault="000E691F" w:rsidP="002D09DC">
      <w:pPr>
        <w:pStyle w:val="Paragraph"/>
      </w:pPr>
      <w:r>
        <w:t xml:space="preserve">As mentioned earlier, the monument underwent a recent restoration. During the laser-scanning project, it was observed that a small courtyard that is dedicated as a stable for traditional animals has walls with limited restoration </w:t>
      </w:r>
      <w:r w:rsidR="002A5B7F">
        <w:t>signs</w:t>
      </w:r>
      <w:r>
        <w:t xml:space="preserve">, as presented in FIGURE 5. </w:t>
      </w:r>
    </w:p>
    <w:p w14:paraId="5B254832" w14:textId="2E5DC8A6" w:rsidR="000E691F" w:rsidRDefault="000E691F" w:rsidP="000E691F">
      <w:pPr>
        <w:pStyle w:val="FigureCaption"/>
        <w:rPr>
          <w:b/>
          <w:caps/>
        </w:rPr>
      </w:pPr>
      <w:r w:rsidRPr="000E691F">
        <w:rPr>
          <w:b/>
          <w:caps/>
          <w:noProof/>
          <w:lang w:val="ru-RU" w:eastAsia="ja-JP"/>
        </w:rPr>
        <w:drawing>
          <wp:inline distT="0" distB="0" distL="0" distR="0" wp14:anchorId="5EE75208" wp14:editId="3582B19F">
            <wp:extent cx="3838575" cy="2199390"/>
            <wp:effectExtent l="0" t="0" r="0" b="0"/>
            <wp:docPr id="1292028112" name="Picture 1" descr="A white stone wall with a crack in th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28112" name="Picture 1" descr="A white stone wall with a crack in the wall&#10;&#10;AI-generated content may be incorrect."/>
                    <pic:cNvPicPr/>
                  </pic:nvPicPr>
                  <pic:blipFill>
                    <a:blip r:embed="rId19"/>
                    <a:stretch>
                      <a:fillRect/>
                    </a:stretch>
                  </pic:blipFill>
                  <pic:spPr>
                    <a:xfrm>
                      <a:off x="0" y="0"/>
                      <a:ext cx="3852191" cy="2207191"/>
                    </a:xfrm>
                    <a:prstGeom prst="rect">
                      <a:avLst/>
                    </a:prstGeom>
                  </pic:spPr>
                </pic:pic>
              </a:graphicData>
            </a:graphic>
          </wp:inline>
        </w:drawing>
      </w:r>
    </w:p>
    <w:p w14:paraId="404F8613" w14:textId="6F79E1B2" w:rsidR="000E691F" w:rsidRDefault="000E691F" w:rsidP="005F0F0B">
      <w:pPr>
        <w:pStyle w:val="FigureCaption"/>
        <w:spacing w:after="120"/>
      </w:pPr>
      <w:r>
        <w:rPr>
          <w:b/>
          <w:caps/>
        </w:rPr>
        <w:t>Figure 5.</w:t>
      </w:r>
      <w:r>
        <w:t xml:space="preserve"> The wall of a small courtyard with limited restoration signs (</w:t>
      </w:r>
      <w:r w:rsidR="005F0F0B">
        <w:t>on the right side of the image)</w:t>
      </w:r>
    </w:p>
    <w:p w14:paraId="792ABD24" w14:textId="035B03A8" w:rsidR="000E691F" w:rsidRDefault="000E691F" w:rsidP="002D09DC">
      <w:pPr>
        <w:pStyle w:val="Paragraph"/>
      </w:pPr>
      <w:r>
        <w:t xml:space="preserve">Since this courtyard had exposed walls from the outside and inside, its walls were scanned from both sides to estimate the thickness of the walls and their taper. </w:t>
      </w:r>
      <w:r w:rsidR="004F4FF6">
        <w:t>The rest of the analysis of the monument’s point cloud was conducted in the MATLAB environment [</w:t>
      </w:r>
      <w:r w:rsidR="002A5B7F">
        <w:t>9</w:t>
      </w:r>
      <w:r w:rsidR="004F4FF6">
        <w:t xml:space="preserve">]. </w:t>
      </w:r>
    </w:p>
    <w:p w14:paraId="2DE50C83" w14:textId="6E6E1C57" w:rsidR="00B11EFD" w:rsidRPr="00075EA6" w:rsidRDefault="00B11EFD" w:rsidP="00B11EFD">
      <w:pPr>
        <w:pStyle w:val="1"/>
        <w:rPr>
          <w:b w:val="0"/>
          <w:caps w:val="0"/>
          <w:sz w:val="20"/>
        </w:rPr>
      </w:pPr>
      <w:r>
        <w:lastRenderedPageBreak/>
        <w:t>Front WALL: Fully Restored from both sides</w:t>
      </w:r>
    </w:p>
    <w:p w14:paraId="471DC632" w14:textId="0740374E" w:rsidR="00B11EFD" w:rsidRDefault="004F4FF6" w:rsidP="00B11EFD">
      <w:pPr>
        <w:pStyle w:val="Paragraph"/>
      </w:pPr>
      <w:r>
        <w:t>Based on the condition of the monument before reconstruction [</w:t>
      </w:r>
      <w:r w:rsidR="002A5B7F">
        <w:t>10</w:t>
      </w:r>
      <w:r>
        <w:t>], the front wall on the right side of the main entrance was fully rebuilt. This wall is investigated in more detail in this section of the paper. A few horizontal slices of the wall’s point cloud were investigated as presented in FIGURE 6</w:t>
      </w:r>
      <w:r w:rsidR="008969E0">
        <w:t>a</w:t>
      </w:r>
      <w:r>
        <w:t xml:space="preserve">. </w:t>
      </w:r>
      <w:r w:rsidR="008969E0">
        <w:t xml:space="preserve">The plan views of the respective sections are presented in FIGURE 6b. As shown in the latter image, the wall width increases gradually with elevation. It is quite common in </w:t>
      </w:r>
      <w:proofErr w:type="spellStart"/>
      <w:r w:rsidR="008969E0">
        <w:t>pakhsa</w:t>
      </w:r>
      <w:proofErr w:type="spellEnd"/>
      <w:r w:rsidR="008969E0">
        <w:t xml:space="preserve"> construction. The wall’s taper on the inside of the monument is larger than that on the front side. This conclusion is more visible in the vertical sections of the wall, which are shown in </w:t>
      </w:r>
      <w:r w:rsidR="00FB619B">
        <w:t xml:space="preserve">fig. </w:t>
      </w:r>
      <w:r w:rsidR="008969E0">
        <w:t>7.</w:t>
      </w:r>
    </w:p>
    <w:p w14:paraId="3F60A09F" w14:textId="77777777" w:rsidR="008969E0" w:rsidRDefault="008969E0" w:rsidP="00B11EFD">
      <w:pPr>
        <w:pStyle w:val="Paragrap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4594"/>
      </w:tblGrid>
      <w:tr w:rsidR="00DB7522" w14:paraId="5B008B5C" w14:textId="77777777" w:rsidTr="00AE343B">
        <w:trPr>
          <w:trHeight w:val="2974"/>
        </w:trPr>
        <w:tc>
          <w:tcPr>
            <w:tcW w:w="4788" w:type="dxa"/>
          </w:tcPr>
          <w:p w14:paraId="40FC1963" w14:textId="3E6AB796" w:rsidR="00DB7522" w:rsidRDefault="00DB7522" w:rsidP="00AE343B">
            <w:pPr>
              <w:pStyle w:val="Paragraph"/>
              <w:ind w:firstLine="0"/>
              <w:jc w:val="center"/>
            </w:pPr>
            <w:r>
              <w:rPr>
                <w:noProof/>
                <w:lang w:val="ru-RU" w:eastAsia="ja-JP"/>
              </w:rPr>
              <w:drawing>
                <wp:inline distT="0" distB="0" distL="0" distR="0" wp14:anchorId="1F11BA94" wp14:editId="0140D2A3">
                  <wp:extent cx="2762250" cy="2249721"/>
                  <wp:effectExtent l="0" t="0" r="0" b="0"/>
                  <wp:docPr id="344149095" name="Picture 1" descr="A multicolored graph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49095" name="Picture 1" descr="A multicolored graph of a building&#10;&#10;AI-generated content may be incorrect."/>
                          <pic:cNvPicPr/>
                        </pic:nvPicPr>
                        <pic:blipFill rotWithShape="1">
                          <a:blip r:embed="rId20" cstate="print">
                            <a:extLst>
                              <a:ext uri="{28A0092B-C50C-407E-A947-70E740481C1C}">
                                <a14:useLocalDpi xmlns:a14="http://schemas.microsoft.com/office/drawing/2010/main" val="0"/>
                              </a:ext>
                            </a:extLst>
                          </a:blip>
                          <a:srcRect t="3320" r="1500"/>
                          <a:stretch>
                            <a:fillRect/>
                          </a:stretch>
                        </pic:blipFill>
                        <pic:spPr bwMode="auto">
                          <a:xfrm>
                            <a:off x="0" y="0"/>
                            <a:ext cx="2770392" cy="2256353"/>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2266C0D6" w14:textId="6C027393" w:rsidR="00DB7522" w:rsidRDefault="00DB7522" w:rsidP="00AE343B">
            <w:pPr>
              <w:pStyle w:val="Paragraph"/>
              <w:ind w:firstLine="0"/>
              <w:jc w:val="center"/>
            </w:pPr>
            <w:r>
              <w:rPr>
                <w:noProof/>
                <w:lang w:val="ru-RU" w:eastAsia="ja-JP"/>
              </w:rPr>
              <w:drawing>
                <wp:inline distT="0" distB="0" distL="0" distR="0" wp14:anchorId="3518D0B4" wp14:editId="646855CE">
                  <wp:extent cx="1667719" cy="2249170"/>
                  <wp:effectExtent l="0" t="0" r="8890" b="0"/>
                  <wp:docPr id="2117456277" name="Picture 3"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56277" name="Picture 3" descr="A graph of a number of objects&#10;&#10;AI-generated content may be incorrect."/>
                          <pic:cNvPicPr/>
                        </pic:nvPicPr>
                        <pic:blipFill rotWithShape="1">
                          <a:blip r:embed="rId21" cstate="print">
                            <a:extLst>
                              <a:ext uri="{28A0092B-C50C-407E-A947-70E740481C1C}">
                                <a14:useLocalDpi xmlns:a14="http://schemas.microsoft.com/office/drawing/2010/main" val="0"/>
                              </a:ext>
                            </a:extLst>
                          </a:blip>
                          <a:srcRect l="8014" t="6504" r="51633" b="2968"/>
                          <a:stretch>
                            <a:fillRect/>
                          </a:stretch>
                        </pic:blipFill>
                        <pic:spPr bwMode="auto">
                          <a:xfrm>
                            <a:off x="0" y="0"/>
                            <a:ext cx="1674925" cy="2258888"/>
                          </a:xfrm>
                          <a:prstGeom prst="rect">
                            <a:avLst/>
                          </a:prstGeom>
                          <a:ln>
                            <a:noFill/>
                          </a:ln>
                          <a:extLst>
                            <a:ext uri="{53640926-AAD7-44D8-BBD7-CCE9431645EC}">
                              <a14:shadowObscured xmlns:a14="http://schemas.microsoft.com/office/drawing/2010/main"/>
                            </a:ext>
                          </a:extLst>
                        </pic:spPr>
                      </pic:pic>
                    </a:graphicData>
                  </a:graphic>
                </wp:inline>
              </w:drawing>
            </w:r>
          </w:p>
        </w:tc>
      </w:tr>
      <w:tr w:rsidR="00DB7522" w14:paraId="00DD4653" w14:textId="77777777" w:rsidTr="00AE343B">
        <w:trPr>
          <w:trHeight w:val="291"/>
        </w:trPr>
        <w:tc>
          <w:tcPr>
            <w:tcW w:w="4788" w:type="dxa"/>
          </w:tcPr>
          <w:p w14:paraId="3EEF3C69" w14:textId="77777777" w:rsidR="00DB7522" w:rsidRDefault="00DB7522" w:rsidP="00AE343B">
            <w:pPr>
              <w:pStyle w:val="Paragraph"/>
              <w:ind w:firstLine="0"/>
              <w:jc w:val="center"/>
            </w:pPr>
            <w:r>
              <w:t>(a)</w:t>
            </w:r>
          </w:p>
        </w:tc>
        <w:tc>
          <w:tcPr>
            <w:tcW w:w="4788" w:type="dxa"/>
          </w:tcPr>
          <w:p w14:paraId="7AED68E0" w14:textId="77777777" w:rsidR="00DB7522" w:rsidRDefault="00DB7522" w:rsidP="00AE343B">
            <w:pPr>
              <w:pStyle w:val="Paragraph"/>
              <w:ind w:firstLine="0"/>
              <w:jc w:val="center"/>
            </w:pPr>
            <w:r>
              <w:t>(b)</w:t>
            </w:r>
          </w:p>
        </w:tc>
      </w:tr>
    </w:tbl>
    <w:p w14:paraId="43DF95D3" w14:textId="6C46E147" w:rsidR="00DB7522" w:rsidRDefault="00DB7522" w:rsidP="005F0F0B">
      <w:pPr>
        <w:pStyle w:val="FigureCaption"/>
        <w:spacing w:before="0" w:after="120"/>
      </w:pPr>
      <w:r>
        <w:rPr>
          <w:b/>
          <w:caps/>
        </w:rPr>
        <w:t xml:space="preserve">Figure </w:t>
      </w:r>
      <w:r w:rsidR="004F4FF6">
        <w:rPr>
          <w:b/>
          <w:caps/>
        </w:rPr>
        <w:t>6</w:t>
      </w:r>
      <w:r>
        <w:rPr>
          <w:b/>
          <w:caps/>
        </w:rPr>
        <w:t>.</w:t>
      </w:r>
      <w:r>
        <w:t xml:space="preserve"> The </w:t>
      </w:r>
      <w:r w:rsidR="008969E0">
        <w:t xml:space="preserve">horizontal sections of the </w:t>
      </w:r>
      <w:r>
        <w:t xml:space="preserve">monument’s front wall on the </w:t>
      </w:r>
      <w:r w:rsidR="008969E0">
        <w:t>right</w:t>
      </w:r>
      <w:r>
        <w:t xml:space="preserve"> side</w:t>
      </w:r>
      <w:r w:rsidR="000739B1">
        <w:t xml:space="preserve"> of</w:t>
      </w:r>
      <w:r>
        <w:t xml:space="preserve"> the main entrance (a)</w:t>
      </w:r>
      <w:r w:rsidR="008969E0">
        <w:t>,</w:t>
      </w:r>
      <w:r>
        <w:t xml:space="preserve"> and </w:t>
      </w:r>
      <w:r w:rsidR="008969E0">
        <w:t>plan views of the sections</w:t>
      </w:r>
      <w:r w:rsidR="005F0F0B">
        <w:t xml:space="preserve"> (b)</w:t>
      </w:r>
    </w:p>
    <w:p w14:paraId="6CA03551" w14:textId="0DAE3608" w:rsidR="000739B1" w:rsidRDefault="00FB619B" w:rsidP="00FB619B">
      <w:pPr>
        <w:pStyle w:val="Paragraph"/>
      </w:pPr>
      <w:r>
        <w:t xml:space="preserve">Fig. </w:t>
      </w:r>
      <w:r w:rsidR="000739B1">
        <w:t xml:space="preserve">7a shows an isometric view of the wall with two vertical slices marked by red and green. The elevation views are presented in </w:t>
      </w:r>
      <w:r>
        <w:t xml:space="preserve">fig. </w:t>
      </w:r>
      <w:r w:rsidR="000739B1">
        <w:t xml:space="preserve">7b. It shows that the wall thickness varies from 1.33 m at the bottom to 0.46 m at the very top. The thickness of the tower (shown in red) is much larger than that. It varies from 2.24 m at the bottom of the tower to 1.27 m at its top. Since it is a modern construction, the wall thickness is very consistent along its length, as shown in the plan view sections of </w:t>
      </w:r>
      <w:r>
        <w:t xml:space="preserve">fig. </w:t>
      </w:r>
      <w:r w:rsidR="000739B1">
        <w:t xml:space="preserve">6b. That is why only vertical sections are shown in </w:t>
      </w:r>
      <w:r>
        <w:t xml:space="preserve">fig. </w:t>
      </w:r>
      <w:r w:rsidR="000739B1">
        <w:t>7 as representative examples.</w:t>
      </w:r>
      <w:r w:rsidR="002A5B7F">
        <w:t xml:space="preserve"> The exterior walls are about 5.5 m tall.</w:t>
      </w:r>
      <w:r w:rsidR="000739B1">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3864"/>
      </w:tblGrid>
      <w:tr w:rsidR="00CC0721" w14:paraId="26D60329" w14:textId="77777777" w:rsidTr="00AE343B">
        <w:trPr>
          <w:trHeight w:val="2974"/>
        </w:trPr>
        <w:tc>
          <w:tcPr>
            <w:tcW w:w="4788" w:type="dxa"/>
          </w:tcPr>
          <w:p w14:paraId="57B4E587" w14:textId="0A000685" w:rsidR="00347057" w:rsidRDefault="00347057" w:rsidP="00AE343B">
            <w:pPr>
              <w:pStyle w:val="Paragraph"/>
              <w:ind w:firstLine="0"/>
              <w:jc w:val="center"/>
            </w:pPr>
            <w:r>
              <w:rPr>
                <w:noProof/>
                <w:lang w:val="ru-RU" w:eastAsia="ja-JP"/>
              </w:rPr>
              <w:drawing>
                <wp:inline distT="0" distB="0" distL="0" distR="0" wp14:anchorId="3E06D5F0" wp14:editId="1CCFA136">
                  <wp:extent cx="3348990" cy="2306724"/>
                  <wp:effectExtent l="0" t="0" r="3810" b="0"/>
                  <wp:docPr id="705331634" name="Picture 4" descr="A rainbow colored object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31634" name="Picture 4" descr="A rainbow colored object with number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4928" cy="2317702"/>
                          </a:xfrm>
                          <a:prstGeom prst="rect">
                            <a:avLst/>
                          </a:prstGeom>
                        </pic:spPr>
                      </pic:pic>
                    </a:graphicData>
                  </a:graphic>
                </wp:inline>
              </w:drawing>
            </w:r>
          </w:p>
        </w:tc>
        <w:tc>
          <w:tcPr>
            <w:tcW w:w="4788" w:type="dxa"/>
          </w:tcPr>
          <w:p w14:paraId="51D6570A" w14:textId="40FCCA81" w:rsidR="00347057" w:rsidRDefault="00F568D8" w:rsidP="00AE343B">
            <w:pPr>
              <w:pStyle w:val="Paragraph"/>
              <w:ind w:firstLine="0"/>
              <w:jc w:val="center"/>
            </w:pPr>
            <w:r>
              <w:rPr>
                <w:noProof/>
                <w:lang w:val="ru-RU" w:eastAsia="ja-JP"/>
              </w:rPr>
              <w:drawing>
                <wp:inline distT="0" distB="0" distL="0" distR="0" wp14:anchorId="3CF19AAB" wp14:editId="1DC93D9E">
                  <wp:extent cx="1582182" cy="2228850"/>
                  <wp:effectExtent l="0" t="0" r="0" b="0"/>
                  <wp:docPr id="595181314" name="Picture 2"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181314" name="Picture 2" descr="A graph of a graph of a graph&#10;&#10;AI-generated content may be incorrect."/>
                          <pic:cNvPicPr/>
                        </pic:nvPicPr>
                        <pic:blipFill rotWithShape="1">
                          <a:blip r:embed="rId23" cstate="print">
                            <a:extLst>
                              <a:ext uri="{28A0092B-C50C-407E-A947-70E740481C1C}">
                                <a14:useLocalDpi xmlns:a14="http://schemas.microsoft.com/office/drawing/2010/main" val="0"/>
                              </a:ext>
                            </a:extLst>
                          </a:blip>
                          <a:srcRect l="9073" t="5967" r="52207" b="3302"/>
                          <a:stretch>
                            <a:fillRect/>
                          </a:stretch>
                        </pic:blipFill>
                        <pic:spPr bwMode="auto">
                          <a:xfrm>
                            <a:off x="0" y="0"/>
                            <a:ext cx="1593677" cy="2245043"/>
                          </a:xfrm>
                          <a:prstGeom prst="rect">
                            <a:avLst/>
                          </a:prstGeom>
                          <a:ln>
                            <a:noFill/>
                          </a:ln>
                          <a:extLst>
                            <a:ext uri="{53640926-AAD7-44D8-BBD7-CCE9431645EC}">
                              <a14:shadowObscured xmlns:a14="http://schemas.microsoft.com/office/drawing/2010/main"/>
                            </a:ext>
                          </a:extLst>
                        </pic:spPr>
                      </pic:pic>
                    </a:graphicData>
                  </a:graphic>
                </wp:inline>
              </w:drawing>
            </w:r>
          </w:p>
        </w:tc>
      </w:tr>
      <w:tr w:rsidR="00CC0721" w14:paraId="7181F1C7" w14:textId="77777777" w:rsidTr="00AE343B">
        <w:trPr>
          <w:trHeight w:val="291"/>
        </w:trPr>
        <w:tc>
          <w:tcPr>
            <w:tcW w:w="4788" w:type="dxa"/>
          </w:tcPr>
          <w:p w14:paraId="7B43FE47" w14:textId="77777777" w:rsidR="00347057" w:rsidRDefault="00347057" w:rsidP="00AE343B">
            <w:pPr>
              <w:pStyle w:val="Paragraph"/>
              <w:ind w:firstLine="0"/>
              <w:jc w:val="center"/>
            </w:pPr>
            <w:r>
              <w:t>(a)</w:t>
            </w:r>
          </w:p>
        </w:tc>
        <w:tc>
          <w:tcPr>
            <w:tcW w:w="4788" w:type="dxa"/>
          </w:tcPr>
          <w:p w14:paraId="7A7EE772" w14:textId="77777777" w:rsidR="00347057" w:rsidRDefault="00347057" w:rsidP="00AE343B">
            <w:pPr>
              <w:pStyle w:val="Paragraph"/>
              <w:ind w:firstLine="0"/>
              <w:jc w:val="center"/>
            </w:pPr>
            <w:r>
              <w:t>(b)</w:t>
            </w:r>
          </w:p>
        </w:tc>
      </w:tr>
    </w:tbl>
    <w:p w14:paraId="212558C1" w14:textId="0199089C" w:rsidR="00347057" w:rsidRDefault="00347057" w:rsidP="005F0F0B">
      <w:pPr>
        <w:pStyle w:val="FigureCaption"/>
        <w:spacing w:before="0"/>
      </w:pPr>
      <w:r>
        <w:rPr>
          <w:b/>
          <w:caps/>
        </w:rPr>
        <w:t xml:space="preserve">Figure </w:t>
      </w:r>
      <w:r w:rsidR="000739B1">
        <w:rPr>
          <w:b/>
          <w:caps/>
        </w:rPr>
        <w:t>7</w:t>
      </w:r>
      <w:r>
        <w:rPr>
          <w:b/>
          <w:caps/>
        </w:rPr>
        <w:t>.</w:t>
      </w:r>
      <w:r>
        <w:t xml:space="preserve"> </w:t>
      </w:r>
      <w:r w:rsidR="000739B1">
        <w:t>Two vertical</w:t>
      </w:r>
      <w:r w:rsidR="000739B1" w:rsidRPr="000739B1">
        <w:t xml:space="preserve"> sections of the monument’s front wall on the right side</w:t>
      </w:r>
      <w:r w:rsidR="000739B1">
        <w:t xml:space="preserve"> of</w:t>
      </w:r>
      <w:r w:rsidR="000739B1" w:rsidRPr="000739B1">
        <w:t xml:space="preserve"> the main entrance (a), and </w:t>
      </w:r>
      <w:r w:rsidR="000739B1">
        <w:t>elevation</w:t>
      </w:r>
      <w:r w:rsidR="000739B1" w:rsidRPr="000739B1">
        <w:t xml:space="preserve"> views of the sections (b)</w:t>
      </w:r>
      <w:bookmarkStart w:id="0" w:name="_GoBack"/>
      <w:bookmarkEnd w:id="0"/>
    </w:p>
    <w:p w14:paraId="72ABC651" w14:textId="76910532" w:rsidR="00B11EFD" w:rsidRPr="00075EA6" w:rsidRDefault="00B11EFD" w:rsidP="00B11EFD">
      <w:pPr>
        <w:pStyle w:val="1"/>
        <w:rPr>
          <w:b w:val="0"/>
          <w:caps w:val="0"/>
          <w:sz w:val="20"/>
        </w:rPr>
      </w:pPr>
      <w:r>
        <w:lastRenderedPageBreak/>
        <w:t xml:space="preserve">Inner WALL: Restored from </w:t>
      </w:r>
      <w:r w:rsidR="000739B1">
        <w:t>one</w:t>
      </w:r>
      <w:r>
        <w:t xml:space="preserve"> side only</w:t>
      </w:r>
    </w:p>
    <w:p w14:paraId="42E40B56" w14:textId="27B53598" w:rsidR="00B11EFD" w:rsidRDefault="000739B1" w:rsidP="00B11EFD">
      <w:pPr>
        <w:pStyle w:val="Paragraph"/>
      </w:pPr>
      <w:r>
        <w:t xml:space="preserve">The inner wall on the right side of the corridor still has some signs of wear and tear, as discussed (see discussion related to </w:t>
      </w:r>
      <w:r w:rsidR="00FB619B">
        <w:t xml:space="preserve">fig. </w:t>
      </w:r>
      <w:r>
        <w:t xml:space="preserve">5). </w:t>
      </w:r>
      <w:r w:rsidR="00335C34">
        <w:t>This wall was also investigated by analyzing its horizontal and vertical slices</w:t>
      </w:r>
      <w:r w:rsidR="00B11EFD">
        <w:t xml:space="preserve">. </w:t>
      </w:r>
      <w:r w:rsidR="00335C34">
        <w:t xml:space="preserve">The results for horizontal sections are presented in </w:t>
      </w:r>
      <w:r w:rsidR="00FB619B">
        <w:t xml:space="preserve">fig. </w:t>
      </w:r>
      <w:r w:rsidR="00335C34">
        <w:t xml:space="preserve">8. The image on the right shows an isometric 3D view of the wall, with the horizontal sections shown in magenta. The image on the right shows the plan views of these sections. As shown in </w:t>
      </w:r>
      <w:r w:rsidR="00FB619B">
        <w:t xml:space="preserve">fig. </w:t>
      </w:r>
      <w:r w:rsidR="00335C34">
        <w:t xml:space="preserve">8b, the plan view changes significantly along the </w:t>
      </w:r>
      <w:r w:rsidR="00335C34" w:rsidRPr="00FB619B">
        <w:rPr>
          <w:i/>
          <w:iCs/>
        </w:rPr>
        <w:t>X</w:t>
      </w:r>
      <w:r w:rsidR="00335C34">
        <w:t xml:space="preserve"> axis. In addition, the least restored side of the wall (right side of the plot) has several deep </w:t>
      </w:r>
      <w:r w:rsidR="002A5B7F">
        <w:t>indentations</w:t>
      </w:r>
      <w:r w:rsidR="00335C34">
        <w:t>.</w:t>
      </w:r>
    </w:p>
    <w:p w14:paraId="70EF3663" w14:textId="77777777" w:rsidR="00335C34" w:rsidRDefault="00335C34" w:rsidP="00B11EFD">
      <w:pPr>
        <w:pStyle w:val="Paragrap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678"/>
      </w:tblGrid>
      <w:tr w:rsidR="00B142C0" w14:paraId="276C3CBA" w14:textId="77777777" w:rsidTr="00B142C0">
        <w:trPr>
          <w:trHeight w:val="2974"/>
        </w:trPr>
        <w:tc>
          <w:tcPr>
            <w:tcW w:w="4788" w:type="dxa"/>
          </w:tcPr>
          <w:p w14:paraId="27483011" w14:textId="4035DBFB" w:rsidR="00B142C0" w:rsidRDefault="00B142C0" w:rsidP="009C3453">
            <w:pPr>
              <w:pStyle w:val="Paragraph"/>
              <w:ind w:firstLine="0"/>
              <w:jc w:val="center"/>
            </w:pPr>
            <w:r>
              <w:rPr>
                <w:noProof/>
                <w:lang w:val="ru-RU" w:eastAsia="ja-JP"/>
              </w:rPr>
              <w:drawing>
                <wp:inline distT="0" distB="0" distL="0" distR="0" wp14:anchorId="6D44F1A4" wp14:editId="24F9C38C">
                  <wp:extent cx="2898857" cy="2091690"/>
                  <wp:effectExtent l="0" t="0" r="0" b="3810"/>
                  <wp:docPr id="916148578" name="Picture 1" descr="A multicolored train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48578" name="Picture 1" descr="A multicolored train with numbers and lin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5077" cy="2096178"/>
                          </a:xfrm>
                          <a:prstGeom prst="rect">
                            <a:avLst/>
                          </a:prstGeom>
                        </pic:spPr>
                      </pic:pic>
                    </a:graphicData>
                  </a:graphic>
                </wp:inline>
              </w:drawing>
            </w:r>
          </w:p>
        </w:tc>
        <w:tc>
          <w:tcPr>
            <w:tcW w:w="4788" w:type="dxa"/>
            <w:vAlign w:val="center"/>
          </w:tcPr>
          <w:p w14:paraId="1768B81F" w14:textId="7F53834C" w:rsidR="00B142C0" w:rsidRDefault="00B142C0" w:rsidP="00B142C0">
            <w:pPr>
              <w:pStyle w:val="Paragraph"/>
              <w:ind w:firstLine="0"/>
              <w:jc w:val="center"/>
            </w:pPr>
            <w:r>
              <w:rPr>
                <w:noProof/>
                <w:lang w:val="ru-RU" w:eastAsia="ja-JP"/>
              </w:rPr>
              <w:drawing>
                <wp:inline distT="0" distB="0" distL="0" distR="0" wp14:anchorId="41E105FA" wp14:editId="5A7DBE48">
                  <wp:extent cx="2891790" cy="1857242"/>
                  <wp:effectExtent l="0" t="0" r="3810" b="0"/>
                  <wp:docPr id="670980531" name="Picture 2" descr="A graph of a graph showing a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80531" name="Picture 2" descr="A graph of a graph showing a number of different colored lines&#10;&#10;AI-generated content may be incorrect."/>
                          <pic:cNvPicPr/>
                        </pic:nvPicPr>
                        <pic:blipFill rotWithShape="1">
                          <a:blip r:embed="rId25" cstate="print">
                            <a:extLst>
                              <a:ext uri="{28A0092B-C50C-407E-A947-70E740481C1C}">
                                <a14:useLocalDpi xmlns:a14="http://schemas.microsoft.com/office/drawing/2010/main" val="0"/>
                              </a:ext>
                            </a:extLst>
                          </a:blip>
                          <a:srcRect l="6462" t="6241" r="8156" b="2543"/>
                          <a:stretch>
                            <a:fillRect/>
                          </a:stretch>
                        </pic:blipFill>
                        <pic:spPr bwMode="auto">
                          <a:xfrm>
                            <a:off x="0" y="0"/>
                            <a:ext cx="2900929" cy="1863112"/>
                          </a:xfrm>
                          <a:prstGeom prst="rect">
                            <a:avLst/>
                          </a:prstGeom>
                          <a:ln>
                            <a:noFill/>
                          </a:ln>
                          <a:extLst>
                            <a:ext uri="{53640926-AAD7-44D8-BBD7-CCE9431645EC}">
                              <a14:shadowObscured xmlns:a14="http://schemas.microsoft.com/office/drawing/2010/main"/>
                            </a:ext>
                          </a:extLst>
                        </pic:spPr>
                      </pic:pic>
                    </a:graphicData>
                  </a:graphic>
                </wp:inline>
              </w:drawing>
            </w:r>
          </w:p>
        </w:tc>
      </w:tr>
      <w:tr w:rsidR="00B142C0" w14:paraId="38D6F7CF" w14:textId="77777777" w:rsidTr="009C3453">
        <w:trPr>
          <w:trHeight w:val="291"/>
        </w:trPr>
        <w:tc>
          <w:tcPr>
            <w:tcW w:w="4788" w:type="dxa"/>
          </w:tcPr>
          <w:p w14:paraId="7E627FA3" w14:textId="77777777" w:rsidR="00B142C0" w:rsidRDefault="00B142C0" w:rsidP="009C3453">
            <w:pPr>
              <w:pStyle w:val="Paragraph"/>
              <w:ind w:firstLine="0"/>
              <w:jc w:val="center"/>
            </w:pPr>
            <w:r>
              <w:t>(a)</w:t>
            </w:r>
          </w:p>
        </w:tc>
        <w:tc>
          <w:tcPr>
            <w:tcW w:w="4788" w:type="dxa"/>
          </w:tcPr>
          <w:p w14:paraId="23C788C7" w14:textId="77777777" w:rsidR="00B142C0" w:rsidRDefault="00B142C0" w:rsidP="009C3453">
            <w:pPr>
              <w:pStyle w:val="Paragraph"/>
              <w:ind w:firstLine="0"/>
              <w:jc w:val="center"/>
            </w:pPr>
            <w:r>
              <w:t>(b)</w:t>
            </w:r>
          </w:p>
        </w:tc>
      </w:tr>
    </w:tbl>
    <w:p w14:paraId="29ED9EE9" w14:textId="738BAEDA" w:rsidR="00B142C0" w:rsidRDefault="00B142C0" w:rsidP="00AC5175">
      <w:pPr>
        <w:pStyle w:val="FigureCaption"/>
        <w:spacing w:after="120"/>
      </w:pPr>
      <w:r>
        <w:rPr>
          <w:b/>
          <w:caps/>
        </w:rPr>
        <w:t xml:space="preserve">Figure </w:t>
      </w:r>
      <w:r w:rsidR="00335C34">
        <w:rPr>
          <w:b/>
          <w:caps/>
        </w:rPr>
        <w:t>8</w:t>
      </w:r>
      <w:r>
        <w:rPr>
          <w:b/>
          <w:caps/>
        </w:rPr>
        <w:t>.</w:t>
      </w:r>
      <w:r>
        <w:t xml:space="preserve"> </w:t>
      </w:r>
      <w:r w:rsidR="00335C34" w:rsidRPr="00335C34">
        <w:t xml:space="preserve">The horizontal sections of the monument’s </w:t>
      </w:r>
      <w:r w:rsidR="00335C34">
        <w:t>inner</w:t>
      </w:r>
      <w:r w:rsidR="00335C34" w:rsidRPr="00335C34">
        <w:t xml:space="preserve"> wall on the right side of the </w:t>
      </w:r>
      <w:r w:rsidR="00335C34">
        <w:t>corridor</w:t>
      </w:r>
      <w:r w:rsidR="00335C34" w:rsidRPr="00335C34">
        <w:t xml:space="preserve"> (a), and plan views of the sections (b)</w:t>
      </w:r>
    </w:p>
    <w:p w14:paraId="4B72C39E" w14:textId="43E93D78" w:rsidR="00B142C0" w:rsidRDefault="00335C34" w:rsidP="00B142C0">
      <w:pPr>
        <w:pStyle w:val="Paragraph"/>
      </w:pPr>
      <w:r>
        <w:t xml:space="preserve">Similar to the outer wall, which was fully reconstructed, the wall has a taper on both sides. It has a smaller taper on the corridor side (the left side of the plot in </w:t>
      </w:r>
      <w:r w:rsidR="00FB619B">
        <w:t xml:space="preserve">fig. </w:t>
      </w:r>
      <w:r>
        <w:t xml:space="preserve">9b) but a larger taper on the side of the stables (the right side of the plot in </w:t>
      </w:r>
      <w:r w:rsidR="00FB619B">
        <w:t xml:space="preserve">fig. </w:t>
      </w:r>
      <w:r>
        <w:t xml:space="preserve">9b). </w:t>
      </w:r>
      <w:r w:rsidR="007416D9">
        <w:t>A</w:t>
      </w:r>
      <w:r>
        <w:t>s shown</w:t>
      </w:r>
      <w:r w:rsidR="007416D9">
        <w:t>,</w:t>
      </w:r>
      <w:r>
        <w:t xml:space="preserve"> the wall </w:t>
      </w:r>
      <w:r w:rsidR="007416D9">
        <w:t>thickness</w:t>
      </w:r>
      <w:r>
        <w:t xml:space="preserve"> varies from about 1.46 m </w:t>
      </w:r>
      <w:r w:rsidR="007416D9">
        <w:t xml:space="preserve">at the bottom of the wall </w:t>
      </w:r>
      <w:r>
        <w:t>to 0.75 m</w:t>
      </w:r>
      <w:r w:rsidR="007416D9">
        <w:t xml:space="preserve"> at its top. The </w:t>
      </w:r>
      <w:r w:rsidR="007416D9" w:rsidRPr="007416D9">
        <w:t>indentations</w:t>
      </w:r>
      <w:r w:rsidR="007416D9">
        <w:t xml:space="preserve"> in the wall are quite deep, and in some cases, they reduce the thickness of the wall to 0.65 m as shown in </w:t>
      </w:r>
      <w:r w:rsidR="00FB619B">
        <w:t xml:space="preserve">fig. </w:t>
      </w:r>
      <w:r w:rsidR="007416D9">
        <w:t>9b.</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4551"/>
      </w:tblGrid>
      <w:tr w:rsidR="000B2A89" w14:paraId="67BEB300" w14:textId="77777777" w:rsidTr="005F0F0B">
        <w:trPr>
          <w:trHeight w:val="2974"/>
        </w:trPr>
        <w:tc>
          <w:tcPr>
            <w:tcW w:w="4809" w:type="dxa"/>
          </w:tcPr>
          <w:p w14:paraId="6DACDDC5" w14:textId="5B2D3E22" w:rsidR="00B142C0" w:rsidRDefault="0033286B" w:rsidP="009C3453">
            <w:pPr>
              <w:pStyle w:val="Paragraph"/>
              <w:ind w:firstLine="0"/>
              <w:jc w:val="center"/>
            </w:pPr>
            <w:r>
              <w:rPr>
                <w:noProof/>
                <w:lang w:val="ru-RU" w:eastAsia="ja-JP"/>
              </w:rPr>
              <w:drawing>
                <wp:inline distT="0" distB="0" distL="0" distR="0" wp14:anchorId="71B584A0" wp14:editId="664AB139">
                  <wp:extent cx="2916915" cy="2045970"/>
                  <wp:effectExtent l="0" t="0" r="0" b="0"/>
                  <wp:docPr id="14080985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98558" name="Picture 1408098558"/>
                          <pic:cNvPicPr/>
                        </pic:nvPicPr>
                        <pic:blipFill rotWithShape="1">
                          <a:blip r:embed="rId26" cstate="print">
                            <a:extLst>
                              <a:ext uri="{28A0092B-C50C-407E-A947-70E740481C1C}">
                                <a14:useLocalDpi xmlns:a14="http://schemas.microsoft.com/office/drawing/2010/main" val="0"/>
                              </a:ext>
                            </a:extLst>
                          </a:blip>
                          <a:srcRect l="1828" t="4841" r="3468" b="894"/>
                          <a:stretch>
                            <a:fillRect/>
                          </a:stretch>
                        </pic:blipFill>
                        <pic:spPr bwMode="auto">
                          <a:xfrm>
                            <a:off x="0" y="0"/>
                            <a:ext cx="2924575" cy="2051343"/>
                          </a:xfrm>
                          <a:prstGeom prst="rect">
                            <a:avLst/>
                          </a:prstGeom>
                          <a:ln>
                            <a:noFill/>
                          </a:ln>
                          <a:extLst>
                            <a:ext uri="{53640926-AAD7-44D8-BBD7-CCE9431645EC}">
                              <a14:shadowObscured xmlns:a14="http://schemas.microsoft.com/office/drawing/2010/main"/>
                            </a:ext>
                          </a:extLst>
                        </pic:spPr>
                      </pic:pic>
                    </a:graphicData>
                  </a:graphic>
                </wp:inline>
              </w:drawing>
            </w:r>
          </w:p>
        </w:tc>
        <w:tc>
          <w:tcPr>
            <w:tcW w:w="4551" w:type="dxa"/>
            <w:vAlign w:val="center"/>
          </w:tcPr>
          <w:p w14:paraId="1BC4CB79" w14:textId="201AFF4D" w:rsidR="00B142C0" w:rsidRDefault="00F568D8" w:rsidP="009C3453">
            <w:pPr>
              <w:pStyle w:val="Paragraph"/>
              <w:ind w:firstLine="0"/>
              <w:jc w:val="center"/>
            </w:pPr>
            <w:r>
              <w:rPr>
                <w:noProof/>
                <w:lang w:val="ru-RU" w:eastAsia="ja-JP"/>
              </w:rPr>
              <w:drawing>
                <wp:inline distT="0" distB="0" distL="0" distR="0" wp14:anchorId="46C0EF49" wp14:editId="436E4C40">
                  <wp:extent cx="1706880" cy="2327910"/>
                  <wp:effectExtent l="0" t="0" r="7620" b="0"/>
                  <wp:docPr id="797839860" name="Picture 1" descr="A graph of a line with different siz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39860" name="Picture 1" descr="A graph of a line with different sizes and numbers&#10;&#10;AI-generated content may be incorrect."/>
                          <pic:cNvPicPr/>
                        </pic:nvPicPr>
                        <pic:blipFill rotWithShape="1">
                          <a:blip r:embed="rId27" cstate="print">
                            <a:extLst>
                              <a:ext uri="{28A0092B-C50C-407E-A947-70E740481C1C}">
                                <a14:useLocalDpi xmlns:a14="http://schemas.microsoft.com/office/drawing/2010/main" val="0"/>
                              </a:ext>
                            </a:extLst>
                          </a:blip>
                          <a:srcRect l="7483" t="4705" r="51627" b="2531"/>
                          <a:stretch>
                            <a:fillRect/>
                          </a:stretch>
                        </pic:blipFill>
                        <pic:spPr bwMode="auto">
                          <a:xfrm>
                            <a:off x="0" y="0"/>
                            <a:ext cx="1710180" cy="2332411"/>
                          </a:xfrm>
                          <a:prstGeom prst="rect">
                            <a:avLst/>
                          </a:prstGeom>
                          <a:ln>
                            <a:noFill/>
                          </a:ln>
                          <a:extLst>
                            <a:ext uri="{53640926-AAD7-44D8-BBD7-CCE9431645EC}">
                              <a14:shadowObscured xmlns:a14="http://schemas.microsoft.com/office/drawing/2010/main"/>
                            </a:ext>
                          </a:extLst>
                        </pic:spPr>
                      </pic:pic>
                    </a:graphicData>
                  </a:graphic>
                </wp:inline>
              </w:drawing>
            </w:r>
          </w:p>
        </w:tc>
      </w:tr>
      <w:tr w:rsidR="000B2A89" w14:paraId="0DF9AC80" w14:textId="77777777" w:rsidTr="005F0F0B">
        <w:trPr>
          <w:trHeight w:val="291"/>
        </w:trPr>
        <w:tc>
          <w:tcPr>
            <w:tcW w:w="4809" w:type="dxa"/>
          </w:tcPr>
          <w:p w14:paraId="19E6033C" w14:textId="77777777" w:rsidR="00B142C0" w:rsidRDefault="00B142C0" w:rsidP="009C3453">
            <w:pPr>
              <w:pStyle w:val="Paragraph"/>
              <w:ind w:firstLine="0"/>
              <w:jc w:val="center"/>
            </w:pPr>
            <w:r>
              <w:t>(a)</w:t>
            </w:r>
          </w:p>
        </w:tc>
        <w:tc>
          <w:tcPr>
            <w:tcW w:w="4551" w:type="dxa"/>
          </w:tcPr>
          <w:p w14:paraId="2816CE6B" w14:textId="77777777" w:rsidR="00B142C0" w:rsidRDefault="00B142C0" w:rsidP="009C3453">
            <w:pPr>
              <w:pStyle w:val="Paragraph"/>
              <w:ind w:firstLine="0"/>
              <w:jc w:val="center"/>
            </w:pPr>
            <w:r>
              <w:t>(b)</w:t>
            </w:r>
          </w:p>
        </w:tc>
      </w:tr>
    </w:tbl>
    <w:p w14:paraId="5B0019A7" w14:textId="3C33187C" w:rsidR="00B11EFD" w:rsidRDefault="00B142C0" w:rsidP="00FB619B">
      <w:pPr>
        <w:pStyle w:val="FigureCaption"/>
      </w:pPr>
      <w:r>
        <w:rPr>
          <w:b/>
          <w:caps/>
        </w:rPr>
        <w:t xml:space="preserve">Figure </w:t>
      </w:r>
      <w:r w:rsidR="00335C34">
        <w:rPr>
          <w:b/>
          <w:caps/>
        </w:rPr>
        <w:t>9</w:t>
      </w:r>
      <w:r>
        <w:rPr>
          <w:b/>
          <w:caps/>
        </w:rPr>
        <w:t>.</w:t>
      </w:r>
      <w:r>
        <w:t xml:space="preserve"> </w:t>
      </w:r>
      <w:r w:rsidR="00335C34">
        <w:t>Two vertical</w:t>
      </w:r>
      <w:r w:rsidR="00335C34" w:rsidRPr="00335C34">
        <w:t xml:space="preserve"> sections of the monument’s inner wall on the right side of the corridor (a), and </w:t>
      </w:r>
      <w:r w:rsidR="00335C34">
        <w:t>elevation</w:t>
      </w:r>
      <w:r w:rsidR="00335C34" w:rsidRPr="00335C34">
        <w:t xml:space="preserve"> views of the sections (b)</w:t>
      </w:r>
    </w:p>
    <w:p w14:paraId="238F91B4" w14:textId="782CD33A" w:rsidR="00D87E2A" w:rsidRDefault="00D87E2A" w:rsidP="00D87E2A">
      <w:pPr>
        <w:pStyle w:val="1"/>
        <w:rPr>
          <w:b w:val="0"/>
          <w:caps w:val="0"/>
          <w:sz w:val="20"/>
        </w:rPr>
      </w:pPr>
      <w:r>
        <w:rPr>
          <w:rFonts w:asciiTheme="majorBidi" w:hAnsiTheme="majorBidi" w:cstheme="majorBidi"/>
        </w:rPr>
        <w:lastRenderedPageBreak/>
        <w:t>CONCLUSION</w:t>
      </w:r>
      <w:r w:rsidR="007C24EA">
        <w:rPr>
          <w:rFonts w:asciiTheme="majorBidi" w:hAnsiTheme="majorBidi" w:cstheme="majorBidi"/>
        </w:rPr>
        <w:t>s</w:t>
      </w:r>
    </w:p>
    <w:p w14:paraId="55D56508" w14:textId="34F8839D" w:rsidR="00D87E2A" w:rsidRDefault="002A5B7F" w:rsidP="003B0050">
      <w:pPr>
        <w:pStyle w:val="Paragraph"/>
        <w:rPr>
          <w:rFonts w:asciiTheme="majorBidi" w:hAnsiTheme="majorBidi" w:cstheme="majorBidi"/>
        </w:rPr>
      </w:pPr>
      <w:r w:rsidRPr="002A5B7F">
        <w:rPr>
          <w:rFonts w:asciiTheme="majorBidi" w:hAnsiTheme="majorBidi" w:cstheme="majorBidi"/>
        </w:rPr>
        <w:t xml:space="preserve">The paper is focused on the structural assessment of the ancient monument in the </w:t>
      </w:r>
      <w:proofErr w:type="spellStart"/>
      <w:r w:rsidRPr="002A5B7F">
        <w:rPr>
          <w:rFonts w:asciiTheme="majorBidi" w:hAnsiTheme="majorBidi" w:cstheme="majorBidi"/>
        </w:rPr>
        <w:t>Khorezm</w:t>
      </w:r>
      <w:proofErr w:type="spellEnd"/>
      <w:r w:rsidRPr="002A5B7F">
        <w:rPr>
          <w:rFonts w:asciiTheme="majorBidi" w:hAnsiTheme="majorBidi" w:cstheme="majorBidi"/>
        </w:rPr>
        <w:t xml:space="preserve"> region of Uzbekistan. A historic fortress, "</w:t>
      </w:r>
      <w:proofErr w:type="spellStart"/>
      <w:r w:rsidRPr="002A5B7F">
        <w:rPr>
          <w:rFonts w:asciiTheme="majorBidi" w:hAnsiTheme="majorBidi" w:cstheme="majorBidi"/>
        </w:rPr>
        <w:t>Ully</w:t>
      </w:r>
      <w:proofErr w:type="spellEnd"/>
      <w:r w:rsidRPr="002A5B7F">
        <w:rPr>
          <w:rFonts w:asciiTheme="majorBidi" w:hAnsiTheme="majorBidi" w:cstheme="majorBidi"/>
        </w:rPr>
        <w:t xml:space="preserve"> </w:t>
      </w:r>
      <w:proofErr w:type="spellStart"/>
      <w:r w:rsidRPr="002A5B7F">
        <w:rPr>
          <w:rFonts w:asciiTheme="majorBidi" w:hAnsiTheme="majorBidi" w:cstheme="majorBidi"/>
        </w:rPr>
        <w:t>Hovli</w:t>
      </w:r>
      <w:proofErr w:type="spellEnd"/>
      <w:r w:rsidRPr="002A5B7F">
        <w:rPr>
          <w:rFonts w:asciiTheme="majorBidi" w:hAnsiTheme="majorBidi" w:cstheme="majorBidi"/>
        </w:rPr>
        <w:t xml:space="preserve">," was studied. A terrestrial laser scanner was used to collect information about it. The laser scanner produced the so-called point cloud containing detailed information about its current geometry, including all imperfections and possible structural anomalies. The point cloud was investigated for two walls. One of the walls—the front wall on the right side of the main entrance—was fully reconstructed during the recent restoration effort. The analysis conducted during this study showed that this wall mimics the taper common to this type of construction from untreated earthen materials, called </w:t>
      </w:r>
      <w:proofErr w:type="spellStart"/>
      <w:r w:rsidRPr="002A5B7F">
        <w:rPr>
          <w:rFonts w:asciiTheme="majorBidi" w:hAnsiTheme="majorBidi" w:cstheme="majorBidi"/>
        </w:rPr>
        <w:t>pakhsa</w:t>
      </w:r>
      <w:proofErr w:type="spellEnd"/>
      <w:r w:rsidRPr="002A5B7F">
        <w:rPr>
          <w:rFonts w:asciiTheme="majorBidi" w:hAnsiTheme="majorBidi" w:cstheme="majorBidi"/>
        </w:rPr>
        <w:t xml:space="preserve">. It was shown that this wall has a much more regular structure than the inner wall, which was preserved with very limited alterations. It was shown that this inner wall has an irregular structure, with large indentations that reduce its thickness. </w:t>
      </w:r>
      <w:r>
        <w:rPr>
          <w:rFonts w:asciiTheme="majorBidi" w:hAnsiTheme="majorBidi" w:cstheme="majorBidi"/>
        </w:rPr>
        <w:t xml:space="preserve">The wall thickness varies with elevation, ranging from about 1.5 m at the very bottom to about 0.5 m at the top. The thickness of towers in the exterior wall varies from about 2.2 m at the bottom to about 1.3 m at the top. </w:t>
      </w:r>
      <w:r>
        <w:t xml:space="preserve">The exterior walls are about 5.5 m tall. </w:t>
      </w:r>
      <w:r w:rsidRPr="002A5B7F">
        <w:rPr>
          <w:rFonts w:asciiTheme="majorBidi" w:hAnsiTheme="majorBidi" w:cstheme="majorBidi"/>
        </w:rPr>
        <w:t>This paper discusses the preliminary results of the analysis. The research team plans to conduct a new expedition to collect additional point clouds with a laser scanner, and future work will yield more results</w:t>
      </w:r>
      <w:r w:rsidR="00D87E2A">
        <w:rPr>
          <w:rFonts w:asciiTheme="majorBidi" w:hAnsiTheme="majorBidi" w:cstheme="majorBidi"/>
        </w:rPr>
        <w:t>.</w:t>
      </w:r>
    </w:p>
    <w:p w14:paraId="74D4F45E" w14:textId="22E251A3" w:rsidR="00613B4D" w:rsidRPr="00A24F3D" w:rsidRDefault="0016385D" w:rsidP="007416D9">
      <w:pPr>
        <w:pStyle w:val="1"/>
      </w:pPr>
      <w:r w:rsidRPr="00075EA6">
        <w:rPr>
          <w:rFonts w:asciiTheme="majorBidi" w:hAnsiTheme="majorBidi" w:cstheme="majorBidi"/>
        </w:rPr>
        <w:t>References</w:t>
      </w:r>
    </w:p>
    <w:p w14:paraId="7432E0DA" w14:textId="76494442" w:rsidR="00FB619B" w:rsidRDefault="00FB619B" w:rsidP="00B11EFD">
      <w:pPr>
        <w:pStyle w:val="Reference"/>
      </w:pPr>
      <w:r w:rsidRPr="00FB619B">
        <w:t xml:space="preserve">M. </w:t>
      </w:r>
      <w:proofErr w:type="spellStart"/>
      <w:r w:rsidRPr="00FB619B">
        <w:t>Egamberganova</w:t>
      </w:r>
      <w:proofErr w:type="spellEnd"/>
      <w:r w:rsidRPr="00FB619B">
        <w:t xml:space="preserve">, Journal of Critical Reviews </w:t>
      </w:r>
      <w:r w:rsidRPr="00FB619B">
        <w:rPr>
          <w:b/>
          <w:bCs/>
        </w:rPr>
        <w:t>7</w:t>
      </w:r>
      <w:r w:rsidRPr="005F0F0B">
        <w:rPr>
          <w:b/>
        </w:rPr>
        <w:t>(04)</w:t>
      </w:r>
      <w:r w:rsidRPr="00FB619B">
        <w:t>, (2020).</w:t>
      </w:r>
    </w:p>
    <w:p w14:paraId="652641AD" w14:textId="1375C85C" w:rsidR="00BD378A" w:rsidRDefault="00AC5175" w:rsidP="00B11EFD">
      <w:pPr>
        <w:pStyle w:val="Reference"/>
      </w:pPr>
      <w:hyperlink r:id="rId28" w:history="1">
        <w:r w:rsidR="00C75AF3" w:rsidRPr="001938CD">
          <w:rPr>
            <w:rStyle w:val="a7"/>
          </w:rPr>
          <w:t>https://www.uzdaily.uz/en/reconstruction-of-ulli-hovli-fortress-completed/</w:t>
        </w:r>
      </w:hyperlink>
      <w:r w:rsidR="00BD378A">
        <w:t xml:space="preserve"> last accessed 11/04/2025.</w:t>
      </w:r>
    </w:p>
    <w:p w14:paraId="5845DE88" w14:textId="6E08DD7F" w:rsidR="00BD378A" w:rsidRDefault="00AC5175" w:rsidP="00B11EFD">
      <w:pPr>
        <w:pStyle w:val="Reference"/>
      </w:pPr>
      <w:hyperlink r:id="rId29" w:history="1">
        <w:r w:rsidR="00BD378A" w:rsidRPr="003824DF">
          <w:rPr>
            <w:rStyle w:val="a7"/>
          </w:rPr>
          <w:t>https://www.uzdaily.uz/en/president-of-turkmenistan-arrives-in-khorezm/</w:t>
        </w:r>
      </w:hyperlink>
      <w:r w:rsidR="00BD378A">
        <w:t xml:space="preserve"> last accessed 11/04/2025.</w:t>
      </w:r>
    </w:p>
    <w:p w14:paraId="09D4701B" w14:textId="57FEBDC3" w:rsidR="008969E0" w:rsidRDefault="00607DEB" w:rsidP="00607DEB">
      <w:pPr>
        <w:pStyle w:val="Reference"/>
      </w:pPr>
      <w:r w:rsidRPr="00607DEB">
        <w:t>Leica Geosystems. https://rcdocs.leica-geosystems.com/cyclone-register-360/latest/help-cyclone-register-360. Last retrieved on 07/25/2025.</w:t>
      </w:r>
    </w:p>
    <w:p w14:paraId="3656312F" w14:textId="408F65EC" w:rsidR="00B11EFD" w:rsidRDefault="00B11EFD" w:rsidP="00B11EFD">
      <w:pPr>
        <w:pStyle w:val="Reference"/>
      </w:pPr>
      <w:r>
        <w:t>ADB (2025). Tajikistan: Case Study Report on Resilient Community Housing. Consultant’s report (TA 6929-REG).</w:t>
      </w:r>
    </w:p>
    <w:p w14:paraId="23A9B656" w14:textId="73CC96FA" w:rsidR="00B11EFD" w:rsidRDefault="005F70AD" w:rsidP="00B11EFD">
      <w:pPr>
        <w:pStyle w:val="Reference"/>
      </w:pPr>
      <w:r>
        <w:t xml:space="preserve">S. </w:t>
      </w:r>
      <w:proofErr w:type="spellStart"/>
      <w:r w:rsidR="00B11EFD">
        <w:t>Takhirov</w:t>
      </w:r>
      <w:proofErr w:type="spellEnd"/>
      <w:r w:rsidR="00B11EFD">
        <w:t xml:space="preserve">, </w:t>
      </w:r>
      <w:r>
        <w:t xml:space="preserve">B. </w:t>
      </w:r>
      <w:proofErr w:type="spellStart"/>
      <w:r w:rsidR="00B11EFD">
        <w:t>Rakhmonov</w:t>
      </w:r>
      <w:proofErr w:type="spellEnd"/>
      <w:r w:rsidR="00B11EFD">
        <w:t xml:space="preserve">, </w:t>
      </w:r>
      <w:r>
        <w:t xml:space="preserve">M. </w:t>
      </w:r>
      <w:proofErr w:type="spellStart"/>
      <w:r w:rsidR="00B11EFD">
        <w:t>Akhmedov</w:t>
      </w:r>
      <w:proofErr w:type="spellEnd"/>
      <w:r w:rsidR="00B11EFD">
        <w:t xml:space="preserve"> and </w:t>
      </w:r>
      <w:r>
        <w:t xml:space="preserve">M. </w:t>
      </w:r>
      <w:proofErr w:type="spellStart"/>
      <w:r w:rsidR="00B11EFD">
        <w:t>Blondet</w:t>
      </w:r>
      <w:proofErr w:type="spellEnd"/>
      <w:r>
        <w:t>, “</w:t>
      </w:r>
      <w:r w:rsidR="00B11EFD">
        <w:t xml:space="preserve">Structural </w:t>
      </w:r>
      <w:r>
        <w:t xml:space="preserve">health monitoring </w:t>
      </w:r>
      <w:r w:rsidR="00B11EFD">
        <w:t xml:space="preserve">of </w:t>
      </w:r>
      <w:proofErr w:type="spellStart"/>
      <w:r>
        <w:t>chadra</w:t>
      </w:r>
      <w:proofErr w:type="spellEnd"/>
      <w:r>
        <w:t xml:space="preserve"> </w:t>
      </w:r>
      <w:proofErr w:type="spellStart"/>
      <w:r>
        <w:t>hauly</w:t>
      </w:r>
      <w:proofErr w:type="spellEnd"/>
      <w:r>
        <w:t xml:space="preserve"> </w:t>
      </w:r>
      <w:r w:rsidR="00B11EFD">
        <w:t>(</w:t>
      </w:r>
      <w:proofErr w:type="spellStart"/>
      <w:r w:rsidR="00B11EFD">
        <w:t>Khorezm</w:t>
      </w:r>
      <w:proofErr w:type="spellEnd"/>
      <w:r w:rsidR="00B11EFD">
        <w:t xml:space="preserve">, Uzbekistan) by </w:t>
      </w:r>
      <w:r>
        <w:t xml:space="preserve">means </w:t>
      </w:r>
      <w:r w:rsidR="00B11EFD">
        <w:t xml:space="preserve">of </w:t>
      </w:r>
      <w:r>
        <w:t>laser scanning,”</w:t>
      </w:r>
      <w:r w:rsidR="00B11EFD">
        <w:t xml:space="preserve"> </w:t>
      </w:r>
      <w:r>
        <w:t xml:space="preserve">in </w:t>
      </w:r>
      <w:r w:rsidRPr="001E56E8">
        <w:rPr>
          <w:i/>
          <w:iCs/>
        </w:rPr>
        <w:t>International conference: “Ensuring seismic safety and seismic stability of buildings and structures, applied problems of mechanics”</w:t>
      </w:r>
      <w:r w:rsidRPr="00075EA6">
        <w:t xml:space="preserve">, AIP Conference Proceedings </w:t>
      </w:r>
      <w:r>
        <w:t>3265</w:t>
      </w:r>
      <w:r w:rsidRPr="00075EA6">
        <w:t>,</w:t>
      </w:r>
      <w:r>
        <w:t xml:space="preserve"> </w:t>
      </w:r>
      <w:r w:rsidRPr="00320CCE">
        <w:t xml:space="preserve">edited by </w:t>
      </w:r>
      <w:r>
        <w:t>R</w:t>
      </w:r>
      <w:r w:rsidRPr="00320CCE">
        <w:t xml:space="preserve">. </w:t>
      </w:r>
      <w:r>
        <w:t>A</w:t>
      </w:r>
      <w:r w:rsidRPr="00320CCE">
        <w:t xml:space="preserve">. </w:t>
      </w:r>
      <w:proofErr w:type="spellStart"/>
      <w:r>
        <w:t>Abirov</w:t>
      </w:r>
      <w:proofErr w:type="spellEnd"/>
      <w:r w:rsidR="00B11EFD">
        <w:t xml:space="preserve"> </w:t>
      </w:r>
      <w:r>
        <w:t>(</w:t>
      </w:r>
      <w:r w:rsidRPr="00075EA6">
        <w:t>A</w:t>
      </w:r>
      <w:r>
        <w:t>IP Publishing</w:t>
      </w:r>
      <w:r w:rsidRPr="00075EA6">
        <w:t>, Melville, NY, 20</w:t>
      </w:r>
      <w:r>
        <w:t xml:space="preserve">25), </w:t>
      </w:r>
      <w:r w:rsidRPr="005F70AD">
        <w:t>030017</w:t>
      </w:r>
      <w:r w:rsidR="00B11EFD">
        <w:t>.</w:t>
      </w:r>
    </w:p>
    <w:p w14:paraId="76109A92" w14:textId="0AC8F088" w:rsidR="000278EA" w:rsidRDefault="000278EA" w:rsidP="00B11EFD">
      <w:pPr>
        <w:pStyle w:val="Reference"/>
      </w:pPr>
      <w:r w:rsidRPr="000278EA">
        <w:t xml:space="preserve">S. </w:t>
      </w:r>
      <w:proofErr w:type="spellStart"/>
      <w:r w:rsidRPr="000278EA">
        <w:t>Takhirov</w:t>
      </w:r>
      <w:proofErr w:type="spellEnd"/>
      <w:r w:rsidRPr="000278EA">
        <w:t xml:space="preserve">, B.S. </w:t>
      </w:r>
      <w:proofErr w:type="spellStart"/>
      <w:r w:rsidRPr="000278EA">
        <w:t>Rakhmonov</w:t>
      </w:r>
      <w:proofErr w:type="spellEnd"/>
      <w:r w:rsidRPr="000278EA">
        <w:t xml:space="preserve">, R. </w:t>
      </w:r>
      <w:proofErr w:type="spellStart"/>
      <w:r w:rsidRPr="000278EA">
        <w:t>Nafasov</w:t>
      </w:r>
      <w:proofErr w:type="spellEnd"/>
      <w:r w:rsidRPr="000278EA">
        <w:t xml:space="preserve">, A. </w:t>
      </w:r>
      <w:proofErr w:type="spellStart"/>
      <w:r w:rsidRPr="000278EA">
        <w:t>Samandarov</w:t>
      </w:r>
      <w:proofErr w:type="spellEnd"/>
      <w:r w:rsidRPr="000278EA">
        <w:t xml:space="preserve">, S. </w:t>
      </w:r>
      <w:proofErr w:type="spellStart"/>
      <w:r w:rsidRPr="000278EA">
        <w:t>Sultanova</w:t>
      </w:r>
      <w:proofErr w:type="spellEnd"/>
      <w:r w:rsidRPr="000278EA">
        <w:t xml:space="preserve">, M.M. </w:t>
      </w:r>
      <w:proofErr w:type="spellStart"/>
      <w:r w:rsidRPr="000278EA">
        <w:t>Akhmedov</w:t>
      </w:r>
      <w:proofErr w:type="spellEnd"/>
      <w:r w:rsidRPr="000278EA">
        <w:t xml:space="preserve"> and </w:t>
      </w:r>
      <w:r>
        <w:br/>
      </w:r>
      <w:r w:rsidRPr="000278EA">
        <w:t xml:space="preserve">R.A. </w:t>
      </w:r>
      <w:proofErr w:type="spellStart"/>
      <w:r w:rsidRPr="000278EA">
        <w:t>Shamansurov</w:t>
      </w:r>
      <w:proofErr w:type="spellEnd"/>
      <w:r w:rsidRPr="000278EA">
        <w:t xml:space="preserve">, “First Step Toward Preservation of Ancient </w:t>
      </w:r>
      <w:proofErr w:type="spellStart"/>
      <w:r w:rsidRPr="000278EA">
        <w:t>Toprak</w:t>
      </w:r>
      <w:proofErr w:type="spellEnd"/>
      <w:r w:rsidRPr="000278EA">
        <w:t xml:space="preserve"> </w:t>
      </w:r>
      <w:proofErr w:type="spellStart"/>
      <w:r w:rsidRPr="000278EA">
        <w:t>Qala</w:t>
      </w:r>
      <w:proofErr w:type="spellEnd"/>
      <w:r w:rsidRPr="000278EA">
        <w:t xml:space="preserve"> in Uzbekistan: Estimation of Erosion and Deterioration Rates by Laser Scanning,” in </w:t>
      </w:r>
      <w:r w:rsidRPr="000278EA">
        <w:rPr>
          <w:i/>
          <w:iCs/>
        </w:rPr>
        <w:t xml:space="preserve">RILEM </w:t>
      </w:r>
      <w:proofErr w:type="spellStart"/>
      <w:r w:rsidRPr="000278EA">
        <w:rPr>
          <w:i/>
          <w:iCs/>
        </w:rPr>
        <w:t>Bookseries</w:t>
      </w:r>
      <w:proofErr w:type="spellEnd"/>
      <w:r w:rsidRPr="000278EA">
        <w:t>, (2024), 581–590.</w:t>
      </w:r>
    </w:p>
    <w:p w14:paraId="46022161" w14:textId="27276C9E" w:rsidR="00B11EFD" w:rsidRDefault="00B11EFD" w:rsidP="00B11EFD">
      <w:pPr>
        <w:pStyle w:val="Reference"/>
      </w:pPr>
      <w:r>
        <w:t>S</w:t>
      </w:r>
      <w:r w:rsidR="000278EA">
        <w:t>.</w:t>
      </w:r>
      <w:r>
        <w:t xml:space="preserve"> </w:t>
      </w:r>
      <w:proofErr w:type="spellStart"/>
      <w:r>
        <w:t>Takhirov</w:t>
      </w:r>
      <w:proofErr w:type="spellEnd"/>
      <w:r>
        <w:t>, Z</w:t>
      </w:r>
      <w:r w:rsidR="000278EA">
        <w:t>.</w:t>
      </w:r>
      <w:r>
        <w:t xml:space="preserve"> </w:t>
      </w:r>
      <w:proofErr w:type="spellStart"/>
      <w:r>
        <w:t>Ergashev</w:t>
      </w:r>
      <w:proofErr w:type="spellEnd"/>
      <w:r>
        <w:t>, B</w:t>
      </w:r>
      <w:r w:rsidR="000278EA">
        <w:t>.</w:t>
      </w:r>
      <w:r>
        <w:t xml:space="preserve"> </w:t>
      </w:r>
      <w:proofErr w:type="spellStart"/>
      <w:r>
        <w:t>Rakhmonov</w:t>
      </w:r>
      <w:proofErr w:type="spellEnd"/>
      <w:r>
        <w:t>, A</w:t>
      </w:r>
      <w:r w:rsidR="000278EA">
        <w:t>.</w:t>
      </w:r>
      <w:r>
        <w:t xml:space="preserve"> Gilani, M</w:t>
      </w:r>
      <w:r w:rsidR="000278EA">
        <w:t>.</w:t>
      </w:r>
      <w:r>
        <w:t xml:space="preserve"> </w:t>
      </w:r>
      <w:proofErr w:type="spellStart"/>
      <w:r>
        <w:t>Akhmedov</w:t>
      </w:r>
      <w:proofErr w:type="spellEnd"/>
      <w:r w:rsidR="000278EA">
        <w:t xml:space="preserve"> and</w:t>
      </w:r>
      <w:r>
        <w:t xml:space="preserve"> R</w:t>
      </w:r>
      <w:r w:rsidR="000278EA">
        <w:t>.</w:t>
      </w:r>
      <w:r>
        <w:t xml:space="preserve"> </w:t>
      </w:r>
      <w:proofErr w:type="spellStart"/>
      <w:r>
        <w:t>Shamansurov</w:t>
      </w:r>
      <w:proofErr w:type="spellEnd"/>
      <w:r w:rsidR="000278EA">
        <w:t>,</w:t>
      </w:r>
      <w:r>
        <w:t xml:space="preserve"> </w:t>
      </w:r>
      <w:r w:rsidR="000278EA">
        <w:t>“</w:t>
      </w:r>
      <w:r>
        <w:t>Detailed material testing of adobe structures to complete a comprehensive SHM approach that includes laser scanning and ambient vibration studies</w:t>
      </w:r>
      <w:r w:rsidR="000278EA">
        <w:t>,”</w:t>
      </w:r>
      <w:r>
        <w:t xml:space="preserve"> </w:t>
      </w:r>
      <w:r w:rsidR="000278EA">
        <w:t xml:space="preserve">in </w:t>
      </w:r>
      <w:r w:rsidRPr="000278EA">
        <w:rPr>
          <w:i/>
          <w:iCs/>
        </w:rPr>
        <w:t>13th International Conference on Structural Health Monitoring of Intelligent Infrastructure</w:t>
      </w:r>
      <w:r w:rsidR="00B23F25">
        <w:rPr>
          <w:i/>
          <w:iCs/>
        </w:rPr>
        <w:t xml:space="preserve">, </w:t>
      </w:r>
      <w:r w:rsidR="00B23F25" w:rsidRPr="00320CCE">
        <w:t xml:space="preserve">edited by </w:t>
      </w:r>
      <w:r w:rsidR="00B23F25">
        <w:t xml:space="preserve">Dr. W. </w:t>
      </w:r>
      <w:proofErr w:type="spellStart"/>
      <w:r w:rsidR="00B23F25">
        <w:t>Lienhart</w:t>
      </w:r>
      <w:proofErr w:type="spellEnd"/>
      <w:r w:rsidR="00B23F25">
        <w:t xml:space="preserve"> </w:t>
      </w:r>
      <w:r w:rsidR="00B23F25" w:rsidRPr="00B23F25">
        <w:rPr>
          <w:i/>
          <w:iCs/>
        </w:rPr>
        <w:t>et al.</w:t>
      </w:r>
      <w:r w:rsidR="00B23F25">
        <w:t xml:space="preserve"> (Graz, Austria, 2025),</w:t>
      </w:r>
      <w:r>
        <w:t xml:space="preserve"> </w:t>
      </w:r>
      <w:r w:rsidR="000278EA">
        <w:t>pp. 1000–1007</w:t>
      </w:r>
      <w:r>
        <w:t>.</w:t>
      </w:r>
    </w:p>
    <w:p w14:paraId="3DB95A1E" w14:textId="0264D1A3" w:rsidR="004F4FF6" w:rsidRDefault="00607DEB" w:rsidP="00607DEB">
      <w:pPr>
        <w:pStyle w:val="Reference"/>
      </w:pPr>
      <w:proofErr w:type="spellStart"/>
      <w:r w:rsidRPr="00607DEB">
        <w:t>MathWorks</w:t>
      </w:r>
      <w:proofErr w:type="spellEnd"/>
      <w:r w:rsidRPr="00607DEB">
        <w:t xml:space="preserve"> (2020) </w:t>
      </w:r>
      <w:proofErr w:type="spellStart"/>
      <w:r w:rsidRPr="00607DEB">
        <w:t>Matlab</w:t>
      </w:r>
      <w:proofErr w:type="spellEnd"/>
      <w:r w:rsidRPr="00607DEB">
        <w:t xml:space="preserve"> Version R2020a Update 6.</w:t>
      </w:r>
    </w:p>
    <w:p w14:paraId="46B2F3E4" w14:textId="77777777" w:rsidR="004F4FF6" w:rsidRDefault="00AC5175" w:rsidP="004F4FF6">
      <w:pPr>
        <w:pStyle w:val="Reference"/>
      </w:pPr>
      <w:hyperlink r:id="rId30" w:history="1">
        <w:r w:rsidR="004F4FF6" w:rsidRPr="001938CD">
          <w:rPr>
            <w:rStyle w:val="a7"/>
          </w:rPr>
          <w:t>https://centralasia-adventures.com/en/uzbekistan/khorezm_and_karakalpakstan/ulli-hovli.html</w:t>
        </w:r>
      </w:hyperlink>
      <w:r w:rsidR="004F4FF6">
        <w:t xml:space="preserve"> last accessed 11/04/2025.</w:t>
      </w:r>
    </w:p>
    <w:sectPr w:rsidR="004F4FF6"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15"/>
  </w:num>
  <w:num w:numId="2">
    <w:abstractNumId w:val="3"/>
  </w:num>
  <w:num w:numId="3">
    <w:abstractNumId w:val="12"/>
  </w:num>
  <w:num w:numId="4">
    <w:abstractNumId w:val="7"/>
  </w:num>
  <w:num w:numId="5">
    <w:abstractNumId w:val="11"/>
  </w:num>
  <w:num w:numId="6">
    <w:abstractNumId w:val="4"/>
  </w:num>
  <w:num w:numId="7">
    <w:abstractNumId w:val="6"/>
  </w:num>
  <w:num w:numId="8">
    <w:abstractNumId w:val="1"/>
  </w:num>
  <w:num w:numId="9">
    <w:abstractNumId w:val="14"/>
  </w:num>
  <w:num w:numId="10">
    <w:abstractNumId w:val="9"/>
  </w:num>
  <w:num w:numId="11">
    <w:abstractNumId w:val="13"/>
  </w:num>
  <w:num w:numId="12">
    <w:abstractNumId w:val="10"/>
  </w:num>
  <w:num w:numId="13">
    <w:abstractNumId w:val="5"/>
  </w:num>
  <w:num w:numId="14">
    <w:abstractNumId w:val="14"/>
  </w:num>
  <w:num w:numId="15">
    <w:abstractNumId w:val="8"/>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1"/>
  </w:num>
  <w:num w:numId="30">
    <w:abstractNumId w:val="11"/>
  </w:num>
  <w:num w:numId="31">
    <w:abstractNumId w:val="11"/>
    <w:lvlOverride w:ilvl="0">
      <w:startOverride w:val="1"/>
    </w:lvlOverride>
  </w:num>
  <w:num w:numId="32">
    <w:abstractNumId w:val="11"/>
  </w:num>
  <w:num w:numId="33">
    <w:abstractNumId w:val="11"/>
    <w:lvlOverride w:ilvl="0">
      <w:startOverride w:val="1"/>
    </w:lvlOverride>
  </w:num>
  <w:num w:numId="34">
    <w:abstractNumId w:val="11"/>
    <w:lvlOverride w:ilvl="0">
      <w:startOverride w:val="1"/>
    </w:lvlOverride>
  </w:num>
  <w:num w:numId="35">
    <w:abstractNumId w:val="12"/>
    <w:lvlOverride w:ilvl="0">
      <w:startOverride w:val="1"/>
    </w:lvlOverride>
  </w:num>
  <w:num w:numId="36">
    <w:abstractNumId w:val="12"/>
  </w:num>
  <w:num w:numId="37">
    <w:abstractNumId w:val="12"/>
    <w:lvlOverride w:ilvl="0">
      <w:startOverride w:val="1"/>
    </w:lvlOverride>
  </w:num>
  <w:num w:numId="38">
    <w:abstractNumId w:val="12"/>
  </w:num>
  <w:num w:numId="39">
    <w:abstractNumId w:val="12"/>
    <w:lvlOverride w:ilvl="0">
      <w:startOverride w:val="1"/>
    </w:lvlOverride>
  </w:num>
  <w:num w:numId="40">
    <w:abstractNumId w:val="12"/>
    <w:lvlOverride w:ilvl="0">
      <w:startOverride w:val="1"/>
    </w:lvlOverride>
  </w:num>
  <w:num w:numId="41">
    <w:abstractNumId w:val="12"/>
    <w:lvlOverride w:ilvl="0">
      <w:startOverride w:val="1"/>
    </w:lvlOverride>
  </w:num>
  <w:num w:numId="42">
    <w:abstractNumId w:val="12"/>
  </w:num>
  <w:num w:numId="43">
    <w:abstractNumId w:val="12"/>
  </w:num>
  <w:num w:numId="44">
    <w:abstractNumId w:val="2"/>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B14"/>
    <w:rsid w:val="00003D7C"/>
    <w:rsid w:val="00014140"/>
    <w:rsid w:val="00027428"/>
    <w:rsid w:val="000278EA"/>
    <w:rsid w:val="00031EC9"/>
    <w:rsid w:val="00037DC5"/>
    <w:rsid w:val="00066FED"/>
    <w:rsid w:val="000739B1"/>
    <w:rsid w:val="00075EA6"/>
    <w:rsid w:val="0007709F"/>
    <w:rsid w:val="00086F62"/>
    <w:rsid w:val="00090674"/>
    <w:rsid w:val="0009320B"/>
    <w:rsid w:val="00096AE0"/>
    <w:rsid w:val="000A7249"/>
    <w:rsid w:val="000B1B74"/>
    <w:rsid w:val="000B2A89"/>
    <w:rsid w:val="000B3A2D"/>
    <w:rsid w:val="000B49C0"/>
    <w:rsid w:val="000D08B0"/>
    <w:rsid w:val="000E382F"/>
    <w:rsid w:val="000E691F"/>
    <w:rsid w:val="000E75CD"/>
    <w:rsid w:val="001036BA"/>
    <w:rsid w:val="001146DC"/>
    <w:rsid w:val="00114AB1"/>
    <w:rsid w:val="001230FF"/>
    <w:rsid w:val="00130BD7"/>
    <w:rsid w:val="00155B67"/>
    <w:rsid w:val="001562AF"/>
    <w:rsid w:val="00161A5B"/>
    <w:rsid w:val="0016385D"/>
    <w:rsid w:val="0016782F"/>
    <w:rsid w:val="001937E9"/>
    <w:rsid w:val="001964E5"/>
    <w:rsid w:val="001B263B"/>
    <w:rsid w:val="001B476A"/>
    <w:rsid w:val="001C764F"/>
    <w:rsid w:val="001C7BB3"/>
    <w:rsid w:val="001D469C"/>
    <w:rsid w:val="0021619E"/>
    <w:rsid w:val="0022138E"/>
    <w:rsid w:val="0023171B"/>
    <w:rsid w:val="00236BFC"/>
    <w:rsid w:val="00237437"/>
    <w:rsid w:val="002502FD"/>
    <w:rsid w:val="00274622"/>
    <w:rsid w:val="00285D24"/>
    <w:rsid w:val="00290390"/>
    <w:rsid w:val="002915D3"/>
    <w:rsid w:val="002924DB"/>
    <w:rsid w:val="002941DA"/>
    <w:rsid w:val="002A5B7F"/>
    <w:rsid w:val="002B5648"/>
    <w:rsid w:val="002B6BED"/>
    <w:rsid w:val="002D09DC"/>
    <w:rsid w:val="002E3C35"/>
    <w:rsid w:val="002F5298"/>
    <w:rsid w:val="00326AE0"/>
    <w:rsid w:val="0033286B"/>
    <w:rsid w:val="00335C34"/>
    <w:rsid w:val="00337E4F"/>
    <w:rsid w:val="00340C36"/>
    <w:rsid w:val="00343885"/>
    <w:rsid w:val="00346A9D"/>
    <w:rsid w:val="00347057"/>
    <w:rsid w:val="003530A4"/>
    <w:rsid w:val="003817B1"/>
    <w:rsid w:val="0039376F"/>
    <w:rsid w:val="003A287B"/>
    <w:rsid w:val="003A5C85"/>
    <w:rsid w:val="003A61B1"/>
    <w:rsid w:val="003B0050"/>
    <w:rsid w:val="003D6312"/>
    <w:rsid w:val="003E7C74"/>
    <w:rsid w:val="003F31C6"/>
    <w:rsid w:val="0040225B"/>
    <w:rsid w:val="00402DA2"/>
    <w:rsid w:val="00425AC2"/>
    <w:rsid w:val="0044771F"/>
    <w:rsid w:val="0048716D"/>
    <w:rsid w:val="004B151D"/>
    <w:rsid w:val="004C7243"/>
    <w:rsid w:val="004D4DB8"/>
    <w:rsid w:val="004E21DE"/>
    <w:rsid w:val="004E3C57"/>
    <w:rsid w:val="004E3CB2"/>
    <w:rsid w:val="004F4FF6"/>
    <w:rsid w:val="005004C5"/>
    <w:rsid w:val="00525813"/>
    <w:rsid w:val="0053513F"/>
    <w:rsid w:val="0056495D"/>
    <w:rsid w:val="00574405"/>
    <w:rsid w:val="005854B0"/>
    <w:rsid w:val="005A0E21"/>
    <w:rsid w:val="005B3A34"/>
    <w:rsid w:val="005D49AF"/>
    <w:rsid w:val="005E415C"/>
    <w:rsid w:val="005E71ED"/>
    <w:rsid w:val="005E7946"/>
    <w:rsid w:val="005F0F0B"/>
    <w:rsid w:val="005F70AD"/>
    <w:rsid w:val="005F7475"/>
    <w:rsid w:val="00607DEB"/>
    <w:rsid w:val="00611299"/>
    <w:rsid w:val="00613B4D"/>
    <w:rsid w:val="00616365"/>
    <w:rsid w:val="00616F3B"/>
    <w:rsid w:val="006249A7"/>
    <w:rsid w:val="00635253"/>
    <w:rsid w:val="00637F62"/>
    <w:rsid w:val="0064225B"/>
    <w:rsid w:val="006763F9"/>
    <w:rsid w:val="006949BC"/>
    <w:rsid w:val="006D1229"/>
    <w:rsid w:val="006D372F"/>
    <w:rsid w:val="006D7A18"/>
    <w:rsid w:val="006E4474"/>
    <w:rsid w:val="00701388"/>
    <w:rsid w:val="00717A86"/>
    <w:rsid w:val="00723B7F"/>
    <w:rsid w:val="00725861"/>
    <w:rsid w:val="0073393A"/>
    <w:rsid w:val="0073539D"/>
    <w:rsid w:val="007416D9"/>
    <w:rsid w:val="00767B8A"/>
    <w:rsid w:val="00775481"/>
    <w:rsid w:val="007A233B"/>
    <w:rsid w:val="007B12F8"/>
    <w:rsid w:val="007B4863"/>
    <w:rsid w:val="007C24EA"/>
    <w:rsid w:val="007C65E6"/>
    <w:rsid w:val="007D406B"/>
    <w:rsid w:val="007D4407"/>
    <w:rsid w:val="007E1CA3"/>
    <w:rsid w:val="00812D62"/>
    <w:rsid w:val="00812F29"/>
    <w:rsid w:val="00817F54"/>
    <w:rsid w:val="00821713"/>
    <w:rsid w:val="00827050"/>
    <w:rsid w:val="0083278B"/>
    <w:rsid w:val="00834538"/>
    <w:rsid w:val="00850E89"/>
    <w:rsid w:val="008930E4"/>
    <w:rsid w:val="00893821"/>
    <w:rsid w:val="008969E0"/>
    <w:rsid w:val="008A7B9C"/>
    <w:rsid w:val="008B39FA"/>
    <w:rsid w:val="008B4754"/>
    <w:rsid w:val="008E6A7A"/>
    <w:rsid w:val="008F1038"/>
    <w:rsid w:val="008F7046"/>
    <w:rsid w:val="009005FC"/>
    <w:rsid w:val="00922E5A"/>
    <w:rsid w:val="00943315"/>
    <w:rsid w:val="00946C27"/>
    <w:rsid w:val="009A4F3D"/>
    <w:rsid w:val="009B696B"/>
    <w:rsid w:val="009B7671"/>
    <w:rsid w:val="009E5BA1"/>
    <w:rsid w:val="009F056E"/>
    <w:rsid w:val="00A12428"/>
    <w:rsid w:val="00A24F3D"/>
    <w:rsid w:val="00A26DCD"/>
    <w:rsid w:val="00A314BB"/>
    <w:rsid w:val="00A32B7D"/>
    <w:rsid w:val="00A5596B"/>
    <w:rsid w:val="00A646B3"/>
    <w:rsid w:val="00A6739B"/>
    <w:rsid w:val="00A90413"/>
    <w:rsid w:val="00AA728C"/>
    <w:rsid w:val="00AB0A9C"/>
    <w:rsid w:val="00AB7119"/>
    <w:rsid w:val="00AC5175"/>
    <w:rsid w:val="00AD5855"/>
    <w:rsid w:val="00AE7500"/>
    <w:rsid w:val="00AE7F87"/>
    <w:rsid w:val="00AF3542"/>
    <w:rsid w:val="00AF5ABE"/>
    <w:rsid w:val="00B00415"/>
    <w:rsid w:val="00B03C2A"/>
    <w:rsid w:val="00B1000D"/>
    <w:rsid w:val="00B10134"/>
    <w:rsid w:val="00B11EFD"/>
    <w:rsid w:val="00B142C0"/>
    <w:rsid w:val="00B16BFE"/>
    <w:rsid w:val="00B23F25"/>
    <w:rsid w:val="00B376CF"/>
    <w:rsid w:val="00B500E5"/>
    <w:rsid w:val="00BA39BB"/>
    <w:rsid w:val="00BA3B3D"/>
    <w:rsid w:val="00BB7EEA"/>
    <w:rsid w:val="00BD1909"/>
    <w:rsid w:val="00BD378A"/>
    <w:rsid w:val="00BE5E16"/>
    <w:rsid w:val="00BE5FD1"/>
    <w:rsid w:val="00C06E05"/>
    <w:rsid w:val="00C14B14"/>
    <w:rsid w:val="00C17370"/>
    <w:rsid w:val="00C2054D"/>
    <w:rsid w:val="00C252EB"/>
    <w:rsid w:val="00C26EC0"/>
    <w:rsid w:val="00C558E6"/>
    <w:rsid w:val="00C56C77"/>
    <w:rsid w:val="00C7566A"/>
    <w:rsid w:val="00C75AF3"/>
    <w:rsid w:val="00C84923"/>
    <w:rsid w:val="00CB7B3E"/>
    <w:rsid w:val="00CC0721"/>
    <w:rsid w:val="00CC739D"/>
    <w:rsid w:val="00D04468"/>
    <w:rsid w:val="00D30640"/>
    <w:rsid w:val="00D3271B"/>
    <w:rsid w:val="00D36257"/>
    <w:rsid w:val="00D4687E"/>
    <w:rsid w:val="00D53A12"/>
    <w:rsid w:val="00D63484"/>
    <w:rsid w:val="00D87E2A"/>
    <w:rsid w:val="00D9494C"/>
    <w:rsid w:val="00DB0C43"/>
    <w:rsid w:val="00DB7522"/>
    <w:rsid w:val="00DE3354"/>
    <w:rsid w:val="00DF7DCD"/>
    <w:rsid w:val="00E50B7D"/>
    <w:rsid w:val="00E904A1"/>
    <w:rsid w:val="00EB7D28"/>
    <w:rsid w:val="00EC0D0C"/>
    <w:rsid w:val="00ED4A2C"/>
    <w:rsid w:val="00EF6940"/>
    <w:rsid w:val="00F2044A"/>
    <w:rsid w:val="00F20BFC"/>
    <w:rsid w:val="00F24D5F"/>
    <w:rsid w:val="00F568D8"/>
    <w:rsid w:val="00F726C3"/>
    <w:rsid w:val="00F820CA"/>
    <w:rsid w:val="00F8554C"/>
    <w:rsid w:val="00F95F82"/>
    <w:rsid w:val="00F97A90"/>
    <w:rsid w:val="00FB619B"/>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E3CB2"/>
    <w:rPr>
      <w:sz w:val="24"/>
      <w:lang w:val="en-US" w:eastAsia="en-US"/>
    </w:rPr>
  </w:style>
  <w:style w:type="paragraph" w:styleId="1">
    <w:name w:val="heading 1"/>
    <w:basedOn w:val="a"/>
    <w:next w:val="Paragraph"/>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qFormat/>
    <w:rsid w:val="005854B0"/>
    <w:pPr>
      <w:keepNext/>
      <w:spacing w:before="240" w:after="240"/>
      <w:jc w:val="center"/>
      <w:outlineLvl w:val="2"/>
    </w:pPr>
    <w:rPr>
      <w:i/>
      <w:iCs/>
      <w:sz w:val="20"/>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Pr>
      <w:sz w:val="16"/>
    </w:rPr>
  </w:style>
  <w:style w:type="paragraph" w:customStyle="1" w:styleId="PaperTitle">
    <w:name w:val="Paper Title"/>
    <w:basedOn w:val="a"/>
    <w:next w:val="AuthorName"/>
    <w:pPr>
      <w:spacing w:before="1200"/>
      <w:jc w:val="center"/>
    </w:pPr>
    <w:rPr>
      <w:b/>
      <w:sz w:val="36"/>
    </w:rPr>
  </w:style>
  <w:style w:type="paragraph" w:customStyle="1" w:styleId="AuthorName">
    <w:name w:val="Author Name"/>
    <w:basedOn w:val="a"/>
    <w:next w:val="AuthorAffiliation"/>
    <w:pPr>
      <w:spacing w:before="360" w:after="360"/>
      <w:jc w:val="center"/>
    </w:pPr>
    <w:rPr>
      <w:sz w:val="28"/>
    </w:rPr>
  </w:style>
  <w:style w:type="paragraph" w:customStyle="1" w:styleId="AuthorAffiliation">
    <w:name w:val="Author Affiliation"/>
    <w:basedOn w:val="a"/>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4">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Текст выноски Знак"/>
    <w:basedOn w:val="a0"/>
    <w:link w:val="a5"/>
    <w:rsid w:val="00114AB1"/>
    <w:rPr>
      <w:rFonts w:ascii="Tahoma" w:hAnsi="Tahoma" w:cs="Tahoma"/>
      <w:sz w:val="16"/>
      <w:szCs w:val="16"/>
      <w:lang w:val="en-US" w:eastAsia="en-US"/>
    </w:rPr>
  </w:style>
  <w:style w:type="character" w:styleId="a7">
    <w:name w:val="Hyperlink"/>
    <w:rPr>
      <w:color w:val="0000FF"/>
      <w:u w:val="single"/>
    </w:rPr>
  </w:style>
  <w:style w:type="table" w:styleId="a8">
    <w:name w:val="Table Grid"/>
    <w:basedOn w:val="a1"/>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a"/>
    <w:qFormat/>
    <w:rsid w:val="001D469C"/>
    <w:pPr>
      <w:jc w:val="center"/>
    </w:pPr>
    <w:rPr>
      <w:sz w:val="20"/>
    </w:rPr>
  </w:style>
  <w:style w:type="paragraph" w:styleId="a9">
    <w:name w:val="Normal (Web)"/>
    <w:basedOn w:val="a"/>
    <w:uiPriority w:val="99"/>
    <w:unhideWhenUsed/>
    <w:rsid w:val="005F7475"/>
    <w:pPr>
      <w:spacing w:before="100" w:beforeAutospacing="1" w:after="100" w:afterAutospacing="1"/>
    </w:pPr>
    <w:rPr>
      <w:szCs w:val="24"/>
      <w:lang w:val="en-GB" w:eastAsia="en-GB"/>
    </w:rPr>
  </w:style>
  <w:style w:type="character" w:styleId="aa">
    <w:name w:val="Strong"/>
    <w:basedOn w:val="a0"/>
    <w:uiPriority w:val="22"/>
    <w:qFormat/>
    <w:rsid w:val="005F7475"/>
    <w:rPr>
      <w:b/>
      <w:bCs/>
    </w:rPr>
  </w:style>
  <w:style w:type="character" w:styleId="ab">
    <w:name w:val="Emphasis"/>
    <w:basedOn w:val="a0"/>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UnresolvedMention">
    <w:name w:val="Unresolved Mention"/>
    <w:basedOn w:val="a0"/>
    <w:uiPriority w:val="99"/>
    <w:semiHidden/>
    <w:unhideWhenUsed/>
    <w:rsid w:val="00613B4D"/>
    <w:rPr>
      <w:color w:val="808080"/>
      <w:shd w:val="clear" w:color="auto" w:fill="E6E6E6"/>
    </w:rPr>
  </w:style>
  <w:style w:type="paragraph" w:styleId="ac">
    <w:name w:val="List Paragraph"/>
    <w:basedOn w:val="a"/>
    <w:uiPriority w:val="34"/>
    <w:rsid w:val="006E4474"/>
    <w:pPr>
      <w:ind w:left="720"/>
      <w:contextualSpacing/>
    </w:pPr>
  </w:style>
  <w:style w:type="character" w:styleId="ad">
    <w:name w:val="annotation reference"/>
    <w:basedOn w:val="a0"/>
    <w:semiHidden/>
    <w:unhideWhenUsed/>
    <w:rsid w:val="005E71ED"/>
    <w:rPr>
      <w:sz w:val="16"/>
      <w:szCs w:val="16"/>
    </w:rPr>
  </w:style>
  <w:style w:type="paragraph" w:styleId="ae">
    <w:name w:val="annotation text"/>
    <w:basedOn w:val="a"/>
    <w:link w:val="af"/>
    <w:semiHidden/>
    <w:unhideWhenUsed/>
    <w:rsid w:val="005E71ED"/>
    <w:rPr>
      <w:sz w:val="20"/>
    </w:rPr>
  </w:style>
  <w:style w:type="character" w:customStyle="1" w:styleId="af">
    <w:name w:val="Текст примечания Знак"/>
    <w:basedOn w:val="a0"/>
    <w:link w:val="ae"/>
    <w:semiHidden/>
    <w:rsid w:val="005E71ED"/>
    <w:rPr>
      <w:lang w:val="en-US" w:eastAsia="en-US"/>
    </w:rPr>
  </w:style>
  <w:style w:type="paragraph" w:styleId="af0">
    <w:name w:val="annotation subject"/>
    <w:basedOn w:val="ae"/>
    <w:next w:val="ae"/>
    <w:link w:val="af1"/>
    <w:semiHidden/>
    <w:unhideWhenUsed/>
    <w:rsid w:val="005E71ED"/>
    <w:rPr>
      <w:b/>
      <w:bCs/>
    </w:rPr>
  </w:style>
  <w:style w:type="character" w:customStyle="1" w:styleId="af1">
    <w:name w:val="Тема примечания Знак"/>
    <w:basedOn w:val="af"/>
    <w:link w:val="af0"/>
    <w:semiHidden/>
    <w:rsid w:val="005E71ED"/>
    <w:rPr>
      <w:b/>
      <w:bCs/>
      <w:lang w:val="en-US" w:eastAsia="en-US"/>
    </w:rPr>
  </w:style>
  <w:style w:type="character" w:styleId="af2">
    <w:name w:val="FollowedHyperlink"/>
    <w:basedOn w:val="a0"/>
    <w:semiHidden/>
    <w:unhideWhenUsed/>
    <w:rsid w:val="005F70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xasanovshuxrat999@gmail.com"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tiff"/><Relationship Id="rId7" Type="http://schemas.openxmlformats.org/officeDocument/2006/relationships/settings" Target="settings.xml"/><Relationship Id="rId12" Type="http://schemas.openxmlformats.org/officeDocument/2006/relationships/hyperlink" Target="mailto:shamansurov@rambler.ru" TargetMode="External"/><Relationship Id="rId17" Type="http://schemas.openxmlformats.org/officeDocument/2006/relationships/image" Target="media/image4.png"/><Relationship Id="rId25" Type="http://schemas.openxmlformats.org/officeDocument/2006/relationships/image" Target="media/image12.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uzdaily.uz/en/president-of-turkmenistan-arrives-in-khorez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khmedov@miyamotointernational.com"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tiff"/><Relationship Id="rId28" Type="http://schemas.openxmlformats.org/officeDocument/2006/relationships/hyperlink" Target="https://www.uzdaily.uz/en/reconstruction-of-ulli-hovli-fortress-completed/" TargetMode="External"/><Relationship Id="rId10" Type="http://schemas.openxmlformats.org/officeDocument/2006/relationships/hyperlink" Target="mailto:Rah-Bahodir@yandex.ru"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mailto:takhirov@berkeley.edu"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tiff"/><Relationship Id="rId30" Type="http://schemas.openxmlformats.org/officeDocument/2006/relationships/hyperlink" Target="https://centralasia-adventures.com/en/uzbekistan/khorezm_and_karakalpakstan/ulli-hovli.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7708F6-47AB-4490-8F20-F9AFA514D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50</TotalTime>
  <Pages>6</Pages>
  <Words>1847</Words>
  <Characters>10533</Characters>
  <Application>Microsoft Office Word</Application>
  <DocSecurity>0</DocSecurity>
  <Lines>87</Lines>
  <Paragraphs>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Title Goes Here</vt:lpstr>
      <vt:lpstr>Title Goes Here</vt:lpstr>
    </vt:vector>
  </TitlesOfParts>
  <Company>PPI</Company>
  <LinksUpToDate>false</LinksUpToDate>
  <CharactersWithSpaces>12356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USER</cp:lastModifiedBy>
  <cp:revision>6</cp:revision>
  <cp:lastPrinted>2011-03-03T08:29:00Z</cp:lastPrinted>
  <dcterms:created xsi:type="dcterms:W3CDTF">2025-11-05T17:14:00Z</dcterms:created>
  <dcterms:modified xsi:type="dcterms:W3CDTF">2025-11-07T10:38:00Z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1b7fec72-ce33-4d99-9798-adcd56d891dd</vt:lpwstr>
  </property>
</Properties>
</file>