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245088" w:rsidRDefault="00245088">
      <w:pPr>
        <w:pStyle w:val="PaperTitle"/>
        <w:rPr>
          <w:b w:val="0"/>
          <w:bCs/>
          <w:sz w:val="24"/>
          <w:szCs w:val="24"/>
          <w:lang w:val="uz-Cyrl-UZ"/>
        </w:rPr>
      </w:pPr>
      <w:r>
        <w:rPr>
          <w:szCs w:val="24"/>
        </w:rPr>
        <w:t>Calculation of an Axisymmetric Hot Subsonic Turbulent Jet</w:t>
      </w:r>
    </w:p>
    <w:p w:rsidR="00245088" w:rsidRDefault="00245088">
      <w:pPr>
        <w:pStyle w:val="AuthorName"/>
      </w:pPr>
      <w:proofErr w:type="spellStart"/>
      <w:r>
        <w:t>Farrukh</w:t>
      </w:r>
      <w:proofErr w:type="spellEnd"/>
      <w:r>
        <w:t xml:space="preserve"> </w:t>
      </w:r>
      <w:proofErr w:type="spellStart"/>
      <w:r>
        <w:t>Nazarov</w:t>
      </w:r>
      <w:proofErr w:type="spellEnd"/>
      <w:r>
        <w:t xml:space="preserve"> </w:t>
      </w:r>
      <w:r>
        <w:rPr>
          <w:vertAlign w:val="superscript"/>
        </w:rPr>
        <w:t>1,</w:t>
      </w:r>
      <w:r w:rsidR="003A06F2">
        <w:rPr>
          <w:vertAlign w:val="superscript"/>
        </w:rPr>
        <w:t>2</w:t>
      </w:r>
      <w:r>
        <w:rPr>
          <w:vertAlign w:val="superscript"/>
        </w:rPr>
        <w:t xml:space="preserve"> a)</w:t>
      </w:r>
      <w:r w:rsidR="007A3F40">
        <w:t xml:space="preserve">, </w:t>
      </w:r>
      <w:proofErr w:type="spellStart"/>
      <w:r w:rsidR="007A3F40" w:rsidRPr="007A3F40">
        <w:t>Nematjon</w:t>
      </w:r>
      <w:proofErr w:type="spellEnd"/>
      <w:r w:rsidR="007A3F40" w:rsidRPr="007A3F40">
        <w:t xml:space="preserve"> Mustafayev</w:t>
      </w:r>
      <w:r w:rsidR="007A3F40">
        <w:rPr>
          <w:vertAlign w:val="superscript"/>
        </w:rPr>
        <w:t xml:space="preserve">3, b) </w:t>
      </w:r>
      <w:r w:rsidR="00C26414">
        <w:t>and</w:t>
      </w:r>
      <w:r>
        <w:t xml:space="preserve"> </w:t>
      </w:r>
      <w:proofErr w:type="spellStart"/>
      <w:r>
        <w:t>Sardor</w:t>
      </w:r>
      <w:proofErr w:type="spellEnd"/>
      <w:r>
        <w:t xml:space="preserve"> Abdukhamidov</w:t>
      </w:r>
      <w:proofErr w:type="gramStart"/>
      <w:r>
        <w:rPr>
          <w:vertAlign w:val="superscript"/>
        </w:rPr>
        <w:t>1,</w:t>
      </w:r>
      <w:r w:rsidR="007A3F40">
        <w:rPr>
          <w:vertAlign w:val="superscript"/>
        </w:rPr>
        <w:t>c</w:t>
      </w:r>
      <w:proofErr w:type="gramEnd"/>
      <w:r>
        <w:rPr>
          <w:vertAlign w:val="superscript"/>
        </w:rPr>
        <w:t xml:space="preserve">) </w:t>
      </w:r>
    </w:p>
    <w:p w:rsidR="00245088" w:rsidRDefault="00245088">
      <w:pPr>
        <w:pStyle w:val="AuthorAffiliation"/>
      </w:pPr>
      <w:r>
        <w:rPr>
          <w:i w:val="0"/>
          <w:iCs/>
          <w:vertAlign w:val="superscript"/>
        </w:rPr>
        <w:t>1</w:t>
      </w:r>
      <w:r>
        <w:t xml:space="preserve">Institute of Mechanics and Seismic Stability of Structures named after </w:t>
      </w:r>
      <w:proofErr w:type="spellStart"/>
      <w:r>
        <w:t>M.</w:t>
      </w:r>
      <w:proofErr w:type="gramStart"/>
      <w:r>
        <w:t>T.Urazbaev</w:t>
      </w:r>
      <w:proofErr w:type="spellEnd"/>
      <w:proofErr w:type="gramEnd"/>
      <w:r>
        <w:t xml:space="preserve">, Uzbekistan Academy of Sciences, 100125, Tashkent, </w:t>
      </w:r>
      <w:proofErr w:type="spellStart"/>
      <w:r>
        <w:t>Dormon</w:t>
      </w:r>
      <w:proofErr w:type="spellEnd"/>
      <w:r>
        <w:t xml:space="preserve"> </w:t>
      </w:r>
      <w:proofErr w:type="spellStart"/>
      <w:r>
        <w:t>yuli</w:t>
      </w:r>
      <w:proofErr w:type="spellEnd"/>
      <w:r>
        <w:t>, 40, Uzbekistan.</w:t>
      </w:r>
    </w:p>
    <w:p w:rsidR="003A06F2" w:rsidRDefault="003A06F2" w:rsidP="003A06F2">
      <w:pPr>
        <w:pStyle w:val="AuthorAffiliation"/>
      </w:pPr>
      <w:r>
        <w:rPr>
          <w:iCs/>
          <w:vertAlign w:val="superscript"/>
        </w:rPr>
        <w:t>2</w:t>
      </w:r>
      <w:r>
        <w:t>Fergana state technical university, Fergana, Uzbekistan</w:t>
      </w:r>
    </w:p>
    <w:p w:rsidR="007A3F40" w:rsidRDefault="00E7156E" w:rsidP="003A06F2">
      <w:pPr>
        <w:pStyle w:val="AuthorAffiliation"/>
      </w:pPr>
      <w:r>
        <w:rPr>
          <w:iCs/>
          <w:vertAlign w:val="superscript"/>
        </w:rPr>
        <w:t>3</w:t>
      </w:r>
      <w:r w:rsidR="007A3F40" w:rsidRPr="007A3F40">
        <w:t>Bukhara State Technical University</w:t>
      </w:r>
    </w:p>
    <w:p w:rsidR="007A3F40" w:rsidRDefault="008F57CE" w:rsidP="007A3F40">
      <w:pPr>
        <w:pStyle w:val="AuthorEmail"/>
      </w:pPr>
      <w:r>
        <w:br/>
      </w:r>
      <w:r w:rsidR="007A3F40" w:rsidRPr="007A3F40">
        <w:rPr>
          <w:vertAlign w:val="superscript"/>
        </w:rPr>
        <w:t>a)</w:t>
      </w:r>
      <w:r w:rsidR="007A3F40">
        <w:t xml:space="preserve"> </w:t>
      </w:r>
      <w:r w:rsidR="00245088">
        <w:t>Corresponding author: farruxnazar@mail.ru</w:t>
      </w:r>
      <w:r w:rsidR="00245088">
        <w:br/>
      </w:r>
      <w:r w:rsidR="00245088">
        <w:rPr>
          <w:szCs w:val="28"/>
          <w:vertAlign w:val="superscript"/>
        </w:rPr>
        <w:t>b)</w:t>
      </w:r>
      <w:r w:rsidR="00245088" w:rsidRPr="00C94C4B">
        <w:t xml:space="preserve"> </w:t>
      </w:r>
      <w:hyperlink r:id="rId5" w:history="1">
        <w:r w:rsidR="007A3F40" w:rsidRPr="00C94C4B">
          <w:t>nematjonmustafayev70@mail.ru</w:t>
        </w:r>
      </w:hyperlink>
    </w:p>
    <w:p w:rsidR="007A3F40" w:rsidRPr="00C26414" w:rsidRDefault="007A3F40" w:rsidP="007A3F40">
      <w:pPr>
        <w:pStyle w:val="AuthorEmail"/>
      </w:pPr>
      <w:r w:rsidRPr="007A3F40">
        <w:rPr>
          <w:vertAlign w:val="superscript"/>
        </w:rPr>
        <w:t>c)</w:t>
      </w:r>
      <w:r>
        <w:t xml:space="preserve"> </w:t>
      </w:r>
      <w:r w:rsidR="00245088">
        <w:t>sardor.abdukhamidov@mail.ru</w:t>
      </w:r>
    </w:p>
    <w:p w:rsidR="00245088" w:rsidRDefault="00245088">
      <w:pPr>
        <w:pStyle w:val="Abstract"/>
      </w:pPr>
      <w:r>
        <w:rPr>
          <w:b/>
        </w:rPr>
        <w:t>Abstract.</w:t>
      </w:r>
      <w:r>
        <w:t xml:space="preserve"> </w:t>
      </w:r>
      <w:r>
        <w:rPr>
          <w:rFonts w:eastAsia="Calibri"/>
        </w:rPr>
        <w:t>This article examines a hot jet flowing into a submerged space from a nozzle with a radius of 25.4 mm. The Mach number at the jet exit for this par</w:t>
      </w:r>
      <w:r>
        <w:t>ticular case is approximately M=</w:t>
      </w:r>
      <w:r>
        <w:rPr>
          <w:rFonts w:eastAsia="Calibri"/>
        </w:rPr>
        <w:t>0.376. In this paper, the results were obtained for various turbulence models using the COMSOL MULTIPHYSICS® software package. The solutions of these models are compared with NASA experimental results for turbulent stresses, longitudinal and transverse velocities in various cross-sections. Additionally, a comparison of axial velocities and turbulent kinetic energy with experimental results is conducted</w:t>
      </w:r>
      <w:r>
        <w:t>.</w:t>
      </w:r>
    </w:p>
    <w:p w:rsidR="00245088" w:rsidRDefault="00245088">
      <w:pPr>
        <w:pStyle w:val="1"/>
        <w:rPr>
          <w:b w:val="0"/>
          <w:caps w:val="0"/>
          <w:sz w:val="20"/>
        </w:rPr>
      </w:pPr>
      <w:r>
        <w:t>Introduction</w:t>
      </w:r>
    </w:p>
    <w:p w:rsidR="00245088" w:rsidRDefault="00245088">
      <w:pPr>
        <w:pStyle w:val="Paragraph"/>
      </w:pPr>
      <w:r>
        <w:t>An axisymmetric hot subsonic jet is a flow of hot gas propagating around an axis of symmetry. The study of such jets is important in aerodynamics and engineering, particularly in the development of rocket engines and aircraft systems.</w:t>
      </w:r>
    </w:p>
    <w:p w:rsidR="00245088" w:rsidRDefault="00245088">
      <w:pPr>
        <w:pStyle w:val="Paragraph"/>
      </w:pPr>
      <w:r>
        <w:t>An axisymmetric hot subsonic jet has a number of features that determine its behavior and properties [1-7]:</w:t>
      </w:r>
    </w:p>
    <w:p w:rsidR="00245088" w:rsidRDefault="00245088">
      <w:pPr>
        <w:pStyle w:val="Paragraph"/>
      </w:pPr>
      <w:r>
        <w:t>1. Axisymmetric: The jet is axisymmetric, meaning that its shape and properties are the same along the axis of symmetry, making it easier to model and analyze.</w:t>
      </w:r>
    </w:p>
    <w:p w:rsidR="00245088" w:rsidRDefault="00245088">
      <w:pPr>
        <w:pStyle w:val="Paragraph"/>
      </w:pPr>
      <w:r>
        <w:t>2. Subsonic velocity: The gas velocity in this jet is below the speed of sound. This is due to the gas expanding along the jet, resulting in a decrease in velocity and an increase in pressure.</w:t>
      </w:r>
    </w:p>
    <w:p w:rsidR="00245088" w:rsidRDefault="00245088">
      <w:pPr>
        <w:pStyle w:val="Paragraph"/>
      </w:pPr>
      <w:r>
        <w:t>3. Temperature: The hot jet contains gases at elevated temperatures, which may require special materials for the nozzle construction and other components to withstand the high temperatures.</w:t>
      </w:r>
    </w:p>
    <w:p w:rsidR="00245088" w:rsidRDefault="00245088">
      <w:pPr>
        <w:pStyle w:val="Paragraph"/>
      </w:pPr>
      <w:r>
        <w:t>4. Cone shape: When exiting the nozzle, the hot jet may have a cone shape as the expansion of the gas causes its shape to change.</w:t>
      </w:r>
    </w:p>
    <w:p w:rsidR="00245088" w:rsidRDefault="00245088">
      <w:pPr>
        <w:pStyle w:val="Paragraph"/>
      </w:pPr>
      <w:r>
        <w:t xml:space="preserve">These features make axisymmetric hot subsonic jets important for developing technologies in aviation, rocketry, and other engineering fields. Comparing computational fluid dynamics (CFD) results with experimental data is an important step in studying axisymmetric hot subsonic jets. This allows one to evaluate the accuracy of the simulations and ensure the validity of the applied hydrodynamic models. Comparing CFD results with experimental data reveals key differences and similarities [8-11]. If the results are consistent, the confidence in the model increases significantly. It is important to keep in mind that the comparison may require additional calibration or adjustment of the model parameters in case of discrepancies. Therefore, comparing CFD results with experimental data plays a key role in substantiating the accuracy and reliability of the modeling of an axisymmetric hot subsonic jet. To generate an axisymmetric hot subsonic jet, certain pressure and temperature conditions are used on the inlet surface of the housing. These parameters determine the initial conditions for the modeling or experimental creation of the jet. Typically, to generate a subsonic jet, a certain level of total pressure and temperature at the inlet is required, which allows achieving the desired conditions in the jet, including the velocity and temperature along its axis. When setting the initial conditions, it is important to consider not only the pressure and temperature values, but also their distribution and gradients in accordance with a specific problem and requirements. Thus, setting the total pressure and temperature on </w:t>
      </w:r>
      <w:r>
        <w:lastRenderedPageBreak/>
        <w:t>the inlet surface of the jet is an important part of the process of creating and studying an axisymmetric hot subsonic jet.</w:t>
      </w:r>
    </w:p>
    <w:p w:rsidR="00245088" w:rsidRDefault="00245088">
      <w:pPr>
        <w:pStyle w:val="Paragraph"/>
      </w:pPr>
      <w:r>
        <w:t>Turbulence modeling is an important aspect in the study of subsonic jets and other aerodynamic phenomena. Several approaches to turbulence modeling exist in computer studies of liquid and gas flows, including the following techniques [12</w:t>
      </w:r>
      <w:r w:rsidR="003A06F2">
        <w:t>,14</w:t>
      </w:r>
      <w:r>
        <w:t>-1</w:t>
      </w:r>
      <w:r w:rsidR="003A06F2">
        <w:t>8</w:t>
      </w:r>
      <w:r>
        <w:t>]:</w:t>
      </w:r>
    </w:p>
    <w:p w:rsidR="00245088" w:rsidRDefault="00245088">
      <w:pPr>
        <w:pStyle w:val="Paragraph"/>
      </w:pPr>
      <w:r>
        <w:t>1. Model k-ε: This model is one of the most widely used in engineering calculations. It is based on equations for the amount of turbulent kinetic energy (k) and its dissipation (ε), and allows one to take into account the effect of turbulence on the flow</w:t>
      </w:r>
      <w:r w:rsidR="003A06F2">
        <w:t xml:space="preserve"> [19-25]</w:t>
      </w:r>
      <w:r>
        <w:t>.</w:t>
      </w:r>
    </w:p>
    <w:p w:rsidR="00245088" w:rsidRDefault="00245088">
      <w:pPr>
        <w:pStyle w:val="Paragraph"/>
      </w:pPr>
      <w:r>
        <w:t>2. Model k-ω: This model is also based on two equations for the turbulent kinetic energy (k) and the twist frequency (ω). It is widely used to model the turbulence boundary in high pressure gradient flows.</w:t>
      </w:r>
    </w:p>
    <w:p w:rsidR="00245088" w:rsidRDefault="00245088">
      <w:pPr>
        <w:pStyle w:val="Paragraph"/>
      </w:pPr>
      <w:r>
        <w:t xml:space="preserve">3. LES (Large Eddy Large-eddy simulation (LES): This approach solves the </w:t>
      </w:r>
      <w:proofErr w:type="spellStart"/>
      <w:r>
        <w:t>Navier</w:t>
      </w:r>
      <w:proofErr w:type="spellEnd"/>
      <w:r>
        <w:t>-Stokes equations for large eddies and is used to study turbulent flows with high eddy frequencies</w:t>
      </w:r>
      <w:r w:rsidR="003A06F2">
        <w:t xml:space="preserve"> [26-30]</w:t>
      </w:r>
      <w:r>
        <w:t>.</w:t>
      </w:r>
    </w:p>
    <w:p w:rsidR="00245088" w:rsidRDefault="00245088">
      <w:pPr>
        <w:pStyle w:val="Paragraph"/>
      </w:pPr>
      <w:r>
        <w:t>The choice of model depends on the flow type, turbulence characteristics, available computational resources, and the desired accuracy of reproducing the physical processes. It is important to note that turbulence modeling in aerodynamics is a complex field and requires appropriate knowledge and experience for proper application.</w:t>
      </w:r>
    </w:p>
    <w:p w:rsidR="00245088" w:rsidRDefault="00245088">
      <w:pPr>
        <w:pStyle w:val="1"/>
      </w:pPr>
      <w:r>
        <w:t>Physical formulation of the problem</w:t>
      </w:r>
    </w:p>
    <w:p w:rsidR="00245088" w:rsidRDefault="00245088" w:rsidP="00C26414">
      <w:pPr>
        <w:pStyle w:val="Paragraph"/>
      </w:pPr>
      <w:r>
        <w:t>The experiment used a jet emanating from a nozzle with a radius of 1 inch (25.4 mm). The Mach number at the jet exit for this particular case is approximately</w:t>
      </w:r>
      <w:r>
        <w:rPr>
          <w:position w:val="-28"/>
        </w:rPr>
        <w:object w:dxaOrig="1681" w:dyaOrig="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25pt;height:31.9pt;mso-position-horizontal-relative:page;mso-position-vertical-relative:page" o:ole="">
            <v:imagedata r:id="rId6" o:title=""/>
          </v:shape>
          <o:OLEObject Type="Embed" ProgID="Equation.3" ShapeID="_x0000_i1025" DrawAspect="Content" ObjectID="_1824044060" r:id="rId7">
            <o:FieldCodes>\* MERGEFORMAT</o:FieldCodes>
          </o:OLEObject>
        </w:object>
      </w:r>
      <w:r>
        <w:t xml:space="preserve"> while the "acoustic Mach number" </w:t>
      </w:r>
      <w:r>
        <w:rPr>
          <w:position w:val="-28"/>
        </w:rPr>
        <w:object w:dxaOrig="420" w:dyaOrig="640">
          <v:shape id="_x0000_i1026" type="#_x0000_t75" style="width:21.05pt;height:31.9pt;mso-position-horizontal-relative:page;mso-position-vertical-relative:page" o:ole="">
            <v:imagedata r:id="rId8" o:title=""/>
          </v:shape>
          <o:OLEObject Type="Embed" ProgID="Equation.3" ShapeID="_x0000_i1026" DrawAspect="Content" ObjectID="_1824044061" r:id="rId9">
            <o:FieldCodes>\* MERGEFORMAT</o:FieldCodes>
          </o:OLEObject>
        </w:object>
      </w:r>
      <w:r>
        <w:t xml:space="preserve"> is approximately 0.5. In the experiment, an axisymmetric jet emerges into still (stationary) air. However, since flow into still air is difficult to achieve for some CFD codes, the CFD here is calculated with very low background environmental conditions (</w:t>
      </w:r>
      <w:r>
        <w:rPr>
          <w:position w:val="-14"/>
        </w:rPr>
        <w:object w:dxaOrig="1021" w:dyaOrig="340">
          <v:shape id="_x0000_i1027" type="#_x0000_t75" style="width:50.95pt;height:17pt;mso-position-horizontal-relative:page;mso-position-vertical-relative:page" o:ole="">
            <v:imagedata r:id="rId10" o:title=""/>
          </v:shape>
          <o:OLEObject Type="Embed" ProgID="Equation.3" ShapeID="_x0000_i1027" DrawAspect="Content" ObjectID="_1824044062" r:id="rId11">
            <o:FieldCodes>\* MERGEFORMAT</o:FieldCodes>
          </o:OLEObject>
        </w:object>
      </w:r>
      <w:r>
        <w:t xml:space="preserve">moving from left to right in the same direction as the jet). This difference in boundary conditions has some effect, but tests have shown that the impact is relatively small and </w:t>
      </w:r>
      <w:r>
        <w:rPr>
          <w:position w:val="-14"/>
        </w:rPr>
        <w:object w:dxaOrig="1021" w:dyaOrig="340">
          <v:shape id="_x0000_i1028" type="#_x0000_t75" style="width:50.95pt;height:17pt;mso-position-horizontal-relative:page;mso-position-vertical-relative:page" o:ole="">
            <v:imagedata r:id="rId12" o:title=""/>
          </v:shape>
          <o:OLEObject Type="Embed" ProgID="Equation.3" ShapeID="_x0000_i1028" DrawAspect="Content" ObjectID="_1824044063" r:id="rId13">
            <o:FieldCodes>\* MERGEFORMAT</o:FieldCodes>
          </o:OLEObject>
        </w:object>
      </w:r>
      <w:r>
        <w:t xml:space="preserve"> represents a reasonable compromise. The appropriate jet conditions are achieved by setting the total pressure and temperature at the jet inlet surface as shown in Figure 1 [13].</w:t>
      </w:r>
    </w:p>
    <w:tbl>
      <w:tblPr>
        <w:tblW w:w="0" w:type="auto"/>
        <w:jc w:val="center"/>
        <w:tblLayout w:type="fixed"/>
        <w:tblLook w:val="0000" w:firstRow="0" w:lastRow="0" w:firstColumn="0" w:lastColumn="0" w:noHBand="0" w:noVBand="0"/>
      </w:tblPr>
      <w:tblGrid>
        <w:gridCol w:w="5994"/>
      </w:tblGrid>
      <w:tr w:rsidR="00245088">
        <w:trPr>
          <w:jc w:val="center"/>
        </w:trPr>
        <w:tc>
          <w:tcPr>
            <w:tcW w:w="5994" w:type="dxa"/>
          </w:tcPr>
          <w:p w:rsidR="00245088" w:rsidRDefault="00434AAA" w:rsidP="00C26414">
            <w:pPr>
              <w:pStyle w:val="Figure"/>
              <w:spacing w:before="120"/>
            </w:pPr>
            <w:r>
              <w:rPr>
                <w:noProof/>
                <w:lang w:val="ru-RU" w:eastAsia="ja-JP"/>
              </w:rPr>
              <w:drawing>
                <wp:inline distT="0" distB="0" distL="0" distR="0">
                  <wp:extent cx="3305175" cy="2752725"/>
                  <wp:effectExtent l="0" t="0" r="0" b="0"/>
                  <wp:docPr id="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5175" cy="2752725"/>
                          </a:xfrm>
                          <a:prstGeom prst="rect">
                            <a:avLst/>
                          </a:prstGeom>
                          <a:noFill/>
                          <a:ln>
                            <a:noFill/>
                          </a:ln>
                        </pic:spPr>
                      </pic:pic>
                    </a:graphicData>
                  </a:graphic>
                </wp:inline>
              </w:drawing>
            </w:r>
          </w:p>
        </w:tc>
      </w:tr>
      <w:tr w:rsidR="00245088">
        <w:trPr>
          <w:jc w:val="center"/>
        </w:trPr>
        <w:tc>
          <w:tcPr>
            <w:tcW w:w="5994" w:type="dxa"/>
          </w:tcPr>
          <w:p w:rsidR="00245088" w:rsidRDefault="00245088">
            <w:pPr>
              <w:pStyle w:val="FigureCaption0"/>
            </w:pPr>
            <w:r>
              <w:rPr>
                <w:b/>
                <w:bCs/>
              </w:rPr>
              <w:t xml:space="preserve">FIGURE </w:t>
            </w:r>
            <w:r w:rsidRPr="008F57CE">
              <w:rPr>
                <w:b/>
                <w:bCs/>
              </w:rPr>
              <w:t>1</w:t>
            </w:r>
            <w:r w:rsidRPr="008F57CE">
              <w:rPr>
                <w:b/>
              </w:rPr>
              <w:t>.</w:t>
            </w:r>
            <w:r>
              <w:t xml:space="preserve"> Computational grids.</w:t>
            </w:r>
          </w:p>
        </w:tc>
      </w:tr>
    </w:tbl>
    <w:p w:rsidR="00245088" w:rsidRDefault="00245088">
      <w:pPr>
        <w:pStyle w:val="1"/>
      </w:pPr>
      <w:r>
        <w:t>Mathematical formulation of the problem</w:t>
      </w:r>
    </w:p>
    <w:p w:rsidR="00245088" w:rsidRDefault="00245088">
      <w:pPr>
        <w:pStyle w:val="Paragraph"/>
      </w:pPr>
      <w:r>
        <w:t>For the numerical study of the problem, the equation for heat propagation in liquids and the Navier-Stokes equations for the motion of liquids or gases are calculated jointly</w:t>
      </w:r>
      <w:r w:rsidR="003A06F2">
        <w:t xml:space="preserve"> [31-35]</w:t>
      </w:r>
      <w:r>
        <w:t>.</w:t>
      </w:r>
    </w:p>
    <w:p w:rsidR="00245088" w:rsidRDefault="00245088">
      <w:pPr>
        <w:pStyle w:val="Equation"/>
      </w:pPr>
      <w:r>
        <w:lastRenderedPageBreak/>
        <w:tab/>
      </w:r>
      <w:r>
        <w:rPr>
          <w:position w:val="-110"/>
        </w:rPr>
        <w:object w:dxaOrig="4644" w:dyaOrig="2301">
          <v:shape id="_x0000_i1029" type="#_x0000_t75" style="width:225.5pt;height:114.1pt;mso-position-horizontal-relative:page;mso-position-vertical-relative:page" o:ole="">
            <v:imagedata r:id="rId15" o:title=""/>
          </v:shape>
          <o:OLEObject Type="Embed" ProgID="Equation.3" ShapeID="_x0000_i1029" DrawAspect="Content" ObjectID="_1824044064" r:id="rId16">
            <o:FieldCodes>\* MERGEFORMAT</o:FieldCodes>
          </o:OLEObject>
        </w:object>
      </w:r>
      <w:r>
        <w:tab/>
        <w:t>(1</w:t>
      </w:r>
      <w:r>
        <w:fldChar w:fldCharType="begin"/>
      </w:r>
      <w:r>
        <w:instrText xml:space="preserve"> EQ </w:instrText>
      </w:r>
      <w:r>
        <w:fldChar w:fldCharType="end"/>
      </w:r>
      <w:r>
        <w:fldChar w:fldCharType="begin"/>
      </w:r>
      <w:r>
        <w:instrText xml:space="preserve"> AUTONUMLGL  \* Arabic \e </w:instrText>
      </w:r>
      <w:r>
        <w:fldChar w:fldCharType="end"/>
      </w:r>
      <w:r>
        <w:t>)</w:t>
      </w:r>
    </w:p>
    <w:p w:rsidR="00245088" w:rsidRDefault="00245088" w:rsidP="003A06F2">
      <w:pPr>
        <w:pStyle w:val="Paragraph"/>
        <w:ind w:firstLine="0"/>
      </w:pPr>
      <w:r>
        <w:t xml:space="preserve">here is </w:t>
      </w:r>
      <w:r>
        <w:rPr>
          <w:i/>
          <w:iCs/>
        </w:rPr>
        <w:t>k</w:t>
      </w:r>
      <w:r>
        <w:t>-the thermal conductivity,</w:t>
      </w:r>
      <w:r>
        <w:rPr>
          <w:position w:val="-10"/>
        </w:rPr>
        <w:object w:dxaOrig="280" w:dyaOrig="340">
          <v:shape id="_x0000_i1030" type="#_x0000_t75" style="width:14.25pt;height:17pt;mso-position-horizontal-relative:page;mso-position-vertical-relative:page" o:ole="">
            <v:imagedata r:id="rId17" o:title=""/>
          </v:shape>
          <o:OLEObject Type="Embed" ProgID="Equation.3" ShapeID="_x0000_i1030" DrawAspect="Content" ObjectID="_1824044065" r:id="rId18">
            <o:FieldCodes>\* MERGEFORMAT</o:FieldCodes>
          </o:OLEObject>
        </w:object>
      </w:r>
      <w:r>
        <w:t>-</w:t>
      </w:r>
      <w:r>
        <w:rPr>
          <w:color w:val="FF0000"/>
        </w:rPr>
        <w:t xml:space="preserve"> </w:t>
      </w:r>
      <w:r>
        <w:t>respectively, the axial, radial and tangential components of the air flow velocity;</w:t>
      </w:r>
      <w:r>
        <w:rPr>
          <w:i/>
          <w:position w:val="-10"/>
        </w:rPr>
        <w:object w:dxaOrig="200" w:dyaOrig="240">
          <v:shape id="_x0000_i1031" type="#_x0000_t75" style="width:9.5pt;height:12.25pt;mso-position-horizontal-relative:page;mso-position-vertical-relative:page" o:ole="">
            <v:imagedata r:id="rId19" o:title=""/>
          </v:shape>
          <o:OLEObject Type="Embed" ProgID="Equation.3" ShapeID="_x0000_i1031" DrawAspect="Content" ObjectID="_1824044066" r:id="rId20">
            <o:FieldCodes>\* MERGEFORMAT</o:FieldCodes>
          </o:OLEObject>
        </w:object>
      </w:r>
      <w:r>
        <w:t>– hydrostatic pressure;</w:t>
      </w:r>
      <w:r>
        <w:rPr>
          <w:position w:val="-10"/>
        </w:rPr>
        <w:object w:dxaOrig="221" w:dyaOrig="240">
          <v:shape id="_x0000_i1032" type="#_x0000_t75" style="width:11.55pt;height:12.25pt;mso-position-horizontal-relative:page;mso-position-vertical-relative:page" o:ole="">
            <v:imagedata r:id="rId21" o:title=""/>
          </v:shape>
          <o:OLEObject Type="Embed" ProgID="Equation.3" ShapeID="_x0000_i1032" DrawAspect="Content" ObjectID="_1824044067" r:id="rId22">
            <o:FieldCodes>\* MERGEFORMAT</o:FieldCodes>
          </o:OLEObject>
        </w:object>
      </w:r>
      <w:r>
        <w:rPr>
          <w:i/>
        </w:rPr>
        <w:t xml:space="preserve"> </w:t>
      </w:r>
      <w:r>
        <w:t>– gas density;</w:t>
      </w:r>
      <w:r>
        <w:rPr>
          <w:position w:val="-10"/>
        </w:rPr>
        <w:object w:dxaOrig="400" w:dyaOrig="301">
          <v:shape id="_x0000_i1033" type="#_x0000_t75" style="width:20.4pt;height:14.95pt;mso-position-horizontal-relative:page;mso-position-vertical-relative:page" o:ole="">
            <v:imagedata r:id="rId23" o:title=""/>
          </v:shape>
          <o:OLEObject Type="Embed" ProgID="Equation.3" ShapeID="_x0000_i1033" DrawAspect="Content" ObjectID="_1824044068" r:id="rId24">
            <o:FieldCodes>\* MERGEFORMAT</o:FieldCodes>
          </o:OLEObject>
        </w:object>
      </w:r>
      <w:r>
        <w:t>- molecular and turbulent viscosities,</w:t>
      </w:r>
      <w:r>
        <w:rPr>
          <w:position w:val="-14"/>
        </w:rPr>
        <w:object w:dxaOrig="301" w:dyaOrig="340">
          <v:shape id="_x0000_i1034" type="#_x0000_t75" style="width:14.95pt;height:17pt;mso-position-horizontal-relative:page;mso-position-vertical-relative:page" o:ole="">
            <v:imagedata r:id="rId25" o:title=""/>
          </v:shape>
          <o:OLEObject Type="Embed" ProgID="Equation.3" ShapeID="_x0000_i1034" DrawAspect="Content" ObjectID="_1824044069" r:id="rId26">
            <o:FieldCodes>\* MERGEFORMAT</o:FieldCodes>
          </o:OLEObject>
        </w:object>
      </w:r>
      <w:r>
        <w:t xml:space="preserve">-heat capacity at constant pressure, </w:t>
      </w:r>
      <w:r>
        <w:rPr>
          <w:i/>
          <w:iCs/>
        </w:rPr>
        <w:t>q</w:t>
      </w:r>
      <w:r>
        <w:t xml:space="preserve"> is the internal heat flux, </w:t>
      </w:r>
      <w:r>
        <w:rPr>
          <w:i/>
          <w:iCs/>
        </w:rPr>
        <w:t>Q</w:t>
      </w:r>
      <w:r>
        <w:t xml:space="preserve"> is the amount of heat.</w:t>
      </w:r>
    </w:p>
    <w:p w:rsidR="00245088" w:rsidRDefault="00245088">
      <w:pPr>
        <w:pStyle w:val="1"/>
      </w:pPr>
      <w:r>
        <w:t>SOLUTION METHOD</w:t>
      </w:r>
    </w:p>
    <w:p w:rsidR="00245088" w:rsidRDefault="00245088">
      <w:pPr>
        <w:pStyle w:val="Paragraph"/>
        <w:rPr>
          <w:b/>
        </w:rPr>
      </w:pPr>
      <w:r>
        <w:t>The finite element method was used to numerically solve the system of initial non-stationary equations (1). Standard solvers from COMSOL Multiphysics 6.1 were used for the solution.</w:t>
      </w:r>
    </w:p>
    <w:p w:rsidR="00245088" w:rsidRDefault="00245088">
      <w:pPr>
        <w:pStyle w:val="Paragraph"/>
      </w:pPr>
      <w:r>
        <w:t>COMSOL Multiphysics offers a range of solvers for various types of physics problems. The choice of solver depends on the type of physics being modeled, the complexity of the problem, the desired accuracy, and the available computational resources. For standard SST turbulence models,</w:t>
      </w:r>
      <w:r>
        <w:rPr>
          <w:rFonts w:eastAsia="Calibri"/>
          <w:i/>
        </w:rPr>
        <w:t xml:space="preserve"> </w:t>
      </w:r>
      <w:r>
        <w:rPr>
          <w:i/>
        </w:rPr>
        <w:t>k-ε</w:t>
      </w:r>
      <w:r>
        <w:t xml:space="preserve">, </w:t>
      </w:r>
      <w:r>
        <w:rPr>
          <w:i/>
        </w:rPr>
        <w:t>k-ω</w:t>
      </w:r>
      <w:r>
        <w:t xml:space="preserve"> standard COMSOL MULTIPHYSICS solvers were used.</w:t>
      </w:r>
    </w:p>
    <w:p w:rsidR="00245088" w:rsidRDefault="00245088">
      <w:pPr>
        <w:pStyle w:val="Paragraph"/>
      </w:pPr>
      <w:r>
        <w:t>Figure 2 shows the change in the number of iterations and the error.</w:t>
      </w:r>
    </w:p>
    <w:tbl>
      <w:tblPr>
        <w:tblW w:w="0" w:type="auto"/>
        <w:tblLayout w:type="fixed"/>
        <w:tblLook w:val="0000" w:firstRow="0" w:lastRow="0" w:firstColumn="0" w:lastColumn="0" w:noHBand="0" w:noVBand="0"/>
      </w:tblPr>
      <w:tblGrid>
        <w:gridCol w:w="4955"/>
        <w:gridCol w:w="4517"/>
      </w:tblGrid>
      <w:tr w:rsidR="00245088">
        <w:tc>
          <w:tcPr>
            <w:tcW w:w="4955" w:type="dxa"/>
          </w:tcPr>
          <w:p w:rsidR="00245088" w:rsidRDefault="00434AAA">
            <w:pPr>
              <w:pStyle w:val="Figure"/>
              <w:rPr>
                <w:rFonts w:eastAsia="Calibri"/>
                <w:sz w:val="24"/>
              </w:rPr>
            </w:pPr>
            <w:r>
              <w:rPr>
                <w:rFonts w:eastAsia="Calibri"/>
                <w:noProof/>
                <w:lang w:val="ru-RU" w:eastAsia="ja-JP"/>
              </w:rPr>
              <w:drawing>
                <wp:inline distT="0" distB="0" distL="0" distR="0">
                  <wp:extent cx="2867025" cy="1800225"/>
                  <wp:effectExtent l="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7025" cy="1800225"/>
                          </a:xfrm>
                          <a:prstGeom prst="rect">
                            <a:avLst/>
                          </a:prstGeom>
                          <a:noFill/>
                          <a:ln>
                            <a:noFill/>
                          </a:ln>
                        </pic:spPr>
                      </pic:pic>
                    </a:graphicData>
                  </a:graphic>
                </wp:inline>
              </w:drawing>
            </w:r>
          </w:p>
        </w:tc>
        <w:tc>
          <w:tcPr>
            <w:tcW w:w="4517" w:type="dxa"/>
          </w:tcPr>
          <w:p w:rsidR="00245088" w:rsidRDefault="00434AAA">
            <w:pPr>
              <w:pStyle w:val="Figure"/>
              <w:rPr>
                <w:rFonts w:eastAsia="Calibri"/>
                <w:sz w:val="24"/>
              </w:rPr>
            </w:pPr>
            <w:r>
              <w:rPr>
                <w:rFonts w:eastAsia="Calibri"/>
                <w:noProof/>
                <w:lang w:val="ru-RU" w:eastAsia="ja-JP"/>
              </w:rPr>
              <w:drawing>
                <wp:inline distT="0" distB="0" distL="0" distR="0">
                  <wp:extent cx="2733675" cy="1771650"/>
                  <wp:effectExtent l="0" t="0" r="0"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3675" cy="1771650"/>
                          </a:xfrm>
                          <a:prstGeom prst="rect">
                            <a:avLst/>
                          </a:prstGeom>
                          <a:noFill/>
                          <a:ln>
                            <a:noFill/>
                          </a:ln>
                        </pic:spPr>
                      </pic:pic>
                    </a:graphicData>
                  </a:graphic>
                </wp:inline>
              </w:drawing>
            </w:r>
          </w:p>
        </w:tc>
      </w:tr>
      <w:tr w:rsidR="00245088">
        <w:tc>
          <w:tcPr>
            <w:tcW w:w="4955" w:type="dxa"/>
          </w:tcPr>
          <w:p w:rsidR="00245088" w:rsidRDefault="00245088">
            <w:pPr>
              <w:pStyle w:val="FigureCaption0"/>
            </w:pPr>
            <w:r>
              <w:t>SST</w:t>
            </w:r>
          </w:p>
        </w:tc>
        <w:tc>
          <w:tcPr>
            <w:tcW w:w="4517" w:type="dxa"/>
          </w:tcPr>
          <w:p w:rsidR="00245088" w:rsidRDefault="00245088">
            <w:pPr>
              <w:pStyle w:val="FigureCaption0"/>
            </w:pPr>
            <w:r>
              <w:t xml:space="preserve"> k-ε </w:t>
            </w:r>
          </w:p>
        </w:tc>
      </w:tr>
      <w:tr w:rsidR="00245088">
        <w:tc>
          <w:tcPr>
            <w:tcW w:w="9472" w:type="dxa"/>
            <w:gridSpan w:val="2"/>
          </w:tcPr>
          <w:p w:rsidR="00245088" w:rsidRDefault="00434AAA">
            <w:pPr>
              <w:pStyle w:val="Figure"/>
              <w:rPr>
                <w:rFonts w:eastAsia="Calibri"/>
                <w:sz w:val="28"/>
              </w:rPr>
            </w:pPr>
            <w:r>
              <w:rPr>
                <w:rFonts w:eastAsia="Calibri"/>
                <w:noProof/>
                <w:lang w:val="ru-RU" w:eastAsia="ja-JP"/>
              </w:rPr>
              <w:drawing>
                <wp:inline distT="0" distB="0" distL="0" distR="0">
                  <wp:extent cx="2828925" cy="1800225"/>
                  <wp:effectExtent l="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28925" cy="1800225"/>
                          </a:xfrm>
                          <a:prstGeom prst="rect">
                            <a:avLst/>
                          </a:prstGeom>
                          <a:noFill/>
                          <a:ln>
                            <a:noFill/>
                          </a:ln>
                        </pic:spPr>
                      </pic:pic>
                    </a:graphicData>
                  </a:graphic>
                </wp:inline>
              </w:drawing>
            </w:r>
          </w:p>
        </w:tc>
      </w:tr>
      <w:tr w:rsidR="00245088">
        <w:tc>
          <w:tcPr>
            <w:tcW w:w="9472" w:type="dxa"/>
            <w:gridSpan w:val="2"/>
          </w:tcPr>
          <w:p w:rsidR="00245088" w:rsidRDefault="00245088">
            <w:pPr>
              <w:pStyle w:val="FigureCaption0"/>
            </w:pPr>
            <w:r>
              <w:t xml:space="preserve"> k-ω</w:t>
            </w:r>
          </w:p>
        </w:tc>
      </w:tr>
    </w:tbl>
    <w:p w:rsidR="00245088" w:rsidRDefault="00245088" w:rsidP="00C26414">
      <w:pPr>
        <w:pStyle w:val="FigureCaption0"/>
        <w:spacing w:after="120"/>
        <w:rPr>
          <w:lang w:val="ru-RU" w:eastAsia="ja-JP"/>
        </w:rPr>
      </w:pPr>
      <w:r>
        <w:rPr>
          <w:b/>
        </w:rPr>
        <w:t>FIGURE 2.</w:t>
      </w:r>
      <w:r>
        <w:rPr>
          <w:b/>
          <w:lang w:val="ru-RU" w:eastAsia="ja-JP"/>
        </w:rPr>
        <w:t xml:space="preserve"> </w:t>
      </w:r>
      <w:r>
        <w:t>Change in the number of iterations and errors</w:t>
      </w:r>
    </w:p>
    <w:p w:rsidR="00245088" w:rsidRDefault="00245088">
      <w:pPr>
        <w:pStyle w:val="Paragraph"/>
      </w:pPr>
      <w:r>
        <w:rPr>
          <w:rFonts w:eastAsia="Calibri"/>
          <w:lang w:val="en"/>
        </w:rPr>
        <w:lastRenderedPageBreak/>
        <w:t xml:space="preserve">The time required to perform calculations on different grids is presented in Table 1. All calculations were performed on a computer with a quad-core Intel i5-7300 </w:t>
      </w:r>
      <w:r>
        <w:rPr>
          <w:rFonts w:eastAsia="Calibri"/>
        </w:rPr>
        <w:t>HQ processor</w:t>
      </w:r>
      <w:r>
        <w:rPr>
          <w:rFonts w:eastAsia="Calibri"/>
          <w:lang w:val="en"/>
        </w:rPr>
        <w:t>, 2.5 GHz, 16 GB of DDR3 memory, a 1024 GB hard drive, and a Windows 7 (64-bit) operating system</w:t>
      </w:r>
      <w:r>
        <w:t>.</w:t>
      </w:r>
    </w:p>
    <w:p w:rsidR="00245088" w:rsidRDefault="00245088" w:rsidP="00C26414">
      <w:pPr>
        <w:pStyle w:val="TableCaption0"/>
        <w:rPr>
          <w:shd w:val="clear" w:color="auto" w:fill="FFFFFF"/>
        </w:rPr>
      </w:pPr>
      <w:r>
        <w:rPr>
          <w:b/>
          <w:bCs/>
          <w:shd w:val="clear" w:color="auto" w:fill="FFFFFF"/>
        </w:rPr>
        <w:t>TABLE 1.</w:t>
      </w:r>
      <w:r>
        <w:rPr>
          <w:shd w:val="clear" w:color="auto" w:fill="FFFFFF"/>
        </w:rPr>
        <w:t xml:space="preserve"> Time </w:t>
      </w:r>
      <w:r w:rsidRPr="00C26414">
        <w:t>spent</w:t>
      </w:r>
      <w:r>
        <w:rPr>
          <w:shd w:val="clear" w:color="auto" w:fill="FFFFFF"/>
        </w:rPr>
        <w:t xml:space="preserve"> on performing calculations for different models</w:t>
      </w:r>
    </w:p>
    <w:tbl>
      <w:tblPr>
        <w:tblW w:w="0" w:type="auto"/>
        <w:jc w:val="center"/>
        <w:tblBorders>
          <w:top w:val="single" w:sz="4" w:space="0" w:color="auto"/>
          <w:bottom w:val="single" w:sz="4" w:space="0" w:color="auto"/>
        </w:tblBorders>
        <w:tblLayout w:type="fixed"/>
        <w:tblLook w:val="0000" w:firstRow="0" w:lastRow="0" w:firstColumn="0" w:lastColumn="0" w:noHBand="0" w:noVBand="0"/>
      </w:tblPr>
      <w:tblGrid>
        <w:gridCol w:w="2689"/>
        <w:gridCol w:w="1275"/>
        <w:gridCol w:w="1627"/>
        <w:gridCol w:w="1857"/>
      </w:tblGrid>
      <w:tr w:rsidR="00245088">
        <w:trPr>
          <w:jc w:val="center"/>
        </w:trPr>
        <w:tc>
          <w:tcPr>
            <w:tcW w:w="2689" w:type="dxa"/>
          </w:tcPr>
          <w:p w:rsidR="00245088" w:rsidRDefault="00245088">
            <w:pPr>
              <w:pStyle w:val="TableCaption0"/>
              <w:rPr>
                <w:rFonts w:eastAsia="Calibri"/>
                <w:lang w:val="uz-Cyrl-UZ"/>
              </w:rPr>
            </w:pPr>
            <w:r>
              <w:rPr>
                <w:lang w:val="uz-Cyrl-UZ"/>
              </w:rPr>
              <w:t>models</w:t>
            </w:r>
          </w:p>
        </w:tc>
        <w:tc>
          <w:tcPr>
            <w:tcW w:w="1275" w:type="dxa"/>
          </w:tcPr>
          <w:p w:rsidR="00245088" w:rsidRDefault="00245088">
            <w:pPr>
              <w:pStyle w:val="TableCaption0"/>
              <w:rPr>
                <w:rFonts w:eastAsia="Calibri"/>
                <w:i/>
              </w:rPr>
            </w:pPr>
            <w:r>
              <w:rPr>
                <w:i/>
              </w:rPr>
              <w:t>SST</w:t>
            </w:r>
          </w:p>
        </w:tc>
        <w:tc>
          <w:tcPr>
            <w:tcW w:w="1627" w:type="dxa"/>
          </w:tcPr>
          <w:p w:rsidR="00245088" w:rsidRDefault="00245088">
            <w:pPr>
              <w:pStyle w:val="TableCaption0"/>
              <w:rPr>
                <w:rFonts w:eastAsia="Calibri"/>
              </w:rPr>
            </w:pPr>
            <w:r>
              <w:rPr>
                <w:i/>
              </w:rPr>
              <w:t>k-ε</w:t>
            </w:r>
          </w:p>
        </w:tc>
        <w:tc>
          <w:tcPr>
            <w:tcW w:w="1857" w:type="dxa"/>
          </w:tcPr>
          <w:p w:rsidR="00245088" w:rsidRDefault="00245088">
            <w:pPr>
              <w:pStyle w:val="TableCaption0"/>
              <w:rPr>
                <w:rFonts w:eastAsia="Calibri"/>
              </w:rPr>
            </w:pPr>
            <w:r>
              <w:rPr>
                <w:i/>
                <w:lang w:val="ru-RU" w:eastAsia="ru-RU"/>
              </w:rPr>
              <w:t>k-ω</w:t>
            </w:r>
          </w:p>
        </w:tc>
      </w:tr>
      <w:tr w:rsidR="00245088">
        <w:trPr>
          <w:jc w:val="center"/>
        </w:trPr>
        <w:tc>
          <w:tcPr>
            <w:tcW w:w="2689" w:type="dxa"/>
          </w:tcPr>
          <w:p w:rsidR="00245088" w:rsidRDefault="00245088">
            <w:pPr>
              <w:pStyle w:val="TableCaption0"/>
              <w:rPr>
                <w:rFonts w:eastAsia="Calibri"/>
              </w:rPr>
            </w:pPr>
            <w:r>
              <w:rPr>
                <w:rFonts w:eastAsia="Calibri"/>
              </w:rPr>
              <w:t>time spent in seconds</w:t>
            </w:r>
          </w:p>
        </w:tc>
        <w:tc>
          <w:tcPr>
            <w:tcW w:w="1275" w:type="dxa"/>
          </w:tcPr>
          <w:p w:rsidR="00245088" w:rsidRDefault="00245088">
            <w:pPr>
              <w:pStyle w:val="TableCaption0"/>
              <w:rPr>
                <w:rFonts w:eastAsia="Calibri"/>
              </w:rPr>
            </w:pPr>
            <w:r>
              <w:rPr>
                <w:rFonts w:eastAsia="Calibri"/>
              </w:rPr>
              <w:t>492</w:t>
            </w:r>
          </w:p>
        </w:tc>
        <w:tc>
          <w:tcPr>
            <w:tcW w:w="1627" w:type="dxa"/>
          </w:tcPr>
          <w:p w:rsidR="00245088" w:rsidRDefault="00245088">
            <w:pPr>
              <w:pStyle w:val="TableCaption0"/>
              <w:rPr>
                <w:rFonts w:eastAsia="Calibri"/>
              </w:rPr>
            </w:pPr>
            <w:r>
              <w:t>275</w:t>
            </w:r>
          </w:p>
        </w:tc>
        <w:tc>
          <w:tcPr>
            <w:tcW w:w="1857" w:type="dxa"/>
          </w:tcPr>
          <w:p w:rsidR="00245088" w:rsidRDefault="00245088">
            <w:pPr>
              <w:pStyle w:val="TableCaption0"/>
              <w:rPr>
                <w:rFonts w:eastAsia="Calibri"/>
              </w:rPr>
            </w:pPr>
            <w:r>
              <w:rPr>
                <w:rFonts w:eastAsia="Calibri"/>
              </w:rPr>
              <w:t>293</w:t>
            </w:r>
          </w:p>
        </w:tc>
      </w:tr>
    </w:tbl>
    <w:p w:rsidR="00245088" w:rsidRDefault="00245088">
      <w:pPr>
        <w:pStyle w:val="1"/>
      </w:pPr>
      <w:r>
        <w:t>CALCULATION RESULTS AND THEIR DISCUSSION</w:t>
      </w:r>
    </w:p>
    <w:p w:rsidR="00245088" w:rsidRDefault="00245088" w:rsidP="00C26414">
      <w:pPr>
        <w:pStyle w:val="Paragraph"/>
        <w:spacing w:after="120"/>
      </w:pPr>
      <w:r>
        <w:t xml:space="preserve">Figure 3 shows a comparison of the results of an axisymmetric hot subsonic jet using the </w:t>
      </w:r>
      <w:r>
        <w:rPr>
          <w:i/>
        </w:rPr>
        <w:t xml:space="preserve">SST model </w:t>
      </w:r>
      <w:r>
        <w:t xml:space="preserve">, </w:t>
      </w:r>
      <w:r>
        <w:rPr>
          <w:i/>
        </w:rPr>
        <w:t>k-ε</w:t>
      </w:r>
      <w:r>
        <w:t xml:space="preserve"> and </w:t>
      </w:r>
      <w:r>
        <w:fldChar w:fldCharType="begin"/>
      </w:r>
      <w:r>
        <w:instrText xml:space="preserve"> QUOTE </w:instrText>
      </w:r>
      <w:r w:rsidR="00434AAA">
        <w:rPr>
          <w:noProof/>
          <w:position w:val="-6"/>
          <w:lang w:val="ru-RU" w:eastAsia="ja-JP"/>
        </w:rPr>
        <w:drawing>
          <wp:inline distT="0" distB="0" distL="0" distR="0">
            <wp:extent cx="381000" cy="1809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instrText xml:space="preserve"> </w:instrText>
      </w:r>
      <w:r>
        <w:fldChar w:fldCharType="separate"/>
      </w:r>
      <w:r>
        <w:rPr>
          <w:i/>
          <w:lang w:val="ru-RU" w:eastAsia="ru-RU"/>
        </w:rPr>
        <w:t>k-ω</w:t>
      </w:r>
      <w:r>
        <w:t xml:space="preserve"> </w:t>
      </w:r>
      <w:r>
        <w:fldChar w:fldCharType="end"/>
      </w:r>
      <w:r>
        <w:t>with experimental data for dimensionless axial velocity and turbulent kinetic energy from the distance to the nozzle.</w:t>
      </w:r>
    </w:p>
    <w:tbl>
      <w:tblPr>
        <w:tblW w:w="0" w:type="auto"/>
        <w:tblLayout w:type="fixed"/>
        <w:tblLook w:val="0000" w:firstRow="0" w:lastRow="0" w:firstColumn="0" w:lastColumn="0" w:noHBand="0" w:noVBand="0"/>
      </w:tblPr>
      <w:tblGrid>
        <w:gridCol w:w="4672"/>
        <w:gridCol w:w="4673"/>
      </w:tblGrid>
      <w:tr w:rsidR="00245088">
        <w:tc>
          <w:tcPr>
            <w:tcW w:w="4672" w:type="dxa"/>
          </w:tcPr>
          <w:p w:rsidR="00245088" w:rsidRDefault="00434AAA">
            <w:pPr>
              <w:pStyle w:val="Figure"/>
              <w:rPr>
                <w:rFonts w:eastAsia="Calibri"/>
                <w:sz w:val="24"/>
              </w:rPr>
            </w:pPr>
            <w:r>
              <w:rPr>
                <w:rFonts w:eastAsia="Calibri"/>
                <w:noProof/>
                <w:lang w:val="ru-RU" w:eastAsia="ja-JP"/>
              </w:rPr>
              <w:drawing>
                <wp:inline distT="0" distB="0" distL="0" distR="0">
                  <wp:extent cx="2609850" cy="2867025"/>
                  <wp:effectExtent l="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09850" cy="2867025"/>
                          </a:xfrm>
                          <a:prstGeom prst="rect">
                            <a:avLst/>
                          </a:prstGeom>
                          <a:noFill/>
                          <a:ln>
                            <a:noFill/>
                          </a:ln>
                        </pic:spPr>
                      </pic:pic>
                    </a:graphicData>
                  </a:graphic>
                </wp:inline>
              </w:drawing>
            </w:r>
          </w:p>
        </w:tc>
        <w:tc>
          <w:tcPr>
            <w:tcW w:w="4673" w:type="dxa"/>
          </w:tcPr>
          <w:p w:rsidR="00245088" w:rsidRDefault="00434AAA">
            <w:pPr>
              <w:pStyle w:val="Figure"/>
              <w:rPr>
                <w:rFonts w:eastAsia="Calibri"/>
                <w:sz w:val="24"/>
              </w:rPr>
            </w:pPr>
            <w:r>
              <w:rPr>
                <w:rFonts w:eastAsia="Calibri"/>
                <w:noProof/>
                <w:lang w:val="ru-RU" w:eastAsia="ja-JP"/>
              </w:rPr>
              <w:drawing>
                <wp:inline distT="0" distB="0" distL="0" distR="0">
                  <wp:extent cx="2657475" cy="2867025"/>
                  <wp:effectExtent l="0" t="0" r="0" b="0"/>
                  <wp:docPr id="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57475" cy="2867025"/>
                          </a:xfrm>
                          <a:prstGeom prst="rect">
                            <a:avLst/>
                          </a:prstGeom>
                          <a:noFill/>
                          <a:ln>
                            <a:noFill/>
                          </a:ln>
                        </pic:spPr>
                      </pic:pic>
                    </a:graphicData>
                  </a:graphic>
                </wp:inline>
              </w:drawing>
            </w:r>
          </w:p>
        </w:tc>
      </w:tr>
      <w:tr w:rsidR="00245088">
        <w:tc>
          <w:tcPr>
            <w:tcW w:w="4672" w:type="dxa"/>
          </w:tcPr>
          <w:p w:rsidR="00245088" w:rsidRPr="00C26414" w:rsidRDefault="00245088" w:rsidP="00C26414">
            <w:pPr>
              <w:pStyle w:val="FigureCaption0"/>
            </w:pPr>
            <w:r w:rsidRPr="00C26414">
              <w:t>a</w:t>
            </w:r>
          </w:p>
        </w:tc>
        <w:tc>
          <w:tcPr>
            <w:tcW w:w="4673" w:type="dxa"/>
          </w:tcPr>
          <w:p w:rsidR="00245088" w:rsidRPr="00C26414" w:rsidRDefault="00245088" w:rsidP="00C26414">
            <w:pPr>
              <w:pStyle w:val="FigureCaption0"/>
            </w:pPr>
            <w:r w:rsidRPr="00C26414">
              <w:t>b</w:t>
            </w:r>
          </w:p>
        </w:tc>
      </w:tr>
      <w:tr w:rsidR="00245088">
        <w:tc>
          <w:tcPr>
            <w:tcW w:w="9345" w:type="dxa"/>
            <w:gridSpan w:val="2"/>
          </w:tcPr>
          <w:p w:rsidR="00245088" w:rsidRDefault="00245088">
            <w:pPr>
              <w:pStyle w:val="FigureCaption0"/>
              <w:rPr>
                <w:rFonts w:eastAsia="Calibri"/>
                <w:szCs w:val="18"/>
              </w:rPr>
            </w:pPr>
            <w:r>
              <w:rPr>
                <w:rFonts w:eastAsia="Calibri"/>
                <w:b/>
                <w:szCs w:val="18"/>
              </w:rPr>
              <w:t>FIGURE</w:t>
            </w:r>
            <w:r>
              <w:rPr>
                <w:rFonts w:eastAsia="Calibri"/>
                <w:szCs w:val="18"/>
              </w:rPr>
              <w:t xml:space="preserve"> </w:t>
            </w:r>
            <w:r>
              <w:rPr>
                <w:rFonts w:eastAsia="Calibri"/>
                <w:b/>
                <w:szCs w:val="18"/>
              </w:rPr>
              <w:t>3</w:t>
            </w:r>
            <w:r>
              <w:rPr>
                <w:rFonts w:eastAsia="Calibri"/>
                <w:szCs w:val="18"/>
              </w:rPr>
              <w:t xml:space="preserve">. Comparison of numerical results of turbulence models with experimental data for dimensionless axial velocity (a) and turbulent kinetic energy (b) from the distance to the nozzle. 1-experimental data, 2- SST, 3- </w:t>
            </w:r>
            <w:r>
              <w:rPr>
                <w:rFonts w:eastAsia="Calibri"/>
                <w:i/>
                <w:sz w:val="20"/>
              </w:rPr>
              <w:t>k-ε</w:t>
            </w:r>
            <w:r>
              <w:rPr>
                <w:rFonts w:eastAsia="Calibri"/>
                <w:szCs w:val="18"/>
              </w:rPr>
              <w:t>, 4-</w:t>
            </w:r>
            <w:r>
              <w:rPr>
                <w:rFonts w:eastAsia="Calibri"/>
                <w:i/>
                <w:sz w:val="20"/>
                <w:lang w:val="ru-RU" w:eastAsia="ru-RU"/>
              </w:rPr>
              <w:t>k-ω</w:t>
            </w:r>
            <w:r>
              <w:rPr>
                <w:rFonts w:eastAsia="Calibri"/>
                <w:szCs w:val="18"/>
              </w:rPr>
              <w:t>.</w:t>
            </w:r>
          </w:p>
        </w:tc>
      </w:tr>
    </w:tbl>
    <w:p w:rsidR="00245088" w:rsidRDefault="00245088">
      <w:pPr>
        <w:pStyle w:val="Paragraph"/>
        <w:spacing w:before="120"/>
      </w:pPr>
      <w:r>
        <w:t>Figure 4 shows a comparison of the results for an axisymmetric hot subsonic jet using turbulence models with experimental data for turbulent stress profiles in different sections.</w:t>
      </w:r>
    </w:p>
    <w:p w:rsidR="00245088" w:rsidRDefault="00245088">
      <w:pPr>
        <w:pStyle w:val="Paragraph"/>
      </w:pPr>
      <w:r>
        <w:t>As can be seen from Figure 4, the model k-ε the turbulent stress model agrees well with the experimental results compared to other models.</w:t>
      </w:r>
    </w:p>
    <w:p w:rsidR="00245088" w:rsidRDefault="00245088">
      <w:pPr>
        <w:pStyle w:val="Paragraph"/>
      </w:pPr>
      <w:r>
        <w:t>Figure 5 shows a comparison of the results of an axisymmetric hot subsonic jet using a turbulence model with experimental data for dimensionless longitudinal velocity profiles at different distances from the nozzle.</w:t>
      </w:r>
    </w:p>
    <w:p w:rsidR="00245088" w:rsidRDefault="00245088">
      <w:pPr>
        <w:pStyle w:val="Paragraph"/>
      </w:pPr>
      <w:r>
        <w:t xml:space="preserve">Figure 5 shows the graphs of longitudinal velocities in the model </w:t>
      </w:r>
      <w:r>
        <w:rPr>
          <w:i/>
        </w:rPr>
        <w:t>k-ε</w:t>
      </w:r>
      <w:r>
        <w:t xml:space="preserve"> agrees well with experimental results compared to other models.</w:t>
      </w:r>
    </w:p>
    <w:p w:rsidR="00245088" w:rsidRDefault="00245088">
      <w:pPr>
        <w:pStyle w:val="Paragraph"/>
      </w:pPr>
      <w:r>
        <w:t>Figure 6 shows a comparison of the results of an axisymmetric hot subsonic jet using a turbulence model with experimental data for dimensionless transverse velocity profiles at different distances from the nozzle.</w:t>
      </w:r>
    </w:p>
    <w:tbl>
      <w:tblPr>
        <w:tblW w:w="0" w:type="auto"/>
        <w:tblLayout w:type="fixed"/>
        <w:tblLook w:val="0000" w:firstRow="0" w:lastRow="0" w:firstColumn="0" w:lastColumn="0" w:noHBand="0" w:noVBand="0"/>
      </w:tblPr>
      <w:tblGrid>
        <w:gridCol w:w="4741"/>
        <w:gridCol w:w="42"/>
        <w:gridCol w:w="20"/>
        <w:gridCol w:w="4727"/>
        <w:gridCol w:w="46"/>
      </w:tblGrid>
      <w:tr w:rsidR="00245088">
        <w:tc>
          <w:tcPr>
            <w:tcW w:w="4803" w:type="dxa"/>
            <w:gridSpan w:val="3"/>
          </w:tcPr>
          <w:p w:rsidR="00245088" w:rsidRDefault="00434AAA">
            <w:pPr>
              <w:pStyle w:val="Figure"/>
              <w:rPr>
                <w:rFonts w:eastAsia="Calibri"/>
                <w:sz w:val="24"/>
              </w:rPr>
            </w:pPr>
            <w:r>
              <w:rPr>
                <w:rFonts w:eastAsia="Calibri"/>
                <w:noProof/>
                <w:lang w:val="ru-RU" w:eastAsia="ja-JP"/>
              </w:rPr>
              <w:lastRenderedPageBreak/>
              <w:drawing>
                <wp:inline distT="0" distB="0" distL="0" distR="0">
                  <wp:extent cx="2200275" cy="2466975"/>
                  <wp:effectExtent l="0" t="0" r="0" b="0"/>
                  <wp:docPr id="1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00275" cy="2466975"/>
                          </a:xfrm>
                          <a:prstGeom prst="rect">
                            <a:avLst/>
                          </a:prstGeom>
                          <a:noFill/>
                          <a:ln>
                            <a:noFill/>
                          </a:ln>
                        </pic:spPr>
                      </pic:pic>
                    </a:graphicData>
                  </a:graphic>
                </wp:inline>
              </w:drawing>
            </w:r>
          </w:p>
        </w:tc>
        <w:tc>
          <w:tcPr>
            <w:tcW w:w="4773" w:type="dxa"/>
            <w:gridSpan w:val="2"/>
          </w:tcPr>
          <w:p w:rsidR="00245088" w:rsidRDefault="00434AAA">
            <w:pPr>
              <w:pStyle w:val="Figure"/>
              <w:rPr>
                <w:rFonts w:eastAsia="Calibri"/>
                <w:sz w:val="24"/>
              </w:rPr>
            </w:pPr>
            <w:r>
              <w:rPr>
                <w:rFonts w:eastAsia="Calibri"/>
                <w:noProof/>
                <w:lang w:val="ru-RU" w:eastAsia="ja-JP"/>
              </w:rPr>
              <w:drawing>
                <wp:inline distT="0" distB="0" distL="0" distR="0">
                  <wp:extent cx="2200275" cy="2466975"/>
                  <wp:effectExtent l="0" t="0" r="0" b="0"/>
                  <wp:docPr id="1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00275" cy="2466975"/>
                          </a:xfrm>
                          <a:prstGeom prst="rect">
                            <a:avLst/>
                          </a:prstGeom>
                          <a:noFill/>
                          <a:ln>
                            <a:noFill/>
                          </a:ln>
                        </pic:spPr>
                      </pic:pic>
                    </a:graphicData>
                  </a:graphic>
                </wp:inline>
              </w:drawing>
            </w:r>
          </w:p>
        </w:tc>
      </w:tr>
      <w:tr w:rsidR="00245088">
        <w:tc>
          <w:tcPr>
            <w:tcW w:w="4803" w:type="dxa"/>
            <w:gridSpan w:val="3"/>
          </w:tcPr>
          <w:p w:rsidR="00245088" w:rsidRDefault="00245088">
            <w:pPr>
              <w:pStyle w:val="FigureCaption0"/>
              <w:spacing w:before="0"/>
              <w:rPr>
                <w:rFonts w:eastAsia="Calibri"/>
                <w:sz w:val="24"/>
                <w:szCs w:val="22"/>
              </w:rPr>
            </w:pPr>
            <w:r>
              <w:rPr>
                <w:rFonts w:eastAsia="Calibri"/>
                <w:position w:val="-12"/>
                <w:sz w:val="24"/>
                <w:szCs w:val="22"/>
              </w:rPr>
              <w:object w:dxaOrig="940" w:dyaOrig="320">
                <v:shape id="_x0000_i1035" type="#_x0000_t75" style="width:45.5pt;height:16.3pt;mso-position-horizontal-relative:page;mso-position-vertical-relative:page" o:ole="">
                  <v:imagedata r:id="rId35" o:title=""/>
                </v:shape>
                <o:OLEObject Type="Embed" ProgID="Equation.DSMT4" ShapeID="_x0000_i1035" DrawAspect="Content" ObjectID="_1824044070" r:id="rId36"/>
              </w:object>
            </w:r>
          </w:p>
        </w:tc>
        <w:tc>
          <w:tcPr>
            <w:tcW w:w="4773" w:type="dxa"/>
            <w:gridSpan w:val="2"/>
          </w:tcPr>
          <w:p w:rsidR="00245088" w:rsidRDefault="00245088">
            <w:pPr>
              <w:pStyle w:val="FigureCaption0"/>
              <w:spacing w:before="0"/>
              <w:rPr>
                <w:rFonts w:eastAsia="Calibri"/>
                <w:sz w:val="24"/>
                <w:szCs w:val="22"/>
              </w:rPr>
            </w:pPr>
            <w:r>
              <w:rPr>
                <w:rFonts w:eastAsia="Calibri"/>
                <w:position w:val="-12"/>
                <w:sz w:val="24"/>
                <w:szCs w:val="22"/>
              </w:rPr>
              <w:object w:dxaOrig="920" w:dyaOrig="320">
                <v:shape id="_x0000_i1036" type="#_x0000_t75" style="width:44.15pt;height:16.3pt;mso-position-horizontal-relative:page;mso-position-vertical-relative:page" o:ole="">
                  <v:imagedata r:id="rId37" o:title=""/>
                </v:shape>
                <o:OLEObject Type="Embed" ProgID="Equation.DSMT4" ShapeID="_x0000_i1036" DrawAspect="Content" ObjectID="_1824044071" r:id="rId38"/>
              </w:object>
            </w:r>
          </w:p>
        </w:tc>
      </w:tr>
      <w:tr w:rsidR="00245088">
        <w:tc>
          <w:tcPr>
            <w:tcW w:w="4803" w:type="dxa"/>
            <w:gridSpan w:val="3"/>
          </w:tcPr>
          <w:p w:rsidR="00245088" w:rsidRDefault="00434AAA">
            <w:pPr>
              <w:pStyle w:val="Figure"/>
              <w:rPr>
                <w:rFonts w:eastAsia="Calibri"/>
                <w:sz w:val="24"/>
              </w:rPr>
            </w:pPr>
            <w:r>
              <w:rPr>
                <w:rFonts w:eastAsia="Calibri"/>
                <w:noProof/>
                <w:lang w:val="ru-RU" w:eastAsia="ja-JP"/>
              </w:rPr>
              <w:drawing>
                <wp:inline distT="0" distB="0" distL="0" distR="0">
                  <wp:extent cx="2228850" cy="2466975"/>
                  <wp:effectExtent l="0" t="0" r="0" b="0"/>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8850" cy="2466975"/>
                          </a:xfrm>
                          <a:prstGeom prst="rect">
                            <a:avLst/>
                          </a:prstGeom>
                          <a:noFill/>
                          <a:ln>
                            <a:noFill/>
                          </a:ln>
                        </pic:spPr>
                      </pic:pic>
                    </a:graphicData>
                  </a:graphic>
                </wp:inline>
              </w:drawing>
            </w:r>
          </w:p>
        </w:tc>
        <w:tc>
          <w:tcPr>
            <w:tcW w:w="4773" w:type="dxa"/>
            <w:gridSpan w:val="2"/>
          </w:tcPr>
          <w:p w:rsidR="00245088" w:rsidRDefault="00434AAA">
            <w:pPr>
              <w:pStyle w:val="Figure"/>
              <w:rPr>
                <w:rFonts w:eastAsia="Calibri"/>
              </w:rPr>
            </w:pPr>
            <w:r>
              <w:rPr>
                <w:rFonts w:eastAsia="Calibri"/>
                <w:noProof/>
                <w:lang w:val="ru-RU" w:eastAsia="ja-JP"/>
              </w:rPr>
              <w:drawing>
                <wp:inline distT="0" distB="0" distL="0" distR="0">
                  <wp:extent cx="2200275" cy="2438400"/>
                  <wp:effectExtent l="0" t="0" r="0"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00275" cy="2438400"/>
                          </a:xfrm>
                          <a:prstGeom prst="rect">
                            <a:avLst/>
                          </a:prstGeom>
                          <a:noFill/>
                          <a:ln>
                            <a:noFill/>
                          </a:ln>
                        </pic:spPr>
                      </pic:pic>
                    </a:graphicData>
                  </a:graphic>
                </wp:inline>
              </w:drawing>
            </w:r>
          </w:p>
        </w:tc>
      </w:tr>
      <w:tr w:rsidR="00245088">
        <w:tc>
          <w:tcPr>
            <w:tcW w:w="4803" w:type="dxa"/>
            <w:gridSpan w:val="3"/>
          </w:tcPr>
          <w:p w:rsidR="00245088" w:rsidRDefault="00245088">
            <w:pPr>
              <w:pStyle w:val="FigureCaption0"/>
              <w:spacing w:before="0"/>
              <w:rPr>
                <w:rFonts w:eastAsia="Calibri"/>
                <w:sz w:val="24"/>
                <w:szCs w:val="22"/>
              </w:rPr>
            </w:pPr>
            <w:r>
              <w:rPr>
                <w:rFonts w:eastAsia="Calibri"/>
                <w:position w:val="-12"/>
                <w:sz w:val="24"/>
                <w:szCs w:val="22"/>
              </w:rPr>
              <w:object w:dxaOrig="1021" w:dyaOrig="320">
                <v:shape id="_x0000_i1037" type="#_x0000_t75" style="width:49.6pt;height:16.3pt;mso-position-horizontal-relative:page;mso-position-vertical-relative:page" o:ole="">
                  <v:imagedata r:id="rId41" o:title=""/>
                </v:shape>
                <o:OLEObject Type="Embed" ProgID="Equation.DSMT4" ShapeID="_x0000_i1037" DrawAspect="Content" ObjectID="_1824044072" r:id="rId42"/>
              </w:object>
            </w:r>
          </w:p>
        </w:tc>
        <w:tc>
          <w:tcPr>
            <w:tcW w:w="4773" w:type="dxa"/>
            <w:gridSpan w:val="2"/>
          </w:tcPr>
          <w:p w:rsidR="00245088" w:rsidRDefault="00245088">
            <w:pPr>
              <w:pStyle w:val="FigureCaption0"/>
              <w:spacing w:before="0"/>
              <w:rPr>
                <w:rFonts w:eastAsia="Calibri"/>
                <w:sz w:val="24"/>
                <w:szCs w:val="22"/>
              </w:rPr>
            </w:pPr>
            <w:r>
              <w:rPr>
                <w:rFonts w:eastAsia="Calibri"/>
                <w:position w:val="-12"/>
                <w:sz w:val="24"/>
                <w:szCs w:val="22"/>
              </w:rPr>
              <w:object w:dxaOrig="1000" w:dyaOrig="320">
                <v:shape id="_x0000_i1038" type="#_x0000_t75" style="width:48.9pt;height:16.3pt;mso-position-horizontal-relative:page;mso-position-vertical-relative:page" o:ole="">
                  <v:imagedata r:id="rId43" o:title=""/>
                </v:shape>
                <o:OLEObject Type="Embed" ProgID="Equation.DSMT4" ShapeID="_x0000_i1038" DrawAspect="Content" ObjectID="_1824044073" r:id="rId44"/>
              </w:object>
            </w:r>
          </w:p>
        </w:tc>
      </w:tr>
      <w:tr w:rsidR="00245088">
        <w:tc>
          <w:tcPr>
            <w:tcW w:w="4803" w:type="dxa"/>
            <w:gridSpan w:val="3"/>
          </w:tcPr>
          <w:p w:rsidR="00245088" w:rsidRDefault="00434AAA">
            <w:pPr>
              <w:pStyle w:val="Figure"/>
              <w:rPr>
                <w:rFonts w:eastAsia="Calibri"/>
              </w:rPr>
            </w:pPr>
            <w:r>
              <w:rPr>
                <w:noProof/>
                <w:lang w:val="ru-RU" w:eastAsia="ja-JP"/>
              </w:rPr>
              <w:drawing>
                <wp:inline distT="0" distB="0" distL="0" distR="0">
                  <wp:extent cx="2228850" cy="2524125"/>
                  <wp:effectExtent l="0" t="0" r="0" b="0"/>
                  <wp:docPr id="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28850" cy="2524125"/>
                          </a:xfrm>
                          <a:prstGeom prst="rect">
                            <a:avLst/>
                          </a:prstGeom>
                          <a:noFill/>
                          <a:ln>
                            <a:noFill/>
                          </a:ln>
                        </pic:spPr>
                      </pic:pic>
                    </a:graphicData>
                  </a:graphic>
                </wp:inline>
              </w:drawing>
            </w:r>
          </w:p>
        </w:tc>
        <w:tc>
          <w:tcPr>
            <w:tcW w:w="4773" w:type="dxa"/>
            <w:gridSpan w:val="2"/>
            <w:vMerge w:val="restart"/>
            <w:vAlign w:val="center"/>
          </w:tcPr>
          <w:p w:rsidR="00245088" w:rsidRDefault="00245088">
            <w:pPr>
              <w:pStyle w:val="FigureCaption0"/>
            </w:pPr>
            <w:r>
              <w:rPr>
                <w:b/>
                <w:bCs/>
              </w:rPr>
              <w:t>FIGURE 4</w:t>
            </w:r>
            <w:r>
              <w:t xml:space="preserve">. Comparison of results for an axisymmetric hot subsonic jet using turbulence models with experimental data for the turbulent stress profile in different sections. </w:t>
            </w:r>
          </w:p>
          <w:p w:rsidR="00245088" w:rsidRDefault="00245088">
            <w:pPr>
              <w:pStyle w:val="FigureCaption0"/>
              <w:rPr>
                <w:sz w:val="24"/>
                <w:szCs w:val="22"/>
              </w:rPr>
            </w:pPr>
            <w:r>
              <w:t>1-experimental data, 2- SST, 3- k-ε, 4- k-ω.</w:t>
            </w:r>
          </w:p>
        </w:tc>
      </w:tr>
      <w:tr w:rsidR="00245088">
        <w:tc>
          <w:tcPr>
            <w:tcW w:w="4803" w:type="dxa"/>
            <w:gridSpan w:val="3"/>
          </w:tcPr>
          <w:p w:rsidR="00245088" w:rsidRDefault="00245088">
            <w:pPr>
              <w:pStyle w:val="FigureCaption0"/>
              <w:spacing w:before="0"/>
              <w:rPr>
                <w:rFonts w:eastAsia="Calibri"/>
                <w:sz w:val="24"/>
                <w:szCs w:val="22"/>
              </w:rPr>
            </w:pPr>
            <w:r>
              <w:rPr>
                <w:rFonts w:eastAsia="Calibri"/>
                <w:position w:val="-12"/>
                <w:sz w:val="24"/>
                <w:szCs w:val="22"/>
              </w:rPr>
              <w:object w:dxaOrig="1040" w:dyaOrig="320">
                <v:shape id="_x0000_i1039" type="#_x0000_t75" style="width:50.25pt;height:16.3pt;mso-position-horizontal-relative:page;mso-position-vertical-relative:page" o:ole="">
                  <v:imagedata r:id="rId46" o:title=""/>
                </v:shape>
                <o:OLEObject Type="Embed" ProgID="Equation.DSMT4" ShapeID="_x0000_i1039" DrawAspect="Content" ObjectID="_1824044074" r:id="rId47"/>
              </w:object>
            </w:r>
          </w:p>
        </w:tc>
        <w:tc>
          <w:tcPr>
            <w:tcW w:w="4773" w:type="dxa"/>
            <w:gridSpan w:val="2"/>
            <w:vMerge/>
          </w:tcPr>
          <w:p w:rsidR="00245088" w:rsidRDefault="00245088">
            <w:pPr>
              <w:pStyle w:val="FigureCaption0"/>
              <w:spacing w:before="0"/>
              <w:rPr>
                <w:rFonts w:eastAsia="Calibri"/>
                <w:sz w:val="24"/>
                <w:szCs w:val="22"/>
              </w:rPr>
            </w:pPr>
          </w:p>
        </w:tc>
      </w:tr>
      <w:tr w:rsidR="00245088" w:rsidTr="003A06F2">
        <w:trPr>
          <w:gridAfter w:val="1"/>
          <w:wAfter w:w="46" w:type="dxa"/>
        </w:trPr>
        <w:tc>
          <w:tcPr>
            <w:tcW w:w="4741" w:type="dxa"/>
          </w:tcPr>
          <w:p w:rsidR="00245088" w:rsidRDefault="00434AAA">
            <w:pPr>
              <w:pStyle w:val="Figure"/>
              <w:rPr>
                <w:sz w:val="24"/>
              </w:rPr>
            </w:pPr>
            <w:r>
              <w:rPr>
                <w:noProof/>
                <w:lang w:val="ru-RU" w:eastAsia="ja-JP"/>
              </w:rPr>
              <w:lastRenderedPageBreak/>
              <w:drawing>
                <wp:inline distT="0" distB="0" distL="0" distR="0">
                  <wp:extent cx="2076450" cy="2324100"/>
                  <wp:effectExtent l="0" t="0" r="0" b="0"/>
                  <wp:docPr id="2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76450" cy="2324100"/>
                          </a:xfrm>
                          <a:prstGeom prst="rect">
                            <a:avLst/>
                          </a:prstGeom>
                          <a:noFill/>
                          <a:ln>
                            <a:noFill/>
                          </a:ln>
                        </pic:spPr>
                      </pic:pic>
                    </a:graphicData>
                  </a:graphic>
                </wp:inline>
              </w:drawing>
            </w:r>
          </w:p>
        </w:tc>
        <w:tc>
          <w:tcPr>
            <w:tcW w:w="4789" w:type="dxa"/>
            <w:gridSpan w:val="3"/>
          </w:tcPr>
          <w:p w:rsidR="00245088" w:rsidRDefault="00434AAA">
            <w:pPr>
              <w:pStyle w:val="Figure"/>
              <w:rPr>
                <w:sz w:val="24"/>
              </w:rPr>
            </w:pPr>
            <w:r>
              <w:rPr>
                <w:noProof/>
                <w:lang w:val="ru-RU" w:eastAsia="ja-JP"/>
              </w:rPr>
              <w:drawing>
                <wp:inline distT="0" distB="0" distL="0" distR="0">
                  <wp:extent cx="2057400" cy="2314575"/>
                  <wp:effectExtent l="0" t="0" r="0" b="0"/>
                  <wp:docPr id="2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57400" cy="2314575"/>
                          </a:xfrm>
                          <a:prstGeom prst="rect">
                            <a:avLst/>
                          </a:prstGeom>
                          <a:noFill/>
                          <a:ln>
                            <a:noFill/>
                          </a:ln>
                        </pic:spPr>
                      </pic:pic>
                    </a:graphicData>
                  </a:graphic>
                </wp:inline>
              </w:drawing>
            </w:r>
          </w:p>
        </w:tc>
      </w:tr>
      <w:tr w:rsidR="00245088" w:rsidTr="003A06F2">
        <w:trPr>
          <w:gridAfter w:val="1"/>
          <w:wAfter w:w="46" w:type="dxa"/>
        </w:trPr>
        <w:tc>
          <w:tcPr>
            <w:tcW w:w="4741" w:type="dxa"/>
          </w:tcPr>
          <w:p w:rsidR="00245088" w:rsidRDefault="00245088">
            <w:pPr>
              <w:pStyle w:val="FigureCaption0"/>
              <w:spacing w:before="0"/>
              <w:rPr>
                <w:rFonts w:eastAsia="Calibri"/>
                <w:sz w:val="24"/>
                <w:szCs w:val="22"/>
              </w:rPr>
            </w:pPr>
            <w:r>
              <w:rPr>
                <w:rFonts w:eastAsia="Calibri"/>
                <w:position w:val="-12"/>
                <w:sz w:val="24"/>
                <w:szCs w:val="22"/>
              </w:rPr>
              <w:object w:dxaOrig="941" w:dyaOrig="320">
                <v:shape id="_x0000_i1040" type="#_x0000_t75" style="width:45.5pt;height:16.3pt;mso-position-horizontal-relative:page;mso-position-vertical-relative:page" o:ole="">
                  <v:imagedata r:id="rId50" o:title=""/>
                </v:shape>
                <o:OLEObject Type="Embed" ProgID="Equation.DSMT4" ShapeID="_x0000_i1040" DrawAspect="Content" ObjectID="_1824044075" r:id="rId51"/>
              </w:object>
            </w:r>
          </w:p>
        </w:tc>
        <w:tc>
          <w:tcPr>
            <w:tcW w:w="4789" w:type="dxa"/>
            <w:gridSpan w:val="3"/>
          </w:tcPr>
          <w:p w:rsidR="00245088" w:rsidRDefault="00245088">
            <w:pPr>
              <w:pStyle w:val="FigureCaption0"/>
              <w:spacing w:before="0"/>
              <w:rPr>
                <w:rFonts w:eastAsia="Calibri"/>
                <w:sz w:val="24"/>
                <w:szCs w:val="22"/>
              </w:rPr>
            </w:pPr>
            <w:r>
              <w:rPr>
                <w:rFonts w:eastAsia="Calibri"/>
                <w:position w:val="-12"/>
                <w:sz w:val="24"/>
                <w:szCs w:val="22"/>
              </w:rPr>
              <w:object w:dxaOrig="921" w:dyaOrig="320">
                <v:shape id="_x0000_i1041" type="#_x0000_t75" style="width:44.15pt;height:16.3pt;mso-position-horizontal-relative:page;mso-position-vertical-relative:page" o:ole="">
                  <v:imagedata r:id="rId52" o:title=""/>
                </v:shape>
                <o:OLEObject Type="Embed" ProgID="Equation.DSMT4" ShapeID="_x0000_i1041" DrawAspect="Content" ObjectID="_1824044076" r:id="rId53"/>
              </w:object>
            </w:r>
          </w:p>
        </w:tc>
      </w:tr>
      <w:tr w:rsidR="00245088" w:rsidTr="003A06F2">
        <w:trPr>
          <w:gridAfter w:val="1"/>
          <w:wAfter w:w="46" w:type="dxa"/>
        </w:trPr>
        <w:tc>
          <w:tcPr>
            <w:tcW w:w="4741" w:type="dxa"/>
          </w:tcPr>
          <w:p w:rsidR="00245088" w:rsidRDefault="00434AAA">
            <w:pPr>
              <w:pStyle w:val="Figure"/>
              <w:rPr>
                <w:rFonts w:eastAsia="Calibri"/>
                <w:sz w:val="24"/>
              </w:rPr>
            </w:pPr>
            <w:r>
              <w:rPr>
                <w:rFonts w:eastAsia="Calibri"/>
                <w:noProof/>
                <w:lang w:val="ru-RU" w:eastAsia="ja-JP"/>
              </w:rPr>
              <w:drawing>
                <wp:inline distT="0" distB="0" distL="0" distR="0">
                  <wp:extent cx="2219325" cy="2486025"/>
                  <wp:effectExtent l="0" t="0" r="0" b="0"/>
                  <wp:docPr id="3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19325" cy="2486025"/>
                          </a:xfrm>
                          <a:prstGeom prst="rect">
                            <a:avLst/>
                          </a:prstGeom>
                          <a:noFill/>
                          <a:ln>
                            <a:noFill/>
                          </a:ln>
                        </pic:spPr>
                      </pic:pic>
                    </a:graphicData>
                  </a:graphic>
                </wp:inline>
              </w:drawing>
            </w:r>
          </w:p>
        </w:tc>
        <w:tc>
          <w:tcPr>
            <w:tcW w:w="4789" w:type="dxa"/>
            <w:gridSpan w:val="3"/>
          </w:tcPr>
          <w:p w:rsidR="00245088" w:rsidRDefault="00434AAA">
            <w:pPr>
              <w:pStyle w:val="Figure"/>
              <w:rPr>
                <w:rFonts w:eastAsia="Calibri"/>
                <w:sz w:val="24"/>
              </w:rPr>
            </w:pPr>
            <w:r>
              <w:rPr>
                <w:rFonts w:eastAsia="Calibri"/>
                <w:noProof/>
                <w:lang w:val="ru-RU" w:eastAsia="ja-JP"/>
              </w:rPr>
              <w:drawing>
                <wp:inline distT="0" distB="0" distL="0" distR="0">
                  <wp:extent cx="2343150" cy="2581275"/>
                  <wp:effectExtent l="0" t="0" r="0" b="0"/>
                  <wp:docPr id="3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43150" cy="2581275"/>
                          </a:xfrm>
                          <a:prstGeom prst="rect">
                            <a:avLst/>
                          </a:prstGeom>
                          <a:noFill/>
                          <a:ln>
                            <a:noFill/>
                          </a:ln>
                        </pic:spPr>
                      </pic:pic>
                    </a:graphicData>
                  </a:graphic>
                </wp:inline>
              </w:drawing>
            </w:r>
          </w:p>
        </w:tc>
      </w:tr>
      <w:tr w:rsidR="00245088" w:rsidTr="003A06F2">
        <w:trPr>
          <w:gridAfter w:val="1"/>
          <w:wAfter w:w="46" w:type="dxa"/>
        </w:trPr>
        <w:tc>
          <w:tcPr>
            <w:tcW w:w="4741" w:type="dxa"/>
          </w:tcPr>
          <w:p w:rsidR="00245088" w:rsidRDefault="00245088">
            <w:pPr>
              <w:pStyle w:val="FigureCaption0"/>
              <w:spacing w:before="0"/>
              <w:rPr>
                <w:rFonts w:eastAsia="Calibri"/>
                <w:sz w:val="24"/>
                <w:szCs w:val="22"/>
              </w:rPr>
            </w:pPr>
            <w:r>
              <w:rPr>
                <w:rFonts w:eastAsia="Calibri"/>
                <w:position w:val="-12"/>
                <w:sz w:val="24"/>
                <w:szCs w:val="22"/>
              </w:rPr>
              <w:object w:dxaOrig="1021" w:dyaOrig="320">
                <v:shape id="_x0000_i1042" type="#_x0000_t75" style="width:49.6pt;height:16.3pt;mso-position-horizontal-relative:page;mso-position-vertical-relative:page" o:ole="">
                  <v:imagedata r:id="rId56" o:title=""/>
                </v:shape>
                <o:OLEObject Type="Embed" ProgID="Equation.DSMT4" ShapeID="_x0000_i1042" DrawAspect="Content" ObjectID="_1824044077" r:id="rId57"/>
              </w:object>
            </w:r>
          </w:p>
        </w:tc>
        <w:tc>
          <w:tcPr>
            <w:tcW w:w="4789" w:type="dxa"/>
            <w:gridSpan w:val="3"/>
          </w:tcPr>
          <w:p w:rsidR="00245088" w:rsidRDefault="00245088">
            <w:pPr>
              <w:pStyle w:val="FigureCaption0"/>
              <w:spacing w:before="0"/>
              <w:rPr>
                <w:rFonts w:eastAsia="Calibri"/>
                <w:sz w:val="24"/>
                <w:szCs w:val="22"/>
              </w:rPr>
            </w:pPr>
            <w:r>
              <w:rPr>
                <w:rFonts w:eastAsia="Calibri"/>
                <w:position w:val="-12"/>
                <w:sz w:val="24"/>
                <w:szCs w:val="22"/>
              </w:rPr>
              <w:object w:dxaOrig="1001" w:dyaOrig="320">
                <v:shape id="_x0000_i1043" type="#_x0000_t75" style="width:48.9pt;height:16.3pt;mso-position-horizontal-relative:page;mso-position-vertical-relative:page" o:ole="">
                  <v:imagedata r:id="rId58" o:title=""/>
                </v:shape>
                <o:OLEObject Type="Embed" ProgID="Equation.DSMT4" ShapeID="_x0000_i1043" DrawAspect="Content" ObjectID="_1824044078" r:id="rId59"/>
              </w:object>
            </w:r>
          </w:p>
        </w:tc>
      </w:tr>
      <w:tr w:rsidR="00245088" w:rsidTr="003A06F2">
        <w:trPr>
          <w:gridAfter w:val="1"/>
          <w:wAfter w:w="46" w:type="dxa"/>
        </w:trPr>
        <w:tc>
          <w:tcPr>
            <w:tcW w:w="4741" w:type="dxa"/>
          </w:tcPr>
          <w:p w:rsidR="00245088" w:rsidRDefault="00434AAA">
            <w:pPr>
              <w:pStyle w:val="Figure"/>
              <w:rPr>
                <w:rFonts w:eastAsia="Calibri"/>
                <w:sz w:val="24"/>
              </w:rPr>
            </w:pPr>
            <w:r>
              <w:rPr>
                <w:rFonts w:eastAsia="Calibri"/>
                <w:noProof/>
                <w:lang w:val="ru-RU" w:eastAsia="ja-JP"/>
              </w:rPr>
              <w:drawing>
                <wp:inline distT="0" distB="0" distL="0" distR="0">
                  <wp:extent cx="2257425" cy="2505075"/>
                  <wp:effectExtent l="0" t="0" r="0" b="0"/>
                  <wp:docPr id="3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57425" cy="2505075"/>
                          </a:xfrm>
                          <a:prstGeom prst="rect">
                            <a:avLst/>
                          </a:prstGeom>
                          <a:noFill/>
                          <a:ln>
                            <a:noFill/>
                          </a:ln>
                        </pic:spPr>
                      </pic:pic>
                    </a:graphicData>
                  </a:graphic>
                </wp:inline>
              </w:drawing>
            </w:r>
          </w:p>
        </w:tc>
        <w:tc>
          <w:tcPr>
            <w:tcW w:w="4789" w:type="dxa"/>
            <w:gridSpan w:val="3"/>
            <w:vMerge w:val="restart"/>
            <w:vAlign w:val="center"/>
          </w:tcPr>
          <w:p w:rsidR="00245088" w:rsidRDefault="00245088">
            <w:pPr>
              <w:pStyle w:val="FigureCaption0"/>
              <w:spacing w:before="0"/>
              <w:rPr>
                <w:rFonts w:eastAsia="Calibri"/>
                <w:sz w:val="24"/>
                <w:szCs w:val="22"/>
              </w:rPr>
            </w:pPr>
            <w:r>
              <w:rPr>
                <w:rFonts w:eastAsia="Calibri"/>
                <w:b/>
                <w:szCs w:val="18"/>
              </w:rPr>
              <w:t>FIGURE</w:t>
            </w:r>
            <w:r>
              <w:rPr>
                <w:rFonts w:eastAsia="Calibri"/>
                <w:szCs w:val="18"/>
              </w:rPr>
              <w:t xml:space="preserve"> 5. </w:t>
            </w:r>
            <w:r>
              <w:t xml:space="preserve">Comparison of the results of various turbulence models for an axisymmetric hot subsonic jet with experimental data of longitudinal velocity profiles in different sections. 1-experimental data, 2- SST , 3- k-ε </w:t>
            </w:r>
            <w:r>
              <w:fldChar w:fldCharType="begin"/>
            </w:r>
            <w:r>
              <w:instrText xml:space="preserve"> QUOTE </w:instrText>
            </w:r>
            <w:r w:rsidR="00434AAA">
              <w:rPr>
                <w:noProof/>
                <w:lang w:val="ru-RU" w:eastAsia="ja-JP"/>
              </w:rPr>
              <w:drawing>
                <wp:inline distT="0" distB="0" distL="0" distR="0">
                  <wp:extent cx="342900" cy="1809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instrText xml:space="preserve"> </w:instrText>
            </w:r>
            <w:r>
              <w:fldChar w:fldCharType="end"/>
            </w:r>
            <w:r>
              <w:t>, 4- k-ω.</w:t>
            </w:r>
          </w:p>
        </w:tc>
      </w:tr>
      <w:tr w:rsidR="00245088" w:rsidTr="003A06F2">
        <w:trPr>
          <w:gridAfter w:val="1"/>
          <w:wAfter w:w="46" w:type="dxa"/>
        </w:trPr>
        <w:tc>
          <w:tcPr>
            <w:tcW w:w="4741" w:type="dxa"/>
          </w:tcPr>
          <w:p w:rsidR="00245088" w:rsidRDefault="00245088">
            <w:pPr>
              <w:pStyle w:val="FigureCaption0"/>
              <w:spacing w:before="0"/>
              <w:rPr>
                <w:rFonts w:eastAsia="Calibri"/>
                <w:sz w:val="24"/>
                <w:szCs w:val="22"/>
              </w:rPr>
            </w:pPr>
            <w:r>
              <w:rPr>
                <w:rFonts w:eastAsia="Calibri"/>
                <w:position w:val="-12"/>
                <w:sz w:val="24"/>
                <w:szCs w:val="22"/>
              </w:rPr>
              <w:object w:dxaOrig="1041" w:dyaOrig="320">
                <v:shape id="_x0000_i1044" type="#_x0000_t75" style="width:50.25pt;height:16.3pt;mso-position-horizontal-relative:page;mso-position-vertical-relative:page" o:ole="">
                  <v:imagedata r:id="rId62" o:title=""/>
                </v:shape>
                <o:OLEObject Type="Embed" ProgID="Equation.DSMT4" ShapeID="_x0000_i1044" DrawAspect="Content" ObjectID="_1824044079" r:id="rId63"/>
              </w:object>
            </w:r>
          </w:p>
        </w:tc>
        <w:tc>
          <w:tcPr>
            <w:tcW w:w="4789" w:type="dxa"/>
            <w:gridSpan w:val="3"/>
            <w:vMerge/>
          </w:tcPr>
          <w:p w:rsidR="00245088" w:rsidRDefault="00245088">
            <w:pPr>
              <w:pStyle w:val="FigureCaption0"/>
              <w:spacing w:before="0"/>
              <w:rPr>
                <w:rFonts w:eastAsia="Calibri"/>
                <w:sz w:val="24"/>
                <w:szCs w:val="22"/>
              </w:rPr>
            </w:pPr>
          </w:p>
        </w:tc>
      </w:tr>
      <w:tr w:rsidR="00245088">
        <w:tc>
          <w:tcPr>
            <w:tcW w:w="4783" w:type="dxa"/>
            <w:gridSpan w:val="2"/>
          </w:tcPr>
          <w:p w:rsidR="00245088" w:rsidRDefault="00434AAA">
            <w:pPr>
              <w:pStyle w:val="Figure"/>
              <w:rPr>
                <w:sz w:val="24"/>
              </w:rPr>
            </w:pPr>
            <w:r>
              <w:rPr>
                <w:noProof/>
                <w:lang w:val="ru-RU" w:eastAsia="ja-JP"/>
              </w:rPr>
              <w:lastRenderedPageBreak/>
              <w:drawing>
                <wp:inline distT="0" distB="0" distL="0" distR="0">
                  <wp:extent cx="2133600" cy="2447925"/>
                  <wp:effectExtent l="0" t="0" r="0" b="0"/>
                  <wp:docPr id="39"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33600" cy="2447925"/>
                          </a:xfrm>
                          <a:prstGeom prst="rect">
                            <a:avLst/>
                          </a:prstGeom>
                          <a:noFill/>
                          <a:ln>
                            <a:noFill/>
                          </a:ln>
                        </pic:spPr>
                      </pic:pic>
                    </a:graphicData>
                  </a:graphic>
                </wp:inline>
              </w:drawing>
            </w:r>
          </w:p>
        </w:tc>
        <w:tc>
          <w:tcPr>
            <w:tcW w:w="4793" w:type="dxa"/>
            <w:gridSpan w:val="3"/>
          </w:tcPr>
          <w:p w:rsidR="00245088" w:rsidRDefault="00434AAA">
            <w:pPr>
              <w:pStyle w:val="Figure"/>
              <w:rPr>
                <w:sz w:val="24"/>
              </w:rPr>
            </w:pPr>
            <w:r>
              <w:rPr>
                <w:noProof/>
                <w:lang w:val="ru-RU" w:eastAsia="ja-JP"/>
              </w:rPr>
              <w:drawing>
                <wp:inline distT="0" distB="0" distL="0" distR="0">
                  <wp:extent cx="2057400" cy="2390775"/>
                  <wp:effectExtent l="0" t="0" r="0" b="0"/>
                  <wp:docPr id="40"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57400" cy="2390775"/>
                          </a:xfrm>
                          <a:prstGeom prst="rect">
                            <a:avLst/>
                          </a:prstGeom>
                          <a:noFill/>
                          <a:ln>
                            <a:noFill/>
                          </a:ln>
                        </pic:spPr>
                      </pic:pic>
                    </a:graphicData>
                  </a:graphic>
                </wp:inline>
              </w:drawing>
            </w:r>
          </w:p>
        </w:tc>
      </w:tr>
      <w:tr w:rsidR="00245088">
        <w:tc>
          <w:tcPr>
            <w:tcW w:w="4783" w:type="dxa"/>
            <w:gridSpan w:val="2"/>
          </w:tcPr>
          <w:p w:rsidR="00245088" w:rsidRDefault="00245088">
            <w:pPr>
              <w:pStyle w:val="FigureCaption0"/>
              <w:spacing w:before="0"/>
              <w:rPr>
                <w:szCs w:val="22"/>
              </w:rPr>
            </w:pPr>
            <w:r>
              <w:object w:dxaOrig="941" w:dyaOrig="320">
                <v:shape id="_x0000_i1045" type="#_x0000_t75" style="width:45.5pt;height:16.3pt;mso-position-horizontal-relative:page;mso-position-vertical-relative:page" o:ole="">
                  <v:imagedata r:id="rId50" o:title=""/>
                </v:shape>
                <o:OLEObject Type="Embed" ProgID="Equation.DSMT4" ShapeID="_x0000_i1045" DrawAspect="Content" ObjectID="_1824044080" r:id="rId66"/>
              </w:object>
            </w:r>
          </w:p>
        </w:tc>
        <w:tc>
          <w:tcPr>
            <w:tcW w:w="4793" w:type="dxa"/>
            <w:gridSpan w:val="3"/>
          </w:tcPr>
          <w:p w:rsidR="00245088" w:rsidRDefault="00245088">
            <w:pPr>
              <w:pStyle w:val="FigureCaption0"/>
              <w:spacing w:before="0"/>
              <w:rPr>
                <w:szCs w:val="22"/>
              </w:rPr>
            </w:pPr>
            <w:r>
              <w:object w:dxaOrig="921" w:dyaOrig="320">
                <v:shape id="_x0000_i1046" type="#_x0000_t75" style="width:44.15pt;height:16.3pt;mso-position-horizontal-relative:page;mso-position-vertical-relative:page" o:ole="">
                  <v:imagedata r:id="rId52" o:title=""/>
                </v:shape>
                <o:OLEObject Type="Embed" ProgID="Equation.DSMT4" ShapeID="_x0000_i1046" DrawAspect="Content" ObjectID="_1824044081" r:id="rId67"/>
              </w:object>
            </w:r>
          </w:p>
        </w:tc>
      </w:tr>
      <w:tr w:rsidR="00245088">
        <w:tc>
          <w:tcPr>
            <w:tcW w:w="4783" w:type="dxa"/>
            <w:gridSpan w:val="2"/>
          </w:tcPr>
          <w:p w:rsidR="00245088" w:rsidRDefault="00434AAA">
            <w:pPr>
              <w:pStyle w:val="Figure"/>
              <w:rPr>
                <w:sz w:val="24"/>
              </w:rPr>
            </w:pPr>
            <w:r>
              <w:rPr>
                <w:noProof/>
                <w:lang w:val="ru-RU" w:eastAsia="ja-JP"/>
              </w:rPr>
              <w:drawing>
                <wp:inline distT="0" distB="0" distL="0" distR="0">
                  <wp:extent cx="1914525" cy="25717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14525" cy="2571750"/>
                          </a:xfrm>
                          <a:prstGeom prst="rect">
                            <a:avLst/>
                          </a:prstGeom>
                          <a:noFill/>
                          <a:ln>
                            <a:noFill/>
                          </a:ln>
                        </pic:spPr>
                      </pic:pic>
                    </a:graphicData>
                  </a:graphic>
                </wp:inline>
              </w:drawing>
            </w:r>
          </w:p>
        </w:tc>
        <w:tc>
          <w:tcPr>
            <w:tcW w:w="4793" w:type="dxa"/>
            <w:gridSpan w:val="3"/>
          </w:tcPr>
          <w:p w:rsidR="00245088" w:rsidRDefault="00434AAA">
            <w:pPr>
              <w:pStyle w:val="Figure"/>
              <w:rPr>
                <w:sz w:val="24"/>
              </w:rPr>
            </w:pPr>
            <w:r>
              <w:rPr>
                <w:noProof/>
                <w:lang w:val="ru-RU" w:eastAsia="ja-JP"/>
              </w:rPr>
              <w:drawing>
                <wp:inline distT="0" distB="0" distL="0" distR="0">
                  <wp:extent cx="1924050" cy="26003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24050" cy="2600325"/>
                          </a:xfrm>
                          <a:prstGeom prst="rect">
                            <a:avLst/>
                          </a:prstGeom>
                          <a:noFill/>
                          <a:ln>
                            <a:noFill/>
                          </a:ln>
                        </pic:spPr>
                      </pic:pic>
                    </a:graphicData>
                  </a:graphic>
                </wp:inline>
              </w:drawing>
            </w:r>
          </w:p>
        </w:tc>
      </w:tr>
      <w:tr w:rsidR="00245088">
        <w:tc>
          <w:tcPr>
            <w:tcW w:w="4783" w:type="dxa"/>
            <w:gridSpan w:val="2"/>
          </w:tcPr>
          <w:p w:rsidR="00245088" w:rsidRDefault="00245088">
            <w:pPr>
              <w:pStyle w:val="FigureCaption0"/>
              <w:spacing w:before="0"/>
              <w:rPr>
                <w:szCs w:val="22"/>
              </w:rPr>
            </w:pPr>
            <w:r>
              <w:object w:dxaOrig="1021" w:dyaOrig="320">
                <v:shape id="_x0000_i1047" type="#_x0000_t75" style="width:49.6pt;height:16.3pt;mso-position-horizontal-relative:page;mso-position-vertical-relative:page" o:ole="">
                  <v:imagedata r:id="rId56" o:title=""/>
                </v:shape>
                <o:OLEObject Type="Embed" ProgID="Equation.DSMT4" ShapeID="_x0000_i1047" DrawAspect="Content" ObjectID="_1824044082" r:id="rId70"/>
              </w:object>
            </w:r>
          </w:p>
        </w:tc>
        <w:tc>
          <w:tcPr>
            <w:tcW w:w="4793" w:type="dxa"/>
            <w:gridSpan w:val="3"/>
          </w:tcPr>
          <w:p w:rsidR="00245088" w:rsidRDefault="00245088">
            <w:pPr>
              <w:pStyle w:val="FigureCaption0"/>
              <w:spacing w:before="0"/>
              <w:rPr>
                <w:szCs w:val="22"/>
              </w:rPr>
            </w:pPr>
            <w:r>
              <w:object w:dxaOrig="1001" w:dyaOrig="320">
                <v:shape id="_x0000_i1048" type="#_x0000_t75" style="width:48.9pt;height:16.3pt;mso-position-horizontal-relative:page;mso-position-vertical-relative:page" o:ole="">
                  <v:imagedata r:id="rId58" o:title=""/>
                </v:shape>
                <o:OLEObject Type="Embed" ProgID="Equation.DSMT4" ShapeID="_x0000_i1048" DrawAspect="Content" ObjectID="_1824044083" r:id="rId71"/>
              </w:object>
            </w:r>
          </w:p>
        </w:tc>
      </w:tr>
      <w:tr w:rsidR="00245088">
        <w:tc>
          <w:tcPr>
            <w:tcW w:w="4783" w:type="dxa"/>
            <w:gridSpan w:val="2"/>
          </w:tcPr>
          <w:p w:rsidR="00245088" w:rsidRDefault="00434AAA">
            <w:pPr>
              <w:pStyle w:val="Figure"/>
              <w:rPr>
                <w:sz w:val="24"/>
              </w:rPr>
            </w:pPr>
            <w:r>
              <w:rPr>
                <w:noProof/>
                <w:lang w:val="ru-RU" w:eastAsia="ja-JP"/>
              </w:rPr>
              <w:drawing>
                <wp:inline distT="0" distB="0" distL="0" distR="0">
                  <wp:extent cx="2028825" cy="2447925"/>
                  <wp:effectExtent l="0" t="0" r="0" b="0"/>
                  <wp:docPr id="47"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28825" cy="2447925"/>
                          </a:xfrm>
                          <a:prstGeom prst="rect">
                            <a:avLst/>
                          </a:prstGeom>
                          <a:noFill/>
                          <a:ln>
                            <a:noFill/>
                          </a:ln>
                        </pic:spPr>
                      </pic:pic>
                    </a:graphicData>
                  </a:graphic>
                </wp:inline>
              </w:drawing>
            </w:r>
          </w:p>
        </w:tc>
        <w:tc>
          <w:tcPr>
            <w:tcW w:w="4793" w:type="dxa"/>
            <w:gridSpan w:val="3"/>
            <w:vAlign w:val="center"/>
          </w:tcPr>
          <w:p w:rsidR="00245088" w:rsidRPr="00CE1376" w:rsidRDefault="00245088">
            <w:pPr>
              <w:pStyle w:val="Paragraph"/>
              <w:rPr>
                <w:sz w:val="18"/>
                <w:szCs w:val="18"/>
              </w:rPr>
            </w:pPr>
            <w:r w:rsidRPr="00CE1376">
              <w:rPr>
                <w:b/>
                <w:sz w:val="18"/>
                <w:szCs w:val="18"/>
              </w:rPr>
              <w:t>FIGURE 6</w:t>
            </w:r>
            <w:r w:rsidRPr="00CE1376">
              <w:rPr>
                <w:sz w:val="18"/>
                <w:szCs w:val="18"/>
              </w:rPr>
              <w:t xml:space="preserve">. Comparison of the results of an axisymmetric hot subsonic jet using the model. Turbulence with experimental data, transverse velocity profiles for different cross-sections under experimental conditions. </w:t>
            </w:r>
          </w:p>
          <w:p w:rsidR="00245088" w:rsidRPr="00CE1376" w:rsidRDefault="00245088">
            <w:pPr>
              <w:pStyle w:val="Paragraph"/>
              <w:rPr>
                <w:sz w:val="18"/>
                <w:szCs w:val="18"/>
              </w:rPr>
            </w:pPr>
            <w:r w:rsidRPr="00CE1376">
              <w:rPr>
                <w:sz w:val="18"/>
                <w:szCs w:val="18"/>
              </w:rPr>
              <w:t>1-exp, 2-SST, 3-</w:t>
            </w:r>
            <w:r w:rsidRPr="00CE1376">
              <w:rPr>
                <w:rFonts w:ascii="Calibri" w:hAnsi="Calibri"/>
                <w:i/>
                <w:sz w:val="18"/>
                <w:szCs w:val="18"/>
              </w:rPr>
              <w:t xml:space="preserve"> </w:t>
            </w:r>
            <w:r w:rsidRPr="00CE1376">
              <w:rPr>
                <w:i/>
                <w:sz w:val="18"/>
                <w:szCs w:val="18"/>
              </w:rPr>
              <w:t>k-ε</w:t>
            </w:r>
            <w:r w:rsidRPr="00CE1376">
              <w:rPr>
                <w:sz w:val="18"/>
                <w:szCs w:val="18"/>
              </w:rPr>
              <w:t>, 4-</w:t>
            </w:r>
            <w:r w:rsidRPr="00CE1376">
              <w:rPr>
                <w:rFonts w:ascii="Calibri" w:hAnsi="Calibri"/>
                <w:i/>
                <w:iCs/>
                <w:sz w:val="18"/>
                <w:szCs w:val="18"/>
              </w:rPr>
              <w:t xml:space="preserve"> </w:t>
            </w:r>
            <w:r w:rsidRPr="00CE1376">
              <w:rPr>
                <w:i/>
                <w:iCs/>
                <w:sz w:val="18"/>
                <w:szCs w:val="18"/>
              </w:rPr>
              <w:t>k – ω</w:t>
            </w:r>
            <w:r w:rsidRPr="00CE1376">
              <w:rPr>
                <w:sz w:val="18"/>
                <w:szCs w:val="18"/>
              </w:rPr>
              <w:t>.</w:t>
            </w:r>
          </w:p>
        </w:tc>
      </w:tr>
      <w:tr w:rsidR="00245088">
        <w:tc>
          <w:tcPr>
            <w:tcW w:w="4783" w:type="dxa"/>
            <w:gridSpan w:val="2"/>
          </w:tcPr>
          <w:p w:rsidR="00245088" w:rsidRDefault="00245088">
            <w:pPr>
              <w:pStyle w:val="FigureCaption0"/>
              <w:spacing w:before="0"/>
            </w:pPr>
            <w:r>
              <w:object w:dxaOrig="1041" w:dyaOrig="320">
                <v:shape id="_x0000_i1049" type="#_x0000_t75" style="width:50.25pt;height:16.3pt;mso-position-horizontal-relative:page;mso-position-vertical-relative:page" o:ole="">
                  <v:imagedata r:id="rId62" o:title=""/>
                </v:shape>
                <o:OLEObject Type="Embed" ProgID="Equation.DSMT4" ShapeID="_x0000_i1049" DrawAspect="Content" ObjectID="_1824044084" r:id="rId73"/>
              </w:object>
            </w:r>
          </w:p>
        </w:tc>
        <w:tc>
          <w:tcPr>
            <w:tcW w:w="4793" w:type="dxa"/>
            <w:gridSpan w:val="3"/>
          </w:tcPr>
          <w:p w:rsidR="00245088" w:rsidRDefault="00245088">
            <w:pPr>
              <w:pStyle w:val="Paragraph"/>
              <w:rPr>
                <w:sz w:val="24"/>
                <w:szCs w:val="24"/>
              </w:rPr>
            </w:pPr>
          </w:p>
        </w:tc>
      </w:tr>
    </w:tbl>
    <w:p w:rsidR="00245088" w:rsidRDefault="00245088">
      <w:pPr>
        <w:pStyle w:val="Paragraph"/>
      </w:pPr>
      <w:r>
        <w:lastRenderedPageBreak/>
        <w:t>As can be seen from Fig. 6, the transverse velocity graphs in sections</w:t>
      </w:r>
      <w:r>
        <w:rPr>
          <w:position w:val="-28"/>
        </w:rPr>
        <w:object w:dxaOrig="781" w:dyaOrig="620">
          <v:shape id="_x0000_i1050" type="#_x0000_t75" style="width:38.7pt;height:30.55pt;mso-position-horizontal-relative:page;mso-position-vertical-relative:page" o:ole="">
            <v:imagedata r:id="rId74" o:title=""/>
          </v:shape>
          <o:OLEObject Type="Embed" ProgID="Equation.3" ShapeID="_x0000_i1050" DrawAspect="Content" ObjectID="_1824044085" r:id="rId75">
            <o:FieldCodes>\* MERGEFORMAT</o:FieldCodes>
          </o:OLEObject>
        </w:object>
      </w:r>
      <w:r>
        <w:t xml:space="preserve">and </w:t>
      </w:r>
      <w:r>
        <w:rPr>
          <w:position w:val="-28"/>
        </w:rPr>
        <w:object w:dxaOrig="761" w:dyaOrig="620">
          <v:shape id="_x0000_i1051" type="#_x0000_t75" style="width:38.05pt;height:30.55pt;mso-position-horizontal-relative:page;mso-position-vertical-relative:page" o:ole="">
            <v:imagedata r:id="rId76" o:title=""/>
          </v:shape>
          <o:OLEObject Type="Embed" ProgID="Equation.3" ShapeID="_x0000_i1051" DrawAspect="Content" ObjectID="_1824044086" r:id="rId77">
            <o:FieldCodes>\* MERGEFORMAT</o:FieldCodes>
          </o:OLEObject>
        </w:object>
      </w:r>
      <w:r>
        <w:t xml:space="preserve">, the results in all models do not numerically match the experiment. In the remaining sections, the numerical results of the model </w:t>
      </w:r>
      <w:r>
        <w:rPr>
          <w:i/>
        </w:rPr>
        <w:t>k-ε</w:t>
      </w:r>
      <w:r>
        <w:t xml:space="preserve"> are closer to the experimental results.</w:t>
      </w:r>
    </w:p>
    <w:p w:rsidR="00245088" w:rsidRDefault="00245088">
      <w:pPr>
        <w:pStyle w:val="Paragraph"/>
      </w:pPr>
      <w:r>
        <w:t>Figure 7 shows the flow velocity contour line.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8"/>
        <w:gridCol w:w="4648"/>
      </w:tblGrid>
      <w:tr w:rsidR="00245088" w:rsidTr="003A06F2">
        <w:trPr>
          <w:jc w:val="center"/>
        </w:trPr>
        <w:tc>
          <w:tcPr>
            <w:tcW w:w="4928" w:type="dxa"/>
            <w:tcBorders>
              <w:top w:val="nil"/>
              <w:left w:val="nil"/>
              <w:bottom w:val="nil"/>
              <w:right w:val="nil"/>
            </w:tcBorders>
            <w:vAlign w:val="center"/>
          </w:tcPr>
          <w:p w:rsidR="00245088" w:rsidRDefault="00434AAA">
            <w:pPr>
              <w:pStyle w:val="Figure"/>
              <w:rPr>
                <w:rFonts w:eastAsia="Calibri"/>
                <w:sz w:val="24"/>
              </w:rPr>
            </w:pPr>
            <w:r>
              <w:rPr>
                <w:rFonts w:eastAsia="Calibri"/>
                <w:noProof/>
                <w:lang w:val="ru-RU" w:eastAsia="ja-JP"/>
              </w:rPr>
              <w:drawing>
                <wp:inline distT="0" distB="0" distL="0" distR="0">
                  <wp:extent cx="2924175" cy="1085850"/>
                  <wp:effectExtent l="0" t="0" r="0" b="0"/>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8">
                            <a:extLst>
                              <a:ext uri="{28A0092B-C50C-407E-A947-70E740481C1C}">
                                <a14:useLocalDpi xmlns:a14="http://schemas.microsoft.com/office/drawing/2010/main" val="0"/>
                              </a:ext>
                            </a:extLst>
                          </a:blip>
                          <a:srcRect l="1988"/>
                          <a:stretch>
                            <a:fillRect/>
                          </a:stretch>
                        </pic:blipFill>
                        <pic:spPr bwMode="auto">
                          <a:xfrm>
                            <a:off x="0" y="0"/>
                            <a:ext cx="2924175" cy="1085850"/>
                          </a:xfrm>
                          <a:prstGeom prst="rect">
                            <a:avLst/>
                          </a:prstGeom>
                          <a:noFill/>
                          <a:ln>
                            <a:noFill/>
                          </a:ln>
                        </pic:spPr>
                      </pic:pic>
                    </a:graphicData>
                  </a:graphic>
                </wp:inline>
              </w:drawing>
            </w:r>
          </w:p>
        </w:tc>
        <w:tc>
          <w:tcPr>
            <w:tcW w:w="4648" w:type="dxa"/>
            <w:tcBorders>
              <w:top w:val="nil"/>
              <w:left w:val="nil"/>
              <w:bottom w:val="nil"/>
              <w:right w:val="nil"/>
            </w:tcBorders>
            <w:vAlign w:val="center"/>
          </w:tcPr>
          <w:p w:rsidR="00245088" w:rsidRDefault="00434AAA">
            <w:pPr>
              <w:pStyle w:val="Figure"/>
              <w:rPr>
                <w:rFonts w:eastAsia="Calibri"/>
                <w:sz w:val="24"/>
              </w:rPr>
            </w:pPr>
            <w:r>
              <w:rPr>
                <w:rFonts w:eastAsia="Calibri"/>
                <w:noProof/>
                <w:lang w:val="ru-RU" w:eastAsia="ja-JP"/>
              </w:rPr>
              <w:drawing>
                <wp:inline distT="0" distB="0" distL="0" distR="0">
                  <wp:extent cx="552450" cy="2457450"/>
                  <wp:effectExtent l="0" t="0" r="0" b="0"/>
                  <wp:docPr id="5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rot="5400000">
                            <a:off x="0" y="0"/>
                            <a:ext cx="552450" cy="2457450"/>
                          </a:xfrm>
                          <a:prstGeom prst="rect">
                            <a:avLst/>
                          </a:prstGeom>
                          <a:noFill/>
                          <a:ln>
                            <a:noFill/>
                          </a:ln>
                        </pic:spPr>
                      </pic:pic>
                    </a:graphicData>
                  </a:graphic>
                </wp:inline>
              </w:drawing>
            </w:r>
          </w:p>
        </w:tc>
      </w:tr>
      <w:tr w:rsidR="00245088" w:rsidTr="003A06F2">
        <w:trPr>
          <w:jc w:val="center"/>
        </w:trPr>
        <w:tc>
          <w:tcPr>
            <w:tcW w:w="4928" w:type="dxa"/>
            <w:tcBorders>
              <w:top w:val="nil"/>
              <w:left w:val="nil"/>
              <w:bottom w:val="nil"/>
              <w:right w:val="nil"/>
            </w:tcBorders>
            <w:vAlign w:val="center"/>
          </w:tcPr>
          <w:p w:rsidR="00245088" w:rsidRDefault="00245088">
            <w:pPr>
              <w:pStyle w:val="FigureCaption0"/>
              <w:rPr>
                <w:rFonts w:eastAsia="Calibri"/>
                <w:sz w:val="24"/>
                <w:szCs w:val="22"/>
              </w:rPr>
            </w:pPr>
            <w:r>
              <w:rPr>
                <w:rFonts w:eastAsia="Calibri"/>
                <w:szCs w:val="22"/>
              </w:rPr>
              <w:t>exp</w:t>
            </w:r>
          </w:p>
        </w:tc>
        <w:tc>
          <w:tcPr>
            <w:tcW w:w="4648" w:type="dxa"/>
            <w:tcBorders>
              <w:top w:val="nil"/>
              <w:left w:val="nil"/>
              <w:bottom w:val="nil"/>
              <w:right w:val="nil"/>
            </w:tcBorders>
            <w:vAlign w:val="center"/>
          </w:tcPr>
          <w:p w:rsidR="00245088" w:rsidRDefault="00245088">
            <w:pPr>
              <w:pStyle w:val="FigureCaption0"/>
              <w:rPr>
                <w:rFonts w:eastAsia="Calibri"/>
                <w:sz w:val="24"/>
                <w:szCs w:val="22"/>
              </w:rPr>
            </w:pPr>
            <w:r>
              <w:rPr>
                <w:rFonts w:eastAsia="Calibri"/>
                <w:szCs w:val="22"/>
              </w:rPr>
              <w:t>SST</w:t>
            </w:r>
          </w:p>
        </w:tc>
      </w:tr>
      <w:tr w:rsidR="00245088" w:rsidTr="003A06F2">
        <w:trPr>
          <w:jc w:val="center"/>
        </w:trPr>
        <w:tc>
          <w:tcPr>
            <w:tcW w:w="4928" w:type="dxa"/>
            <w:tcBorders>
              <w:top w:val="nil"/>
              <w:left w:val="nil"/>
              <w:bottom w:val="nil"/>
              <w:right w:val="nil"/>
            </w:tcBorders>
            <w:vAlign w:val="center"/>
          </w:tcPr>
          <w:p w:rsidR="00245088" w:rsidRDefault="00434AAA">
            <w:pPr>
              <w:pStyle w:val="Figure"/>
              <w:rPr>
                <w:rFonts w:eastAsia="Calibri"/>
              </w:rPr>
            </w:pPr>
            <w:r>
              <w:rPr>
                <w:rFonts w:eastAsia="Calibri"/>
                <w:noProof/>
                <w:lang w:val="ru-RU" w:eastAsia="ja-JP"/>
              </w:rPr>
              <w:drawing>
                <wp:inline distT="0" distB="0" distL="0" distR="0">
                  <wp:extent cx="638175" cy="2295525"/>
                  <wp:effectExtent l="9525" t="0" r="0" b="0"/>
                  <wp:docPr id="5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rot="5400000">
                            <a:off x="0" y="0"/>
                            <a:ext cx="638175" cy="2295525"/>
                          </a:xfrm>
                          <a:prstGeom prst="rect">
                            <a:avLst/>
                          </a:prstGeom>
                          <a:noFill/>
                          <a:ln>
                            <a:noFill/>
                          </a:ln>
                        </pic:spPr>
                      </pic:pic>
                    </a:graphicData>
                  </a:graphic>
                </wp:inline>
              </w:drawing>
            </w:r>
          </w:p>
        </w:tc>
        <w:tc>
          <w:tcPr>
            <w:tcW w:w="4648" w:type="dxa"/>
            <w:tcBorders>
              <w:top w:val="nil"/>
              <w:left w:val="nil"/>
              <w:bottom w:val="nil"/>
              <w:right w:val="nil"/>
            </w:tcBorders>
            <w:vAlign w:val="center"/>
          </w:tcPr>
          <w:p w:rsidR="00245088" w:rsidRDefault="00434AAA">
            <w:pPr>
              <w:pStyle w:val="Figure"/>
              <w:rPr>
                <w:rFonts w:eastAsia="Calibri"/>
                <w:sz w:val="24"/>
              </w:rPr>
            </w:pPr>
            <w:r>
              <w:rPr>
                <w:rFonts w:eastAsia="Calibri"/>
                <w:noProof/>
                <w:lang w:val="ru-RU" w:eastAsia="ja-JP"/>
              </w:rPr>
              <w:drawing>
                <wp:inline distT="0" distB="0" distL="0" distR="0">
                  <wp:extent cx="619125" cy="2419350"/>
                  <wp:effectExtent l="0" t="4762" r="0" b="0"/>
                  <wp:docPr id="5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rot="5400000">
                            <a:off x="0" y="0"/>
                            <a:ext cx="619125" cy="2419350"/>
                          </a:xfrm>
                          <a:prstGeom prst="rect">
                            <a:avLst/>
                          </a:prstGeom>
                          <a:noFill/>
                          <a:ln>
                            <a:noFill/>
                          </a:ln>
                        </pic:spPr>
                      </pic:pic>
                    </a:graphicData>
                  </a:graphic>
                </wp:inline>
              </w:drawing>
            </w:r>
          </w:p>
          <w:p w:rsidR="00245088" w:rsidRDefault="00434AAA">
            <w:pPr>
              <w:pStyle w:val="FigureCaption0"/>
              <w:rPr>
                <w:rFonts w:eastAsia="Calibri"/>
                <w:sz w:val="24"/>
                <w:szCs w:val="22"/>
              </w:rPr>
            </w:pPr>
            <w:r>
              <w:rPr>
                <w:rFonts w:ascii="Calibri" w:eastAsia="Calibri" w:hAnsi="Calibri"/>
                <w:noProof/>
                <w:szCs w:val="22"/>
                <w:lang w:val="ru-RU" w:eastAsia="ja-JP"/>
              </w:rPr>
              <w:drawing>
                <wp:inline distT="0" distB="0" distL="0" distR="0">
                  <wp:extent cx="342900" cy="2514600"/>
                  <wp:effectExtent l="0" t="0" r="0" b="0"/>
                  <wp:docPr id="5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rot="5400000">
                            <a:off x="0" y="0"/>
                            <a:ext cx="342900" cy="2514600"/>
                          </a:xfrm>
                          <a:prstGeom prst="rect">
                            <a:avLst/>
                          </a:prstGeom>
                          <a:noFill/>
                          <a:ln>
                            <a:noFill/>
                          </a:ln>
                        </pic:spPr>
                      </pic:pic>
                    </a:graphicData>
                  </a:graphic>
                </wp:inline>
              </w:drawing>
            </w:r>
          </w:p>
        </w:tc>
      </w:tr>
      <w:tr w:rsidR="00245088" w:rsidTr="003A06F2">
        <w:trPr>
          <w:jc w:val="center"/>
        </w:trPr>
        <w:tc>
          <w:tcPr>
            <w:tcW w:w="4928" w:type="dxa"/>
            <w:tcBorders>
              <w:top w:val="nil"/>
              <w:left w:val="nil"/>
              <w:bottom w:val="nil"/>
              <w:right w:val="nil"/>
            </w:tcBorders>
            <w:vAlign w:val="center"/>
          </w:tcPr>
          <w:p w:rsidR="00245088" w:rsidRDefault="00245088">
            <w:pPr>
              <w:pStyle w:val="FigureCaption0"/>
            </w:pPr>
            <w:r>
              <w:t>k-ε</w:t>
            </w:r>
          </w:p>
        </w:tc>
        <w:tc>
          <w:tcPr>
            <w:tcW w:w="4648" w:type="dxa"/>
            <w:tcBorders>
              <w:top w:val="nil"/>
              <w:left w:val="nil"/>
              <w:bottom w:val="nil"/>
              <w:right w:val="nil"/>
            </w:tcBorders>
            <w:vAlign w:val="center"/>
          </w:tcPr>
          <w:p w:rsidR="00245088" w:rsidRDefault="00245088">
            <w:pPr>
              <w:pStyle w:val="FigureCaption0"/>
            </w:pPr>
            <w:r>
              <w:t>k – ω</w:t>
            </w:r>
          </w:p>
        </w:tc>
      </w:tr>
      <w:tr w:rsidR="00245088" w:rsidTr="003A06F2">
        <w:trPr>
          <w:jc w:val="center"/>
        </w:trPr>
        <w:tc>
          <w:tcPr>
            <w:tcW w:w="9576" w:type="dxa"/>
            <w:gridSpan w:val="2"/>
            <w:tcBorders>
              <w:top w:val="nil"/>
              <w:left w:val="nil"/>
              <w:bottom w:val="nil"/>
              <w:right w:val="nil"/>
            </w:tcBorders>
            <w:vAlign w:val="center"/>
          </w:tcPr>
          <w:p w:rsidR="00245088" w:rsidRDefault="00245088">
            <w:pPr>
              <w:pStyle w:val="FigureCaption0"/>
              <w:rPr>
                <w:rFonts w:eastAsia="Calibri"/>
                <w:sz w:val="24"/>
                <w:szCs w:val="22"/>
              </w:rPr>
            </w:pPr>
            <w:r>
              <w:rPr>
                <w:rFonts w:eastAsia="Calibri"/>
                <w:b/>
                <w:szCs w:val="22"/>
              </w:rPr>
              <w:t>FIGURE 7.</w:t>
            </w:r>
            <w:r>
              <w:rPr>
                <w:rFonts w:eastAsia="Calibri"/>
                <w:szCs w:val="22"/>
              </w:rPr>
              <w:t xml:space="preserve"> Comparison of the results of various turbulence models for an axisymmetric hot subsonic jet with experimental data for flow velocity isolines.</w:t>
            </w:r>
          </w:p>
        </w:tc>
      </w:tr>
    </w:tbl>
    <w:p w:rsidR="00245088" w:rsidRDefault="00245088">
      <w:pPr>
        <w:pStyle w:val="1"/>
      </w:pPr>
      <w:r>
        <w:t>CONCLUSION</w:t>
      </w:r>
    </w:p>
    <w:p w:rsidR="00245088" w:rsidRDefault="00245088">
      <w:pPr>
        <w:pStyle w:val="Paragraph"/>
      </w:pPr>
      <w:r>
        <w:t xml:space="preserve">In this article, numerical solutions of the SST models </w:t>
      </w:r>
      <w:r>
        <w:rPr>
          <w:i/>
        </w:rPr>
        <w:t>k-ε</w:t>
      </w:r>
      <w:r>
        <w:t xml:space="preserve"> were </w:t>
      </w:r>
      <w:r>
        <w:rPr>
          <w:i/>
        </w:rPr>
        <w:t>k-ω</w:t>
      </w:r>
      <w:r>
        <w:t xml:space="preserve"> compared with experimental results. As can be seen from the obtained turbulent stress and longitudinal velocities, all models agree with the experimental results in the and sections. In the remaining sections, the model k-ε is closer to the experimental data than the other models. The calculation results show that the model has the minimum iteration time k-ε. These results suggest that the model is appropriate for such problems k-ε.</w:t>
      </w:r>
    </w:p>
    <w:p w:rsidR="00245088" w:rsidRDefault="00245088">
      <w:pPr>
        <w:pStyle w:val="1"/>
      </w:pPr>
      <w:r>
        <w:t>ACKNOWLEDGMENTS</w:t>
      </w:r>
    </w:p>
    <w:p w:rsidR="00245088" w:rsidRDefault="00245088">
      <w:pPr>
        <w:pStyle w:val="Paragraph"/>
      </w:pPr>
      <w:r>
        <w:t xml:space="preserve">This study was made possible by budget funding from the Uzbekistan Academy of Sciences. We express our sincere gratitude to the Academy for its ongoing support and commitment to advancing scientific research. </w:t>
      </w:r>
    </w:p>
    <w:p w:rsidR="00245088" w:rsidRDefault="00245088">
      <w:pPr>
        <w:pStyle w:val="1"/>
      </w:pPr>
      <w:r>
        <w:t>References</w:t>
      </w:r>
    </w:p>
    <w:p w:rsidR="00245088" w:rsidRDefault="00245088">
      <w:pPr>
        <w:pStyle w:val="Reference"/>
      </w:pPr>
      <w:r>
        <w:t xml:space="preserve">M. Alam, Journal of the Taiwan Institute of Chemical Engineers </w:t>
      </w:r>
      <w:r>
        <w:rPr>
          <w:b/>
          <w:bCs/>
        </w:rPr>
        <w:t>144 (104742)</w:t>
      </w:r>
      <w:r>
        <w:t>, 10–42 (2023).</w:t>
      </w:r>
    </w:p>
    <w:p w:rsidR="00245088" w:rsidRDefault="00245088">
      <w:pPr>
        <w:pStyle w:val="Reference"/>
      </w:pPr>
      <w:r>
        <w:t xml:space="preserve">J. Katz, Annu. Rev. Fluid Mech </w:t>
      </w:r>
      <w:r>
        <w:rPr>
          <w:b/>
          <w:bCs/>
        </w:rPr>
        <w:t>38 (1)</w:t>
      </w:r>
      <w:r>
        <w:t>, 27–63 (2006).</w:t>
      </w:r>
    </w:p>
    <w:p w:rsidR="00245088" w:rsidRDefault="00245088">
      <w:pPr>
        <w:pStyle w:val="Reference"/>
      </w:pPr>
      <w:r w:rsidRPr="004F66CA">
        <w:rPr>
          <w:bCs/>
          <w:szCs w:val="24"/>
          <w:lang w:eastAsia="ru-RU"/>
        </w:rPr>
        <w:t>G. N.</w:t>
      </w:r>
      <w:r>
        <w:rPr>
          <w:b/>
          <w:bCs/>
          <w:szCs w:val="24"/>
          <w:lang w:eastAsia="ru-RU"/>
        </w:rPr>
        <w:t xml:space="preserve"> </w:t>
      </w:r>
      <w:r>
        <w:rPr>
          <w:bCs/>
          <w:szCs w:val="24"/>
          <w:lang w:eastAsia="ru-RU"/>
        </w:rPr>
        <w:t>Abramovich</w:t>
      </w:r>
      <w:r>
        <w:rPr>
          <w:szCs w:val="24"/>
          <w:lang w:eastAsia="ru-RU"/>
        </w:rPr>
        <w:t xml:space="preserve">, </w:t>
      </w:r>
      <w:r>
        <w:rPr>
          <w:i/>
          <w:iCs/>
          <w:szCs w:val="24"/>
          <w:lang w:eastAsia="ru-RU"/>
        </w:rPr>
        <w:t>Theory of Turbulent Jets</w:t>
      </w:r>
      <w:r>
        <w:rPr>
          <w:szCs w:val="24"/>
          <w:lang w:eastAsia="ru-RU"/>
        </w:rPr>
        <w:t xml:space="preserve"> (Nauka, Moscow, 1984), 716 p.</w:t>
      </w:r>
    </w:p>
    <w:p w:rsidR="00245088" w:rsidRDefault="00245088">
      <w:pPr>
        <w:pStyle w:val="Reference"/>
      </w:pPr>
      <w:r>
        <w:rPr>
          <w:bCs/>
          <w:szCs w:val="24"/>
          <w:lang w:eastAsia="ru-RU"/>
        </w:rPr>
        <w:t>D. C. Wilcox</w:t>
      </w:r>
      <w:r>
        <w:rPr>
          <w:szCs w:val="24"/>
          <w:lang w:eastAsia="ru-RU"/>
        </w:rPr>
        <w:t xml:space="preserve">, </w:t>
      </w:r>
      <w:r>
        <w:rPr>
          <w:i/>
          <w:iCs/>
          <w:szCs w:val="24"/>
          <w:lang w:eastAsia="ru-RU"/>
        </w:rPr>
        <w:t>Turbulence Modeling for CFD</w:t>
      </w:r>
      <w:r>
        <w:rPr>
          <w:szCs w:val="24"/>
          <w:lang w:eastAsia="ru-RU"/>
        </w:rPr>
        <w:t xml:space="preserve"> (DCW Industries Inc., 1994).</w:t>
      </w:r>
    </w:p>
    <w:p w:rsidR="00245088" w:rsidRDefault="00245088">
      <w:pPr>
        <w:pStyle w:val="Reference"/>
      </w:pPr>
      <w:r>
        <w:rPr>
          <w:bCs/>
          <w:szCs w:val="24"/>
          <w:lang w:eastAsia="ru-RU"/>
        </w:rPr>
        <w:t>C. B. Jang, S. W. Choi and J. B. Baek</w:t>
      </w:r>
      <w:r>
        <w:rPr>
          <w:szCs w:val="24"/>
          <w:lang w:eastAsia="ru-RU"/>
        </w:rPr>
        <w:t xml:space="preserve">, Int. J. Hydrogen Energy </w:t>
      </w:r>
      <w:r>
        <w:rPr>
          <w:b/>
          <w:bCs/>
          <w:szCs w:val="24"/>
          <w:lang w:eastAsia="ru-RU"/>
        </w:rPr>
        <w:t>40</w:t>
      </w:r>
      <w:r>
        <w:rPr>
          <w:szCs w:val="24"/>
          <w:lang w:eastAsia="ru-RU"/>
        </w:rPr>
        <w:t xml:space="preserve"> (45), 15700–15710 (2015).</w:t>
      </w:r>
    </w:p>
    <w:p w:rsidR="00245088" w:rsidRDefault="00245088">
      <w:pPr>
        <w:pStyle w:val="Reference"/>
      </w:pPr>
      <w:r>
        <w:rPr>
          <w:bCs/>
          <w:szCs w:val="24"/>
          <w:lang w:eastAsia="ru-RU"/>
        </w:rPr>
        <w:t>P. R. Spalart and S. R. Allmaras</w:t>
      </w:r>
      <w:r>
        <w:rPr>
          <w:szCs w:val="24"/>
          <w:lang w:eastAsia="ru-RU"/>
        </w:rPr>
        <w:t xml:space="preserve">, AIAA Paper </w:t>
      </w:r>
      <w:r>
        <w:rPr>
          <w:b/>
          <w:bCs/>
          <w:szCs w:val="24"/>
          <w:lang w:eastAsia="ru-RU"/>
        </w:rPr>
        <w:t>92</w:t>
      </w:r>
      <w:r>
        <w:rPr>
          <w:szCs w:val="24"/>
          <w:lang w:eastAsia="ru-RU"/>
        </w:rPr>
        <w:t>–0439, 1–18 (1992).</w:t>
      </w:r>
    </w:p>
    <w:p w:rsidR="00245088" w:rsidRDefault="00245088">
      <w:pPr>
        <w:pStyle w:val="Reference"/>
      </w:pPr>
      <w:r>
        <w:rPr>
          <w:bCs/>
          <w:szCs w:val="24"/>
          <w:lang w:eastAsia="ru-RU"/>
        </w:rPr>
        <w:t>M. L. Shur, M. K. Strelets, A. K. Travin and P. R. Spalart</w:t>
      </w:r>
      <w:r>
        <w:rPr>
          <w:szCs w:val="24"/>
          <w:lang w:eastAsia="ru-RU"/>
        </w:rPr>
        <w:t xml:space="preserve">, AIAA J. </w:t>
      </w:r>
      <w:r>
        <w:rPr>
          <w:b/>
          <w:bCs/>
          <w:szCs w:val="24"/>
          <w:lang w:eastAsia="ru-RU"/>
        </w:rPr>
        <w:t>38</w:t>
      </w:r>
      <w:r>
        <w:rPr>
          <w:szCs w:val="24"/>
          <w:lang w:eastAsia="ru-RU"/>
        </w:rPr>
        <w:t xml:space="preserve"> (5), 784–792 (2000).</w:t>
      </w:r>
    </w:p>
    <w:p w:rsidR="00245088" w:rsidRDefault="00245088">
      <w:pPr>
        <w:pStyle w:val="Reference"/>
      </w:pPr>
      <w:r>
        <w:rPr>
          <w:bCs/>
          <w:szCs w:val="24"/>
          <w:lang w:eastAsia="ru-RU"/>
        </w:rPr>
        <w:t>F. R. Mentor</w:t>
      </w:r>
      <w:r>
        <w:rPr>
          <w:szCs w:val="24"/>
          <w:lang w:eastAsia="ru-RU"/>
        </w:rPr>
        <w:t xml:space="preserve">, AIAA J. </w:t>
      </w:r>
      <w:r>
        <w:rPr>
          <w:b/>
          <w:bCs/>
          <w:szCs w:val="24"/>
          <w:lang w:eastAsia="ru-RU"/>
        </w:rPr>
        <w:t>32</w:t>
      </w:r>
      <w:r>
        <w:rPr>
          <w:szCs w:val="24"/>
          <w:lang w:eastAsia="ru-RU"/>
        </w:rPr>
        <w:t xml:space="preserve"> (8), 1598–1605 (1994).</w:t>
      </w:r>
    </w:p>
    <w:p w:rsidR="00245088" w:rsidRDefault="00245088">
      <w:pPr>
        <w:pStyle w:val="Reference"/>
      </w:pPr>
      <w:r>
        <w:t xml:space="preserve">M. Tsubokura et al., SAE Int. J. Passeng. Cars – Mech. Syst </w:t>
      </w:r>
      <w:r>
        <w:rPr>
          <w:b/>
          <w:bCs/>
        </w:rPr>
        <w:t>5 (2012-01-0448</w:t>
      </w:r>
      <w:r>
        <w:t>), 340–357 (2012).</w:t>
      </w:r>
    </w:p>
    <w:p w:rsidR="00245088" w:rsidRDefault="00245088">
      <w:pPr>
        <w:pStyle w:val="Reference"/>
      </w:pPr>
      <w:r>
        <w:t xml:space="preserve">Y. Okada et al., “Unsteady vehicle aerodynamics during a dynamic steering action: 1st report, on-road analysis,” </w:t>
      </w:r>
      <w:r>
        <w:rPr>
          <w:i/>
          <w:iCs/>
        </w:rPr>
        <w:t>SAE Technical Paper</w:t>
      </w:r>
      <w:r>
        <w:t xml:space="preserve"> </w:t>
      </w:r>
      <w:r>
        <w:rPr>
          <w:lang w:val="ru-RU" w:eastAsia="ja-JP"/>
        </w:rPr>
        <w:t>№</w:t>
      </w:r>
      <w:r>
        <w:t>. 2012-01-0446 (2012).</w:t>
      </w:r>
    </w:p>
    <w:p w:rsidR="00245088" w:rsidRDefault="00245088">
      <w:pPr>
        <w:pStyle w:val="Reference"/>
      </w:pPr>
      <w:r>
        <w:t xml:space="preserve">A. D’Hooge et al., SAE Int. J. Passeng. Cars – Mech. Syst </w:t>
      </w:r>
      <w:r>
        <w:rPr>
          <w:b/>
          <w:bCs/>
        </w:rPr>
        <w:t>7</w:t>
      </w:r>
      <w:r>
        <w:t xml:space="preserve"> </w:t>
      </w:r>
      <w:r>
        <w:rPr>
          <w:b/>
          <w:bCs/>
        </w:rPr>
        <w:t>(2014-01-0599),</w:t>
      </w:r>
      <w:r>
        <w:t xml:space="preserve"> 617–625 (2014).</w:t>
      </w:r>
    </w:p>
    <w:p w:rsidR="00245088" w:rsidRDefault="00245088">
      <w:pPr>
        <w:pStyle w:val="Reference"/>
      </w:pPr>
      <w:r>
        <w:t xml:space="preserve">J. Keogh et al., “Techniques for aerodynamic analysis of cornering vehicles,” in </w:t>
      </w:r>
      <w:r>
        <w:rPr>
          <w:i/>
          <w:iCs/>
        </w:rPr>
        <w:t xml:space="preserve">18th Asia Pacific Automotive Engineering </w:t>
      </w:r>
      <w:r>
        <w:t>Conference Proceedings (Melbourne, Australia, 2015).</w:t>
      </w:r>
    </w:p>
    <w:p w:rsidR="00245088" w:rsidRDefault="00245088">
      <w:pPr>
        <w:pStyle w:val="Reference"/>
      </w:pPr>
      <w:r>
        <w:rPr>
          <w:i/>
          <w:iCs/>
        </w:rPr>
        <w:lastRenderedPageBreak/>
        <w:t>9th ERCOFTAC/IAHR Workshop on Refined Turbulence Modelling</w:t>
      </w:r>
      <w:r>
        <w:t xml:space="preserve"> (Darmstadt University of Technology, Germany, 2001).</w:t>
      </w:r>
    </w:p>
    <w:p w:rsidR="00245088" w:rsidRDefault="00245088">
      <w:pPr>
        <w:pStyle w:val="Reference"/>
      </w:pPr>
      <w:bookmarkStart w:id="0" w:name="_Hlk211607388"/>
      <w:r>
        <w:t xml:space="preserve">Nazarov F. K. et al. “Calculation of axisymmetric transonic jet with various turbulence models using Comsol multiphysics package” in </w:t>
      </w:r>
      <w:r>
        <w:rPr>
          <w:i/>
          <w:iCs/>
        </w:rPr>
        <w:t>XV International Online Conference “Improving Farming Productivity and Agroecology – Ecosystem Restoration</w:t>
      </w:r>
      <w:r>
        <w:t xml:space="preserve">” </w:t>
      </w:r>
      <w:r>
        <w:rPr>
          <w:i/>
          <w:iCs/>
        </w:rPr>
        <w:t>(IPFA 2023)</w:t>
      </w:r>
      <w:r w:rsidR="005F3673">
        <w:t>, edited by Bozarov</w:t>
      </w:r>
      <w:r>
        <w:t xml:space="preserve"> (AIP Publishing LLC, 2025) 040040.</w:t>
      </w:r>
    </w:p>
    <w:bookmarkEnd w:id="0"/>
    <w:p w:rsidR="00245088" w:rsidRDefault="00245088">
      <w:pPr>
        <w:pStyle w:val="Reference"/>
      </w:pPr>
      <w:r>
        <w:t xml:space="preserve">Malikov Z., Nazarov F. “Numerical study of flow on a flat plate with zero pressure gradient based on a two-fluid model” in the </w:t>
      </w:r>
      <w:r>
        <w:rPr>
          <w:i/>
          <w:iCs/>
        </w:rPr>
        <w:t>international conference: “Ensuring seismic safety and seismic stability of buildings and structures, applied problems of mechanics</w:t>
      </w:r>
      <w:r>
        <w:t>” AIP Conf. Proc.</w:t>
      </w:r>
      <w:r w:rsidR="005F3673">
        <w:t>, edited by Abirov</w:t>
      </w:r>
      <w:r>
        <w:t xml:space="preserve"> (AIP Publishing LLC, 2025) 060003.</w:t>
      </w:r>
    </w:p>
    <w:p w:rsidR="00245088" w:rsidRDefault="00245088">
      <w:pPr>
        <w:pStyle w:val="Reference"/>
      </w:pPr>
      <w:r>
        <w:t xml:space="preserve">Nazarov F. K. et al. Comp. Res. Modeling, </w:t>
      </w:r>
      <w:r>
        <w:rPr>
          <w:b/>
          <w:bCs/>
        </w:rPr>
        <w:t>16</w:t>
      </w:r>
      <w:r w:rsidR="004F66CA">
        <w:rPr>
          <w:b/>
          <w:bCs/>
        </w:rPr>
        <w:t>(5)</w:t>
      </w:r>
      <w:bookmarkStart w:id="1" w:name="_GoBack"/>
      <w:bookmarkEnd w:id="1"/>
      <w:r>
        <w:t>, 1125-1142 (2024).</w:t>
      </w:r>
    </w:p>
    <w:p w:rsidR="00245088" w:rsidRDefault="00245088">
      <w:pPr>
        <w:pStyle w:val="Reference"/>
      </w:pPr>
      <w:r>
        <w:t xml:space="preserve">F. Nazarov et al., “Numerical calculation of turbulent flow in a two-dimensional flat diffuser based on the Comsol Multiphysics software,” in </w:t>
      </w:r>
      <w:r>
        <w:rPr>
          <w:i/>
          <w:iCs/>
        </w:rPr>
        <w:t>Proceedings of the 7th International Conference on Future Networks and Distributed Systems</w:t>
      </w:r>
      <w:r w:rsidR="005F3673">
        <w:rPr>
          <w:i/>
          <w:iCs/>
        </w:rPr>
        <w:t>,</w:t>
      </w:r>
      <w:r>
        <w:t xml:space="preserve"> </w:t>
      </w:r>
      <w:bookmarkStart w:id="2" w:name="_Hlk211607476"/>
      <w:r w:rsidR="005F3673">
        <w:t xml:space="preserve">edited by Mohammad Hammoudeh </w:t>
      </w:r>
      <w:bookmarkEnd w:id="2"/>
      <w:r>
        <w:t>(Association for Computing Machinery, New York NY United States, 2023), pp. 372–376.</w:t>
      </w:r>
    </w:p>
    <w:p w:rsidR="00245088" w:rsidRDefault="00245088">
      <w:pPr>
        <w:pStyle w:val="Reference"/>
      </w:pPr>
      <w:r>
        <w:t xml:space="preserve">Nazarov et al., “Numerical study of laminar flow using various difference schemes,” in </w:t>
      </w:r>
      <w:r>
        <w:rPr>
          <w:i/>
          <w:iCs/>
        </w:rPr>
        <w:t>Proceedings of the 7th International Conference on Future Networks and Distributed Systems</w:t>
      </w:r>
      <w:r w:rsidR="005F3673">
        <w:rPr>
          <w:i/>
          <w:iCs/>
        </w:rPr>
        <w:t xml:space="preserve">, </w:t>
      </w:r>
      <w:r w:rsidR="005F3673">
        <w:t>edited by Mohammad Hammoudeh</w:t>
      </w:r>
      <w:r>
        <w:t xml:space="preserve"> (Association for Computing Machinery, New York NY United States, 2023), pp. 377–383.</w:t>
      </w:r>
    </w:p>
    <w:p w:rsidR="00245088" w:rsidRDefault="00245088">
      <w:pPr>
        <w:pStyle w:val="Reference"/>
      </w:pPr>
      <w:r>
        <w:t xml:space="preserve">Malikov Z. M. et al., Comp. Res. Modeling. </w:t>
      </w:r>
      <w:r>
        <w:rPr>
          <w:b/>
          <w:bCs/>
        </w:rPr>
        <w:t>Т. 16, №. 2</w:t>
      </w:r>
      <w:r>
        <w:t>, 395-408 (2024).</w:t>
      </w:r>
    </w:p>
    <w:p w:rsidR="00245088" w:rsidRDefault="00245088">
      <w:pPr>
        <w:pStyle w:val="Reference"/>
      </w:pPr>
      <w:r>
        <w:t xml:space="preserve">Malikov Z. M., Kh N. F., Herald Bauman MSTU, Ser. Nat. Sci., </w:t>
      </w:r>
      <w:r>
        <w:rPr>
          <w:b/>
          <w:bCs/>
        </w:rPr>
        <w:t>2 (101)</w:t>
      </w:r>
      <w:r>
        <w:t>, 22–35 (2022)</w:t>
      </w:r>
    </w:p>
    <w:p w:rsidR="00245088" w:rsidRDefault="00245088">
      <w:pPr>
        <w:pStyle w:val="Reference"/>
      </w:pPr>
      <w:r>
        <w:t xml:space="preserve">Malikov Z. M., Nazarov F. K. Comp. Res. Model. </w:t>
      </w:r>
      <w:r>
        <w:rPr>
          <w:b/>
          <w:bCs/>
        </w:rPr>
        <w:t>13 (4)</w:t>
      </w:r>
      <w:r>
        <w:t>, 793-805 (2021).</w:t>
      </w:r>
    </w:p>
    <w:p w:rsidR="00245088" w:rsidRDefault="00245088">
      <w:pPr>
        <w:pStyle w:val="Reference"/>
      </w:pPr>
      <w:r>
        <w:t xml:space="preserve">F. K. Nazarov, S. M. Khasanov and A. A. Yakubov, IJRTE </w:t>
      </w:r>
      <w:r>
        <w:rPr>
          <w:b/>
          <w:bCs/>
        </w:rPr>
        <w:t>8 (4)</w:t>
      </w:r>
      <w:r>
        <w:t>, 2140–2144 (2019).</w:t>
      </w:r>
    </w:p>
    <w:p w:rsidR="00245088" w:rsidRDefault="00245088">
      <w:pPr>
        <w:pStyle w:val="Reference"/>
      </w:pPr>
      <w:r>
        <w:t xml:space="preserve">Turbulence modeling Resource. NASA Langley Research Center. </w:t>
      </w:r>
      <w:hyperlink r:id="rId83" w:history="1">
        <w:r>
          <w:rPr>
            <w:rStyle w:val="a6"/>
            <w:color w:val="auto"/>
            <w:u w:val="none"/>
          </w:rPr>
          <w:t>http://turbmodels.larc.nasa.gov</w:t>
        </w:r>
      </w:hyperlink>
    </w:p>
    <w:p w:rsidR="00245088" w:rsidRDefault="00245088">
      <w:pPr>
        <w:pStyle w:val="Reference"/>
      </w:pPr>
      <w:r>
        <w:t xml:space="preserve">D. Anderson, J. Tannehill, and R. Pletcher, Computational Fluid Mechanics and Heat Transfer, Third Edition (2016). </w:t>
      </w:r>
    </w:p>
    <w:p w:rsidR="00245088" w:rsidRDefault="00245088">
      <w:pPr>
        <w:pStyle w:val="Reference"/>
      </w:pPr>
      <w:r>
        <w:t xml:space="preserve">Z. M. Malikov and F. X. Nazarov, Comp. Res. Modeling </w:t>
      </w:r>
      <w:r>
        <w:rPr>
          <w:b/>
          <w:bCs/>
        </w:rPr>
        <w:t>13 (4)</w:t>
      </w:r>
      <w:r>
        <w:t>, 793–805 (2021).</w:t>
      </w:r>
    </w:p>
    <w:p w:rsidR="00245088" w:rsidRDefault="00245088">
      <w:pPr>
        <w:pStyle w:val="Reference"/>
      </w:pPr>
      <w:r>
        <w:t xml:space="preserve">Z. M. Malikov and F. Kh. Nazarov, Herald Bauman MSTU, Ser. Nat. Sci., </w:t>
      </w:r>
      <w:r>
        <w:rPr>
          <w:b/>
          <w:bCs/>
        </w:rPr>
        <w:t>2 (101)</w:t>
      </w:r>
      <w:r>
        <w:t>, 22–35 (2022)</w:t>
      </w:r>
    </w:p>
    <w:p w:rsidR="00245088" w:rsidRDefault="00245088">
      <w:pPr>
        <w:pStyle w:val="Reference"/>
      </w:pPr>
      <w:r>
        <w:t xml:space="preserve">Z. M. Malikov, F. X. Nazarov and M. E. Madaliev, Vestn. Tomsk. Gos. Univ. Mat. Mechanika </w:t>
      </w:r>
      <w:r>
        <w:rPr>
          <w:b/>
          <w:bCs/>
        </w:rPr>
        <w:t>78</w:t>
      </w:r>
      <w:r>
        <w:t>, 125–142 (2022).</w:t>
      </w:r>
    </w:p>
    <w:p w:rsidR="00245088" w:rsidRDefault="00245088">
      <w:pPr>
        <w:pStyle w:val="Reference"/>
      </w:pPr>
      <w:r>
        <w:t xml:space="preserve">F. K. Nazarov, S. M. Khasanov and A. A. Yakubov, IJRTE </w:t>
      </w:r>
      <w:r>
        <w:rPr>
          <w:b/>
          <w:bCs/>
        </w:rPr>
        <w:t>8 (4)</w:t>
      </w:r>
      <w:r>
        <w:t>, 2140–2144 (2019).</w:t>
      </w:r>
    </w:p>
    <w:p w:rsidR="00245088" w:rsidRDefault="00245088">
      <w:pPr>
        <w:pStyle w:val="Reference"/>
      </w:pPr>
      <w:r>
        <w:t xml:space="preserve">Z. M. Malikov, F. K. Nazarov and S. Khaydarov, JACM </w:t>
      </w:r>
      <w:r>
        <w:rPr>
          <w:b/>
          <w:bCs/>
        </w:rPr>
        <w:t>11 (4)</w:t>
      </w:r>
      <w:r>
        <w:t>, 871–886 (2025).</w:t>
      </w:r>
    </w:p>
    <w:p w:rsidR="00245088" w:rsidRDefault="00245088">
      <w:pPr>
        <w:pStyle w:val="Reference"/>
      </w:pPr>
      <w:r>
        <w:t xml:space="preserve">W. P. Jones and B. E. Launder, Int. J. Heat Mass Transfer </w:t>
      </w:r>
      <w:r>
        <w:rPr>
          <w:b/>
          <w:bCs/>
        </w:rPr>
        <w:t>15 (2)</w:t>
      </w:r>
      <w:r>
        <w:t>, 301–314 (1972).</w:t>
      </w:r>
    </w:p>
    <w:p w:rsidR="00245088" w:rsidRDefault="00245088">
      <w:pPr>
        <w:pStyle w:val="Reference"/>
      </w:pPr>
      <w:r>
        <w:t xml:space="preserve">D. P. Navruzov et al., “Direct numerical simulation of flow in a flat channel with a rectangular step based on the nonstationary Navier–Stokes equations,” in </w:t>
      </w:r>
      <w:r>
        <w:rPr>
          <w:i/>
          <w:iCs/>
        </w:rPr>
        <w:t>the third international scientific conference construction mechanics, hydraulics and water resources engineering</w:t>
      </w:r>
      <w:r>
        <w:t xml:space="preserve"> AIP Conference Proceedings</w:t>
      </w:r>
      <w:r w:rsidR="005F3673">
        <w:t>, edited by Bozorov</w:t>
      </w:r>
      <w:r>
        <w:t xml:space="preserve"> (AIP Publishing LLC, 2023) 2612 (1), 030007.</w:t>
      </w:r>
    </w:p>
    <w:p w:rsidR="00245088" w:rsidRDefault="00245088">
      <w:pPr>
        <w:pStyle w:val="Reference"/>
      </w:pPr>
      <w:r>
        <w:t xml:space="preserve">A.N.Kolmogorov, “Equations of turbulent motion in an incompressible fluid,” Dokl. Akad. Nauk SSSR </w:t>
      </w:r>
      <w:r>
        <w:rPr>
          <w:b/>
          <w:bCs/>
        </w:rPr>
        <w:t>30</w:t>
      </w:r>
      <w:r>
        <w:t>, 299–303 (1941).</w:t>
      </w:r>
    </w:p>
    <w:p w:rsidR="00245088" w:rsidRDefault="00245088">
      <w:pPr>
        <w:pStyle w:val="Reference"/>
      </w:pPr>
      <w:r>
        <w:t>D. C. Wilcox et al. Turbulence modeling for CFD. – La Canada, CA: DCW industries, 1998. – Т. 2. – pp. 103-217.</w:t>
      </w:r>
    </w:p>
    <w:p w:rsidR="00245088" w:rsidRDefault="00245088">
      <w:pPr>
        <w:pStyle w:val="Reference"/>
      </w:pPr>
      <w:r>
        <w:t xml:space="preserve">P. Spalart, “Trends in turbulence treatments,” in </w:t>
      </w:r>
      <w:r>
        <w:rPr>
          <w:i/>
          <w:iCs/>
        </w:rPr>
        <w:t>Fluids 2000 Conference and Exhibit</w:t>
      </w:r>
      <w:r w:rsidR="005F3673">
        <w:rPr>
          <w:i/>
          <w:iCs/>
        </w:rPr>
        <w:t>,</w:t>
      </w:r>
      <w:r>
        <w:t xml:space="preserve"> </w:t>
      </w:r>
      <w:r w:rsidR="005F3673">
        <w:t xml:space="preserve">edited by Richard Wood </w:t>
      </w:r>
      <w:r>
        <w:t>(Denver, CO, U.S.A</w:t>
      </w:r>
      <w:r>
        <w:rPr>
          <w:rFonts w:ascii="Arial" w:hAnsi="Arial" w:cs="Arial"/>
          <w:color w:val="000000"/>
          <w:shd w:val="clear" w:color="auto" w:fill="FAFAFA"/>
        </w:rPr>
        <w:t>.</w:t>
      </w:r>
      <w:r>
        <w:t>2000), Paper No. 2306.</w:t>
      </w:r>
    </w:p>
    <w:p w:rsidR="00245088" w:rsidRDefault="00245088">
      <w:pPr>
        <w:pStyle w:val="Reference"/>
      </w:pPr>
      <w:r>
        <w:t xml:space="preserve">Z. M. Malikov et al., “Simulation of swirling flows based on modified two-fluid turbulence model,” in </w:t>
      </w:r>
      <w:r>
        <w:rPr>
          <w:i/>
          <w:iCs/>
        </w:rPr>
        <w:t>Proceedings of the 6th International Conference on Future Networks and Distributed Systems</w:t>
      </w:r>
      <w:r w:rsidR="005F3673">
        <w:rPr>
          <w:i/>
          <w:iCs/>
        </w:rPr>
        <w:t xml:space="preserve">, </w:t>
      </w:r>
      <w:r w:rsidR="005F3673" w:rsidRPr="005F3673">
        <w:t>edited by</w:t>
      </w:r>
      <w:r>
        <w:t xml:space="preserve"> </w:t>
      </w:r>
      <w:r w:rsidR="005F3673">
        <w:t xml:space="preserve">Mohammad Hammoudeh </w:t>
      </w:r>
      <w:r>
        <w:t>(Association for Computing Machinery, New York NY United States, 2022), pp. 27–32.</w:t>
      </w:r>
    </w:p>
    <w:sectPr w:rsidR="00245088">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lvl w:ilvl="0">
      <w:start w:val="1"/>
      <w:numFmt w:val="decimal"/>
      <w:pStyle w:val="Paragraphnumbered"/>
      <w:lvlText w:val="%1."/>
      <w:lvlJc w:val="left"/>
      <w:pPr>
        <w:ind w:left="644"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000005"/>
    <w:multiLevelType w:val="multilevel"/>
    <w:tmpl w:val="00000005"/>
    <w:lvl w:ilvl="0">
      <w:start w:val="1"/>
      <w:numFmt w:val="decimal"/>
      <w:pStyle w:val="Referen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00000B"/>
    <w:multiLevelType w:val="multilevel"/>
    <w:tmpl w:val="0000000B"/>
    <w:lvl w:ilvl="0">
      <w:start w:val="1"/>
      <w:numFmt w:val="bullet"/>
      <w:pStyle w:val="Paragraphbulleted"/>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1F0F43B5"/>
    <w:multiLevelType w:val="hybridMultilevel"/>
    <w:tmpl w:val="D8D4C35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172A27"/>
    <w:rsid w:val="001C0B76"/>
    <w:rsid w:val="00245088"/>
    <w:rsid w:val="003A06F2"/>
    <w:rsid w:val="00434AAA"/>
    <w:rsid w:val="004F66CA"/>
    <w:rsid w:val="005F3673"/>
    <w:rsid w:val="007A3F40"/>
    <w:rsid w:val="008F57CE"/>
    <w:rsid w:val="00C26414"/>
    <w:rsid w:val="00C94C4B"/>
    <w:rsid w:val="00CE1376"/>
    <w:rsid w:val="00E7156E"/>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B81C2"/>
  <w15:chartTrackingRefBased/>
  <w15:docId w15:val="{4CC820E0-693F-494E-9BD0-6262CAFE4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imes New Roman"/>
      <w:sz w:val="24"/>
      <w:lang w:val="en-US" w:eastAsia="en-US"/>
    </w:rPr>
  </w:style>
  <w:style w:type="paragraph" w:styleId="1">
    <w:name w:val="heading 1"/>
    <w:basedOn w:val="a"/>
    <w:next w:val="Paragraph"/>
    <w:link w:val="10"/>
    <w:qFormat/>
    <w:pPr>
      <w:keepNext/>
      <w:spacing w:before="240" w:after="240"/>
      <w:jc w:val="center"/>
      <w:outlineLvl w:val="0"/>
    </w:pPr>
    <w:rPr>
      <w:b/>
      <w:caps/>
    </w:rPr>
  </w:style>
  <w:style w:type="paragraph" w:styleId="2">
    <w:name w:val="heading 2"/>
    <w:basedOn w:val="a"/>
    <w:next w:val="Paragraph"/>
    <w:qFormat/>
    <w:pPr>
      <w:keepNext/>
      <w:spacing w:before="240" w:after="240"/>
      <w:jc w:val="center"/>
      <w:outlineLvl w:val="1"/>
    </w:pPr>
    <w:rPr>
      <w:b/>
    </w:rPr>
  </w:style>
  <w:style w:type="paragraph" w:styleId="3">
    <w:name w:val="heading 3"/>
    <w:basedOn w:val="a"/>
    <w:next w:val="a"/>
    <w:qFormat/>
    <w:pPr>
      <w:keepNext/>
      <w:spacing w:before="240" w:after="240"/>
      <w:jc w:val="center"/>
      <w:outlineLvl w:val="2"/>
    </w:pPr>
    <w:rPr>
      <w:i/>
      <w:iCs/>
      <w:sz w:val="20"/>
      <w:lang w:val="ru-RU"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rPr>
      <w:vertAlign w:val="superscript"/>
    </w:rPr>
  </w:style>
  <w:style w:type="character" w:styleId="a4">
    <w:name w:val="Strong"/>
    <w:qFormat/>
    <w:rPr>
      <w:b/>
      <w:bCs/>
    </w:rPr>
  </w:style>
  <w:style w:type="character" w:styleId="a5">
    <w:name w:val="Emphasis"/>
    <w:qFormat/>
    <w:rPr>
      <w:i/>
      <w:iCs/>
    </w:rPr>
  </w:style>
  <w:style w:type="character" w:styleId="a6">
    <w:name w:val="Hyperlink"/>
    <w:rPr>
      <w:color w:val="0000FF"/>
      <w:u w:val="single"/>
    </w:rPr>
  </w:style>
  <w:style w:type="character" w:customStyle="1" w:styleId="Text">
    <w:name w:val="Text 字符"/>
    <w:link w:val="Text0"/>
    <w:rPr>
      <w:snapToGrid w:val="0"/>
      <w:color w:val="000000"/>
      <w:sz w:val="24"/>
      <w:szCs w:val="22"/>
      <w:lang w:val="en-US" w:eastAsia="ja-JP"/>
    </w:rPr>
  </w:style>
  <w:style w:type="character" w:customStyle="1" w:styleId="10">
    <w:name w:val="Заголовок 1 Знак"/>
    <w:link w:val="1"/>
    <w:rPr>
      <w:b/>
      <w:caps/>
      <w:sz w:val="24"/>
      <w:lang w:val="en-US" w:eastAsia="en-US"/>
    </w:rPr>
  </w:style>
  <w:style w:type="character" w:customStyle="1" w:styleId="a7">
    <w:name w:val="Тема примечания Знак"/>
    <w:link w:val="11"/>
    <w:rPr>
      <w:b/>
      <w:bCs/>
      <w:lang w:val="en-US" w:eastAsia="en-US"/>
    </w:rPr>
  </w:style>
  <w:style w:type="character" w:customStyle="1" w:styleId="a8">
    <w:name w:val="Текст выноски Знак"/>
    <w:link w:val="a9"/>
    <w:rPr>
      <w:rFonts w:ascii="Tahoma" w:hAnsi="Tahoma" w:cs="Tahoma"/>
      <w:sz w:val="16"/>
      <w:szCs w:val="16"/>
      <w:lang w:val="en-US" w:eastAsia="en-US"/>
    </w:rPr>
  </w:style>
  <w:style w:type="character" w:customStyle="1" w:styleId="12">
    <w:name w:val="Знак примечания1"/>
    <w:rPr>
      <w:sz w:val="16"/>
      <w:szCs w:val="16"/>
    </w:rPr>
  </w:style>
  <w:style w:type="character" w:customStyle="1" w:styleId="Heading1">
    <w:name w:val="Heading1 字符"/>
    <w:link w:val="Heading10"/>
    <w:rPr>
      <w:b/>
      <w:snapToGrid w:val="0"/>
      <w:color w:val="000000"/>
      <w:sz w:val="24"/>
      <w:szCs w:val="22"/>
      <w:lang w:val="en-US" w:eastAsia="ja-JP"/>
    </w:rPr>
  </w:style>
  <w:style w:type="character" w:customStyle="1" w:styleId="aa">
    <w:name w:val="Текст примечания Знак"/>
    <w:link w:val="ab"/>
    <w:rPr>
      <w:lang w:val="en-US" w:eastAsia="en-US"/>
    </w:rPr>
  </w:style>
  <w:style w:type="character" w:customStyle="1" w:styleId="TableCaption">
    <w:name w:val="Table Caption 字符"/>
    <w:link w:val="TableCaption0"/>
    <w:rPr>
      <w:sz w:val="18"/>
      <w:szCs w:val="18"/>
      <w:lang w:val="en-US" w:eastAsia="en-US"/>
    </w:rPr>
  </w:style>
  <w:style w:type="character" w:customStyle="1" w:styleId="FigureCaption">
    <w:name w:val="Figure Caption 字符"/>
    <w:link w:val="FigureCaption0"/>
    <w:rPr>
      <w:sz w:val="18"/>
      <w:lang w:val="en-US" w:eastAsia="en-US"/>
    </w:rPr>
  </w:style>
  <w:style w:type="character" w:customStyle="1" w:styleId="UnresolvedMention">
    <w:name w:val="Unresolved Mention"/>
    <w:rPr>
      <w:color w:val="808080"/>
      <w:shd w:val="clear" w:color="auto" w:fill="E6E6E6"/>
    </w:rPr>
  </w:style>
  <w:style w:type="paragraph" w:styleId="a9">
    <w:name w:val="Balloon Text"/>
    <w:basedOn w:val="a"/>
    <w:link w:val="a8"/>
    <w:rPr>
      <w:rFonts w:ascii="Tahoma" w:hAnsi="Tahoma" w:cs="Tahoma"/>
      <w:sz w:val="16"/>
      <w:szCs w:val="16"/>
    </w:rPr>
  </w:style>
  <w:style w:type="paragraph" w:styleId="ab">
    <w:name w:val="annotation text"/>
    <w:basedOn w:val="a"/>
    <w:link w:val="aa"/>
  </w:style>
  <w:style w:type="paragraph" w:styleId="ac">
    <w:name w:val="footnote text"/>
    <w:basedOn w:val="a"/>
    <w:rPr>
      <w:sz w:val="16"/>
    </w:rPr>
  </w:style>
  <w:style w:type="paragraph" w:styleId="ad">
    <w:name w:val="caption"/>
    <w:basedOn w:val="a"/>
    <w:next w:val="a"/>
    <w:qFormat/>
    <w:rPr>
      <w:b/>
      <w:bCs/>
      <w:sz w:val="20"/>
    </w:rPr>
  </w:style>
  <w:style w:type="paragraph" w:styleId="ae">
    <w:name w:val="Normal (Web)"/>
    <w:aliases w:val="Обычный (Интернет)"/>
    <w:basedOn w:val="a"/>
    <w:pPr>
      <w:spacing w:before="100" w:beforeAutospacing="1" w:after="100" w:afterAutospacing="1"/>
    </w:pPr>
    <w:rPr>
      <w:szCs w:val="24"/>
      <w:lang w:val="ru-RU" w:eastAsia="ru-RU"/>
    </w:rPr>
  </w:style>
  <w:style w:type="paragraph" w:customStyle="1" w:styleId="Reference">
    <w:name w:val="Reference"/>
    <w:basedOn w:val="Paragraph"/>
    <w:pPr>
      <w:numPr>
        <w:numId w:val="1"/>
      </w:numPr>
      <w:ind w:left="426" w:hanging="426"/>
    </w:pPr>
  </w:style>
  <w:style w:type="paragraph" w:customStyle="1" w:styleId="AuthorEmail">
    <w:name w:val="Author Email"/>
    <w:basedOn w:val="a"/>
    <w:pPr>
      <w:jc w:val="center"/>
    </w:pPr>
    <w:rPr>
      <w:sz w:val="20"/>
    </w:rPr>
  </w:style>
  <w:style w:type="paragraph" w:customStyle="1" w:styleId="NormalWebCharChar">
    <w:name w:val="Normal (Web) Char Char"/>
    <w:basedOn w:val="a"/>
    <w:pPr>
      <w:spacing w:before="100" w:beforeAutospacing="1" w:after="100" w:afterAutospacing="1"/>
    </w:pPr>
    <w:rPr>
      <w:szCs w:val="24"/>
      <w:lang w:val="ru-RU" w:eastAsia="ja-JP"/>
    </w:rPr>
  </w:style>
  <w:style w:type="paragraph" w:customStyle="1" w:styleId="4">
    <w:name w:val="Основной текст4"/>
    <w:basedOn w:val="a"/>
    <w:pPr>
      <w:widowControl w:val="0"/>
      <w:shd w:val="clear" w:color="auto" w:fill="FFFFFF"/>
      <w:spacing w:after="120" w:line="0" w:lineRule="atLeast"/>
      <w:ind w:hanging="320"/>
      <w:jc w:val="both"/>
    </w:pPr>
    <w:rPr>
      <w:sz w:val="20"/>
      <w:lang w:val="en"/>
    </w:rPr>
  </w:style>
  <w:style w:type="paragraph" w:customStyle="1" w:styleId="af">
    <w:name w:val="Формула"/>
    <w:basedOn w:val="a"/>
    <w:pPr>
      <w:tabs>
        <w:tab w:val="center" w:pos="4536"/>
        <w:tab w:val="right" w:pos="9356"/>
      </w:tabs>
      <w:spacing w:line="360" w:lineRule="auto"/>
    </w:pPr>
    <w:rPr>
      <w:rFonts w:eastAsia="Calibri"/>
      <w:szCs w:val="22"/>
      <w:lang w:val="ru-RU"/>
    </w:rPr>
  </w:style>
  <w:style w:type="paragraph" w:customStyle="1" w:styleId="13">
    <w:name w:val="Абзац списка1"/>
    <w:basedOn w:val="a"/>
    <w:pPr>
      <w:ind w:left="720"/>
      <w:contextualSpacing/>
    </w:pPr>
  </w:style>
  <w:style w:type="paragraph" w:customStyle="1" w:styleId="11">
    <w:name w:val="Тема примечания1"/>
    <w:basedOn w:val="ab"/>
    <w:next w:val="ab"/>
    <w:link w:val="a7"/>
    <w:rPr>
      <w:b/>
      <w:bCs/>
    </w:rPr>
  </w:style>
  <w:style w:type="paragraph" w:customStyle="1" w:styleId="af0">
    <w:name w:val="Рисунок"/>
    <w:basedOn w:val="a"/>
    <w:pPr>
      <w:jc w:val="center"/>
    </w:pPr>
    <w:rPr>
      <w:rFonts w:eastAsia="Calibri"/>
      <w:sz w:val="22"/>
      <w:szCs w:val="22"/>
      <w:lang w:val="ru-RU" w:eastAsia="ja-JP"/>
    </w:rPr>
  </w:style>
  <w:style w:type="paragraph" w:customStyle="1" w:styleId="PaperTitle">
    <w:name w:val="Paper Title"/>
    <w:basedOn w:val="a"/>
    <w:next w:val="AuthorName"/>
    <w:pPr>
      <w:spacing w:before="1200"/>
      <w:jc w:val="center"/>
    </w:pPr>
    <w:rPr>
      <w:b/>
      <w:sz w:val="36"/>
    </w:rPr>
  </w:style>
  <w:style w:type="paragraph" w:customStyle="1" w:styleId="AuthorAffiliation">
    <w:name w:val="Author Affiliation"/>
    <w:basedOn w:val="a"/>
    <w:pPr>
      <w:jc w:val="center"/>
    </w:pPr>
    <w:rPr>
      <w:i/>
      <w:sz w:val="20"/>
    </w:rPr>
  </w:style>
  <w:style w:type="paragraph" w:customStyle="1" w:styleId="TableCaption0">
    <w:name w:val="Table Caption"/>
    <w:basedOn w:val="FigureCaption0"/>
    <w:link w:val="TableCaption"/>
    <w:rPr>
      <w:szCs w:val="18"/>
    </w:rPr>
  </w:style>
  <w:style w:type="paragraph" w:customStyle="1" w:styleId="FigureCaption0">
    <w:name w:val="Figure Caption"/>
    <w:next w:val="Paragraph"/>
    <w:link w:val="FigureCaption"/>
    <w:pPr>
      <w:spacing w:before="120"/>
      <w:jc w:val="center"/>
    </w:pPr>
    <w:rPr>
      <w:sz w:val="18"/>
      <w:lang w:val="en-US" w:eastAsia="en-US"/>
    </w:rPr>
  </w:style>
  <w:style w:type="paragraph" w:customStyle="1" w:styleId="Equation">
    <w:name w:val="Equation"/>
    <w:basedOn w:val="Paragraph"/>
    <w:pPr>
      <w:tabs>
        <w:tab w:val="center" w:pos="4320"/>
        <w:tab w:val="right" w:pos="9242"/>
      </w:tabs>
      <w:ind w:firstLine="0"/>
      <w:jc w:val="center"/>
    </w:pPr>
  </w:style>
  <w:style w:type="paragraph" w:customStyle="1" w:styleId="Abstract">
    <w:name w:val="Abstract"/>
    <w:basedOn w:val="a"/>
    <w:next w:val="1"/>
    <w:pPr>
      <w:spacing w:before="360" w:after="360"/>
      <w:ind w:left="289" w:right="289"/>
      <w:jc w:val="both"/>
    </w:pPr>
    <w:rPr>
      <w:sz w:val="18"/>
    </w:rPr>
  </w:style>
  <w:style w:type="paragraph" w:customStyle="1" w:styleId="Paragraphnumbered">
    <w:name w:val="Paragraph (numbered)"/>
    <w:pPr>
      <w:numPr>
        <w:numId w:val="2"/>
      </w:numPr>
      <w:jc w:val="both"/>
    </w:pPr>
    <w:rPr>
      <w:lang w:val="en-US" w:eastAsia="en-US"/>
    </w:rPr>
  </w:style>
  <w:style w:type="paragraph" w:customStyle="1" w:styleId="AuthorName">
    <w:name w:val="Author Name"/>
    <w:basedOn w:val="a"/>
    <w:next w:val="AuthorAffiliation"/>
    <w:pPr>
      <w:spacing w:before="360" w:after="360"/>
      <w:jc w:val="center"/>
    </w:pPr>
    <w:rPr>
      <w:sz w:val="28"/>
    </w:rPr>
  </w:style>
  <w:style w:type="paragraph" w:customStyle="1" w:styleId="Paragraph">
    <w:name w:val="Paragraph"/>
    <w:basedOn w:val="a"/>
    <w:pPr>
      <w:ind w:firstLine="284"/>
      <w:jc w:val="both"/>
    </w:pPr>
    <w:rPr>
      <w:sz w:val="20"/>
    </w:rPr>
  </w:style>
  <w:style w:type="paragraph" w:customStyle="1" w:styleId="Paragraphbulleted">
    <w:name w:val="Paragraph (bulleted)"/>
    <w:basedOn w:val="Paragraph"/>
    <w:pPr>
      <w:numPr>
        <w:numId w:val="3"/>
      </w:numPr>
      <w:ind w:left="641" w:hanging="357"/>
    </w:pPr>
  </w:style>
  <w:style w:type="paragraph" w:customStyle="1" w:styleId="Text0">
    <w:name w:val="Text"/>
    <w:link w:val="Text"/>
    <w:pPr>
      <w:snapToGrid w:val="0"/>
      <w:spacing w:line="300" w:lineRule="auto"/>
      <w:ind w:firstLine="425"/>
      <w:jc w:val="both"/>
    </w:pPr>
    <w:rPr>
      <w:snapToGrid w:val="0"/>
      <w:color w:val="000000"/>
      <w:sz w:val="24"/>
      <w:szCs w:val="22"/>
      <w:lang w:val="en-US"/>
    </w:rPr>
  </w:style>
  <w:style w:type="paragraph" w:customStyle="1" w:styleId="TableBody">
    <w:name w:val="Table Body"/>
    <w:pPr>
      <w:adjustRightInd w:val="0"/>
      <w:snapToGrid w:val="0"/>
      <w:jc w:val="center"/>
    </w:pPr>
    <w:rPr>
      <w:snapToGrid w:val="0"/>
      <w:color w:val="000000"/>
      <w:sz w:val="22"/>
      <w:lang w:val="en-US"/>
    </w:rPr>
  </w:style>
  <w:style w:type="paragraph" w:customStyle="1" w:styleId="Heading10">
    <w:name w:val="Heading1"/>
    <w:link w:val="Heading1"/>
    <w:pPr>
      <w:adjustRightInd w:val="0"/>
      <w:snapToGrid w:val="0"/>
      <w:spacing w:before="360" w:after="240"/>
      <w:outlineLvl w:val="0"/>
    </w:pPr>
    <w:rPr>
      <w:b/>
      <w:snapToGrid w:val="0"/>
      <w:color w:val="000000"/>
      <w:sz w:val="24"/>
      <w:szCs w:val="22"/>
      <w:lang w:val="en-US"/>
    </w:rPr>
  </w:style>
  <w:style w:type="paragraph" w:customStyle="1" w:styleId="Figure">
    <w:name w:val="Figure"/>
    <w:basedOn w:val="Paragraph"/>
    <w:pPr>
      <w:keepNext/>
      <w:ind w:firstLine="0"/>
      <w:jc w:val="center"/>
    </w:pPr>
  </w:style>
  <w:style w:type="paragraph" w:styleId="af1">
    <w:name w:val="List Paragraph"/>
    <w:basedOn w:val="a"/>
    <w:qFormat/>
    <w:pPr>
      <w:spacing w:after="160" w:line="259" w:lineRule="auto"/>
      <w:ind w:left="720"/>
      <w:contextualSpacing/>
    </w:pPr>
    <w:rPr>
      <w:rFonts w:ascii="Calibri" w:eastAsia="Calibri" w:hAnsi="Calibri"/>
      <w:sz w:val="22"/>
      <w:szCs w:val="22"/>
      <w:lang w:val="en"/>
    </w:rPr>
  </w:style>
  <w:style w:type="character" w:customStyle="1" w:styleId="af2">
    <w:name w:val="Неразрешенное упоминание"/>
    <w:uiPriority w:val="99"/>
    <w:semiHidden/>
    <w:unhideWhenUsed/>
    <w:rsid w:val="007A3F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22.png"/><Relationship Id="rId21" Type="http://schemas.openxmlformats.org/officeDocument/2006/relationships/image" Target="media/image9.wmf"/><Relationship Id="rId34" Type="http://schemas.openxmlformats.org/officeDocument/2006/relationships/image" Target="media/image19.png"/><Relationship Id="rId42" Type="http://schemas.openxmlformats.org/officeDocument/2006/relationships/oleObject" Target="embeddings/oleObject13.bin"/><Relationship Id="rId47" Type="http://schemas.openxmlformats.org/officeDocument/2006/relationships/oleObject" Target="embeddings/oleObject15.bin"/><Relationship Id="rId50" Type="http://schemas.openxmlformats.org/officeDocument/2006/relationships/image" Target="media/image30.wmf"/><Relationship Id="rId55" Type="http://schemas.openxmlformats.org/officeDocument/2006/relationships/image" Target="media/image33.png"/><Relationship Id="rId63" Type="http://schemas.openxmlformats.org/officeDocument/2006/relationships/oleObject" Target="embeddings/oleObject20.bin"/><Relationship Id="rId68" Type="http://schemas.openxmlformats.org/officeDocument/2006/relationships/image" Target="media/image41.png"/><Relationship Id="rId76" Type="http://schemas.openxmlformats.org/officeDocument/2006/relationships/image" Target="media/image45.wmf"/><Relationship Id="rId84" Type="http://schemas.openxmlformats.org/officeDocument/2006/relationships/fontTable" Target="fontTable.xml"/><Relationship Id="rId7" Type="http://schemas.openxmlformats.org/officeDocument/2006/relationships/oleObject" Target="embeddings/oleObject1.bin"/><Relationship Id="rId71" Type="http://schemas.openxmlformats.org/officeDocument/2006/relationships/oleObject" Target="embeddings/oleObject24.bin"/><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4.png"/><Relationship Id="rId11" Type="http://schemas.openxmlformats.org/officeDocument/2006/relationships/oleObject" Target="embeddings/oleObject3.bin"/><Relationship Id="rId24" Type="http://schemas.openxmlformats.org/officeDocument/2006/relationships/oleObject" Target="embeddings/oleObject9.bin"/><Relationship Id="rId32" Type="http://schemas.openxmlformats.org/officeDocument/2006/relationships/image" Target="media/image17.png"/><Relationship Id="rId37" Type="http://schemas.openxmlformats.org/officeDocument/2006/relationships/image" Target="media/image21.wmf"/><Relationship Id="rId40" Type="http://schemas.openxmlformats.org/officeDocument/2006/relationships/image" Target="media/image23.png"/><Relationship Id="rId45" Type="http://schemas.openxmlformats.org/officeDocument/2006/relationships/image" Target="media/image26.png"/><Relationship Id="rId53" Type="http://schemas.openxmlformats.org/officeDocument/2006/relationships/oleObject" Target="embeddings/oleObject17.bin"/><Relationship Id="rId58" Type="http://schemas.openxmlformats.org/officeDocument/2006/relationships/image" Target="media/image35.wmf"/><Relationship Id="rId66" Type="http://schemas.openxmlformats.org/officeDocument/2006/relationships/oleObject" Target="embeddings/oleObject21.bin"/><Relationship Id="rId74" Type="http://schemas.openxmlformats.org/officeDocument/2006/relationships/image" Target="media/image44.wmf"/><Relationship Id="rId79" Type="http://schemas.openxmlformats.org/officeDocument/2006/relationships/image" Target="media/image47.png"/><Relationship Id="rId5" Type="http://schemas.openxmlformats.org/officeDocument/2006/relationships/hyperlink" Target="mailto:nematjonmustafayev70@mail.ru" TargetMode="External"/><Relationship Id="rId61" Type="http://schemas.openxmlformats.org/officeDocument/2006/relationships/image" Target="media/image37.png"/><Relationship Id="rId82" Type="http://schemas.openxmlformats.org/officeDocument/2006/relationships/image" Target="media/image50.png"/><Relationship Id="rId19" Type="http://schemas.openxmlformats.org/officeDocument/2006/relationships/image" Target="media/image8.wmf"/><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oleObject" Target="embeddings/oleObject8.bin"/><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wmf"/><Relationship Id="rId43" Type="http://schemas.openxmlformats.org/officeDocument/2006/relationships/image" Target="media/image25.wmf"/><Relationship Id="rId48" Type="http://schemas.openxmlformats.org/officeDocument/2006/relationships/image" Target="media/image28.png"/><Relationship Id="rId56" Type="http://schemas.openxmlformats.org/officeDocument/2006/relationships/image" Target="media/image34.wmf"/><Relationship Id="rId64" Type="http://schemas.openxmlformats.org/officeDocument/2006/relationships/image" Target="media/image39.png"/><Relationship Id="rId69" Type="http://schemas.openxmlformats.org/officeDocument/2006/relationships/image" Target="media/image42.png"/><Relationship Id="rId77" Type="http://schemas.openxmlformats.org/officeDocument/2006/relationships/oleObject" Target="embeddings/oleObject27.bin"/><Relationship Id="rId8" Type="http://schemas.openxmlformats.org/officeDocument/2006/relationships/image" Target="media/image2.wmf"/><Relationship Id="rId51" Type="http://schemas.openxmlformats.org/officeDocument/2006/relationships/oleObject" Target="embeddings/oleObject16.bin"/><Relationship Id="rId72" Type="http://schemas.openxmlformats.org/officeDocument/2006/relationships/image" Target="media/image43.png"/><Relationship Id="rId80" Type="http://schemas.openxmlformats.org/officeDocument/2006/relationships/image" Target="media/image48.pn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8.png"/><Relationship Id="rId38" Type="http://schemas.openxmlformats.org/officeDocument/2006/relationships/oleObject" Target="embeddings/oleObject12.bin"/><Relationship Id="rId46" Type="http://schemas.openxmlformats.org/officeDocument/2006/relationships/image" Target="media/image27.wmf"/><Relationship Id="rId59" Type="http://schemas.openxmlformats.org/officeDocument/2006/relationships/oleObject" Target="embeddings/oleObject19.bin"/><Relationship Id="rId67" Type="http://schemas.openxmlformats.org/officeDocument/2006/relationships/oleObject" Target="embeddings/oleObject22.bin"/><Relationship Id="rId20" Type="http://schemas.openxmlformats.org/officeDocument/2006/relationships/oleObject" Target="embeddings/oleObject7.bin"/><Relationship Id="rId41" Type="http://schemas.openxmlformats.org/officeDocument/2006/relationships/image" Target="media/image24.wmf"/><Relationship Id="rId54" Type="http://schemas.openxmlformats.org/officeDocument/2006/relationships/image" Target="media/image32.png"/><Relationship Id="rId62" Type="http://schemas.openxmlformats.org/officeDocument/2006/relationships/image" Target="media/image38.wmf"/><Relationship Id="rId70" Type="http://schemas.openxmlformats.org/officeDocument/2006/relationships/oleObject" Target="embeddings/oleObject23.bin"/><Relationship Id="rId75" Type="http://schemas.openxmlformats.org/officeDocument/2006/relationships/oleObject" Target="embeddings/oleObject26.bin"/><Relationship Id="rId83" Type="http://schemas.openxmlformats.org/officeDocument/2006/relationships/hyperlink" Target="http://turbmodels.larc.nasa.gov" TargetMode="External"/><Relationship Id="rId1" Type="http://schemas.openxmlformats.org/officeDocument/2006/relationships/numbering" Target="numbering.xml"/><Relationship Id="rId6" Type="http://schemas.openxmlformats.org/officeDocument/2006/relationships/image" Target="media/image1.wmf"/><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image" Target="media/image13.png"/><Relationship Id="rId36" Type="http://schemas.openxmlformats.org/officeDocument/2006/relationships/oleObject" Target="embeddings/oleObject11.bin"/><Relationship Id="rId49" Type="http://schemas.openxmlformats.org/officeDocument/2006/relationships/image" Target="media/image29.png"/><Relationship Id="rId57" Type="http://schemas.openxmlformats.org/officeDocument/2006/relationships/oleObject" Target="embeddings/oleObject18.bin"/><Relationship Id="rId10" Type="http://schemas.openxmlformats.org/officeDocument/2006/relationships/image" Target="media/image3.wmf"/><Relationship Id="rId31" Type="http://schemas.openxmlformats.org/officeDocument/2006/relationships/image" Target="media/image16.png"/><Relationship Id="rId44" Type="http://schemas.openxmlformats.org/officeDocument/2006/relationships/oleObject" Target="embeddings/oleObject14.bin"/><Relationship Id="rId52" Type="http://schemas.openxmlformats.org/officeDocument/2006/relationships/image" Target="media/image31.wmf"/><Relationship Id="rId60" Type="http://schemas.openxmlformats.org/officeDocument/2006/relationships/image" Target="media/image36.png"/><Relationship Id="rId65" Type="http://schemas.openxmlformats.org/officeDocument/2006/relationships/image" Target="media/image40.png"/><Relationship Id="rId73" Type="http://schemas.openxmlformats.org/officeDocument/2006/relationships/oleObject" Target="embeddings/oleObject25.bin"/><Relationship Id="rId78" Type="http://schemas.openxmlformats.org/officeDocument/2006/relationships/image" Target="media/image46.png"/><Relationship Id="rId81" Type="http://schemas.openxmlformats.org/officeDocument/2006/relationships/image" Target="media/image4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OneDrive\Documents\8_point5_x11_single_column_templat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8_point5_x11_single_column_template</Template>
  <TotalTime>1</TotalTime>
  <Pages>9</Pages>
  <Words>2480</Words>
  <Characters>14141</Characters>
  <Application>Microsoft Office Word</Application>
  <DocSecurity>0</DocSecurity>
  <PresentationFormat/>
  <Lines>117</Lines>
  <Paragraphs>33</Paragraphs>
  <Slides>0</Slides>
  <Notes>0</Notes>
  <HiddenSlides>0</HiddenSlides>
  <MMClips>0</MMClips>
  <ScaleCrop>false</ScaleCrop>
  <HeadingPairs>
    <vt:vector size="2" baseType="variant">
      <vt:variant>
        <vt:lpstr>Название</vt:lpstr>
      </vt:variant>
      <vt:variant>
        <vt:i4>1</vt:i4>
      </vt:variant>
    </vt:vector>
  </HeadingPairs>
  <TitlesOfParts>
    <vt:vector size="1" baseType="lpstr">
      <vt:lpstr>Title Goes Here</vt:lpstr>
    </vt:vector>
  </TitlesOfParts>
  <Manager/>
  <Company>PPI</Company>
  <LinksUpToDate>false</LinksUpToDate>
  <CharactersWithSpaces>16588</CharactersWithSpaces>
  <SharedDoc>false</SharedDoc>
  <HLinks>
    <vt:vector size="12" baseType="variant">
      <vt:variant>
        <vt:i4>1507398</vt:i4>
      </vt:variant>
      <vt:variant>
        <vt:i4>96</vt:i4>
      </vt:variant>
      <vt:variant>
        <vt:i4>0</vt:i4>
      </vt:variant>
      <vt:variant>
        <vt:i4>5</vt:i4>
      </vt:variant>
      <vt:variant>
        <vt:lpwstr>http://turbmodels.larc.nasa.gov/</vt:lpwstr>
      </vt:variant>
      <vt:variant>
        <vt:lpwstr/>
      </vt:variant>
      <vt:variant>
        <vt:i4>589880</vt:i4>
      </vt:variant>
      <vt:variant>
        <vt:i4>0</vt:i4>
      </vt:variant>
      <vt:variant>
        <vt:i4>0</vt:i4>
      </vt:variant>
      <vt:variant>
        <vt:i4>5</vt:i4>
      </vt:variant>
      <vt:variant>
        <vt:lpwstr>mailto:nematjonmustafayev70@mail.ru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subject/>
  <dc:creator>Ruth Levins</dc:creator>
  <cp:keywords/>
  <dc:description/>
  <cp:lastModifiedBy>USER</cp:lastModifiedBy>
  <cp:revision>5</cp:revision>
  <cp:lastPrinted>2011-03-03T08:29:00Z</cp:lastPrinted>
  <dcterms:created xsi:type="dcterms:W3CDTF">2025-11-06T11:41:00Z</dcterms:created>
  <dcterms:modified xsi:type="dcterms:W3CDTF">2025-11-07T13:07:00Z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KSOProductBuildVer">
    <vt:lpwstr>1033-8.1.0.3385</vt:lpwstr>
  </property>
</Properties>
</file>