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D2345C" w14:textId="77777777" w:rsidR="0027260C" w:rsidRPr="00B50313" w:rsidRDefault="00EC3FA2" w:rsidP="00B50313">
      <w:pPr>
        <w:pStyle w:val="PaperTitle"/>
        <w:rPr>
          <w:b w:val="0"/>
          <w:bCs/>
          <w:sz w:val="24"/>
          <w:szCs w:val="24"/>
          <w:lang w:val="uz-Cyrl-UZ"/>
        </w:rPr>
      </w:pPr>
      <w:r>
        <w:t>Numerical Modeling of Dispersed Particle Motion in Pipelines w</w:t>
      </w:r>
      <w:r w:rsidR="0040361D" w:rsidRPr="0040361D">
        <w:t>ith Abrupt Contractions</w:t>
      </w:r>
    </w:p>
    <w:p w14:paraId="1A2F5FB4" w14:textId="15F20DA4" w:rsidR="0027260C" w:rsidRPr="00551420" w:rsidRDefault="0040361D">
      <w:pPr>
        <w:pStyle w:val="AuthorName"/>
        <w:rPr>
          <w:sz w:val="20"/>
          <w:lang w:eastAsia="ja-JP"/>
        </w:rPr>
      </w:pPr>
      <w:proofErr w:type="spellStart"/>
      <w:r w:rsidRPr="0040361D">
        <w:t>Abdulfatto</w:t>
      </w:r>
      <w:proofErr w:type="spellEnd"/>
      <w:r w:rsidRPr="0040361D">
        <w:t xml:space="preserve"> Ibrokhimov </w:t>
      </w:r>
      <w:r w:rsidR="00744B9F">
        <w:rPr>
          <w:vertAlign w:val="superscript"/>
        </w:rPr>
        <w:t>1</w:t>
      </w:r>
      <w:r>
        <w:rPr>
          <w:vertAlign w:val="superscript"/>
        </w:rPr>
        <w:t xml:space="preserve">, </w:t>
      </w:r>
      <w:r w:rsidR="00744B9F">
        <w:rPr>
          <w:vertAlign w:val="superscript"/>
        </w:rPr>
        <w:t>2</w:t>
      </w:r>
      <w:r w:rsidR="0027260C">
        <w:rPr>
          <w:vertAlign w:val="superscript"/>
        </w:rPr>
        <w:t>,</w:t>
      </w:r>
      <w:r w:rsidRPr="0040361D">
        <w:rPr>
          <w:vertAlign w:val="superscript"/>
        </w:rPr>
        <w:t xml:space="preserve"> </w:t>
      </w:r>
      <w:r w:rsidR="00744B9F">
        <w:rPr>
          <w:vertAlign w:val="superscript"/>
        </w:rPr>
        <w:t>a</w:t>
      </w:r>
      <w:r w:rsidR="0027260C">
        <w:rPr>
          <w:vertAlign w:val="superscript"/>
        </w:rPr>
        <w:t>)</w:t>
      </w:r>
      <w:r w:rsidR="0027260C">
        <w:t xml:space="preserve"> </w:t>
      </w:r>
      <w:r w:rsidR="00744B9F">
        <w:t xml:space="preserve">, </w:t>
      </w:r>
      <w:r w:rsidR="00744B9F" w:rsidRPr="0040361D">
        <w:t xml:space="preserve">Akmal Mirzoev </w:t>
      </w:r>
      <w:r w:rsidR="00744B9F">
        <w:rPr>
          <w:vertAlign w:val="superscript"/>
        </w:rPr>
        <w:t>3</w:t>
      </w:r>
      <w:r w:rsidR="00744B9F">
        <w:rPr>
          <w:vertAlign w:val="superscript"/>
        </w:rPr>
        <w:t xml:space="preserve">, </w:t>
      </w:r>
      <w:r w:rsidR="00744B9F">
        <w:rPr>
          <w:vertAlign w:val="superscript"/>
        </w:rPr>
        <w:t>b</w:t>
      </w:r>
      <w:r w:rsidR="00744B9F">
        <w:rPr>
          <w:vertAlign w:val="superscript"/>
        </w:rPr>
        <w:t>)</w:t>
      </w:r>
      <w:r w:rsidR="0027260C">
        <w:t xml:space="preserve">and </w:t>
      </w:r>
      <w:proofErr w:type="spellStart"/>
      <w:r w:rsidRPr="0040361D">
        <w:t>Ilkhom</w:t>
      </w:r>
      <w:proofErr w:type="spellEnd"/>
      <w:r w:rsidRPr="0040361D">
        <w:t xml:space="preserve"> Akhmadov</w:t>
      </w:r>
      <w:r w:rsidR="0027260C">
        <w:rPr>
          <w:vertAlign w:val="superscript"/>
        </w:rPr>
        <w:t xml:space="preserve"> </w:t>
      </w:r>
      <w:r>
        <w:rPr>
          <w:vertAlign w:val="superscript"/>
        </w:rPr>
        <w:t>4</w:t>
      </w:r>
      <w:r w:rsidR="0027260C">
        <w:rPr>
          <w:vertAlign w:val="superscript"/>
        </w:rPr>
        <w:t>, c)</w:t>
      </w:r>
    </w:p>
    <w:p w14:paraId="26772B4C" w14:textId="7A45414B" w:rsidR="0027260C" w:rsidRDefault="0027260C">
      <w:pPr>
        <w:pStyle w:val="AuthorAffiliation"/>
      </w:pPr>
      <w:r>
        <w:rPr>
          <w:i w:val="0"/>
          <w:iCs/>
          <w:vertAlign w:val="superscript"/>
        </w:rPr>
        <w:t>1</w:t>
      </w:r>
      <w:r w:rsidR="00744B9F" w:rsidRPr="00744B9F">
        <w:t xml:space="preserve"> </w:t>
      </w:r>
      <w:r w:rsidR="00744B9F">
        <w:t>Fergana state technical university, Fergana, Uzbekistan,</w:t>
      </w:r>
    </w:p>
    <w:p w14:paraId="0EFA719E" w14:textId="5780BBD8" w:rsidR="00744B9F" w:rsidRPr="00702B5F" w:rsidRDefault="0027260C" w:rsidP="00744B9F">
      <w:pPr>
        <w:pStyle w:val="AuthorAffiliation"/>
        <w:rPr>
          <w:iCs/>
        </w:rPr>
      </w:pPr>
      <w:r>
        <w:rPr>
          <w:i w:val="0"/>
          <w:iCs/>
          <w:vertAlign w:val="superscript"/>
        </w:rPr>
        <w:t>2</w:t>
      </w:r>
      <w:r w:rsidR="00744B9F" w:rsidRPr="00744B9F">
        <w:rPr>
          <w:iCs/>
        </w:rPr>
        <w:t xml:space="preserve"> </w:t>
      </w:r>
      <w:r w:rsidR="00744B9F" w:rsidRPr="00702B5F">
        <w:rPr>
          <w:iCs/>
        </w:rPr>
        <w:t>Belarus–Uzbekistan Intersectoral Institute of Applied Technical Qualifications Tashkent, Tashkent, Uzbekistan</w:t>
      </w:r>
    </w:p>
    <w:p w14:paraId="4D9ACCD9" w14:textId="10A657D1" w:rsidR="00702B5F" w:rsidRPr="00702B5F" w:rsidRDefault="00744B9F" w:rsidP="00744B9F">
      <w:pPr>
        <w:pStyle w:val="AuthorAffiliation"/>
      </w:pPr>
      <w:r w:rsidRPr="00702B5F">
        <w:t>Tashkent,</w:t>
      </w:r>
      <w:r>
        <w:t xml:space="preserve"> </w:t>
      </w:r>
      <w:r w:rsidR="0027260C">
        <w:br/>
      </w:r>
      <w:r w:rsidR="0027260C" w:rsidRPr="00702B5F">
        <w:rPr>
          <w:iCs/>
          <w:vertAlign w:val="superscript"/>
        </w:rPr>
        <w:t>3</w:t>
      </w:r>
      <w:r w:rsidR="00702B5F" w:rsidRPr="00702B5F">
        <w:t xml:space="preserve"> </w:t>
      </w:r>
      <w:r>
        <w:t xml:space="preserve">Institute of Mechanics and Seismic Stability of Structures named after </w:t>
      </w:r>
      <w:proofErr w:type="spellStart"/>
      <w:r>
        <w:t>M.T.Urazbaev</w:t>
      </w:r>
      <w:proofErr w:type="spellEnd"/>
      <w:r>
        <w:t xml:space="preserve">, Uzbekistan Academy of Sciences, 100125, Tashkent, Dormon </w:t>
      </w:r>
      <w:proofErr w:type="spellStart"/>
      <w:r>
        <w:t>yuli</w:t>
      </w:r>
      <w:proofErr w:type="spellEnd"/>
      <w:r>
        <w:t>, 40, Uzbekistan.</w:t>
      </w:r>
      <w:r w:rsidR="0027260C" w:rsidRPr="00702B5F">
        <w:t xml:space="preserve"> </w:t>
      </w:r>
    </w:p>
    <w:p w14:paraId="46B17E91" w14:textId="77777777" w:rsidR="00B50313" w:rsidRDefault="00702B5F" w:rsidP="00B50313">
      <w:pPr>
        <w:pStyle w:val="AuthorAffiliation"/>
        <w:rPr>
          <w:lang w:val="uz-Cyrl-UZ"/>
        </w:rPr>
      </w:pPr>
      <w:r w:rsidRPr="00702B5F">
        <w:rPr>
          <w:vertAlign w:val="superscript"/>
        </w:rPr>
        <w:t>4</w:t>
      </w:r>
      <w:r w:rsidRPr="00702B5F">
        <w:t>Navoi state university, Navoi, Uzbeki</w:t>
      </w:r>
      <w:r w:rsidR="007E187B">
        <w:t>stan</w:t>
      </w:r>
      <w:r w:rsidR="0027260C">
        <w:t>.</w:t>
      </w:r>
    </w:p>
    <w:p w14:paraId="2251636F" w14:textId="425032CC" w:rsidR="00B50313" w:rsidRPr="00EC3FA2" w:rsidRDefault="00EC3FA2" w:rsidP="00551420">
      <w:pPr>
        <w:pStyle w:val="AuthorEmail"/>
        <w:rPr>
          <w:i/>
          <w:lang w:val="uz-Cyrl-UZ"/>
        </w:rPr>
      </w:pPr>
      <w:r w:rsidRPr="00075EA6">
        <w:br/>
      </w:r>
      <w:r w:rsidR="001D7C67">
        <w:rPr>
          <w:szCs w:val="28"/>
          <w:vertAlign w:val="superscript"/>
        </w:rPr>
        <w:t>a</w:t>
      </w:r>
      <w:r w:rsidR="001D7C67" w:rsidRPr="00A43877">
        <w:rPr>
          <w:szCs w:val="28"/>
          <w:vertAlign w:val="superscript"/>
        </w:rPr>
        <w:t xml:space="preserve">) </w:t>
      </w:r>
      <w:r w:rsidR="00551420">
        <w:t>Corresponding author:</w:t>
      </w:r>
      <w:r w:rsidR="00744B9F" w:rsidRPr="00744B9F">
        <w:t xml:space="preserve"> </w:t>
      </w:r>
      <w:r w:rsidR="00744B9F">
        <w:t>Ibroximov-2022@mail.ru</w:t>
      </w:r>
    </w:p>
    <w:p w14:paraId="27605C3D" w14:textId="43A587C3" w:rsidR="0027260C" w:rsidRPr="00A43877" w:rsidRDefault="00702B5F" w:rsidP="00A43877">
      <w:pPr>
        <w:pStyle w:val="AuthorEmail"/>
        <w:rPr>
          <w:lang w:val="uz-Cyrl-UZ"/>
        </w:rPr>
      </w:pPr>
      <w:r>
        <w:rPr>
          <w:vertAlign w:val="superscript"/>
        </w:rPr>
        <w:t>b</w:t>
      </w:r>
      <w:r w:rsidR="0027260C">
        <w:rPr>
          <w:vertAlign w:val="superscript"/>
        </w:rPr>
        <w:t>)</w:t>
      </w:r>
      <w:r w:rsidR="0027260C">
        <w:t xml:space="preserve"> </w:t>
      </w:r>
      <w:r w:rsidR="00744B9F" w:rsidRPr="00EC3FA2">
        <w:rPr>
          <w:szCs w:val="28"/>
        </w:rPr>
        <w:t>akmal.mirzoev78@mail.ru</w:t>
      </w:r>
      <w:r w:rsidR="00744B9F">
        <w:t xml:space="preserve"> </w:t>
      </w:r>
      <w:r w:rsidR="0027260C">
        <w:br/>
      </w:r>
      <w:r w:rsidR="00A43877" w:rsidRPr="00A43877">
        <w:rPr>
          <w:szCs w:val="28"/>
          <w:vertAlign w:val="superscript"/>
        </w:rPr>
        <w:t xml:space="preserve">c) </w:t>
      </w:r>
      <w:r w:rsidR="00A43877" w:rsidRPr="00A43877">
        <w:rPr>
          <w:szCs w:val="28"/>
        </w:rPr>
        <w:t>Ilhomahmadov0516@gmail.com</w:t>
      </w:r>
    </w:p>
    <w:p w14:paraId="36BF4B81" w14:textId="77777777" w:rsidR="0027260C" w:rsidRPr="0040361D" w:rsidRDefault="0027260C" w:rsidP="0040361D">
      <w:pPr>
        <w:pStyle w:val="Abstract"/>
      </w:pPr>
      <w:r>
        <w:rPr>
          <w:b/>
          <w:bCs/>
        </w:rPr>
        <w:t>Abstract</w:t>
      </w:r>
      <w:r w:rsidR="007E187B">
        <w:rPr>
          <w:b/>
          <w:bCs/>
        </w:rPr>
        <w:t>.</w:t>
      </w:r>
      <w:r w:rsidR="0040361D" w:rsidRPr="0040361D">
        <w:t xml:space="preserve"> </w:t>
      </w:r>
      <w:r w:rsidR="0040361D" w:rsidRPr="0040361D">
        <w:rPr>
          <w:bCs/>
        </w:rPr>
        <w:t xml:space="preserve">In this study, the numerical modeling of dispersed particle transport and fluid flow through a sudden contraction, where a larger-diameter pipe transitions into a smaller-diameter pipe, was carried out. To capture the turbulent characteristics of the carrier fluid, the </w:t>
      </w:r>
      <w:proofErr w:type="spellStart"/>
      <w:r w:rsidR="0040361D" w:rsidRPr="0040361D">
        <w:rPr>
          <w:bCs/>
        </w:rPr>
        <w:t>Spalart</w:t>
      </w:r>
      <w:proofErr w:type="spellEnd"/>
      <w:r w:rsidR="0040361D" w:rsidRPr="0040361D">
        <w:rPr>
          <w:bCs/>
        </w:rPr>
        <w:t>–Allmaras (SA) turbulence model was employed due to its proven efficiency in predicting boundary-layer flows and separation phenomena in engineering applications.</w:t>
      </w:r>
      <w:r w:rsidR="0040361D">
        <w:rPr>
          <w:bCs/>
        </w:rPr>
        <w:t xml:space="preserve"> </w:t>
      </w:r>
      <w:r w:rsidR="0040361D" w:rsidRPr="0040361D">
        <w:rPr>
          <w:bCs/>
        </w:rPr>
        <w:t>For the dispersed phase, the Volume of Fluid (VOF) approach was applied to accurately track the particle trajectories and their interaction with the continuous phase. This combination of turbulence modeling and multiphase treatment allowed a detailed investigation of the flow structure, particle behavior, and dispersion mechanisms in the contraction zone. The numerical simulations provided insights into the velocity distribution, turbulence intensity, and particle concentration under varying flow conditions, offering a deeper understanding of multiphase flow dynamics in geometries with sudden area changes.</w:t>
      </w:r>
    </w:p>
    <w:p w14:paraId="63C0684E" w14:textId="77777777" w:rsidR="0027260C" w:rsidRDefault="0027260C">
      <w:pPr>
        <w:pStyle w:val="1"/>
        <w:rPr>
          <w:b w:val="0"/>
          <w:caps w:val="0"/>
          <w:sz w:val="20"/>
        </w:rPr>
      </w:pPr>
      <w:r>
        <w:t>Introduction</w:t>
      </w:r>
    </w:p>
    <w:p w14:paraId="676E6D5F" w14:textId="77777777" w:rsidR="0062385A" w:rsidRPr="0062385A" w:rsidRDefault="0062385A" w:rsidP="00166B5C">
      <w:pPr>
        <w:pStyle w:val="Paragraph"/>
      </w:pPr>
      <w:r w:rsidRPr="0062385A">
        <w:t>The mathematical modeling of multiphase fluid dynamics remains a highly intricate task, as the conventional Navier–Stokes equations alone cannot fully describe such systems. In addition to the equations governing the continuous carrier phase, it is necessary to introduce complementary formulations that capture the dynamics of the dispersed phase, along with momentum exchange terms that represent interfacial fluid–particle interactions.</w:t>
      </w:r>
    </w:p>
    <w:p w14:paraId="1266CB14" w14:textId="77777777" w:rsidR="0062385A" w:rsidRPr="0062385A" w:rsidRDefault="0062385A" w:rsidP="00166B5C">
      <w:pPr>
        <w:pStyle w:val="Paragraph"/>
      </w:pPr>
      <w:r w:rsidRPr="0062385A">
        <w:t xml:space="preserve">Several modeling strategies have been developed in this regard. The </w:t>
      </w:r>
      <w:proofErr w:type="spellStart"/>
      <w:r w:rsidRPr="0062385A">
        <w:t>Lagrangian</w:t>
      </w:r>
      <w:proofErr w:type="spellEnd"/>
      <w:r w:rsidRPr="0062385A">
        <w:t xml:space="preserve"> description, often realized through the Discrete Phase Model (DPM), treats particles as discrete entities whose individual trajectories are explicitly tracked within the flow field. In contrast, the Eulerian framework considers particle motion in terms of averaged field variables—such as velocity, pressure, and concentration—yielding a continuum representation of the dispersed phase. Another widely employed methodology is the Volume of Fluid (VOF) approach, which is particularly suited for resolving immiscible multiphase interfaces, as it allows for accurate reconstruction of phase boundaries and captures interface dynamics under transient flow conditions.</w:t>
      </w:r>
    </w:p>
    <w:p w14:paraId="0C897185" w14:textId="77777777" w:rsidR="0062385A" w:rsidRPr="0062385A" w:rsidRDefault="0062385A" w:rsidP="00166B5C">
      <w:pPr>
        <w:pStyle w:val="Paragraph"/>
      </w:pPr>
      <w:r w:rsidRPr="0062385A">
        <w:t>Together, these approaches—DPM, Eulerian formulations, and VOF—offer complementary perspectives and are frequently combined in hybrid strategies to enhance predictive capability in complex multiphase flow simulations. [1-5]:</w:t>
      </w:r>
    </w:p>
    <w:p w14:paraId="0FD4B816" w14:textId="77777777" w:rsidR="0062385A" w:rsidRPr="0062385A" w:rsidRDefault="0062385A" w:rsidP="00166B5C">
      <w:pPr>
        <w:pStyle w:val="Paragraph"/>
      </w:pPr>
      <w:r w:rsidRPr="0062385A">
        <w:t>The formulation of mathematical models for two-phase turbulent flows represents one of the most challenging tasks in modern hydrodynamics. Approaches such as Direct Numerical Simulation (DNS) and Large Eddy Simulation (LES) demand substantial computational resources, and their application to complex aerodynamic problems is feasible only with the use of high-performance computing systems [1].</w:t>
      </w:r>
    </w:p>
    <w:p w14:paraId="6EA6E361" w14:textId="77777777" w:rsidR="0062385A" w:rsidRPr="0062385A" w:rsidRDefault="0062385A" w:rsidP="00166B5C">
      <w:pPr>
        <w:pStyle w:val="Paragraph"/>
      </w:pPr>
      <w:r w:rsidRPr="0062385A">
        <w:lastRenderedPageBreak/>
        <w:t>Turbulence anisotropy occurs, for example, in flows where flow recirculation is observed. Flow recirculation is one of the main ways to increase mixing of solid particles. Nevertheless, these results are very important in practice for designing various pipelines [4]. However, the development of modern science and technology requires more accurate calculation results, which requires the development of more adequate turbulence models.</w:t>
      </w:r>
    </w:p>
    <w:p w14:paraId="136DF3B5" w14:textId="77777777" w:rsidR="0062385A" w:rsidRPr="0062385A" w:rsidRDefault="0062385A" w:rsidP="00166B5C">
      <w:pPr>
        <w:pStyle w:val="Paragraph"/>
      </w:pPr>
      <w:r w:rsidRPr="0062385A">
        <w:t>Systems for providing the necessary climatic conditions in working, residential and other premises are integral technological elements of modern buildings, and they account for a significant portion of capital investments and operating costs [5-8]. Knowledge of the fundamentals of modeling and optimizing flow distribution in such utility networks allows planning and implementing measures aimed at resource conservation, environmental protection and improving the efficiency of equipment.</w:t>
      </w:r>
    </w:p>
    <w:p w14:paraId="7C2B16C8" w14:textId="77777777" w:rsidR="0062385A" w:rsidRPr="0062385A" w:rsidRDefault="0062385A" w:rsidP="00166B5C">
      <w:pPr>
        <w:pStyle w:val="Paragraph"/>
      </w:pPr>
      <w:r w:rsidRPr="0062385A">
        <w:t xml:space="preserve">The main element of the engineering communication networks are pipelines and liquids or gases flowing through them at a certain speed. From a hydrodynamic point of view, liquid or gas flows have different natures: laminar, transitional, and three turbulent </w:t>
      </w:r>
      <w:proofErr w:type="spellStart"/>
      <w:r w:rsidRPr="0062385A">
        <w:t>subregimes</w:t>
      </w:r>
      <w:proofErr w:type="spellEnd"/>
      <w:r w:rsidRPr="0062385A">
        <w:t xml:space="preserve"> [9-12,1]. Reliable phenomenological results of isothermal flow are available only for the laminar flow regime. In other flow regimes, engineering calculations are based on semi-empirical dependencies. The quasi-one-dimensional approach used in flow modeling is heuristic in nature and allows obtaining formulas acceptable for engineering practice [5-7, 11,].</w:t>
      </w:r>
    </w:p>
    <w:p w14:paraId="1C15E10F" w14:textId="77777777" w:rsidR="0062385A" w:rsidRPr="0062385A" w:rsidRDefault="0062385A" w:rsidP="00166B5C">
      <w:pPr>
        <w:pStyle w:val="Paragraph"/>
      </w:pPr>
      <w:r w:rsidRPr="0062385A">
        <w:t>In mathematical modeling of quasi-one-dimensional isothermal flow, the laws of conservation of mass and momentum are taken into account. According to the latter law, a change in pressure is expressed by three internal forces: the local and convective components of the inertial force of the medium and the friction force, and the external force, which is caused by the force of gravity [8, 9, 12]. Depending on the share of gravitational force in the heat and mass transfer process, three different energy flow regimes are expected [3]. At positive and zero slope of the route, as well as at small negative slopes, a path decrease in pressure is observed. At a certain negative (critical) slope of the section, the pressure along the length can remain constant, which is explained by the balance of the friction force and the change in the potential energy of the fluid, caused by the gravitational force. At smaller values of the slope than the critical, a path increase in pressure is observed. This regime is called "post-peri-valley" and the presence of such a regime in main gas pipelines is proven in [20].</w:t>
      </w:r>
    </w:p>
    <w:p w14:paraId="0E67AD3B" w14:textId="77777777" w:rsidR="0062385A" w:rsidRPr="0062385A" w:rsidRDefault="0062385A" w:rsidP="00166B5C">
      <w:pPr>
        <w:pStyle w:val="Paragraph"/>
      </w:pPr>
      <w:r w:rsidRPr="0062385A">
        <w:t>The isothermal approximation in modeling the pipeline process of transporting liquids, gases and other mixtures works under certain conditions, for example, if the pipeline is short, the speed is low, the intensity of heat exchange with the environment is insignificant. In other cases, heat exchange with the environment should be taken into account.</w:t>
      </w:r>
    </w:p>
    <w:p w14:paraId="3A6D6D6D" w14:textId="77777777" w:rsidR="0027260C" w:rsidRDefault="0027260C">
      <w:pPr>
        <w:pStyle w:val="1"/>
      </w:pPr>
      <w:r>
        <w:rPr>
          <w:lang w:eastAsia="zh-CN"/>
        </w:rPr>
        <w:t>Physical formulation of the problem</w:t>
      </w:r>
    </w:p>
    <w:p w14:paraId="130BC2E5" w14:textId="77777777" w:rsidR="0062385A" w:rsidRPr="0062385A" w:rsidRDefault="0062385A" w:rsidP="00166B5C">
      <w:pPr>
        <w:pStyle w:val="Paragraph"/>
        <w:rPr>
          <w:lang w:eastAsia="ru-RU"/>
        </w:rPr>
      </w:pPr>
      <w:r w:rsidRPr="0062385A">
        <w:rPr>
          <w:lang w:eastAsia="ru-RU"/>
        </w:rPr>
        <w:t>The transport of solid particles by a natural flow is, in its physical essence, analogous to the hydraulic transport of soils and rocks eroded by water; therefore, the problems of hydraulic transport and the dynamics of suspended natural flow are very similar. However, due to differing objectives, these problems are considered separately, although they share a common theoretical and physical basis.</w:t>
      </w:r>
    </w:p>
    <w:p w14:paraId="45408BEE" w14:textId="77777777" w:rsidR="0062385A" w:rsidRPr="0062385A" w:rsidRDefault="0062385A" w:rsidP="00EA4119">
      <w:pPr>
        <w:pStyle w:val="Paragraph"/>
        <w:spacing w:after="120"/>
        <w:rPr>
          <w:lang w:eastAsia="ru-RU"/>
        </w:rPr>
      </w:pPr>
      <w:r w:rsidRPr="0062385A">
        <w:rPr>
          <w:lang w:eastAsia="ru-RU"/>
        </w:rPr>
        <w:t>The length of the large pipe is 100 mm, the small pipe is 50 mm, and the total pipe length is 800 mm.</w:t>
      </w:r>
    </w:p>
    <w:tbl>
      <w:tblPr>
        <w:tblW w:w="0" w:type="auto"/>
        <w:tblLook w:val="04A0" w:firstRow="1" w:lastRow="0" w:firstColumn="1" w:lastColumn="0" w:noHBand="0" w:noVBand="1"/>
      </w:tblPr>
      <w:tblGrid>
        <w:gridCol w:w="4332"/>
        <w:gridCol w:w="5028"/>
      </w:tblGrid>
      <w:tr w:rsidR="0062385A" w:rsidRPr="0062385A" w14:paraId="4619C0D4" w14:textId="77777777" w:rsidTr="00EA4119">
        <w:tc>
          <w:tcPr>
            <w:tcW w:w="4431" w:type="dxa"/>
            <w:vAlign w:val="center"/>
          </w:tcPr>
          <w:p w14:paraId="584500E7" w14:textId="77777777" w:rsidR="0062385A" w:rsidRPr="0062385A" w:rsidRDefault="00F20F95" w:rsidP="00EA4119">
            <w:pPr>
              <w:pStyle w:val="Figure"/>
              <w:rPr>
                <w:lang w:val="ru-RU" w:eastAsia="ru-RU"/>
              </w:rPr>
            </w:pPr>
            <w:r w:rsidRPr="0027260C">
              <w:rPr>
                <w:noProof/>
                <w:lang w:val="ru-RU" w:eastAsia="ja-JP"/>
              </w:rPr>
              <w:drawing>
                <wp:inline distT="0" distB="0" distL="0" distR="0" wp14:anchorId="0751F27A" wp14:editId="45F748A6">
                  <wp:extent cx="2819400" cy="1181100"/>
                  <wp:effectExtent l="0" t="0" r="0" b="0"/>
                  <wp:docPr id="1" name="Picture 1" descr="A yellow tube with a green and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tube with a green and red do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1181100"/>
                          </a:xfrm>
                          <a:prstGeom prst="rect">
                            <a:avLst/>
                          </a:prstGeom>
                          <a:noFill/>
                          <a:ln>
                            <a:noFill/>
                          </a:ln>
                        </pic:spPr>
                      </pic:pic>
                    </a:graphicData>
                  </a:graphic>
                </wp:inline>
              </w:drawing>
            </w:r>
          </w:p>
        </w:tc>
        <w:tc>
          <w:tcPr>
            <w:tcW w:w="5145" w:type="dxa"/>
            <w:vAlign w:val="center"/>
          </w:tcPr>
          <w:p w14:paraId="6A4076C8" w14:textId="77777777" w:rsidR="0062385A" w:rsidRPr="0062385A" w:rsidRDefault="00F20F95" w:rsidP="00EA4119">
            <w:pPr>
              <w:pStyle w:val="Figure"/>
              <w:rPr>
                <w:lang w:val="ru-RU" w:eastAsia="ru-RU"/>
              </w:rPr>
            </w:pPr>
            <w:r w:rsidRPr="0027260C">
              <w:rPr>
                <w:noProof/>
                <w:lang w:val="ru-RU" w:eastAsia="ja-JP"/>
              </w:rPr>
              <w:drawing>
                <wp:inline distT="0" distB="0" distL="0" distR="0" wp14:anchorId="5A7C029E" wp14:editId="2D7393BB">
                  <wp:extent cx="3295650" cy="962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962025"/>
                          </a:xfrm>
                          <a:prstGeom prst="rect">
                            <a:avLst/>
                          </a:prstGeom>
                          <a:noFill/>
                          <a:ln>
                            <a:noFill/>
                          </a:ln>
                        </pic:spPr>
                      </pic:pic>
                    </a:graphicData>
                  </a:graphic>
                </wp:inline>
              </w:drawing>
            </w:r>
          </w:p>
        </w:tc>
      </w:tr>
      <w:tr w:rsidR="0062385A" w:rsidRPr="0062385A" w14:paraId="023A324A" w14:textId="77777777" w:rsidTr="0027260C">
        <w:tc>
          <w:tcPr>
            <w:tcW w:w="4431" w:type="dxa"/>
          </w:tcPr>
          <w:p w14:paraId="65076D9D" w14:textId="77777777" w:rsidR="0062385A" w:rsidRPr="0062385A" w:rsidRDefault="0062385A" w:rsidP="00D17F95">
            <w:pPr>
              <w:pStyle w:val="FigureCaption0"/>
              <w:rPr>
                <w:lang w:val="ru-RU" w:eastAsia="ru-RU"/>
              </w:rPr>
            </w:pPr>
            <w:r w:rsidRPr="0062385A">
              <w:rPr>
                <w:noProof/>
                <w:lang w:val="ru-RU" w:eastAsia="ru-RU"/>
              </w:rPr>
              <w:t>а)</w:t>
            </w:r>
          </w:p>
        </w:tc>
        <w:tc>
          <w:tcPr>
            <w:tcW w:w="5145" w:type="dxa"/>
          </w:tcPr>
          <w:p w14:paraId="69050FC0" w14:textId="77777777" w:rsidR="0062385A" w:rsidRPr="0062385A" w:rsidRDefault="0062385A" w:rsidP="00D17F95">
            <w:pPr>
              <w:pStyle w:val="FigureCaption0"/>
              <w:rPr>
                <w:lang w:val="ru-RU" w:eastAsia="ru-RU"/>
              </w:rPr>
            </w:pPr>
            <w:r w:rsidRPr="0062385A">
              <w:rPr>
                <w:noProof/>
                <w:lang w:eastAsia="ru-RU"/>
              </w:rPr>
              <w:t>b</w:t>
            </w:r>
            <w:r w:rsidRPr="0062385A">
              <w:rPr>
                <w:noProof/>
                <w:lang w:val="ru-RU" w:eastAsia="ru-RU"/>
              </w:rPr>
              <w:t>)</w:t>
            </w:r>
          </w:p>
        </w:tc>
      </w:tr>
    </w:tbl>
    <w:p w14:paraId="0DA7E5D3" w14:textId="77777777" w:rsidR="0027260C" w:rsidRPr="0062385A" w:rsidRDefault="0062385A" w:rsidP="00EA4119">
      <w:pPr>
        <w:pStyle w:val="FigureCaption0"/>
      </w:pPr>
      <w:r w:rsidRPr="0062385A">
        <w:rPr>
          <w:b/>
        </w:rPr>
        <w:t>FIGURE 1</w:t>
      </w:r>
      <w:r w:rsidR="00EC3FA2">
        <w:rPr>
          <w:b/>
        </w:rPr>
        <w:t>.</w:t>
      </w:r>
      <w:r w:rsidRPr="0062385A">
        <w:t xml:space="preserve"> Geometry of the pipe with a convex </w:t>
      </w:r>
      <w:r w:rsidRPr="00EA4119">
        <w:t>insert</w:t>
      </w:r>
      <w:r w:rsidRPr="0062385A">
        <w:t xml:space="preserve"> and the calculation grid</w:t>
      </w:r>
    </w:p>
    <w:p w14:paraId="7D28982F" w14:textId="77777777" w:rsidR="0027260C" w:rsidRDefault="0027260C">
      <w:pPr>
        <w:pStyle w:val="1"/>
      </w:pPr>
      <w:r>
        <w:t>Mathematical formulation of the problem</w:t>
      </w:r>
    </w:p>
    <w:p w14:paraId="19632D53" w14:textId="77777777" w:rsidR="0062385A" w:rsidRDefault="0062385A" w:rsidP="00166B5C">
      <w:pPr>
        <w:pStyle w:val="Paragraph"/>
      </w:pPr>
      <w:r w:rsidRPr="0062385A">
        <w:t xml:space="preserve">For the numerical study of this problem, the system of Reynolds-averaged Navier-Stokes equations is used, which takes into account the interaction between the phases [11]. The system of equations does not take into account the forces arising from turbulent migration, </w:t>
      </w:r>
      <w:proofErr w:type="spellStart"/>
      <w:r w:rsidRPr="0062385A">
        <w:t>Sefman</w:t>
      </w:r>
      <w:proofErr w:type="spellEnd"/>
      <w:r w:rsidRPr="0062385A">
        <w:t>, Magnus (lift force) and the Coriolis effect</w:t>
      </w:r>
      <w:r>
        <w:t xml:space="preserve"> </w:t>
      </w:r>
      <w:r w:rsidRPr="0062385A">
        <w:t xml:space="preserve">[12]. Because they are much less than gravity. Thus, for mathematical modeling of the processes of transfer of air bubbles, precipitation and </w:t>
      </w:r>
      <w:r w:rsidRPr="0062385A">
        <w:lastRenderedPageBreak/>
        <w:t>aerosols into the channels, it is sufficient to take into account the force of gravity and the Stokes force of phase interaction.</w:t>
      </w:r>
    </w:p>
    <w:p w14:paraId="0CCE9283" w14:textId="77777777" w:rsidR="0027260C" w:rsidRDefault="0027260C" w:rsidP="00073204">
      <w:pPr>
        <w:pStyle w:val="Equation"/>
      </w:pPr>
      <w:r>
        <w:tab/>
      </w:r>
      <w:r w:rsidR="003B0DE4" w:rsidRPr="00EA4119">
        <w:rPr>
          <w:position w:val="-118"/>
        </w:rPr>
        <w:object w:dxaOrig="5760" w:dyaOrig="2460" w14:anchorId="7D057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22.8pt" o:ole="">
            <v:imagedata r:id="rId7" o:title=""/>
          </v:shape>
          <o:OLEObject Type="Embed" ProgID="Equation.3" ShapeID="_x0000_i1025" DrawAspect="Content" ObjectID="_1825165620" r:id="rId8"/>
        </w:object>
      </w:r>
      <w:r>
        <w:tab/>
        <w:t>(1</w:t>
      </w:r>
      <w:r>
        <w:fldChar w:fldCharType="begin"/>
      </w:r>
      <w:r>
        <w:instrText xml:space="preserve"> EQ </w:instrText>
      </w:r>
      <w:r>
        <w:fldChar w:fldCharType="separate"/>
      </w:r>
      <w:r>
        <w:fldChar w:fldCharType="end"/>
      </w:r>
      <w:r>
        <w:fldChar w:fldCharType="begin"/>
      </w:r>
      <w:r>
        <w:instrText xml:space="preserve"> AUTONUMLGL  \* Arabic \e </w:instrText>
      </w:r>
      <w:r>
        <w:fldChar w:fldCharType="separate"/>
      </w:r>
      <w:r>
        <w:fldChar w:fldCharType="end"/>
      </w:r>
      <w:r>
        <w:t>)</w:t>
      </w:r>
    </w:p>
    <w:p w14:paraId="6BD75865" w14:textId="77777777" w:rsidR="00467930" w:rsidRPr="00467930" w:rsidRDefault="00467930" w:rsidP="00EA4119">
      <w:pPr>
        <w:pStyle w:val="Paragraph"/>
      </w:pPr>
      <w:r w:rsidRPr="00467930">
        <w:t xml:space="preserve">Here </w:t>
      </w:r>
      <w:r w:rsidR="002B5F52" w:rsidRPr="00467930">
        <w:rPr>
          <w:position w:val="-6"/>
        </w:rPr>
        <w:object w:dxaOrig="279" w:dyaOrig="300" w14:anchorId="551063A7">
          <v:shape id="_x0000_i1026" type="#_x0000_t75" style="width:14.15pt;height:15pt" o:ole="">
            <v:imagedata r:id="rId9" o:title=""/>
          </v:shape>
          <o:OLEObject Type="Embed" ProgID="Equation.3" ShapeID="_x0000_i1026" DrawAspect="Content" ObjectID="_1825165621" r:id="rId10"/>
        </w:object>
      </w:r>
      <w:r w:rsidRPr="00467930">
        <w:t xml:space="preserve"> – longitudinal and transverse of the fluid flow velocity; </w:t>
      </w:r>
      <w:r w:rsidR="002B5F52" w:rsidRPr="00467930">
        <w:rPr>
          <w:position w:val="-10"/>
        </w:rPr>
        <w:object w:dxaOrig="380" w:dyaOrig="340" w14:anchorId="70CBDC26">
          <v:shape id="_x0000_i1027" type="#_x0000_t75" style="width:18.55pt;height:17.25pt" o:ole="">
            <v:imagedata r:id="rId11" o:title=""/>
          </v:shape>
          <o:OLEObject Type="Embed" ProgID="Equation.3" ShapeID="_x0000_i1027" DrawAspect="Content" ObjectID="_1825165622" r:id="rId12"/>
        </w:object>
      </w:r>
      <w:r w:rsidRPr="00467930">
        <w:t>- similar velocity components for m-</w:t>
      </w:r>
      <w:proofErr w:type="spellStart"/>
      <w:r w:rsidRPr="00467930">
        <w:t>th</w:t>
      </w:r>
      <w:proofErr w:type="spellEnd"/>
      <w:r w:rsidRPr="00467930">
        <w:t xml:space="preserve"> particle fractions;</w:t>
      </w:r>
      <w:r w:rsidR="002B5F52" w:rsidRPr="00467930">
        <w:rPr>
          <w:position w:val="-10"/>
        </w:rPr>
        <w:object w:dxaOrig="200" w:dyaOrig="240" w14:anchorId="57C99FE1">
          <v:shape id="_x0000_i1028" type="#_x0000_t75" style="width:9.7pt;height:11.95pt" o:ole="">
            <v:imagedata r:id="rId13" o:title=""/>
          </v:shape>
          <o:OLEObject Type="Embed" ProgID="Equation.3" ShapeID="_x0000_i1028" DrawAspect="Content" ObjectID="_1825165623" r:id="rId14"/>
        </w:object>
      </w:r>
      <w:r w:rsidRPr="00467930">
        <w:t xml:space="preserve">– hydrostatic pressure; </w:t>
      </w:r>
      <w:r w:rsidR="002B5F52" w:rsidRPr="00467930">
        <w:rPr>
          <w:position w:val="-10"/>
        </w:rPr>
        <w:object w:dxaOrig="220" w:dyaOrig="240" w14:anchorId="6D07612A">
          <v:shape id="_x0000_i1029" type="#_x0000_t75" style="width:11.05pt;height:11.95pt" o:ole="">
            <v:imagedata r:id="rId15" o:title=""/>
          </v:shape>
          <o:OLEObject Type="Embed" ProgID="Equation.3" ShapeID="_x0000_i1029" DrawAspect="Content" ObjectID="_1825165624" r:id="rId16"/>
        </w:object>
      </w:r>
      <w:r w:rsidRPr="00467930">
        <w:t>– density of fluid;</w:t>
      </w:r>
      <w:r w:rsidR="002B5F52" w:rsidRPr="002B5F52">
        <w:rPr>
          <w:position w:val="-10"/>
        </w:rPr>
        <w:object w:dxaOrig="420" w:dyaOrig="300" w14:anchorId="4F276DB6">
          <v:shape id="_x0000_i1030" type="#_x0000_t75" style="width:21.65pt;height:15pt" o:ole="">
            <v:imagedata r:id="rId17" o:title=""/>
          </v:shape>
          <o:OLEObject Type="Embed" ProgID="Equation.3" ShapeID="_x0000_i1030" DrawAspect="Content" ObjectID="_1825165625" r:id="rId18"/>
        </w:object>
      </w:r>
      <w:r w:rsidRPr="00467930">
        <w:t xml:space="preserve">- molecular and turbulent viscosities; </w:t>
      </w:r>
      <w:r w:rsidR="002B5F52" w:rsidRPr="002B5F52">
        <w:rPr>
          <w:position w:val="-10"/>
        </w:rPr>
        <w:object w:dxaOrig="320" w:dyaOrig="300" w14:anchorId="36A8B6DC">
          <v:shape id="_x0000_i1031" type="#_x0000_t75" style="width:15.9pt;height:15pt" o:ole="">
            <v:imagedata r:id="rId19" o:title=""/>
          </v:shape>
          <o:OLEObject Type="Embed" ProgID="Equation.3" ShapeID="_x0000_i1031" DrawAspect="Content" ObjectID="_1825165626" r:id="rId20"/>
        </w:object>
      </w:r>
      <w:r w:rsidRPr="00467930">
        <w:t xml:space="preserve">- particle mass density; m- number of particle fractions; </w:t>
      </w:r>
      <w:r w:rsidR="00166B5C" w:rsidRPr="002B5F52">
        <w:rPr>
          <w:position w:val="-28"/>
        </w:rPr>
        <w:object w:dxaOrig="2120" w:dyaOrig="600" w14:anchorId="017BE44D">
          <v:shape id="_x0000_i1032" type="#_x0000_t75" style="width:93.65pt;height:26.05pt" o:ole="">
            <v:imagedata r:id="rId21" o:title=""/>
          </v:shape>
          <o:OLEObject Type="Embed" ProgID="Equation.3" ShapeID="_x0000_i1032" DrawAspect="Content" ObjectID="_1825165627" r:id="rId22"/>
        </w:object>
      </w:r>
      <w:r w:rsidR="007E187B">
        <w:t xml:space="preserve"> </w:t>
      </w:r>
      <w:r w:rsidRPr="00467930">
        <w:t xml:space="preserve">is the diffusion coefficient for the precipitate phase, </w:t>
      </w:r>
      <w:r w:rsidR="002B5F52" w:rsidRPr="00467930">
        <w:rPr>
          <w:position w:val="-6"/>
        </w:rPr>
        <w:object w:dxaOrig="740" w:dyaOrig="240" w14:anchorId="08F2114D">
          <v:shape id="_x0000_i1033" type="#_x0000_t75" style="width:36.65pt;height:12.8pt" o:ole="">
            <v:imagedata r:id="rId23" o:title=""/>
          </v:shape>
          <o:OLEObject Type="Embed" ProgID="Equation.3" ShapeID="_x0000_i1033" DrawAspect="Content" ObjectID="_1825165628" r:id="rId24"/>
        </w:object>
      </w:r>
      <w:r w:rsidRPr="00467930">
        <w:t xml:space="preserve"> is the Schmidt coefficient.</w:t>
      </w:r>
    </w:p>
    <w:p w14:paraId="3F670C5C" w14:textId="77777777" w:rsidR="00467930" w:rsidRPr="00452764" w:rsidRDefault="00467930" w:rsidP="00EA4119">
      <w:pPr>
        <w:pStyle w:val="Paragraph"/>
      </w:pPr>
      <w:r w:rsidRPr="00467930">
        <w:rPr>
          <w:snapToGrid w:val="0"/>
          <w:lang w:eastAsia="de-DE" w:bidi="en-US"/>
        </w:rPr>
        <w:t>The interaction coefficient between the phases was determined by the Stokes parameter:</w:t>
      </w:r>
      <w:r w:rsidRPr="00452764">
        <w:tab/>
      </w:r>
    </w:p>
    <w:p w14:paraId="6F51EE06" w14:textId="77777777" w:rsidR="00467930" w:rsidRPr="00467930" w:rsidRDefault="00166B5C" w:rsidP="00467930">
      <w:pPr>
        <w:pStyle w:val="Equation"/>
      </w:pPr>
      <w:r>
        <w:rPr>
          <w:vertAlign w:val="subscript"/>
        </w:rPr>
        <w:tab/>
      </w:r>
      <w:r w:rsidR="00EA4119" w:rsidRPr="00EA4119">
        <w:rPr>
          <w:position w:val="-30"/>
          <w:vertAlign w:val="subscript"/>
        </w:rPr>
        <w:object w:dxaOrig="1040" w:dyaOrig="620" w14:anchorId="498E7AB5">
          <v:shape id="_x0000_i1034" type="#_x0000_t75" style="width:51.7pt;height:30.9pt" o:ole="">
            <v:imagedata r:id="rId25" o:title=""/>
          </v:shape>
          <o:OLEObject Type="Embed" ProgID="Equation.3" ShapeID="_x0000_i1034" DrawAspect="Content" ObjectID="_1825165629" r:id="rId26"/>
        </w:object>
      </w:r>
      <w:r w:rsidR="00467930" w:rsidRPr="00467930">
        <w:t>,</w:t>
      </w:r>
      <w:r w:rsidR="00467930" w:rsidRPr="00467930">
        <w:tab/>
        <w:t>(</w:t>
      </w:r>
      <w:r w:rsidR="00467930">
        <w:t>2</w:t>
      </w:r>
      <w:r w:rsidR="00467930" w:rsidRPr="00467930">
        <w:t>)</w:t>
      </w:r>
    </w:p>
    <w:p w14:paraId="35255CC2" w14:textId="77777777" w:rsidR="00467930" w:rsidRPr="00467930" w:rsidRDefault="00467930" w:rsidP="00EA4119">
      <w:pPr>
        <w:pStyle w:val="Paragraph"/>
      </w:pPr>
      <w:r w:rsidRPr="00467930">
        <w:t xml:space="preserve">In this expression, </w:t>
      </w:r>
      <w:r w:rsidRPr="00467930">
        <w:rPr>
          <w:position w:val="-14"/>
        </w:rPr>
        <w:object w:dxaOrig="340" w:dyaOrig="380" w14:anchorId="7A065EE2">
          <v:shape id="_x0000_i1035" type="#_x0000_t75" style="width:17.25pt;height:18.55pt" o:ole="">
            <v:imagedata r:id="rId27" o:title=""/>
          </v:shape>
          <o:OLEObject Type="Embed" ProgID="Equation.3" ShapeID="_x0000_i1035" DrawAspect="Content" ObjectID="_1825165630" r:id="rId28"/>
        </w:object>
      </w:r>
      <w:r w:rsidRPr="00467930">
        <w:rPr>
          <w:noProof/>
          <w:position w:val="-12"/>
        </w:rPr>
        <w:t xml:space="preserve"> </w:t>
      </w:r>
      <w:r w:rsidRPr="00467930">
        <w:t xml:space="preserve"> the density of the deposits </w:t>
      </w:r>
      <w:r w:rsidRPr="00467930">
        <w:rPr>
          <w:position w:val="-12"/>
        </w:rPr>
        <w:object w:dxaOrig="300" w:dyaOrig="380" w14:anchorId="617306A0">
          <v:shape id="_x0000_i1036" type="#_x0000_t75" style="width:15pt;height:18.55pt" o:ole="">
            <v:imagedata r:id="rId29" o:title=""/>
          </v:shape>
          <o:OLEObject Type="Embed" ProgID="Equation.3" ShapeID="_x0000_i1036" DrawAspect="Content" ObjectID="_1825165631" r:id="rId30"/>
        </w:object>
      </w:r>
      <w:r w:rsidRPr="00467930">
        <w:t>is the diameter of the deposits.</w:t>
      </w:r>
    </w:p>
    <w:p w14:paraId="75644CA0" w14:textId="77777777" w:rsidR="00EA4119" w:rsidRPr="00452764" w:rsidRDefault="00467930" w:rsidP="00452764">
      <w:pPr>
        <w:pStyle w:val="Paragraph"/>
        <w:rPr>
          <w:vertAlign w:val="subscript"/>
        </w:rPr>
      </w:pPr>
      <w:r w:rsidRPr="00467930">
        <w:rPr>
          <w:snapToGrid w:val="0"/>
          <w:lang w:eastAsia="de-DE" w:bidi="en-US"/>
        </w:rPr>
        <w:t xml:space="preserve">The system of Navier-Stokes equations averaged over Reynolds (1) is not closed. To close this system in linear models, the generalized </w:t>
      </w:r>
      <w:proofErr w:type="spellStart"/>
      <w:r w:rsidRPr="00467930">
        <w:rPr>
          <w:snapToGrid w:val="0"/>
          <w:lang w:eastAsia="de-DE" w:bidi="en-US"/>
        </w:rPr>
        <w:t>Boussinesq</w:t>
      </w:r>
      <w:proofErr w:type="spellEnd"/>
      <w:r w:rsidRPr="00467930">
        <w:rPr>
          <w:snapToGrid w:val="0"/>
          <w:lang w:eastAsia="de-DE" w:bidi="en-US"/>
        </w:rPr>
        <w:t xml:space="preserve"> hypothesis</w:t>
      </w:r>
      <w:r w:rsidR="00EC3FA2">
        <w:rPr>
          <w:snapToGrid w:val="0"/>
          <w:lang w:eastAsia="de-DE" w:bidi="en-US"/>
        </w:rPr>
        <w:t xml:space="preserve"> </w:t>
      </w:r>
      <w:r w:rsidR="0027260C">
        <w:rPr>
          <w:snapToGrid w:val="0"/>
          <w:lang w:eastAsia="de-DE" w:bidi="en-US"/>
        </w:rPr>
        <w:t>[1</w:t>
      </w:r>
      <w:r w:rsidR="00613751">
        <w:rPr>
          <w:snapToGrid w:val="0"/>
          <w:lang w:eastAsia="de-DE" w:bidi="en-US"/>
        </w:rPr>
        <w:t>0</w:t>
      </w:r>
      <w:r w:rsidR="0027260C">
        <w:rPr>
          <w:snapToGrid w:val="0"/>
          <w:lang w:eastAsia="de-DE" w:bidi="en-US"/>
        </w:rPr>
        <w:t>]</w:t>
      </w:r>
      <w:r w:rsidRPr="00467930">
        <w:rPr>
          <w:snapToGrid w:val="0"/>
          <w:lang w:eastAsia="de-DE" w:bidi="en-US"/>
        </w:rPr>
        <w:t xml:space="preserve"> is used.</w:t>
      </w:r>
      <w:r w:rsidR="00166B5C" w:rsidRPr="00166B5C">
        <w:rPr>
          <w:vertAlign w:val="subscript"/>
        </w:rPr>
        <w:t xml:space="preserve"> </w:t>
      </w:r>
    </w:p>
    <w:p w14:paraId="23DC8146" w14:textId="77777777" w:rsidR="00166B5C" w:rsidRPr="00467930" w:rsidRDefault="00EA4119" w:rsidP="00166B5C">
      <w:pPr>
        <w:pStyle w:val="Equation"/>
      </w:pPr>
      <w:r>
        <w:rPr>
          <w:vertAlign w:val="subscript"/>
        </w:rPr>
        <w:tab/>
      </w:r>
      <w:r w:rsidR="003B0DE4" w:rsidRPr="00EA4119">
        <w:rPr>
          <w:position w:val="-30"/>
          <w:vertAlign w:val="subscript"/>
        </w:rPr>
        <w:object w:dxaOrig="2500" w:dyaOrig="700" w14:anchorId="14D21227">
          <v:shape id="_x0000_i1037" type="#_x0000_t75" style="width:125.45pt;height:35.35pt" o:ole="">
            <v:imagedata r:id="rId31" o:title=""/>
          </v:shape>
          <o:OLEObject Type="Embed" ProgID="Equation.3" ShapeID="_x0000_i1037" DrawAspect="Content" ObjectID="_1825165632" r:id="rId32"/>
        </w:object>
      </w:r>
      <w:r w:rsidR="00166B5C" w:rsidRPr="00467930">
        <w:tab/>
        <w:t>(</w:t>
      </w:r>
      <w:r w:rsidR="00166B5C">
        <w:t>3</w:t>
      </w:r>
      <w:r w:rsidR="00166B5C" w:rsidRPr="00467930">
        <w:t>)</w:t>
      </w:r>
    </w:p>
    <w:p w14:paraId="5D582AAD" w14:textId="77777777" w:rsidR="00467930" w:rsidRPr="00467930" w:rsidRDefault="00467930" w:rsidP="00467930">
      <w:pPr>
        <w:jc w:val="both"/>
        <w:rPr>
          <w:sz w:val="20"/>
        </w:rPr>
      </w:pPr>
      <w:r w:rsidRPr="00467930">
        <w:rPr>
          <w:sz w:val="20"/>
        </w:rPr>
        <w:t>Here</w:t>
      </w:r>
      <w:r w:rsidRPr="00467930">
        <w:rPr>
          <w:position w:val="-12"/>
          <w:sz w:val="20"/>
        </w:rPr>
        <w:object w:dxaOrig="279" w:dyaOrig="380" w14:anchorId="5A0F1677">
          <v:shape id="_x0000_i1038" type="#_x0000_t75" style="width:14.15pt;height:18.55pt" o:ole="">
            <v:imagedata r:id="rId33" o:title=""/>
          </v:shape>
          <o:OLEObject Type="Embed" ProgID="Equation.3" ShapeID="_x0000_i1038" DrawAspect="Content" ObjectID="_1825165633" r:id="rId34"/>
        </w:object>
      </w:r>
      <w:r w:rsidRPr="00467930">
        <w:rPr>
          <w:sz w:val="20"/>
        </w:rPr>
        <w:t xml:space="preserve"> is turbulent viscosity.</w:t>
      </w:r>
    </w:p>
    <w:p w14:paraId="1A6A1D4B" w14:textId="77777777" w:rsidR="00467930" w:rsidRDefault="00467930" w:rsidP="00EA4119">
      <w:pPr>
        <w:pStyle w:val="Paragraph"/>
      </w:pPr>
      <w:r w:rsidRPr="00467930">
        <w:t xml:space="preserve">The thesis used the highly acclaimed </w:t>
      </w:r>
      <w:proofErr w:type="spellStart"/>
      <w:r w:rsidRPr="00467930">
        <w:t>Spalart-Allmares</w:t>
      </w:r>
      <w:proofErr w:type="spellEnd"/>
      <w:r w:rsidRPr="00467930">
        <w:t xml:space="preserve"> model. The differential form</w:t>
      </w:r>
      <w:r w:rsidR="00613751">
        <w:t xml:space="preserve"> of this model is as follows [11</w:t>
      </w:r>
      <w:r w:rsidRPr="00467930">
        <w:t>]:</w:t>
      </w:r>
    </w:p>
    <w:p w14:paraId="73F2960B" w14:textId="77777777" w:rsidR="00166B5C" w:rsidRPr="00467930" w:rsidRDefault="00166B5C" w:rsidP="00166B5C">
      <w:pPr>
        <w:pStyle w:val="Equation"/>
      </w:pPr>
      <w:r w:rsidRPr="00467930">
        <w:rPr>
          <w:vertAlign w:val="subscript"/>
        </w:rPr>
        <w:tab/>
      </w:r>
      <w:r w:rsidR="003D5AF1" w:rsidRPr="002B5F52">
        <w:rPr>
          <w:position w:val="-66"/>
        </w:rPr>
        <w:object w:dxaOrig="4720" w:dyaOrig="1420" w14:anchorId="0FDDCB32">
          <v:shape id="_x0000_i1039" type="#_x0000_t75" style="width:236.3pt;height:71.1pt" o:ole="">
            <v:imagedata r:id="rId35" o:title=""/>
          </v:shape>
          <o:OLEObject Type="Embed" ProgID="Equation.3" ShapeID="_x0000_i1039" DrawAspect="Content" ObjectID="_1825165634" r:id="rId36"/>
        </w:object>
      </w:r>
      <w:r w:rsidRPr="00467930">
        <w:t>,</w:t>
      </w:r>
      <w:r w:rsidRPr="00467930">
        <w:tab/>
        <w:t>(</w:t>
      </w:r>
      <w:r w:rsidRPr="00467930">
        <w:fldChar w:fldCharType="begin"/>
      </w:r>
      <w:r w:rsidRPr="00166B5C">
        <w:instrText xml:space="preserve"> EQ </w:instrText>
      </w:r>
      <w:r w:rsidRPr="00467930">
        <w:fldChar w:fldCharType="end"/>
      </w:r>
      <w:r>
        <w:t>4</w:t>
      </w:r>
      <w:r w:rsidRPr="00467930">
        <w:t>)</w:t>
      </w:r>
    </w:p>
    <w:p w14:paraId="3C730EFF" w14:textId="77777777" w:rsidR="00467930" w:rsidRPr="00467930" w:rsidRDefault="00467930" w:rsidP="00467930">
      <w:pPr>
        <w:jc w:val="both"/>
        <w:rPr>
          <w:sz w:val="20"/>
        </w:rPr>
      </w:pPr>
      <w:r w:rsidRPr="00467930">
        <w:rPr>
          <w:sz w:val="20"/>
        </w:rPr>
        <w:t>The turbulent viscosity coefficient is defined as:</w:t>
      </w:r>
    </w:p>
    <w:p w14:paraId="25130ECD" w14:textId="77777777" w:rsidR="00467930" w:rsidRPr="00467930" w:rsidRDefault="00467930" w:rsidP="00467930">
      <w:pPr>
        <w:pStyle w:val="Equation"/>
      </w:pPr>
      <w:r w:rsidRPr="00467930">
        <w:rPr>
          <w:vertAlign w:val="subscript"/>
        </w:rPr>
        <w:tab/>
      </w:r>
      <w:r w:rsidR="003D5AF1" w:rsidRPr="002B5F52">
        <w:rPr>
          <w:position w:val="-10"/>
          <w:vertAlign w:val="subscript"/>
        </w:rPr>
        <w:object w:dxaOrig="740" w:dyaOrig="300" w14:anchorId="4AC8E939">
          <v:shape id="_x0000_i1040" type="#_x0000_t75" style="width:36.65pt;height:15pt" o:ole="">
            <v:imagedata r:id="rId37" o:title=""/>
          </v:shape>
          <o:OLEObject Type="Embed" ProgID="Equation.3" ShapeID="_x0000_i1040" DrawAspect="Content" ObjectID="_1825165635" r:id="rId38"/>
        </w:object>
      </w:r>
      <w:r w:rsidRPr="00467930">
        <w:t>,</w:t>
      </w:r>
      <w:r w:rsidRPr="00467930">
        <w:tab/>
        <w:t>(</w:t>
      </w:r>
      <w:r w:rsidRPr="00467930">
        <w:fldChar w:fldCharType="begin"/>
      </w:r>
      <w:r w:rsidRPr="00166B5C">
        <w:instrText xml:space="preserve"> EQ </w:instrText>
      </w:r>
      <w:r w:rsidRPr="00467930">
        <w:fldChar w:fldCharType="end"/>
      </w:r>
      <w:r>
        <w:t>5</w:t>
      </w:r>
      <w:r w:rsidRPr="00467930">
        <w:t>)</w:t>
      </w:r>
    </w:p>
    <w:p w14:paraId="672B90DB" w14:textId="77777777" w:rsidR="00467930" w:rsidRPr="00467930" w:rsidRDefault="00467930" w:rsidP="00467930">
      <w:pPr>
        <w:jc w:val="center"/>
        <w:rPr>
          <w:sz w:val="20"/>
        </w:rPr>
      </w:pPr>
    </w:p>
    <w:p w14:paraId="0D611F37" w14:textId="77777777" w:rsidR="00467930" w:rsidRPr="00467930" w:rsidRDefault="00467930" w:rsidP="00467930">
      <w:pPr>
        <w:jc w:val="both"/>
        <w:rPr>
          <w:sz w:val="20"/>
        </w:rPr>
      </w:pPr>
      <w:r w:rsidRPr="00467930">
        <w:rPr>
          <w:sz w:val="20"/>
        </w:rPr>
        <w:t>Additional features and parameters of the model are as follows:</w:t>
      </w:r>
    </w:p>
    <w:p w14:paraId="61F74BE8" w14:textId="77777777" w:rsidR="00467930" w:rsidRPr="00467930" w:rsidRDefault="00467930" w:rsidP="00467930">
      <w:pPr>
        <w:pStyle w:val="Equation"/>
      </w:pPr>
      <w:r w:rsidRPr="00467930">
        <w:rPr>
          <w:vertAlign w:val="subscript"/>
        </w:rPr>
        <w:tab/>
      </w:r>
      <w:r w:rsidR="00166B5C" w:rsidRPr="002B5F52">
        <w:rPr>
          <w:position w:val="-28"/>
          <w:vertAlign w:val="subscript"/>
        </w:rPr>
        <w:object w:dxaOrig="5040" w:dyaOrig="660" w14:anchorId="18A8020E">
          <v:shape id="_x0000_i1041" type="#_x0000_t75" style="width:235pt;height:30.9pt" o:ole="">
            <v:imagedata r:id="rId39" o:title=""/>
          </v:shape>
          <o:OLEObject Type="Embed" ProgID="Equation.3" ShapeID="_x0000_i1041" DrawAspect="Content" ObjectID="_1825165636" r:id="rId40"/>
        </w:object>
      </w:r>
      <w:r w:rsidRPr="00467930">
        <w:t>,</w:t>
      </w:r>
      <w:r w:rsidRPr="00467930">
        <w:tab/>
        <w:t>(</w:t>
      </w:r>
      <w:r w:rsidRPr="00467930">
        <w:fldChar w:fldCharType="begin"/>
      </w:r>
      <w:r w:rsidRPr="00467930">
        <w:instrText xml:space="preserve"> EQ </w:instrText>
      </w:r>
      <w:r w:rsidRPr="00467930">
        <w:fldChar w:fldCharType="end"/>
      </w:r>
      <w:r>
        <w:t>6</w:t>
      </w:r>
      <w:r w:rsidRPr="00467930">
        <w:t>)</w:t>
      </w:r>
    </w:p>
    <w:p w14:paraId="6727F5B2" w14:textId="77777777" w:rsidR="00467930" w:rsidRPr="00467930" w:rsidRDefault="00467930" w:rsidP="00467930">
      <w:pPr>
        <w:pStyle w:val="af1"/>
        <w:tabs>
          <w:tab w:val="center" w:pos="4536"/>
          <w:tab w:val="right" w:pos="9072"/>
        </w:tabs>
        <w:spacing w:line="240" w:lineRule="auto"/>
        <w:jc w:val="both"/>
        <w:rPr>
          <w:sz w:val="20"/>
          <w:szCs w:val="20"/>
          <w:lang w:val="en-US"/>
        </w:rPr>
      </w:pPr>
      <w:r w:rsidRPr="00467930">
        <w:rPr>
          <w:sz w:val="20"/>
          <w:szCs w:val="20"/>
          <w:vertAlign w:val="subscript"/>
          <w:lang w:val="en-US"/>
        </w:rPr>
        <w:tab/>
      </w:r>
    </w:p>
    <w:p w14:paraId="03099585" w14:textId="77777777" w:rsidR="00467930" w:rsidRPr="00467930" w:rsidRDefault="00467930" w:rsidP="003D5AF1">
      <w:pPr>
        <w:pStyle w:val="Equation"/>
      </w:pPr>
      <w:r w:rsidRPr="00467930">
        <w:rPr>
          <w:vertAlign w:val="subscript"/>
        </w:rPr>
        <w:lastRenderedPageBreak/>
        <w:tab/>
      </w:r>
      <w:r w:rsidR="002D4A96" w:rsidRPr="002D4A96">
        <w:rPr>
          <w:position w:val="-86"/>
          <w:vertAlign w:val="subscript"/>
        </w:rPr>
        <w:object w:dxaOrig="3560" w:dyaOrig="2580" w14:anchorId="00639E78">
          <v:shape id="_x0000_i1042" type="#_x0000_t75" style="width:177.15pt;height:131.2pt" o:ole="">
            <v:imagedata r:id="rId41" o:title=""/>
          </v:shape>
          <o:OLEObject Type="Embed" ProgID="Equation.3" ShapeID="_x0000_i1042" DrawAspect="Content" ObjectID="_1825165637" r:id="rId42">
            <o:FieldCodes>\* MERGEFORMAT</o:FieldCodes>
          </o:OLEObject>
        </w:object>
      </w:r>
      <w:r w:rsidRPr="00467930">
        <w:tab/>
        <w:t>(</w:t>
      </w:r>
      <w:r w:rsidRPr="00467930">
        <w:fldChar w:fldCharType="begin"/>
      </w:r>
      <w:r w:rsidRPr="00467930">
        <w:instrText xml:space="preserve"> EQ </w:instrText>
      </w:r>
      <w:r w:rsidRPr="00467930">
        <w:fldChar w:fldCharType="end"/>
      </w:r>
      <w:r>
        <w:t>7</w:t>
      </w:r>
      <w:r w:rsidRPr="00467930">
        <w:t>)</w:t>
      </w:r>
    </w:p>
    <w:p w14:paraId="21B9B95A" w14:textId="77777777" w:rsidR="00467930" w:rsidRDefault="00467930" w:rsidP="00166B5C">
      <w:pPr>
        <w:pStyle w:val="Paragraph"/>
      </w:pPr>
      <w:r w:rsidRPr="00467930">
        <w:t xml:space="preserve">Here, </w:t>
      </w:r>
      <w:r w:rsidR="00166B5C" w:rsidRPr="00467930">
        <w:rPr>
          <w:position w:val="-4"/>
        </w:rPr>
        <w:object w:dxaOrig="260" w:dyaOrig="260" w14:anchorId="08C30ABC">
          <v:shape id="_x0000_i1043" type="#_x0000_t75" style="width:8.85pt;height:8.85pt" o:ole="">
            <v:imagedata r:id="rId43" o:title=""/>
          </v:shape>
          <o:OLEObject Type="Embed" ProgID="Equation.3" ShapeID="_x0000_i1043" DrawAspect="Content" ObjectID="_1825165638" r:id="rId44"/>
        </w:object>
      </w:r>
      <w:r w:rsidRPr="00467930">
        <w:t xml:space="preserve">- is the vortex size, </w:t>
      </w:r>
      <w:r w:rsidR="00166B5C" w:rsidRPr="00467930">
        <w:rPr>
          <w:position w:val="-6"/>
        </w:rPr>
        <w:object w:dxaOrig="240" w:dyaOrig="300" w14:anchorId="3D7F770F">
          <v:shape id="_x0000_i1044" type="#_x0000_t75" style="width:8.4pt;height:10.6pt" o:ole="">
            <v:imagedata r:id="rId45" o:title=""/>
          </v:shape>
          <o:OLEObject Type="Embed" ProgID="Equation.3" ShapeID="_x0000_i1044" DrawAspect="Content" ObjectID="_1825165639" r:id="rId46"/>
        </w:object>
      </w:r>
      <w:r w:rsidRPr="00467930">
        <w:t xml:space="preserve">- is the strain rate, </w:t>
      </w:r>
      <w:r w:rsidRPr="00467930">
        <w:rPr>
          <w:i/>
        </w:rPr>
        <w:t>d</w:t>
      </w:r>
      <w:r w:rsidRPr="00467930">
        <w:t xml:space="preserve"> -is the nearest distance to the wall</w:t>
      </w:r>
    </w:p>
    <w:p w14:paraId="6D0887B7" w14:textId="77777777" w:rsidR="00467930" w:rsidRPr="00166B5C" w:rsidRDefault="00467930" w:rsidP="003D5AF1">
      <w:pPr>
        <w:pStyle w:val="TableCaption0"/>
      </w:pPr>
      <w:r w:rsidRPr="00166B5C">
        <w:rPr>
          <w:b/>
        </w:rPr>
        <w:t>TABLE.1.</w:t>
      </w:r>
      <w:r w:rsidRPr="00166B5C">
        <w:t xml:space="preserve"> Model </w:t>
      </w:r>
      <w:r w:rsidRPr="003D5AF1">
        <w:t>constants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39"/>
        <w:gridCol w:w="692"/>
        <w:gridCol w:w="965"/>
        <w:gridCol w:w="939"/>
        <w:gridCol w:w="666"/>
        <w:gridCol w:w="2067"/>
        <w:gridCol w:w="666"/>
        <w:gridCol w:w="673"/>
        <w:gridCol w:w="662"/>
        <w:gridCol w:w="556"/>
        <w:gridCol w:w="835"/>
      </w:tblGrid>
      <w:tr w:rsidR="00467930" w:rsidRPr="00467930" w14:paraId="371ECBAE" w14:textId="77777777" w:rsidTr="003D5AF1">
        <w:trPr>
          <w:jc w:val="center"/>
        </w:trPr>
        <w:tc>
          <w:tcPr>
            <w:tcW w:w="657" w:type="dxa"/>
            <w:vAlign w:val="center"/>
          </w:tcPr>
          <w:p w14:paraId="7B4B5609" w14:textId="77777777" w:rsidR="00467930" w:rsidRPr="003D5AF1" w:rsidRDefault="00467930" w:rsidP="00467930">
            <w:pPr>
              <w:jc w:val="center"/>
              <w:rPr>
                <w:b/>
                <w:bCs/>
                <w:i/>
                <w:szCs w:val="24"/>
                <w:vertAlign w:val="subscript"/>
              </w:rPr>
            </w:pPr>
            <w:proofErr w:type="spellStart"/>
            <w:r w:rsidRPr="003D5AF1">
              <w:rPr>
                <w:b/>
                <w:bCs/>
                <w:i/>
                <w:szCs w:val="24"/>
              </w:rPr>
              <w:t>σ</w:t>
            </w:r>
            <w:r w:rsidRPr="003D5AF1">
              <w:rPr>
                <w:b/>
                <w:bCs/>
                <w:i/>
                <w:szCs w:val="24"/>
                <w:vertAlign w:val="subscript"/>
              </w:rPr>
              <w:t>ν</w:t>
            </w:r>
            <w:proofErr w:type="spellEnd"/>
          </w:p>
        </w:tc>
        <w:tc>
          <w:tcPr>
            <w:tcW w:w="701" w:type="dxa"/>
            <w:vAlign w:val="center"/>
          </w:tcPr>
          <w:p w14:paraId="1430A077" w14:textId="77777777" w:rsidR="00467930" w:rsidRPr="003D5AF1" w:rsidRDefault="00467930" w:rsidP="00467930">
            <w:pPr>
              <w:jc w:val="center"/>
              <w:rPr>
                <w:b/>
                <w:bCs/>
                <w:i/>
                <w:szCs w:val="24"/>
                <w:vertAlign w:val="subscript"/>
              </w:rPr>
            </w:pPr>
            <w:proofErr w:type="spellStart"/>
            <w:r w:rsidRPr="003D5AF1">
              <w:rPr>
                <w:b/>
                <w:bCs/>
                <w:i/>
                <w:szCs w:val="24"/>
              </w:rPr>
              <w:t>k</w:t>
            </w:r>
            <w:r w:rsidRPr="003D5AF1">
              <w:rPr>
                <w:b/>
                <w:bCs/>
                <w:i/>
                <w:szCs w:val="24"/>
                <w:vertAlign w:val="subscript"/>
              </w:rPr>
              <w:t>r</w:t>
            </w:r>
            <w:proofErr w:type="spellEnd"/>
          </w:p>
        </w:tc>
        <w:tc>
          <w:tcPr>
            <w:tcW w:w="979" w:type="dxa"/>
            <w:vAlign w:val="center"/>
          </w:tcPr>
          <w:p w14:paraId="2888BF30" w14:textId="77777777" w:rsidR="00467930" w:rsidRPr="003D5AF1" w:rsidRDefault="00467930" w:rsidP="00467930">
            <w:pPr>
              <w:jc w:val="center"/>
              <w:rPr>
                <w:b/>
                <w:bCs/>
                <w:i/>
                <w:szCs w:val="24"/>
                <w:vertAlign w:val="subscript"/>
              </w:rPr>
            </w:pPr>
            <w:r w:rsidRPr="003D5AF1">
              <w:rPr>
                <w:b/>
                <w:bCs/>
                <w:i/>
                <w:szCs w:val="24"/>
              </w:rPr>
              <w:t>C</w:t>
            </w:r>
            <w:r w:rsidRPr="003D5AF1">
              <w:rPr>
                <w:b/>
                <w:bCs/>
                <w:i/>
                <w:szCs w:val="24"/>
                <w:vertAlign w:val="subscript"/>
              </w:rPr>
              <w:t>b1</w:t>
            </w:r>
          </w:p>
        </w:tc>
        <w:tc>
          <w:tcPr>
            <w:tcW w:w="966" w:type="dxa"/>
            <w:vAlign w:val="center"/>
          </w:tcPr>
          <w:p w14:paraId="211B52A1"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b2</w:t>
            </w:r>
          </w:p>
        </w:tc>
        <w:tc>
          <w:tcPr>
            <w:tcW w:w="687" w:type="dxa"/>
            <w:vAlign w:val="center"/>
          </w:tcPr>
          <w:p w14:paraId="303DBB30"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v1</w:t>
            </w:r>
          </w:p>
        </w:tc>
        <w:tc>
          <w:tcPr>
            <w:tcW w:w="2090" w:type="dxa"/>
            <w:vAlign w:val="center"/>
          </w:tcPr>
          <w:p w14:paraId="4B42EBF7"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w1</w:t>
            </w:r>
          </w:p>
        </w:tc>
        <w:tc>
          <w:tcPr>
            <w:tcW w:w="681" w:type="dxa"/>
            <w:vAlign w:val="center"/>
          </w:tcPr>
          <w:p w14:paraId="6163402A"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w2</w:t>
            </w:r>
          </w:p>
        </w:tc>
        <w:tc>
          <w:tcPr>
            <w:tcW w:w="689" w:type="dxa"/>
            <w:vAlign w:val="center"/>
          </w:tcPr>
          <w:p w14:paraId="37A17881"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w3</w:t>
            </w:r>
          </w:p>
        </w:tc>
        <w:tc>
          <w:tcPr>
            <w:tcW w:w="683" w:type="dxa"/>
            <w:vAlign w:val="center"/>
          </w:tcPr>
          <w:p w14:paraId="4898C042"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r1</w:t>
            </w:r>
          </w:p>
        </w:tc>
        <w:tc>
          <w:tcPr>
            <w:tcW w:w="561" w:type="dxa"/>
            <w:vAlign w:val="center"/>
          </w:tcPr>
          <w:p w14:paraId="27148430"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r2</w:t>
            </w:r>
          </w:p>
        </w:tc>
        <w:tc>
          <w:tcPr>
            <w:tcW w:w="882" w:type="dxa"/>
            <w:vAlign w:val="center"/>
          </w:tcPr>
          <w:p w14:paraId="591FE19B" w14:textId="77777777" w:rsidR="00467930" w:rsidRPr="003D5AF1" w:rsidRDefault="00467930" w:rsidP="00467930">
            <w:pPr>
              <w:jc w:val="center"/>
              <w:rPr>
                <w:b/>
                <w:bCs/>
                <w:i/>
                <w:szCs w:val="24"/>
              </w:rPr>
            </w:pPr>
            <w:r w:rsidRPr="003D5AF1">
              <w:rPr>
                <w:b/>
                <w:bCs/>
                <w:i/>
                <w:szCs w:val="24"/>
              </w:rPr>
              <w:t>C</w:t>
            </w:r>
            <w:r w:rsidRPr="003D5AF1">
              <w:rPr>
                <w:b/>
                <w:bCs/>
                <w:i/>
                <w:szCs w:val="24"/>
                <w:vertAlign w:val="subscript"/>
              </w:rPr>
              <w:t>r3</w:t>
            </w:r>
          </w:p>
        </w:tc>
      </w:tr>
      <w:tr w:rsidR="00467930" w:rsidRPr="00467930" w14:paraId="42B70479" w14:textId="77777777" w:rsidTr="003D5AF1">
        <w:trPr>
          <w:jc w:val="center"/>
        </w:trPr>
        <w:tc>
          <w:tcPr>
            <w:tcW w:w="657" w:type="dxa"/>
            <w:vAlign w:val="center"/>
          </w:tcPr>
          <w:p w14:paraId="337899EB" w14:textId="77777777" w:rsidR="00467930" w:rsidRPr="00467930" w:rsidRDefault="00467930" w:rsidP="00467930">
            <w:pPr>
              <w:jc w:val="center"/>
              <w:rPr>
                <w:szCs w:val="24"/>
              </w:rPr>
            </w:pPr>
            <w:r w:rsidRPr="00467930">
              <w:rPr>
                <w:szCs w:val="24"/>
              </w:rPr>
              <w:t>2/3</w:t>
            </w:r>
          </w:p>
        </w:tc>
        <w:tc>
          <w:tcPr>
            <w:tcW w:w="701" w:type="dxa"/>
            <w:vAlign w:val="center"/>
          </w:tcPr>
          <w:p w14:paraId="34B59FB1" w14:textId="77777777" w:rsidR="00467930" w:rsidRPr="00467930" w:rsidRDefault="00467930" w:rsidP="00467930">
            <w:pPr>
              <w:jc w:val="center"/>
              <w:rPr>
                <w:szCs w:val="24"/>
              </w:rPr>
            </w:pPr>
            <w:r w:rsidRPr="00467930">
              <w:rPr>
                <w:szCs w:val="24"/>
              </w:rPr>
              <w:t>0.41</w:t>
            </w:r>
          </w:p>
        </w:tc>
        <w:tc>
          <w:tcPr>
            <w:tcW w:w="979" w:type="dxa"/>
            <w:vAlign w:val="center"/>
          </w:tcPr>
          <w:p w14:paraId="36BC228B" w14:textId="77777777" w:rsidR="00467930" w:rsidRPr="00467930" w:rsidRDefault="00467930" w:rsidP="00467930">
            <w:pPr>
              <w:jc w:val="center"/>
              <w:rPr>
                <w:szCs w:val="24"/>
              </w:rPr>
            </w:pPr>
            <w:r w:rsidRPr="00467930">
              <w:rPr>
                <w:szCs w:val="24"/>
              </w:rPr>
              <w:t>0.1335</w:t>
            </w:r>
          </w:p>
        </w:tc>
        <w:tc>
          <w:tcPr>
            <w:tcW w:w="966" w:type="dxa"/>
            <w:vAlign w:val="center"/>
          </w:tcPr>
          <w:p w14:paraId="6A85EEC8" w14:textId="77777777" w:rsidR="00467930" w:rsidRPr="00467930" w:rsidRDefault="00467930" w:rsidP="00467930">
            <w:pPr>
              <w:jc w:val="center"/>
              <w:rPr>
                <w:szCs w:val="24"/>
              </w:rPr>
            </w:pPr>
            <w:r w:rsidRPr="00467930">
              <w:rPr>
                <w:szCs w:val="24"/>
              </w:rPr>
              <w:t>0.622</w:t>
            </w:r>
          </w:p>
        </w:tc>
        <w:tc>
          <w:tcPr>
            <w:tcW w:w="687" w:type="dxa"/>
            <w:vAlign w:val="center"/>
          </w:tcPr>
          <w:p w14:paraId="2F266904" w14:textId="77777777" w:rsidR="00467930" w:rsidRPr="00467930" w:rsidRDefault="00467930" w:rsidP="00467930">
            <w:pPr>
              <w:jc w:val="center"/>
              <w:rPr>
                <w:szCs w:val="24"/>
              </w:rPr>
            </w:pPr>
            <w:r w:rsidRPr="00467930">
              <w:rPr>
                <w:szCs w:val="24"/>
              </w:rPr>
              <w:t>7.1</w:t>
            </w:r>
          </w:p>
        </w:tc>
        <w:tc>
          <w:tcPr>
            <w:tcW w:w="2090" w:type="dxa"/>
            <w:vAlign w:val="center"/>
          </w:tcPr>
          <w:p w14:paraId="6F9789AE" w14:textId="77777777" w:rsidR="00467930" w:rsidRPr="00467930" w:rsidRDefault="00D13827" w:rsidP="00467930">
            <w:pPr>
              <w:jc w:val="center"/>
              <w:rPr>
                <w:szCs w:val="24"/>
              </w:rPr>
            </w:pPr>
            <w:r w:rsidRPr="00516802">
              <w:rPr>
                <w:position w:val="-24"/>
              </w:rPr>
              <w:object w:dxaOrig="1740" w:dyaOrig="580" w14:anchorId="5E075B78">
                <v:shape id="_x0000_i1045" type="#_x0000_t75" style="width:84.8pt;height:27.85pt" o:ole="">
                  <v:imagedata r:id="rId47" o:title=""/>
                </v:shape>
                <o:OLEObject Type="Embed" ProgID="Equation.3" ShapeID="_x0000_i1045" DrawAspect="Content" ObjectID="_1825165640" r:id="rId48"/>
              </w:object>
            </w:r>
          </w:p>
        </w:tc>
        <w:tc>
          <w:tcPr>
            <w:tcW w:w="681" w:type="dxa"/>
            <w:vAlign w:val="center"/>
          </w:tcPr>
          <w:p w14:paraId="2389C023" w14:textId="77777777" w:rsidR="00467930" w:rsidRPr="00467930" w:rsidRDefault="00467930" w:rsidP="00467930">
            <w:pPr>
              <w:jc w:val="center"/>
              <w:rPr>
                <w:szCs w:val="24"/>
              </w:rPr>
            </w:pPr>
            <w:r w:rsidRPr="00467930">
              <w:rPr>
                <w:szCs w:val="24"/>
              </w:rPr>
              <w:t>0.3</w:t>
            </w:r>
          </w:p>
        </w:tc>
        <w:tc>
          <w:tcPr>
            <w:tcW w:w="689" w:type="dxa"/>
            <w:vAlign w:val="center"/>
          </w:tcPr>
          <w:p w14:paraId="769CD627" w14:textId="77777777" w:rsidR="00467930" w:rsidRPr="00467930" w:rsidRDefault="00467930" w:rsidP="00467930">
            <w:pPr>
              <w:jc w:val="center"/>
              <w:rPr>
                <w:szCs w:val="24"/>
              </w:rPr>
            </w:pPr>
            <w:r w:rsidRPr="00467930">
              <w:rPr>
                <w:szCs w:val="24"/>
              </w:rPr>
              <w:t>2.0</w:t>
            </w:r>
          </w:p>
        </w:tc>
        <w:tc>
          <w:tcPr>
            <w:tcW w:w="683" w:type="dxa"/>
            <w:vAlign w:val="center"/>
          </w:tcPr>
          <w:p w14:paraId="79D09565" w14:textId="77777777" w:rsidR="00467930" w:rsidRPr="00467930" w:rsidRDefault="00467930" w:rsidP="00467930">
            <w:pPr>
              <w:jc w:val="center"/>
              <w:rPr>
                <w:szCs w:val="24"/>
              </w:rPr>
            </w:pPr>
            <w:r w:rsidRPr="00467930">
              <w:rPr>
                <w:szCs w:val="24"/>
              </w:rPr>
              <w:t>1</w:t>
            </w:r>
          </w:p>
        </w:tc>
        <w:tc>
          <w:tcPr>
            <w:tcW w:w="561" w:type="dxa"/>
            <w:vAlign w:val="center"/>
          </w:tcPr>
          <w:p w14:paraId="52002E04" w14:textId="77777777" w:rsidR="00467930" w:rsidRPr="00467930" w:rsidRDefault="00467930" w:rsidP="00467930">
            <w:pPr>
              <w:jc w:val="center"/>
              <w:rPr>
                <w:szCs w:val="24"/>
              </w:rPr>
            </w:pPr>
            <w:r w:rsidRPr="00467930">
              <w:rPr>
                <w:szCs w:val="24"/>
              </w:rPr>
              <w:t>12</w:t>
            </w:r>
          </w:p>
        </w:tc>
        <w:tc>
          <w:tcPr>
            <w:tcW w:w="882" w:type="dxa"/>
            <w:vAlign w:val="center"/>
          </w:tcPr>
          <w:p w14:paraId="6BF21FB3" w14:textId="77777777" w:rsidR="00467930" w:rsidRPr="00467930" w:rsidRDefault="00467930" w:rsidP="00467930">
            <w:pPr>
              <w:jc w:val="center"/>
              <w:rPr>
                <w:szCs w:val="24"/>
              </w:rPr>
            </w:pPr>
            <w:r w:rsidRPr="00467930">
              <w:rPr>
                <w:szCs w:val="24"/>
              </w:rPr>
              <w:t>1</w:t>
            </w:r>
          </w:p>
        </w:tc>
      </w:tr>
    </w:tbl>
    <w:p w14:paraId="023365E9" w14:textId="77777777" w:rsidR="0027260C" w:rsidRDefault="0027260C">
      <w:pPr>
        <w:pStyle w:val="1"/>
      </w:pPr>
      <w:r>
        <w:t>Analysis of numerical results.</w:t>
      </w:r>
    </w:p>
    <w:p w14:paraId="08D947DB" w14:textId="77777777" w:rsidR="00467930" w:rsidRPr="00467930" w:rsidRDefault="00467930" w:rsidP="00166B5C">
      <w:pPr>
        <w:pStyle w:val="Paragraph"/>
      </w:pPr>
      <w:r w:rsidRPr="00467930">
        <w:t xml:space="preserve">In the numerical simulations, the </w:t>
      </w:r>
      <w:proofErr w:type="spellStart"/>
      <w:r w:rsidRPr="00467930">
        <w:t>Spalart</w:t>
      </w:r>
      <w:proofErr w:type="spellEnd"/>
      <w:r w:rsidRPr="00467930">
        <w:t>–Allmaras (SA) turbulence model was employed to capture the effects of turbulence in the converging pipe flow. The computational domain was discretized using a structured/unstructured mesh with local refinement near the pipe wall to accurately resolve the boundary layer. Grid independence tests were performed to ensure that the numerical results were not sensitive to the mesh density.</w:t>
      </w:r>
    </w:p>
    <w:p w14:paraId="12A6567C" w14:textId="77777777" w:rsidR="00467930" w:rsidRPr="00467930" w:rsidRDefault="00467930" w:rsidP="00166B5C">
      <w:pPr>
        <w:pStyle w:val="Paragraph"/>
      </w:pPr>
      <w:r w:rsidRPr="00467930">
        <w:t>The governing equations were solved in ANSYS Fluent using the finite volume method. Pressure–velocity coupling was handled through the SIMPLE algorithm, while second-order spatial discretization schemes were applied for momentum and turbulence equations to improve accuracy. Convergence was monitored by tracking the scaled residuals and key flow parameters until steady and repeatable solutions were achieve</w:t>
      </w:r>
    </w:p>
    <w:p w14:paraId="125086D1" w14:textId="77777777" w:rsidR="00467930" w:rsidRPr="00467930" w:rsidRDefault="00467930" w:rsidP="00166B5C">
      <w:pPr>
        <w:pStyle w:val="Paragraph"/>
        <w:rPr>
          <w:lang w:eastAsia="ru-RU"/>
        </w:rPr>
      </w:pPr>
      <w:r w:rsidRPr="00467930">
        <w:rPr>
          <w:lang w:eastAsia="ru-RU"/>
        </w:rPr>
        <w:t xml:space="preserve">On fig. 2 we compare the numerical results with the experimental ones, where the flow has passed into a completely turbulent state and reached a constant value. Here </w:t>
      </w:r>
      <w:r w:rsidRPr="00467930">
        <w:rPr>
          <w:i/>
          <w:lang w:eastAsia="ru-RU"/>
        </w:rPr>
        <w:t>U</w:t>
      </w:r>
      <w:r w:rsidRPr="00467930">
        <w:rPr>
          <w:lang w:eastAsia="ru-RU"/>
        </w:rPr>
        <w:t xml:space="preserve"> is the fluid velocity at the inlet.</w:t>
      </w:r>
    </w:p>
    <w:p w14:paraId="3650B7DC" w14:textId="77777777" w:rsidR="00467930" w:rsidRPr="00467930" w:rsidRDefault="00467930" w:rsidP="00166B5C">
      <w:pPr>
        <w:pStyle w:val="Figure"/>
        <w:rPr>
          <w:lang w:eastAsia="ru-RU"/>
        </w:rPr>
      </w:pPr>
      <w:r w:rsidRPr="00467930">
        <w:rPr>
          <w:lang w:val="ru-RU" w:eastAsia="ru-RU"/>
        </w:rPr>
        <w:object w:dxaOrig="7188" w:dyaOrig="5484" w14:anchorId="5B4D0420">
          <v:shape id="_x0000_i1046" type="#_x0000_t75" style="width:190.4pt;height:150.2pt" o:ole="">
            <v:imagedata r:id="rId49" o:title=""/>
          </v:shape>
          <o:OLEObject Type="Embed" ProgID="PBrush" ShapeID="_x0000_i1046" DrawAspect="Content" ObjectID="_1825165641" r:id="rId50"/>
        </w:object>
      </w:r>
      <w:r w:rsidRPr="00467930">
        <w:rPr>
          <w:lang w:val="ru-RU" w:eastAsia="ru-RU"/>
        </w:rPr>
        <w:object w:dxaOrig="6960" w:dyaOrig="5376" w14:anchorId="34A4314B">
          <v:shape id="_x0000_i1047" type="#_x0000_t75" style="width:189.5pt;height:150.2pt" o:ole="">
            <v:imagedata r:id="rId51" o:title=""/>
          </v:shape>
          <o:OLEObject Type="Embed" ProgID="PBrush" ShapeID="_x0000_i1047" DrawAspect="Content" ObjectID="_1825165642" r:id="rId52"/>
        </w:object>
      </w:r>
    </w:p>
    <w:p w14:paraId="51AA5065" w14:textId="77777777" w:rsidR="00467930" w:rsidRPr="00551420" w:rsidRDefault="00EC3FA2" w:rsidP="00EC3FA2">
      <w:pPr>
        <w:pStyle w:val="af2"/>
        <w:ind w:left="0"/>
        <w:jc w:val="center"/>
        <w:rPr>
          <w:sz w:val="20"/>
          <w:lang w:val="en-US"/>
        </w:rPr>
      </w:pPr>
      <w:r>
        <w:rPr>
          <w:sz w:val="20"/>
          <w:lang w:val="en-GB"/>
        </w:rPr>
        <w:t>a)</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sidR="00467930" w:rsidRPr="00551420">
        <w:rPr>
          <w:sz w:val="20"/>
          <w:lang w:val="en-US"/>
        </w:rPr>
        <w:t>b)</w:t>
      </w:r>
    </w:p>
    <w:p w14:paraId="0DDB1035" w14:textId="77777777" w:rsidR="00467930" w:rsidRPr="00467930" w:rsidRDefault="00467930" w:rsidP="00EA4119">
      <w:pPr>
        <w:spacing w:after="120"/>
        <w:jc w:val="both"/>
        <w:rPr>
          <w:sz w:val="18"/>
          <w:lang w:eastAsia="ru-RU"/>
        </w:rPr>
      </w:pPr>
      <w:r w:rsidRPr="00166B5C">
        <w:rPr>
          <w:rStyle w:val="FigureCaption"/>
          <w:b/>
        </w:rPr>
        <w:t>FIGURE</w:t>
      </w:r>
      <w:r w:rsidR="00EC3FA2">
        <w:rPr>
          <w:rStyle w:val="FigureCaption"/>
          <w:b/>
        </w:rPr>
        <w:t xml:space="preserve"> </w:t>
      </w:r>
      <w:r w:rsidRPr="00166B5C">
        <w:rPr>
          <w:rStyle w:val="FigureCaption"/>
          <w:b/>
        </w:rPr>
        <w:t>2.</w:t>
      </w:r>
      <w:r w:rsidRPr="00166B5C">
        <w:rPr>
          <w:rStyle w:val="FigureCaption"/>
        </w:rPr>
        <w:t xml:space="preserve"> Comparison of numerical results with experimental data:</w:t>
      </w:r>
      <w:r w:rsidR="007E187B">
        <w:rPr>
          <w:rStyle w:val="FigureCaption"/>
        </w:rPr>
        <w:t xml:space="preserve"> </w:t>
      </w:r>
      <w:r w:rsidRPr="00166B5C">
        <w:rPr>
          <w:rStyle w:val="FigureCaption"/>
        </w:rPr>
        <w:t xml:space="preserve">[5] a) longitudinal velocity U, b) Reynolds stresses </w:t>
      </w:r>
      <w:proofErr w:type="spellStart"/>
      <w:r w:rsidRPr="00166B5C">
        <w:rPr>
          <w:rStyle w:val="FigureCaption"/>
        </w:rPr>
        <w:t>u'v</w:t>
      </w:r>
      <w:proofErr w:type="spellEnd"/>
      <w:r w:rsidRPr="00166B5C">
        <w:rPr>
          <w:rStyle w:val="FigureCaption"/>
        </w:rPr>
        <w:t>'</w:t>
      </w:r>
      <w:r w:rsidRPr="00467930">
        <w:rPr>
          <w:sz w:val="18"/>
          <w:lang w:eastAsia="ru-RU"/>
        </w:rPr>
        <w:t>.</w:t>
      </w:r>
    </w:p>
    <w:p w14:paraId="280968BE" w14:textId="77777777" w:rsidR="00467930" w:rsidRPr="00467930" w:rsidRDefault="00467930" w:rsidP="00166B5C">
      <w:pPr>
        <w:pStyle w:val="Paragraph"/>
        <w:rPr>
          <w:lang w:eastAsia="ru-RU"/>
        </w:rPr>
      </w:pPr>
      <w:r w:rsidRPr="00467930">
        <w:rPr>
          <w:lang w:eastAsia="ru-RU"/>
        </w:rPr>
        <w:t>On fig. 3 shows the dependence of the friction coefficient of the pipe on the thickness of the momentum loss. The results of this ex</w:t>
      </w:r>
      <w:r w:rsidR="00772A15">
        <w:rPr>
          <w:lang w:eastAsia="ru-RU"/>
        </w:rPr>
        <w:t>periment were taken from Karman [2</w:t>
      </w:r>
      <w:r w:rsidRPr="00467930">
        <w:rPr>
          <w:lang w:eastAsia="ru-RU"/>
        </w:rPr>
        <w:t>].</w:t>
      </w:r>
    </w:p>
    <w:p w14:paraId="0C04104D" w14:textId="77777777" w:rsidR="00467930" w:rsidRPr="00467930" w:rsidRDefault="00F20F95" w:rsidP="00166B5C">
      <w:pPr>
        <w:pStyle w:val="Figure"/>
        <w:rPr>
          <w:lang w:eastAsia="ru-RU"/>
        </w:rPr>
      </w:pPr>
      <w:r w:rsidRPr="00467930">
        <w:rPr>
          <w:noProof/>
          <w:lang w:val="ru-RU" w:eastAsia="ja-JP"/>
        </w:rPr>
        <w:lastRenderedPageBreak/>
        <w:drawing>
          <wp:inline distT="0" distB="0" distL="0" distR="0" wp14:anchorId="1A03D2C8" wp14:editId="13E09AFC">
            <wp:extent cx="2686050" cy="1781175"/>
            <wp:effectExtent l="0" t="0" r="0" b="0"/>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p w14:paraId="12F21432" w14:textId="77777777" w:rsidR="00467930" w:rsidRPr="00467930" w:rsidRDefault="00467930" w:rsidP="00EA4119">
      <w:pPr>
        <w:pStyle w:val="FigureCaption0"/>
        <w:spacing w:after="120"/>
        <w:rPr>
          <w:lang w:eastAsia="ru-RU"/>
        </w:rPr>
      </w:pPr>
      <w:r w:rsidRPr="00467930">
        <w:rPr>
          <w:b/>
          <w:lang w:eastAsia="ru-RU"/>
        </w:rPr>
        <w:t>FIGURE</w:t>
      </w:r>
      <w:r w:rsidR="00EC3FA2">
        <w:rPr>
          <w:b/>
          <w:lang w:eastAsia="ru-RU"/>
        </w:rPr>
        <w:t xml:space="preserve"> </w:t>
      </w:r>
      <w:r w:rsidRPr="00467930">
        <w:rPr>
          <w:b/>
          <w:lang w:eastAsia="ru-RU"/>
        </w:rPr>
        <w:t xml:space="preserve">3. </w:t>
      </w:r>
      <w:r w:rsidRPr="00467930">
        <w:rPr>
          <w:lang w:eastAsia="ru-RU"/>
        </w:rPr>
        <w:t>Dependence of the coefficient of friction on the Reynolds number of the momentum loss thickness.</w:t>
      </w:r>
    </w:p>
    <w:p w14:paraId="6BFD7ACF" w14:textId="77777777" w:rsidR="00467930" w:rsidRDefault="00467930" w:rsidP="00166B5C">
      <w:pPr>
        <w:pStyle w:val="Paragraph"/>
      </w:pPr>
      <w:r w:rsidRPr="00467930">
        <w:t>Figure 4 presents the streamline distribution, which demonstrates a pronounced rise in velocity within the contracted section of the pipe. This behavior is associated with the reduction in cross-sectional area, resulting in the acceleration of the flow</w:t>
      </w:r>
    </w:p>
    <w:p w14:paraId="765D3D53" w14:textId="77777777" w:rsidR="00166B5C" w:rsidRPr="00467930" w:rsidRDefault="00F20F95" w:rsidP="00166B5C">
      <w:pPr>
        <w:pStyle w:val="Figure"/>
      </w:pPr>
      <w:r w:rsidRPr="0027260C">
        <w:rPr>
          <w:noProof/>
          <w:lang w:val="ru-RU" w:eastAsia="ja-JP"/>
        </w:rPr>
        <w:drawing>
          <wp:inline distT="0" distB="0" distL="0" distR="0" wp14:anchorId="3B275368" wp14:editId="6EB78130">
            <wp:extent cx="2447925" cy="189547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r w:rsidRPr="0027260C">
        <w:rPr>
          <w:noProof/>
          <w:lang w:val="ru-RU" w:eastAsia="ja-JP"/>
        </w:rPr>
        <w:drawing>
          <wp:inline distT="0" distB="0" distL="0" distR="0" wp14:anchorId="10E4086D" wp14:editId="1723E5FD">
            <wp:extent cx="838200" cy="1905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1905000"/>
                    </a:xfrm>
                    <a:prstGeom prst="rect">
                      <a:avLst/>
                    </a:prstGeom>
                    <a:noFill/>
                    <a:ln>
                      <a:noFill/>
                    </a:ln>
                  </pic:spPr>
                </pic:pic>
              </a:graphicData>
            </a:graphic>
          </wp:inline>
        </w:drawing>
      </w:r>
    </w:p>
    <w:p w14:paraId="7206892B" w14:textId="77777777" w:rsidR="00467930" w:rsidRPr="00467930" w:rsidRDefault="00467930" w:rsidP="00EA4119">
      <w:pPr>
        <w:pStyle w:val="FigureCaption0"/>
        <w:spacing w:after="120"/>
        <w:rPr>
          <w:bCs/>
        </w:rPr>
      </w:pPr>
      <w:r w:rsidRPr="00467930">
        <w:rPr>
          <w:b/>
          <w:bCs/>
        </w:rPr>
        <w:t>FIGURE</w:t>
      </w:r>
      <w:r w:rsidR="00EC3FA2">
        <w:rPr>
          <w:b/>
          <w:bCs/>
        </w:rPr>
        <w:t xml:space="preserve"> </w:t>
      </w:r>
      <w:r w:rsidRPr="00467930">
        <w:rPr>
          <w:b/>
          <w:bCs/>
        </w:rPr>
        <w:t>4.</w:t>
      </w:r>
      <w:r w:rsidRPr="00467930">
        <w:t xml:space="preserve"> The streamlines are depicted.</w:t>
      </w:r>
    </w:p>
    <w:p w14:paraId="7FC925BC" w14:textId="77777777" w:rsidR="00467930" w:rsidRPr="00467930" w:rsidRDefault="00467930" w:rsidP="00EA4119">
      <w:pPr>
        <w:pStyle w:val="Paragraph"/>
        <w:spacing w:after="120"/>
      </w:pPr>
      <w:r w:rsidRPr="00467930">
        <w:t>In Figure 5, the particle motion at different concentrations and their settling at various times are depicted in 3D. At the location where the pipe diameter changes, both the fluid velocity and the particle velocity varied significantly. In this case, the SA turbulence model provided a good representation of the process, while the VOF model was used for the particles.</w:t>
      </w:r>
    </w:p>
    <w:tbl>
      <w:tblPr>
        <w:tblW w:w="0" w:type="auto"/>
        <w:tblLook w:val="04A0" w:firstRow="1" w:lastRow="0" w:firstColumn="1" w:lastColumn="0" w:noHBand="0" w:noVBand="1"/>
      </w:tblPr>
      <w:tblGrid>
        <w:gridCol w:w="4587"/>
        <w:gridCol w:w="4773"/>
      </w:tblGrid>
      <w:tr w:rsidR="00467930" w:rsidRPr="0027260C" w14:paraId="1A2B0141" w14:textId="77777777" w:rsidTr="0027260C">
        <w:tc>
          <w:tcPr>
            <w:tcW w:w="4581" w:type="dxa"/>
          </w:tcPr>
          <w:p w14:paraId="62B9ABE2" w14:textId="77777777" w:rsidR="00467930" w:rsidRPr="0027260C" w:rsidRDefault="00F20F95" w:rsidP="00166B5C">
            <w:pPr>
              <w:pStyle w:val="Figure"/>
              <w:rPr>
                <w:bCs/>
              </w:rPr>
            </w:pPr>
            <w:r w:rsidRPr="0027260C">
              <w:rPr>
                <w:noProof/>
                <w:lang w:val="ru-RU" w:eastAsia="ja-JP"/>
              </w:rPr>
              <w:drawing>
                <wp:inline distT="0" distB="0" distL="0" distR="0" wp14:anchorId="573ACAB7" wp14:editId="057FA3FA">
                  <wp:extent cx="2914650" cy="160972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1609725"/>
                          </a:xfrm>
                          <a:prstGeom prst="rect">
                            <a:avLst/>
                          </a:prstGeom>
                          <a:noFill/>
                          <a:ln>
                            <a:noFill/>
                          </a:ln>
                        </pic:spPr>
                      </pic:pic>
                    </a:graphicData>
                  </a:graphic>
                </wp:inline>
              </w:drawing>
            </w:r>
          </w:p>
        </w:tc>
        <w:tc>
          <w:tcPr>
            <w:tcW w:w="4763" w:type="dxa"/>
          </w:tcPr>
          <w:p w14:paraId="0803F06C" w14:textId="77777777" w:rsidR="00467930" w:rsidRPr="0027260C" w:rsidRDefault="00F20F95" w:rsidP="00166B5C">
            <w:pPr>
              <w:pStyle w:val="Figure"/>
              <w:rPr>
                <w:bCs/>
              </w:rPr>
            </w:pPr>
            <w:r w:rsidRPr="0027260C">
              <w:rPr>
                <w:noProof/>
                <w:lang w:val="ru-RU" w:eastAsia="ja-JP"/>
              </w:rPr>
              <w:drawing>
                <wp:inline distT="0" distB="0" distL="0" distR="0" wp14:anchorId="0CC26AF7" wp14:editId="198E419A">
                  <wp:extent cx="3038475" cy="1552575"/>
                  <wp:effectExtent l="0" t="0" r="0" b="0"/>
                  <wp:docPr id="3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1552575"/>
                          </a:xfrm>
                          <a:prstGeom prst="rect">
                            <a:avLst/>
                          </a:prstGeom>
                          <a:noFill/>
                          <a:ln>
                            <a:noFill/>
                          </a:ln>
                        </pic:spPr>
                      </pic:pic>
                    </a:graphicData>
                  </a:graphic>
                </wp:inline>
              </w:drawing>
            </w:r>
          </w:p>
        </w:tc>
      </w:tr>
      <w:tr w:rsidR="00467930" w:rsidRPr="0027260C" w14:paraId="732FC9E8" w14:textId="77777777" w:rsidTr="0027260C">
        <w:tc>
          <w:tcPr>
            <w:tcW w:w="4581" w:type="dxa"/>
          </w:tcPr>
          <w:p w14:paraId="7EDBDFEB" w14:textId="77777777" w:rsidR="00467930" w:rsidRPr="0027260C" w:rsidRDefault="00467930" w:rsidP="00166B5C">
            <w:pPr>
              <w:pStyle w:val="FigureCaption0"/>
              <w:rPr>
                <w:noProof/>
                <w:lang w:eastAsia="ru-RU"/>
              </w:rPr>
            </w:pPr>
            <w:r w:rsidRPr="0027260C">
              <w:rPr>
                <w:noProof/>
                <w:lang w:eastAsia="ru-RU"/>
              </w:rPr>
              <w:t>T=5 sek</w:t>
            </w:r>
          </w:p>
        </w:tc>
        <w:tc>
          <w:tcPr>
            <w:tcW w:w="4763" w:type="dxa"/>
          </w:tcPr>
          <w:p w14:paraId="542A3B3F" w14:textId="77777777" w:rsidR="00467930" w:rsidRPr="0027260C" w:rsidRDefault="00467930" w:rsidP="00166B5C">
            <w:pPr>
              <w:pStyle w:val="FigureCaption0"/>
              <w:rPr>
                <w:noProof/>
                <w:lang w:val="ru-RU" w:eastAsia="ru-RU"/>
              </w:rPr>
            </w:pPr>
            <w:r w:rsidRPr="0027260C">
              <w:rPr>
                <w:noProof/>
                <w:lang w:eastAsia="ru-RU"/>
              </w:rPr>
              <w:t>T=15 sek</w:t>
            </w:r>
          </w:p>
        </w:tc>
      </w:tr>
      <w:tr w:rsidR="00467930" w:rsidRPr="0027260C" w14:paraId="73EC97C5" w14:textId="77777777" w:rsidTr="0027260C">
        <w:tc>
          <w:tcPr>
            <w:tcW w:w="4581" w:type="dxa"/>
          </w:tcPr>
          <w:p w14:paraId="0B61CA50" w14:textId="77777777" w:rsidR="00467930" w:rsidRPr="0027260C" w:rsidRDefault="00F20F95" w:rsidP="00166B5C">
            <w:pPr>
              <w:pStyle w:val="Figure"/>
              <w:rPr>
                <w:noProof/>
              </w:rPr>
            </w:pPr>
            <w:r w:rsidRPr="0027260C">
              <w:rPr>
                <w:noProof/>
                <w:lang w:val="ru-RU" w:eastAsia="ja-JP"/>
              </w:rPr>
              <w:lastRenderedPageBreak/>
              <w:drawing>
                <wp:inline distT="0" distB="0" distL="0" distR="0" wp14:anchorId="01776972" wp14:editId="5D14EC3D">
                  <wp:extent cx="2847975" cy="1628775"/>
                  <wp:effectExtent l="0" t="0" r="0" b="0"/>
                  <wp:docPr id="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inline>
              </w:drawing>
            </w:r>
          </w:p>
        </w:tc>
        <w:tc>
          <w:tcPr>
            <w:tcW w:w="4763" w:type="dxa"/>
          </w:tcPr>
          <w:p w14:paraId="419B0A72" w14:textId="77777777" w:rsidR="00467930" w:rsidRPr="0027260C" w:rsidRDefault="00F20F95" w:rsidP="00166B5C">
            <w:pPr>
              <w:pStyle w:val="Figure"/>
              <w:rPr>
                <w:noProof/>
              </w:rPr>
            </w:pPr>
            <w:r w:rsidRPr="0027260C">
              <w:rPr>
                <w:noProof/>
                <w:lang w:val="ru-RU" w:eastAsia="ja-JP"/>
              </w:rPr>
              <w:drawing>
                <wp:inline distT="0" distB="0" distL="0" distR="0" wp14:anchorId="06B7D85A" wp14:editId="55F39AC2">
                  <wp:extent cx="2971800" cy="1533525"/>
                  <wp:effectExtent l="0" t="0" r="0" b="0"/>
                  <wp:docPr id="3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tc>
      </w:tr>
      <w:tr w:rsidR="00467930" w:rsidRPr="0027260C" w14:paraId="4ECBFB61" w14:textId="77777777" w:rsidTr="0027260C">
        <w:tc>
          <w:tcPr>
            <w:tcW w:w="4581" w:type="dxa"/>
          </w:tcPr>
          <w:p w14:paraId="56875108" w14:textId="77777777" w:rsidR="00467930" w:rsidRPr="0027260C" w:rsidRDefault="00467930" w:rsidP="00166B5C">
            <w:pPr>
              <w:pStyle w:val="FigureCaption0"/>
              <w:rPr>
                <w:noProof/>
                <w:lang w:val="ru-RU" w:eastAsia="ru-RU"/>
              </w:rPr>
            </w:pPr>
            <w:r w:rsidRPr="0027260C">
              <w:rPr>
                <w:noProof/>
                <w:lang w:eastAsia="ru-RU"/>
              </w:rPr>
              <w:t>T=25 sek</w:t>
            </w:r>
          </w:p>
        </w:tc>
        <w:tc>
          <w:tcPr>
            <w:tcW w:w="4763" w:type="dxa"/>
          </w:tcPr>
          <w:p w14:paraId="203C9279" w14:textId="77777777" w:rsidR="00467930" w:rsidRPr="0027260C" w:rsidRDefault="00467930" w:rsidP="00166B5C">
            <w:pPr>
              <w:pStyle w:val="FigureCaption0"/>
              <w:rPr>
                <w:noProof/>
                <w:lang w:val="ru-RU" w:eastAsia="ru-RU"/>
              </w:rPr>
            </w:pPr>
            <w:r w:rsidRPr="0027260C">
              <w:rPr>
                <w:noProof/>
                <w:lang w:eastAsia="ru-RU"/>
              </w:rPr>
              <w:t>T=35 sek</w:t>
            </w:r>
          </w:p>
        </w:tc>
      </w:tr>
      <w:tr w:rsidR="00467930" w:rsidRPr="0027260C" w14:paraId="51652C67" w14:textId="77777777" w:rsidTr="0027260C">
        <w:tc>
          <w:tcPr>
            <w:tcW w:w="4581" w:type="dxa"/>
          </w:tcPr>
          <w:p w14:paraId="0277A6C3" w14:textId="77777777" w:rsidR="00467930" w:rsidRPr="0027260C" w:rsidRDefault="00F20F95" w:rsidP="00166B5C">
            <w:pPr>
              <w:pStyle w:val="FigureCaption0"/>
              <w:rPr>
                <w:noProof/>
              </w:rPr>
            </w:pPr>
            <w:r w:rsidRPr="0027260C">
              <w:rPr>
                <w:noProof/>
                <w:lang w:val="ru-RU" w:eastAsia="ja-JP"/>
              </w:rPr>
              <w:drawing>
                <wp:inline distT="0" distB="0" distL="0" distR="0" wp14:anchorId="7D84E8CD" wp14:editId="6EE408FD">
                  <wp:extent cx="2809875" cy="1409700"/>
                  <wp:effectExtent l="0" t="0" r="0" b="0"/>
                  <wp:docPr id="3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9875" cy="1409700"/>
                          </a:xfrm>
                          <a:prstGeom prst="rect">
                            <a:avLst/>
                          </a:prstGeom>
                          <a:noFill/>
                          <a:ln>
                            <a:noFill/>
                          </a:ln>
                        </pic:spPr>
                      </pic:pic>
                    </a:graphicData>
                  </a:graphic>
                </wp:inline>
              </w:drawing>
            </w:r>
          </w:p>
        </w:tc>
        <w:tc>
          <w:tcPr>
            <w:tcW w:w="4763" w:type="dxa"/>
          </w:tcPr>
          <w:p w14:paraId="4345373E" w14:textId="77777777" w:rsidR="00467930" w:rsidRPr="0027260C" w:rsidRDefault="00F20F95" w:rsidP="00166B5C">
            <w:pPr>
              <w:pStyle w:val="FigureCaption0"/>
              <w:rPr>
                <w:noProof/>
              </w:rPr>
            </w:pPr>
            <w:r w:rsidRPr="0027260C">
              <w:rPr>
                <w:noProof/>
                <w:lang w:val="ru-RU" w:eastAsia="ja-JP"/>
              </w:rPr>
              <w:drawing>
                <wp:inline distT="0" distB="0" distL="0" distR="0" wp14:anchorId="3D39D051" wp14:editId="6DF97762">
                  <wp:extent cx="2962275" cy="1590675"/>
                  <wp:effectExtent l="0" t="0" r="0" b="0"/>
                  <wp:docPr id="3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1590675"/>
                          </a:xfrm>
                          <a:prstGeom prst="rect">
                            <a:avLst/>
                          </a:prstGeom>
                          <a:noFill/>
                          <a:ln>
                            <a:noFill/>
                          </a:ln>
                        </pic:spPr>
                      </pic:pic>
                    </a:graphicData>
                  </a:graphic>
                </wp:inline>
              </w:drawing>
            </w:r>
          </w:p>
        </w:tc>
      </w:tr>
      <w:tr w:rsidR="00467930" w:rsidRPr="0027260C" w14:paraId="1F9E0022" w14:textId="77777777" w:rsidTr="0027260C">
        <w:tc>
          <w:tcPr>
            <w:tcW w:w="4581" w:type="dxa"/>
          </w:tcPr>
          <w:p w14:paraId="316544F5" w14:textId="77777777" w:rsidR="00467930" w:rsidRPr="0027260C" w:rsidRDefault="00467930" w:rsidP="00166B5C">
            <w:pPr>
              <w:pStyle w:val="FigureCaption0"/>
              <w:rPr>
                <w:noProof/>
              </w:rPr>
            </w:pPr>
            <w:r w:rsidRPr="0027260C">
              <w:rPr>
                <w:noProof/>
                <w:lang w:eastAsia="ru-RU"/>
              </w:rPr>
              <w:t>T=45 sek</w:t>
            </w:r>
          </w:p>
        </w:tc>
        <w:tc>
          <w:tcPr>
            <w:tcW w:w="4763" w:type="dxa"/>
          </w:tcPr>
          <w:p w14:paraId="1513472B" w14:textId="77777777" w:rsidR="00467930" w:rsidRPr="0027260C" w:rsidRDefault="00467930" w:rsidP="00166B5C">
            <w:pPr>
              <w:pStyle w:val="FigureCaption0"/>
              <w:rPr>
                <w:noProof/>
              </w:rPr>
            </w:pPr>
            <w:r w:rsidRPr="0027260C">
              <w:rPr>
                <w:noProof/>
                <w:lang w:eastAsia="ru-RU"/>
              </w:rPr>
              <w:t>T=45 sek</w:t>
            </w:r>
          </w:p>
        </w:tc>
      </w:tr>
      <w:tr w:rsidR="00467930" w:rsidRPr="0027260C" w14:paraId="2A3C7F7B" w14:textId="77777777" w:rsidTr="0027260C">
        <w:tc>
          <w:tcPr>
            <w:tcW w:w="4581" w:type="dxa"/>
          </w:tcPr>
          <w:p w14:paraId="0B77E515" w14:textId="77777777" w:rsidR="00467930" w:rsidRPr="0027260C" w:rsidRDefault="00F20F95" w:rsidP="00166B5C">
            <w:pPr>
              <w:pStyle w:val="Figure"/>
              <w:rPr>
                <w:noProof/>
              </w:rPr>
            </w:pPr>
            <w:r w:rsidRPr="0027260C">
              <w:rPr>
                <w:noProof/>
                <w:lang w:val="ru-RU" w:eastAsia="ja-JP"/>
              </w:rPr>
              <w:drawing>
                <wp:inline distT="0" distB="0" distL="0" distR="0" wp14:anchorId="1665E124" wp14:editId="0021D84C">
                  <wp:extent cx="2819400" cy="1400175"/>
                  <wp:effectExtent l="0" t="0" r="0" b="0"/>
                  <wp:docPr id="35"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chin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a:ln>
                            <a:noFill/>
                          </a:ln>
                        </pic:spPr>
                      </pic:pic>
                    </a:graphicData>
                  </a:graphic>
                </wp:inline>
              </w:drawing>
            </w:r>
          </w:p>
        </w:tc>
        <w:tc>
          <w:tcPr>
            <w:tcW w:w="4763" w:type="dxa"/>
          </w:tcPr>
          <w:p w14:paraId="119C0A1C" w14:textId="77777777" w:rsidR="00467930" w:rsidRPr="0027260C" w:rsidRDefault="00F20F95" w:rsidP="00166B5C">
            <w:pPr>
              <w:pStyle w:val="Figure"/>
              <w:rPr>
                <w:noProof/>
              </w:rPr>
            </w:pPr>
            <w:r w:rsidRPr="0027260C">
              <w:rPr>
                <w:noProof/>
                <w:lang w:val="ru-RU" w:eastAsia="ja-JP"/>
              </w:rPr>
              <w:drawing>
                <wp:inline distT="0" distB="0" distL="0" distR="0" wp14:anchorId="4E706276" wp14:editId="19B998A6">
                  <wp:extent cx="2895600" cy="1409700"/>
                  <wp:effectExtent l="0" t="0" r="0" b="0"/>
                  <wp:docPr id="36" name="Picture 1" descr="A diagram of a colorful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lorful diagram&#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5600" cy="1409700"/>
                          </a:xfrm>
                          <a:prstGeom prst="rect">
                            <a:avLst/>
                          </a:prstGeom>
                          <a:noFill/>
                          <a:ln>
                            <a:noFill/>
                          </a:ln>
                        </pic:spPr>
                      </pic:pic>
                    </a:graphicData>
                  </a:graphic>
                </wp:inline>
              </w:drawing>
            </w:r>
          </w:p>
        </w:tc>
      </w:tr>
      <w:tr w:rsidR="00467930" w:rsidRPr="0027260C" w14:paraId="21A96BBE" w14:textId="77777777" w:rsidTr="0027260C">
        <w:tc>
          <w:tcPr>
            <w:tcW w:w="4581" w:type="dxa"/>
          </w:tcPr>
          <w:p w14:paraId="6DF36B12" w14:textId="77777777" w:rsidR="00467930" w:rsidRPr="0027260C" w:rsidRDefault="00467930" w:rsidP="00166B5C">
            <w:pPr>
              <w:pStyle w:val="FigureCaption0"/>
              <w:rPr>
                <w:noProof/>
              </w:rPr>
            </w:pPr>
            <w:r w:rsidRPr="0027260C">
              <w:rPr>
                <w:noProof/>
                <w:lang w:eastAsia="ru-RU"/>
              </w:rPr>
              <w:t>T=55 sek</w:t>
            </w:r>
          </w:p>
        </w:tc>
        <w:tc>
          <w:tcPr>
            <w:tcW w:w="4763" w:type="dxa"/>
          </w:tcPr>
          <w:p w14:paraId="2E5F8621" w14:textId="77777777" w:rsidR="00467930" w:rsidRPr="0027260C" w:rsidRDefault="00467930" w:rsidP="00166B5C">
            <w:pPr>
              <w:pStyle w:val="FigureCaption0"/>
              <w:rPr>
                <w:noProof/>
              </w:rPr>
            </w:pPr>
            <w:r w:rsidRPr="0027260C">
              <w:rPr>
                <w:noProof/>
                <w:lang w:eastAsia="ru-RU"/>
              </w:rPr>
              <w:t>T=85 sek</w:t>
            </w:r>
          </w:p>
        </w:tc>
      </w:tr>
    </w:tbl>
    <w:p w14:paraId="7B9723FF" w14:textId="77777777" w:rsidR="00467930" w:rsidRPr="00467930" w:rsidRDefault="00467930" w:rsidP="00166B5C">
      <w:pPr>
        <w:pStyle w:val="FigureCaption0"/>
        <w:rPr>
          <w:bCs/>
        </w:rPr>
      </w:pPr>
      <w:r w:rsidRPr="00467930">
        <w:rPr>
          <w:b/>
          <w:noProof/>
        </w:rPr>
        <w:t>FIGURE</w:t>
      </w:r>
      <w:r w:rsidR="00EC3FA2">
        <w:rPr>
          <w:b/>
          <w:noProof/>
        </w:rPr>
        <w:t xml:space="preserve"> </w:t>
      </w:r>
      <w:r w:rsidRPr="00467930">
        <w:rPr>
          <w:b/>
          <w:noProof/>
        </w:rPr>
        <w:t>5.</w:t>
      </w:r>
      <w:r w:rsidRPr="00467930">
        <w:t xml:space="preserve"> </w:t>
      </w:r>
      <w:r w:rsidRPr="00467930">
        <w:rPr>
          <w:noProof/>
        </w:rPr>
        <w:t>The trajectory of particles in a three-dimensional pipe</w:t>
      </w:r>
    </w:p>
    <w:p w14:paraId="704CF4E1" w14:textId="77777777" w:rsidR="0027260C" w:rsidRDefault="0027260C">
      <w:pPr>
        <w:pStyle w:val="1"/>
      </w:pPr>
      <w:r>
        <w:t>Conclusion</w:t>
      </w:r>
    </w:p>
    <w:p w14:paraId="535B56B2" w14:textId="77777777" w:rsidR="00467930" w:rsidRDefault="00467930" w:rsidP="00166B5C">
      <w:pPr>
        <w:pStyle w:val="Paragraph"/>
      </w:pPr>
      <w:r w:rsidRPr="00467930">
        <w:t>In this study, the flow of dispersed particles in a converging pipe was investigated numerically. The SA turbulence model was employed, and the results were compared with experimental data. The process was simulated using the modern ANSYS Fluent software. The particle trajectories were determined based on the VOF approach. The motion of particles at different time intervals was analyzed numerically.</w:t>
      </w:r>
    </w:p>
    <w:p w14:paraId="7219C759" w14:textId="77777777" w:rsidR="0027260C" w:rsidRDefault="0027260C">
      <w:pPr>
        <w:pStyle w:val="1"/>
      </w:pPr>
      <w:r>
        <w:t>ACKNOWLEDGMENTS</w:t>
      </w:r>
    </w:p>
    <w:p w14:paraId="6201959E" w14:textId="77777777" w:rsidR="0027260C" w:rsidRDefault="0027260C">
      <w:pPr>
        <w:pStyle w:val="Paragraph"/>
      </w:pPr>
      <w:r>
        <w:t>This study was made possible by budget funding from the Uzbekistan Academy of Sciences. We express our sincere gratitude to the Academy for its ongoing support and commitment to advancing scientific research.</w:t>
      </w:r>
    </w:p>
    <w:p w14:paraId="71D5CB00" w14:textId="77777777" w:rsidR="0027260C" w:rsidRDefault="0027260C">
      <w:pPr>
        <w:pStyle w:val="1"/>
      </w:pPr>
      <w:r>
        <w:t>References</w:t>
      </w:r>
    </w:p>
    <w:p w14:paraId="31D9C1D3" w14:textId="77777777" w:rsidR="0027260C" w:rsidRPr="0027260C" w:rsidRDefault="007E187B" w:rsidP="00EA4119">
      <w:pPr>
        <w:pStyle w:val="Reference"/>
      </w:pPr>
      <w:r>
        <w:t xml:space="preserve">A. </w:t>
      </w:r>
      <w:r w:rsidR="0027260C" w:rsidRPr="0027260C">
        <w:t xml:space="preserve">I. Ibrokhimov, M. E. </w:t>
      </w:r>
      <w:proofErr w:type="spellStart"/>
      <w:r w:rsidR="0027260C" w:rsidRPr="0027260C">
        <w:t>Madaliev</w:t>
      </w:r>
      <w:proofErr w:type="spellEnd"/>
      <w:r w:rsidR="0027260C" w:rsidRPr="0027260C">
        <w:t xml:space="preserve">, R. A. </w:t>
      </w:r>
      <w:proofErr w:type="spellStart"/>
      <w:r w:rsidR="0027260C" w:rsidRPr="0027260C">
        <w:t>Fayziyev</w:t>
      </w:r>
      <w:proofErr w:type="spellEnd"/>
      <w:r w:rsidR="0027260C" w:rsidRPr="0027260C">
        <w:t xml:space="preserve"> and A. A. Mirzoev, “Numerical Simulation of Separate Flow Around a Heated Square Cylinder,” in </w:t>
      </w:r>
      <w:r w:rsidR="0027260C" w:rsidRPr="0027260C">
        <w:rPr>
          <w:i/>
        </w:rPr>
        <w:t>ICFNDS-2022,</w:t>
      </w:r>
      <w:r w:rsidR="0027260C" w:rsidRPr="0027260C">
        <w:t xml:space="preserve"> edited by A. Aziz (ACM, Tashkent, 2022), pp.23-26.</w:t>
      </w:r>
    </w:p>
    <w:p w14:paraId="09ED9B31" w14:textId="77777777" w:rsidR="0027260C" w:rsidRDefault="0027260C" w:rsidP="00EA4119">
      <w:pPr>
        <w:pStyle w:val="Reference"/>
      </w:pPr>
      <w:r>
        <w:lastRenderedPageBreak/>
        <w:t xml:space="preserve">M. A </w:t>
      </w:r>
      <w:proofErr w:type="spellStart"/>
      <w:r>
        <w:t>Shoyev</w:t>
      </w:r>
      <w:proofErr w:type="spellEnd"/>
      <w:r>
        <w:t xml:space="preserve">, A. R. Ibroximov, M. E. </w:t>
      </w:r>
      <w:proofErr w:type="spellStart"/>
      <w:r>
        <w:t>Madaliev</w:t>
      </w:r>
      <w:proofErr w:type="spellEnd"/>
      <w:r>
        <w:t xml:space="preserve">, O. Q. </w:t>
      </w:r>
      <w:proofErr w:type="spellStart"/>
      <w:r>
        <w:t>Rayimqulov</w:t>
      </w:r>
      <w:proofErr w:type="spellEnd"/>
      <w:r>
        <w:t xml:space="preserve"> and M. N. </w:t>
      </w:r>
      <w:proofErr w:type="spellStart"/>
      <w:r>
        <w:t>Ismatov</w:t>
      </w:r>
      <w:proofErr w:type="spellEnd"/>
      <w:r>
        <w:t xml:space="preserve">, “Numerical study of modified centrifugal cyclone,” in </w:t>
      </w:r>
      <w:r w:rsidRPr="00A17E39">
        <w:rPr>
          <w:i/>
          <w:iCs/>
        </w:rPr>
        <w:t>CONMECHYDRO-2023</w:t>
      </w:r>
      <w:r>
        <w:t>, E3S Web of Conferences 401, edited by D. Bazarov (EDP Sciences, Tashkent, 2023), 01036.</w:t>
      </w:r>
    </w:p>
    <w:p w14:paraId="7B674A9D" w14:textId="77777777" w:rsidR="0027260C" w:rsidRPr="00062BF5" w:rsidRDefault="0027260C" w:rsidP="00EA4119">
      <w:pPr>
        <w:pStyle w:val="Reference"/>
        <w:rPr>
          <w:lang w:val="en-GB"/>
        </w:rPr>
      </w:pPr>
      <w:r w:rsidRPr="00062BF5">
        <w:rPr>
          <w:lang w:val="en-GB"/>
        </w:rPr>
        <w:t xml:space="preserve">A. Ibrokhimov, A. Mirzoev, S. Misirov, A. </w:t>
      </w:r>
      <w:proofErr w:type="spellStart"/>
      <w:r w:rsidRPr="00062BF5">
        <w:rPr>
          <w:lang w:val="en-GB"/>
        </w:rPr>
        <w:t>Matkarimov</w:t>
      </w:r>
      <w:proofErr w:type="spellEnd"/>
      <w:r w:rsidRPr="00062BF5">
        <w:rPr>
          <w:lang w:val="en-GB"/>
        </w:rPr>
        <w:t xml:space="preserve"> and K. </w:t>
      </w:r>
      <w:proofErr w:type="spellStart"/>
      <w:r w:rsidRPr="00062BF5">
        <w:rPr>
          <w:lang w:val="en-GB"/>
        </w:rPr>
        <w:t>Djumaev</w:t>
      </w:r>
      <w:proofErr w:type="spellEnd"/>
      <w:r w:rsidRPr="00062BF5">
        <w:rPr>
          <w:lang w:val="en-GB"/>
        </w:rPr>
        <w:t xml:space="preserve">, “Comparison of the results of applying the turbulence model VT− 92 and two-fluid model to the problem of a subsonic axisymmetric jet,” in </w:t>
      </w:r>
      <w:r w:rsidRPr="00062BF5">
        <w:rPr>
          <w:i/>
          <w:lang w:val="en-GB"/>
        </w:rPr>
        <w:t>IPFA-2023</w:t>
      </w:r>
      <w:r w:rsidRPr="00062BF5">
        <w:rPr>
          <w:lang w:val="en-GB"/>
        </w:rPr>
        <w:t xml:space="preserve">, E3S Web of Conferences 452, edited by S. </w:t>
      </w:r>
      <w:proofErr w:type="spellStart"/>
      <w:r w:rsidRPr="00062BF5">
        <w:rPr>
          <w:lang w:val="en-GB"/>
        </w:rPr>
        <w:t>Yekimov</w:t>
      </w:r>
      <w:proofErr w:type="spellEnd"/>
      <w:r w:rsidRPr="00062BF5">
        <w:rPr>
          <w:lang w:val="en-GB"/>
        </w:rPr>
        <w:t xml:space="preserve"> </w:t>
      </w:r>
      <w:r w:rsidRPr="00062BF5">
        <w:rPr>
          <w:i/>
          <w:lang w:val="en-GB"/>
        </w:rPr>
        <w:t>et al.</w:t>
      </w:r>
      <w:r w:rsidRPr="00062BF5">
        <w:rPr>
          <w:lang w:val="en-GB"/>
        </w:rPr>
        <w:t xml:space="preserve"> (EDP Sciences, Dnipro, 2023), 02026.</w:t>
      </w:r>
    </w:p>
    <w:p w14:paraId="44A6627E" w14:textId="77777777" w:rsidR="0027260C" w:rsidRPr="00062BF5" w:rsidRDefault="0027260C" w:rsidP="00EA4119">
      <w:pPr>
        <w:pStyle w:val="Reference"/>
        <w:rPr>
          <w:lang w:val="en-GB"/>
        </w:rPr>
      </w:pPr>
      <w:r w:rsidRPr="00062BF5">
        <w:rPr>
          <w:lang w:val="en-GB"/>
        </w:rPr>
        <w:t xml:space="preserve"> A. A. Mirzoev and Y. D. Khodjayev, International Journal of Innovative Technology and Exploring Engineering </w:t>
      </w:r>
      <w:r w:rsidRPr="00062BF5">
        <w:rPr>
          <w:b/>
          <w:lang w:val="en-GB"/>
        </w:rPr>
        <w:t>8</w:t>
      </w:r>
      <w:r w:rsidRPr="00062BF5">
        <w:rPr>
          <w:lang w:val="en-GB"/>
        </w:rPr>
        <w:t>, 3700-3704 (2019).</w:t>
      </w:r>
    </w:p>
    <w:p w14:paraId="3E1D668C" w14:textId="77777777" w:rsidR="0027260C" w:rsidRPr="00062BF5" w:rsidRDefault="0027260C" w:rsidP="00EA4119">
      <w:pPr>
        <w:pStyle w:val="Reference"/>
        <w:rPr>
          <w:lang w:val="en-GB"/>
        </w:rPr>
      </w:pPr>
      <w:r w:rsidRPr="00062BF5">
        <w:rPr>
          <w:lang w:val="en-GB"/>
        </w:rPr>
        <w:t xml:space="preserve">Z. Malikov, A. Mirzoev, M. </w:t>
      </w:r>
      <w:proofErr w:type="spellStart"/>
      <w:r w:rsidRPr="00062BF5">
        <w:rPr>
          <w:lang w:val="en-GB"/>
        </w:rPr>
        <w:t>Madaliev</w:t>
      </w:r>
      <w:proofErr w:type="spellEnd"/>
      <w:r w:rsidRPr="00062BF5">
        <w:rPr>
          <w:lang w:val="en-GB"/>
        </w:rPr>
        <w:t xml:space="preserve">, D. </w:t>
      </w:r>
      <w:proofErr w:type="spellStart"/>
      <w:r w:rsidRPr="00062BF5">
        <w:rPr>
          <w:lang w:val="en-GB"/>
        </w:rPr>
        <w:t>Yakshibayev</w:t>
      </w:r>
      <w:proofErr w:type="spellEnd"/>
      <w:r w:rsidRPr="00062BF5">
        <w:rPr>
          <w:lang w:val="en-GB"/>
        </w:rPr>
        <w:t xml:space="preserve"> and A. Usmonov, “Numerical simulation of flow through an axisymmetric two-dimensional plane diffuser based on a new two-fluid turbulence model,” in </w:t>
      </w:r>
      <w:r w:rsidRPr="00062BF5">
        <w:rPr>
          <w:i/>
          <w:lang w:val="en-GB"/>
        </w:rPr>
        <w:t>ICISCT- 2021</w:t>
      </w:r>
      <w:r w:rsidRPr="00062BF5">
        <w:rPr>
          <w:lang w:val="en-GB"/>
        </w:rPr>
        <w:t xml:space="preserve">, edited by J. Brown (Red Hook, NY, 2021), pp.1-7. </w:t>
      </w:r>
    </w:p>
    <w:p w14:paraId="08F3DC7C" w14:textId="77777777" w:rsidR="0027260C" w:rsidRPr="00062BF5" w:rsidRDefault="0027260C" w:rsidP="00EA4119">
      <w:pPr>
        <w:pStyle w:val="Reference"/>
        <w:rPr>
          <w:lang w:val="en-GB"/>
        </w:rPr>
      </w:pPr>
      <w:r w:rsidRPr="00062BF5">
        <w:rPr>
          <w:lang w:val="en-GB"/>
        </w:rPr>
        <w:t xml:space="preserve">Z. M. Malikov, A. A Mirzoev and M. </w:t>
      </w:r>
      <w:proofErr w:type="spellStart"/>
      <w:r w:rsidRPr="00062BF5">
        <w:rPr>
          <w:lang w:val="en-GB"/>
        </w:rPr>
        <w:t>Madaliev</w:t>
      </w:r>
      <w:proofErr w:type="spellEnd"/>
      <w:r w:rsidRPr="00062BF5">
        <w:rPr>
          <w:lang w:val="en-GB"/>
        </w:rPr>
        <w:t xml:space="preserve">, Journal of Computational Applied Mechanics </w:t>
      </w:r>
      <w:r w:rsidRPr="00062BF5">
        <w:rPr>
          <w:b/>
          <w:lang w:val="en-GB"/>
        </w:rPr>
        <w:t>53</w:t>
      </w:r>
      <w:r w:rsidRPr="00062BF5">
        <w:rPr>
          <w:lang w:val="en-GB"/>
        </w:rPr>
        <w:t>, 282-296 (2022).</w:t>
      </w:r>
    </w:p>
    <w:p w14:paraId="0E5E2970" w14:textId="77777777" w:rsidR="00FE4EF2" w:rsidRDefault="00FE4EF2" w:rsidP="00954D25">
      <w:pPr>
        <w:pStyle w:val="Reference"/>
        <w:rPr>
          <w:rFonts w:eastAsia="Calibri"/>
          <w:lang w:val="en-GB"/>
        </w:rPr>
      </w:pPr>
      <w:r>
        <w:rPr>
          <w:rFonts w:eastAsia="Calibri"/>
          <w:lang w:val="en-GB"/>
        </w:rPr>
        <w:t xml:space="preserve">Z. Malikov, Applied Mathematical Modelling </w:t>
      </w:r>
      <w:r w:rsidR="00954D25">
        <w:rPr>
          <w:rFonts w:eastAsia="Calibri"/>
          <w:b/>
          <w:lang w:val="en-GB"/>
        </w:rPr>
        <w:t>104</w:t>
      </w:r>
      <w:r>
        <w:rPr>
          <w:rFonts w:eastAsia="Calibri"/>
          <w:b/>
          <w:lang w:val="en-GB"/>
        </w:rPr>
        <w:t>,</w:t>
      </w:r>
      <w:r>
        <w:rPr>
          <w:rFonts w:eastAsia="Calibri"/>
          <w:lang w:val="en-GB"/>
        </w:rPr>
        <w:t xml:space="preserve"> </w:t>
      </w:r>
      <w:r w:rsidR="00954D25">
        <w:rPr>
          <w:rFonts w:eastAsia="Calibri"/>
          <w:lang w:val="en-GB"/>
        </w:rPr>
        <w:t>3</w:t>
      </w:r>
      <w:r>
        <w:rPr>
          <w:rFonts w:eastAsia="Calibri"/>
          <w:lang w:val="en-GB"/>
        </w:rPr>
        <w:t>4–4</w:t>
      </w:r>
      <w:r w:rsidR="00954D25">
        <w:rPr>
          <w:rFonts w:eastAsia="Calibri"/>
          <w:lang w:val="en-GB"/>
        </w:rPr>
        <w:t>9</w:t>
      </w:r>
      <w:r>
        <w:rPr>
          <w:rFonts w:eastAsia="Calibri"/>
          <w:lang w:val="en-GB"/>
        </w:rPr>
        <w:t xml:space="preserve"> (2020).</w:t>
      </w:r>
    </w:p>
    <w:p w14:paraId="4D685D7E" w14:textId="77777777" w:rsidR="0027260C" w:rsidRPr="00954D25" w:rsidRDefault="00954D25" w:rsidP="00954D25">
      <w:pPr>
        <w:pStyle w:val="Reference"/>
        <w:rPr>
          <w:lang w:val="en-GB"/>
        </w:rPr>
      </w:pPr>
      <w:r w:rsidRPr="00954D25">
        <w:rPr>
          <w:lang w:val="en-GB"/>
        </w:rPr>
        <w:t>O</w:t>
      </w:r>
      <w:r w:rsidR="0027260C" w:rsidRPr="00954D25">
        <w:rPr>
          <w:lang w:val="en-GB"/>
        </w:rPr>
        <w:t xml:space="preserve">. </w:t>
      </w:r>
      <w:proofErr w:type="spellStart"/>
      <w:r w:rsidRPr="00954D25">
        <w:rPr>
          <w:lang w:val="en-GB"/>
        </w:rPr>
        <w:t>Otajon</w:t>
      </w:r>
      <w:r w:rsidR="0027260C" w:rsidRPr="00954D25">
        <w:rPr>
          <w:lang w:val="en-GB"/>
        </w:rPr>
        <w:t>ov</w:t>
      </w:r>
      <w:proofErr w:type="spellEnd"/>
      <w:r w:rsidR="0027260C" w:rsidRPr="00954D25">
        <w:rPr>
          <w:lang w:val="en-GB"/>
        </w:rPr>
        <w:t xml:space="preserve"> and </w:t>
      </w:r>
      <w:r w:rsidRPr="00954D25">
        <w:rPr>
          <w:lang w:val="en-GB"/>
        </w:rPr>
        <w:t>Z. Sattor</w:t>
      </w:r>
      <w:r w:rsidR="0027260C" w:rsidRPr="00954D25">
        <w:rPr>
          <w:lang w:val="en-GB"/>
        </w:rPr>
        <w:t>ov, “</w:t>
      </w:r>
      <w:r w:rsidRPr="00954D25">
        <w:rPr>
          <w:bCs/>
        </w:rPr>
        <w:t>Strength characteristics of aerated concrete with fly ash filler from Angren Thermal Power Plant</w:t>
      </w:r>
      <w:r w:rsidR="0027260C" w:rsidRPr="00954D25">
        <w:rPr>
          <w:lang w:val="en-GB"/>
        </w:rPr>
        <w:t xml:space="preserve">,” in </w:t>
      </w:r>
      <w:r w:rsidRPr="00954D25">
        <w:rPr>
          <w:i/>
          <w:iCs/>
        </w:rPr>
        <w:t>CONMECHYDRO-2023</w:t>
      </w:r>
      <w:r w:rsidRPr="00954D25">
        <w:rPr>
          <w:i/>
        </w:rPr>
        <w:t xml:space="preserve">, </w:t>
      </w:r>
      <w:r w:rsidRPr="00954D25">
        <w:t xml:space="preserve">E3S Web of Conferences </w:t>
      </w:r>
      <w:r>
        <w:t>365</w:t>
      </w:r>
      <w:r w:rsidRPr="00954D25">
        <w:t>, edited by D. Bazarov (EDP Sciences, Tashkent, 2023), 01036</w:t>
      </w:r>
      <w:r w:rsidRPr="00954D25">
        <w:rPr>
          <w:i/>
        </w:rPr>
        <w:t>.</w:t>
      </w:r>
    </w:p>
    <w:p w14:paraId="37D78044" w14:textId="77777777" w:rsidR="0027260C" w:rsidRPr="00062BF5" w:rsidRDefault="0027260C" w:rsidP="00EA4119">
      <w:pPr>
        <w:pStyle w:val="Reference"/>
        <w:rPr>
          <w:lang w:val="en-GB"/>
        </w:rPr>
      </w:pPr>
      <w:r w:rsidRPr="00062BF5">
        <w:rPr>
          <w:lang w:val="en-GB"/>
        </w:rPr>
        <w:t xml:space="preserve">Y. Zhang, L. Xiaobing, X. Zhang and L. Peng, Energies </w:t>
      </w:r>
      <w:r w:rsidRPr="00062BF5">
        <w:rPr>
          <w:b/>
          <w:lang w:val="en-GB"/>
        </w:rPr>
        <w:t>13 (18),</w:t>
      </w:r>
      <w:r w:rsidRPr="00062BF5">
        <w:rPr>
          <w:lang w:val="en-GB"/>
        </w:rPr>
        <w:t xml:space="preserve"> 49-52 (2020).</w:t>
      </w:r>
    </w:p>
    <w:p w14:paraId="61609435" w14:textId="77777777" w:rsidR="0027260C" w:rsidRPr="00062BF5" w:rsidRDefault="00FE4EF2" w:rsidP="00EA4119">
      <w:pPr>
        <w:pStyle w:val="Reference"/>
        <w:rPr>
          <w:lang w:val="en-GB"/>
        </w:rPr>
      </w:pPr>
      <w:proofErr w:type="spellStart"/>
      <w:r>
        <w:rPr>
          <w:lang w:val="en-GB"/>
        </w:rPr>
        <w:t>Z.Malikov</w:t>
      </w:r>
      <w:proofErr w:type="spellEnd"/>
      <w:r>
        <w:rPr>
          <w:lang w:val="en-GB"/>
        </w:rPr>
        <w:t xml:space="preserve">, Applied Mathematical </w:t>
      </w:r>
      <w:proofErr w:type="spellStart"/>
      <w:r>
        <w:rPr>
          <w:lang w:val="en-GB"/>
        </w:rPr>
        <w:t>Modeling</w:t>
      </w:r>
      <w:proofErr w:type="spellEnd"/>
      <w:r>
        <w:rPr>
          <w:lang w:val="en-GB"/>
        </w:rPr>
        <w:t xml:space="preserve"> </w:t>
      </w:r>
      <w:r w:rsidRPr="00FE4EF2">
        <w:rPr>
          <w:b/>
          <w:lang w:val="en-GB"/>
        </w:rPr>
        <w:t>82</w:t>
      </w:r>
      <w:r w:rsidRPr="00FE4EF2">
        <w:rPr>
          <w:lang w:val="en-GB"/>
        </w:rPr>
        <w:t>, 409-436(202</w:t>
      </w:r>
      <w:r>
        <w:rPr>
          <w:lang w:val="en-GB"/>
        </w:rPr>
        <w:t>2</w:t>
      </w:r>
      <w:r w:rsidRPr="00FE4EF2">
        <w:rPr>
          <w:lang w:val="en-GB"/>
        </w:rPr>
        <w:t>)</w:t>
      </w:r>
    </w:p>
    <w:p w14:paraId="5122977C" w14:textId="77777777" w:rsidR="0027260C" w:rsidRDefault="0027260C" w:rsidP="00EA4119">
      <w:pPr>
        <w:pStyle w:val="Reference"/>
      </w:pPr>
      <w:r>
        <w:t xml:space="preserve">K. </w:t>
      </w:r>
      <w:proofErr w:type="spellStart"/>
      <w:r>
        <w:t>Navruzov</w:t>
      </w:r>
      <w:proofErr w:type="spellEnd"/>
      <w:r>
        <w:t xml:space="preserve"> and S. B. Sharipova, Fluid Dynamics 58, 360-370 (2023).</w:t>
      </w:r>
    </w:p>
    <w:p w14:paraId="371A4EE8" w14:textId="77777777" w:rsidR="0027260C" w:rsidRDefault="0027260C" w:rsidP="00EA4119">
      <w:pPr>
        <w:pStyle w:val="Reference"/>
      </w:pPr>
      <w:r>
        <w:t xml:space="preserve">K. Navruzov, R. A. Fayziyev, and A. A. Mirzoev, “Tangential Shear Stress in an Oscillatory Flow of a Viscoelastic Fluid in a Flat Channel,” in NEW2AN-2022, edited by Y. </w:t>
      </w:r>
      <w:proofErr w:type="spellStart"/>
      <w:r>
        <w:t>Koucheryavy</w:t>
      </w:r>
      <w:proofErr w:type="spellEnd"/>
      <w:r>
        <w:t xml:space="preserve"> </w:t>
      </w:r>
      <w:r w:rsidRPr="003B0DE4">
        <w:rPr>
          <w:i/>
          <w:iCs/>
        </w:rPr>
        <w:t>et al</w:t>
      </w:r>
      <w:r>
        <w:t>. (Springer, Tashkent, 2023), pp.1-14.</w:t>
      </w:r>
    </w:p>
    <w:sectPr w:rsidR="0027260C">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multilevel"/>
    <w:tmpl w:val="00000007"/>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E"/>
    <w:multiLevelType w:val="multilevel"/>
    <w:tmpl w:val="0000000E"/>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4D1015"/>
    <w:multiLevelType w:val="hybridMultilevel"/>
    <w:tmpl w:val="5BB6BB56"/>
    <w:lvl w:ilvl="0" w:tplc="04190017">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108E4EA6"/>
    <w:multiLevelType w:val="hybridMultilevel"/>
    <w:tmpl w:val="DA907C7A"/>
    <w:lvl w:ilvl="0" w:tplc="C38E9662">
      <w:start w:val="1"/>
      <w:numFmt w:val="lowerLetter"/>
      <w:lvlText w:val="%1)"/>
      <w:lvlJc w:val="left"/>
      <w:pPr>
        <w:ind w:left="16200" w:hanging="360"/>
      </w:pPr>
      <w:rPr>
        <w:rFonts w:hint="default"/>
      </w:rPr>
    </w:lvl>
    <w:lvl w:ilvl="1" w:tplc="04190019" w:tentative="1">
      <w:start w:val="1"/>
      <w:numFmt w:val="lowerLetter"/>
      <w:lvlText w:val="%2."/>
      <w:lvlJc w:val="left"/>
      <w:pPr>
        <w:ind w:left="16920" w:hanging="360"/>
      </w:pPr>
    </w:lvl>
    <w:lvl w:ilvl="2" w:tplc="0419001B" w:tentative="1">
      <w:start w:val="1"/>
      <w:numFmt w:val="lowerRoman"/>
      <w:lvlText w:val="%3."/>
      <w:lvlJc w:val="right"/>
      <w:pPr>
        <w:ind w:left="17640" w:hanging="180"/>
      </w:pPr>
    </w:lvl>
    <w:lvl w:ilvl="3" w:tplc="0419000F" w:tentative="1">
      <w:start w:val="1"/>
      <w:numFmt w:val="decimal"/>
      <w:lvlText w:val="%4."/>
      <w:lvlJc w:val="left"/>
      <w:pPr>
        <w:ind w:left="18360" w:hanging="360"/>
      </w:pPr>
    </w:lvl>
    <w:lvl w:ilvl="4" w:tplc="04190019" w:tentative="1">
      <w:start w:val="1"/>
      <w:numFmt w:val="lowerLetter"/>
      <w:lvlText w:val="%5."/>
      <w:lvlJc w:val="left"/>
      <w:pPr>
        <w:ind w:left="19080" w:hanging="360"/>
      </w:pPr>
    </w:lvl>
    <w:lvl w:ilvl="5" w:tplc="0419001B" w:tentative="1">
      <w:start w:val="1"/>
      <w:numFmt w:val="lowerRoman"/>
      <w:lvlText w:val="%6."/>
      <w:lvlJc w:val="right"/>
      <w:pPr>
        <w:ind w:left="19800" w:hanging="180"/>
      </w:pPr>
    </w:lvl>
    <w:lvl w:ilvl="6" w:tplc="0419000F" w:tentative="1">
      <w:start w:val="1"/>
      <w:numFmt w:val="decimal"/>
      <w:lvlText w:val="%7."/>
      <w:lvlJc w:val="left"/>
      <w:pPr>
        <w:ind w:left="20520" w:hanging="360"/>
      </w:pPr>
    </w:lvl>
    <w:lvl w:ilvl="7" w:tplc="04190019" w:tentative="1">
      <w:start w:val="1"/>
      <w:numFmt w:val="lowerLetter"/>
      <w:lvlText w:val="%8."/>
      <w:lvlJc w:val="left"/>
      <w:pPr>
        <w:ind w:left="21240" w:hanging="360"/>
      </w:pPr>
    </w:lvl>
    <w:lvl w:ilvl="8" w:tplc="0419001B" w:tentative="1">
      <w:start w:val="1"/>
      <w:numFmt w:val="lowerRoman"/>
      <w:lvlText w:val="%9."/>
      <w:lvlJc w:val="right"/>
      <w:pPr>
        <w:ind w:left="21960" w:hanging="180"/>
      </w:pPr>
    </w:lvl>
  </w:abstractNum>
  <w:abstractNum w:abstractNumId="5" w15:restartNumberingAfterBreak="0">
    <w:nsid w:val="3AA17CE3"/>
    <w:multiLevelType w:val="hybridMultilevel"/>
    <w:tmpl w:val="4A342D44"/>
    <w:lvl w:ilvl="0" w:tplc="EBD030B2">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3777811">
    <w:abstractNumId w:val="2"/>
  </w:num>
  <w:num w:numId="2" w16cid:durableId="895355040">
    <w:abstractNumId w:val="1"/>
  </w:num>
  <w:num w:numId="3" w16cid:durableId="1819221211">
    <w:abstractNumId w:val="0"/>
  </w:num>
  <w:num w:numId="4" w16cid:durableId="1203399464">
    <w:abstractNumId w:val="4"/>
  </w:num>
  <w:num w:numId="5" w16cid:durableId="880048352">
    <w:abstractNumId w:val="5"/>
  </w:num>
  <w:num w:numId="6" w16cid:durableId="1187524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154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73204"/>
    <w:rsid w:val="00166B5C"/>
    <w:rsid w:val="00172A27"/>
    <w:rsid w:val="001D7C67"/>
    <w:rsid w:val="0027260C"/>
    <w:rsid w:val="002B5F52"/>
    <w:rsid w:val="002C3863"/>
    <w:rsid w:val="002D4A96"/>
    <w:rsid w:val="00304C42"/>
    <w:rsid w:val="003B0DE4"/>
    <w:rsid w:val="003D5AF1"/>
    <w:rsid w:val="0040361D"/>
    <w:rsid w:val="00452764"/>
    <w:rsid w:val="00467930"/>
    <w:rsid w:val="00551420"/>
    <w:rsid w:val="00613751"/>
    <w:rsid w:val="0062385A"/>
    <w:rsid w:val="00667F69"/>
    <w:rsid w:val="00702B5F"/>
    <w:rsid w:val="00711D07"/>
    <w:rsid w:val="00744B9F"/>
    <w:rsid w:val="00754C3D"/>
    <w:rsid w:val="00772A15"/>
    <w:rsid w:val="007E187B"/>
    <w:rsid w:val="00865D1D"/>
    <w:rsid w:val="008E79B6"/>
    <w:rsid w:val="008F2C96"/>
    <w:rsid w:val="00926DE9"/>
    <w:rsid w:val="00954D25"/>
    <w:rsid w:val="009E6307"/>
    <w:rsid w:val="00A17E39"/>
    <w:rsid w:val="00A43877"/>
    <w:rsid w:val="00A6498E"/>
    <w:rsid w:val="00B50313"/>
    <w:rsid w:val="00C66A45"/>
    <w:rsid w:val="00D13827"/>
    <w:rsid w:val="00D17F95"/>
    <w:rsid w:val="00D50EC2"/>
    <w:rsid w:val="00E74498"/>
    <w:rsid w:val="00EA4119"/>
    <w:rsid w:val="00EA4478"/>
    <w:rsid w:val="00EC2B02"/>
    <w:rsid w:val="00EC3FA2"/>
    <w:rsid w:val="00F20F95"/>
    <w:rsid w:val="00FE4E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055F89"/>
  <w15:chartTrackingRefBased/>
  <w15:docId w15:val="{567BAB25-2ACF-4E44-B4AD-B797DB07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iCs/>
      <w:sz w:val="20"/>
      <w:lang w:val="ru-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iCs/>
    </w:rPr>
  </w:style>
  <w:style w:type="character" w:styleId="a4">
    <w:name w:val="Hyperlink"/>
    <w:rPr>
      <w:color w:val="0000FF"/>
      <w:u w:val="single"/>
    </w:rPr>
  </w:style>
  <w:style w:type="character" w:styleId="a5">
    <w:name w:val="footnote reference"/>
    <w:rPr>
      <w:vertAlign w:val="superscript"/>
    </w:rPr>
  </w:style>
  <w:style w:type="character" w:styleId="a6">
    <w:name w:val="Strong"/>
    <w:qFormat/>
    <w:rPr>
      <w:b/>
      <w:bCs/>
    </w:rPr>
  </w:style>
  <w:style w:type="character" w:customStyle="1" w:styleId="a7">
    <w:name w:val="Текст выноски Знак"/>
    <w:link w:val="a8"/>
    <w:rPr>
      <w:rFonts w:ascii="Tahoma" w:hAnsi="Tahoma" w:cs="Tahoma"/>
      <w:sz w:val="16"/>
      <w:szCs w:val="16"/>
      <w:lang w:val="en-US" w:eastAsia="en-US"/>
    </w:rPr>
  </w:style>
  <w:style w:type="character" w:customStyle="1" w:styleId="TableCaption">
    <w:name w:val="Table Caption 字符"/>
    <w:link w:val="TableCaption0"/>
    <w:rPr>
      <w:sz w:val="18"/>
      <w:szCs w:val="18"/>
      <w:lang w:val="en-US" w:eastAsia="en-US"/>
    </w:rPr>
  </w:style>
  <w:style w:type="character" w:customStyle="1" w:styleId="Text">
    <w:name w:val="Text 字符"/>
    <w:link w:val="Text0"/>
    <w:rPr>
      <w:snapToGrid w:val="0"/>
      <w:color w:val="000000"/>
      <w:sz w:val="24"/>
      <w:szCs w:val="22"/>
      <w:lang w:val="en-US" w:eastAsia="ja-JP"/>
    </w:rPr>
  </w:style>
  <w:style w:type="character" w:customStyle="1" w:styleId="11">
    <w:name w:val="Неразрешенное упоминание1"/>
    <w:rPr>
      <w:color w:val="808080"/>
      <w:shd w:val="clear" w:color="auto" w:fill="E6E6E6"/>
    </w:rPr>
  </w:style>
  <w:style w:type="character" w:customStyle="1" w:styleId="Heading1">
    <w:name w:val="Heading1 字符"/>
    <w:link w:val="Heading10"/>
    <w:rPr>
      <w:b/>
      <w:snapToGrid w:val="0"/>
      <w:color w:val="000000"/>
      <w:sz w:val="24"/>
      <w:szCs w:val="22"/>
      <w:lang w:val="en-US" w:eastAsia="ja-JP"/>
    </w:rPr>
  </w:style>
  <w:style w:type="character" w:customStyle="1" w:styleId="FigureCaption">
    <w:name w:val="Figure Caption 字符"/>
    <w:link w:val="FigureCaption0"/>
    <w:rPr>
      <w:sz w:val="18"/>
      <w:lang w:val="en-US" w:eastAsia="en-US"/>
    </w:rPr>
  </w:style>
  <w:style w:type="character" w:customStyle="1" w:styleId="10">
    <w:name w:val="Заголовок 1 Знак"/>
    <w:link w:val="1"/>
    <w:rPr>
      <w:b/>
      <w:caps/>
      <w:sz w:val="24"/>
      <w:lang w:val="en-US" w:eastAsia="en-US"/>
    </w:rPr>
  </w:style>
  <w:style w:type="character" w:customStyle="1" w:styleId="a9">
    <w:name w:val="Тема примечания Знак"/>
    <w:link w:val="12"/>
    <w:rPr>
      <w:b/>
      <w:bCs/>
      <w:lang w:val="en-US" w:eastAsia="en-US"/>
    </w:rPr>
  </w:style>
  <w:style w:type="character" w:customStyle="1" w:styleId="13">
    <w:name w:val="Знак примечания1"/>
    <w:rPr>
      <w:sz w:val="16"/>
      <w:szCs w:val="16"/>
    </w:rPr>
  </w:style>
  <w:style w:type="character" w:customStyle="1" w:styleId="aa">
    <w:name w:val="Текст примечания Знак"/>
    <w:link w:val="ab"/>
    <w:rPr>
      <w:lang w:val="en-US" w:eastAsia="en-US"/>
    </w:rPr>
  </w:style>
  <w:style w:type="paragraph" w:styleId="a8">
    <w:name w:val="Balloon Text"/>
    <w:basedOn w:val="a"/>
    <w:link w:val="a7"/>
    <w:rPr>
      <w:rFonts w:ascii="Tahoma" w:hAnsi="Tahoma" w:cs="Tahoma"/>
      <w:sz w:val="16"/>
      <w:szCs w:val="16"/>
    </w:rPr>
  </w:style>
  <w:style w:type="paragraph" w:customStyle="1" w:styleId="ac">
    <w:name w:val="Рисунок"/>
    <w:basedOn w:val="a"/>
    <w:pPr>
      <w:jc w:val="center"/>
    </w:pPr>
    <w:rPr>
      <w:rFonts w:eastAsia="Calibri"/>
      <w:sz w:val="22"/>
      <w:szCs w:val="22"/>
      <w:lang w:val="ru-RU" w:eastAsia="ja-JP"/>
    </w:rPr>
  </w:style>
  <w:style w:type="paragraph" w:customStyle="1" w:styleId="TableCaption0">
    <w:name w:val="Table Caption"/>
    <w:basedOn w:val="FigureCaption0"/>
    <w:link w:val="TableCaption"/>
    <w:rPr>
      <w:szCs w:val="18"/>
    </w:rPr>
  </w:style>
  <w:style w:type="paragraph" w:customStyle="1" w:styleId="Equation">
    <w:name w:val="Equation"/>
    <w:basedOn w:val="Paragraph"/>
    <w:pPr>
      <w:tabs>
        <w:tab w:val="center" w:pos="4320"/>
        <w:tab w:val="right" w:pos="9242"/>
      </w:tabs>
      <w:ind w:firstLine="0"/>
      <w:jc w:val="center"/>
    </w:pPr>
  </w:style>
  <w:style w:type="paragraph" w:customStyle="1" w:styleId="Paragraph">
    <w:name w:val="Paragraph"/>
    <w:basedOn w:val="a"/>
    <w:pPr>
      <w:ind w:firstLine="284"/>
      <w:jc w:val="both"/>
    </w:pPr>
    <w:rPr>
      <w:sz w:val="20"/>
    </w:rPr>
  </w:style>
  <w:style w:type="paragraph" w:customStyle="1" w:styleId="AuthorAffiliation">
    <w:name w:val="Author Affiliation"/>
    <w:basedOn w:val="a"/>
    <w:pPr>
      <w:jc w:val="center"/>
    </w:pPr>
    <w:rPr>
      <w:i/>
      <w:sz w:val="20"/>
    </w:rPr>
  </w:style>
  <w:style w:type="paragraph" w:customStyle="1" w:styleId="FigureCaption0">
    <w:name w:val="Figure Caption"/>
    <w:next w:val="Paragraph"/>
    <w:link w:val="FigureCaption"/>
    <w:pPr>
      <w:spacing w:before="120"/>
      <w:jc w:val="center"/>
    </w:pPr>
    <w:rPr>
      <w:sz w:val="18"/>
      <w:lang w:val="en-US" w:eastAsia="en-US"/>
    </w:rPr>
  </w:style>
  <w:style w:type="paragraph" w:customStyle="1" w:styleId="AuthorEmail">
    <w:name w:val="Author Email"/>
    <w:basedOn w:val="a"/>
    <w:pPr>
      <w:jc w:val="center"/>
    </w:pPr>
    <w:rPr>
      <w:sz w:val="20"/>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bstract">
    <w:name w:val="Abstract"/>
    <w:basedOn w:val="a"/>
    <w:next w:val="1"/>
    <w:pPr>
      <w:spacing w:before="360" w:after="360"/>
      <w:ind w:left="289" w:right="289"/>
      <w:jc w:val="both"/>
    </w:pPr>
    <w:rPr>
      <w:sz w:val="18"/>
    </w:rPr>
  </w:style>
  <w:style w:type="paragraph" w:customStyle="1" w:styleId="ad">
    <w:name w:val="Формула"/>
    <w:basedOn w:val="a"/>
    <w:pPr>
      <w:tabs>
        <w:tab w:val="center" w:pos="4536"/>
        <w:tab w:val="right" w:pos="9356"/>
      </w:tabs>
      <w:spacing w:line="360" w:lineRule="auto"/>
    </w:pPr>
    <w:rPr>
      <w:rFonts w:eastAsia="Calibri"/>
      <w:szCs w:val="22"/>
      <w:lang w:val="ru-RU"/>
    </w:rPr>
  </w:style>
  <w:style w:type="paragraph" w:customStyle="1" w:styleId="NormalWebCharChar">
    <w:name w:val="Normal (Web) Char Char"/>
    <w:basedOn w:val="a"/>
    <w:pPr>
      <w:spacing w:before="100" w:beforeAutospacing="1" w:after="100" w:afterAutospacing="1"/>
    </w:pPr>
    <w:rPr>
      <w:szCs w:val="24"/>
      <w:lang w:val="ru-RU" w:eastAsia="ja-JP"/>
    </w:rPr>
  </w:style>
  <w:style w:type="paragraph" w:customStyle="1" w:styleId="12">
    <w:name w:val="Тема примечания1"/>
    <w:basedOn w:val="ab"/>
    <w:next w:val="ab"/>
    <w:link w:val="a9"/>
    <w:rPr>
      <w:b/>
      <w:bCs/>
    </w:rPr>
  </w:style>
  <w:style w:type="paragraph" w:customStyle="1" w:styleId="Reference">
    <w:name w:val="Reference"/>
    <w:basedOn w:val="Paragraph"/>
    <w:pPr>
      <w:numPr>
        <w:numId w:val="1"/>
      </w:numPr>
      <w:ind w:left="426" w:hanging="426"/>
    </w:pPr>
  </w:style>
  <w:style w:type="paragraph" w:customStyle="1" w:styleId="Paragraphnumbered">
    <w:name w:val="Paragraph (numbered)"/>
    <w:pPr>
      <w:numPr>
        <w:numId w:val="2"/>
      </w:numPr>
      <w:jc w:val="both"/>
    </w:pPr>
    <w:rPr>
      <w:lang w:val="en-US" w:eastAsia="en-US"/>
    </w:rPr>
  </w:style>
  <w:style w:type="paragraph" w:customStyle="1" w:styleId="Paragraphbulleted">
    <w:name w:val="Paragraph (bulleted)"/>
    <w:basedOn w:val="Paragraph"/>
    <w:pPr>
      <w:numPr>
        <w:numId w:val="3"/>
      </w:numPr>
      <w:ind w:left="641" w:hanging="357"/>
    </w:pPr>
  </w:style>
  <w:style w:type="paragraph" w:customStyle="1" w:styleId="TableBody">
    <w:name w:val="Table Body"/>
    <w:pPr>
      <w:adjustRightInd w:val="0"/>
      <w:snapToGrid w:val="0"/>
      <w:jc w:val="center"/>
    </w:pPr>
    <w:rPr>
      <w:snapToGrid w:val="0"/>
      <w:color w:val="000000"/>
      <w:sz w:val="22"/>
      <w:lang w:val="en-US"/>
    </w:rPr>
  </w:style>
  <w:style w:type="paragraph" w:customStyle="1" w:styleId="Figure">
    <w:name w:val="Figure"/>
    <w:basedOn w:val="Paragraph"/>
    <w:pPr>
      <w:keepNext/>
      <w:ind w:firstLine="0"/>
      <w:jc w:val="center"/>
    </w:pPr>
  </w:style>
  <w:style w:type="paragraph" w:customStyle="1" w:styleId="Heading10">
    <w:name w:val="Heading1"/>
    <w:link w:val="Heading1"/>
    <w:pPr>
      <w:adjustRightInd w:val="0"/>
      <w:snapToGrid w:val="0"/>
      <w:spacing w:before="360" w:after="240"/>
      <w:outlineLvl w:val="0"/>
    </w:pPr>
    <w:rPr>
      <w:b/>
      <w:snapToGrid w:val="0"/>
      <w:color w:val="000000"/>
      <w:sz w:val="24"/>
      <w:szCs w:val="22"/>
      <w:lang w:val="en-US"/>
    </w:rPr>
  </w:style>
  <w:style w:type="paragraph" w:customStyle="1" w:styleId="14">
    <w:name w:val="Абзац списка1"/>
    <w:basedOn w:val="a"/>
    <w:pPr>
      <w:ind w:left="720"/>
      <w:contextualSpacing/>
    </w:pPr>
  </w:style>
  <w:style w:type="paragraph" w:customStyle="1" w:styleId="Text0">
    <w:name w:val="Text"/>
    <w:link w:val="Text"/>
    <w:qFormat/>
    <w:pPr>
      <w:snapToGrid w:val="0"/>
      <w:spacing w:line="300" w:lineRule="auto"/>
      <w:ind w:firstLine="425"/>
      <w:jc w:val="both"/>
    </w:pPr>
    <w:rPr>
      <w:snapToGrid w:val="0"/>
      <w:color w:val="000000"/>
      <w:sz w:val="24"/>
      <w:szCs w:val="22"/>
      <w:lang w:val="en-US"/>
    </w:rPr>
  </w:style>
  <w:style w:type="paragraph" w:styleId="ae">
    <w:name w:val="footnote text"/>
    <w:basedOn w:val="a"/>
    <w:rPr>
      <w:sz w:val="16"/>
    </w:rPr>
  </w:style>
  <w:style w:type="paragraph" w:styleId="ab">
    <w:name w:val="annotation text"/>
    <w:basedOn w:val="a"/>
    <w:link w:val="aa"/>
  </w:style>
  <w:style w:type="paragraph" w:styleId="af">
    <w:name w:val="caption"/>
    <w:basedOn w:val="a"/>
    <w:next w:val="a"/>
    <w:uiPriority w:val="35"/>
    <w:unhideWhenUsed/>
    <w:qFormat/>
    <w:rsid w:val="00865D1D"/>
    <w:rPr>
      <w:b/>
      <w:bCs/>
      <w:sz w:val="20"/>
    </w:rPr>
  </w:style>
  <w:style w:type="table" w:styleId="af0">
    <w:name w:val="Table Grid"/>
    <w:basedOn w:val="a1"/>
    <w:uiPriority w:val="39"/>
    <w:rsid w:val="0062385A"/>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
    <w:name w:val="Heading2"/>
    <w:link w:val="Heading20"/>
    <w:qFormat/>
    <w:rsid w:val="00467930"/>
    <w:pPr>
      <w:spacing w:before="240" w:after="240"/>
    </w:pPr>
    <w:rPr>
      <w:rFonts w:eastAsia="Times New Roman"/>
      <w:i/>
      <w:noProof/>
      <w:snapToGrid w:val="0"/>
      <w:color w:val="000000"/>
      <w:sz w:val="24"/>
      <w:szCs w:val="22"/>
      <w:lang w:val="en-US" w:eastAsia="de-DE" w:bidi="en-US"/>
    </w:rPr>
  </w:style>
  <w:style w:type="character" w:customStyle="1" w:styleId="Heading20">
    <w:name w:val="Heading2 字符"/>
    <w:link w:val="Heading2"/>
    <w:rsid w:val="00467930"/>
    <w:rPr>
      <w:rFonts w:eastAsia="Times New Roman"/>
      <w:i/>
      <w:noProof/>
      <w:snapToGrid w:val="0"/>
      <w:color w:val="000000"/>
      <w:sz w:val="24"/>
      <w:szCs w:val="22"/>
      <w:lang w:val="en-US" w:eastAsia="de-DE" w:bidi="en-US"/>
    </w:rPr>
  </w:style>
  <w:style w:type="paragraph" w:customStyle="1" w:styleId="af1">
    <w:name w:val="текст"/>
    <w:basedOn w:val="a"/>
    <w:qFormat/>
    <w:rsid w:val="00467930"/>
    <w:pPr>
      <w:spacing w:after="40" w:line="259" w:lineRule="auto"/>
    </w:pPr>
    <w:rPr>
      <w:rFonts w:eastAsia="Aptos"/>
      <w:szCs w:val="22"/>
      <w:lang w:val="ru-RU"/>
    </w:rPr>
  </w:style>
  <w:style w:type="paragraph" w:customStyle="1" w:styleId="Acknowledgments">
    <w:name w:val="Acknowledgments"/>
    <w:link w:val="Acknowledgments0"/>
    <w:qFormat/>
    <w:rsid w:val="00467930"/>
    <w:pPr>
      <w:adjustRightInd w:val="0"/>
      <w:snapToGrid w:val="0"/>
      <w:spacing w:before="360" w:after="240" w:line="300" w:lineRule="auto"/>
      <w:jc w:val="both"/>
    </w:pPr>
    <w:rPr>
      <w:rFonts w:eastAsia="Times New Roman"/>
      <w:snapToGrid w:val="0"/>
      <w:color w:val="000000"/>
      <w:sz w:val="22"/>
      <w:szCs w:val="22"/>
      <w:lang w:val="en-US" w:eastAsia="de-DE" w:bidi="en-US"/>
    </w:rPr>
  </w:style>
  <w:style w:type="character" w:customStyle="1" w:styleId="Acknowledgments0">
    <w:name w:val="Acknowledgments 字符"/>
    <w:link w:val="Acknowledgments"/>
    <w:rsid w:val="00467930"/>
    <w:rPr>
      <w:rFonts w:eastAsia="Times New Roman"/>
      <w:snapToGrid w:val="0"/>
      <w:color w:val="000000"/>
      <w:sz w:val="22"/>
      <w:szCs w:val="22"/>
      <w:lang w:val="en-US" w:eastAsia="de-DE" w:bidi="en-US"/>
    </w:rPr>
  </w:style>
  <w:style w:type="paragraph" w:styleId="af2">
    <w:name w:val="List Paragraph"/>
    <w:basedOn w:val="a"/>
    <w:uiPriority w:val="34"/>
    <w:qFormat/>
    <w:rsid w:val="00467930"/>
    <w:pPr>
      <w:ind w:left="720"/>
      <w:contextualSpacing/>
    </w:pPr>
    <w:rPr>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1637">
      <w:bodyDiv w:val="1"/>
      <w:marLeft w:val="0"/>
      <w:marRight w:val="0"/>
      <w:marTop w:val="0"/>
      <w:marBottom w:val="0"/>
      <w:divBdr>
        <w:top w:val="none" w:sz="0" w:space="0" w:color="auto"/>
        <w:left w:val="none" w:sz="0" w:space="0" w:color="auto"/>
        <w:bottom w:val="none" w:sz="0" w:space="0" w:color="auto"/>
        <w:right w:val="none" w:sz="0" w:space="0" w:color="auto"/>
      </w:divBdr>
    </w:div>
    <w:div w:id="43986675">
      <w:bodyDiv w:val="1"/>
      <w:marLeft w:val="0"/>
      <w:marRight w:val="0"/>
      <w:marTop w:val="0"/>
      <w:marBottom w:val="0"/>
      <w:divBdr>
        <w:top w:val="none" w:sz="0" w:space="0" w:color="auto"/>
        <w:left w:val="none" w:sz="0" w:space="0" w:color="auto"/>
        <w:bottom w:val="none" w:sz="0" w:space="0" w:color="auto"/>
        <w:right w:val="none" w:sz="0" w:space="0" w:color="auto"/>
      </w:divBdr>
    </w:div>
    <w:div w:id="56825750">
      <w:bodyDiv w:val="1"/>
      <w:marLeft w:val="0"/>
      <w:marRight w:val="0"/>
      <w:marTop w:val="0"/>
      <w:marBottom w:val="0"/>
      <w:divBdr>
        <w:top w:val="none" w:sz="0" w:space="0" w:color="auto"/>
        <w:left w:val="none" w:sz="0" w:space="0" w:color="auto"/>
        <w:bottom w:val="none" w:sz="0" w:space="0" w:color="auto"/>
        <w:right w:val="none" w:sz="0" w:space="0" w:color="auto"/>
      </w:divBdr>
    </w:div>
    <w:div w:id="181209270">
      <w:bodyDiv w:val="1"/>
      <w:marLeft w:val="0"/>
      <w:marRight w:val="0"/>
      <w:marTop w:val="0"/>
      <w:marBottom w:val="0"/>
      <w:divBdr>
        <w:top w:val="none" w:sz="0" w:space="0" w:color="auto"/>
        <w:left w:val="none" w:sz="0" w:space="0" w:color="auto"/>
        <w:bottom w:val="none" w:sz="0" w:space="0" w:color="auto"/>
        <w:right w:val="none" w:sz="0" w:space="0" w:color="auto"/>
      </w:divBdr>
    </w:div>
    <w:div w:id="369302253">
      <w:bodyDiv w:val="1"/>
      <w:marLeft w:val="0"/>
      <w:marRight w:val="0"/>
      <w:marTop w:val="0"/>
      <w:marBottom w:val="0"/>
      <w:divBdr>
        <w:top w:val="none" w:sz="0" w:space="0" w:color="auto"/>
        <w:left w:val="none" w:sz="0" w:space="0" w:color="auto"/>
        <w:bottom w:val="none" w:sz="0" w:space="0" w:color="auto"/>
        <w:right w:val="none" w:sz="0" w:space="0" w:color="auto"/>
      </w:divBdr>
    </w:div>
    <w:div w:id="853494119">
      <w:bodyDiv w:val="1"/>
      <w:marLeft w:val="0"/>
      <w:marRight w:val="0"/>
      <w:marTop w:val="0"/>
      <w:marBottom w:val="0"/>
      <w:divBdr>
        <w:top w:val="none" w:sz="0" w:space="0" w:color="auto"/>
        <w:left w:val="none" w:sz="0" w:space="0" w:color="auto"/>
        <w:bottom w:val="none" w:sz="0" w:space="0" w:color="auto"/>
        <w:right w:val="none" w:sz="0" w:space="0" w:color="auto"/>
      </w:divBdr>
    </w:div>
    <w:div w:id="972750851">
      <w:bodyDiv w:val="1"/>
      <w:marLeft w:val="0"/>
      <w:marRight w:val="0"/>
      <w:marTop w:val="0"/>
      <w:marBottom w:val="0"/>
      <w:divBdr>
        <w:top w:val="none" w:sz="0" w:space="0" w:color="auto"/>
        <w:left w:val="none" w:sz="0" w:space="0" w:color="auto"/>
        <w:bottom w:val="none" w:sz="0" w:space="0" w:color="auto"/>
        <w:right w:val="none" w:sz="0" w:space="0" w:color="auto"/>
      </w:divBdr>
    </w:div>
    <w:div w:id="1932279807">
      <w:bodyDiv w:val="1"/>
      <w:marLeft w:val="0"/>
      <w:marRight w:val="0"/>
      <w:marTop w:val="0"/>
      <w:marBottom w:val="0"/>
      <w:divBdr>
        <w:top w:val="none" w:sz="0" w:space="0" w:color="auto"/>
        <w:left w:val="none" w:sz="0" w:space="0" w:color="auto"/>
        <w:bottom w:val="none" w:sz="0" w:space="0" w:color="auto"/>
        <w:right w:val="none" w:sz="0" w:space="0" w:color="auto"/>
      </w:divBdr>
    </w:div>
    <w:div w:id="20102122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3.wmf"/><Relationship Id="rId50" Type="http://schemas.openxmlformats.org/officeDocument/2006/relationships/oleObject" Target="embeddings/oleObject22.bin"/><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image" Target="media/image1.png"/><Relationship Id="rId61" Type="http://schemas.openxmlformats.org/officeDocument/2006/relationships/image" Target="media/image34.png"/><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32.png"/><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D:\&#1051;&#1072;&#1073;&#1086;&#1088;&#1072;&#1090;&#1086;&#1088;&#1080;&#1103;\conf_2025\AIP\AIP-2025-005\8_point5_x11_single_column_templa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6</TotalTime>
  <Pages>1</Pages>
  <Words>2172</Words>
  <Characters>12387</Characters>
  <Application>Microsoft Office Word</Application>
  <DocSecurity>0</DocSecurity>
  <PresentationFormat/>
  <Lines>103</Lines>
  <Paragraphs>29</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Title Goes Here</vt:lpstr>
    </vt:vector>
  </TitlesOfParts>
  <Manager/>
  <Company>PPI</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USER</cp:lastModifiedBy>
  <cp:revision>6</cp:revision>
  <cp:lastPrinted>2011-03-03T08:29:00Z</cp:lastPrinted>
  <dcterms:created xsi:type="dcterms:W3CDTF">2025-11-06T11:33:00Z</dcterms:created>
  <dcterms:modified xsi:type="dcterms:W3CDTF">2025-11-20T12:39:00Z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KSOProductBuildVer">
    <vt:lpwstr>1033-8.1.0.3385</vt:lpwstr>
  </property>
</Properties>
</file>