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AD57C9" w14:textId="77777777" w:rsidR="00A5708C" w:rsidRDefault="00610424" w:rsidP="000A247E">
      <w:pPr>
        <w:jc w:val="center"/>
        <w:rPr>
          <w:rFonts w:ascii="Times New Roman" w:hAnsi="Times New Roman" w:cs="Times New Roman"/>
          <w:b/>
          <w:sz w:val="36"/>
          <w:szCs w:val="36"/>
        </w:rPr>
      </w:pPr>
      <w:r w:rsidRPr="00A5708C">
        <w:rPr>
          <w:rFonts w:ascii="Times New Roman" w:hAnsi="Times New Roman" w:cs="Times New Roman"/>
          <w:b/>
          <w:sz w:val="36"/>
          <w:szCs w:val="36"/>
        </w:rPr>
        <w:t xml:space="preserve">Empowering Bumiputera Entrepreneurs </w:t>
      </w:r>
      <w:r w:rsidR="00A5708C">
        <w:rPr>
          <w:rFonts w:ascii="Times New Roman" w:hAnsi="Times New Roman" w:cs="Times New Roman"/>
          <w:b/>
          <w:sz w:val="36"/>
          <w:szCs w:val="36"/>
        </w:rPr>
        <w:t>t</w:t>
      </w:r>
      <w:r w:rsidRPr="00A5708C">
        <w:rPr>
          <w:rFonts w:ascii="Times New Roman" w:hAnsi="Times New Roman" w:cs="Times New Roman"/>
          <w:b/>
          <w:sz w:val="36"/>
          <w:szCs w:val="36"/>
        </w:rPr>
        <w:t>hrough Fintech</w:t>
      </w:r>
      <w:r w:rsidR="00A5708C">
        <w:rPr>
          <w:rFonts w:ascii="Times New Roman" w:hAnsi="Times New Roman" w:cs="Times New Roman"/>
          <w:b/>
          <w:sz w:val="36"/>
          <w:szCs w:val="36"/>
        </w:rPr>
        <w:t xml:space="preserve"> using</w:t>
      </w:r>
      <w:r w:rsidRPr="00A5708C">
        <w:rPr>
          <w:rFonts w:ascii="Times New Roman" w:hAnsi="Times New Roman" w:cs="Times New Roman"/>
          <w:b/>
          <w:sz w:val="36"/>
          <w:szCs w:val="36"/>
        </w:rPr>
        <w:t xml:space="preserve"> Islamic Crowdfunding </w:t>
      </w:r>
    </w:p>
    <w:p w14:paraId="0F0D9789" w14:textId="77777777" w:rsidR="00FE1DB2" w:rsidRPr="00A5708C" w:rsidRDefault="001D18BD" w:rsidP="000A247E">
      <w:pPr>
        <w:jc w:val="center"/>
        <w:rPr>
          <w:rFonts w:ascii="Times New Roman" w:hAnsi="Times New Roman" w:cs="Times New Roman"/>
          <w:sz w:val="28"/>
          <w:szCs w:val="28"/>
        </w:rPr>
      </w:pPr>
      <w:r>
        <w:rPr>
          <w:rFonts w:ascii="Times New Roman" w:hAnsi="Times New Roman" w:cs="Times New Roman"/>
          <w:sz w:val="28"/>
          <w:szCs w:val="28"/>
        </w:rPr>
        <w:t>Aisyah Abdul-</w:t>
      </w:r>
      <w:r w:rsidR="00610424" w:rsidRPr="00A5708C">
        <w:rPr>
          <w:rFonts w:ascii="Times New Roman" w:hAnsi="Times New Roman" w:cs="Times New Roman"/>
          <w:sz w:val="28"/>
          <w:szCs w:val="28"/>
        </w:rPr>
        <w:t>Rahman</w:t>
      </w:r>
      <w:r w:rsidR="00A5708C">
        <w:rPr>
          <w:rFonts w:ascii="Times New Roman" w:hAnsi="Times New Roman" w:cs="Times New Roman"/>
          <w:sz w:val="28"/>
          <w:szCs w:val="28"/>
          <w:vertAlign w:val="superscript"/>
        </w:rPr>
        <w:t>1,</w:t>
      </w:r>
      <w:r w:rsidR="00346DD9">
        <w:rPr>
          <w:rFonts w:ascii="Times New Roman" w:hAnsi="Times New Roman" w:cs="Times New Roman"/>
          <w:sz w:val="28"/>
          <w:szCs w:val="28"/>
          <w:vertAlign w:val="superscript"/>
        </w:rPr>
        <w:t xml:space="preserve"> </w:t>
      </w:r>
      <w:r w:rsidR="00346DD9" w:rsidRPr="00A5708C">
        <w:rPr>
          <w:rFonts w:ascii="Times New Roman" w:hAnsi="Times New Roman" w:cs="Times New Roman"/>
          <w:sz w:val="28"/>
          <w:szCs w:val="28"/>
          <w:vertAlign w:val="superscript"/>
        </w:rPr>
        <w:t>2, a</w:t>
      </w:r>
      <w:r w:rsidR="00A5708C">
        <w:rPr>
          <w:rFonts w:ascii="Times New Roman" w:hAnsi="Times New Roman" w:cs="Times New Roman"/>
          <w:sz w:val="28"/>
          <w:szCs w:val="28"/>
          <w:vertAlign w:val="superscript"/>
        </w:rPr>
        <w:t>)</w:t>
      </w:r>
      <w:r w:rsidR="00610424" w:rsidRPr="00A5708C">
        <w:rPr>
          <w:rFonts w:ascii="Times New Roman" w:hAnsi="Times New Roman" w:cs="Times New Roman"/>
          <w:sz w:val="28"/>
          <w:szCs w:val="28"/>
        </w:rPr>
        <w:t xml:space="preserve"> </w:t>
      </w:r>
      <w:r w:rsidR="00A5708C">
        <w:rPr>
          <w:rFonts w:ascii="Times New Roman" w:hAnsi="Times New Roman" w:cs="Times New Roman"/>
          <w:sz w:val="28"/>
          <w:szCs w:val="28"/>
        </w:rPr>
        <w:t>and</w:t>
      </w:r>
      <w:r w:rsidR="007B1027" w:rsidRPr="00A5708C">
        <w:rPr>
          <w:rFonts w:ascii="Times New Roman" w:hAnsi="Times New Roman" w:cs="Times New Roman"/>
          <w:sz w:val="28"/>
          <w:szCs w:val="28"/>
        </w:rPr>
        <w:t xml:space="preserve"> Engku Huda Mursyidah Engku Hassan Ashari</w:t>
      </w:r>
      <w:r w:rsidR="007C5EF6">
        <w:rPr>
          <w:rFonts w:ascii="Times New Roman" w:hAnsi="Times New Roman" w:cs="Times New Roman"/>
          <w:sz w:val="28"/>
          <w:szCs w:val="28"/>
          <w:vertAlign w:val="superscript"/>
        </w:rPr>
        <w:t>2</w:t>
      </w:r>
      <w:r w:rsidR="00A5708C" w:rsidRPr="00A5708C">
        <w:rPr>
          <w:rFonts w:ascii="Times New Roman" w:hAnsi="Times New Roman" w:cs="Times New Roman"/>
          <w:sz w:val="28"/>
          <w:szCs w:val="28"/>
          <w:vertAlign w:val="superscript"/>
        </w:rPr>
        <w:t>,</w:t>
      </w:r>
      <w:r w:rsidR="00346DD9">
        <w:rPr>
          <w:rFonts w:ascii="Times New Roman" w:hAnsi="Times New Roman" w:cs="Times New Roman"/>
          <w:sz w:val="28"/>
          <w:szCs w:val="28"/>
          <w:vertAlign w:val="superscript"/>
        </w:rPr>
        <w:t xml:space="preserve"> </w:t>
      </w:r>
      <w:r w:rsidR="00A5708C" w:rsidRPr="00A5708C">
        <w:rPr>
          <w:rFonts w:ascii="Times New Roman" w:hAnsi="Times New Roman" w:cs="Times New Roman"/>
          <w:sz w:val="28"/>
          <w:szCs w:val="28"/>
          <w:vertAlign w:val="superscript"/>
        </w:rPr>
        <w:t>b</w:t>
      </w:r>
      <w:r w:rsidR="00A5708C">
        <w:rPr>
          <w:rFonts w:ascii="Times New Roman" w:hAnsi="Times New Roman" w:cs="Times New Roman"/>
          <w:sz w:val="28"/>
          <w:szCs w:val="28"/>
          <w:vertAlign w:val="superscript"/>
        </w:rPr>
        <w:t>)</w:t>
      </w:r>
    </w:p>
    <w:p w14:paraId="177B0A42" w14:textId="77777777" w:rsidR="00A5708C" w:rsidRPr="00A5708C" w:rsidRDefault="00A5708C" w:rsidP="00A5708C">
      <w:pPr>
        <w:spacing w:after="0" w:line="240" w:lineRule="auto"/>
        <w:jc w:val="center"/>
        <w:rPr>
          <w:rFonts w:ascii="Times New Roman" w:hAnsi="Times New Roman" w:cs="Times New Roman"/>
          <w:i/>
          <w:sz w:val="20"/>
          <w:szCs w:val="20"/>
        </w:rPr>
      </w:pPr>
      <w:r w:rsidRPr="00A5708C">
        <w:rPr>
          <w:rFonts w:ascii="Times New Roman" w:hAnsi="Times New Roman" w:cs="Times New Roman"/>
          <w:i/>
          <w:sz w:val="20"/>
          <w:szCs w:val="20"/>
          <w:vertAlign w:val="superscript"/>
        </w:rPr>
        <w:t>1</w:t>
      </w:r>
      <w:r w:rsidRPr="00A5708C">
        <w:rPr>
          <w:rFonts w:ascii="Times New Roman" w:hAnsi="Times New Roman" w:cs="Times New Roman"/>
          <w:i/>
          <w:sz w:val="20"/>
          <w:szCs w:val="20"/>
        </w:rPr>
        <w:t xml:space="preserve"> Faculty of Economics and Management, Universiti Kebangsaan Malaysia (UKM), 43600, Bandar Baru Bangi, Selangor, Malaysia </w:t>
      </w:r>
    </w:p>
    <w:p w14:paraId="66455540" w14:textId="77777777" w:rsidR="00A5708C" w:rsidRDefault="00A5708C" w:rsidP="00A5708C">
      <w:pPr>
        <w:spacing w:after="0" w:line="240" w:lineRule="auto"/>
        <w:jc w:val="center"/>
        <w:rPr>
          <w:rFonts w:ascii="Times New Roman" w:hAnsi="Times New Roman" w:cs="Times New Roman"/>
          <w:i/>
          <w:sz w:val="20"/>
          <w:szCs w:val="20"/>
        </w:rPr>
      </w:pPr>
      <w:r w:rsidRPr="00A5708C">
        <w:rPr>
          <w:rFonts w:ascii="Times New Roman" w:hAnsi="Times New Roman" w:cs="Times New Roman"/>
          <w:i/>
          <w:sz w:val="20"/>
          <w:szCs w:val="20"/>
          <w:vertAlign w:val="superscript"/>
        </w:rPr>
        <w:t>2.</w:t>
      </w:r>
      <w:r w:rsidRPr="00A5708C">
        <w:rPr>
          <w:rFonts w:ascii="Times New Roman" w:hAnsi="Times New Roman" w:cs="Times New Roman"/>
          <w:i/>
          <w:sz w:val="20"/>
          <w:szCs w:val="20"/>
        </w:rPr>
        <w:t xml:space="preserve"> Institute of Islam Hadhari, Universiti Kebangsaan Malaysia (UKM), 43600, Bandar Baru Bangi, Selangor, Malaysia</w:t>
      </w:r>
      <w:r>
        <w:rPr>
          <w:rFonts w:ascii="Times New Roman" w:hAnsi="Times New Roman" w:cs="Times New Roman"/>
          <w:i/>
          <w:sz w:val="20"/>
          <w:szCs w:val="20"/>
        </w:rPr>
        <w:t>.</w:t>
      </w:r>
    </w:p>
    <w:p w14:paraId="0CE458D6" w14:textId="77777777" w:rsidR="00A5708C" w:rsidRDefault="00A5708C" w:rsidP="00A5708C">
      <w:pPr>
        <w:spacing w:after="0" w:line="240" w:lineRule="auto"/>
        <w:jc w:val="center"/>
        <w:rPr>
          <w:rFonts w:ascii="Times New Roman" w:hAnsi="Times New Roman" w:cs="Times New Roman"/>
          <w:i/>
          <w:sz w:val="20"/>
          <w:szCs w:val="20"/>
        </w:rPr>
      </w:pPr>
    </w:p>
    <w:p w14:paraId="2F30C264" w14:textId="77777777" w:rsidR="00A5708C" w:rsidRDefault="00A5708C" w:rsidP="00A5708C">
      <w:pPr>
        <w:pStyle w:val="ListParagraph"/>
        <w:spacing w:after="0" w:line="240" w:lineRule="auto"/>
        <w:jc w:val="center"/>
        <w:rPr>
          <w:rFonts w:ascii="Times New Roman" w:hAnsi="Times New Roman" w:cs="Times New Roman"/>
          <w:i/>
          <w:sz w:val="20"/>
          <w:szCs w:val="20"/>
        </w:rPr>
      </w:pPr>
      <w:r w:rsidRPr="00A5708C">
        <w:rPr>
          <w:rFonts w:ascii="Times New Roman" w:hAnsi="Times New Roman" w:cs="Times New Roman"/>
          <w:i/>
          <w:sz w:val="20"/>
          <w:szCs w:val="20"/>
          <w:vertAlign w:val="superscript"/>
        </w:rPr>
        <w:t xml:space="preserve">a) </w:t>
      </w:r>
      <w:r w:rsidR="00CA5494">
        <w:rPr>
          <w:rFonts w:ascii="Times New Roman" w:hAnsi="Times New Roman" w:cs="Times New Roman"/>
          <w:i/>
          <w:sz w:val="20"/>
          <w:szCs w:val="20"/>
        </w:rPr>
        <w:t xml:space="preserve">Corresponding author: </w:t>
      </w:r>
      <w:hyperlink r:id="rId6" w:history="1">
        <w:r w:rsidRPr="00E30E88">
          <w:rPr>
            <w:rStyle w:val="Hyperlink"/>
            <w:rFonts w:ascii="Times New Roman" w:hAnsi="Times New Roman" w:cs="Times New Roman"/>
            <w:i/>
            <w:sz w:val="20"/>
            <w:szCs w:val="20"/>
          </w:rPr>
          <w:t>eychah@ukm.edu.my</w:t>
        </w:r>
      </w:hyperlink>
    </w:p>
    <w:p w14:paraId="7C9E3617" w14:textId="77777777" w:rsidR="00A5708C" w:rsidRPr="00A5708C" w:rsidRDefault="00A5708C" w:rsidP="00A5708C">
      <w:pPr>
        <w:pStyle w:val="ListParagraph"/>
        <w:spacing w:after="0" w:line="240" w:lineRule="auto"/>
        <w:jc w:val="center"/>
        <w:rPr>
          <w:rFonts w:ascii="Times New Roman" w:hAnsi="Times New Roman" w:cs="Times New Roman"/>
          <w:i/>
          <w:sz w:val="20"/>
          <w:szCs w:val="20"/>
        </w:rPr>
      </w:pPr>
      <w:r w:rsidRPr="00A5708C">
        <w:rPr>
          <w:rFonts w:ascii="Times New Roman" w:hAnsi="Times New Roman" w:cs="Times New Roman"/>
          <w:i/>
          <w:color w:val="222222"/>
          <w:sz w:val="20"/>
          <w:szCs w:val="20"/>
          <w:shd w:val="clear" w:color="auto" w:fill="FFFFFF"/>
          <w:vertAlign w:val="superscript"/>
        </w:rPr>
        <w:t>b)</w:t>
      </w:r>
      <w:r w:rsidRPr="00A5708C">
        <w:rPr>
          <w:rFonts w:ascii="Times New Roman" w:hAnsi="Times New Roman" w:cs="Times New Roman"/>
          <w:i/>
          <w:color w:val="222222"/>
          <w:sz w:val="20"/>
          <w:szCs w:val="20"/>
          <w:shd w:val="clear" w:color="auto" w:fill="FFFFFF"/>
        </w:rPr>
        <w:t xml:space="preserve"> p120257@siswa.ukm.edu.my</w:t>
      </w:r>
    </w:p>
    <w:p w14:paraId="5C8E004C" w14:textId="77777777" w:rsidR="00A5708C" w:rsidRPr="00A5708C" w:rsidRDefault="00A5708C" w:rsidP="00A5708C">
      <w:pPr>
        <w:spacing w:after="0" w:line="240" w:lineRule="auto"/>
        <w:jc w:val="center"/>
        <w:rPr>
          <w:rFonts w:ascii="Times New Roman" w:hAnsi="Times New Roman" w:cs="Times New Roman"/>
          <w:i/>
          <w:sz w:val="20"/>
          <w:szCs w:val="20"/>
        </w:rPr>
      </w:pPr>
    </w:p>
    <w:p w14:paraId="4EAE4BAF" w14:textId="77777777" w:rsidR="00346DD9" w:rsidRDefault="00610424" w:rsidP="009179F9">
      <w:pPr>
        <w:ind w:left="270" w:right="276"/>
        <w:jc w:val="both"/>
        <w:rPr>
          <w:rFonts w:ascii="Times New Roman" w:hAnsi="Times New Roman" w:cs="Times New Roman"/>
          <w:sz w:val="18"/>
          <w:szCs w:val="18"/>
        </w:rPr>
      </w:pPr>
      <w:r w:rsidRPr="007E5C66">
        <w:rPr>
          <w:rFonts w:ascii="Times New Roman" w:hAnsi="Times New Roman" w:cs="Times New Roman"/>
          <w:b/>
          <w:sz w:val="18"/>
          <w:szCs w:val="18"/>
        </w:rPr>
        <w:t>Abstract</w:t>
      </w:r>
      <w:r w:rsidR="007E5C66" w:rsidRPr="007E5C66">
        <w:rPr>
          <w:rFonts w:ascii="Times New Roman" w:hAnsi="Times New Roman" w:cs="Times New Roman"/>
          <w:sz w:val="18"/>
          <w:szCs w:val="18"/>
        </w:rPr>
        <w:t xml:space="preserve">. </w:t>
      </w:r>
      <w:r w:rsidR="00346DD9" w:rsidRPr="00346DD9">
        <w:rPr>
          <w:rFonts w:ascii="Times New Roman" w:hAnsi="Times New Roman" w:cs="Times New Roman"/>
          <w:sz w:val="18"/>
          <w:szCs w:val="18"/>
        </w:rPr>
        <w:t xml:space="preserve">Small and Medium Enterprises (SMEs) are </w:t>
      </w:r>
      <w:r w:rsidR="008C5A53">
        <w:rPr>
          <w:rFonts w:ascii="Times New Roman" w:hAnsi="Times New Roman" w:cs="Times New Roman"/>
          <w:sz w:val="18"/>
          <w:szCs w:val="18"/>
        </w:rPr>
        <w:t>dominant</w:t>
      </w:r>
      <w:r w:rsidR="00346DD9" w:rsidRPr="00346DD9">
        <w:rPr>
          <w:rFonts w:ascii="Times New Roman" w:hAnsi="Times New Roman" w:cs="Times New Roman"/>
          <w:sz w:val="18"/>
          <w:szCs w:val="18"/>
        </w:rPr>
        <w:t xml:space="preserve"> to Malaysia’s economic growth but still face challenges in accessing sustainable financing. Islamic crowdfunding offers a Shariah-compliant, inclusive alternative for underserved entrepreneurs. Using an extended UTAUT framework and PLS-SEM analysis of 486 Bumiputera SME entrepreneurs, this study identifies Business Expectations, Social Influence, Facilitating Conditions, and Trialability as significant drivers of adoption, while Performance Expectations are not. The findings extend UTAUT within Islamic finance and offer key insights for policymakers, fintech developers, and SME practitioners in strengthening financial inclusion and supporting Malaysia’s Islamic digital economy.</w:t>
      </w:r>
    </w:p>
    <w:p w14:paraId="0F9A5DE1" w14:textId="77777777" w:rsidR="000A247E" w:rsidRPr="00A5708C" w:rsidRDefault="00610424" w:rsidP="000335D5">
      <w:pPr>
        <w:spacing w:after="0"/>
        <w:ind w:right="-450"/>
        <w:jc w:val="center"/>
        <w:rPr>
          <w:rFonts w:ascii="Times New Roman" w:hAnsi="Times New Roman" w:cs="Times New Roman"/>
        </w:rPr>
      </w:pPr>
      <w:r w:rsidRPr="00A5708C">
        <w:rPr>
          <w:rFonts w:ascii="Times New Roman" w:hAnsi="Times New Roman" w:cs="Times New Roman"/>
          <w:b/>
        </w:rPr>
        <w:t>INTRODUCTION</w:t>
      </w:r>
    </w:p>
    <w:p w14:paraId="30104A65" w14:textId="77777777" w:rsidR="008C5A53" w:rsidRDefault="00610424" w:rsidP="009179F9">
      <w:pPr>
        <w:spacing w:after="0"/>
        <w:ind w:right="-7" w:firstLine="270"/>
        <w:jc w:val="both"/>
        <w:rPr>
          <w:rFonts w:ascii="Times New Roman" w:hAnsi="Times New Roman" w:cs="Times New Roman"/>
          <w:sz w:val="20"/>
          <w:szCs w:val="20"/>
        </w:rPr>
      </w:pPr>
      <w:r w:rsidRPr="00F3240B">
        <w:rPr>
          <w:rFonts w:ascii="Times New Roman" w:hAnsi="Times New Roman" w:cs="Times New Roman"/>
          <w:sz w:val="20"/>
          <w:szCs w:val="20"/>
        </w:rPr>
        <w:t>Small and Medium Enterprises (SMEs) are critical to economic sustainability, comprising 97.2% of Malaysian businesses and contributing over a third to the GDP while employing millions (</w:t>
      </w:r>
      <w:r w:rsidR="00272DC5">
        <w:rPr>
          <w:rFonts w:ascii="Times New Roman" w:hAnsi="Times New Roman" w:cs="Times New Roman"/>
          <w:sz w:val="20"/>
          <w:szCs w:val="20"/>
        </w:rPr>
        <w:t>[1]</w:t>
      </w:r>
      <w:r w:rsidRPr="00F3240B">
        <w:rPr>
          <w:rFonts w:ascii="Times New Roman" w:hAnsi="Times New Roman" w:cs="Times New Roman"/>
          <w:sz w:val="20"/>
          <w:szCs w:val="20"/>
        </w:rPr>
        <w:t>). Recognizing their significance, the Malaysian government, through the 12th Malaysia Plan (2021-2025), emphasizes transformative initiatives to enhance SMEs' competitiveness, particularly for Bumiputera entrepreneurs. Despite constituting 63% of Malaysia's population, Bumiputera ownership in SMEs remains disproportionately low at 29.8%, contributing only 17.6% to GDP in Q4 2023 (</w:t>
      </w:r>
      <w:r w:rsidR="00272DC5">
        <w:rPr>
          <w:rFonts w:ascii="Times New Roman" w:hAnsi="Times New Roman" w:cs="Times New Roman"/>
          <w:sz w:val="20"/>
          <w:szCs w:val="20"/>
        </w:rPr>
        <w:t>[2]</w:t>
      </w:r>
      <w:r w:rsidRPr="00F3240B">
        <w:rPr>
          <w:rFonts w:ascii="Times New Roman" w:hAnsi="Times New Roman" w:cs="Times New Roman"/>
          <w:sz w:val="20"/>
          <w:szCs w:val="20"/>
        </w:rPr>
        <w:t>). Structural challenges, such as limited market competitiveness and financing constraints, hinder their economic growth (</w:t>
      </w:r>
      <w:r w:rsidR="00272DC5">
        <w:rPr>
          <w:rFonts w:ascii="Times New Roman" w:hAnsi="Times New Roman" w:cs="Times New Roman"/>
          <w:sz w:val="20"/>
          <w:szCs w:val="20"/>
        </w:rPr>
        <w:t>[3];</w:t>
      </w:r>
      <w:r w:rsidR="00722712">
        <w:rPr>
          <w:rFonts w:ascii="Times New Roman" w:hAnsi="Times New Roman" w:cs="Times New Roman"/>
          <w:sz w:val="20"/>
          <w:szCs w:val="20"/>
        </w:rPr>
        <w:t xml:space="preserve"> </w:t>
      </w:r>
      <w:r w:rsidR="00272DC5">
        <w:rPr>
          <w:rFonts w:ascii="Times New Roman" w:hAnsi="Times New Roman" w:cs="Times New Roman"/>
          <w:sz w:val="20"/>
          <w:szCs w:val="20"/>
        </w:rPr>
        <w:t>[4]</w:t>
      </w:r>
      <w:r w:rsidRPr="00F3240B">
        <w:rPr>
          <w:rFonts w:ascii="Times New Roman" w:hAnsi="Times New Roman" w:cs="Times New Roman"/>
          <w:sz w:val="20"/>
          <w:szCs w:val="20"/>
        </w:rPr>
        <w:t>). Alternative financing options, such as angel financing, venture capital, and crowdfunding, offer viable solutions. Islamic crowdfunding, a fintech innovation rooted in Shariah principles, provides a transparent and ethical funding mechanism that appeals to both Muslim and non-Muslim investors (</w:t>
      </w:r>
      <w:r w:rsidR="00E3234D">
        <w:rPr>
          <w:rFonts w:ascii="Times New Roman" w:hAnsi="Times New Roman" w:cs="Times New Roman"/>
          <w:sz w:val="20"/>
          <w:szCs w:val="20"/>
        </w:rPr>
        <w:t>[5]</w:t>
      </w:r>
      <w:r w:rsidRPr="00F3240B">
        <w:rPr>
          <w:rFonts w:ascii="Times New Roman" w:hAnsi="Times New Roman" w:cs="Times New Roman"/>
          <w:sz w:val="20"/>
          <w:szCs w:val="20"/>
        </w:rPr>
        <w:t>). Crowdfunding leverages online platforms to raise capital efficiently, bypas</w:t>
      </w:r>
      <w:r w:rsidR="007C5EF6">
        <w:rPr>
          <w:rFonts w:ascii="Times New Roman" w:hAnsi="Times New Roman" w:cs="Times New Roman"/>
          <w:sz w:val="20"/>
          <w:szCs w:val="20"/>
        </w:rPr>
        <w:t>sing traditional intermediaries</w:t>
      </w:r>
      <w:r w:rsidRPr="00F3240B">
        <w:rPr>
          <w:rFonts w:ascii="Times New Roman" w:hAnsi="Times New Roman" w:cs="Times New Roman"/>
          <w:sz w:val="20"/>
          <w:szCs w:val="20"/>
        </w:rPr>
        <w:t>. However, research on the adoption of Islamic crowdfunding by Bumiputera SMEs remains scarce, with previous studies demonstrating theoretical inconsistencies and a lack of focus on specific ethnic groups (</w:t>
      </w:r>
      <w:r w:rsidR="00E3234D">
        <w:rPr>
          <w:rFonts w:ascii="Times New Roman" w:hAnsi="Times New Roman" w:cs="Times New Roman"/>
          <w:sz w:val="20"/>
          <w:szCs w:val="20"/>
        </w:rPr>
        <w:t>[6]</w:t>
      </w:r>
      <w:r w:rsidRPr="00F3240B">
        <w:rPr>
          <w:rFonts w:ascii="Times New Roman" w:hAnsi="Times New Roman" w:cs="Times New Roman"/>
          <w:sz w:val="20"/>
          <w:szCs w:val="20"/>
        </w:rPr>
        <w:t>). This study aims to address these gaps by examining factors influencing Bumiputera SMEs' intent to adopt Islamic crowdfunding. A key focus is trialability, an overlooked factor in conventional crowdfunding adoption research, which can enhance trust and reduce unc</w:t>
      </w:r>
      <w:r w:rsidR="00E33ED2">
        <w:rPr>
          <w:rFonts w:ascii="Times New Roman" w:hAnsi="Times New Roman" w:cs="Times New Roman"/>
          <w:sz w:val="20"/>
          <w:szCs w:val="20"/>
        </w:rPr>
        <w:t>ertainty</w:t>
      </w:r>
      <w:r w:rsidRPr="00F3240B">
        <w:rPr>
          <w:rFonts w:ascii="Times New Roman" w:hAnsi="Times New Roman" w:cs="Times New Roman"/>
          <w:sz w:val="20"/>
          <w:szCs w:val="20"/>
        </w:rPr>
        <w:t>. Additionally, the study integrates the Unified Theory of Acceptance and Use of Technology (UTAUT) and Innovation Diffusion Theory (IDT) to provide a comprehensive model for understanding adoption behavior (</w:t>
      </w:r>
      <w:r w:rsidR="00E3234D">
        <w:rPr>
          <w:rFonts w:ascii="Times New Roman" w:hAnsi="Times New Roman" w:cs="Times New Roman"/>
          <w:sz w:val="20"/>
          <w:szCs w:val="20"/>
        </w:rPr>
        <w:t>[7]; [8]</w:t>
      </w:r>
      <w:r w:rsidRPr="00F3240B">
        <w:rPr>
          <w:rFonts w:ascii="Times New Roman" w:hAnsi="Times New Roman" w:cs="Times New Roman"/>
          <w:sz w:val="20"/>
          <w:szCs w:val="20"/>
        </w:rPr>
        <w:t>). Given the persistent economic disparities between Bum</w:t>
      </w:r>
      <w:r w:rsidR="00E33ED2">
        <w:rPr>
          <w:rFonts w:ascii="Times New Roman" w:hAnsi="Times New Roman" w:cs="Times New Roman"/>
          <w:sz w:val="20"/>
          <w:szCs w:val="20"/>
        </w:rPr>
        <w:t>iputera and other ethnic groups</w:t>
      </w:r>
      <w:r w:rsidRPr="00F3240B">
        <w:rPr>
          <w:rFonts w:ascii="Times New Roman" w:hAnsi="Times New Roman" w:cs="Times New Roman"/>
          <w:sz w:val="20"/>
          <w:szCs w:val="20"/>
        </w:rPr>
        <w:t xml:space="preserve">, a targeted approach is essential. Research questions addressed include: To what extent do performance expectancy (PE), effort expectancy (EE), social influence (SI), facilitating conditions (FC), and trialability (TB) influence Bumiputera SMEs' adoption of Islamic crowdfunding? </w:t>
      </w:r>
    </w:p>
    <w:p w14:paraId="7C02CD5E" w14:textId="77777777" w:rsidR="008C5A53" w:rsidRDefault="008C5A53" w:rsidP="009179F9">
      <w:pPr>
        <w:spacing w:after="0"/>
        <w:ind w:right="-7" w:firstLine="270"/>
        <w:jc w:val="both"/>
        <w:rPr>
          <w:rFonts w:ascii="Times New Roman" w:hAnsi="Times New Roman" w:cs="Times New Roman"/>
          <w:sz w:val="20"/>
          <w:szCs w:val="20"/>
        </w:rPr>
      </w:pPr>
    </w:p>
    <w:p w14:paraId="179FAFB2" w14:textId="77777777" w:rsidR="009179F9" w:rsidRDefault="009179F9" w:rsidP="009179F9">
      <w:pPr>
        <w:spacing w:after="0"/>
        <w:ind w:right="-7" w:firstLine="270"/>
        <w:jc w:val="both"/>
        <w:rPr>
          <w:rFonts w:ascii="Times New Roman" w:hAnsi="Times New Roman" w:cs="Times New Roman"/>
          <w:sz w:val="20"/>
          <w:szCs w:val="20"/>
        </w:rPr>
      </w:pPr>
    </w:p>
    <w:p w14:paraId="53E58A39" w14:textId="77777777" w:rsidR="009179F9" w:rsidRDefault="009179F9" w:rsidP="009179F9">
      <w:pPr>
        <w:spacing w:after="0"/>
        <w:ind w:right="-7" w:firstLine="270"/>
        <w:jc w:val="both"/>
        <w:rPr>
          <w:rFonts w:ascii="Times New Roman" w:hAnsi="Times New Roman" w:cs="Times New Roman"/>
          <w:sz w:val="20"/>
          <w:szCs w:val="20"/>
        </w:rPr>
      </w:pPr>
    </w:p>
    <w:p w14:paraId="128D96B2" w14:textId="77777777" w:rsidR="00FE1DB2" w:rsidRPr="00F3240B" w:rsidRDefault="00610424" w:rsidP="009179F9">
      <w:pPr>
        <w:spacing w:after="0"/>
        <w:ind w:left="270" w:right="-7"/>
        <w:jc w:val="center"/>
        <w:rPr>
          <w:rFonts w:ascii="Times New Roman" w:hAnsi="Times New Roman" w:cs="Times New Roman"/>
          <w:b/>
          <w:sz w:val="24"/>
          <w:szCs w:val="24"/>
        </w:rPr>
      </w:pPr>
      <w:r w:rsidRPr="00F3240B">
        <w:rPr>
          <w:rFonts w:ascii="Times New Roman" w:hAnsi="Times New Roman" w:cs="Times New Roman"/>
          <w:b/>
          <w:sz w:val="24"/>
          <w:szCs w:val="24"/>
        </w:rPr>
        <w:lastRenderedPageBreak/>
        <w:t>LITERATURE REVIEW</w:t>
      </w:r>
    </w:p>
    <w:p w14:paraId="5CDAF4C4" w14:textId="77777777" w:rsidR="00014421" w:rsidRDefault="00610424" w:rsidP="009179F9">
      <w:pPr>
        <w:spacing w:after="0"/>
        <w:ind w:right="-7" w:firstLine="270"/>
        <w:jc w:val="both"/>
        <w:rPr>
          <w:rFonts w:ascii="Times New Roman" w:hAnsi="Times New Roman" w:cs="Times New Roman"/>
          <w:sz w:val="20"/>
          <w:szCs w:val="20"/>
        </w:rPr>
      </w:pPr>
      <w:r w:rsidRPr="00F3240B">
        <w:rPr>
          <w:rFonts w:ascii="Times New Roman" w:hAnsi="Times New Roman" w:cs="Times New Roman"/>
          <w:sz w:val="20"/>
          <w:szCs w:val="20"/>
        </w:rPr>
        <w:t>The rapid advancement of financial and communication technologies, particularly fintech, has broadened SMEs’ access to alternative financing such as angel investors, venture capital, P2P lending, and crowdfunding (</w:t>
      </w:r>
      <w:r w:rsidR="00E3234D">
        <w:rPr>
          <w:rFonts w:ascii="Times New Roman" w:hAnsi="Times New Roman" w:cs="Times New Roman"/>
          <w:sz w:val="20"/>
          <w:szCs w:val="20"/>
        </w:rPr>
        <w:t>[9]</w:t>
      </w:r>
      <w:r w:rsidRPr="00F3240B">
        <w:rPr>
          <w:rFonts w:ascii="Times New Roman" w:hAnsi="Times New Roman" w:cs="Times New Roman"/>
          <w:sz w:val="20"/>
          <w:szCs w:val="20"/>
        </w:rPr>
        <w:t xml:space="preserve">). Islamic crowdfunding, adhering to Shariah principles, distinguishes itself by prioritizing halal investments, </w:t>
      </w:r>
      <w:r w:rsidR="00E33ED2">
        <w:rPr>
          <w:rFonts w:ascii="Times New Roman" w:hAnsi="Times New Roman" w:cs="Times New Roman"/>
          <w:sz w:val="20"/>
          <w:szCs w:val="20"/>
        </w:rPr>
        <w:t>risk-sharing, and avoiding riba</w:t>
      </w:r>
      <w:r w:rsidRPr="00F3240B">
        <w:rPr>
          <w:rFonts w:ascii="Times New Roman" w:hAnsi="Times New Roman" w:cs="Times New Roman"/>
          <w:sz w:val="20"/>
          <w:szCs w:val="20"/>
        </w:rPr>
        <w:t>. It serves as a vital intermediary between investors and entrepreneurs. However, awareness remains limited, necessitating further analysis of factors influencing its adoption among SMEs. The adoption of Islamic crowdfunding can be analyzed through the integration of the UTAUT and IDT. UTAUT consolidates multiple acceptance models to explain technology adoption through four key constructs: performance expectancy, effort expectancy, social influence, and facilitating conditions. It provides a structured approach to understanding behavioral intention, with strong predictive power for adoption decisions (</w:t>
      </w:r>
      <w:r w:rsidR="00E3234D">
        <w:rPr>
          <w:rFonts w:ascii="Times New Roman" w:hAnsi="Times New Roman" w:cs="Times New Roman"/>
          <w:sz w:val="20"/>
          <w:szCs w:val="20"/>
        </w:rPr>
        <w:t>[10]</w:t>
      </w:r>
      <w:r w:rsidRPr="00F3240B">
        <w:rPr>
          <w:rFonts w:ascii="Times New Roman" w:hAnsi="Times New Roman" w:cs="Times New Roman"/>
          <w:sz w:val="20"/>
          <w:szCs w:val="20"/>
        </w:rPr>
        <w:t>). While UTAUT is effective in explaining direct adoption behavior, IDT contributes by assessing the broader social and contextual aspects of adoption, particularly in emerging financial technologies like Islamic crowdfunding. However, IDT’s limitations in practical application necessitate refinement in specific fintech contexts (</w:t>
      </w:r>
      <w:r w:rsidR="00E3234D">
        <w:rPr>
          <w:rFonts w:ascii="Times New Roman" w:hAnsi="Times New Roman" w:cs="Times New Roman"/>
          <w:sz w:val="20"/>
          <w:szCs w:val="20"/>
        </w:rPr>
        <w:t>[11]</w:t>
      </w:r>
      <w:r w:rsidRPr="00F3240B">
        <w:rPr>
          <w:rFonts w:ascii="Times New Roman" w:hAnsi="Times New Roman" w:cs="Times New Roman"/>
          <w:sz w:val="20"/>
          <w:szCs w:val="20"/>
        </w:rPr>
        <w:t xml:space="preserve">). By integrating UTAUT’s structured determinants with IDT’s emphasis on diffusion and innovation characteristics, this study provides a more comprehensive framework for examining Bumiputera SMEs’ adoption of Islamic crowdfunding. </w:t>
      </w:r>
    </w:p>
    <w:p w14:paraId="56ECF5B1" w14:textId="77777777" w:rsidR="001D066D" w:rsidRPr="00F3240B" w:rsidRDefault="00610424" w:rsidP="009179F9">
      <w:pPr>
        <w:spacing w:after="0"/>
        <w:ind w:right="-7" w:firstLine="270"/>
        <w:jc w:val="both"/>
        <w:rPr>
          <w:rFonts w:ascii="Times New Roman" w:hAnsi="Times New Roman" w:cs="Times New Roman"/>
          <w:sz w:val="20"/>
          <w:szCs w:val="20"/>
        </w:rPr>
      </w:pPr>
      <w:r w:rsidRPr="00F3240B">
        <w:rPr>
          <w:rFonts w:ascii="Times New Roman" w:hAnsi="Times New Roman" w:cs="Times New Roman"/>
          <w:sz w:val="20"/>
          <w:szCs w:val="20"/>
        </w:rPr>
        <w:t xml:space="preserve">Behavioral intention </w:t>
      </w:r>
      <w:r w:rsidR="00066FD8" w:rsidRPr="00F3240B">
        <w:rPr>
          <w:rFonts w:ascii="Times New Roman" w:hAnsi="Times New Roman" w:cs="Times New Roman"/>
          <w:sz w:val="20"/>
          <w:szCs w:val="20"/>
        </w:rPr>
        <w:t xml:space="preserve">(BI) </w:t>
      </w:r>
      <w:r w:rsidRPr="00F3240B">
        <w:rPr>
          <w:rFonts w:ascii="Times New Roman" w:hAnsi="Times New Roman" w:cs="Times New Roman"/>
          <w:sz w:val="20"/>
          <w:szCs w:val="20"/>
        </w:rPr>
        <w:t>represents an individual’s willingness to engage with a particular technology, and in this context, it refers to the likelihood of SMEs adopting Islamic crowdfunding. Islamic crowdfunding platforms offer an alternative financing mechanism that aligns with Shariah principles, emphasizing ethical investment, risk-sharing, and interest-free</w:t>
      </w:r>
      <w:r w:rsidR="00E33ED2">
        <w:rPr>
          <w:rFonts w:ascii="Times New Roman" w:hAnsi="Times New Roman" w:cs="Times New Roman"/>
          <w:sz w:val="20"/>
          <w:szCs w:val="20"/>
        </w:rPr>
        <w:t xml:space="preserve"> transactions</w:t>
      </w:r>
      <w:r w:rsidRPr="00F3240B">
        <w:rPr>
          <w:rFonts w:ascii="Times New Roman" w:hAnsi="Times New Roman" w:cs="Times New Roman"/>
          <w:sz w:val="20"/>
          <w:szCs w:val="20"/>
        </w:rPr>
        <w:t>. Given the limitations of conventional financial institutions in catering to SMEs, Islamic crowdfunding has the potential to fill this gap by offering inclusive and accessible funding opportunities. However, studies have reported varying levels of adoption, largely due to differing perceptions of its effectiveness, trustworthiness, and regulatory constraints (</w:t>
      </w:r>
      <w:r w:rsidR="00E3234D">
        <w:rPr>
          <w:rFonts w:ascii="Times New Roman" w:hAnsi="Times New Roman" w:cs="Times New Roman"/>
          <w:sz w:val="20"/>
          <w:szCs w:val="20"/>
        </w:rPr>
        <w:t>[12]</w:t>
      </w:r>
      <w:r w:rsidRPr="00F3240B">
        <w:rPr>
          <w:rFonts w:ascii="Times New Roman" w:hAnsi="Times New Roman" w:cs="Times New Roman"/>
          <w:sz w:val="20"/>
          <w:szCs w:val="20"/>
        </w:rPr>
        <w:t>). While some SMEs recognize the benefits of Islamic crowdfunding in providing capital without the burden of interest-based debt, others remain skeptical about its reliability and efficiency, particularly due to the novelty of the platform and the perceived complexity of compliance with Islamic finance regulations. Another challenge impacting the adoption of Islamic crowdfunding is the lack of awareness and familiarity among SMEs regarding how the platform operates and its advantages over conventional financing methods. Unlike traditional financial products, which have established market trust, Islamic crowdfunding remains relatively new, necessitating further investigation into the behavioral factors that drive its adoption. The presence of perceived risk, technological barriers, and the need for financial literacy education further complicate the adoption process. Additionally, research indicates that factors such as social influence, perceived ease of use, and facilitating conditions play a critical role in shaping SMEs' intention to use Islamic crowdfunding (</w:t>
      </w:r>
      <w:r w:rsidR="00E3234D">
        <w:rPr>
          <w:rFonts w:ascii="Times New Roman" w:hAnsi="Times New Roman" w:cs="Times New Roman"/>
          <w:sz w:val="20"/>
          <w:szCs w:val="20"/>
        </w:rPr>
        <w:t>[13]</w:t>
      </w:r>
      <w:r w:rsidRPr="00F3240B">
        <w:rPr>
          <w:rFonts w:ascii="Times New Roman" w:hAnsi="Times New Roman" w:cs="Times New Roman"/>
          <w:sz w:val="20"/>
          <w:szCs w:val="20"/>
        </w:rPr>
        <w:t xml:space="preserve">). Therefore, understanding these determinants will help policymakers, platform developers, and financial regulators design more effective strategies to encourage wider adoption among Bumiputera SMEs. </w:t>
      </w:r>
    </w:p>
    <w:p w14:paraId="5B9A761E" w14:textId="77777777" w:rsidR="001D066D" w:rsidRPr="00F3240B" w:rsidRDefault="00610424" w:rsidP="009179F9">
      <w:pPr>
        <w:spacing w:after="0"/>
        <w:ind w:right="-7" w:firstLine="270"/>
        <w:jc w:val="both"/>
        <w:rPr>
          <w:rFonts w:ascii="Times New Roman" w:hAnsi="Times New Roman" w:cs="Times New Roman"/>
          <w:sz w:val="20"/>
          <w:szCs w:val="20"/>
        </w:rPr>
      </w:pPr>
      <w:r w:rsidRPr="00F3240B">
        <w:rPr>
          <w:rFonts w:ascii="Times New Roman" w:hAnsi="Times New Roman" w:cs="Times New Roman"/>
          <w:sz w:val="20"/>
          <w:szCs w:val="20"/>
        </w:rPr>
        <w:t>Performance expectancy (PE) refers to the belief that using a specific technology will enhance productivity and performance (</w:t>
      </w:r>
      <w:r w:rsidR="00E3234D">
        <w:rPr>
          <w:rFonts w:ascii="Times New Roman" w:hAnsi="Times New Roman" w:cs="Times New Roman"/>
          <w:sz w:val="20"/>
          <w:szCs w:val="20"/>
        </w:rPr>
        <w:t>[14]</w:t>
      </w:r>
      <w:r w:rsidRPr="00F3240B">
        <w:rPr>
          <w:rFonts w:ascii="Times New Roman" w:hAnsi="Times New Roman" w:cs="Times New Roman"/>
          <w:sz w:val="20"/>
          <w:szCs w:val="20"/>
        </w:rPr>
        <w:t>). In the context of Islamic crowdfunding, PE represents SMEs' expectations that adopting this platform will improve access to financing, facilitate business growth, and increase profitability. Several studies confirm a positive relationship between PE and behavioral intention toward adopting Islamic crowdfunding (</w:t>
      </w:r>
      <w:r w:rsidR="00E3234D">
        <w:rPr>
          <w:rFonts w:ascii="Times New Roman" w:hAnsi="Times New Roman" w:cs="Times New Roman"/>
          <w:sz w:val="20"/>
          <w:szCs w:val="20"/>
        </w:rPr>
        <w:t>[15]</w:t>
      </w:r>
      <w:r w:rsidRPr="00F3240B">
        <w:rPr>
          <w:rFonts w:ascii="Times New Roman" w:hAnsi="Times New Roman" w:cs="Times New Roman"/>
          <w:sz w:val="20"/>
          <w:szCs w:val="20"/>
        </w:rPr>
        <w:t>). Entrepreneurs view Islamic crowdfunding as an effective tool for raising capital without reliance on traditional financial institutions, enabling more inclusive financing, especially for those with limited access to conventional loans</w:t>
      </w:r>
      <w:r w:rsidR="00E3234D">
        <w:rPr>
          <w:rFonts w:ascii="Times New Roman" w:hAnsi="Times New Roman" w:cs="Times New Roman"/>
          <w:sz w:val="20"/>
          <w:szCs w:val="20"/>
        </w:rPr>
        <w:t xml:space="preserve"> ([13])</w:t>
      </w:r>
      <w:r w:rsidRPr="00F3240B">
        <w:rPr>
          <w:rFonts w:ascii="Times New Roman" w:hAnsi="Times New Roman" w:cs="Times New Roman"/>
          <w:sz w:val="20"/>
          <w:szCs w:val="20"/>
        </w:rPr>
        <w:t xml:space="preserve">. However, Husin et al. </w:t>
      </w:r>
      <w:r w:rsidR="00E3234D">
        <w:rPr>
          <w:rFonts w:ascii="Times New Roman" w:hAnsi="Times New Roman" w:cs="Times New Roman"/>
          <w:sz w:val="20"/>
          <w:szCs w:val="20"/>
        </w:rPr>
        <w:t>[16]</w:t>
      </w:r>
      <w:r w:rsidRPr="00F3240B">
        <w:rPr>
          <w:rFonts w:ascii="Times New Roman" w:hAnsi="Times New Roman" w:cs="Times New Roman"/>
          <w:sz w:val="20"/>
          <w:szCs w:val="20"/>
        </w:rPr>
        <w:t xml:space="preserve"> argue that while crowdfunding offers financing benefits, it may not always align with SMEs' financial needs or strategies, leading to variations in adoption levels. Therefore, further research is needed to understand how PE shapes SMEs' decisions to engage with Islamic crowdfunding</w:t>
      </w:r>
      <w:r w:rsidR="00E04357">
        <w:rPr>
          <w:rFonts w:ascii="Times New Roman" w:hAnsi="Times New Roman" w:cs="Times New Roman"/>
          <w:sz w:val="20"/>
          <w:szCs w:val="20"/>
        </w:rPr>
        <w:t xml:space="preserve"> (</w:t>
      </w:r>
      <w:r w:rsidRPr="00F3240B">
        <w:rPr>
          <w:rFonts w:ascii="Times New Roman" w:hAnsi="Times New Roman" w:cs="Times New Roman"/>
          <w:sz w:val="20"/>
          <w:szCs w:val="20"/>
        </w:rPr>
        <w:t>H1</w:t>
      </w:r>
      <w:r w:rsidR="00E04357">
        <w:rPr>
          <w:rFonts w:ascii="Times New Roman" w:hAnsi="Times New Roman" w:cs="Times New Roman"/>
          <w:sz w:val="20"/>
          <w:szCs w:val="20"/>
        </w:rPr>
        <w:t xml:space="preserve">: </w:t>
      </w:r>
      <w:r w:rsidRPr="00F3240B">
        <w:rPr>
          <w:rFonts w:ascii="Times New Roman" w:hAnsi="Times New Roman" w:cs="Times New Roman"/>
          <w:sz w:val="20"/>
          <w:szCs w:val="20"/>
        </w:rPr>
        <w:t>Performance expectancy is positively related to the intention to use Islamic crowdfunding</w:t>
      </w:r>
      <w:r w:rsidR="00E04357">
        <w:rPr>
          <w:rFonts w:ascii="Times New Roman" w:hAnsi="Times New Roman" w:cs="Times New Roman"/>
          <w:sz w:val="20"/>
          <w:szCs w:val="20"/>
        </w:rPr>
        <w:t>)</w:t>
      </w:r>
      <w:r w:rsidR="00210311">
        <w:rPr>
          <w:rFonts w:ascii="Times New Roman" w:hAnsi="Times New Roman" w:cs="Times New Roman"/>
          <w:sz w:val="20"/>
          <w:szCs w:val="20"/>
        </w:rPr>
        <w:t>.</w:t>
      </w:r>
      <w:r w:rsidRPr="00F3240B">
        <w:rPr>
          <w:rFonts w:ascii="Times New Roman" w:hAnsi="Times New Roman" w:cs="Times New Roman"/>
          <w:sz w:val="20"/>
          <w:szCs w:val="20"/>
        </w:rPr>
        <w:t xml:space="preserve"> </w:t>
      </w:r>
    </w:p>
    <w:p w14:paraId="4FB24F8A" w14:textId="77777777" w:rsidR="00E04357" w:rsidRDefault="00610424" w:rsidP="009179F9">
      <w:pPr>
        <w:spacing w:after="0"/>
        <w:ind w:right="-7" w:firstLine="270"/>
        <w:jc w:val="both"/>
        <w:rPr>
          <w:rFonts w:ascii="Times New Roman" w:hAnsi="Times New Roman" w:cs="Times New Roman"/>
          <w:sz w:val="20"/>
          <w:szCs w:val="20"/>
        </w:rPr>
      </w:pPr>
      <w:r w:rsidRPr="00F3240B">
        <w:rPr>
          <w:rFonts w:ascii="Times New Roman" w:hAnsi="Times New Roman" w:cs="Times New Roman"/>
          <w:sz w:val="20"/>
          <w:szCs w:val="20"/>
        </w:rPr>
        <w:t>Effort expectancy (EE) pertains to the perceived ease of using a technology (</w:t>
      </w:r>
      <w:r w:rsidR="00E3234D">
        <w:rPr>
          <w:rFonts w:ascii="Times New Roman" w:hAnsi="Times New Roman" w:cs="Times New Roman"/>
          <w:sz w:val="20"/>
          <w:szCs w:val="20"/>
        </w:rPr>
        <w:t>[17]</w:t>
      </w:r>
      <w:r w:rsidRPr="00F3240B">
        <w:rPr>
          <w:rFonts w:ascii="Times New Roman" w:hAnsi="Times New Roman" w:cs="Times New Roman"/>
          <w:sz w:val="20"/>
          <w:szCs w:val="20"/>
        </w:rPr>
        <w:t xml:space="preserve">). A user-friendly and intuitive crowdfunding platform is crucial in encouraging adoption among SMEs, particularly those with </w:t>
      </w:r>
      <w:r w:rsidRPr="00F3240B">
        <w:rPr>
          <w:rFonts w:ascii="Times New Roman" w:hAnsi="Times New Roman" w:cs="Times New Roman"/>
          <w:sz w:val="20"/>
          <w:szCs w:val="20"/>
        </w:rPr>
        <w:lastRenderedPageBreak/>
        <w:t>limited technological proficiency. Research suggests that simplicity in platform navigation, ease of setting up campaigns, and streamlined transaction processes significantly enhance SMEs’ willingness to adopt Islamic crowdfunding (</w:t>
      </w:r>
      <w:r w:rsidR="00E3234D">
        <w:rPr>
          <w:rFonts w:ascii="Times New Roman" w:hAnsi="Times New Roman" w:cs="Times New Roman"/>
          <w:sz w:val="20"/>
          <w:szCs w:val="20"/>
        </w:rPr>
        <w:t>[13]</w:t>
      </w:r>
      <w:r w:rsidR="00D7545E">
        <w:rPr>
          <w:rFonts w:ascii="Times New Roman" w:hAnsi="Times New Roman" w:cs="Times New Roman"/>
          <w:sz w:val="20"/>
          <w:szCs w:val="20"/>
        </w:rPr>
        <w:t xml:space="preserve">). Conversely, </w:t>
      </w:r>
      <w:r w:rsidRPr="00F3240B">
        <w:rPr>
          <w:rFonts w:ascii="Times New Roman" w:hAnsi="Times New Roman" w:cs="Times New Roman"/>
          <w:sz w:val="20"/>
          <w:szCs w:val="20"/>
        </w:rPr>
        <w:t xml:space="preserve">some entrepreneurs, particularly those from older generations, struggle with digital financial platforms due to inadequate technological literacy, limiting EE’s influence on adoption decisions. Additionally, limited knowledge of Islamic crowdfunding mechanisms and compliance requirements may further hinder adoption. </w:t>
      </w:r>
      <w:r w:rsidR="00E04357" w:rsidRPr="00E04357">
        <w:rPr>
          <w:rFonts w:ascii="Times New Roman" w:hAnsi="Times New Roman" w:cs="Times New Roman"/>
          <w:sz w:val="20"/>
          <w:szCs w:val="20"/>
        </w:rPr>
        <w:t>Ensuring a user-friendly interface and sufficient educational support is essential to encourage Islamic crowdfunding adoption among SMEs. Thus, effort expectancy is expected to enhance SMEs’ intention to adopt the platform (H2: Effort Expectancy positively affects the intention to use Islamic crowdfunding).</w:t>
      </w:r>
    </w:p>
    <w:p w14:paraId="06A23787" w14:textId="77777777" w:rsidR="00210311" w:rsidRDefault="00610424" w:rsidP="009179F9">
      <w:pPr>
        <w:spacing w:after="0"/>
        <w:ind w:right="-7" w:firstLine="270"/>
        <w:jc w:val="both"/>
        <w:rPr>
          <w:rFonts w:ascii="Times New Roman" w:hAnsi="Times New Roman" w:cs="Times New Roman"/>
          <w:sz w:val="20"/>
          <w:szCs w:val="20"/>
        </w:rPr>
      </w:pPr>
      <w:r w:rsidRPr="00F3240B">
        <w:rPr>
          <w:rFonts w:ascii="Times New Roman" w:hAnsi="Times New Roman" w:cs="Times New Roman"/>
          <w:sz w:val="20"/>
          <w:szCs w:val="20"/>
        </w:rPr>
        <w:t>Social influence (SI) refers to the impact of external opinions and social networks on an individual’s technology adoption decision (</w:t>
      </w:r>
      <w:r w:rsidR="00E3234D">
        <w:rPr>
          <w:rFonts w:ascii="Times New Roman" w:hAnsi="Times New Roman" w:cs="Times New Roman"/>
          <w:sz w:val="20"/>
          <w:szCs w:val="20"/>
        </w:rPr>
        <w:t>[14]</w:t>
      </w:r>
      <w:r w:rsidRPr="00F3240B">
        <w:rPr>
          <w:rFonts w:ascii="Times New Roman" w:hAnsi="Times New Roman" w:cs="Times New Roman"/>
          <w:sz w:val="20"/>
          <w:szCs w:val="20"/>
        </w:rPr>
        <w:t>). In the context of Islamic crowdfunding, SI involves the role of peers, family, business networks, and industry experts in shaping SMEs' perceptions and acceptance of the platform. Prior studies suggest that recommendations from trusted sources, success stories from other entrepreneurs, and community-driven advocacy contribute positively to adoption (</w:t>
      </w:r>
      <w:r w:rsidR="00E3234D">
        <w:rPr>
          <w:rFonts w:ascii="Times New Roman" w:hAnsi="Times New Roman" w:cs="Times New Roman"/>
          <w:sz w:val="20"/>
          <w:szCs w:val="20"/>
        </w:rPr>
        <w:t>[4]</w:t>
      </w:r>
      <w:r w:rsidRPr="00F3240B">
        <w:rPr>
          <w:rFonts w:ascii="Times New Roman" w:hAnsi="Times New Roman" w:cs="Times New Roman"/>
          <w:sz w:val="20"/>
          <w:szCs w:val="20"/>
        </w:rPr>
        <w:t>). However, other studies indicate that SI may have limited impact in cases where Islamic crowdfunding lacks widespread recognition or endorsement from influential figures (</w:t>
      </w:r>
      <w:r w:rsidR="00E3234D">
        <w:rPr>
          <w:rFonts w:ascii="Times New Roman" w:hAnsi="Times New Roman" w:cs="Times New Roman"/>
          <w:sz w:val="20"/>
          <w:szCs w:val="20"/>
        </w:rPr>
        <w:t>[13]</w:t>
      </w:r>
      <w:r w:rsidRPr="00F3240B">
        <w:rPr>
          <w:rFonts w:ascii="Times New Roman" w:hAnsi="Times New Roman" w:cs="Times New Roman"/>
          <w:sz w:val="20"/>
          <w:szCs w:val="20"/>
        </w:rPr>
        <w:t xml:space="preserve">). </w:t>
      </w:r>
      <w:r w:rsidR="00210311" w:rsidRPr="00210311">
        <w:rPr>
          <w:rFonts w:ascii="Times New Roman" w:hAnsi="Times New Roman" w:cs="Times New Roman"/>
          <w:sz w:val="20"/>
          <w:szCs w:val="20"/>
        </w:rPr>
        <w:t>As Islamic crowdfunding is still emerging, promotional efforts and testimonials from early adopters can strengthen the role of social influence in adoption decisions. Thus, social influence is expected to positively shape SMEs’ intention to adopt Islamic crowdfunding (H3: Social Influence positively influences the intention to use Islamic crowdfunding).</w:t>
      </w:r>
    </w:p>
    <w:p w14:paraId="1838FA15" w14:textId="77777777" w:rsidR="00210311" w:rsidRDefault="00610424" w:rsidP="009179F9">
      <w:pPr>
        <w:spacing w:after="0"/>
        <w:ind w:right="-7" w:firstLine="270"/>
        <w:jc w:val="both"/>
        <w:rPr>
          <w:rFonts w:ascii="Times New Roman" w:hAnsi="Times New Roman" w:cs="Times New Roman"/>
          <w:sz w:val="20"/>
          <w:szCs w:val="20"/>
        </w:rPr>
      </w:pPr>
      <w:r w:rsidRPr="00F3240B">
        <w:rPr>
          <w:rFonts w:ascii="Times New Roman" w:hAnsi="Times New Roman" w:cs="Times New Roman"/>
          <w:sz w:val="20"/>
          <w:szCs w:val="20"/>
        </w:rPr>
        <w:t>Facilitating conditions (FC) refer to the availability of organizational, technical, and infrastructural support that enables the use of a new technology (</w:t>
      </w:r>
      <w:r w:rsidR="00E3234D">
        <w:rPr>
          <w:rFonts w:ascii="Times New Roman" w:hAnsi="Times New Roman" w:cs="Times New Roman"/>
          <w:sz w:val="20"/>
          <w:szCs w:val="20"/>
        </w:rPr>
        <w:t>[14]</w:t>
      </w:r>
      <w:r w:rsidRPr="00F3240B">
        <w:rPr>
          <w:rFonts w:ascii="Times New Roman" w:hAnsi="Times New Roman" w:cs="Times New Roman"/>
          <w:sz w:val="20"/>
          <w:szCs w:val="20"/>
        </w:rPr>
        <w:t>). In Islamic crowdfunding, FC encompasses factors such as internet accessibility, regulatory frameworks, platform credibility, and financial literacy support. Studies indicate that SMEs are more likely to adopt Islamic crowdfunding when they have access to supportive policies, training programs, and secure transact</w:t>
      </w:r>
      <w:r w:rsidR="00985A4A">
        <w:rPr>
          <w:rFonts w:ascii="Times New Roman" w:hAnsi="Times New Roman" w:cs="Times New Roman"/>
          <w:sz w:val="20"/>
          <w:szCs w:val="20"/>
        </w:rPr>
        <w:t>ion mechanisms (</w:t>
      </w:r>
      <w:r w:rsidR="00E3234D">
        <w:rPr>
          <w:rFonts w:ascii="Times New Roman" w:hAnsi="Times New Roman" w:cs="Times New Roman"/>
          <w:sz w:val="20"/>
          <w:szCs w:val="20"/>
        </w:rPr>
        <w:t>[4]</w:t>
      </w:r>
      <w:r w:rsidRPr="00F3240B">
        <w:rPr>
          <w:rFonts w:ascii="Times New Roman" w:hAnsi="Times New Roman" w:cs="Times New Roman"/>
          <w:sz w:val="20"/>
          <w:szCs w:val="20"/>
        </w:rPr>
        <w:t>). However, other research highlights challenges such as a lack of regulatory clarity, insufficient public awareness, and cybersecurity concerns as barriers to adoption (</w:t>
      </w:r>
      <w:r w:rsidR="00E3234D">
        <w:rPr>
          <w:rFonts w:ascii="Times New Roman" w:hAnsi="Times New Roman" w:cs="Times New Roman"/>
          <w:sz w:val="20"/>
          <w:szCs w:val="20"/>
        </w:rPr>
        <w:t>[17]</w:t>
      </w:r>
      <w:r w:rsidRPr="00F3240B">
        <w:rPr>
          <w:rFonts w:ascii="Times New Roman" w:hAnsi="Times New Roman" w:cs="Times New Roman"/>
          <w:sz w:val="20"/>
          <w:szCs w:val="20"/>
        </w:rPr>
        <w:t xml:space="preserve">). </w:t>
      </w:r>
      <w:r w:rsidR="00210311" w:rsidRPr="00210311">
        <w:rPr>
          <w:rFonts w:ascii="Times New Roman" w:hAnsi="Times New Roman" w:cs="Times New Roman"/>
          <w:sz w:val="20"/>
          <w:szCs w:val="20"/>
        </w:rPr>
        <w:t>The Malaysian government’s push for fintech and digital entrepreneurship suggests that strengthening facilitating conditions could further support the growth of Islamic crowdfunding among SMEs. Accordingly, facilitating conditions are expected to positively influence SMEs’ intention to adopt Islamic crowdfunding (H4: Facilitating Conditions positively impact the intention to use Islamic crowdfunding).</w:t>
      </w:r>
    </w:p>
    <w:p w14:paraId="5CDEA868" w14:textId="77777777" w:rsidR="00FE1DB2" w:rsidRDefault="00610424" w:rsidP="009179F9">
      <w:pPr>
        <w:spacing w:after="0"/>
        <w:ind w:right="-7" w:firstLine="270"/>
        <w:jc w:val="both"/>
        <w:rPr>
          <w:rFonts w:ascii="Times New Roman" w:hAnsi="Times New Roman" w:cs="Times New Roman"/>
          <w:sz w:val="20"/>
          <w:szCs w:val="20"/>
        </w:rPr>
      </w:pPr>
      <w:r w:rsidRPr="00F3240B">
        <w:rPr>
          <w:rFonts w:ascii="Times New Roman" w:hAnsi="Times New Roman" w:cs="Times New Roman"/>
          <w:sz w:val="20"/>
          <w:szCs w:val="20"/>
        </w:rPr>
        <w:t xml:space="preserve">Trialability </w:t>
      </w:r>
      <w:r w:rsidR="00066FD8" w:rsidRPr="00F3240B">
        <w:rPr>
          <w:rFonts w:ascii="Times New Roman" w:hAnsi="Times New Roman" w:cs="Times New Roman"/>
          <w:sz w:val="20"/>
          <w:szCs w:val="20"/>
        </w:rPr>
        <w:t xml:space="preserve">(TB) </w:t>
      </w:r>
      <w:r w:rsidRPr="00F3240B">
        <w:rPr>
          <w:rFonts w:ascii="Times New Roman" w:hAnsi="Times New Roman" w:cs="Times New Roman"/>
          <w:sz w:val="20"/>
          <w:szCs w:val="20"/>
        </w:rPr>
        <w:t>refers to the extent to which an innovation can be experimented with before full-scale adoption. In Islamic crowdfunding, trialability allows SMEs to explore how the platform functions, test its efficiency, and build trust in its compliance w</w:t>
      </w:r>
      <w:r w:rsidR="00D7545E">
        <w:rPr>
          <w:rFonts w:ascii="Times New Roman" w:hAnsi="Times New Roman" w:cs="Times New Roman"/>
          <w:sz w:val="20"/>
          <w:szCs w:val="20"/>
        </w:rPr>
        <w:t>ith Islamic finance principles</w:t>
      </w:r>
      <w:r w:rsidRPr="00F3240B">
        <w:rPr>
          <w:rFonts w:ascii="Times New Roman" w:hAnsi="Times New Roman" w:cs="Times New Roman"/>
          <w:sz w:val="20"/>
          <w:szCs w:val="20"/>
        </w:rPr>
        <w:t>. Studies suggest that providing SMEs with opportunities to experiment with crowdfunding platforms fosters confidence, reducing hesitation in adoption (</w:t>
      </w:r>
      <w:r w:rsidR="00E3234D">
        <w:rPr>
          <w:rFonts w:ascii="Times New Roman" w:hAnsi="Times New Roman" w:cs="Times New Roman"/>
          <w:sz w:val="20"/>
          <w:szCs w:val="20"/>
        </w:rPr>
        <w:t>[18]</w:t>
      </w:r>
      <w:r w:rsidRPr="00F3240B">
        <w:rPr>
          <w:rFonts w:ascii="Times New Roman" w:hAnsi="Times New Roman" w:cs="Times New Roman"/>
          <w:sz w:val="20"/>
          <w:szCs w:val="20"/>
        </w:rPr>
        <w:t>). However, limited accessibility to trial programs and inadequate awareness campaigns often hinder SMEs from fully exploring these platforms (</w:t>
      </w:r>
      <w:r w:rsidR="00E3234D">
        <w:rPr>
          <w:rFonts w:ascii="Times New Roman" w:hAnsi="Times New Roman" w:cs="Times New Roman"/>
          <w:sz w:val="20"/>
          <w:szCs w:val="20"/>
        </w:rPr>
        <w:t>[4]</w:t>
      </w:r>
      <w:r w:rsidRPr="00F3240B">
        <w:rPr>
          <w:rFonts w:ascii="Times New Roman" w:hAnsi="Times New Roman" w:cs="Times New Roman"/>
          <w:sz w:val="20"/>
          <w:szCs w:val="20"/>
        </w:rPr>
        <w:t xml:space="preserve">). </w:t>
      </w:r>
      <w:r w:rsidR="00210311" w:rsidRPr="00210311">
        <w:rPr>
          <w:rFonts w:ascii="Times New Roman" w:hAnsi="Times New Roman" w:cs="Times New Roman"/>
          <w:sz w:val="20"/>
          <w:szCs w:val="20"/>
        </w:rPr>
        <w:t xml:space="preserve">Thus, incorporating trialability as a key determinant can enhance understanding and encourage greater SME engagement with Islamic crowdfunding. Accordingly, trialability is expected to positively influence SMEs’ intention to adopt Islamic crowdfunding (H5: Trialability positively </w:t>
      </w:r>
      <w:r w:rsidR="00210311">
        <w:rPr>
          <w:rFonts w:ascii="Times New Roman" w:hAnsi="Times New Roman" w:cs="Times New Roman"/>
          <w:sz w:val="20"/>
          <w:szCs w:val="20"/>
        </w:rPr>
        <w:t xml:space="preserve">impact the </w:t>
      </w:r>
      <w:r w:rsidR="00210311" w:rsidRPr="00210311">
        <w:rPr>
          <w:rFonts w:ascii="Times New Roman" w:hAnsi="Times New Roman" w:cs="Times New Roman"/>
          <w:sz w:val="20"/>
          <w:szCs w:val="20"/>
        </w:rPr>
        <w:t>the intention to use Islamic crowdfunding).</w:t>
      </w:r>
      <w:r w:rsidRPr="00F3240B">
        <w:rPr>
          <w:rFonts w:ascii="Times New Roman" w:hAnsi="Times New Roman" w:cs="Times New Roman"/>
          <w:sz w:val="20"/>
          <w:szCs w:val="20"/>
        </w:rPr>
        <w:t xml:space="preserve"> The study analyzes the relationship between the core elements of the UTAUT theory (PE, EE, SI, and FC) and a single element from the In</w:t>
      </w:r>
      <w:r w:rsidR="001D066D" w:rsidRPr="00F3240B">
        <w:rPr>
          <w:rFonts w:ascii="Times New Roman" w:hAnsi="Times New Roman" w:cs="Times New Roman"/>
          <w:sz w:val="20"/>
          <w:szCs w:val="20"/>
        </w:rPr>
        <w:t>novation Diffusion Theory (TB).</w:t>
      </w:r>
    </w:p>
    <w:p w14:paraId="64EF8122" w14:textId="77777777" w:rsidR="003408BB" w:rsidRPr="00F3240B" w:rsidRDefault="003408BB" w:rsidP="009179F9">
      <w:pPr>
        <w:spacing w:after="0"/>
        <w:ind w:right="-7" w:firstLine="270"/>
        <w:jc w:val="both"/>
        <w:rPr>
          <w:rFonts w:ascii="Times New Roman" w:hAnsi="Times New Roman" w:cs="Times New Roman"/>
          <w:sz w:val="20"/>
          <w:szCs w:val="20"/>
        </w:rPr>
      </w:pPr>
    </w:p>
    <w:p w14:paraId="5339F002" w14:textId="77777777" w:rsidR="00FE1DB2" w:rsidRPr="00F3240B" w:rsidRDefault="00610424" w:rsidP="009179F9">
      <w:pPr>
        <w:spacing w:after="0"/>
        <w:ind w:left="270" w:right="-7"/>
        <w:jc w:val="center"/>
        <w:rPr>
          <w:rFonts w:ascii="Times New Roman" w:hAnsi="Times New Roman" w:cs="Times New Roman"/>
          <w:sz w:val="20"/>
          <w:szCs w:val="20"/>
        </w:rPr>
      </w:pPr>
      <w:r w:rsidRPr="00F3240B">
        <w:rPr>
          <w:rFonts w:ascii="Times New Roman" w:hAnsi="Times New Roman" w:cs="Times New Roman"/>
          <w:b/>
          <w:sz w:val="24"/>
          <w:szCs w:val="24"/>
        </w:rPr>
        <w:t>METHODOLOGY</w:t>
      </w:r>
    </w:p>
    <w:p w14:paraId="70B963D3" w14:textId="77777777" w:rsidR="00FE1DB2" w:rsidRDefault="00610424" w:rsidP="009179F9">
      <w:pPr>
        <w:spacing w:after="0"/>
        <w:ind w:right="-7" w:firstLine="270"/>
        <w:jc w:val="both"/>
        <w:rPr>
          <w:rFonts w:ascii="Times New Roman" w:hAnsi="Times New Roman" w:cs="Times New Roman"/>
          <w:sz w:val="20"/>
          <w:szCs w:val="20"/>
        </w:rPr>
      </w:pPr>
      <w:r w:rsidRPr="00F3240B">
        <w:rPr>
          <w:rFonts w:ascii="Times New Roman" w:hAnsi="Times New Roman" w:cs="Times New Roman"/>
          <w:sz w:val="20"/>
          <w:szCs w:val="20"/>
        </w:rPr>
        <w:t>This study adopts a quantitative research design, employing a structured survey to collect data on factors influencing the adoption of Islamic crowdfunding among Bumiputera SMEs. Data collection was conducted through a survey questionnaire. The study employs descriptive and inferential statistical analyses to interpret the collected data and derive meaningful insights regarding SMEs' behavioral intentions toward Islamic crowdfunding adoption. The target population consists of approximately 11,000 Bumipute</w:t>
      </w:r>
      <w:r w:rsidR="00D7545E">
        <w:rPr>
          <w:rFonts w:ascii="Times New Roman" w:hAnsi="Times New Roman" w:cs="Times New Roman"/>
          <w:sz w:val="20"/>
          <w:szCs w:val="20"/>
        </w:rPr>
        <w:t xml:space="preserve">ra SMEs registered </w:t>
      </w:r>
      <w:r w:rsidR="00D7545E">
        <w:rPr>
          <w:rFonts w:ascii="Times New Roman" w:hAnsi="Times New Roman" w:cs="Times New Roman"/>
          <w:sz w:val="20"/>
          <w:szCs w:val="20"/>
        </w:rPr>
        <w:lastRenderedPageBreak/>
        <w:t>with SME Corp</w:t>
      </w:r>
      <w:r w:rsidR="001B7CD7">
        <w:rPr>
          <w:rFonts w:ascii="Times New Roman" w:hAnsi="Times New Roman" w:cs="Times New Roman"/>
          <w:sz w:val="20"/>
          <w:szCs w:val="20"/>
        </w:rPr>
        <w:t xml:space="preserve"> (</w:t>
      </w:r>
      <w:r w:rsidR="00E3234D">
        <w:rPr>
          <w:rFonts w:ascii="Times New Roman" w:eastAsia="Times New Roman" w:hAnsi="Times New Roman" w:cs="Times New Roman"/>
          <w:sz w:val="20"/>
          <w:szCs w:val="20"/>
        </w:rPr>
        <w:t>[19]</w:t>
      </w:r>
      <w:r w:rsidR="001B7CD7">
        <w:rPr>
          <w:rFonts w:ascii="Times New Roman" w:eastAsia="Times New Roman" w:hAnsi="Times New Roman" w:cs="Times New Roman"/>
          <w:sz w:val="20"/>
          <w:szCs w:val="20"/>
        </w:rPr>
        <w:t>)</w:t>
      </w:r>
      <w:r w:rsidRPr="00F3240B">
        <w:rPr>
          <w:rFonts w:ascii="Times New Roman" w:hAnsi="Times New Roman" w:cs="Times New Roman"/>
          <w:sz w:val="20"/>
          <w:szCs w:val="20"/>
        </w:rPr>
        <w:t>. The sample size was determined using G*Power analysis, with a power level of 0.8, an effect size of 0.15, and five predictors (</w:t>
      </w:r>
      <w:r w:rsidR="00E3234D">
        <w:rPr>
          <w:rFonts w:ascii="Times New Roman" w:hAnsi="Times New Roman" w:cs="Times New Roman"/>
          <w:sz w:val="20"/>
          <w:szCs w:val="20"/>
        </w:rPr>
        <w:t>[20]</w:t>
      </w:r>
      <w:r w:rsidRPr="00F3240B">
        <w:rPr>
          <w:rFonts w:ascii="Times New Roman" w:hAnsi="Times New Roman" w:cs="Times New Roman"/>
          <w:sz w:val="20"/>
          <w:szCs w:val="20"/>
        </w:rPr>
        <w:t xml:space="preserve">), leading to a minimum required sample size of 92 respondents. However, to enhance the robustness of the study, 528 completed responses were collected. After data screening for missing values, monotone responses, and outliers, the final usable sample consisted of 486 respondents. The study employs a stratified random sampling technique, which ensures a proportional representation of SMEs from different sectors. Stratification ensures that each sector's representation is proportionate to its actual distribution within the SME population. The survey distribution process was carefully monitored to achieve the minimum required responses from each sector. To minimize common method bias, several procedural remedies were implemented. These include using different Likert scale ranges for dependent and independent variables, incorporating marker variables, and conducting pre-tests before full-scale data collection. The questionnaire underwent validation by five domain experts and received ethical clearance from the appointed ethics committee. A pilot study was conducted with 100 Bumiputera SME entrepreneurs before the full-scale survey distribution. Since no major issues were identified in the pilot phase, the questionnaire was finalized and distributed. The constructs - Performance Expectancy (PE), Effort Expectancy (EE), Social Influence (SI), Facilitating Conditions (FC), and Trialability (TB)—were measured using a 5-point Likert scale ranging from 1 (strongly disagree) to 5 (strongly agree). To further mitigate common method bias, the measurement of behavioral intention to use Islamic crowdfunding employed a 7-point Likert scale ranging from 1 (strongly disagree) to 7 (strongly agree). This methodological approach ensures reliability, validity, and generalizability in assessing the factors influencing Bumiputera SMEs’ intention to adopt Islamic crowdfunding. </w:t>
      </w:r>
      <w:r w:rsidR="00D7545E">
        <w:rPr>
          <w:rFonts w:ascii="Times New Roman" w:hAnsi="Times New Roman" w:cs="Times New Roman"/>
          <w:sz w:val="20"/>
          <w:szCs w:val="20"/>
        </w:rPr>
        <w:t>Also, s</w:t>
      </w:r>
      <w:r w:rsidRPr="00F3240B">
        <w:rPr>
          <w:rFonts w:ascii="Times New Roman" w:hAnsi="Times New Roman" w:cs="Times New Roman"/>
          <w:sz w:val="20"/>
          <w:szCs w:val="20"/>
        </w:rPr>
        <w:t>urveys were employed to gather demographic data, encompassing factors like age, capital sources, annual revenue, staff counts, and related metrics. The demographic breakdown, demonstrates that the trade and services sector house the majority of SMEs, trailed by manufacturing, construction, agriculture, and a small portion in mining and quarrying. In terms of funding, most businesses depend on their savings (56%), while others obtain capital through loans, investors, and alternative means. Simultaneously, the predominant participants fall within the demographic bracket of 25-35 y</w:t>
      </w:r>
      <w:r w:rsidR="005A2A1D">
        <w:rPr>
          <w:rFonts w:ascii="Times New Roman" w:hAnsi="Times New Roman" w:cs="Times New Roman"/>
          <w:sz w:val="20"/>
          <w:szCs w:val="20"/>
        </w:rPr>
        <w:t>ears, denoted as the millennial or g</w:t>
      </w:r>
      <w:r w:rsidRPr="00F3240B">
        <w:rPr>
          <w:rFonts w:ascii="Times New Roman" w:hAnsi="Times New Roman" w:cs="Times New Roman"/>
          <w:sz w:val="20"/>
          <w:szCs w:val="20"/>
        </w:rPr>
        <w:t xml:space="preserve">eneration Y cohort. </w:t>
      </w:r>
    </w:p>
    <w:p w14:paraId="13379376" w14:textId="77777777" w:rsidR="000335D5" w:rsidRPr="00F3240B" w:rsidRDefault="000335D5" w:rsidP="009179F9">
      <w:pPr>
        <w:spacing w:after="0"/>
        <w:ind w:right="-7" w:firstLine="270"/>
        <w:jc w:val="both"/>
        <w:rPr>
          <w:rFonts w:ascii="Times New Roman" w:hAnsi="Times New Roman" w:cs="Times New Roman"/>
          <w:sz w:val="20"/>
          <w:szCs w:val="20"/>
        </w:rPr>
      </w:pPr>
    </w:p>
    <w:p w14:paraId="5620C871" w14:textId="77777777" w:rsidR="000A247E" w:rsidRPr="00F3240B" w:rsidRDefault="00610424" w:rsidP="009179F9">
      <w:pPr>
        <w:spacing w:after="0"/>
        <w:ind w:left="270" w:right="-7"/>
        <w:jc w:val="center"/>
        <w:rPr>
          <w:rFonts w:ascii="Times New Roman" w:hAnsi="Times New Roman" w:cs="Times New Roman"/>
          <w:b/>
          <w:sz w:val="24"/>
          <w:szCs w:val="24"/>
        </w:rPr>
      </w:pPr>
      <w:r w:rsidRPr="00F3240B">
        <w:rPr>
          <w:rFonts w:ascii="Times New Roman" w:hAnsi="Times New Roman" w:cs="Times New Roman"/>
          <w:b/>
          <w:sz w:val="24"/>
          <w:szCs w:val="24"/>
        </w:rPr>
        <w:t>FINDINGS AND DISCUSSION</w:t>
      </w:r>
    </w:p>
    <w:p w14:paraId="42B68831" w14:textId="77777777" w:rsidR="00FE1DB2" w:rsidRPr="00F3240B" w:rsidRDefault="00610424" w:rsidP="009179F9">
      <w:pPr>
        <w:spacing w:after="0" w:line="240" w:lineRule="auto"/>
        <w:ind w:right="-7" w:firstLine="270"/>
        <w:jc w:val="both"/>
        <w:rPr>
          <w:rFonts w:ascii="Times New Roman" w:hAnsi="Times New Roman" w:cs="Times New Roman"/>
          <w:sz w:val="20"/>
          <w:szCs w:val="20"/>
        </w:rPr>
      </w:pPr>
      <w:r w:rsidRPr="00F3240B">
        <w:rPr>
          <w:rFonts w:ascii="Times New Roman" w:hAnsi="Times New Roman" w:cs="Times New Roman"/>
          <w:sz w:val="20"/>
          <w:szCs w:val="20"/>
        </w:rPr>
        <w:t>This study scrutinized the authenticity of the measurement model through examinations for convergent and discriminant validity using confirmatory factor analysis (CFA). The CFA evaluation in PLS-SEM incorporates metrics such as internal consistency reliability (Cronbach's Alpha/Composite reliability), convergent validity (factor loadings and Average Variance Extracted, AVE), and discriminant validity (Heterotrait-Monotrait Ratio of Correlations, HTMT) (</w:t>
      </w:r>
      <w:r w:rsidR="00E3234D">
        <w:rPr>
          <w:rFonts w:ascii="Times New Roman" w:hAnsi="Times New Roman" w:cs="Times New Roman"/>
          <w:sz w:val="20"/>
          <w:szCs w:val="20"/>
        </w:rPr>
        <w:t>[20]</w:t>
      </w:r>
      <w:r w:rsidRPr="00F3240B">
        <w:rPr>
          <w:rFonts w:ascii="Times New Roman" w:hAnsi="Times New Roman" w:cs="Times New Roman"/>
          <w:sz w:val="20"/>
          <w:szCs w:val="20"/>
        </w:rPr>
        <w:t xml:space="preserve">). </w:t>
      </w:r>
      <w:r w:rsidR="000A247E" w:rsidRPr="00F3240B">
        <w:rPr>
          <w:rFonts w:ascii="Times New Roman" w:hAnsi="Times New Roman" w:cs="Times New Roman"/>
          <w:sz w:val="20"/>
          <w:szCs w:val="20"/>
        </w:rPr>
        <w:t>The findings found that a</w:t>
      </w:r>
      <w:r w:rsidR="000A247E" w:rsidRPr="00F3240B">
        <w:rPr>
          <w:rFonts w:ascii="Times New Roman" w:hAnsi="Times New Roman" w:cs="Times New Roman"/>
          <w:sz w:val="20"/>
          <w:szCs w:val="20"/>
          <w:lang w:eastAsia="en-MY"/>
        </w:rPr>
        <w:t xml:space="preserve">ll of the outer loading values ​​for the constructs meet the minimum value of at least 0.708 </w:t>
      </w:r>
      <w:r w:rsidR="00F61A15">
        <w:rPr>
          <w:rFonts w:ascii="Times New Roman" w:hAnsi="Times New Roman" w:cs="Times New Roman"/>
          <w:sz w:val="20"/>
          <w:szCs w:val="20"/>
          <w:lang w:eastAsia="en-MY"/>
        </w:rPr>
        <w:t xml:space="preserve">and </w:t>
      </w:r>
      <w:r w:rsidR="000A247E" w:rsidRPr="00F3240B">
        <w:rPr>
          <w:rFonts w:ascii="Times New Roman" w:hAnsi="Times New Roman" w:cs="Times New Roman"/>
          <w:sz w:val="20"/>
          <w:szCs w:val="20"/>
          <w:lang w:eastAsia="en-MY"/>
        </w:rPr>
        <w:t xml:space="preserve">the constructs have reached a satisfactory level which is AVE &gt; 0.5 and Composite Reliability CR &gt; 0.7. </w:t>
      </w:r>
      <w:r w:rsidR="00F61A15">
        <w:rPr>
          <w:rFonts w:ascii="Times New Roman" w:hAnsi="Times New Roman" w:cs="Times New Roman"/>
          <w:sz w:val="20"/>
          <w:szCs w:val="20"/>
          <w:lang w:eastAsia="en-MY"/>
        </w:rPr>
        <w:t>Meanwhile</w:t>
      </w:r>
      <w:r w:rsidR="000A247E" w:rsidRPr="00F3240B">
        <w:rPr>
          <w:rFonts w:ascii="Times New Roman" w:hAnsi="Times New Roman" w:cs="Times New Roman"/>
          <w:sz w:val="20"/>
          <w:szCs w:val="20"/>
          <w:lang w:eastAsia="en-MY"/>
        </w:rPr>
        <w:t xml:space="preserve">, </w:t>
      </w:r>
      <w:r w:rsidR="00280209" w:rsidRPr="00F3240B">
        <w:rPr>
          <w:rFonts w:ascii="Times New Roman" w:hAnsi="Times New Roman" w:cs="Times New Roman"/>
          <w:sz w:val="20"/>
          <w:szCs w:val="20"/>
          <w:lang w:eastAsia="en-MY"/>
        </w:rPr>
        <w:t>the results</w:t>
      </w:r>
      <w:r w:rsidRPr="00F3240B">
        <w:rPr>
          <w:rFonts w:ascii="Times New Roman" w:hAnsi="Times New Roman" w:cs="Times New Roman"/>
          <w:sz w:val="20"/>
          <w:szCs w:val="20"/>
        </w:rPr>
        <w:t xml:space="preserve"> ​​meet the criterion of HTMT being less than 0.85, suggesting that discriminant validity has been established</w:t>
      </w:r>
      <w:r w:rsidR="00280209" w:rsidRPr="00F3240B">
        <w:rPr>
          <w:rFonts w:ascii="Times New Roman" w:hAnsi="Times New Roman" w:cs="Times New Roman"/>
          <w:sz w:val="20"/>
          <w:szCs w:val="20"/>
        </w:rPr>
        <w:t xml:space="preserve">. </w:t>
      </w:r>
      <w:r w:rsidRPr="00F3240B">
        <w:rPr>
          <w:rFonts w:ascii="Times New Roman" w:hAnsi="Times New Roman" w:cs="Times New Roman"/>
          <w:sz w:val="20"/>
          <w:szCs w:val="20"/>
        </w:rPr>
        <w:t xml:space="preserve"> </w:t>
      </w:r>
    </w:p>
    <w:p w14:paraId="6F93A447" w14:textId="77777777" w:rsidR="00280209" w:rsidRDefault="00280209" w:rsidP="009179F9">
      <w:pPr>
        <w:spacing w:after="0"/>
        <w:ind w:right="-7" w:firstLine="270"/>
        <w:jc w:val="both"/>
        <w:rPr>
          <w:rFonts w:ascii="Times New Roman" w:hAnsi="Times New Roman" w:cs="Times New Roman"/>
          <w:sz w:val="20"/>
          <w:szCs w:val="20"/>
        </w:rPr>
      </w:pPr>
      <w:r w:rsidRPr="00F3240B">
        <w:rPr>
          <w:rFonts w:ascii="Times New Roman" w:hAnsi="Times New Roman" w:cs="Times New Roman"/>
          <w:sz w:val="20"/>
          <w:szCs w:val="20"/>
        </w:rPr>
        <w:t>In assessing the structural model, t</w:t>
      </w:r>
      <w:r w:rsidR="00610424" w:rsidRPr="00F3240B">
        <w:rPr>
          <w:rFonts w:ascii="Times New Roman" w:hAnsi="Times New Roman" w:cs="Times New Roman"/>
          <w:sz w:val="20"/>
          <w:szCs w:val="20"/>
        </w:rPr>
        <w:t>his study establishes five straight hypotheses between the variables, and their significance is determined by calculating t-statistics for all paths using the bootstrapping function</w:t>
      </w:r>
      <w:r w:rsidRPr="00F3240B">
        <w:rPr>
          <w:rFonts w:ascii="Times New Roman" w:hAnsi="Times New Roman" w:cs="Times New Roman"/>
          <w:sz w:val="20"/>
          <w:szCs w:val="20"/>
        </w:rPr>
        <w:t xml:space="preserve"> as shown in Table 1</w:t>
      </w:r>
      <w:r w:rsidR="00610424" w:rsidRPr="00F3240B">
        <w:rPr>
          <w:rFonts w:ascii="Times New Roman" w:hAnsi="Times New Roman" w:cs="Times New Roman"/>
          <w:sz w:val="20"/>
          <w:szCs w:val="20"/>
        </w:rPr>
        <w:t xml:space="preserve">. </w:t>
      </w:r>
    </w:p>
    <w:p w14:paraId="0E1227E4" w14:textId="77777777" w:rsidR="005A2A1D" w:rsidRPr="00F3240B" w:rsidRDefault="005A2A1D" w:rsidP="009179F9">
      <w:pPr>
        <w:spacing w:after="0"/>
        <w:ind w:right="-7" w:firstLine="270"/>
        <w:jc w:val="both"/>
        <w:rPr>
          <w:rFonts w:ascii="Times New Roman" w:hAnsi="Times New Roman" w:cs="Times New Roman"/>
          <w:sz w:val="20"/>
          <w:szCs w:val="20"/>
        </w:rPr>
      </w:pPr>
    </w:p>
    <w:p w14:paraId="6990FF1D" w14:textId="7621582E" w:rsidR="00280209" w:rsidRPr="0094524D" w:rsidRDefault="009179F9" w:rsidP="009179F9">
      <w:pPr>
        <w:pStyle w:val="NoSpacing"/>
        <w:ind w:left="270" w:right="-7"/>
        <w:jc w:val="center"/>
        <w:rPr>
          <w:rFonts w:ascii="Times New Roman" w:hAnsi="Times New Roman" w:cs="Times New Roman"/>
          <w:sz w:val="18"/>
          <w:szCs w:val="18"/>
        </w:rPr>
      </w:pPr>
      <w:r w:rsidRPr="009179F9">
        <w:rPr>
          <w:rFonts w:ascii="Times New Roman" w:hAnsi="Times New Roman" w:cs="Times New Roman"/>
          <w:b/>
          <w:sz w:val="18"/>
          <w:szCs w:val="18"/>
        </w:rPr>
        <w:t>Table</w:t>
      </w:r>
      <w:r w:rsidR="00280209" w:rsidRPr="009179F9">
        <w:rPr>
          <w:rFonts w:ascii="Times New Roman" w:hAnsi="Times New Roman" w:cs="Times New Roman"/>
          <w:b/>
          <w:sz w:val="18"/>
          <w:szCs w:val="18"/>
        </w:rPr>
        <w:t xml:space="preserve"> 1</w:t>
      </w:r>
      <w:r w:rsidRPr="009179F9">
        <w:rPr>
          <w:rFonts w:ascii="Times New Roman" w:hAnsi="Times New Roman" w:cs="Times New Roman"/>
          <w:b/>
          <w:sz w:val="18"/>
          <w:szCs w:val="18"/>
        </w:rPr>
        <w:t>.</w:t>
      </w:r>
      <w:r w:rsidR="00280209" w:rsidRPr="0094524D">
        <w:rPr>
          <w:rFonts w:ascii="Times New Roman" w:hAnsi="Times New Roman" w:cs="Times New Roman"/>
          <w:sz w:val="18"/>
          <w:szCs w:val="18"/>
        </w:rPr>
        <w:t xml:space="preserve"> Hypothesis Testing Results</w:t>
      </w:r>
    </w:p>
    <w:tbl>
      <w:tblPr>
        <w:tblStyle w:val="TableGrid"/>
        <w:tblW w:w="864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9"/>
        <w:gridCol w:w="1301"/>
        <w:gridCol w:w="846"/>
        <w:gridCol w:w="1044"/>
        <w:gridCol w:w="1000"/>
        <w:gridCol w:w="1177"/>
        <w:gridCol w:w="708"/>
        <w:gridCol w:w="685"/>
        <w:gridCol w:w="757"/>
      </w:tblGrid>
      <w:tr w:rsidR="00280209" w:rsidRPr="009179F9" w14:paraId="0353F3D0" w14:textId="77777777" w:rsidTr="009179F9">
        <w:trPr>
          <w:trHeight w:val="300"/>
        </w:trPr>
        <w:tc>
          <w:tcPr>
            <w:tcW w:w="1129" w:type="dxa"/>
            <w:tcBorders>
              <w:top w:val="single" w:sz="4" w:space="0" w:color="auto"/>
              <w:bottom w:val="single" w:sz="4" w:space="0" w:color="auto"/>
            </w:tcBorders>
            <w:noWrap/>
            <w:hideMark/>
          </w:tcPr>
          <w:p w14:paraId="7A97D898" w14:textId="77777777" w:rsidR="00280209" w:rsidRPr="009179F9" w:rsidRDefault="00280209" w:rsidP="009179F9">
            <w:pPr>
              <w:pStyle w:val="NoSpacing"/>
              <w:ind w:right="-7"/>
              <w:jc w:val="both"/>
              <w:rPr>
                <w:rFonts w:ascii="Times New Roman" w:hAnsi="Times New Roman" w:cs="Times New Roman"/>
                <w:b/>
                <w:bCs/>
                <w:sz w:val="18"/>
                <w:szCs w:val="18"/>
                <w:lang w:val="en-MY"/>
              </w:rPr>
            </w:pPr>
            <w:r w:rsidRPr="009179F9">
              <w:rPr>
                <w:rFonts w:ascii="Times New Roman" w:hAnsi="Times New Roman" w:cs="Times New Roman"/>
                <w:b/>
                <w:bCs/>
                <w:sz w:val="18"/>
                <w:szCs w:val="18"/>
              </w:rPr>
              <w:t>Hypothesis</w:t>
            </w:r>
          </w:p>
        </w:tc>
        <w:tc>
          <w:tcPr>
            <w:tcW w:w="1301" w:type="dxa"/>
            <w:tcBorders>
              <w:top w:val="single" w:sz="4" w:space="0" w:color="auto"/>
              <w:bottom w:val="single" w:sz="4" w:space="0" w:color="auto"/>
            </w:tcBorders>
            <w:noWrap/>
            <w:hideMark/>
          </w:tcPr>
          <w:p w14:paraId="2E5D2FFD" w14:textId="77777777" w:rsidR="00280209" w:rsidRPr="009179F9" w:rsidRDefault="00280209" w:rsidP="009179F9">
            <w:pPr>
              <w:pStyle w:val="NoSpacing"/>
              <w:ind w:right="-7"/>
              <w:jc w:val="both"/>
              <w:rPr>
                <w:rFonts w:ascii="Times New Roman" w:hAnsi="Times New Roman" w:cs="Times New Roman"/>
                <w:b/>
                <w:bCs/>
                <w:sz w:val="18"/>
                <w:szCs w:val="18"/>
              </w:rPr>
            </w:pPr>
            <w:r w:rsidRPr="009179F9">
              <w:rPr>
                <w:rFonts w:ascii="Times New Roman" w:hAnsi="Times New Roman" w:cs="Times New Roman"/>
                <w:b/>
                <w:bCs/>
                <w:sz w:val="18"/>
                <w:szCs w:val="18"/>
              </w:rPr>
              <w:t>Relationship</w:t>
            </w:r>
          </w:p>
        </w:tc>
        <w:tc>
          <w:tcPr>
            <w:tcW w:w="846" w:type="dxa"/>
            <w:tcBorders>
              <w:top w:val="single" w:sz="4" w:space="0" w:color="auto"/>
              <w:bottom w:val="single" w:sz="4" w:space="0" w:color="auto"/>
            </w:tcBorders>
            <w:noWrap/>
            <w:hideMark/>
          </w:tcPr>
          <w:p w14:paraId="4806BE9F" w14:textId="77777777" w:rsidR="00280209" w:rsidRPr="009179F9" w:rsidRDefault="00280209" w:rsidP="009179F9">
            <w:pPr>
              <w:pStyle w:val="NoSpacing"/>
              <w:ind w:left="270" w:right="-7"/>
              <w:jc w:val="both"/>
              <w:rPr>
                <w:rFonts w:ascii="Times New Roman" w:hAnsi="Times New Roman" w:cs="Times New Roman"/>
                <w:b/>
                <w:bCs/>
                <w:sz w:val="18"/>
                <w:szCs w:val="18"/>
              </w:rPr>
            </w:pPr>
            <w:r w:rsidRPr="009179F9">
              <w:rPr>
                <w:rFonts w:ascii="Times New Roman" w:hAnsi="Times New Roman" w:cs="Times New Roman"/>
                <w:b/>
                <w:bCs/>
                <w:sz w:val="18"/>
                <w:szCs w:val="18"/>
              </w:rPr>
              <w:t>Beta</w:t>
            </w:r>
          </w:p>
        </w:tc>
        <w:tc>
          <w:tcPr>
            <w:tcW w:w="1044" w:type="dxa"/>
            <w:tcBorders>
              <w:top w:val="single" w:sz="4" w:space="0" w:color="auto"/>
              <w:bottom w:val="single" w:sz="4" w:space="0" w:color="auto"/>
            </w:tcBorders>
            <w:noWrap/>
            <w:hideMark/>
          </w:tcPr>
          <w:p w14:paraId="45CBBF11" w14:textId="77777777" w:rsidR="00280209" w:rsidRPr="009179F9" w:rsidRDefault="00280209" w:rsidP="009179F9">
            <w:pPr>
              <w:pStyle w:val="NoSpacing"/>
              <w:ind w:left="13" w:right="-7"/>
              <w:jc w:val="both"/>
              <w:rPr>
                <w:rFonts w:ascii="Times New Roman" w:hAnsi="Times New Roman" w:cs="Times New Roman"/>
                <w:b/>
                <w:bCs/>
                <w:sz w:val="18"/>
                <w:szCs w:val="18"/>
              </w:rPr>
            </w:pPr>
            <w:r w:rsidRPr="009179F9">
              <w:rPr>
                <w:rFonts w:ascii="Times New Roman" w:hAnsi="Times New Roman" w:cs="Times New Roman"/>
                <w:b/>
                <w:bCs/>
                <w:sz w:val="18"/>
                <w:szCs w:val="18"/>
              </w:rPr>
              <w:t>Std Er</w:t>
            </w:r>
            <w:r w:rsidR="00B4618C" w:rsidRPr="009179F9">
              <w:rPr>
                <w:rFonts w:ascii="Times New Roman" w:hAnsi="Times New Roman" w:cs="Times New Roman"/>
                <w:b/>
                <w:bCs/>
                <w:sz w:val="18"/>
                <w:szCs w:val="18"/>
              </w:rPr>
              <w:t>ror</w:t>
            </w:r>
            <w:r w:rsidRPr="009179F9">
              <w:rPr>
                <w:rFonts w:ascii="Times New Roman" w:hAnsi="Times New Roman" w:cs="Times New Roman"/>
                <w:b/>
                <w:bCs/>
                <w:sz w:val="18"/>
                <w:szCs w:val="18"/>
              </w:rPr>
              <w:t>or</w:t>
            </w:r>
          </w:p>
        </w:tc>
        <w:tc>
          <w:tcPr>
            <w:tcW w:w="1000" w:type="dxa"/>
            <w:tcBorders>
              <w:top w:val="single" w:sz="4" w:space="0" w:color="auto"/>
              <w:bottom w:val="single" w:sz="4" w:space="0" w:color="auto"/>
            </w:tcBorders>
            <w:noWrap/>
            <w:hideMark/>
          </w:tcPr>
          <w:p w14:paraId="346DB8D5" w14:textId="77777777" w:rsidR="00280209" w:rsidRPr="009179F9" w:rsidRDefault="00280209" w:rsidP="009179F9">
            <w:pPr>
              <w:pStyle w:val="NoSpacing"/>
              <w:ind w:right="-7"/>
              <w:jc w:val="both"/>
              <w:rPr>
                <w:rFonts w:ascii="Times New Roman" w:hAnsi="Times New Roman" w:cs="Times New Roman"/>
                <w:b/>
                <w:bCs/>
                <w:sz w:val="18"/>
                <w:szCs w:val="18"/>
              </w:rPr>
            </w:pPr>
            <w:r w:rsidRPr="009179F9">
              <w:rPr>
                <w:rFonts w:ascii="Times New Roman" w:hAnsi="Times New Roman" w:cs="Times New Roman"/>
                <w:b/>
                <w:bCs/>
                <w:sz w:val="18"/>
                <w:szCs w:val="18"/>
              </w:rPr>
              <w:t>t-value</w:t>
            </w:r>
          </w:p>
        </w:tc>
        <w:tc>
          <w:tcPr>
            <w:tcW w:w="1177" w:type="dxa"/>
            <w:tcBorders>
              <w:top w:val="single" w:sz="4" w:space="0" w:color="auto"/>
              <w:bottom w:val="single" w:sz="4" w:space="0" w:color="auto"/>
            </w:tcBorders>
            <w:noWrap/>
            <w:hideMark/>
          </w:tcPr>
          <w:p w14:paraId="70588C0F" w14:textId="77777777" w:rsidR="00280209" w:rsidRPr="009179F9" w:rsidRDefault="00280209" w:rsidP="009179F9">
            <w:pPr>
              <w:pStyle w:val="NoSpacing"/>
              <w:ind w:left="270" w:right="-7"/>
              <w:jc w:val="both"/>
              <w:rPr>
                <w:rFonts w:ascii="Times New Roman" w:hAnsi="Times New Roman" w:cs="Times New Roman"/>
                <w:b/>
                <w:bCs/>
                <w:sz w:val="18"/>
                <w:szCs w:val="18"/>
              </w:rPr>
            </w:pPr>
            <w:r w:rsidRPr="009179F9">
              <w:rPr>
                <w:rFonts w:ascii="Times New Roman" w:hAnsi="Times New Roman" w:cs="Times New Roman"/>
                <w:b/>
                <w:bCs/>
                <w:sz w:val="18"/>
                <w:szCs w:val="18"/>
              </w:rPr>
              <w:t>Decision</w:t>
            </w:r>
          </w:p>
        </w:tc>
        <w:tc>
          <w:tcPr>
            <w:tcW w:w="708" w:type="dxa"/>
            <w:tcBorders>
              <w:top w:val="single" w:sz="4" w:space="0" w:color="auto"/>
              <w:bottom w:val="single" w:sz="4" w:space="0" w:color="auto"/>
            </w:tcBorders>
            <w:noWrap/>
            <w:hideMark/>
          </w:tcPr>
          <w:p w14:paraId="1001FCA2" w14:textId="77777777" w:rsidR="00280209" w:rsidRPr="009179F9" w:rsidRDefault="00280209" w:rsidP="009179F9">
            <w:pPr>
              <w:pStyle w:val="NoSpacing"/>
              <w:ind w:left="270" w:right="-7"/>
              <w:jc w:val="both"/>
              <w:rPr>
                <w:rFonts w:ascii="Times New Roman" w:hAnsi="Times New Roman" w:cs="Times New Roman"/>
                <w:b/>
                <w:bCs/>
                <w:sz w:val="18"/>
                <w:szCs w:val="18"/>
              </w:rPr>
            </w:pPr>
            <w:r w:rsidRPr="009179F9">
              <w:rPr>
                <w:rFonts w:ascii="Times New Roman" w:hAnsi="Times New Roman" w:cs="Times New Roman"/>
                <w:b/>
                <w:bCs/>
                <w:sz w:val="18"/>
                <w:szCs w:val="18"/>
              </w:rPr>
              <w:t>R</w:t>
            </w:r>
            <w:r w:rsidRPr="009179F9">
              <w:rPr>
                <w:rFonts w:ascii="Times New Roman" w:hAnsi="Times New Roman" w:cs="Times New Roman"/>
                <w:b/>
                <w:bCs/>
                <w:sz w:val="18"/>
                <w:szCs w:val="18"/>
                <w:vertAlign w:val="superscript"/>
              </w:rPr>
              <w:t>2</w:t>
            </w:r>
          </w:p>
        </w:tc>
        <w:tc>
          <w:tcPr>
            <w:tcW w:w="685" w:type="dxa"/>
            <w:tcBorders>
              <w:top w:val="single" w:sz="4" w:space="0" w:color="auto"/>
              <w:bottom w:val="single" w:sz="4" w:space="0" w:color="auto"/>
            </w:tcBorders>
            <w:noWrap/>
            <w:hideMark/>
          </w:tcPr>
          <w:p w14:paraId="37459CF5" w14:textId="77777777" w:rsidR="00280209" w:rsidRPr="009179F9" w:rsidRDefault="00280209" w:rsidP="009179F9">
            <w:pPr>
              <w:pStyle w:val="NoSpacing"/>
              <w:ind w:left="270" w:right="-7"/>
              <w:jc w:val="both"/>
              <w:rPr>
                <w:rFonts w:ascii="Times New Roman" w:hAnsi="Times New Roman" w:cs="Times New Roman"/>
                <w:b/>
                <w:bCs/>
                <w:sz w:val="18"/>
                <w:szCs w:val="18"/>
              </w:rPr>
            </w:pPr>
            <w:r w:rsidRPr="009179F9">
              <w:rPr>
                <w:rFonts w:ascii="Times New Roman" w:hAnsi="Times New Roman" w:cs="Times New Roman"/>
                <w:b/>
                <w:bCs/>
                <w:sz w:val="18"/>
                <w:szCs w:val="18"/>
              </w:rPr>
              <w:t>f</w:t>
            </w:r>
            <w:r w:rsidRPr="009179F9">
              <w:rPr>
                <w:rFonts w:ascii="Times New Roman" w:hAnsi="Times New Roman" w:cs="Times New Roman"/>
                <w:b/>
                <w:bCs/>
                <w:sz w:val="18"/>
                <w:szCs w:val="18"/>
                <w:vertAlign w:val="superscript"/>
              </w:rPr>
              <w:t>2</w:t>
            </w:r>
          </w:p>
        </w:tc>
        <w:tc>
          <w:tcPr>
            <w:tcW w:w="757" w:type="dxa"/>
            <w:tcBorders>
              <w:top w:val="single" w:sz="4" w:space="0" w:color="auto"/>
              <w:bottom w:val="single" w:sz="4" w:space="0" w:color="auto"/>
            </w:tcBorders>
            <w:noWrap/>
            <w:hideMark/>
          </w:tcPr>
          <w:p w14:paraId="04A32F23" w14:textId="77777777" w:rsidR="00280209" w:rsidRPr="009179F9" w:rsidRDefault="00280209" w:rsidP="009179F9">
            <w:pPr>
              <w:pStyle w:val="NoSpacing"/>
              <w:ind w:left="270" w:right="-7"/>
              <w:jc w:val="both"/>
              <w:rPr>
                <w:rFonts w:ascii="Times New Roman" w:hAnsi="Times New Roman" w:cs="Times New Roman"/>
                <w:b/>
                <w:bCs/>
                <w:sz w:val="18"/>
                <w:szCs w:val="18"/>
              </w:rPr>
            </w:pPr>
            <w:r w:rsidRPr="009179F9">
              <w:rPr>
                <w:rFonts w:ascii="Times New Roman" w:hAnsi="Times New Roman" w:cs="Times New Roman"/>
                <w:b/>
                <w:bCs/>
                <w:sz w:val="18"/>
                <w:szCs w:val="18"/>
              </w:rPr>
              <w:t>Q</w:t>
            </w:r>
            <w:r w:rsidRPr="009179F9">
              <w:rPr>
                <w:rFonts w:ascii="Times New Roman" w:hAnsi="Times New Roman" w:cs="Times New Roman"/>
                <w:b/>
                <w:bCs/>
                <w:sz w:val="18"/>
                <w:szCs w:val="18"/>
                <w:vertAlign w:val="superscript"/>
              </w:rPr>
              <w:t>2</w:t>
            </w:r>
          </w:p>
        </w:tc>
      </w:tr>
      <w:tr w:rsidR="00280209" w:rsidRPr="0094524D" w14:paraId="1B065C25" w14:textId="77777777" w:rsidTr="009179F9">
        <w:trPr>
          <w:trHeight w:val="300"/>
        </w:trPr>
        <w:tc>
          <w:tcPr>
            <w:tcW w:w="1129" w:type="dxa"/>
            <w:tcBorders>
              <w:top w:val="single" w:sz="4" w:space="0" w:color="auto"/>
            </w:tcBorders>
            <w:noWrap/>
            <w:hideMark/>
          </w:tcPr>
          <w:p w14:paraId="46BD187A" w14:textId="77777777" w:rsidR="00280209" w:rsidRPr="0094524D" w:rsidRDefault="00280209" w:rsidP="009179F9">
            <w:pPr>
              <w:ind w:right="-7"/>
              <w:jc w:val="both"/>
              <w:rPr>
                <w:rFonts w:ascii="Times New Roman" w:hAnsi="Times New Roman" w:cs="Times New Roman"/>
                <w:sz w:val="18"/>
                <w:szCs w:val="18"/>
              </w:rPr>
            </w:pPr>
            <w:r w:rsidRPr="0094524D">
              <w:rPr>
                <w:rFonts w:ascii="Times New Roman" w:hAnsi="Times New Roman" w:cs="Times New Roman"/>
                <w:sz w:val="18"/>
                <w:szCs w:val="18"/>
              </w:rPr>
              <w:t>H1</w:t>
            </w:r>
          </w:p>
        </w:tc>
        <w:tc>
          <w:tcPr>
            <w:tcW w:w="1301" w:type="dxa"/>
            <w:tcBorders>
              <w:top w:val="single" w:sz="4" w:space="0" w:color="auto"/>
            </w:tcBorders>
            <w:noWrap/>
            <w:hideMark/>
          </w:tcPr>
          <w:p w14:paraId="5F60D6B7" w14:textId="77777777" w:rsidR="00280209" w:rsidRPr="0094524D" w:rsidRDefault="00280209" w:rsidP="009179F9">
            <w:pPr>
              <w:ind w:right="-7"/>
              <w:jc w:val="center"/>
              <w:rPr>
                <w:rFonts w:ascii="Times New Roman" w:hAnsi="Times New Roman" w:cs="Times New Roman"/>
                <w:sz w:val="18"/>
                <w:szCs w:val="18"/>
              </w:rPr>
            </w:pPr>
            <w:r w:rsidRPr="0094524D">
              <w:rPr>
                <w:rFonts w:ascii="Times New Roman" w:hAnsi="Times New Roman" w:cs="Times New Roman"/>
                <w:sz w:val="18"/>
                <w:szCs w:val="18"/>
              </w:rPr>
              <w:t>P</w:t>
            </w:r>
            <w:r w:rsidR="00FF373C" w:rsidRPr="0094524D">
              <w:rPr>
                <w:rFonts w:ascii="Times New Roman" w:hAnsi="Times New Roman" w:cs="Times New Roman"/>
                <w:sz w:val="18"/>
                <w:szCs w:val="18"/>
              </w:rPr>
              <w:t>E</w:t>
            </w:r>
            <w:r w:rsidRPr="0094524D">
              <w:rPr>
                <w:rFonts w:ascii="Times New Roman" w:hAnsi="Times New Roman" w:cs="Times New Roman"/>
                <w:sz w:val="18"/>
                <w:szCs w:val="18"/>
              </w:rPr>
              <w:t xml:space="preserve"> -&gt; B</w:t>
            </w:r>
            <w:r w:rsidR="00FF373C" w:rsidRPr="0094524D">
              <w:rPr>
                <w:rFonts w:ascii="Times New Roman" w:hAnsi="Times New Roman" w:cs="Times New Roman"/>
                <w:sz w:val="18"/>
                <w:szCs w:val="18"/>
              </w:rPr>
              <w:t>I</w:t>
            </w:r>
          </w:p>
        </w:tc>
        <w:tc>
          <w:tcPr>
            <w:tcW w:w="846" w:type="dxa"/>
            <w:tcBorders>
              <w:top w:val="single" w:sz="4" w:space="0" w:color="auto"/>
            </w:tcBorders>
            <w:noWrap/>
            <w:hideMark/>
          </w:tcPr>
          <w:p w14:paraId="211A0585" w14:textId="77777777" w:rsidR="00280209" w:rsidRPr="0094524D" w:rsidRDefault="00280209" w:rsidP="009179F9">
            <w:pPr>
              <w:ind w:right="-7"/>
              <w:jc w:val="center"/>
              <w:rPr>
                <w:rFonts w:ascii="Times New Roman" w:hAnsi="Times New Roman" w:cs="Times New Roman"/>
                <w:sz w:val="18"/>
                <w:szCs w:val="18"/>
              </w:rPr>
            </w:pPr>
            <w:r w:rsidRPr="0094524D">
              <w:rPr>
                <w:rFonts w:ascii="Times New Roman" w:hAnsi="Times New Roman" w:cs="Times New Roman"/>
                <w:sz w:val="18"/>
                <w:szCs w:val="18"/>
              </w:rPr>
              <w:t>-0.045</w:t>
            </w:r>
          </w:p>
        </w:tc>
        <w:tc>
          <w:tcPr>
            <w:tcW w:w="1044" w:type="dxa"/>
            <w:tcBorders>
              <w:top w:val="single" w:sz="4" w:space="0" w:color="auto"/>
            </w:tcBorders>
            <w:noWrap/>
            <w:hideMark/>
          </w:tcPr>
          <w:p w14:paraId="7E528D63" w14:textId="77777777" w:rsidR="00280209" w:rsidRPr="0094524D" w:rsidRDefault="00280209" w:rsidP="009179F9">
            <w:pPr>
              <w:ind w:left="13" w:right="-7"/>
              <w:jc w:val="center"/>
              <w:rPr>
                <w:rFonts w:ascii="Times New Roman" w:hAnsi="Times New Roman" w:cs="Times New Roman"/>
                <w:sz w:val="18"/>
                <w:szCs w:val="18"/>
              </w:rPr>
            </w:pPr>
            <w:r w:rsidRPr="0094524D">
              <w:rPr>
                <w:rFonts w:ascii="Times New Roman" w:hAnsi="Times New Roman" w:cs="Times New Roman"/>
                <w:sz w:val="18"/>
                <w:szCs w:val="18"/>
              </w:rPr>
              <w:t>0.056</w:t>
            </w:r>
          </w:p>
        </w:tc>
        <w:tc>
          <w:tcPr>
            <w:tcW w:w="1000" w:type="dxa"/>
            <w:tcBorders>
              <w:top w:val="single" w:sz="4" w:space="0" w:color="auto"/>
            </w:tcBorders>
            <w:noWrap/>
            <w:hideMark/>
          </w:tcPr>
          <w:p w14:paraId="40071982" w14:textId="77777777" w:rsidR="00280209" w:rsidRPr="0094524D" w:rsidRDefault="00280209" w:rsidP="009179F9">
            <w:pPr>
              <w:ind w:right="-7"/>
              <w:jc w:val="center"/>
              <w:rPr>
                <w:rFonts w:ascii="Times New Roman" w:hAnsi="Times New Roman" w:cs="Times New Roman"/>
                <w:sz w:val="18"/>
                <w:szCs w:val="18"/>
              </w:rPr>
            </w:pPr>
            <w:r w:rsidRPr="0094524D">
              <w:rPr>
                <w:rFonts w:ascii="Times New Roman" w:hAnsi="Times New Roman" w:cs="Times New Roman"/>
                <w:sz w:val="18"/>
                <w:szCs w:val="18"/>
              </w:rPr>
              <w:t>0.801</w:t>
            </w:r>
          </w:p>
        </w:tc>
        <w:tc>
          <w:tcPr>
            <w:tcW w:w="1177" w:type="dxa"/>
            <w:tcBorders>
              <w:top w:val="single" w:sz="4" w:space="0" w:color="auto"/>
            </w:tcBorders>
            <w:noWrap/>
            <w:hideMark/>
          </w:tcPr>
          <w:p w14:paraId="6B6A6485" w14:textId="77777777" w:rsidR="00280209" w:rsidRPr="0094524D" w:rsidRDefault="00280209" w:rsidP="009179F9">
            <w:pPr>
              <w:ind w:left="270" w:right="-7"/>
              <w:jc w:val="center"/>
              <w:rPr>
                <w:rFonts w:ascii="Times New Roman" w:hAnsi="Times New Roman" w:cs="Times New Roman"/>
                <w:sz w:val="18"/>
                <w:szCs w:val="18"/>
              </w:rPr>
            </w:pPr>
            <w:r w:rsidRPr="0094524D">
              <w:rPr>
                <w:rFonts w:ascii="Times New Roman" w:hAnsi="Times New Roman" w:cs="Times New Roman"/>
                <w:sz w:val="18"/>
                <w:szCs w:val="18"/>
              </w:rPr>
              <w:t>Rejected</w:t>
            </w:r>
          </w:p>
        </w:tc>
        <w:tc>
          <w:tcPr>
            <w:tcW w:w="708" w:type="dxa"/>
            <w:tcBorders>
              <w:top w:val="single" w:sz="4" w:space="0" w:color="auto"/>
            </w:tcBorders>
            <w:noWrap/>
            <w:hideMark/>
          </w:tcPr>
          <w:p w14:paraId="6B9F296A" w14:textId="77777777" w:rsidR="00280209" w:rsidRPr="0094524D" w:rsidRDefault="00280209" w:rsidP="009179F9">
            <w:pPr>
              <w:ind w:right="-7"/>
              <w:jc w:val="both"/>
              <w:rPr>
                <w:rFonts w:ascii="Times New Roman" w:hAnsi="Times New Roman" w:cs="Times New Roman"/>
                <w:sz w:val="18"/>
                <w:szCs w:val="18"/>
              </w:rPr>
            </w:pPr>
            <w:r w:rsidRPr="0094524D">
              <w:rPr>
                <w:rFonts w:ascii="Times New Roman" w:hAnsi="Times New Roman" w:cs="Times New Roman"/>
                <w:sz w:val="18"/>
                <w:szCs w:val="18"/>
              </w:rPr>
              <w:t>0.564</w:t>
            </w:r>
          </w:p>
        </w:tc>
        <w:tc>
          <w:tcPr>
            <w:tcW w:w="685" w:type="dxa"/>
            <w:tcBorders>
              <w:top w:val="single" w:sz="4" w:space="0" w:color="auto"/>
            </w:tcBorders>
            <w:noWrap/>
            <w:hideMark/>
          </w:tcPr>
          <w:p w14:paraId="5404C550" w14:textId="77777777" w:rsidR="00280209" w:rsidRPr="0094524D" w:rsidRDefault="00280209" w:rsidP="009179F9">
            <w:pPr>
              <w:ind w:right="-7"/>
              <w:jc w:val="both"/>
              <w:rPr>
                <w:rFonts w:ascii="Times New Roman" w:hAnsi="Times New Roman" w:cs="Times New Roman"/>
                <w:sz w:val="18"/>
                <w:szCs w:val="18"/>
              </w:rPr>
            </w:pPr>
            <w:r w:rsidRPr="0094524D">
              <w:rPr>
                <w:rFonts w:ascii="Times New Roman" w:hAnsi="Times New Roman" w:cs="Times New Roman"/>
                <w:sz w:val="18"/>
                <w:szCs w:val="18"/>
              </w:rPr>
              <w:t>0.001</w:t>
            </w:r>
          </w:p>
        </w:tc>
        <w:tc>
          <w:tcPr>
            <w:tcW w:w="757" w:type="dxa"/>
            <w:tcBorders>
              <w:top w:val="single" w:sz="4" w:space="0" w:color="auto"/>
            </w:tcBorders>
            <w:noWrap/>
            <w:hideMark/>
          </w:tcPr>
          <w:p w14:paraId="56126700" w14:textId="77777777" w:rsidR="00280209" w:rsidRPr="0094524D" w:rsidRDefault="00280209" w:rsidP="009179F9">
            <w:pPr>
              <w:ind w:right="-7"/>
              <w:jc w:val="both"/>
              <w:rPr>
                <w:rFonts w:ascii="Times New Roman" w:hAnsi="Times New Roman" w:cs="Times New Roman"/>
                <w:sz w:val="18"/>
                <w:szCs w:val="18"/>
              </w:rPr>
            </w:pPr>
            <w:r w:rsidRPr="0094524D">
              <w:rPr>
                <w:rFonts w:ascii="Times New Roman" w:hAnsi="Times New Roman" w:cs="Times New Roman"/>
                <w:sz w:val="18"/>
                <w:szCs w:val="18"/>
              </w:rPr>
              <w:t>0.525</w:t>
            </w:r>
          </w:p>
        </w:tc>
      </w:tr>
      <w:tr w:rsidR="00280209" w:rsidRPr="0094524D" w14:paraId="1C37944D" w14:textId="77777777" w:rsidTr="009179F9">
        <w:trPr>
          <w:trHeight w:val="300"/>
        </w:trPr>
        <w:tc>
          <w:tcPr>
            <w:tcW w:w="1129" w:type="dxa"/>
            <w:noWrap/>
            <w:hideMark/>
          </w:tcPr>
          <w:p w14:paraId="5E09B58E" w14:textId="77777777" w:rsidR="00280209" w:rsidRPr="0094524D" w:rsidRDefault="00280209" w:rsidP="009179F9">
            <w:pPr>
              <w:ind w:right="-7"/>
              <w:jc w:val="both"/>
              <w:rPr>
                <w:rFonts w:ascii="Times New Roman" w:hAnsi="Times New Roman" w:cs="Times New Roman"/>
                <w:sz w:val="18"/>
                <w:szCs w:val="18"/>
              </w:rPr>
            </w:pPr>
            <w:r w:rsidRPr="0094524D">
              <w:rPr>
                <w:rFonts w:ascii="Times New Roman" w:hAnsi="Times New Roman" w:cs="Times New Roman"/>
                <w:sz w:val="18"/>
                <w:szCs w:val="18"/>
              </w:rPr>
              <w:t>H2</w:t>
            </w:r>
          </w:p>
        </w:tc>
        <w:tc>
          <w:tcPr>
            <w:tcW w:w="1301" w:type="dxa"/>
            <w:noWrap/>
            <w:hideMark/>
          </w:tcPr>
          <w:p w14:paraId="3586F8AE" w14:textId="77777777" w:rsidR="00280209" w:rsidRPr="0094524D" w:rsidRDefault="00280209" w:rsidP="009179F9">
            <w:pPr>
              <w:ind w:right="-7"/>
              <w:jc w:val="center"/>
              <w:rPr>
                <w:rFonts w:ascii="Times New Roman" w:hAnsi="Times New Roman" w:cs="Times New Roman"/>
                <w:sz w:val="18"/>
                <w:szCs w:val="18"/>
              </w:rPr>
            </w:pPr>
            <w:r w:rsidRPr="0094524D">
              <w:rPr>
                <w:rFonts w:ascii="Times New Roman" w:hAnsi="Times New Roman" w:cs="Times New Roman"/>
                <w:sz w:val="18"/>
                <w:szCs w:val="18"/>
              </w:rPr>
              <w:t>E</w:t>
            </w:r>
            <w:r w:rsidR="00FF373C" w:rsidRPr="0094524D">
              <w:rPr>
                <w:rFonts w:ascii="Times New Roman" w:hAnsi="Times New Roman" w:cs="Times New Roman"/>
                <w:sz w:val="18"/>
                <w:szCs w:val="18"/>
              </w:rPr>
              <w:t>E</w:t>
            </w:r>
            <w:r w:rsidRPr="0094524D">
              <w:rPr>
                <w:rFonts w:ascii="Times New Roman" w:hAnsi="Times New Roman" w:cs="Times New Roman"/>
                <w:sz w:val="18"/>
                <w:szCs w:val="18"/>
              </w:rPr>
              <w:t xml:space="preserve"> -&gt; B</w:t>
            </w:r>
            <w:r w:rsidR="00FF373C" w:rsidRPr="0094524D">
              <w:rPr>
                <w:rFonts w:ascii="Times New Roman" w:hAnsi="Times New Roman" w:cs="Times New Roman"/>
                <w:sz w:val="18"/>
                <w:szCs w:val="18"/>
              </w:rPr>
              <w:t>I</w:t>
            </w:r>
          </w:p>
        </w:tc>
        <w:tc>
          <w:tcPr>
            <w:tcW w:w="846" w:type="dxa"/>
            <w:noWrap/>
            <w:hideMark/>
          </w:tcPr>
          <w:p w14:paraId="15FEFADD" w14:textId="77777777" w:rsidR="00280209" w:rsidRPr="0094524D" w:rsidRDefault="00280209" w:rsidP="009179F9">
            <w:pPr>
              <w:ind w:right="-7"/>
              <w:jc w:val="center"/>
              <w:rPr>
                <w:rFonts w:ascii="Times New Roman" w:hAnsi="Times New Roman" w:cs="Times New Roman"/>
                <w:sz w:val="18"/>
                <w:szCs w:val="18"/>
              </w:rPr>
            </w:pPr>
            <w:r w:rsidRPr="0094524D">
              <w:rPr>
                <w:rFonts w:ascii="Times New Roman" w:hAnsi="Times New Roman" w:cs="Times New Roman"/>
                <w:sz w:val="18"/>
                <w:szCs w:val="18"/>
              </w:rPr>
              <w:t>-0.162</w:t>
            </w:r>
          </w:p>
        </w:tc>
        <w:tc>
          <w:tcPr>
            <w:tcW w:w="1044" w:type="dxa"/>
            <w:noWrap/>
            <w:hideMark/>
          </w:tcPr>
          <w:p w14:paraId="71EAA6FB" w14:textId="77777777" w:rsidR="00280209" w:rsidRPr="0094524D" w:rsidRDefault="00280209" w:rsidP="009179F9">
            <w:pPr>
              <w:ind w:left="13" w:right="-7"/>
              <w:jc w:val="center"/>
              <w:rPr>
                <w:rFonts w:ascii="Times New Roman" w:hAnsi="Times New Roman" w:cs="Times New Roman"/>
                <w:sz w:val="18"/>
                <w:szCs w:val="18"/>
              </w:rPr>
            </w:pPr>
            <w:r w:rsidRPr="0094524D">
              <w:rPr>
                <w:rFonts w:ascii="Times New Roman" w:hAnsi="Times New Roman" w:cs="Times New Roman"/>
                <w:sz w:val="18"/>
                <w:szCs w:val="18"/>
              </w:rPr>
              <w:t>0.079</w:t>
            </w:r>
          </w:p>
        </w:tc>
        <w:tc>
          <w:tcPr>
            <w:tcW w:w="1000" w:type="dxa"/>
            <w:noWrap/>
            <w:hideMark/>
          </w:tcPr>
          <w:p w14:paraId="5214DBF3" w14:textId="77777777" w:rsidR="00280209" w:rsidRPr="0094524D" w:rsidRDefault="00280209" w:rsidP="009179F9">
            <w:pPr>
              <w:ind w:right="-7"/>
              <w:jc w:val="center"/>
              <w:rPr>
                <w:rFonts w:ascii="Times New Roman" w:hAnsi="Times New Roman" w:cs="Times New Roman"/>
                <w:sz w:val="18"/>
                <w:szCs w:val="18"/>
              </w:rPr>
            </w:pPr>
            <w:r w:rsidRPr="0094524D">
              <w:rPr>
                <w:rFonts w:ascii="Times New Roman" w:hAnsi="Times New Roman" w:cs="Times New Roman"/>
                <w:sz w:val="18"/>
                <w:szCs w:val="18"/>
              </w:rPr>
              <w:t>2.061**</w:t>
            </w:r>
          </w:p>
        </w:tc>
        <w:tc>
          <w:tcPr>
            <w:tcW w:w="1177" w:type="dxa"/>
            <w:noWrap/>
            <w:hideMark/>
          </w:tcPr>
          <w:p w14:paraId="0546E15B" w14:textId="77777777" w:rsidR="00280209" w:rsidRPr="0094524D" w:rsidRDefault="00280209" w:rsidP="009179F9">
            <w:pPr>
              <w:ind w:left="270" w:right="-7"/>
              <w:jc w:val="center"/>
              <w:rPr>
                <w:rFonts w:ascii="Times New Roman" w:hAnsi="Times New Roman" w:cs="Times New Roman"/>
                <w:sz w:val="18"/>
                <w:szCs w:val="18"/>
              </w:rPr>
            </w:pPr>
            <w:r w:rsidRPr="0094524D">
              <w:rPr>
                <w:rFonts w:ascii="Times New Roman" w:hAnsi="Times New Roman" w:cs="Times New Roman"/>
                <w:sz w:val="18"/>
                <w:szCs w:val="18"/>
              </w:rPr>
              <w:t>Accepted</w:t>
            </w:r>
          </w:p>
        </w:tc>
        <w:tc>
          <w:tcPr>
            <w:tcW w:w="708" w:type="dxa"/>
            <w:noWrap/>
            <w:hideMark/>
          </w:tcPr>
          <w:p w14:paraId="0B401F00" w14:textId="77777777" w:rsidR="00280209" w:rsidRPr="0094524D" w:rsidRDefault="00280209" w:rsidP="009179F9">
            <w:pPr>
              <w:ind w:left="270" w:right="-7"/>
              <w:jc w:val="both"/>
              <w:rPr>
                <w:rFonts w:ascii="Times New Roman" w:hAnsi="Times New Roman" w:cs="Times New Roman"/>
                <w:sz w:val="18"/>
                <w:szCs w:val="18"/>
              </w:rPr>
            </w:pPr>
          </w:p>
        </w:tc>
        <w:tc>
          <w:tcPr>
            <w:tcW w:w="685" w:type="dxa"/>
            <w:noWrap/>
            <w:hideMark/>
          </w:tcPr>
          <w:p w14:paraId="35F20CA8" w14:textId="77777777" w:rsidR="00280209" w:rsidRPr="0094524D" w:rsidRDefault="00280209" w:rsidP="009179F9">
            <w:pPr>
              <w:ind w:right="-7"/>
              <w:jc w:val="both"/>
              <w:rPr>
                <w:rFonts w:ascii="Times New Roman" w:hAnsi="Times New Roman" w:cs="Times New Roman"/>
                <w:sz w:val="18"/>
                <w:szCs w:val="18"/>
              </w:rPr>
            </w:pPr>
            <w:r w:rsidRPr="0094524D">
              <w:rPr>
                <w:rFonts w:ascii="Times New Roman" w:hAnsi="Times New Roman" w:cs="Times New Roman"/>
                <w:sz w:val="18"/>
                <w:szCs w:val="18"/>
              </w:rPr>
              <w:t>0.014</w:t>
            </w:r>
          </w:p>
        </w:tc>
        <w:tc>
          <w:tcPr>
            <w:tcW w:w="757" w:type="dxa"/>
            <w:noWrap/>
            <w:hideMark/>
          </w:tcPr>
          <w:p w14:paraId="21DC51B7" w14:textId="77777777" w:rsidR="00280209" w:rsidRPr="0094524D" w:rsidRDefault="00280209" w:rsidP="009179F9">
            <w:pPr>
              <w:ind w:left="270" w:right="-7"/>
              <w:jc w:val="both"/>
              <w:rPr>
                <w:rFonts w:ascii="Times New Roman" w:hAnsi="Times New Roman" w:cs="Times New Roman"/>
                <w:sz w:val="18"/>
                <w:szCs w:val="18"/>
              </w:rPr>
            </w:pPr>
          </w:p>
        </w:tc>
      </w:tr>
      <w:tr w:rsidR="00280209" w:rsidRPr="0094524D" w14:paraId="3EC9B95C" w14:textId="77777777" w:rsidTr="009179F9">
        <w:trPr>
          <w:trHeight w:val="300"/>
        </w:trPr>
        <w:tc>
          <w:tcPr>
            <w:tcW w:w="1129" w:type="dxa"/>
            <w:noWrap/>
            <w:hideMark/>
          </w:tcPr>
          <w:p w14:paraId="1B411801" w14:textId="77777777" w:rsidR="00280209" w:rsidRPr="0094524D" w:rsidRDefault="00280209" w:rsidP="009179F9">
            <w:pPr>
              <w:ind w:right="-7"/>
              <w:jc w:val="both"/>
              <w:rPr>
                <w:rFonts w:ascii="Times New Roman" w:hAnsi="Times New Roman" w:cs="Times New Roman"/>
                <w:sz w:val="18"/>
                <w:szCs w:val="18"/>
              </w:rPr>
            </w:pPr>
            <w:r w:rsidRPr="0094524D">
              <w:rPr>
                <w:rFonts w:ascii="Times New Roman" w:hAnsi="Times New Roman" w:cs="Times New Roman"/>
                <w:sz w:val="18"/>
                <w:szCs w:val="18"/>
              </w:rPr>
              <w:t>H3</w:t>
            </w:r>
          </w:p>
        </w:tc>
        <w:tc>
          <w:tcPr>
            <w:tcW w:w="1301" w:type="dxa"/>
            <w:noWrap/>
            <w:hideMark/>
          </w:tcPr>
          <w:p w14:paraId="2B42A386" w14:textId="77777777" w:rsidR="00280209" w:rsidRPr="0094524D" w:rsidRDefault="00280209" w:rsidP="009179F9">
            <w:pPr>
              <w:ind w:right="-7"/>
              <w:jc w:val="center"/>
              <w:rPr>
                <w:rFonts w:ascii="Times New Roman" w:hAnsi="Times New Roman" w:cs="Times New Roman"/>
                <w:sz w:val="18"/>
                <w:szCs w:val="18"/>
              </w:rPr>
            </w:pPr>
            <w:r w:rsidRPr="0094524D">
              <w:rPr>
                <w:rFonts w:ascii="Times New Roman" w:hAnsi="Times New Roman" w:cs="Times New Roman"/>
                <w:sz w:val="18"/>
                <w:szCs w:val="18"/>
              </w:rPr>
              <w:t>S</w:t>
            </w:r>
            <w:r w:rsidR="00FF373C" w:rsidRPr="0094524D">
              <w:rPr>
                <w:rFonts w:ascii="Times New Roman" w:hAnsi="Times New Roman" w:cs="Times New Roman"/>
                <w:sz w:val="18"/>
                <w:szCs w:val="18"/>
              </w:rPr>
              <w:t>I</w:t>
            </w:r>
            <w:r w:rsidRPr="0094524D">
              <w:rPr>
                <w:rFonts w:ascii="Times New Roman" w:hAnsi="Times New Roman" w:cs="Times New Roman"/>
                <w:sz w:val="18"/>
                <w:szCs w:val="18"/>
              </w:rPr>
              <w:t xml:space="preserve"> -&gt; B</w:t>
            </w:r>
            <w:r w:rsidR="00FF373C" w:rsidRPr="0094524D">
              <w:rPr>
                <w:rFonts w:ascii="Times New Roman" w:hAnsi="Times New Roman" w:cs="Times New Roman"/>
                <w:sz w:val="18"/>
                <w:szCs w:val="18"/>
              </w:rPr>
              <w:t>I</w:t>
            </w:r>
          </w:p>
        </w:tc>
        <w:tc>
          <w:tcPr>
            <w:tcW w:w="846" w:type="dxa"/>
            <w:noWrap/>
            <w:hideMark/>
          </w:tcPr>
          <w:p w14:paraId="36881842" w14:textId="77777777" w:rsidR="00280209" w:rsidRPr="0094524D" w:rsidRDefault="00280209" w:rsidP="009179F9">
            <w:pPr>
              <w:ind w:right="-7"/>
              <w:jc w:val="center"/>
              <w:rPr>
                <w:rFonts w:ascii="Times New Roman" w:hAnsi="Times New Roman" w:cs="Times New Roman"/>
                <w:sz w:val="18"/>
                <w:szCs w:val="18"/>
              </w:rPr>
            </w:pPr>
            <w:r w:rsidRPr="0094524D">
              <w:rPr>
                <w:rFonts w:ascii="Times New Roman" w:hAnsi="Times New Roman" w:cs="Times New Roman"/>
                <w:sz w:val="18"/>
                <w:szCs w:val="18"/>
              </w:rPr>
              <w:t>-0.045</w:t>
            </w:r>
          </w:p>
        </w:tc>
        <w:tc>
          <w:tcPr>
            <w:tcW w:w="1044" w:type="dxa"/>
            <w:noWrap/>
            <w:hideMark/>
          </w:tcPr>
          <w:p w14:paraId="1E1767E2" w14:textId="232E20A9" w:rsidR="00280209" w:rsidRPr="0094524D" w:rsidRDefault="009179F9" w:rsidP="009179F9">
            <w:pPr>
              <w:ind w:right="-7"/>
              <w:rPr>
                <w:rFonts w:ascii="Times New Roman" w:hAnsi="Times New Roman" w:cs="Times New Roman"/>
                <w:sz w:val="18"/>
                <w:szCs w:val="18"/>
              </w:rPr>
            </w:pPr>
            <w:r>
              <w:rPr>
                <w:rFonts w:ascii="Times New Roman" w:hAnsi="Times New Roman" w:cs="Times New Roman"/>
                <w:sz w:val="18"/>
                <w:szCs w:val="18"/>
              </w:rPr>
              <w:t xml:space="preserve">    </w:t>
            </w:r>
            <w:r w:rsidR="00280209" w:rsidRPr="0094524D">
              <w:rPr>
                <w:rFonts w:ascii="Times New Roman" w:hAnsi="Times New Roman" w:cs="Times New Roman"/>
                <w:sz w:val="18"/>
                <w:szCs w:val="18"/>
              </w:rPr>
              <w:t>0.062</w:t>
            </w:r>
          </w:p>
        </w:tc>
        <w:tc>
          <w:tcPr>
            <w:tcW w:w="1000" w:type="dxa"/>
            <w:noWrap/>
            <w:hideMark/>
          </w:tcPr>
          <w:p w14:paraId="02F8FCA8" w14:textId="77777777" w:rsidR="00280209" w:rsidRPr="0094524D" w:rsidRDefault="00280209" w:rsidP="009179F9">
            <w:pPr>
              <w:ind w:right="-7"/>
              <w:jc w:val="center"/>
              <w:rPr>
                <w:rFonts w:ascii="Times New Roman" w:hAnsi="Times New Roman" w:cs="Times New Roman"/>
                <w:sz w:val="18"/>
                <w:szCs w:val="18"/>
              </w:rPr>
            </w:pPr>
            <w:r w:rsidRPr="0094524D">
              <w:rPr>
                <w:rFonts w:ascii="Times New Roman" w:hAnsi="Times New Roman" w:cs="Times New Roman"/>
                <w:sz w:val="18"/>
                <w:szCs w:val="18"/>
              </w:rPr>
              <w:t>4.373**</w:t>
            </w:r>
          </w:p>
        </w:tc>
        <w:tc>
          <w:tcPr>
            <w:tcW w:w="1177" w:type="dxa"/>
            <w:noWrap/>
            <w:hideMark/>
          </w:tcPr>
          <w:p w14:paraId="25016B4F" w14:textId="77777777" w:rsidR="00280209" w:rsidRPr="0094524D" w:rsidRDefault="00280209" w:rsidP="009179F9">
            <w:pPr>
              <w:ind w:left="270" w:right="-7"/>
              <w:jc w:val="center"/>
              <w:rPr>
                <w:rFonts w:ascii="Times New Roman" w:hAnsi="Times New Roman" w:cs="Times New Roman"/>
                <w:sz w:val="18"/>
                <w:szCs w:val="18"/>
              </w:rPr>
            </w:pPr>
            <w:r w:rsidRPr="0094524D">
              <w:rPr>
                <w:rFonts w:ascii="Times New Roman" w:hAnsi="Times New Roman" w:cs="Times New Roman"/>
                <w:sz w:val="18"/>
                <w:szCs w:val="18"/>
              </w:rPr>
              <w:t>Accepted</w:t>
            </w:r>
          </w:p>
        </w:tc>
        <w:tc>
          <w:tcPr>
            <w:tcW w:w="708" w:type="dxa"/>
            <w:noWrap/>
            <w:hideMark/>
          </w:tcPr>
          <w:p w14:paraId="427E8AF8" w14:textId="77777777" w:rsidR="00280209" w:rsidRPr="0094524D" w:rsidRDefault="00280209" w:rsidP="009179F9">
            <w:pPr>
              <w:ind w:left="270" w:right="-7"/>
              <w:jc w:val="both"/>
              <w:rPr>
                <w:rFonts w:ascii="Times New Roman" w:hAnsi="Times New Roman" w:cs="Times New Roman"/>
                <w:sz w:val="18"/>
                <w:szCs w:val="18"/>
              </w:rPr>
            </w:pPr>
          </w:p>
        </w:tc>
        <w:tc>
          <w:tcPr>
            <w:tcW w:w="685" w:type="dxa"/>
            <w:noWrap/>
            <w:hideMark/>
          </w:tcPr>
          <w:p w14:paraId="0BA631B3" w14:textId="77777777" w:rsidR="00280209" w:rsidRPr="0094524D" w:rsidRDefault="00280209" w:rsidP="009179F9">
            <w:pPr>
              <w:ind w:right="-7"/>
              <w:jc w:val="both"/>
              <w:rPr>
                <w:rFonts w:ascii="Times New Roman" w:hAnsi="Times New Roman" w:cs="Times New Roman"/>
                <w:sz w:val="18"/>
                <w:szCs w:val="18"/>
              </w:rPr>
            </w:pPr>
            <w:r w:rsidRPr="0094524D">
              <w:rPr>
                <w:rFonts w:ascii="Times New Roman" w:hAnsi="Times New Roman" w:cs="Times New Roman"/>
                <w:sz w:val="18"/>
                <w:szCs w:val="18"/>
              </w:rPr>
              <w:t>0.051</w:t>
            </w:r>
          </w:p>
        </w:tc>
        <w:tc>
          <w:tcPr>
            <w:tcW w:w="757" w:type="dxa"/>
            <w:noWrap/>
            <w:hideMark/>
          </w:tcPr>
          <w:p w14:paraId="01CD5F32" w14:textId="77777777" w:rsidR="00280209" w:rsidRPr="0094524D" w:rsidRDefault="00280209" w:rsidP="009179F9">
            <w:pPr>
              <w:ind w:left="270" w:right="-7"/>
              <w:jc w:val="both"/>
              <w:rPr>
                <w:rFonts w:ascii="Times New Roman" w:hAnsi="Times New Roman" w:cs="Times New Roman"/>
                <w:sz w:val="18"/>
                <w:szCs w:val="18"/>
              </w:rPr>
            </w:pPr>
          </w:p>
        </w:tc>
      </w:tr>
      <w:tr w:rsidR="00280209" w:rsidRPr="0094524D" w14:paraId="6E40896C" w14:textId="77777777" w:rsidTr="009179F9">
        <w:trPr>
          <w:trHeight w:val="300"/>
        </w:trPr>
        <w:tc>
          <w:tcPr>
            <w:tcW w:w="1129" w:type="dxa"/>
            <w:noWrap/>
            <w:hideMark/>
          </w:tcPr>
          <w:p w14:paraId="5BD8E11A" w14:textId="77777777" w:rsidR="00280209" w:rsidRPr="0094524D" w:rsidRDefault="00280209" w:rsidP="009179F9">
            <w:pPr>
              <w:ind w:right="-7"/>
              <w:jc w:val="both"/>
              <w:rPr>
                <w:rFonts w:ascii="Times New Roman" w:hAnsi="Times New Roman" w:cs="Times New Roman"/>
                <w:sz w:val="18"/>
                <w:szCs w:val="18"/>
              </w:rPr>
            </w:pPr>
            <w:r w:rsidRPr="0094524D">
              <w:rPr>
                <w:rFonts w:ascii="Times New Roman" w:hAnsi="Times New Roman" w:cs="Times New Roman"/>
                <w:sz w:val="18"/>
                <w:szCs w:val="18"/>
              </w:rPr>
              <w:t>H4</w:t>
            </w:r>
          </w:p>
        </w:tc>
        <w:tc>
          <w:tcPr>
            <w:tcW w:w="1301" w:type="dxa"/>
            <w:noWrap/>
            <w:hideMark/>
          </w:tcPr>
          <w:p w14:paraId="2A409BC2" w14:textId="77777777" w:rsidR="00280209" w:rsidRPr="0094524D" w:rsidRDefault="00280209" w:rsidP="009179F9">
            <w:pPr>
              <w:ind w:right="-7"/>
              <w:jc w:val="center"/>
              <w:rPr>
                <w:rFonts w:ascii="Times New Roman" w:hAnsi="Times New Roman" w:cs="Times New Roman"/>
                <w:sz w:val="18"/>
                <w:szCs w:val="18"/>
              </w:rPr>
            </w:pPr>
            <w:r w:rsidRPr="0094524D">
              <w:rPr>
                <w:rFonts w:ascii="Times New Roman" w:hAnsi="Times New Roman" w:cs="Times New Roman"/>
                <w:sz w:val="18"/>
                <w:szCs w:val="18"/>
              </w:rPr>
              <w:t>F</w:t>
            </w:r>
            <w:r w:rsidR="00FF373C" w:rsidRPr="0094524D">
              <w:rPr>
                <w:rFonts w:ascii="Times New Roman" w:hAnsi="Times New Roman" w:cs="Times New Roman"/>
                <w:sz w:val="18"/>
                <w:szCs w:val="18"/>
              </w:rPr>
              <w:t>C</w:t>
            </w:r>
            <w:r w:rsidRPr="0094524D">
              <w:rPr>
                <w:rFonts w:ascii="Times New Roman" w:hAnsi="Times New Roman" w:cs="Times New Roman"/>
                <w:sz w:val="18"/>
                <w:szCs w:val="18"/>
              </w:rPr>
              <w:t xml:space="preserve"> -&gt; B</w:t>
            </w:r>
            <w:r w:rsidR="00FF373C" w:rsidRPr="0094524D">
              <w:rPr>
                <w:rFonts w:ascii="Times New Roman" w:hAnsi="Times New Roman" w:cs="Times New Roman"/>
                <w:sz w:val="18"/>
                <w:szCs w:val="18"/>
              </w:rPr>
              <w:t>I</w:t>
            </w:r>
          </w:p>
        </w:tc>
        <w:tc>
          <w:tcPr>
            <w:tcW w:w="846" w:type="dxa"/>
            <w:noWrap/>
            <w:hideMark/>
          </w:tcPr>
          <w:p w14:paraId="0BA417E1" w14:textId="77777777" w:rsidR="00280209" w:rsidRPr="0094524D" w:rsidRDefault="00280209" w:rsidP="009179F9">
            <w:pPr>
              <w:ind w:right="-7"/>
              <w:jc w:val="center"/>
              <w:rPr>
                <w:rFonts w:ascii="Times New Roman" w:hAnsi="Times New Roman" w:cs="Times New Roman"/>
                <w:sz w:val="18"/>
                <w:szCs w:val="18"/>
              </w:rPr>
            </w:pPr>
            <w:r w:rsidRPr="0094524D">
              <w:rPr>
                <w:rFonts w:ascii="Times New Roman" w:hAnsi="Times New Roman" w:cs="Times New Roman"/>
                <w:sz w:val="18"/>
                <w:szCs w:val="18"/>
              </w:rPr>
              <w:t>0.276</w:t>
            </w:r>
          </w:p>
        </w:tc>
        <w:tc>
          <w:tcPr>
            <w:tcW w:w="1044" w:type="dxa"/>
            <w:noWrap/>
            <w:hideMark/>
          </w:tcPr>
          <w:p w14:paraId="3134C145" w14:textId="5B34F3EB" w:rsidR="00280209" w:rsidRPr="0094524D" w:rsidRDefault="009179F9" w:rsidP="009179F9">
            <w:pPr>
              <w:ind w:right="-7"/>
              <w:jc w:val="both"/>
              <w:rPr>
                <w:rFonts w:ascii="Times New Roman" w:hAnsi="Times New Roman" w:cs="Times New Roman"/>
                <w:sz w:val="18"/>
                <w:szCs w:val="18"/>
              </w:rPr>
            </w:pPr>
            <w:r>
              <w:rPr>
                <w:rFonts w:ascii="Times New Roman" w:hAnsi="Times New Roman" w:cs="Times New Roman"/>
                <w:sz w:val="18"/>
                <w:szCs w:val="18"/>
              </w:rPr>
              <w:t xml:space="preserve">    </w:t>
            </w:r>
            <w:r w:rsidR="00280209" w:rsidRPr="0094524D">
              <w:rPr>
                <w:rFonts w:ascii="Times New Roman" w:hAnsi="Times New Roman" w:cs="Times New Roman"/>
                <w:sz w:val="18"/>
                <w:szCs w:val="18"/>
              </w:rPr>
              <w:t>0.074</w:t>
            </w:r>
          </w:p>
        </w:tc>
        <w:tc>
          <w:tcPr>
            <w:tcW w:w="1000" w:type="dxa"/>
            <w:noWrap/>
            <w:hideMark/>
          </w:tcPr>
          <w:p w14:paraId="4FE74630" w14:textId="77777777" w:rsidR="00280209" w:rsidRPr="0094524D" w:rsidRDefault="00280209" w:rsidP="009179F9">
            <w:pPr>
              <w:ind w:right="-7"/>
              <w:jc w:val="center"/>
              <w:rPr>
                <w:rFonts w:ascii="Times New Roman" w:hAnsi="Times New Roman" w:cs="Times New Roman"/>
                <w:sz w:val="18"/>
                <w:szCs w:val="18"/>
              </w:rPr>
            </w:pPr>
            <w:r w:rsidRPr="0094524D">
              <w:rPr>
                <w:rFonts w:ascii="Times New Roman" w:hAnsi="Times New Roman" w:cs="Times New Roman"/>
                <w:sz w:val="18"/>
                <w:szCs w:val="18"/>
              </w:rPr>
              <w:t>3.734**</w:t>
            </w:r>
          </w:p>
        </w:tc>
        <w:tc>
          <w:tcPr>
            <w:tcW w:w="1177" w:type="dxa"/>
            <w:noWrap/>
            <w:hideMark/>
          </w:tcPr>
          <w:p w14:paraId="767C7C45" w14:textId="77777777" w:rsidR="00280209" w:rsidRPr="0094524D" w:rsidRDefault="00280209" w:rsidP="009179F9">
            <w:pPr>
              <w:ind w:left="270" w:right="-7"/>
              <w:jc w:val="center"/>
              <w:rPr>
                <w:rFonts w:ascii="Times New Roman" w:hAnsi="Times New Roman" w:cs="Times New Roman"/>
                <w:sz w:val="18"/>
                <w:szCs w:val="18"/>
              </w:rPr>
            </w:pPr>
            <w:r w:rsidRPr="0094524D">
              <w:rPr>
                <w:rFonts w:ascii="Times New Roman" w:hAnsi="Times New Roman" w:cs="Times New Roman"/>
                <w:sz w:val="18"/>
                <w:szCs w:val="18"/>
              </w:rPr>
              <w:t>Accepted</w:t>
            </w:r>
          </w:p>
        </w:tc>
        <w:tc>
          <w:tcPr>
            <w:tcW w:w="708" w:type="dxa"/>
            <w:noWrap/>
            <w:hideMark/>
          </w:tcPr>
          <w:p w14:paraId="20B8654B" w14:textId="77777777" w:rsidR="00280209" w:rsidRPr="0094524D" w:rsidRDefault="00280209" w:rsidP="009179F9">
            <w:pPr>
              <w:ind w:left="270" w:right="-7"/>
              <w:jc w:val="both"/>
              <w:rPr>
                <w:rFonts w:ascii="Times New Roman" w:hAnsi="Times New Roman" w:cs="Times New Roman"/>
                <w:sz w:val="18"/>
                <w:szCs w:val="18"/>
              </w:rPr>
            </w:pPr>
          </w:p>
        </w:tc>
        <w:tc>
          <w:tcPr>
            <w:tcW w:w="685" w:type="dxa"/>
            <w:noWrap/>
            <w:hideMark/>
          </w:tcPr>
          <w:p w14:paraId="5D12BC3F" w14:textId="77777777" w:rsidR="00280209" w:rsidRPr="0094524D" w:rsidRDefault="00280209" w:rsidP="009179F9">
            <w:pPr>
              <w:ind w:right="-7"/>
              <w:jc w:val="both"/>
              <w:rPr>
                <w:rFonts w:ascii="Times New Roman" w:hAnsi="Times New Roman" w:cs="Times New Roman"/>
                <w:sz w:val="18"/>
                <w:szCs w:val="18"/>
              </w:rPr>
            </w:pPr>
            <w:r w:rsidRPr="0094524D">
              <w:rPr>
                <w:rFonts w:ascii="Times New Roman" w:hAnsi="Times New Roman" w:cs="Times New Roman"/>
                <w:sz w:val="18"/>
                <w:szCs w:val="18"/>
              </w:rPr>
              <w:t>0.046</w:t>
            </w:r>
          </w:p>
        </w:tc>
        <w:tc>
          <w:tcPr>
            <w:tcW w:w="757" w:type="dxa"/>
            <w:noWrap/>
            <w:hideMark/>
          </w:tcPr>
          <w:p w14:paraId="32CC9A19" w14:textId="77777777" w:rsidR="00280209" w:rsidRPr="0094524D" w:rsidRDefault="00280209" w:rsidP="009179F9">
            <w:pPr>
              <w:ind w:left="270" w:right="-7"/>
              <w:jc w:val="both"/>
              <w:rPr>
                <w:rFonts w:ascii="Times New Roman" w:hAnsi="Times New Roman" w:cs="Times New Roman"/>
                <w:sz w:val="18"/>
                <w:szCs w:val="18"/>
              </w:rPr>
            </w:pPr>
          </w:p>
        </w:tc>
      </w:tr>
      <w:tr w:rsidR="00280209" w:rsidRPr="0094524D" w14:paraId="79175582" w14:textId="77777777" w:rsidTr="009179F9">
        <w:trPr>
          <w:trHeight w:val="288"/>
        </w:trPr>
        <w:tc>
          <w:tcPr>
            <w:tcW w:w="1129" w:type="dxa"/>
            <w:noWrap/>
            <w:hideMark/>
          </w:tcPr>
          <w:p w14:paraId="3CE4D3FE" w14:textId="77777777" w:rsidR="00280209" w:rsidRPr="0094524D" w:rsidRDefault="00280209" w:rsidP="009179F9">
            <w:pPr>
              <w:ind w:right="-7"/>
              <w:jc w:val="both"/>
              <w:rPr>
                <w:rFonts w:ascii="Times New Roman" w:hAnsi="Times New Roman" w:cs="Times New Roman"/>
                <w:sz w:val="18"/>
                <w:szCs w:val="18"/>
              </w:rPr>
            </w:pPr>
            <w:r w:rsidRPr="0094524D">
              <w:rPr>
                <w:rFonts w:ascii="Times New Roman" w:hAnsi="Times New Roman" w:cs="Times New Roman"/>
                <w:sz w:val="18"/>
                <w:szCs w:val="18"/>
              </w:rPr>
              <w:t>H5</w:t>
            </w:r>
          </w:p>
        </w:tc>
        <w:tc>
          <w:tcPr>
            <w:tcW w:w="1301" w:type="dxa"/>
            <w:noWrap/>
            <w:hideMark/>
          </w:tcPr>
          <w:p w14:paraId="31A5965C" w14:textId="77777777" w:rsidR="00280209" w:rsidRPr="0094524D" w:rsidRDefault="00280209" w:rsidP="009179F9">
            <w:pPr>
              <w:ind w:right="-7"/>
              <w:jc w:val="center"/>
              <w:rPr>
                <w:rFonts w:ascii="Times New Roman" w:hAnsi="Times New Roman" w:cs="Times New Roman"/>
                <w:sz w:val="18"/>
                <w:szCs w:val="18"/>
              </w:rPr>
            </w:pPr>
            <w:r w:rsidRPr="0094524D">
              <w:rPr>
                <w:rFonts w:ascii="Times New Roman" w:hAnsi="Times New Roman" w:cs="Times New Roman"/>
                <w:sz w:val="18"/>
                <w:szCs w:val="18"/>
              </w:rPr>
              <w:t>T</w:t>
            </w:r>
            <w:r w:rsidR="00FF373C" w:rsidRPr="0094524D">
              <w:rPr>
                <w:rFonts w:ascii="Times New Roman" w:hAnsi="Times New Roman" w:cs="Times New Roman"/>
                <w:sz w:val="18"/>
                <w:szCs w:val="18"/>
              </w:rPr>
              <w:t>B</w:t>
            </w:r>
            <w:r w:rsidRPr="0094524D">
              <w:rPr>
                <w:rFonts w:ascii="Times New Roman" w:hAnsi="Times New Roman" w:cs="Times New Roman"/>
                <w:sz w:val="18"/>
                <w:szCs w:val="18"/>
              </w:rPr>
              <w:t xml:space="preserve"> -&gt; B</w:t>
            </w:r>
            <w:r w:rsidR="00FF373C" w:rsidRPr="0094524D">
              <w:rPr>
                <w:rFonts w:ascii="Times New Roman" w:hAnsi="Times New Roman" w:cs="Times New Roman"/>
                <w:sz w:val="18"/>
                <w:szCs w:val="18"/>
              </w:rPr>
              <w:t>I</w:t>
            </w:r>
          </w:p>
        </w:tc>
        <w:tc>
          <w:tcPr>
            <w:tcW w:w="846" w:type="dxa"/>
            <w:noWrap/>
            <w:hideMark/>
          </w:tcPr>
          <w:p w14:paraId="38860E28" w14:textId="77777777" w:rsidR="00280209" w:rsidRPr="0094524D" w:rsidRDefault="00280209" w:rsidP="009179F9">
            <w:pPr>
              <w:ind w:right="-7"/>
              <w:jc w:val="center"/>
              <w:rPr>
                <w:rFonts w:ascii="Times New Roman" w:hAnsi="Times New Roman" w:cs="Times New Roman"/>
                <w:sz w:val="18"/>
                <w:szCs w:val="18"/>
              </w:rPr>
            </w:pPr>
            <w:r w:rsidRPr="0094524D">
              <w:rPr>
                <w:rFonts w:ascii="Times New Roman" w:hAnsi="Times New Roman" w:cs="Times New Roman"/>
                <w:sz w:val="18"/>
                <w:szCs w:val="18"/>
              </w:rPr>
              <w:t>0.150</w:t>
            </w:r>
          </w:p>
        </w:tc>
        <w:tc>
          <w:tcPr>
            <w:tcW w:w="1044" w:type="dxa"/>
            <w:noWrap/>
            <w:hideMark/>
          </w:tcPr>
          <w:p w14:paraId="09D9D9FE" w14:textId="5BF03D06" w:rsidR="00280209" w:rsidRPr="0094524D" w:rsidRDefault="009179F9" w:rsidP="009179F9">
            <w:pPr>
              <w:ind w:right="-7"/>
              <w:jc w:val="both"/>
              <w:rPr>
                <w:rFonts w:ascii="Times New Roman" w:hAnsi="Times New Roman" w:cs="Times New Roman"/>
                <w:sz w:val="18"/>
                <w:szCs w:val="18"/>
              </w:rPr>
            </w:pPr>
            <w:r>
              <w:rPr>
                <w:rFonts w:ascii="Times New Roman" w:hAnsi="Times New Roman" w:cs="Times New Roman"/>
                <w:sz w:val="18"/>
                <w:szCs w:val="18"/>
              </w:rPr>
              <w:t xml:space="preserve">    </w:t>
            </w:r>
            <w:r w:rsidR="00280209" w:rsidRPr="0094524D">
              <w:rPr>
                <w:rFonts w:ascii="Times New Roman" w:hAnsi="Times New Roman" w:cs="Times New Roman"/>
                <w:sz w:val="18"/>
                <w:szCs w:val="18"/>
              </w:rPr>
              <w:t>0.076</w:t>
            </w:r>
          </w:p>
        </w:tc>
        <w:tc>
          <w:tcPr>
            <w:tcW w:w="1000" w:type="dxa"/>
            <w:noWrap/>
            <w:hideMark/>
          </w:tcPr>
          <w:p w14:paraId="058CA75D" w14:textId="77777777" w:rsidR="00280209" w:rsidRPr="0094524D" w:rsidRDefault="00280209" w:rsidP="009179F9">
            <w:pPr>
              <w:ind w:right="-7"/>
              <w:jc w:val="center"/>
              <w:rPr>
                <w:rFonts w:ascii="Times New Roman" w:hAnsi="Times New Roman" w:cs="Times New Roman"/>
                <w:sz w:val="18"/>
                <w:szCs w:val="18"/>
              </w:rPr>
            </w:pPr>
            <w:r w:rsidRPr="0094524D">
              <w:rPr>
                <w:rFonts w:ascii="Times New Roman" w:hAnsi="Times New Roman" w:cs="Times New Roman"/>
                <w:sz w:val="18"/>
                <w:szCs w:val="18"/>
              </w:rPr>
              <w:t>1.985**</w:t>
            </w:r>
          </w:p>
        </w:tc>
        <w:tc>
          <w:tcPr>
            <w:tcW w:w="1177" w:type="dxa"/>
            <w:noWrap/>
            <w:hideMark/>
          </w:tcPr>
          <w:p w14:paraId="7FFD5633" w14:textId="77777777" w:rsidR="00280209" w:rsidRPr="0094524D" w:rsidRDefault="00280209" w:rsidP="009179F9">
            <w:pPr>
              <w:ind w:left="270" w:right="-7"/>
              <w:jc w:val="center"/>
              <w:rPr>
                <w:rFonts w:ascii="Times New Roman" w:hAnsi="Times New Roman" w:cs="Times New Roman"/>
                <w:sz w:val="18"/>
                <w:szCs w:val="18"/>
              </w:rPr>
            </w:pPr>
            <w:r w:rsidRPr="0094524D">
              <w:rPr>
                <w:rFonts w:ascii="Times New Roman" w:hAnsi="Times New Roman" w:cs="Times New Roman"/>
                <w:sz w:val="18"/>
                <w:szCs w:val="18"/>
              </w:rPr>
              <w:t>Accepted</w:t>
            </w:r>
          </w:p>
        </w:tc>
        <w:tc>
          <w:tcPr>
            <w:tcW w:w="708" w:type="dxa"/>
            <w:noWrap/>
            <w:hideMark/>
          </w:tcPr>
          <w:p w14:paraId="34E0E44E" w14:textId="77777777" w:rsidR="00280209" w:rsidRPr="0094524D" w:rsidRDefault="00280209" w:rsidP="009179F9">
            <w:pPr>
              <w:ind w:left="270" w:right="-7"/>
              <w:jc w:val="both"/>
              <w:rPr>
                <w:rFonts w:ascii="Times New Roman" w:hAnsi="Times New Roman" w:cs="Times New Roman"/>
                <w:sz w:val="18"/>
                <w:szCs w:val="18"/>
              </w:rPr>
            </w:pPr>
          </w:p>
        </w:tc>
        <w:tc>
          <w:tcPr>
            <w:tcW w:w="685" w:type="dxa"/>
            <w:noWrap/>
            <w:hideMark/>
          </w:tcPr>
          <w:p w14:paraId="32A34EE4" w14:textId="77777777" w:rsidR="00280209" w:rsidRPr="0094524D" w:rsidRDefault="00280209" w:rsidP="009179F9">
            <w:pPr>
              <w:ind w:right="-7"/>
              <w:jc w:val="both"/>
              <w:rPr>
                <w:rFonts w:ascii="Times New Roman" w:hAnsi="Times New Roman" w:cs="Times New Roman"/>
                <w:sz w:val="18"/>
                <w:szCs w:val="18"/>
              </w:rPr>
            </w:pPr>
            <w:r w:rsidRPr="0094524D">
              <w:rPr>
                <w:rFonts w:ascii="Times New Roman" w:hAnsi="Times New Roman" w:cs="Times New Roman"/>
                <w:sz w:val="18"/>
                <w:szCs w:val="18"/>
              </w:rPr>
              <w:t>0.021</w:t>
            </w:r>
          </w:p>
        </w:tc>
        <w:tc>
          <w:tcPr>
            <w:tcW w:w="757" w:type="dxa"/>
            <w:noWrap/>
            <w:hideMark/>
          </w:tcPr>
          <w:p w14:paraId="3E165067" w14:textId="77777777" w:rsidR="00280209" w:rsidRPr="0094524D" w:rsidRDefault="00280209" w:rsidP="009179F9">
            <w:pPr>
              <w:ind w:left="270" w:right="-7"/>
              <w:jc w:val="both"/>
              <w:rPr>
                <w:rFonts w:ascii="Times New Roman" w:hAnsi="Times New Roman" w:cs="Times New Roman"/>
                <w:sz w:val="18"/>
                <w:szCs w:val="18"/>
              </w:rPr>
            </w:pPr>
          </w:p>
        </w:tc>
      </w:tr>
    </w:tbl>
    <w:p w14:paraId="0F38511E" w14:textId="77777777" w:rsidR="00280209" w:rsidRPr="0094524D" w:rsidRDefault="00280209" w:rsidP="009179F9">
      <w:pPr>
        <w:spacing w:line="240" w:lineRule="auto"/>
        <w:ind w:left="270" w:right="-7"/>
        <w:jc w:val="both"/>
        <w:rPr>
          <w:rFonts w:ascii="Times New Roman" w:hAnsi="Times New Roman" w:cs="Times New Roman"/>
          <w:sz w:val="18"/>
          <w:szCs w:val="18"/>
        </w:rPr>
      </w:pPr>
      <w:r w:rsidRPr="0094524D">
        <w:rPr>
          <w:rFonts w:ascii="Times New Roman" w:hAnsi="Times New Roman" w:cs="Times New Roman"/>
          <w:sz w:val="18"/>
          <w:szCs w:val="18"/>
        </w:rPr>
        <w:t>Note: ** indicates significant relationships</w:t>
      </w:r>
    </w:p>
    <w:p w14:paraId="7E8CAD28" w14:textId="77777777" w:rsidR="001D066D" w:rsidRPr="00F3240B" w:rsidRDefault="00280209" w:rsidP="009179F9">
      <w:pPr>
        <w:spacing w:after="0"/>
        <w:ind w:right="-7" w:firstLine="270"/>
        <w:jc w:val="both"/>
        <w:rPr>
          <w:rFonts w:ascii="Times New Roman" w:hAnsi="Times New Roman" w:cs="Times New Roman"/>
          <w:sz w:val="20"/>
          <w:szCs w:val="20"/>
        </w:rPr>
      </w:pPr>
      <w:r w:rsidRPr="00F3240B">
        <w:rPr>
          <w:rFonts w:ascii="Times New Roman" w:hAnsi="Times New Roman" w:cs="Times New Roman"/>
          <w:sz w:val="20"/>
          <w:szCs w:val="20"/>
        </w:rPr>
        <w:lastRenderedPageBreak/>
        <w:t xml:space="preserve">The findings show that </w:t>
      </w:r>
      <w:r w:rsidR="00610424" w:rsidRPr="00F3240B">
        <w:rPr>
          <w:rFonts w:ascii="Times New Roman" w:hAnsi="Times New Roman" w:cs="Times New Roman"/>
          <w:sz w:val="20"/>
          <w:szCs w:val="20"/>
        </w:rPr>
        <w:t>four relationships exhibit t-values ​​≥ 1.645, indicating significance at the 0.05 level. Specifically, E</w:t>
      </w:r>
      <w:r w:rsidR="00FF373C" w:rsidRPr="00F3240B">
        <w:rPr>
          <w:rFonts w:ascii="Times New Roman" w:hAnsi="Times New Roman" w:cs="Times New Roman"/>
          <w:sz w:val="20"/>
          <w:szCs w:val="20"/>
        </w:rPr>
        <w:t>E</w:t>
      </w:r>
      <w:r w:rsidR="00610424" w:rsidRPr="00F3240B">
        <w:rPr>
          <w:rFonts w:ascii="Times New Roman" w:hAnsi="Times New Roman" w:cs="Times New Roman"/>
          <w:sz w:val="20"/>
          <w:szCs w:val="20"/>
        </w:rPr>
        <w:t xml:space="preserve"> (β = -0.165, p &lt; 0.01), S</w:t>
      </w:r>
      <w:r w:rsidR="00FF373C" w:rsidRPr="00F3240B">
        <w:rPr>
          <w:rFonts w:ascii="Times New Roman" w:hAnsi="Times New Roman" w:cs="Times New Roman"/>
          <w:sz w:val="20"/>
          <w:szCs w:val="20"/>
        </w:rPr>
        <w:t xml:space="preserve">I </w:t>
      </w:r>
      <w:r w:rsidR="00610424" w:rsidRPr="00F3240B">
        <w:rPr>
          <w:rFonts w:ascii="Times New Roman" w:hAnsi="Times New Roman" w:cs="Times New Roman"/>
          <w:sz w:val="20"/>
          <w:szCs w:val="20"/>
        </w:rPr>
        <w:t>(β = 0.273, p &lt; 0.01), F</w:t>
      </w:r>
      <w:r w:rsidR="00FF373C" w:rsidRPr="00F3240B">
        <w:rPr>
          <w:rFonts w:ascii="Times New Roman" w:hAnsi="Times New Roman" w:cs="Times New Roman"/>
          <w:sz w:val="20"/>
          <w:szCs w:val="20"/>
        </w:rPr>
        <w:t>C</w:t>
      </w:r>
      <w:r w:rsidR="00610424" w:rsidRPr="00F3240B">
        <w:rPr>
          <w:rFonts w:ascii="Times New Roman" w:hAnsi="Times New Roman" w:cs="Times New Roman"/>
          <w:sz w:val="20"/>
          <w:szCs w:val="20"/>
        </w:rPr>
        <w:t xml:space="preserve"> (β = 0.270, p &lt; 0.01), and T</w:t>
      </w:r>
      <w:r w:rsidR="00FF373C" w:rsidRPr="00F3240B">
        <w:rPr>
          <w:rFonts w:ascii="Times New Roman" w:hAnsi="Times New Roman" w:cs="Times New Roman"/>
          <w:sz w:val="20"/>
          <w:szCs w:val="20"/>
        </w:rPr>
        <w:t>B</w:t>
      </w:r>
      <w:r w:rsidR="00610424" w:rsidRPr="00F3240B">
        <w:rPr>
          <w:rFonts w:ascii="Times New Roman" w:hAnsi="Times New Roman" w:cs="Times New Roman"/>
          <w:sz w:val="20"/>
          <w:szCs w:val="20"/>
        </w:rPr>
        <w:t xml:space="preserve"> (β = 0.149, p &lt; 0.01) are positively associated with B</w:t>
      </w:r>
      <w:r w:rsidRPr="00F3240B">
        <w:rPr>
          <w:rFonts w:ascii="Times New Roman" w:hAnsi="Times New Roman" w:cs="Times New Roman"/>
          <w:sz w:val="20"/>
          <w:szCs w:val="20"/>
        </w:rPr>
        <w:t xml:space="preserve">ehavioral </w:t>
      </w:r>
      <w:r w:rsidR="00610424" w:rsidRPr="00F3240B">
        <w:rPr>
          <w:rFonts w:ascii="Times New Roman" w:hAnsi="Times New Roman" w:cs="Times New Roman"/>
          <w:sz w:val="20"/>
          <w:szCs w:val="20"/>
        </w:rPr>
        <w:t>I</w:t>
      </w:r>
      <w:r w:rsidRPr="00F3240B">
        <w:rPr>
          <w:rFonts w:ascii="Times New Roman" w:hAnsi="Times New Roman" w:cs="Times New Roman"/>
          <w:sz w:val="20"/>
          <w:szCs w:val="20"/>
        </w:rPr>
        <w:t>ntention</w:t>
      </w:r>
      <w:r w:rsidR="00610424" w:rsidRPr="00F3240B">
        <w:rPr>
          <w:rFonts w:ascii="Times New Roman" w:hAnsi="Times New Roman" w:cs="Times New Roman"/>
          <w:sz w:val="20"/>
          <w:szCs w:val="20"/>
        </w:rPr>
        <w:t xml:space="preserve">, explaining 56.4% of the variance. Therefore, H2, H3, H4, and H5 are verified. </w:t>
      </w:r>
      <w:r w:rsidR="00CE6016" w:rsidRPr="00CE6016">
        <w:rPr>
          <w:rFonts w:ascii="Times New Roman" w:hAnsi="Times New Roman" w:cs="Times New Roman"/>
          <w:sz w:val="20"/>
          <w:szCs w:val="20"/>
        </w:rPr>
        <w:t>Trialability shows a highly significant relationship with the intention to use Islamic crowdfunding, indicating that SMEs are more inclined to adopt the platform when they can test or experience it beforehand, thereby reducing uncertainty and increasing confidence.</w:t>
      </w:r>
      <w:r w:rsidR="00CE6016">
        <w:rPr>
          <w:rFonts w:ascii="Times New Roman" w:hAnsi="Times New Roman" w:cs="Times New Roman"/>
          <w:sz w:val="20"/>
          <w:szCs w:val="20"/>
        </w:rPr>
        <w:t xml:space="preserve"> </w:t>
      </w:r>
      <w:r w:rsidR="00CE6016" w:rsidRPr="00CE6016">
        <w:rPr>
          <w:rFonts w:ascii="Times New Roman" w:hAnsi="Times New Roman" w:cs="Times New Roman"/>
          <w:sz w:val="20"/>
          <w:szCs w:val="20"/>
        </w:rPr>
        <w:t>The relationship between Performance Expectancy (β = –0.041, p &gt; 0.01) and Behavioral Intention is insignificant, with a t-value below 1.645, resulting in the rejection of H1. The model’s R² value of 0.564 indicates moderate explanatory power based on Hair et al.’s (2017) classification.</w:t>
      </w:r>
      <w:r w:rsidR="00CE6016">
        <w:rPr>
          <w:rFonts w:ascii="Times New Roman" w:hAnsi="Times New Roman" w:cs="Times New Roman"/>
          <w:sz w:val="20"/>
          <w:szCs w:val="20"/>
        </w:rPr>
        <w:t xml:space="preserve"> </w:t>
      </w:r>
      <w:r w:rsidR="00610424" w:rsidRPr="00F3240B">
        <w:rPr>
          <w:rFonts w:ascii="Times New Roman" w:hAnsi="Times New Roman" w:cs="Times New Roman"/>
          <w:sz w:val="20"/>
          <w:szCs w:val="20"/>
        </w:rPr>
        <w:t>Next, the effect sizes (f</w:t>
      </w:r>
      <w:r w:rsidR="00610424" w:rsidRPr="00F3240B">
        <w:rPr>
          <w:rFonts w:ascii="Times New Roman" w:hAnsi="Times New Roman" w:cs="Times New Roman"/>
          <w:sz w:val="20"/>
          <w:szCs w:val="20"/>
          <w:vertAlign w:val="superscript"/>
        </w:rPr>
        <w:t>2</w:t>
      </w:r>
      <w:r w:rsidR="00610424" w:rsidRPr="00F3240B">
        <w:rPr>
          <w:rFonts w:ascii="Times New Roman" w:hAnsi="Times New Roman" w:cs="Times New Roman"/>
          <w:sz w:val="20"/>
          <w:szCs w:val="20"/>
        </w:rPr>
        <w:t xml:space="preserve">) are evaluated. </w:t>
      </w:r>
      <w:r w:rsidR="00CE6016">
        <w:rPr>
          <w:rFonts w:ascii="Times New Roman" w:hAnsi="Times New Roman" w:cs="Times New Roman"/>
          <w:sz w:val="20"/>
          <w:szCs w:val="20"/>
        </w:rPr>
        <w:t xml:space="preserve">The </w:t>
      </w:r>
      <w:r w:rsidR="00610424" w:rsidRPr="00F3240B">
        <w:rPr>
          <w:rFonts w:ascii="Times New Roman" w:hAnsi="Times New Roman" w:cs="Times New Roman"/>
          <w:sz w:val="20"/>
          <w:szCs w:val="20"/>
        </w:rPr>
        <w:t xml:space="preserve">values ​​of 0.02, 0.15, and 0.35 are considered low, moderate, and high, respectively. </w:t>
      </w:r>
      <w:r w:rsidR="0094410F">
        <w:rPr>
          <w:rFonts w:ascii="Times New Roman" w:hAnsi="Times New Roman" w:cs="Times New Roman"/>
          <w:sz w:val="20"/>
          <w:szCs w:val="20"/>
        </w:rPr>
        <w:t>Also, w</w:t>
      </w:r>
      <w:r w:rsidR="00610424" w:rsidRPr="00F3240B">
        <w:rPr>
          <w:rFonts w:ascii="Times New Roman" w:hAnsi="Times New Roman" w:cs="Times New Roman"/>
          <w:sz w:val="20"/>
          <w:szCs w:val="20"/>
        </w:rPr>
        <w:t>e observe that S</w:t>
      </w:r>
      <w:r w:rsidR="00066FD8" w:rsidRPr="00F3240B">
        <w:rPr>
          <w:rFonts w:ascii="Times New Roman" w:hAnsi="Times New Roman" w:cs="Times New Roman"/>
          <w:sz w:val="20"/>
          <w:szCs w:val="20"/>
        </w:rPr>
        <w:t>I</w:t>
      </w:r>
      <w:r w:rsidR="00610424" w:rsidRPr="00F3240B">
        <w:rPr>
          <w:rFonts w:ascii="Times New Roman" w:hAnsi="Times New Roman" w:cs="Times New Roman"/>
          <w:sz w:val="20"/>
          <w:szCs w:val="20"/>
        </w:rPr>
        <w:t xml:space="preserve"> (0.051), F</w:t>
      </w:r>
      <w:r w:rsidR="00066FD8" w:rsidRPr="00F3240B">
        <w:rPr>
          <w:rFonts w:ascii="Times New Roman" w:hAnsi="Times New Roman" w:cs="Times New Roman"/>
          <w:sz w:val="20"/>
          <w:szCs w:val="20"/>
        </w:rPr>
        <w:t>C</w:t>
      </w:r>
      <w:r w:rsidR="00610424" w:rsidRPr="00F3240B">
        <w:rPr>
          <w:rFonts w:ascii="Times New Roman" w:hAnsi="Times New Roman" w:cs="Times New Roman"/>
          <w:sz w:val="20"/>
          <w:szCs w:val="20"/>
        </w:rPr>
        <w:t xml:space="preserve"> (0.046), and T</w:t>
      </w:r>
      <w:r w:rsidR="00066FD8" w:rsidRPr="00F3240B">
        <w:rPr>
          <w:rFonts w:ascii="Times New Roman" w:hAnsi="Times New Roman" w:cs="Times New Roman"/>
          <w:sz w:val="20"/>
          <w:szCs w:val="20"/>
        </w:rPr>
        <w:t>B</w:t>
      </w:r>
      <w:r w:rsidR="00610424" w:rsidRPr="00F3240B">
        <w:rPr>
          <w:rFonts w:ascii="Times New Roman" w:hAnsi="Times New Roman" w:cs="Times New Roman"/>
          <w:sz w:val="20"/>
          <w:szCs w:val="20"/>
        </w:rPr>
        <w:t xml:space="preserve"> (0.021) have small effects on producing R</w:t>
      </w:r>
      <w:r w:rsidR="00610424" w:rsidRPr="00F3240B">
        <w:rPr>
          <w:rFonts w:ascii="Times New Roman" w:hAnsi="Times New Roman" w:cs="Times New Roman"/>
          <w:sz w:val="20"/>
          <w:szCs w:val="20"/>
          <w:vertAlign w:val="superscript"/>
        </w:rPr>
        <w:t>2</w:t>
      </w:r>
      <w:r w:rsidR="00610424" w:rsidRPr="00F3240B">
        <w:rPr>
          <w:rFonts w:ascii="Times New Roman" w:hAnsi="Times New Roman" w:cs="Times New Roman"/>
          <w:sz w:val="20"/>
          <w:szCs w:val="20"/>
        </w:rPr>
        <w:t xml:space="preserve"> for Behavioral Intention</w:t>
      </w:r>
      <w:r w:rsidR="001D066D" w:rsidRPr="00F3240B">
        <w:rPr>
          <w:rFonts w:ascii="Times New Roman" w:hAnsi="Times New Roman" w:cs="Times New Roman"/>
          <w:sz w:val="20"/>
          <w:szCs w:val="20"/>
        </w:rPr>
        <w:t xml:space="preserve"> with </w:t>
      </w:r>
      <w:r w:rsidR="00610424" w:rsidRPr="00F3240B">
        <w:rPr>
          <w:rFonts w:ascii="Times New Roman" w:hAnsi="Times New Roman" w:cs="Times New Roman"/>
          <w:sz w:val="20"/>
          <w:szCs w:val="20"/>
        </w:rPr>
        <w:t>E</w:t>
      </w:r>
      <w:r w:rsidR="00066FD8" w:rsidRPr="00F3240B">
        <w:rPr>
          <w:rFonts w:ascii="Times New Roman" w:hAnsi="Times New Roman" w:cs="Times New Roman"/>
          <w:sz w:val="20"/>
          <w:szCs w:val="20"/>
        </w:rPr>
        <w:t>E</w:t>
      </w:r>
      <w:r w:rsidR="00610424" w:rsidRPr="00F3240B">
        <w:rPr>
          <w:rFonts w:ascii="Times New Roman" w:hAnsi="Times New Roman" w:cs="Times New Roman"/>
          <w:sz w:val="20"/>
          <w:szCs w:val="20"/>
        </w:rPr>
        <w:t xml:space="preserve"> (0.014) has a very small effect. Furthermore, the predictive relevance is calculated, and with a value of Q</w:t>
      </w:r>
      <w:r w:rsidR="00610424" w:rsidRPr="00F3240B">
        <w:rPr>
          <w:rFonts w:ascii="Times New Roman" w:hAnsi="Times New Roman" w:cs="Times New Roman"/>
          <w:sz w:val="20"/>
          <w:szCs w:val="20"/>
          <w:vertAlign w:val="superscript"/>
        </w:rPr>
        <w:t>2</w:t>
      </w:r>
      <w:r w:rsidR="00610424" w:rsidRPr="00F3240B">
        <w:rPr>
          <w:rFonts w:ascii="Times New Roman" w:hAnsi="Times New Roman" w:cs="Times New Roman"/>
          <w:sz w:val="20"/>
          <w:szCs w:val="20"/>
        </w:rPr>
        <w:t xml:space="preserve"> = 0.525 larger than 0, demonstrat</w:t>
      </w:r>
      <w:r w:rsidR="001D066D" w:rsidRPr="00F3240B">
        <w:rPr>
          <w:rFonts w:ascii="Times New Roman" w:hAnsi="Times New Roman" w:cs="Times New Roman"/>
          <w:sz w:val="20"/>
          <w:szCs w:val="20"/>
        </w:rPr>
        <w:t>ing</w:t>
      </w:r>
      <w:r w:rsidR="00610424" w:rsidRPr="00F3240B">
        <w:rPr>
          <w:rFonts w:ascii="Times New Roman" w:hAnsi="Times New Roman" w:cs="Times New Roman"/>
          <w:sz w:val="20"/>
          <w:szCs w:val="20"/>
        </w:rPr>
        <w:t xml:space="preserve"> predictive relevance for a specific endog</w:t>
      </w:r>
      <w:r w:rsidR="00F61A15">
        <w:rPr>
          <w:rFonts w:ascii="Times New Roman" w:hAnsi="Times New Roman" w:cs="Times New Roman"/>
          <w:sz w:val="20"/>
          <w:szCs w:val="20"/>
        </w:rPr>
        <w:t>enous behavior (</w:t>
      </w:r>
      <w:r w:rsidR="00E3234D">
        <w:rPr>
          <w:rFonts w:ascii="Times New Roman" w:hAnsi="Times New Roman" w:cs="Times New Roman"/>
          <w:sz w:val="20"/>
          <w:szCs w:val="20"/>
        </w:rPr>
        <w:t>[20]</w:t>
      </w:r>
      <w:r w:rsidR="00610424" w:rsidRPr="00F3240B">
        <w:rPr>
          <w:rFonts w:ascii="Times New Roman" w:hAnsi="Times New Roman" w:cs="Times New Roman"/>
          <w:sz w:val="20"/>
          <w:szCs w:val="20"/>
        </w:rPr>
        <w:t xml:space="preserve">). </w:t>
      </w:r>
    </w:p>
    <w:p w14:paraId="75DBDFBF" w14:textId="77777777" w:rsidR="00D76891" w:rsidRDefault="00610424" w:rsidP="009179F9">
      <w:pPr>
        <w:spacing w:after="0"/>
        <w:ind w:right="-7" w:firstLine="270"/>
        <w:jc w:val="both"/>
        <w:rPr>
          <w:rFonts w:ascii="Times New Roman" w:hAnsi="Times New Roman" w:cs="Times New Roman"/>
          <w:sz w:val="20"/>
          <w:szCs w:val="20"/>
        </w:rPr>
      </w:pPr>
      <w:r w:rsidRPr="00F3240B">
        <w:rPr>
          <w:rFonts w:ascii="Times New Roman" w:hAnsi="Times New Roman" w:cs="Times New Roman"/>
          <w:sz w:val="20"/>
          <w:szCs w:val="20"/>
        </w:rPr>
        <w:t>The study indicates that EE, SI</w:t>
      </w:r>
      <w:r w:rsidR="00066FD8" w:rsidRPr="00F3240B">
        <w:rPr>
          <w:rFonts w:ascii="Times New Roman" w:hAnsi="Times New Roman" w:cs="Times New Roman"/>
          <w:sz w:val="20"/>
          <w:szCs w:val="20"/>
        </w:rPr>
        <w:t xml:space="preserve">, </w:t>
      </w:r>
      <w:r w:rsidRPr="00F3240B">
        <w:rPr>
          <w:rFonts w:ascii="Times New Roman" w:hAnsi="Times New Roman" w:cs="Times New Roman"/>
          <w:sz w:val="20"/>
          <w:szCs w:val="20"/>
        </w:rPr>
        <w:t>FC, TB exhibit significant positive relationships with Bumiputera SMEs' behavioral intention to utilize Islamic crowdfunding. However, P</w:t>
      </w:r>
      <w:r w:rsidR="00066FD8" w:rsidRPr="00F3240B">
        <w:rPr>
          <w:rFonts w:ascii="Times New Roman" w:hAnsi="Times New Roman" w:cs="Times New Roman"/>
          <w:sz w:val="20"/>
          <w:szCs w:val="20"/>
        </w:rPr>
        <w:t>E</w:t>
      </w:r>
      <w:r w:rsidRPr="00F3240B">
        <w:rPr>
          <w:rFonts w:ascii="Times New Roman" w:hAnsi="Times New Roman" w:cs="Times New Roman"/>
          <w:sz w:val="20"/>
          <w:szCs w:val="20"/>
        </w:rPr>
        <w:t xml:space="preserve"> shows no significant relationship with their intention. The insignificant result between performance expectancy and behavioral intention aligns with previous studies on conventional crowdfunding (</w:t>
      </w:r>
      <w:r w:rsidR="00201EE9">
        <w:rPr>
          <w:rFonts w:ascii="Times New Roman" w:hAnsi="Times New Roman" w:cs="Times New Roman"/>
          <w:sz w:val="20"/>
          <w:szCs w:val="20"/>
        </w:rPr>
        <w:t>[21]</w:t>
      </w:r>
      <w:r w:rsidRPr="00F3240B">
        <w:rPr>
          <w:rFonts w:ascii="Times New Roman" w:hAnsi="Times New Roman" w:cs="Times New Roman"/>
          <w:sz w:val="20"/>
          <w:szCs w:val="20"/>
        </w:rPr>
        <w:t>) and Islamic crowdfunding (</w:t>
      </w:r>
      <w:r w:rsidR="00201EE9">
        <w:rPr>
          <w:rFonts w:ascii="Times New Roman" w:hAnsi="Times New Roman" w:cs="Times New Roman"/>
          <w:sz w:val="20"/>
          <w:szCs w:val="20"/>
        </w:rPr>
        <w:t>[16]</w:t>
      </w:r>
      <w:r w:rsidRPr="00F3240B">
        <w:rPr>
          <w:rFonts w:ascii="Times New Roman" w:hAnsi="Times New Roman" w:cs="Times New Roman"/>
          <w:sz w:val="20"/>
          <w:szCs w:val="20"/>
        </w:rPr>
        <w:t xml:space="preserve">), possibly due to certain crowdfunding structures and the platform's perceived impact on business growth and performance, Considering that most respondents are from the age group of 25-35 years old, they are considered as less experienced millennials, and from diverse educational backgrounds, their skepticism towards Islamic crowdfunding's potential impact on business performance may stem from limited exposure to such financing technologies. Moreover, the scarcity of Islamic-oriented crowdfunding platforms globally underscores the novelty of this concept, emphasizing the necessity for further exploration of its potential and societal acceptance </w:t>
      </w:r>
    </w:p>
    <w:p w14:paraId="0F23AB22" w14:textId="77777777" w:rsidR="00FE1DB2" w:rsidRDefault="00610424" w:rsidP="009179F9">
      <w:pPr>
        <w:spacing w:after="0"/>
        <w:ind w:right="-7" w:firstLine="270"/>
        <w:jc w:val="both"/>
        <w:rPr>
          <w:rFonts w:ascii="Times New Roman" w:hAnsi="Times New Roman" w:cs="Times New Roman"/>
          <w:sz w:val="20"/>
          <w:szCs w:val="20"/>
        </w:rPr>
      </w:pPr>
      <w:r w:rsidRPr="00F3240B">
        <w:rPr>
          <w:rFonts w:ascii="Times New Roman" w:hAnsi="Times New Roman" w:cs="Times New Roman"/>
          <w:sz w:val="20"/>
          <w:szCs w:val="20"/>
        </w:rPr>
        <w:t xml:space="preserve">Meanwhile, the factors EE, SI, FC, and TB exhibit a positive correlation with the behavioral intention to utilize Islamic crowdfunding. Regarding EE, this positive association may stem from the predominantly youthful and millennial demographic of respondents, who are well-versed in technological advancements, thus finding the Islamic crowdfunding platform user-friendly. Similarly, SI's favorable relationship with BI may be attributed to the pervasive online presence of individuals, spending substantial time on social media where peer influence is significant, as corroborated by Moon &amp; Hwang </w:t>
      </w:r>
      <w:r w:rsidR="00201EE9">
        <w:rPr>
          <w:rFonts w:ascii="Times New Roman" w:hAnsi="Times New Roman" w:cs="Times New Roman"/>
          <w:sz w:val="20"/>
          <w:szCs w:val="20"/>
        </w:rPr>
        <w:t>[21]</w:t>
      </w:r>
      <w:r w:rsidRPr="00F3240B">
        <w:rPr>
          <w:rFonts w:ascii="Times New Roman" w:hAnsi="Times New Roman" w:cs="Times New Roman"/>
          <w:sz w:val="20"/>
          <w:szCs w:val="20"/>
        </w:rPr>
        <w:t xml:space="preserve">. Additionally, FC demonstrates a positive link with BI as the crowdfunding platform's robust technical support, customer service, and expertise likely incentivize entrepreneurs to opt for this financing avenue, aligning with governmental initiatives to promote digital technology adoption among Muslim entrepreneurs. Bumiputera SMEs are likely more interested in using Islamic crowdfunding because they can try the technology first, which helps them reduce risks and take advantage of Malaysia's new crowdfunding opportunities. </w:t>
      </w:r>
      <w:r w:rsidR="001B7CD7">
        <w:rPr>
          <w:rFonts w:ascii="Times New Roman" w:hAnsi="Times New Roman" w:cs="Times New Roman"/>
          <w:sz w:val="20"/>
          <w:szCs w:val="20"/>
        </w:rPr>
        <w:t>T</w:t>
      </w:r>
      <w:r w:rsidRPr="00F3240B">
        <w:rPr>
          <w:rFonts w:ascii="Times New Roman" w:hAnsi="Times New Roman" w:cs="Times New Roman"/>
          <w:sz w:val="20"/>
          <w:szCs w:val="20"/>
        </w:rPr>
        <w:t xml:space="preserve">rying out Islamic crowdfunding helps people understand it better, see its social impact, and how it matches their values. This understanding can make them more likely to support similar projects in the future. While there </w:t>
      </w:r>
      <w:r w:rsidR="00F61A15">
        <w:rPr>
          <w:rFonts w:ascii="Times New Roman" w:hAnsi="Times New Roman" w:cs="Times New Roman"/>
          <w:sz w:val="20"/>
          <w:szCs w:val="20"/>
        </w:rPr>
        <w:t xml:space="preserve">not </w:t>
      </w:r>
      <w:r w:rsidRPr="00F3240B">
        <w:rPr>
          <w:rFonts w:ascii="Times New Roman" w:hAnsi="Times New Roman" w:cs="Times New Roman"/>
          <w:sz w:val="20"/>
          <w:szCs w:val="20"/>
        </w:rPr>
        <w:t>many studies on trying out Islamic crowdfunding specifically, other studies have shown that trying out new online pl</w:t>
      </w:r>
      <w:r w:rsidR="00F61A15">
        <w:rPr>
          <w:rFonts w:ascii="Times New Roman" w:hAnsi="Times New Roman" w:cs="Times New Roman"/>
          <w:sz w:val="20"/>
          <w:szCs w:val="20"/>
        </w:rPr>
        <w:t>atforms, like takaful platforms</w:t>
      </w:r>
      <w:r w:rsidRPr="00F3240B">
        <w:rPr>
          <w:rFonts w:ascii="Times New Roman" w:hAnsi="Times New Roman" w:cs="Times New Roman"/>
          <w:sz w:val="20"/>
          <w:szCs w:val="20"/>
        </w:rPr>
        <w:t xml:space="preserve">, internet banking, and online </w:t>
      </w:r>
      <w:r w:rsidR="00F61A15">
        <w:rPr>
          <w:rFonts w:ascii="Times New Roman" w:hAnsi="Times New Roman" w:cs="Times New Roman"/>
          <w:sz w:val="20"/>
          <w:szCs w:val="20"/>
        </w:rPr>
        <w:t xml:space="preserve">learning </w:t>
      </w:r>
      <w:r w:rsidR="00F61A15" w:rsidRPr="00F3240B">
        <w:rPr>
          <w:rFonts w:ascii="Times New Roman" w:hAnsi="Times New Roman" w:cs="Times New Roman"/>
          <w:sz w:val="20"/>
          <w:szCs w:val="20"/>
        </w:rPr>
        <w:t>can</w:t>
      </w:r>
      <w:r w:rsidRPr="00F3240B">
        <w:rPr>
          <w:rFonts w:ascii="Times New Roman" w:hAnsi="Times New Roman" w:cs="Times New Roman"/>
          <w:sz w:val="20"/>
          <w:szCs w:val="20"/>
        </w:rPr>
        <w:t xml:space="preserve"> make people more likely to use them</w:t>
      </w:r>
      <w:r w:rsidR="00F61A15">
        <w:rPr>
          <w:rFonts w:ascii="Times New Roman" w:hAnsi="Times New Roman" w:cs="Times New Roman"/>
          <w:sz w:val="20"/>
          <w:szCs w:val="20"/>
        </w:rPr>
        <w:t xml:space="preserve"> (</w:t>
      </w:r>
      <w:r w:rsidR="00201EE9">
        <w:rPr>
          <w:rFonts w:ascii="Times New Roman" w:hAnsi="Times New Roman" w:cs="Times New Roman"/>
          <w:sz w:val="20"/>
          <w:szCs w:val="20"/>
        </w:rPr>
        <w:t>[22]</w:t>
      </w:r>
      <w:r w:rsidR="00222B92">
        <w:rPr>
          <w:rFonts w:ascii="Times New Roman" w:hAnsi="Times New Roman" w:cs="Times New Roman"/>
          <w:sz w:val="20"/>
          <w:szCs w:val="20"/>
        </w:rPr>
        <w:t>)</w:t>
      </w:r>
      <w:r w:rsidRPr="00F3240B">
        <w:rPr>
          <w:rFonts w:ascii="Times New Roman" w:hAnsi="Times New Roman" w:cs="Times New Roman"/>
          <w:sz w:val="20"/>
          <w:szCs w:val="20"/>
        </w:rPr>
        <w:t xml:space="preserve">. </w:t>
      </w:r>
    </w:p>
    <w:p w14:paraId="6668FDDB" w14:textId="77777777" w:rsidR="000335D5" w:rsidRPr="00F3240B" w:rsidRDefault="000335D5" w:rsidP="009179F9">
      <w:pPr>
        <w:spacing w:after="0"/>
        <w:ind w:right="-7" w:firstLine="270"/>
        <w:jc w:val="both"/>
        <w:rPr>
          <w:rFonts w:ascii="Times New Roman" w:hAnsi="Times New Roman" w:cs="Times New Roman"/>
          <w:sz w:val="20"/>
          <w:szCs w:val="20"/>
        </w:rPr>
      </w:pPr>
    </w:p>
    <w:p w14:paraId="64DFB7D6" w14:textId="77777777" w:rsidR="00FE1DB2" w:rsidRPr="00F3240B" w:rsidRDefault="00610424" w:rsidP="009179F9">
      <w:pPr>
        <w:spacing w:after="0"/>
        <w:ind w:left="270" w:right="-7"/>
        <w:jc w:val="center"/>
        <w:rPr>
          <w:rFonts w:ascii="Times New Roman" w:hAnsi="Times New Roman" w:cs="Times New Roman"/>
          <w:sz w:val="24"/>
          <w:szCs w:val="24"/>
        </w:rPr>
      </w:pPr>
      <w:r w:rsidRPr="00F3240B">
        <w:rPr>
          <w:rFonts w:ascii="Times New Roman" w:hAnsi="Times New Roman" w:cs="Times New Roman"/>
          <w:b/>
          <w:sz w:val="24"/>
          <w:szCs w:val="24"/>
        </w:rPr>
        <w:t>CONCLUSION</w:t>
      </w:r>
    </w:p>
    <w:p w14:paraId="759C818D" w14:textId="77777777" w:rsidR="006C2E3F" w:rsidRPr="00F3240B" w:rsidRDefault="00610424" w:rsidP="009179F9">
      <w:pPr>
        <w:spacing w:after="0"/>
        <w:ind w:right="-7" w:firstLine="270"/>
        <w:jc w:val="both"/>
        <w:rPr>
          <w:rFonts w:ascii="Times New Roman" w:hAnsi="Times New Roman" w:cs="Times New Roman"/>
          <w:sz w:val="20"/>
          <w:szCs w:val="20"/>
        </w:rPr>
      </w:pPr>
      <w:r w:rsidRPr="00F3240B">
        <w:rPr>
          <w:rFonts w:ascii="Times New Roman" w:hAnsi="Times New Roman" w:cs="Times New Roman"/>
          <w:sz w:val="20"/>
          <w:szCs w:val="20"/>
        </w:rPr>
        <w:t xml:space="preserve">This study yields significant theoretical insights into behavioral intention factors and Islamic crowdfunding research, particularly within the realm of Bumiputera entrepreneurship. </w:t>
      </w:r>
      <w:r w:rsidR="00066FD8" w:rsidRPr="00F3240B">
        <w:rPr>
          <w:rFonts w:ascii="Times New Roman" w:hAnsi="Times New Roman" w:cs="Times New Roman"/>
          <w:sz w:val="20"/>
          <w:szCs w:val="20"/>
        </w:rPr>
        <w:t>I</w:t>
      </w:r>
      <w:r w:rsidRPr="00F3240B">
        <w:rPr>
          <w:rFonts w:ascii="Times New Roman" w:hAnsi="Times New Roman" w:cs="Times New Roman"/>
          <w:sz w:val="20"/>
          <w:szCs w:val="20"/>
        </w:rPr>
        <w:t xml:space="preserve">t does not only address gaps in existing literature, but also extends the UTAUT theory, specifically within the Bumiputera SME sector. Moreover, the study serves to raise awareness among Bumiputera SMEs regarding the unique features of Islamic financing alternatives, thereby offering practical benefits. Additionally, policymakers may </w:t>
      </w:r>
      <w:r w:rsidRPr="00F3240B">
        <w:rPr>
          <w:rFonts w:ascii="Times New Roman" w:hAnsi="Times New Roman" w:cs="Times New Roman"/>
          <w:sz w:val="20"/>
          <w:szCs w:val="20"/>
        </w:rPr>
        <w:lastRenderedPageBreak/>
        <w:t xml:space="preserve">derive useful insights from this research to gauge SMEs' mindfulness of financing options and formulate relevant regulations and policies. </w:t>
      </w:r>
    </w:p>
    <w:p w14:paraId="1023053F" w14:textId="77777777" w:rsidR="000335D5" w:rsidRDefault="000335D5" w:rsidP="009179F9">
      <w:pPr>
        <w:ind w:left="270" w:right="-7"/>
        <w:jc w:val="center"/>
        <w:rPr>
          <w:rFonts w:ascii="Times New Roman" w:hAnsi="Times New Roman" w:cs="Times New Roman"/>
          <w:b/>
          <w:sz w:val="24"/>
          <w:szCs w:val="24"/>
        </w:rPr>
      </w:pPr>
    </w:p>
    <w:p w14:paraId="2A8D0181" w14:textId="77777777" w:rsidR="00A5708C" w:rsidRDefault="00061FC6" w:rsidP="009179F9">
      <w:pPr>
        <w:spacing w:after="0"/>
        <w:ind w:left="270" w:right="-7"/>
        <w:jc w:val="center"/>
        <w:rPr>
          <w:rFonts w:ascii="Times New Roman" w:hAnsi="Times New Roman" w:cs="Times New Roman"/>
          <w:b/>
          <w:sz w:val="24"/>
          <w:szCs w:val="24"/>
        </w:rPr>
      </w:pPr>
      <w:r w:rsidRPr="00061FC6">
        <w:rPr>
          <w:rFonts w:ascii="Times New Roman" w:hAnsi="Times New Roman" w:cs="Times New Roman"/>
          <w:b/>
          <w:sz w:val="24"/>
          <w:szCs w:val="24"/>
        </w:rPr>
        <w:t>REFERENCES</w:t>
      </w:r>
    </w:p>
    <w:p w14:paraId="7E7F6D81" w14:textId="77777777" w:rsidR="00F9679E" w:rsidRDefault="00F9679E" w:rsidP="009179F9">
      <w:pPr>
        <w:spacing w:after="0"/>
        <w:ind w:left="270" w:right="-7"/>
        <w:jc w:val="center"/>
        <w:rPr>
          <w:rFonts w:ascii="Times New Roman" w:hAnsi="Times New Roman" w:cs="Times New Roman"/>
          <w:b/>
          <w:sz w:val="24"/>
          <w:szCs w:val="24"/>
        </w:rPr>
      </w:pPr>
    </w:p>
    <w:p w14:paraId="7998DE2D" w14:textId="77777777" w:rsidR="00985A4A" w:rsidRDefault="006721EF" w:rsidP="009179F9">
      <w:pPr>
        <w:pBdr>
          <w:top w:val="nil"/>
          <w:left w:val="nil"/>
          <w:bottom w:val="nil"/>
          <w:right w:val="nil"/>
          <w:between w:val="nil"/>
        </w:pBdr>
        <w:spacing w:after="0" w:line="240" w:lineRule="auto"/>
        <w:ind w:right="-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r w:rsidR="00985A4A" w:rsidRPr="006721EF">
        <w:rPr>
          <w:rFonts w:ascii="Times New Roman" w:eastAsia="Times New Roman" w:hAnsi="Times New Roman" w:cs="Times New Roman"/>
          <w:sz w:val="20"/>
          <w:szCs w:val="20"/>
        </w:rPr>
        <w:t xml:space="preserve">Department of Statistics Malaysia (DOSM). National Account, Micro, Small and Medium Enterprises.  </w:t>
      </w:r>
      <w:hyperlink r:id="rId7" w:history="1">
        <w:r w:rsidR="003D77F8" w:rsidRPr="006721EF">
          <w:rPr>
            <w:rStyle w:val="Hyperlink"/>
            <w:rFonts w:ascii="Times New Roman" w:eastAsia="Times New Roman" w:hAnsi="Times New Roman" w:cs="Times New Roman"/>
            <w:sz w:val="20"/>
            <w:szCs w:val="20"/>
          </w:rPr>
          <w:t>https://www.dosm.gov.my/v1/index.php?r=column/cthemeByCat&amp;cat=159&amp;bul_id=aFRNc2Zid295Tm1yczN5dWJNS1NwQT09&amp;menu_id=TE5CRUZCblh4ZTZMODZIbmk2aWRRQT09</w:t>
        </w:r>
      </w:hyperlink>
      <w:r w:rsidR="003D77F8" w:rsidRPr="006721EF">
        <w:rPr>
          <w:rStyle w:val="Hyperlink"/>
          <w:rFonts w:ascii="Times New Roman" w:eastAsia="Times New Roman" w:hAnsi="Times New Roman" w:cs="Times New Roman"/>
          <w:sz w:val="20"/>
          <w:szCs w:val="20"/>
        </w:rPr>
        <w:t xml:space="preserve"> </w:t>
      </w:r>
      <w:r w:rsidR="00985A4A" w:rsidRPr="006721EF">
        <w:rPr>
          <w:rFonts w:ascii="Times New Roman" w:eastAsia="Times New Roman" w:hAnsi="Times New Roman" w:cs="Times New Roman"/>
          <w:sz w:val="20"/>
          <w:szCs w:val="20"/>
        </w:rPr>
        <w:t>(2022).</w:t>
      </w:r>
    </w:p>
    <w:p w14:paraId="78906F56" w14:textId="77777777" w:rsidR="00A52541" w:rsidRPr="006721EF" w:rsidRDefault="00A52541" w:rsidP="009179F9">
      <w:pPr>
        <w:pBdr>
          <w:top w:val="nil"/>
          <w:left w:val="nil"/>
          <w:bottom w:val="nil"/>
          <w:right w:val="nil"/>
          <w:between w:val="nil"/>
        </w:pBdr>
        <w:spacing w:after="0" w:line="240" w:lineRule="auto"/>
        <w:ind w:right="-7"/>
        <w:jc w:val="both"/>
        <w:rPr>
          <w:rStyle w:val="Hyperlink"/>
          <w:color w:val="auto"/>
          <w:sz w:val="20"/>
          <w:szCs w:val="20"/>
          <w:u w:val="none"/>
          <w:lang w:val="en-MY"/>
        </w:rPr>
      </w:pPr>
    </w:p>
    <w:p w14:paraId="580C3458" w14:textId="77777777" w:rsidR="00985A4A" w:rsidRPr="006721EF" w:rsidRDefault="006721EF" w:rsidP="009179F9">
      <w:pPr>
        <w:pBdr>
          <w:top w:val="nil"/>
          <w:left w:val="nil"/>
          <w:bottom w:val="nil"/>
          <w:right w:val="nil"/>
          <w:between w:val="nil"/>
        </w:pBdr>
        <w:spacing w:after="0" w:line="240" w:lineRule="auto"/>
        <w:ind w:right="-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sidR="00985A4A" w:rsidRPr="006721EF">
        <w:rPr>
          <w:rFonts w:ascii="Times New Roman" w:eastAsia="Times New Roman" w:hAnsi="Times New Roman" w:cs="Times New Roman"/>
          <w:sz w:val="20"/>
          <w:szCs w:val="20"/>
        </w:rPr>
        <w:t>Ministry of Economy, Malaysia. Laporan Sesi Libat Urus - Kongres ekonomi bumiputera2024.keb.ekonomi.gov.my.https://keb.ekonomi.gov.my/assets/dokumen/Laporan_SLU_KEB2024.pdf. (2024, March 4).</w:t>
      </w:r>
    </w:p>
    <w:p w14:paraId="674108C8" w14:textId="77777777" w:rsidR="00A52541" w:rsidRDefault="00A52541" w:rsidP="009179F9">
      <w:pPr>
        <w:spacing w:after="0" w:line="240" w:lineRule="auto"/>
        <w:ind w:right="-7"/>
        <w:jc w:val="both"/>
        <w:rPr>
          <w:rFonts w:ascii="Times New Roman" w:eastAsia="Times New Roman" w:hAnsi="Times New Roman" w:cs="Times New Roman"/>
          <w:sz w:val="20"/>
          <w:szCs w:val="20"/>
        </w:rPr>
      </w:pPr>
    </w:p>
    <w:p w14:paraId="44FAC150" w14:textId="77777777" w:rsidR="00985A4A" w:rsidRPr="006721EF" w:rsidRDefault="006721EF" w:rsidP="009179F9">
      <w:pPr>
        <w:spacing w:after="0" w:line="240" w:lineRule="auto"/>
        <w:ind w:right="-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r w:rsidR="00180E3A">
        <w:rPr>
          <w:rFonts w:ascii="Times New Roman" w:eastAsia="Times New Roman" w:hAnsi="Times New Roman" w:cs="Times New Roman"/>
          <w:sz w:val="20"/>
          <w:szCs w:val="20"/>
        </w:rPr>
        <w:t xml:space="preserve">A. </w:t>
      </w:r>
      <w:r w:rsidR="00985A4A" w:rsidRPr="006721EF">
        <w:rPr>
          <w:rFonts w:ascii="Times New Roman" w:eastAsia="Times New Roman" w:hAnsi="Times New Roman" w:cs="Times New Roman"/>
          <w:sz w:val="20"/>
          <w:szCs w:val="20"/>
        </w:rPr>
        <w:t xml:space="preserve">Mohamad, </w:t>
      </w:r>
      <w:r w:rsidR="00180E3A">
        <w:rPr>
          <w:rFonts w:ascii="Times New Roman" w:eastAsia="Times New Roman" w:hAnsi="Times New Roman" w:cs="Times New Roman"/>
          <w:sz w:val="20"/>
          <w:szCs w:val="20"/>
        </w:rPr>
        <w:t>A.N. Mustapa</w:t>
      </w:r>
      <w:r w:rsidR="00985A4A" w:rsidRPr="006721EF">
        <w:rPr>
          <w:rFonts w:ascii="Times New Roman" w:eastAsia="Times New Roman" w:hAnsi="Times New Roman" w:cs="Times New Roman"/>
          <w:sz w:val="20"/>
          <w:szCs w:val="20"/>
        </w:rPr>
        <w:t xml:space="preserve"> &amp; </w:t>
      </w:r>
      <w:r w:rsidR="00180E3A">
        <w:rPr>
          <w:rFonts w:ascii="Times New Roman" w:eastAsia="Times New Roman" w:hAnsi="Times New Roman" w:cs="Times New Roman"/>
          <w:sz w:val="20"/>
          <w:szCs w:val="20"/>
        </w:rPr>
        <w:t xml:space="preserve">H.A. </w:t>
      </w:r>
      <w:r w:rsidR="00985A4A" w:rsidRPr="006721EF">
        <w:rPr>
          <w:rFonts w:ascii="Times New Roman" w:eastAsia="Times New Roman" w:hAnsi="Times New Roman" w:cs="Times New Roman"/>
          <w:sz w:val="20"/>
          <w:szCs w:val="20"/>
        </w:rPr>
        <w:t xml:space="preserve">Razak. </w:t>
      </w:r>
      <w:r w:rsidR="00985A4A" w:rsidRPr="00BE011C">
        <w:rPr>
          <w:rFonts w:ascii="Times New Roman" w:eastAsia="Times New Roman" w:hAnsi="Times New Roman" w:cs="Times New Roman"/>
          <w:i/>
          <w:sz w:val="20"/>
          <w:szCs w:val="20"/>
        </w:rPr>
        <w:t>Modeling Economic Growth in Contemporary Malaysia</w:t>
      </w:r>
      <w:r w:rsidR="00985A4A" w:rsidRPr="006721EF">
        <w:rPr>
          <w:rFonts w:ascii="Times New Roman" w:eastAsia="Times New Roman" w:hAnsi="Times New Roman" w:cs="Times New Roman"/>
          <w:sz w:val="20"/>
          <w:szCs w:val="20"/>
        </w:rPr>
        <w:t>, 31-42. (2021)</w:t>
      </w:r>
      <w:r w:rsidR="008E2672">
        <w:rPr>
          <w:rFonts w:ascii="Times New Roman" w:eastAsia="Times New Roman" w:hAnsi="Times New Roman" w:cs="Times New Roman"/>
          <w:sz w:val="20"/>
          <w:szCs w:val="20"/>
        </w:rPr>
        <w:t>.</w:t>
      </w:r>
    </w:p>
    <w:p w14:paraId="62D7000A" w14:textId="77777777" w:rsidR="00A52541" w:rsidRDefault="00A52541" w:rsidP="009179F9">
      <w:pPr>
        <w:pBdr>
          <w:top w:val="nil"/>
          <w:left w:val="nil"/>
          <w:bottom w:val="nil"/>
          <w:right w:val="nil"/>
          <w:between w:val="nil"/>
        </w:pBdr>
        <w:spacing w:after="0" w:line="240" w:lineRule="auto"/>
        <w:ind w:right="-7"/>
        <w:jc w:val="both"/>
        <w:rPr>
          <w:rFonts w:ascii="Times New Roman" w:eastAsia="Times New Roman" w:hAnsi="Times New Roman" w:cs="Times New Roman"/>
          <w:sz w:val="20"/>
          <w:szCs w:val="20"/>
        </w:rPr>
      </w:pPr>
    </w:p>
    <w:p w14:paraId="6D2961A3" w14:textId="77777777" w:rsidR="009A2B16" w:rsidRPr="006721EF" w:rsidRDefault="006721EF" w:rsidP="009179F9">
      <w:pPr>
        <w:pBdr>
          <w:top w:val="nil"/>
          <w:left w:val="nil"/>
          <w:bottom w:val="nil"/>
          <w:right w:val="nil"/>
          <w:between w:val="nil"/>
        </w:pBdr>
        <w:spacing w:after="0" w:line="240" w:lineRule="auto"/>
        <w:ind w:right="-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w:t>
      </w:r>
      <w:r w:rsidR="00180E3A">
        <w:rPr>
          <w:rFonts w:ascii="Times New Roman" w:eastAsia="Times New Roman" w:hAnsi="Times New Roman" w:cs="Times New Roman"/>
          <w:sz w:val="20"/>
          <w:szCs w:val="20"/>
        </w:rPr>
        <w:t>A.S. Alshebami</w:t>
      </w:r>
      <w:r w:rsidR="009A2B16" w:rsidRPr="006721EF">
        <w:rPr>
          <w:rFonts w:ascii="Times New Roman" w:eastAsia="Times New Roman" w:hAnsi="Times New Roman" w:cs="Times New Roman"/>
          <w:sz w:val="20"/>
          <w:szCs w:val="20"/>
        </w:rPr>
        <w:t>. </w:t>
      </w:r>
      <w:r w:rsidR="009A2B16" w:rsidRPr="006721EF">
        <w:rPr>
          <w:rFonts w:ascii="Times New Roman" w:eastAsia="Times New Roman" w:hAnsi="Times New Roman" w:cs="Times New Roman"/>
          <w:i/>
          <w:sz w:val="20"/>
          <w:szCs w:val="20"/>
        </w:rPr>
        <w:t>SAGE Open</w:t>
      </w:r>
      <w:r w:rsidR="009A2B16" w:rsidRPr="006721EF">
        <w:rPr>
          <w:rFonts w:ascii="Times New Roman" w:eastAsia="Times New Roman" w:hAnsi="Times New Roman" w:cs="Times New Roman"/>
          <w:sz w:val="20"/>
          <w:szCs w:val="20"/>
        </w:rPr>
        <w:t>, </w:t>
      </w:r>
      <w:r w:rsidR="009A2B16" w:rsidRPr="006721EF">
        <w:rPr>
          <w:rFonts w:ascii="Times New Roman" w:eastAsia="Times New Roman" w:hAnsi="Times New Roman" w:cs="Times New Roman"/>
          <w:b/>
          <w:sz w:val="20"/>
          <w:szCs w:val="20"/>
        </w:rPr>
        <w:t>12</w:t>
      </w:r>
      <w:r w:rsidR="009A2B16" w:rsidRPr="006721EF">
        <w:rPr>
          <w:rFonts w:ascii="Times New Roman" w:eastAsia="Times New Roman" w:hAnsi="Times New Roman" w:cs="Times New Roman"/>
          <w:sz w:val="20"/>
          <w:szCs w:val="20"/>
        </w:rPr>
        <w:t>(3), 21582440221126511.</w:t>
      </w:r>
      <w:r w:rsidR="00001576" w:rsidRPr="006721EF">
        <w:rPr>
          <w:rFonts w:ascii="Times New Roman" w:eastAsia="Times New Roman" w:hAnsi="Times New Roman" w:cs="Times New Roman"/>
          <w:sz w:val="20"/>
          <w:szCs w:val="20"/>
        </w:rPr>
        <w:t xml:space="preserve"> (2022).</w:t>
      </w:r>
    </w:p>
    <w:p w14:paraId="67939A88" w14:textId="77777777" w:rsidR="00A52541" w:rsidRDefault="00A52541" w:rsidP="009179F9">
      <w:pPr>
        <w:pBdr>
          <w:top w:val="nil"/>
          <w:left w:val="nil"/>
          <w:bottom w:val="nil"/>
          <w:right w:val="nil"/>
          <w:between w:val="nil"/>
        </w:pBdr>
        <w:spacing w:after="0" w:line="240" w:lineRule="auto"/>
        <w:ind w:right="-7"/>
        <w:jc w:val="both"/>
        <w:rPr>
          <w:rFonts w:ascii="Times New Roman" w:eastAsia="Times New Roman" w:hAnsi="Times New Roman" w:cs="Times New Roman"/>
          <w:sz w:val="20"/>
          <w:szCs w:val="20"/>
        </w:rPr>
      </w:pPr>
    </w:p>
    <w:p w14:paraId="249C3809" w14:textId="77777777" w:rsidR="009A2B16" w:rsidRPr="006721EF" w:rsidRDefault="006721EF" w:rsidP="009179F9">
      <w:pPr>
        <w:pBdr>
          <w:top w:val="nil"/>
          <w:left w:val="nil"/>
          <w:bottom w:val="nil"/>
          <w:right w:val="nil"/>
          <w:between w:val="nil"/>
        </w:pBdr>
        <w:spacing w:after="0" w:line="240" w:lineRule="auto"/>
        <w:ind w:right="-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r w:rsidR="00180E3A">
        <w:rPr>
          <w:rFonts w:ascii="Times New Roman" w:eastAsia="Times New Roman" w:hAnsi="Times New Roman" w:cs="Times New Roman"/>
          <w:sz w:val="20"/>
          <w:szCs w:val="20"/>
        </w:rPr>
        <w:t xml:space="preserve">A. </w:t>
      </w:r>
      <w:r w:rsidR="009A2B16" w:rsidRPr="006721EF">
        <w:rPr>
          <w:rFonts w:ascii="Times New Roman" w:eastAsia="Times New Roman" w:hAnsi="Times New Roman" w:cs="Times New Roman"/>
          <w:sz w:val="20"/>
          <w:szCs w:val="20"/>
        </w:rPr>
        <w:t xml:space="preserve">Faizulayev, </w:t>
      </w:r>
      <w:r w:rsidR="00180E3A">
        <w:rPr>
          <w:rFonts w:ascii="Times New Roman" w:eastAsia="Times New Roman" w:hAnsi="Times New Roman" w:cs="Times New Roman"/>
          <w:sz w:val="20"/>
          <w:szCs w:val="20"/>
        </w:rPr>
        <w:t xml:space="preserve">I. </w:t>
      </w:r>
      <w:r w:rsidR="009A2B16" w:rsidRPr="006721EF">
        <w:rPr>
          <w:rFonts w:ascii="Times New Roman" w:eastAsia="Times New Roman" w:hAnsi="Times New Roman" w:cs="Times New Roman"/>
          <w:sz w:val="20"/>
          <w:szCs w:val="20"/>
        </w:rPr>
        <w:t xml:space="preserve">Wada, </w:t>
      </w:r>
      <w:r w:rsidR="00180E3A">
        <w:rPr>
          <w:rFonts w:ascii="Times New Roman" w:eastAsia="Times New Roman" w:hAnsi="Times New Roman" w:cs="Times New Roman"/>
          <w:sz w:val="20"/>
          <w:szCs w:val="20"/>
        </w:rPr>
        <w:t>A.S. Kyzdarbekova</w:t>
      </w:r>
      <w:r w:rsidR="009A2B16" w:rsidRPr="006721EF">
        <w:rPr>
          <w:rFonts w:ascii="Times New Roman" w:eastAsia="Times New Roman" w:hAnsi="Times New Roman" w:cs="Times New Roman"/>
          <w:sz w:val="20"/>
          <w:szCs w:val="20"/>
        </w:rPr>
        <w:t xml:space="preserve"> &amp; </w:t>
      </w:r>
      <w:r w:rsidR="00180E3A">
        <w:rPr>
          <w:rFonts w:ascii="Times New Roman" w:eastAsia="Times New Roman" w:hAnsi="Times New Roman" w:cs="Times New Roman"/>
          <w:sz w:val="20"/>
          <w:szCs w:val="20"/>
        </w:rPr>
        <w:t xml:space="preserve">I. </w:t>
      </w:r>
      <w:r w:rsidR="009A2B16" w:rsidRPr="006721EF">
        <w:rPr>
          <w:rFonts w:ascii="Times New Roman" w:eastAsia="Times New Roman" w:hAnsi="Times New Roman" w:cs="Times New Roman"/>
          <w:sz w:val="20"/>
          <w:szCs w:val="20"/>
        </w:rPr>
        <w:t>Parmankulova. </w:t>
      </w:r>
      <w:r w:rsidR="009A2B16" w:rsidRPr="006721EF">
        <w:rPr>
          <w:rFonts w:ascii="Times New Roman" w:eastAsia="Times New Roman" w:hAnsi="Times New Roman" w:cs="Times New Roman"/>
          <w:i/>
          <w:sz w:val="20"/>
          <w:szCs w:val="20"/>
        </w:rPr>
        <w:t>Journal of Islamic Accounting and Business Research</w:t>
      </w:r>
      <w:r w:rsidR="009A2B16" w:rsidRPr="006721EF">
        <w:rPr>
          <w:rFonts w:ascii="Times New Roman" w:eastAsia="Times New Roman" w:hAnsi="Times New Roman" w:cs="Times New Roman"/>
          <w:sz w:val="20"/>
          <w:szCs w:val="20"/>
        </w:rPr>
        <w:t>, </w:t>
      </w:r>
      <w:r w:rsidR="009A2B16" w:rsidRPr="006721EF">
        <w:rPr>
          <w:rFonts w:ascii="Times New Roman" w:eastAsia="Times New Roman" w:hAnsi="Times New Roman" w:cs="Times New Roman"/>
          <w:b/>
          <w:sz w:val="20"/>
          <w:szCs w:val="20"/>
        </w:rPr>
        <w:t>12</w:t>
      </w:r>
      <w:r w:rsidR="009A2B16" w:rsidRPr="006721EF">
        <w:rPr>
          <w:rFonts w:ascii="Times New Roman" w:eastAsia="Times New Roman" w:hAnsi="Times New Roman" w:cs="Times New Roman"/>
          <w:sz w:val="20"/>
          <w:szCs w:val="20"/>
        </w:rPr>
        <w:t>(4), 457-472.</w:t>
      </w:r>
      <w:r w:rsidR="00001576" w:rsidRPr="006721EF">
        <w:rPr>
          <w:rFonts w:ascii="Times New Roman" w:eastAsia="Times New Roman" w:hAnsi="Times New Roman" w:cs="Times New Roman"/>
          <w:sz w:val="20"/>
          <w:szCs w:val="20"/>
        </w:rPr>
        <w:t xml:space="preserve"> (2021).</w:t>
      </w:r>
    </w:p>
    <w:p w14:paraId="181E88F0" w14:textId="77777777" w:rsidR="00A52541" w:rsidRDefault="00A52541" w:rsidP="009179F9">
      <w:pPr>
        <w:pBdr>
          <w:top w:val="nil"/>
          <w:left w:val="nil"/>
          <w:bottom w:val="nil"/>
          <w:right w:val="nil"/>
          <w:between w:val="nil"/>
        </w:pBdr>
        <w:spacing w:after="0" w:line="240" w:lineRule="auto"/>
        <w:ind w:right="-7"/>
        <w:jc w:val="both"/>
        <w:rPr>
          <w:rFonts w:ascii="Times New Roman" w:eastAsia="Times New Roman" w:hAnsi="Times New Roman" w:cs="Times New Roman"/>
          <w:sz w:val="20"/>
          <w:szCs w:val="20"/>
        </w:rPr>
      </w:pPr>
    </w:p>
    <w:p w14:paraId="66782698" w14:textId="77777777" w:rsidR="00985A4A" w:rsidRPr="006721EF" w:rsidRDefault="006721EF" w:rsidP="009179F9">
      <w:pPr>
        <w:pBdr>
          <w:top w:val="nil"/>
          <w:left w:val="nil"/>
          <w:bottom w:val="nil"/>
          <w:right w:val="nil"/>
          <w:between w:val="nil"/>
        </w:pBdr>
        <w:spacing w:after="0" w:line="240" w:lineRule="auto"/>
        <w:ind w:right="-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 </w:t>
      </w:r>
      <w:r w:rsidR="00180E3A">
        <w:rPr>
          <w:rFonts w:ascii="Times New Roman" w:eastAsia="Times New Roman" w:hAnsi="Times New Roman" w:cs="Times New Roman"/>
          <w:sz w:val="20"/>
          <w:szCs w:val="20"/>
        </w:rPr>
        <w:t xml:space="preserve">R. </w:t>
      </w:r>
      <w:r w:rsidR="00985A4A" w:rsidRPr="006721EF">
        <w:rPr>
          <w:rFonts w:ascii="Times New Roman" w:eastAsia="Times New Roman" w:hAnsi="Times New Roman" w:cs="Times New Roman"/>
          <w:sz w:val="20"/>
          <w:szCs w:val="20"/>
        </w:rPr>
        <w:t xml:space="preserve">Sukmana, </w:t>
      </w:r>
      <w:r w:rsidR="00180E3A">
        <w:rPr>
          <w:rFonts w:ascii="Times New Roman" w:eastAsia="Times New Roman" w:hAnsi="Times New Roman" w:cs="Times New Roman"/>
          <w:sz w:val="20"/>
          <w:szCs w:val="20"/>
        </w:rPr>
        <w:t xml:space="preserve">B. </w:t>
      </w:r>
      <w:r w:rsidR="00985A4A" w:rsidRPr="006721EF">
        <w:rPr>
          <w:rFonts w:ascii="Times New Roman" w:eastAsia="Times New Roman" w:hAnsi="Times New Roman" w:cs="Times New Roman"/>
          <w:sz w:val="20"/>
          <w:szCs w:val="20"/>
        </w:rPr>
        <w:t xml:space="preserve">Trianto &amp; </w:t>
      </w:r>
      <w:r w:rsidR="00180E3A">
        <w:rPr>
          <w:rFonts w:ascii="Times New Roman" w:eastAsia="Times New Roman" w:hAnsi="Times New Roman" w:cs="Times New Roman"/>
          <w:sz w:val="20"/>
          <w:szCs w:val="20"/>
        </w:rPr>
        <w:t xml:space="preserve">A.M. </w:t>
      </w:r>
      <w:r w:rsidR="00985A4A" w:rsidRPr="006721EF">
        <w:rPr>
          <w:rFonts w:ascii="Times New Roman" w:eastAsia="Times New Roman" w:hAnsi="Times New Roman" w:cs="Times New Roman"/>
          <w:sz w:val="20"/>
          <w:szCs w:val="20"/>
        </w:rPr>
        <w:t>Zaimsyah. </w:t>
      </w:r>
      <w:r w:rsidR="00985A4A" w:rsidRPr="006721EF">
        <w:rPr>
          <w:rFonts w:ascii="Times New Roman" w:eastAsia="Times New Roman" w:hAnsi="Times New Roman" w:cs="Times New Roman"/>
          <w:i/>
          <w:sz w:val="20"/>
          <w:szCs w:val="20"/>
        </w:rPr>
        <w:t>Journal of Islamic Marketing</w:t>
      </w:r>
      <w:r w:rsidR="00985A4A" w:rsidRPr="006721EF">
        <w:rPr>
          <w:rFonts w:ascii="Times New Roman" w:eastAsia="Times New Roman" w:hAnsi="Times New Roman" w:cs="Times New Roman"/>
          <w:sz w:val="20"/>
          <w:szCs w:val="20"/>
        </w:rPr>
        <w:t>, (2022).</w:t>
      </w:r>
    </w:p>
    <w:p w14:paraId="2A6D7308" w14:textId="77777777" w:rsidR="00A52541" w:rsidRDefault="00A52541" w:rsidP="009179F9">
      <w:pPr>
        <w:pBdr>
          <w:top w:val="nil"/>
          <w:left w:val="nil"/>
          <w:bottom w:val="nil"/>
          <w:right w:val="nil"/>
          <w:between w:val="nil"/>
        </w:pBdr>
        <w:spacing w:after="0" w:line="240" w:lineRule="auto"/>
        <w:ind w:right="-7"/>
        <w:jc w:val="both"/>
        <w:rPr>
          <w:rFonts w:ascii="Times New Roman" w:eastAsia="Times New Roman" w:hAnsi="Times New Roman" w:cs="Times New Roman"/>
          <w:sz w:val="20"/>
          <w:szCs w:val="20"/>
        </w:rPr>
      </w:pPr>
    </w:p>
    <w:p w14:paraId="43E2BD44" w14:textId="77777777" w:rsidR="00985A4A" w:rsidRPr="006721EF" w:rsidRDefault="006721EF" w:rsidP="009179F9">
      <w:pPr>
        <w:pBdr>
          <w:top w:val="nil"/>
          <w:left w:val="nil"/>
          <w:bottom w:val="nil"/>
          <w:right w:val="nil"/>
          <w:between w:val="nil"/>
        </w:pBdr>
        <w:spacing w:after="0" w:line="240" w:lineRule="auto"/>
        <w:ind w:right="-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 </w:t>
      </w:r>
      <w:r w:rsidR="00180E3A">
        <w:rPr>
          <w:rFonts w:ascii="Times New Roman" w:eastAsia="Times New Roman" w:hAnsi="Times New Roman" w:cs="Times New Roman"/>
          <w:sz w:val="20"/>
          <w:szCs w:val="20"/>
        </w:rPr>
        <w:t xml:space="preserve">K. </w:t>
      </w:r>
      <w:r w:rsidR="00985A4A" w:rsidRPr="006721EF">
        <w:rPr>
          <w:rFonts w:ascii="Times New Roman" w:eastAsia="Times New Roman" w:hAnsi="Times New Roman" w:cs="Times New Roman"/>
          <w:sz w:val="20"/>
          <w:szCs w:val="20"/>
        </w:rPr>
        <w:t xml:space="preserve">Sohn &amp; </w:t>
      </w:r>
      <w:r w:rsidR="00180E3A">
        <w:rPr>
          <w:rFonts w:ascii="Times New Roman" w:eastAsia="Times New Roman" w:hAnsi="Times New Roman" w:cs="Times New Roman"/>
          <w:sz w:val="20"/>
          <w:szCs w:val="20"/>
        </w:rPr>
        <w:t xml:space="preserve">O. </w:t>
      </w:r>
      <w:r w:rsidR="00985A4A" w:rsidRPr="006721EF">
        <w:rPr>
          <w:rFonts w:ascii="Times New Roman" w:eastAsia="Times New Roman" w:hAnsi="Times New Roman" w:cs="Times New Roman"/>
          <w:sz w:val="20"/>
          <w:szCs w:val="20"/>
        </w:rPr>
        <w:t xml:space="preserve">Kwon. </w:t>
      </w:r>
      <w:r w:rsidR="00985A4A" w:rsidRPr="00BE011C">
        <w:rPr>
          <w:rFonts w:ascii="Times New Roman" w:eastAsia="Times New Roman" w:hAnsi="Times New Roman" w:cs="Times New Roman"/>
          <w:i/>
          <w:sz w:val="20"/>
          <w:szCs w:val="20"/>
        </w:rPr>
        <w:t>Telematics and Informatics</w:t>
      </w:r>
      <w:r w:rsidR="00985A4A" w:rsidRPr="006721EF">
        <w:rPr>
          <w:rFonts w:ascii="Times New Roman" w:eastAsia="Times New Roman" w:hAnsi="Times New Roman" w:cs="Times New Roman"/>
          <w:sz w:val="20"/>
          <w:szCs w:val="20"/>
        </w:rPr>
        <w:t xml:space="preserve">, </w:t>
      </w:r>
      <w:r w:rsidR="00985A4A" w:rsidRPr="00180E3A">
        <w:rPr>
          <w:rFonts w:ascii="Times New Roman" w:eastAsia="Times New Roman" w:hAnsi="Times New Roman" w:cs="Times New Roman"/>
          <w:b/>
          <w:sz w:val="20"/>
          <w:szCs w:val="20"/>
        </w:rPr>
        <w:t>47</w:t>
      </w:r>
      <w:r w:rsidR="00985A4A" w:rsidRPr="006721EF">
        <w:rPr>
          <w:rFonts w:ascii="Times New Roman" w:eastAsia="Times New Roman" w:hAnsi="Times New Roman" w:cs="Times New Roman"/>
          <w:sz w:val="20"/>
          <w:szCs w:val="20"/>
        </w:rPr>
        <w:t>, 101324. (2020).</w:t>
      </w:r>
    </w:p>
    <w:p w14:paraId="6C83BEDB" w14:textId="77777777" w:rsidR="00A52541" w:rsidRDefault="00A52541" w:rsidP="009179F9">
      <w:pPr>
        <w:pBdr>
          <w:top w:val="nil"/>
          <w:left w:val="nil"/>
          <w:bottom w:val="nil"/>
          <w:right w:val="nil"/>
          <w:between w:val="nil"/>
        </w:pBdr>
        <w:spacing w:after="0" w:line="240" w:lineRule="auto"/>
        <w:ind w:right="-7"/>
        <w:jc w:val="both"/>
        <w:rPr>
          <w:rFonts w:ascii="Times New Roman" w:eastAsia="Times New Roman" w:hAnsi="Times New Roman" w:cs="Times New Roman"/>
          <w:sz w:val="20"/>
          <w:szCs w:val="20"/>
        </w:rPr>
      </w:pPr>
    </w:p>
    <w:p w14:paraId="153DB9A5" w14:textId="77777777" w:rsidR="00985A4A" w:rsidRPr="006721EF" w:rsidRDefault="006721EF" w:rsidP="009179F9">
      <w:pPr>
        <w:pBdr>
          <w:top w:val="nil"/>
          <w:left w:val="nil"/>
          <w:bottom w:val="nil"/>
          <w:right w:val="nil"/>
          <w:between w:val="nil"/>
        </w:pBdr>
        <w:spacing w:after="0" w:line="240" w:lineRule="auto"/>
        <w:ind w:right="-7"/>
        <w:jc w:val="both"/>
        <w:rPr>
          <w:rFonts w:ascii="Times New Roman" w:hAnsi="Times New Roman" w:cs="Times New Roman"/>
          <w:b/>
          <w:sz w:val="20"/>
          <w:szCs w:val="20"/>
        </w:rPr>
      </w:pPr>
      <w:r>
        <w:rPr>
          <w:rFonts w:ascii="Times New Roman" w:eastAsia="Times New Roman" w:hAnsi="Times New Roman" w:cs="Times New Roman"/>
          <w:sz w:val="20"/>
          <w:szCs w:val="20"/>
        </w:rPr>
        <w:t xml:space="preserve">[8] </w:t>
      </w:r>
      <w:r w:rsidR="00180E3A">
        <w:rPr>
          <w:rFonts w:ascii="Times New Roman" w:eastAsia="Times New Roman" w:hAnsi="Times New Roman" w:cs="Times New Roman"/>
          <w:sz w:val="20"/>
          <w:szCs w:val="20"/>
        </w:rPr>
        <w:t xml:space="preserve">Z. </w:t>
      </w:r>
      <w:r w:rsidR="00985A4A" w:rsidRPr="006721EF">
        <w:rPr>
          <w:rFonts w:ascii="Times New Roman" w:eastAsia="Times New Roman" w:hAnsi="Times New Roman" w:cs="Times New Roman"/>
          <w:sz w:val="20"/>
          <w:szCs w:val="20"/>
        </w:rPr>
        <w:t xml:space="preserve">Zaremohzzabieh, </w:t>
      </w:r>
      <w:r w:rsidR="00180E3A">
        <w:rPr>
          <w:rFonts w:ascii="Times New Roman" w:eastAsia="Times New Roman" w:hAnsi="Times New Roman" w:cs="Times New Roman"/>
          <w:sz w:val="20"/>
          <w:szCs w:val="20"/>
        </w:rPr>
        <w:t xml:space="preserve">S. </w:t>
      </w:r>
      <w:r w:rsidR="00985A4A" w:rsidRPr="006721EF">
        <w:rPr>
          <w:rFonts w:ascii="Times New Roman" w:eastAsia="Times New Roman" w:hAnsi="Times New Roman" w:cs="Times New Roman"/>
          <w:sz w:val="20"/>
          <w:szCs w:val="20"/>
        </w:rPr>
        <w:t xml:space="preserve">Roslan., </w:t>
      </w:r>
      <w:r w:rsidR="00180E3A">
        <w:rPr>
          <w:rFonts w:ascii="Times New Roman" w:eastAsia="Times New Roman" w:hAnsi="Times New Roman" w:cs="Times New Roman"/>
          <w:sz w:val="20"/>
          <w:szCs w:val="20"/>
        </w:rPr>
        <w:t xml:space="preserve">Z. </w:t>
      </w:r>
      <w:r w:rsidR="00985A4A" w:rsidRPr="006721EF">
        <w:rPr>
          <w:rFonts w:ascii="Times New Roman" w:eastAsia="Times New Roman" w:hAnsi="Times New Roman" w:cs="Times New Roman"/>
          <w:sz w:val="20"/>
          <w:szCs w:val="20"/>
        </w:rPr>
        <w:t xml:space="preserve">Mohamad, </w:t>
      </w:r>
      <w:r w:rsidR="00180E3A">
        <w:rPr>
          <w:rFonts w:ascii="Times New Roman" w:eastAsia="Times New Roman" w:hAnsi="Times New Roman" w:cs="Times New Roman"/>
          <w:sz w:val="20"/>
          <w:szCs w:val="20"/>
        </w:rPr>
        <w:t xml:space="preserve">I.A. </w:t>
      </w:r>
      <w:r w:rsidR="00985A4A" w:rsidRPr="006721EF">
        <w:rPr>
          <w:rFonts w:ascii="Times New Roman" w:eastAsia="Times New Roman" w:hAnsi="Times New Roman" w:cs="Times New Roman"/>
          <w:sz w:val="20"/>
          <w:szCs w:val="20"/>
        </w:rPr>
        <w:t xml:space="preserve">Ismail, </w:t>
      </w:r>
      <w:r w:rsidR="00180E3A">
        <w:rPr>
          <w:rFonts w:ascii="Times New Roman" w:eastAsia="Times New Roman" w:hAnsi="Times New Roman" w:cs="Times New Roman"/>
          <w:sz w:val="20"/>
          <w:szCs w:val="20"/>
        </w:rPr>
        <w:t xml:space="preserve">H. </w:t>
      </w:r>
      <w:r w:rsidR="00985A4A" w:rsidRPr="006721EF">
        <w:rPr>
          <w:rFonts w:ascii="Times New Roman" w:eastAsia="Times New Roman" w:hAnsi="Times New Roman" w:cs="Times New Roman"/>
          <w:sz w:val="20"/>
          <w:szCs w:val="20"/>
        </w:rPr>
        <w:t xml:space="preserve">Ab Jalil &amp; </w:t>
      </w:r>
      <w:r w:rsidR="00180E3A">
        <w:rPr>
          <w:rFonts w:ascii="Times New Roman" w:eastAsia="Times New Roman" w:hAnsi="Times New Roman" w:cs="Times New Roman"/>
          <w:sz w:val="20"/>
          <w:szCs w:val="20"/>
        </w:rPr>
        <w:t xml:space="preserve">S. </w:t>
      </w:r>
      <w:r w:rsidR="00985A4A" w:rsidRPr="006721EF">
        <w:rPr>
          <w:rFonts w:ascii="Times New Roman" w:eastAsia="Times New Roman" w:hAnsi="Times New Roman" w:cs="Times New Roman"/>
          <w:sz w:val="20"/>
          <w:szCs w:val="20"/>
        </w:rPr>
        <w:t xml:space="preserve">Ahrari. </w:t>
      </w:r>
      <w:r w:rsidR="00985A4A" w:rsidRPr="00180E3A">
        <w:rPr>
          <w:rFonts w:ascii="Times New Roman" w:eastAsia="Times New Roman" w:hAnsi="Times New Roman" w:cs="Times New Roman"/>
          <w:i/>
          <w:sz w:val="20"/>
          <w:szCs w:val="20"/>
        </w:rPr>
        <w:t>Sustainability</w:t>
      </w:r>
      <w:r w:rsidR="00985A4A" w:rsidRPr="006721EF">
        <w:rPr>
          <w:rFonts w:ascii="Times New Roman" w:eastAsia="Times New Roman" w:hAnsi="Times New Roman" w:cs="Times New Roman"/>
          <w:sz w:val="20"/>
          <w:szCs w:val="20"/>
        </w:rPr>
        <w:t xml:space="preserve">, </w:t>
      </w:r>
      <w:r w:rsidR="00985A4A" w:rsidRPr="006721EF">
        <w:rPr>
          <w:rFonts w:ascii="Times New Roman" w:eastAsia="Times New Roman" w:hAnsi="Times New Roman" w:cs="Times New Roman"/>
          <w:b/>
          <w:sz w:val="20"/>
          <w:szCs w:val="20"/>
        </w:rPr>
        <w:t>14</w:t>
      </w:r>
      <w:r w:rsidR="00985A4A" w:rsidRPr="006721EF">
        <w:rPr>
          <w:rFonts w:ascii="Times New Roman" w:eastAsia="Times New Roman" w:hAnsi="Times New Roman" w:cs="Times New Roman"/>
          <w:sz w:val="20"/>
          <w:szCs w:val="20"/>
        </w:rPr>
        <w:t>(14), 8268. (2022)</w:t>
      </w:r>
      <w:r w:rsidR="00BE011C">
        <w:rPr>
          <w:rFonts w:ascii="Times New Roman" w:eastAsia="Times New Roman" w:hAnsi="Times New Roman" w:cs="Times New Roman"/>
          <w:sz w:val="20"/>
          <w:szCs w:val="20"/>
        </w:rPr>
        <w:t>.</w:t>
      </w:r>
    </w:p>
    <w:p w14:paraId="7C079993" w14:textId="77777777" w:rsidR="00A52541" w:rsidRDefault="00A52541" w:rsidP="009179F9">
      <w:pPr>
        <w:spacing w:after="0" w:line="240" w:lineRule="auto"/>
        <w:ind w:right="-7"/>
        <w:jc w:val="both"/>
        <w:rPr>
          <w:rFonts w:ascii="Times New Roman" w:eastAsia="Times New Roman" w:hAnsi="Times New Roman" w:cs="Times New Roman"/>
          <w:sz w:val="20"/>
          <w:szCs w:val="20"/>
        </w:rPr>
      </w:pPr>
    </w:p>
    <w:p w14:paraId="4A9B83CE" w14:textId="77777777" w:rsidR="00985A4A" w:rsidRPr="006721EF" w:rsidRDefault="006721EF" w:rsidP="009179F9">
      <w:pPr>
        <w:spacing w:after="0" w:line="240" w:lineRule="auto"/>
        <w:ind w:right="-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[9] </w:t>
      </w:r>
      <w:r w:rsidR="007953DE">
        <w:rPr>
          <w:rFonts w:ascii="Times New Roman" w:eastAsia="Times New Roman" w:hAnsi="Times New Roman" w:cs="Times New Roman"/>
          <w:sz w:val="20"/>
          <w:szCs w:val="20"/>
        </w:rPr>
        <w:t xml:space="preserve">C. </w:t>
      </w:r>
      <w:r w:rsidR="00985A4A" w:rsidRPr="006721EF">
        <w:rPr>
          <w:rFonts w:ascii="Times New Roman" w:eastAsia="Times New Roman" w:hAnsi="Times New Roman" w:cs="Times New Roman"/>
          <w:sz w:val="20"/>
          <w:szCs w:val="20"/>
        </w:rPr>
        <w:t xml:space="preserve">Masiak, </w:t>
      </w:r>
      <w:r w:rsidR="007953DE">
        <w:rPr>
          <w:rFonts w:ascii="Times New Roman" w:eastAsia="Times New Roman" w:hAnsi="Times New Roman" w:cs="Times New Roman"/>
          <w:sz w:val="20"/>
          <w:szCs w:val="20"/>
        </w:rPr>
        <w:t xml:space="preserve">A. </w:t>
      </w:r>
      <w:r w:rsidR="00985A4A" w:rsidRPr="006721EF">
        <w:rPr>
          <w:rFonts w:ascii="Times New Roman" w:eastAsia="Times New Roman" w:hAnsi="Times New Roman" w:cs="Times New Roman"/>
          <w:sz w:val="20"/>
          <w:szCs w:val="20"/>
        </w:rPr>
        <w:t xml:space="preserve">Moritz &amp; </w:t>
      </w:r>
      <w:r w:rsidR="007953DE">
        <w:rPr>
          <w:rFonts w:ascii="Times New Roman" w:eastAsia="Times New Roman" w:hAnsi="Times New Roman" w:cs="Times New Roman"/>
          <w:sz w:val="20"/>
          <w:szCs w:val="20"/>
        </w:rPr>
        <w:t xml:space="preserve">F. </w:t>
      </w:r>
      <w:r w:rsidR="00985A4A" w:rsidRPr="006721EF">
        <w:rPr>
          <w:rFonts w:ascii="Times New Roman" w:eastAsia="Times New Roman" w:hAnsi="Times New Roman" w:cs="Times New Roman"/>
          <w:sz w:val="20"/>
          <w:szCs w:val="20"/>
        </w:rPr>
        <w:t>Lang. In </w:t>
      </w:r>
      <w:r w:rsidR="00985A4A" w:rsidRPr="006721EF">
        <w:rPr>
          <w:rFonts w:ascii="Times New Roman" w:eastAsia="Times New Roman" w:hAnsi="Times New Roman" w:cs="Times New Roman"/>
          <w:i/>
          <w:sz w:val="20"/>
          <w:szCs w:val="20"/>
        </w:rPr>
        <w:t>Contemporary Developments in Entrepreneurial Finance</w:t>
      </w:r>
      <w:r w:rsidR="00985A4A" w:rsidRPr="006721EF">
        <w:rPr>
          <w:rFonts w:ascii="Times New Roman" w:eastAsia="Times New Roman" w:hAnsi="Times New Roman" w:cs="Times New Roman"/>
          <w:sz w:val="20"/>
          <w:szCs w:val="20"/>
        </w:rPr>
        <w:t> (pp. 3-30). Springer, Cham. (2020).</w:t>
      </w:r>
    </w:p>
    <w:p w14:paraId="4B1C42C9" w14:textId="77777777" w:rsidR="00A52541" w:rsidRDefault="00A52541" w:rsidP="009179F9">
      <w:pPr>
        <w:pBdr>
          <w:top w:val="nil"/>
          <w:left w:val="nil"/>
          <w:bottom w:val="nil"/>
          <w:right w:val="nil"/>
          <w:between w:val="nil"/>
        </w:pBdr>
        <w:spacing w:after="0" w:line="240" w:lineRule="auto"/>
        <w:ind w:right="-7"/>
        <w:jc w:val="both"/>
        <w:rPr>
          <w:rFonts w:ascii="Times New Roman" w:eastAsia="Times New Roman" w:hAnsi="Times New Roman" w:cs="Times New Roman"/>
          <w:sz w:val="20"/>
          <w:szCs w:val="20"/>
        </w:rPr>
      </w:pPr>
    </w:p>
    <w:p w14:paraId="163B07C4" w14:textId="77777777" w:rsidR="00985A4A" w:rsidRPr="006721EF" w:rsidRDefault="006721EF" w:rsidP="009179F9">
      <w:pPr>
        <w:pBdr>
          <w:top w:val="nil"/>
          <w:left w:val="nil"/>
          <w:bottom w:val="nil"/>
          <w:right w:val="nil"/>
          <w:between w:val="nil"/>
        </w:pBdr>
        <w:spacing w:after="0" w:line="240" w:lineRule="auto"/>
        <w:ind w:right="-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[10] </w:t>
      </w:r>
      <w:r w:rsidR="007953DE">
        <w:rPr>
          <w:rFonts w:ascii="Times New Roman" w:eastAsia="Times New Roman" w:hAnsi="Times New Roman" w:cs="Times New Roman"/>
          <w:sz w:val="20"/>
          <w:szCs w:val="20"/>
        </w:rPr>
        <w:t xml:space="preserve">S.Y. </w:t>
      </w:r>
      <w:r w:rsidR="00985A4A" w:rsidRPr="006721EF">
        <w:rPr>
          <w:rFonts w:ascii="Times New Roman" w:eastAsia="Times New Roman" w:hAnsi="Times New Roman" w:cs="Times New Roman"/>
          <w:sz w:val="20"/>
          <w:szCs w:val="20"/>
        </w:rPr>
        <w:t xml:space="preserve">Yeoh &amp; </w:t>
      </w:r>
      <w:r w:rsidR="007953DE">
        <w:rPr>
          <w:rFonts w:ascii="Times New Roman" w:eastAsia="Times New Roman" w:hAnsi="Times New Roman" w:cs="Times New Roman"/>
          <w:sz w:val="20"/>
          <w:szCs w:val="20"/>
        </w:rPr>
        <w:t xml:space="preserve">P.N. </w:t>
      </w:r>
      <w:r w:rsidR="00985A4A" w:rsidRPr="006721EF">
        <w:rPr>
          <w:rFonts w:ascii="Times New Roman" w:eastAsia="Times New Roman" w:hAnsi="Times New Roman" w:cs="Times New Roman"/>
          <w:sz w:val="20"/>
          <w:szCs w:val="20"/>
        </w:rPr>
        <w:t xml:space="preserve">Chin. </w:t>
      </w:r>
      <w:r w:rsidR="00985A4A" w:rsidRPr="007953DE">
        <w:rPr>
          <w:rFonts w:ascii="Times New Roman" w:eastAsia="Times New Roman" w:hAnsi="Times New Roman" w:cs="Times New Roman"/>
          <w:i/>
          <w:sz w:val="20"/>
          <w:szCs w:val="20"/>
        </w:rPr>
        <w:t>International Journal of Pharmaceutical and Healthcare Marketing</w:t>
      </w:r>
      <w:r w:rsidR="00985A4A" w:rsidRPr="006721EF">
        <w:rPr>
          <w:rFonts w:ascii="Times New Roman" w:eastAsia="Times New Roman" w:hAnsi="Times New Roman" w:cs="Times New Roman"/>
          <w:sz w:val="20"/>
          <w:szCs w:val="20"/>
        </w:rPr>
        <w:t>, (2020).</w:t>
      </w:r>
    </w:p>
    <w:p w14:paraId="71A5AF82" w14:textId="77777777" w:rsidR="00A52541" w:rsidRDefault="00A52541" w:rsidP="009179F9">
      <w:pPr>
        <w:pBdr>
          <w:top w:val="nil"/>
          <w:left w:val="nil"/>
          <w:bottom w:val="nil"/>
          <w:right w:val="nil"/>
          <w:between w:val="nil"/>
        </w:pBdr>
        <w:spacing w:after="0" w:line="240" w:lineRule="auto"/>
        <w:ind w:right="-7"/>
        <w:jc w:val="both"/>
        <w:rPr>
          <w:rFonts w:ascii="Times New Roman" w:eastAsia="Times New Roman" w:hAnsi="Times New Roman" w:cs="Times New Roman"/>
          <w:sz w:val="20"/>
          <w:szCs w:val="20"/>
        </w:rPr>
      </w:pPr>
    </w:p>
    <w:p w14:paraId="7C4B0F1A" w14:textId="77777777" w:rsidR="00985A4A" w:rsidRPr="006721EF" w:rsidRDefault="006721EF" w:rsidP="009179F9">
      <w:pPr>
        <w:pBdr>
          <w:top w:val="nil"/>
          <w:left w:val="nil"/>
          <w:bottom w:val="nil"/>
          <w:right w:val="nil"/>
          <w:between w:val="nil"/>
        </w:pBdr>
        <w:spacing w:after="0" w:line="240" w:lineRule="auto"/>
        <w:ind w:right="-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[11] </w:t>
      </w:r>
      <w:r w:rsidR="007953DE">
        <w:rPr>
          <w:rFonts w:ascii="Times New Roman" w:eastAsia="Times New Roman" w:hAnsi="Times New Roman" w:cs="Times New Roman"/>
          <w:sz w:val="20"/>
          <w:szCs w:val="20"/>
        </w:rPr>
        <w:t xml:space="preserve">H.A. </w:t>
      </w:r>
      <w:r w:rsidR="00985A4A" w:rsidRPr="006721EF">
        <w:rPr>
          <w:rFonts w:ascii="Times New Roman" w:eastAsia="Times New Roman" w:hAnsi="Times New Roman" w:cs="Times New Roman"/>
          <w:sz w:val="20"/>
          <w:szCs w:val="20"/>
        </w:rPr>
        <w:t>Taherdoost</w:t>
      </w:r>
      <w:r w:rsidR="007953DE">
        <w:rPr>
          <w:rFonts w:ascii="Times New Roman" w:eastAsia="Times New Roman" w:hAnsi="Times New Roman" w:cs="Times New Roman"/>
          <w:sz w:val="20"/>
          <w:szCs w:val="20"/>
        </w:rPr>
        <w:t>.</w:t>
      </w:r>
      <w:r w:rsidR="00985A4A" w:rsidRPr="006721EF">
        <w:rPr>
          <w:rFonts w:ascii="Times New Roman" w:eastAsia="Times New Roman" w:hAnsi="Times New Roman" w:cs="Times New Roman"/>
          <w:sz w:val="20"/>
          <w:szCs w:val="20"/>
        </w:rPr>
        <w:t> </w:t>
      </w:r>
      <w:r w:rsidR="00985A4A" w:rsidRPr="006721EF">
        <w:rPr>
          <w:rFonts w:ascii="Times New Roman" w:eastAsia="Times New Roman" w:hAnsi="Times New Roman" w:cs="Times New Roman"/>
          <w:i/>
          <w:sz w:val="20"/>
          <w:szCs w:val="20"/>
        </w:rPr>
        <w:t>Procedia manufacturing</w:t>
      </w:r>
      <w:r w:rsidR="00985A4A" w:rsidRPr="006721EF">
        <w:rPr>
          <w:rFonts w:ascii="Times New Roman" w:eastAsia="Times New Roman" w:hAnsi="Times New Roman" w:cs="Times New Roman"/>
          <w:sz w:val="20"/>
          <w:szCs w:val="20"/>
        </w:rPr>
        <w:t>, </w:t>
      </w:r>
      <w:r w:rsidR="00985A4A" w:rsidRPr="006721EF">
        <w:rPr>
          <w:rFonts w:ascii="Times New Roman" w:eastAsia="Times New Roman" w:hAnsi="Times New Roman" w:cs="Times New Roman"/>
          <w:i/>
          <w:sz w:val="20"/>
          <w:szCs w:val="20"/>
        </w:rPr>
        <w:t>22</w:t>
      </w:r>
      <w:r w:rsidR="00985A4A" w:rsidRPr="006721EF">
        <w:rPr>
          <w:rFonts w:ascii="Times New Roman" w:eastAsia="Times New Roman" w:hAnsi="Times New Roman" w:cs="Times New Roman"/>
          <w:sz w:val="20"/>
          <w:szCs w:val="20"/>
        </w:rPr>
        <w:t>, 960-967. (2018).</w:t>
      </w:r>
    </w:p>
    <w:p w14:paraId="668F4278" w14:textId="77777777" w:rsidR="00A52541" w:rsidRDefault="00A52541" w:rsidP="009179F9">
      <w:pPr>
        <w:pBdr>
          <w:top w:val="nil"/>
          <w:left w:val="nil"/>
          <w:bottom w:val="nil"/>
          <w:right w:val="nil"/>
          <w:between w:val="nil"/>
        </w:pBdr>
        <w:spacing w:after="0" w:line="240" w:lineRule="auto"/>
        <w:ind w:right="-7"/>
        <w:jc w:val="both"/>
        <w:rPr>
          <w:rFonts w:ascii="Times New Roman" w:eastAsia="Times New Roman" w:hAnsi="Times New Roman" w:cs="Times New Roman"/>
          <w:sz w:val="20"/>
          <w:szCs w:val="20"/>
        </w:rPr>
      </w:pPr>
    </w:p>
    <w:p w14:paraId="20F5D056" w14:textId="77777777" w:rsidR="00985A4A" w:rsidRPr="006721EF" w:rsidRDefault="006721EF" w:rsidP="009179F9">
      <w:pPr>
        <w:pBdr>
          <w:top w:val="nil"/>
          <w:left w:val="nil"/>
          <w:bottom w:val="nil"/>
          <w:right w:val="nil"/>
          <w:between w:val="nil"/>
        </w:pBdr>
        <w:spacing w:after="0" w:line="240" w:lineRule="auto"/>
        <w:ind w:right="-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[12] </w:t>
      </w:r>
      <w:r w:rsidR="007953DE">
        <w:rPr>
          <w:rFonts w:ascii="Times New Roman" w:eastAsia="Times New Roman" w:hAnsi="Times New Roman" w:cs="Times New Roman"/>
          <w:sz w:val="20"/>
          <w:szCs w:val="20"/>
        </w:rPr>
        <w:t xml:space="preserve">S. </w:t>
      </w:r>
      <w:r w:rsidR="00985A4A" w:rsidRPr="006721EF">
        <w:rPr>
          <w:rFonts w:ascii="Times New Roman" w:eastAsia="Times New Roman" w:hAnsi="Times New Roman" w:cs="Times New Roman"/>
          <w:sz w:val="20"/>
          <w:szCs w:val="20"/>
        </w:rPr>
        <w:t xml:space="preserve">Sulaeman. </w:t>
      </w:r>
      <w:r w:rsidR="00985A4A" w:rsidRPr="007953DE">
        <w:rPr>
          <w:rFonts w:ascii="Times New Roman" w:eastAsia="Times New Roman" w:hAnsi="Times New Roman" w:cs="Times New Roman"/>
          <w:i/>
          <w:sz w:val="20"/>
          <w:szCs w:val="20"/>
        </w:rPr>
        <w:t>Asian Journal of Islamic Management (AJIM)</w:t>
      </w:r>
      <w:r w:rsidR="00985A4A" w:rsidRPr="006721EF">
        <w:rPr>
          <w:rFonts w:ascii="Times New Roman" w:eastAsia="Times New Roman" w:hAnsi="Times New Roman" w:cs="Times New Roman"/>
          <w:sz w:val="20"/>
          <w:szCs w:val="20"/>
        </w:rPr>
        <w:t>, 107-122. (2020).</w:t>
      </w:r>
    </w:p>
    <w:p w14:paraId="11462573" w14:textId="77777777" w:rsidR="00A52541" w:rsidRDefault="00A52541" w:rsidP="009179F9">
      <w:pPr>
        <w:pBdr>
          <w:top w:val="nil"/>
          <w:left w:val="nil"/>
          <w:bottom w:val="nil"/>
          <w:right w:val="nil"/>
          <w:between w:val="nil"/>
        </w:pBdr>
        <w:spacing w:after="0" w:line="240" w:lineRule="auto"/>
        <w:ind w:right="-7"/>
        <w:jc w:val="both"/>
        <w:rPr>
          <w:rFonts w:ascii="Times New Roman" w:eastAsia="Times New Roman" w:hAnsi="Times New Roman" w:cs="Times New Roman"/>
          <w:sz w:val="20"/>
          <w:szCs w:val="20"/>
        </w:rPr>
      </w:pPr>
    </w:p>
    <w:p w14:paraId="4B1754B7" w14:textId="77777777" w:rsidR="0094410F" w:rsidRPr="006721EF" w:rsidRDefault="006721EF" w:rsidP="009179F9">
      <w:pPr>
        <w:pBdr>
          <w:top w:val="nil"/>
          <w:left w:val="nil"/>
          <w:bottom w:val="nil"/>
          <w:right w:val="nil"/>
          <w:between w:val="nil"/>
        </w:pBdr>
        <w:spacing w:after="0" w:line="240" w:lineRule="auto"/>
        <w:ind w:right="-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[13] </w:t>
      </w:r>
      <w:r w:rsidR="007953DE">
        <w:rPr>
          <w:rFonts w:ascii="Times New Roman" w:eastAsia="Times New Roman" w:hAnsi="Times New Roman" w:cs="Times New Roman"/>
          <w:sz w:val="20"/>
          <w:szCs w:val="20"/>
        </w:rPr>
        <w:t xml:space="preserve">M. </w:t>
      </w:r>
      <w:r w:rsidR="0094410F" w:rsidRPr="006721EF">
        <w:rPr>
          <w:rFonts w:ascii="Times New Roman" w:eastAsia="Times New Roman" w:hAnsi="Times New Roman" w:cs="Times New Roman"/>
          <w:sz w:val="20"/>
          <w:szCs w:val="20"/>
        </w:rPr>
        <w:t xml:space="preserve">Salim, </w:t>
      </w:r>
      <w:r w:rsidR="007953DE">
        <w:rPr>
          <w:rFonts w:ascii="Times New Roman" w:eastAsia="Times New Roman" w:hAnsi="Times New Roman" w:cs="Times New Roman"/>
          <w:sz w:val="20"/>
          <w:szCs w:val="20"/>
        </w:rPr>
        <w:t>S. K</w:t>
      </w:r>
      <w:r w:rsidR="0094410F" w:rsidRPr="006721EF">
        <w:rPr>
          <w:rFonts w:ascii="Times New Roman" w:eastAsia="Times New Roman" w:hAnsi="Times New Roman" w:cs="Times New Roman"/>
          <w:sz w:val="20"/>
          <w:szCs w:val="20"/>
        </w:rPr>
        <w:t xml:space="preserve">assim &amp; </w:t>
      </w:r>
      <w:r w:rsidR="007953DE">
        <w:rPr>
          <w:rFonts w:ascii="Times New Roman" w:eastAsia="Times New Roman" w:hAnsi="Times New Roman" w:cs="Times New Roman"/>
          <w:sz w:val="20"/>
          <w:szCs w:val="20"/>
        </w:rPr>
        <w:t xml:space="preserve">M.A.M.T. </w:t>
      </w:r>
      <w:r w:rsidR="0094410F" w:rsidRPr="006721EF">
        <w:rPr>
          <w:rFonts w:ascii="Times New Roman" w:eastAsia="Times New Roman" w:hAnsi="Times New Roman" w:cs="Times New Roman"/>
          <w:sz w:val="20"/>
          <w:szCs w:val="20"/>
        </w:rPr>
        <w:t>Thaker. </w:t>
      </w:r>
      <w:r w:rsidR="0094410F" w:rsidRPr="006721EF">
        <w:rPr>
          <w:rFonts w:ascii="Times New Roman" w:eastAsia="Times New Roman" w:hAnsi="Times New Roman" w:cs="Times New Roman"/>
          <w:i/>
          <w:sz w:val="20"/>
          <w:szCs w:val="20"/>
        </w:rPr>
        <w:t>Pakistan Journal of Commerce and Social Sciences (PJCSS)</w:t>
      </w:r>
      <w:r w:rsidR="0094410F" w:rsidRPr="006721EF">
        <w:rPr>
          <w:rFonts w:ascii="Times New Roman" w:eastAsia="Times New Roman" w:hAnsi="Times New Roman" w:cs="Times New Roman"/>
          <w:sz w:val="20"/>
          <w:szCs w:val="20"/>
        </w:rPr>
        <w:t>, </w:t>
      </w:r>
      <w:r w:rsidR="0094410F" w:rsidRPr="006721EF">
        <w:rPr>
          <w:rFonts w:ascii="Times New Roman" w:eastAsia="Times New Roman" w:hAnsi="Times New Roman" w:cs="Times New Roman"/>
          <w:b/>
          <w:sz w:val="20"/>
          <w:szCs w:val="20"/>
        </w:rPr>
        <w:t>15</w:t>
      </w:r>
      <w:r w:rsidR="0094410F" w:rsidRPr="006721EF">
        <w:rPr>
          <w:rFonts w:ascii="Times New Roman" w:eastAsia="Times New Roman" w:hAnsi="Times New Roman" w:cs="Times New Roman"/>
          <w:sz w:val="20"/>
          <w:szCs w:val="20"/>
        </w:rPr>
        <w:t>(3), 443-475. (2021).</w:t>
      </w:r>
    </w:p>
    <w:p w14:paraId="5919C333" w14:textId="77777777" w:rsidR="00A52541" w:rsidRDefault="00A52541" w:rsidP="009179F9">
      <w:pPr>
        <w:pBdr>
          <w:top w:val="nil"/>
          <w:left w:val="nil"/>
          <w:bottom w:val="nil"/>
          <w:right w:val="nil"/>
          <w:between w:val="nil"/>
        </w:pBdr>
        <w:spacing w:after="0" w:line="240" w:lineRule="auto"/>
        <w:ind w:right="-7"/>
        <w:jc w:val="both"/>
        <w:rPr>
          <w:rFonts w:ascii="Times New Roman" w:eastAsia="Times New Roman" w:hAnsi="Times New Roman" w:cs="Times New Roman"/>
          <w:sz w:val="20"/>
          <w:szCs w:val="20"/>
        </w:rPr>
      </w:pPr>
    </w:p>
    <w:p w14:paraId="4C6269BF" w14:textId="77777777" w:rsidR="0094410F" w:rsidRPr="006721EF" w:rsidRDefault="006721EF" w:rsidP="009179F9">
      <w:pPr>
        <w:pBdr>
          <w:top w:val="nil"/>
          <w:left w:val="nil"/>
          <w:bottom w:val="nil"/>
          <w:right w:val="nil"/>
          <w:between w:val="nil"/>
        </w:pBdr>
        <w:spacing w:after="0" w:line="240" w:lineRule="auto"/>
        <w:ind w:right="-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[14] </w:t>
      </w:r>
      <w:r w:rsidR="007953DE">
        <w:rPr>
          <w:rFonts w:ascii="Times New Roman" w:eastAsia="Times New Roman" w:hAnsi="Times New Roman" w:cs="Times New Roman"/>
          <w:sz w:val="20"/>
          <w:szCs w:val="20"/>
        </w:rPr>
        <w:t xml:space="preserve">V. </w:t>
      </w:r>
      <w:r w:rsidR="0094410F" w:rsidRPr="006721EF">
        <w:rPr>
          <w:rFonts w:ascii="Times New Roman" w:eastAsia="Times New Roman" w:hAnsi="Times New Roman" w:cs="Times New Roman"/>
          <w:sz w:val="20"/>
          <w:szCs w:val="20"/>
        </w:rPr>
        <w:t>Venkatesh</w:t>
      </w:r>
      <w:r w:rsidR="007953DE">
        <w:rPr>
          <w:rFonts w:ascii="Times New Roman" w:eastAsia="Times New Roman" w:hAnsi="Times New Roman" w:cs="Times New Roman"/>
          <w:sz w:val="20"/>
          <w:szCs w:val="20"/>
        </w:rPr>
        <w:t xml:space="preserve">, J.Y. </w:t>
      </w:r>
      <w:r w:rsidR="0094410F" w:rsidRPr="006721EF">
        <w:rPr>
          <w:rFonts w:ascii="Times New Roman" w:eastAsia="Times New Roman" w:hAnsi="Times New Roman" w:cs="Times New Roman"/>
          <w:sz w:val="20"/>
          <w:szCs w:val="20"/>
        </w:rPr>
        <w:t xml:space="preserve">Thong &amp; </w:t>
      </w:r>
      <w:r w:rsidR="007953DE">
        <w:rPr>
          <w:rFonts w:ascii="Times New Roman" w:eastAsia="Times New Roman" w:hAnsi="Times New Roman" w:cs="Times New Roman"/>
          <w:sz w:val="20"/>
          <w:szCs w:val="20"/>
        </w:rPr>
        <w:t xml:space="preserve">X. </w:t>
      </w:r>
      <w:r w:rsidR="0094410F" w:rsidRPr="006721EF">
        <w:rPr>
          <w:rFonts w:ascii="Times New Roman" w:eastAsia="Times New Roman" w:hAnsi="Times New Roman" w:cs="Times New Roman"/>
          <w:sz w:val="20"/>
          <w:szCs w:val="20"/>
        </w:rPr>
        <w:t>Xu. </w:t>
      </w:r>
      <w:r w:rsidR="0094410F" w:rsidRPr="006721EF">
        <w:rPr>
          <w:rFonts w:ascii="Times New Roman" w:eastAsia="Times New Roman" w:hAnsi="Times New Roman" w:cs="Times New Roman"/>
          <w:i/>
          <w:sz w:val="20"/>
          <w:szCs w:val="20"/>
        </w:rPr>
        <w:t>Journal of the association for Information Systems</w:t>
      </w:r>
      <w:r w:rsidR="0094410F" w:rsidRPr="006721EF">
        <w:rPr>
          <w:rFonts w:ascii="Times New Roman" w:eastAsia="Times New Roman" w:hAnsi="Times New Roman" w:cs="Times New Roman"/>
          <w:sz w:val="20"/>
          <w:szCs w:val="20"/>
        </w:rPr>
        <w:t>, </w:t>
      </w:r>
      <w:r w:rsidR="0094410F" w:rsidRPr="006721EF">
        <w:rPr>
          <w:rFonts w:ascii="Times New Roman" w:eastAsia="Times New Roman" w:hAnsi="Times New Roman" w:cs="Times New Roman"/>
          <w:b/>
          <w:sz w:val="20"/>
          <w:szCs w:val="20"/>
        </w:rPr>
        <w:t>17</w:t>
      </w:r>
      <w:r w:rsidR="0094410F" w:rsidRPr="006721EF">
        <w:rPr>
          <w:rFonts w:ascii="Times New Roman" w:eastAsia="Times New Roman" w:hAnsi="Times New Roman" w:cs="Times New Roman"/>
          <w:sz w:val="20"/>
          <w:szCs w:val="20"/>
        </w:rPr>
        <w:t>(5), 328-376. (2016).</w:t>
      </w:r>
    </w:p>
    <w:p w14:paraId="767FA5A4" w14:textId="77777777" w:rsidR="00A52541" w:rsidRDefault="00A52541" w:rsidP="009179F9">
      <w:pPr>
        <w:pBdr>
          <w:top w:val="nil"/>
          <w:left w:val="nil"/>
          <w:bottom w:val="nil"/>
          <w:right w:val="nil"/>
          <w:between w:val="nil"/>
        </w:pBdr>
        <w:spacing w:after="0" w:line="240" w:lineRule="auto"/>
        <w:ind w:right="-7"/>
        <w:jc w:val="both"/>
        <w:rPr>
          <w:rFonts w:ascii="Times New Roman" w:eastAsia="Times New Roman" w:hAnsi="Times New Roman" w:cs="Times New Roman"/>
          <w:sz w:val="20"/>
          <w:szCs w:val="20"/>
        </w:rPr>
      </w:pPr>
    </w:p>
    <w:p w14:paraId="1A027BF1" w14:textId="77777777" w:rsidR="0094410F" w:rsidRPr="006721EF" w:rsidRDefault="006721EF" w:rsidP="009179F9">
      <w:pPr>
        <w:pBdr>
          <w:top w:val="nil"/>
          <w:left w:val="nil"/>
          <w:bottom w:val="nil"/>
          <w:right w:val="nil"/>
          <w:between w:val="nil"/>
        </w:pBdr>
        <w:spacing w:after="0" w:line="240" w:lineRule="auto"/>
        <w:ind w:right="-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[15] </w:t>
      </w:r>
      <w:r w:rsidR="007953DE">
        <w:rPr>
          <w:rFonts w:ascii="Times New Roman" w:eastAsia="Times New Roman" w:hAnsi="Times New Roman" w:cs="Times New Roman"/>
          <w:sz w:val="20"/>
          <w:szCs w:val="20"/>
        </w:rPr>
        <w:t xml:space="preserve">M.I. </w:t>
      </w:r>
      <w:r w:rsidR="0094410F" w:rsidRPr="006721EF">
        <w:rPr>
          <w:rFonts w:ascii="Times New Roman" w:eastAsia="Times New Roman" w:hAnsi="Times New Roman" w:cs="Times New Roman"/>
          <w:sz w:val="20"/>
          <w:szCs w:val="20"/>
        </w:rPr>
        <w:t xml:space="preserve">Hapsari, </w:t>
      </w:r>
      <w:r w:rsidR="007953DE">
        <w:rPr>
          <w:rFonts w:ascii="Times New Roman" w:eastAsia="Times New Roman" w:hAnsi="Times New Roman" w:cs="Times New Roman"/>
          <w:sz w:val="20"/>
          <w:szCs w:val="20"/>
        </w:rPr>
        <w:t xml:space="preserve">M.A.B.M.T. </w:t>
      </w:r>
      <w:r w:rsidR="0094410F" w:rsidRPr="006721EF">
        <w:rPr>
          <w:rFonts w:ascii="Times New Roman" w:eastAsia="Times New Roman" w:hAnsi="Times New Roman" w:cs="Times New Roman"/>
          <w:sz w:val="20"/>
          <w:szCs w:val="20"/>
        </w:rPr>
        <w:t xml:space="preserve">Thaker, </w:t>
      </w:r>
      <w:r w:rsidR="007953DE">
        <w:rPr>
          <w:rFonts w:ascii="Times New Roman" w:eastAsia="Times New Roman" w:hAnsi="Times New Roman" w:cs="Times New Roman"/>
          <w:sz w:val="20"/>
          <w:szCs w:val="20"/>
        </w:rPr>
        <w:t xml:space="preserve">M.O. </w:t>
      </w:r>
      <w:r w:rsidR="0094410F" w:rsidRPr="006721EF">
        <w:rPr>
          <w:rFonts w:ascii="Times New Roman" w:eastAsia="Times New Roman" w:hAnsi="Times New Roman" w:cs="Times New Roman"/>
          <w:sz w:val="20"/>
          <w:szCs w:val="20"/>
        </w:rPr>
        <w:t xml:space="preserve">Mohammed &amp; </w:t>
      </w:r>
      <w:r w:rsidR="007953DE">
        <w:rPr>
          <w:rFonts w:ascii="Times New Roman" w:eastAsia="Times New Roman" w:hAnsi="Times New Roman" w:cs="Times New Roman"/>
          <w:sz w:val="20"/>
          <w:szCs w:val="20"/>
        </w:rPr>
        <w:t xml:space="preserve">J. </w:t>
      </w:r>
      <w:r w:rsidR="0094410F" w:rsidRPr="006721EF">
        <w:rPr>
          <w:rFonts w:ascii="Times New Roman" w:eastAsia="Times New Roman" w:hAnsi="Times New Roman" w:cs="Times New Roman"/>
          <w:sz w:val="20"/>
          <w:szCs w:val="20"/>
        </w:rPr>
        <w:t>Duasa. </w:t>
      </w:r>
      <w:r w:rsidR="0094410F" w:rsidRPr="006721EF">
        <w:rPr>
          <w:rFonts w:ascii="Times New Roman" w:eastAsia="Times New Roman" w:hAnsi="Times New Roman" w:cs="Times New Roman"/>
          <w:i/>
          <w:sz w:val="20"/>
          <w:szCs w:val="20"/>
        </w:rPr>
        <w:t>International Journal of Ethics and Systems</w:t>
      </w:r>
      <w:r w:rsidR="0094410F" w:rsidRPr="006721EF">
        <w:rPr>
          <w:rFonts w:ascii="Times New Roman" w:eastAsia="Times New Roman" w:hAnsi="Times New Roman" w:cs="Times New Roman"/>
          <w:sz w:val="20"/>
          <w:szCs w:val="20"/>
        </w:rPr>
        <w:t>. (2022).</w:t>
      </w:r>
    </w:p>
    <w:p w14:paraId="6C598DA9" w14:textId="77777777" w:rsidR="00A52541" w:rsidRDefault="00A52541" w:rsidP="009179F9">
      <w:pPr>
        <w:pBdr>
          <w:top w:val="nil"/>
          <w:left w:val="nil"/>
          <w:bottom w:val="nil"/>
          <w:right w:val="nil"/>
          <w:between w:val="nil"/>
        </w:pBdr>
        <w:spacing w:after="0" w:line="240" w:lineRule="auto"/>
        <w:ind w:right="-7"/>
        <w:jc w:val="both"/>
        <w:rPr>
          <w:rFonts w:ascii="Times New Roman" w:eastAsia="Times New Roman" w:hAnsi="Times New Roman" w:cs="Times New Roman"/>
          <w:sz w:val="20"/>
          <w:szCs w:val="20"/>
        </w:rPr>
      </w:pPr>
    </w:p>
    <w:p w14:paraId="429C86AD" w14:textId="77777777" w:rsidR="0094410F" w:rsidRPr="006721EF" w:rsidRDefault="006721EF" w:rsidP="009179F9">
      <w:pPr>
        <w:pBdr>
          <w:top w:val="nil"/>
          <w:left w:val="nil"/>
          <w:bottom w:val="nil"/>
          <w:right w:val="nil"/>
          <w:between w:val="nil"/>
        </w:pBdr>
        <w:spacing w:after="0" w:line="240" w:lineRule="auto"/>
        <w:ind w:right="-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[16] </w:t>
      </w:r>
      <w:r w:rsidR="007953DE">
        <w:rPr>
          <w:rFonts w:ascii="Times New Roman" w:eastAsia="Times New Roman" w:hAnsi="Times New Roman" w:cs="Times New Roman"/>
          <w:sz w:val="20"/>
          <w:szCs w:val="20"/>
        </w:rPr>
        <w:t xml:space="preserve">M.M. </w:t>
      </w:r>
      <w:r w:rsidR="0094410F" w:rsidRPr="006721EF">
        <w:rPr>
          <w:rFonts w:ascii="Times New Roman" w:eastAsia="Times New Roman" w:hAnsi="Times New Roman" w:cs="Times New Roman"/>
          <w:sz w:val="20"/>
          <w:szCs w:val="20"/>
        </w:rPr>
        <w:t xml:space="preserve">Husin, </w:t>
      </w:r>
      <w:r w:rsidR="007953DE">
        <w:rPr>
          <w:rFonts w:ascii="Times New Roman" w:eastAsia="Times New Roman" w:hAnsi="Times New Roman" w:cs="Times New Roman"/>
          <w:sz w:val="20"/>
          <w:szCs w:val="20"/>
        </w:rPr>
        <w:t xml:space="preserve">R. </w:t>
      </w:r>
      <w:r w:rsidR="0094410F" w:rsidRPr="006721EF">
        <w:rPr>
          <w:rFonts w:ascii="Times New Roman" w:eastAsia="Times New Roman" w:hAnsi="Times New Roman" w:cs="Times New Roman"/>
          <w:sz w:val="20"/>
          <w:szCs w:val="20"/>
        </w:rPr>
        <w:t xml:space="preserve">Haron &amp; </w:t>
      </w:r>
      <w:r w:rsidR="007953DE">
        <w:rPr>
          <w:rFonts w:ascii="Times New Roman" w:eastAsia="Times New Roman" w:hAnsi="Times New Roman" w:cs="Times New Roman"/>
          <w:sz w:val="20"/>
          <w:szCs w:val="20"/>
        </w:rPr>
        <w:t xml:space="preserve">S. </w:t>
      </w:r>
      <w:r w:rsidR="0094410F" w:rsidRPr="006721EF">
        <w:rPr>
          <w:rFonts w:ascii="Times New Roman" w:eastAsia="Times New Roman" w:hAnsi="Times New Roman" w:cs="Times New Roman"/>
          <w:sz w:val="20"/>
          <w:szCs w:val="20"/>
        </w:rPr>
        <w:t>Aziz. </w:t>
      </w:r>
      <w:r w:rsidR="0094410F" w:rsidRPr="006721EF">
        <w:rPr>
          <w:rFonts w:ascii="Times New Roman" w:eastAsia="Times New Roman" w:hAnsi="Times New Roman" w:cs="Times New Roman"/>
          <w:i/>
          <w:sz w:val="20"/>
          <w:szCs w:val="20"/>
        </w:rPr>
        <w:t>Impact of financial technology (FinTech) on Islamic finance and financial stability</w:t>
      </w:r>
      <w:r w:rsidR="0094410F" w:rsidRPr="006721EF">
        <w:rPr>
          <w:rFonts w:ascii="Times New Roman" w:eastAsia="Times New Roman" w:hAnsi="Times New Roman" w:cs="Times New Roman"/>
          <w:sz w:val="20"/>
          <w:szCs w:val="20"/>
        </w:rPr>
        <w:t> (pp. 12-35). IGI Global. (2020).</w:t>
      </w:r>
    </w:p>
    <w:p w14:paraId="09E78579" w14:textId="77777777" w:rsidR="00A52541" w:rsidRDefault="00A52541" w:rsidP="009179F9">
      <w:pPr>
        <w:pBdr>
          <w:top w:val="nil"/>
          <w:left w:val="nil"/>
          <w:bottom w:val="nil"/>
          <w:right w:val="nil"/>
          <w:between w:val="nil"/>
        </w:pBdr>
        <w:spacing w:after="0" w:line="240" w:lineRule="auto"/>
        <w:ind w:right="-7"/>
        <w:jc w:val="both"/>
        <w:rPr>
          <w:rFonts w:ascii="Times New Roman" w:eastAsia="Times New Roman" w:hAnsi="Times New Roman" w:cs="Times New Roman"/>
          <w:sz w:val="20"/>
          <w:szCs w:val="20"/>
        </w:rPr>
      </w:pPr>
    </w:p>
    <w:p w14:paraId="11F838A5" w14:textId="77777777" w:rsidR="00F91CF7" w:rsidRPr="006721EF" w:rsidRDefault="006721EF" w:rsidP="009179F9">
      <w:pPr>
        <w:pBdr>
          <w:top w:val="nil"/>
          <w:left w:val="nil"/>
          <w:bottom w:val="nil"/>
          <w:right w:val="nil"/>
          <w:between w:val="nil"/>
        </w:pBdr>
        <w:spacing w:after="0" w:line="240" w:lineRule="auto"/>
        <w:ind w:right="-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[17] </w:t>
      </w:r>
      <w:r w:rsidR="007953DE">
        <w:rPr>
          <w:rFonts w:ascii="Times New Roman" w:eastAsia="Times New Roman" w:hAnsi="Times New Roman" w:cs="Times New Roman"/>
          <w:sz w:val="20"/>
          <w:szCs w:val="20"/>
        </w:rPr>
        <w:t xml:space="preserve">M. </w:t>
      </w:r>
      <w:r w:rsidR="009A2B16" w:rsidRPr="006721EF">
        <w:rPr>
          <w:rFonts w:ascii="Times New Roman" w:eastAsia="Times New Roman" w:hAnsi="Times New Roman" w:cs="Times New Roman"/>
          <w:sz w:val="20"/>
          <w:szCs w:val="20"/>
        </w:rPr>
        <w:t xml:space="preserve">Fanea-Ivanovici &amp; </w:t>
      </w:r>
      <w:r w:rsidR="007953DE">
        <w:rPr>
          <w:rFonts w:ascii="Times New Roman" w:eastAsia="Times New Roman" w:hAnsi="Times New Roman" w:cs="Times New Roman"/>
          <w:sz w:val="20"/>
          <w:szCs w:val="20"/>
        </w:rPr>
        <w:t xml:space="preserve">H. </w:t>
      </w:r>
      <w:r w:rsidR="009A2B16" w:rsidRPr="006721EF">
        <w:rPr>
          <w:rFonts w:ascii="Times New Roman" w:eastAsia="Times New Roman" w:hAnsi="Times New Roman" w:cs="Times New Roman"/>
          <w:sz w:val="20"/>
          <w:szCs w:val="20"/>
        </w:rPr>
        <w:t xml:space="preserve">Baber. </w:t>
      </w:r>
      <w:r w:rsidR="009A2B16" w:rsidRPr="00BE011C">
        <w:rPr>
          <w:rFonts w:ascii="Times New Roman" w:eastAsia="Times New Roman" w:hAnsi="Times New Roman" w:cs="Times New Roman"/>
          <w:i/>
          <w:sz w:val="20"/>
          <w:szCs w:val="20"/>
        </w:rPr>
        <w:t>International Journal of Innovation Studies</w:t>
      </w:r>
      <w:r w:rsidR="009A2B16" w:rsidRPr="006721EF">
        <w:rPr>
          <w:rFonts w:ascii="Times New Roman" w:eastAsia="Times New Roman" w:hAnsi="Times New Roman" w:cs="Times New Roman"/>
          <w:sz w:val="20"/>
          <w:szCs w:val="20"/>
        </w:rPr>
        <w:t xml:space="preserve">, </w:t>
      </w:r>
      <w:r w:rsidR="009A2B16" w:rsidRPr="006721EF">
        <w:rPr>
          <w:rFonts w:ascii="Times New Roman" w:eastAsia="Times New Roman" w:hAnsi="Times New Roman" w:cs="Times New Roman"/>
          <w:b/>
          <w:sz w:val="20"/>
          <w:szCs w:val="20"/>
        </w:rPr>
        <w:t>5</w:t>
      </w:r>
      <w:r w:rsidR="009A2B16" w:rsidRPr="006721EF">
        <w:rPr>
          <w:rFonts w:ascii="Times New Roman" w:eastAsia="Times New Roman" w:hAnsi="Times New Roman" w:cs="Times New Roman"/>
          <w:sz w:val="20"/>
          <w:szCs w:val="20"/>
        </w:rPr>
        <w:t>(2), 99-105.</w:t>
      </w:r>
      <w:r w:rsidR="00001576" w:rsidRPr="006721EF">
        <w:rPr>
          <w:rFonts w:ascii="Times New Roman" w:eastAsia="Times New Roman" w:hAnsi="Times New Roman" w:cs="Times New Roman"/>
          <w:sz w:val="20"/>
          <w:szCs w:val="20"/>
        </w:rPr>
        <w:t xml:space="preserve"> (2021)</w:t>
      </w:r>
      <w:r w:rsidR="00E84CFD" w:rsidRPr="006721EF">
        <w:rPr>
          <w:rFonts w:ascii="Times New Roman" w:eastAsia="Times New Roman" w:hAnsi="Times New Roman" w:cs="Times New Roman"/>
          <w:sz w:val="20"/>
          <w:szCs w:val="20"/>
        </w:rPr>
        <w:t>.</w:t>
      </w:r>
    </w:p>
    <w:p w14:paraId="7AA1C291" w14:textId="77777777" w:rsidR="00A52541" w:rsidRDefault="00A52541" w:rsidP="009179F9">
      <w:pPr>
        <w:pBdr>
          <w:top w:val="nil"/>
          <w:left w:val="nil"/>
          <w:bottom w:val="nil"/>
          <w:right w:val="nil"/>
          <w:between w:val="nil"/>
        </w:pBdr>
        <w:spacing w:after="0" w:line="240" w:lineRule="auto"/>
        <w:ind w:right="-7"/>
        <w:jc w:val="both"/>
        <w:rPr>
          <w:rFonts w:ascii="Times New Roman" w:eastAsia="Times New Roman" w:hAnsi="Times New Roman" w:cs="Times New Roman"/>
          <w:sz w:val="20"/>
          <w:szCs w:val="20"/>
        </w:rPr>
      </w:pPr>
    </w:p>
    <w:p w14:paraId="2AB23075" w14:textId="77777777" w:rsidR="00A52541" w:rsidRDefault="006721EF" w:rsidP="009179F9">
      <w:pPr>
        <w:pBdr>
          <w:top w:val="nil"/>
          <w:left w:val="nil"/>
          <w:bottom w:val="nil"/>
          <w:right w:val="nil"/>
          <w:between w:val="nil"/>
        </w:pBdr>
        <w:spacing w:after="0" w:line="240" w:lineRule="auto"/>
        <w:ind w:right="-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[18] </w:t>
      </w:r>
      <w:r w:rsidR="007953DE">
        <w:rPr>
          <w:rFonts w:ascii="Times New Roman" w:eastAsia="Times New Roman" w:hAnsi="Times New Roman" w:cs="Times New Roman"/>
          <w:sz w:val="20"/>
          <w:szCs w:val="20"/>
        </w:rPr>
        <w:t xml:space="preserve">S. </w:t>
      </w:r>
      <w:r w:rsidR="0094410F" w:rsidRPr="006721EF">
        <w:rPr>
          <w:rFonts w:ascii="Times New Roman" w:eastAsia="Times New Roman" w:hAnsi="Times New Roman" w:cs="Times New Roman"/>
          <w:sz w:val="20"/>
          <w:szCs w:val="20"/>
        </w:rPr>
        <w:t xml:space="preserve">Wang &amp; </w:t>
      </w:r>
      <w:r w:rsidR="007953DE">
        <w:rPr>
          <w:rFonts w:ascii="Times New Roman" w:eastAsia="Times New Roman" w:hAnsi="Times New Roman" w:cs="Times New Roman"/>
          <w:sz w:val="20"/>
          <w:szCs w:val="20"/>
        </w:rPr>
        <w:t xml:space="preserve">H. </w:t>
      </w:r>
      <w:r w:rsidR="0094410F" w:rsidRPr="006721EF">
        <w:rPr>
          <w:rFonts w:ascii="Times New Roman" w:eastAsia="Times New Roman" w:hAnsi="Times New Roman" w:cs="Times New Roman"/>
          <w:sz w:val="20"/>
          <w:szCs w:val="20"/>
        </w:rPr>
        <w:t xml:space="preserve">Wang. Big </w:t>
      </w:r>
      <w:r w:rsidR="00BE011C">
        <w:rPr>
          <w:rFonts w:ascii="Times New Roman" w:eastAsia="Times New Roman" w:hAnsi="Times New Roman" w:cs="Times New Roman"/>
          <w:sz w:val="20"/>
          <w:szCs w:val="20"/>
        </w:rPr>
        <w:t>data for small and medium-sized</w:t>
      </w:r>
      <w:r w:rsidR="0094410F" w:rsidRPr="006721EF">
        <w:rPr>
          <w:rFonts w:ascii="Times New Roman" w:eastAsia="Times New Roman" w:hAnsi="Times New Roman" w:cs="Times New Roman"/>
          <w:sz w:val="20"/>
          <w:szCs w:val="20"/>
        </w:rPr>
        <w:t>. </w:t>
      </w:r>
      <w:r w:rsidR="0094410F" w:rsidRPr="006721EF">
        <w:rPr>
          <w:rFonts w:ascii="Times New Roman" w:eastAsia="Times New Roman" w:hAnsi="Times New Roman" w:cs="Times New Roman"/>
          <w:i/>
          <w:sz w:val="20"/>
          <w:szCs w:val="20"/>
        </w:rPr>
        <w:t>Journal of Knowledge Management</w:t>
      </w:r>
      <w:r w:rsidR="0094410F" w:rsidRPr="006721EF">
        <w:rPr>
          <w:rFonts w:ascii="Times New Roman" w:eastAsia="Times New Roman" w:hAnsi="Times New Roman" w:cs="Times New Roman"/>
          <w:sz w:val="20"/>
          <w:szCs w:val="20"/>
        </w:rPr>
        <w:t>, </w:t>
      </w:r>
      <w:r w:rsidR="0094410F" w:rsidRPr="006721EF">
        <w:rPr>
          <w:rFonts w:ascii="Times New Roman" w:eastAsia="Times New Roman" w:hAnsi="Times New Roman" w:cs="Times New Roman"/>
          <w:b/>
          <w:sz w:val="20"/>
          <w:szCs w:val="20"/>
        </w:rPr>
        <w:t>24</w:t>
      </w:r>
      <w:r w:rsidR="0094410F" w:rsidRPr="006721EF">
        <w:rPr>
          <w:rFonts w:ascii="Times New Roman" w:eastAsia="Times New Roman" w:hAnsi="Times New Roman" w:cs="Times New Roman"/>
          <w:sz w:val="20"/>
          <w:szCs w:val="20"/>
        </w:rPr>
        <w:t>(4), 881-897. (2020).</w:t>
      </w:r>
    </w:p>
    <w:p w14:paraId="10F9D50B" w14:textId="77777777" w:rsidR="00915CFF" w:rsidRDefault="00915CFF" w:rsidP="009179F9">
      <w:pPr>
        <w:pBdr>
          <w:top w:val="nil"/>
          <w:left w:val="nil"/>
          <w:bottom w:val="nil"/>
          <w:right w:val="nil"/>
          <w:between w:val="nil"/>
        </w:pBdr>
        <w:spacing w:after="0" w:line="240" w:lineRule="auto"/>
        <w:ind w:right="-7"/>
        <w:jc w:val="both"/>
        <w:rPr>
          <w:rFonts w:ascii="Times New Roman" w:eastAsia="Times New Roman" w:hAnsi="Times New Roman" w:cs="Times New Roman"/>
          <w:sz w:val="20"/>
          <w:szCs w:val="20"/>
        </w:rPr>
      </w:pPr>
    </w:p>
    <w:p w14:paraId="5B6EC6FC" w14:textId="77777777" w:rsidR="00A52541" w:rsidRDefault="006721EF" w:rsidP="009179F9">
      <w:pPr>
        <w:pBdr>
          <w:top w:val="nil"/>
          <w:left w:val="nil"/>
          <w:bottom w:val="nil"/>
          <w:right w:val="nil"/>
          <w:between w:val="nil"/>
        </w:pBdr>
        <w:spacing w:after="0" w:line="240" w:lineRule="auto"/>
        <w:ind w:right="-7"/>
        <w:jc w:val="both"/>
        <w:rPr>
          <w:rFonts w:ascii="Times New Roman" w:hAnsi="Times New Roman" w:cs="Times New Roman"/>
          <w:sz w:val="20"/>
          <w:szCs w:val="20"/>
        </w:rPr>
      </w:pPr>
      <w:r>
        <w:rPr>
          <w:rFonts w:ascii="Times New Roman" w:eastAsia="Times New Roman" w:hAnsi="Times New Roman" w:cs="Times New Roman"/>
          <w:sz w:val="20"/>
          <w:szCs w:val="20"/>
        </w:rPr>
        <w:lastRenderedPageBreak/>
        <w:t xml:space="preserve">[19] </w:t>
      </w:r>
      <w:r w:rsidR="0094410F" w:rsidRPr="006721EF">
        <w:rPr>
          <w:rFonts w:ascii="Times New Roman" w:eastAsia="Times New Roman" w:hAnsi="Times New Roman" w:cs="Times New Roman"/>
          <w:sz w:val="20"/>
          <w:szCs w:val="20"/>
        </w:rPr>
        <w:t xml:space="preserve">SME Corp. Malaysia. </w:t>
      </w:r>
      <w:hyperlink r:id="rId8" w:history="1">
        <w:r w:rsidR="0094410F" w:rsidRPr="006721EF">
          <w:rPr>
            <w:rStyle w:val="Hyperlink"/>
            <w:rFonts w:ascii="Times New Roman" w:eastAsia="Times New Roman" w:hAnsi="Times New Roman" w:cs="Times New Roman"/>
            <w:sz w:val="20"/>
            <w:szCs w:val="20"/>
          </w:rPr>
          <w:t>https://www.smecorp.gov.my/index.php/my/mengenai-kami/2015-12-21-08-49-11/about-sme-corp-malaysia</w:t>
        </w:r>
      </w:hyperlink>
      <w:r w:rsidR="00A52541">
        <w:rPr>
          <w:rStyle w:val="Hyperlink"/>
          <w:rFonts w:ascii="Times New Roman" w:eastAsia="Times New Roman" w:hAnsi="Times New Roman" w:cs="Times New Roman"/>
          <w:sz w:val="20"/>
          <w:szCs w:val="20"/>
        </w:rPr>
        <w:t xml:space="preserve"> </w:t>
      </w:r>
      <w:r w:rsidR="00A52541">
        <w:rPr>
          <w:rFonts w:ascii="Times New Roman" w:eastAsia="Times New Roman" w:hAnsi="Times New Roman" w:cs="Times New Roman"/>
          <w:sz w:val="20"/>
          <w:szCs w:val="20"/>
        </w:rPr>
        <w:t>(2023).</w:t>
      </w:r>
    </w:p>
    <w:p w14:paraId="43D49008" w14:textId="77777777" w:rsidR="00915CFF" w:rsidRDefault="00915CFF" w:rsidP="009179F9">
      <w:pPr>
        <w:spacing w:after="0" w:line="240" w:lineRule="auto"/>
        <w:ind w:right="-7"/>
        <w:jc w:val="both"/>
        <w:rPr>
          <w:rFonts w:ascii="Times New Roman" w:hAnsi="Times New Roman" w:cs="Times New Roman"/>
          <w:sz w:val="20"/>
          <w:szCs w:val="20"/>
        </w:rPr>
      </w:pPr>
    </w:p>
    <w:p w14:paraId="4CA65E9E" w14:textId="77777777" w:rsidR="009A2B16" w:rsidRPr="006721EF" w:rsidRDefault="006721EF" w:rsidP="009179F9">
      <w:pPr>
        <w:spacing w:after="0" w:line="240" w:lineRule="auto"/>
        <w:ind w:right="-7"/>
        <w:jc w:val="both"/>
        <w:rPr>
          <w:rFonts w:ascii="Times New Roman" w:hAnsi="Times New Roman" w:cs="Times New Roman"/>
          <w:sz w:val="20"/>
          <w:szCs w:val="20"/>
        </w:rPr>
      </w:pPr>
      <w:r>
        <w:rPr>
          <w:rFonts w:ascii="Times New Roman" w:hAnsi="Times New Roman" w:cs="Times New Roman"/>
          <w:sz w:val="20"/>
          <w:szCs w:val="20"/>
        </w:rPr>
        <w:t xml:space="preserve">[20] </w:t>
      </w:r>
      <w:r w:rsidR="007953DE">
        <w:rPr>
          <w:rFonts w:ascii="Times New Roman" w:hAnsi="Times New Roman" w:cs="Times New Roman"/>
          <w:sz w:val="20"/>
          <w:szCs w:val="20"/>
        </w:rPr>
        <w:t xml:space="preserve">J.F. </w:t>
      </w:r>
      <w:r w:rsidR="009A2B16" w:rsidRPr="006721EF">
        <w:rPr>
          <w:rFonts w:ascii="Times New Roman" w:hAnsi="Times New Roman" w:cs="Times New Roman"/>
          <w:sz w:val="20"/>
          <w:szCs w:val="20"/>
        </w:rPr>
        <w:t xml:space="preserve">Hair, </w:t>
      </w:r>
      <w:r w:rsidR="007953DE">
        <w:rPr>
          <w:rFonts w:ascii="Times New Roman" w:hAnsi="Times New Roman" w:cs="Times New Roman"/>
          <w:sz w:val="20"/>
          <w:szCs w:val="20"/>
        </w:rPr>
        <w:t xml:space="preserve">G.T.M. </w:t>
      </w:r>
      <w:r w:rsidR="009A2B16" w:rsidRPr="006721EF">
        <w:rPr>
          <w:rFonts w:ascii="Times New Roman" w:hAnsi="Times New Roman" w:cs="Times New Roman"/>
          <w:sz w:val="20"/>
          <w:szCs w:val="20"/>
        </w:rPr>
        <w:t xml:space="preserve">Hult, </w:t>
      </w:r>
      <w:r w:rsidR="007953DE">
        <w:rPr>
          <w:rFonts w:ascii="Times New Roman" w:hAnsi="Times New Roman" w:cs="Times New Roman"/>
          <w:sz w:val="20"/>
          <w:szCs w:val="20"/>
        </w:rPr>
        <w:t xml:space="preserve">C.M. </w:t>
      </w:r>
      <w:r w:rsidR="009A2B16" w:rsidRPr="006721EF">
        <w:rPr>
          <w:rFonts w:ascii="Times New Roman" w:hAnsi="Times New Roman" w:cs="Times New Roman"/>
          <w:sz w:val="20"/>
          <w:szCs w:val="20"/>
        </w:rPr>
        <w:t xml:space="preserve">Ringle &amp; </w:t>
      </w:r>
      <w:r w:rsidR="007953DE">
        <w:rPr>
          <w:rFonts w:ascii="Times New Roman" w:hAnsi="Times New Roman" w:cs="Times New Roman"/>
          <w:sz w:val="20"/>
          <w:szCs w:val="20"/>
        </w:rPr>
        <w:t xml:space="preserve">M. </w:t>
      </w:r>
      <w:r w:rsidR="009A2B16" w:rsidRPr="006721EF">
        <w:rPr>
          <w:rFonts w:ascii="Times New Roman" w:hAnsi="Times New Roman" w:cs="Times New Roman"/>
          <w:sz w:val="20"/>
          <w:szCs w:val="20"/>
        </w:rPr>
        <w:t>Sarstedt</w:t>
      </w:r>
      <w:r w:rsidR="007953DE">
        <w:rPr>
          <w:rFonts w:ascii="Times New Roman" w:hAnsi="Times New Roman" w:cs="Times New Roman"/>
          <w:sz w:val="20"/>
          <w:szCs w:val="20"/>
        </w:rPr>
        <w:t xml:space="preserve">. </w:t>
      </w:r>
      <w:r w:rsidR="009A2B16" w:rsidRPr="006721EF">
        <w:rPr>
          <w:rFonts w:ascii="Times New Roman" w:hAnsi="Times New Roman" w:cs="Times New Roman"/>
          <w:sz w:val="20"/>
          <w:szCs w:val="20"/>
        </w:rPr>
        <w:t>A Primer on Partial Least Squares Structural Equation Modeling (PLS-SEM) (3rd edition). Thousand Oaks, CA: Sage.</w:t>
      </w:r>
      <w:r w:rsidR="00001576" w:rsidRPr="006721EF">
        <w:rPr>
          <w:rFonts w:ascii="Times New Roman" w:hAnsi="Times New Roman" w:cs="Times New Roman"/>
          <w:sz w:val="20"/>
          <w:szCs w:val="20"/>
        </w:rPr>
        <w:t xml:space="preserve"> (2022).</w:t>
      </w:r>
    </w:p>
    <w:p w14:paraId="2588B9D4" w14:textId="77777777" w:rsidR="00915CFF" w:rsidRDefault="00915CFF" w:rsidP="009179F9">
      <w:pPr>
        <w:pBdr>
          <w:top w:val="nil"/>
          <w:left w:val="nil"/>
          <w:bottom w:val="nil"/>
          <w:right w:val="nil"/>
          <w:between w:val="nil"/>
        </w:pBdr>
        <w:spacing w:after="0" w:line="240" w:lineRule="auto"/>
        <w:ind w:right="-7"/>
        <w:jc w:val="both"/>
        <w:rPr>
          <w:rFonts w:ascii="Times New Roman" w:eastAsia="Times New Roman" w:hAnsi="Times New Roman" w:cs="Times New Roman"/>
          <w:sz w:val="20"/>
          <w:szCs w:val="20"/>
        </w:rPr>
      </w:pPr>
    </w:p>
    <w:p w14:paraId="094DB91C" w14:textId="77777777" w:rsidR="00222B92" w:rsidRPr="006721EF" w:rsidRDefault="006721EF" w:rsidP="009179F9">
      <w:pPr>
        <w:pBdr>
          <w:top w:val="nil"/>
          <w:left w:val="nil"/>
          <w:bottom w:val="nil"/>
          <w:right w:val="nil"/>
          <w:between w:val="nil"/>
        </w:pBdr>
        <w:spacing w:after="0" w:line="240" w:lineRule="auto"/>
        <w:ind w:right="-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[21] </w:t>
      </w:r>
      <w:r w:rsidR="007953DE">
        <w:rPr>
          <w:rFonts w:ascii="Times New Roman" w:eastAsia="Times New Roman" w:hAnsi="Times New Roman" w:cs="Times New Roman"/>
          <w:sz w:val="20"/>
          <w:szCs w:val="20"/>
        </w:rPr>
        <w:t xml:space="preserve">Y. </w:t>
      </w:r>
      <w:r w:rsidR="00222B92" w:rsidRPr="006721EF">
        <w:rPr>
          <w:rFonts w:ascii="Times New Roman" w:eastAsia="Times New Roman" w:hAnsi="Times New Roman" w:cs="Times New Roman"/>
          <w:sz w:val="20"/>
          <w:szCs w:val="20"/>
        </w:rPr>
        <w:t xml:space="preserve">Moon &amp; </w:t>
      </w:r>
      <w:r w:rsidR="007953DE">
        <w:rPr>
          <w:rFonts w:ascii="Times New Roman" w:eastAsia="Times New Roman" w:hAnsi="Times New Roman" w:cs="Times New Roman"/>
          <w:sz w:val="20"/>
          <w:szCs w:val="20"/>
        </w:rPr>
        <w:t xml:space="preserve">J. </w:t>
      </w:r>
      <w:r w:rsidR="00222B92" w:rsidRPr="006721EF">
        <w:rPr>
          <w:rFonts w:ascii="Times New Roman" w:eastAsia="Times New Roman" w:hAnsi="Times New Roman" w:cs="Times New Roman"/>
          <w:sz w:val="20"/>
          <w:szCs w:val="20"/>
        </w:rPr>
        <w:t xml:space="preserve">Hwang. </w:t>
      </w:r>
      <w:r w:rsidR="00222B92" w:rsidRPr="006721EF">
        <w:rPr>
          <w:rFonts w:ascii="Times New Roman" w:eastAsia="Times New Roman" w:hAnsi="Times New Roman" w:cs="Times New Roman"/>
          <w:i/>
          <w:iCs/>
          <w:sz w:val="20"/>
          <w:szCs w:val="20"/>
        </w:rPr>
        <w:t>Sustainability,</w:t>
      </w:r>
      <w:r w:rsidR="00222B92" w:rsidRPr="006721EF">
        <w:rPr>
          <w:rFonts w:ascii="Times New Roman" w:eastAsia="Times New Roman" w:hAnsi="Times New Roman" w:cs="Times New Roman"/>
          <w:sz w:val="20"/>
          <w:szCs w:val="20"/>
        </w:rPr>
        <w:t xml:space="preserve"> </w:t>
      </w:r>
      <w:r w:rsidR="00222B92" w:rsidRPr="006721EF">
        <w:rPr>
          <w:rFonts w:ascii="Times New Roman" w:eastAsia="Times New Roman" w:hAnsi="Times New Roman" w:cs="Times New Roman"/>
          <w:b/>
          <w:iCs/>
          <w:sz w:val="20"/>
          <w:szCs w:val="20"/>
        </w:rPr>
        <w:t>10</w:t>
      </w:r>
      <w:r w:rsidR="00222B92" w:rsidRPr="006721EF">
        <w:rPr>
          <w:rFonts w:ascii="Times New Roman" w:eastAsia="Times New Roman" w:hAnsi="Times New Roman" w:cs="Times New Roman"/>
          <w:sz w:val="20"/>
          <w:szCs w:val="20"/>
        </w:rPr>
        <w:t>(5), 145. (2018).</w:t>
      </w:r>
    </w:p>
    <w:p w14:paraId="05C31867" w14:textId="77777777" w:rsidR="00915CFF" w:rsidRDefault="00915CFF" w:rsidP="009179F9">
      <w:pPr>
        <w:pBdr>
          <w:top w:val="nil"/>
          <w:left w:val="nil"/>
          <w:bottom w:val="nil"/>
          <w:right w:val="nil"/>
          <w:between w:val="nil"/>
        </w:pBdr>
        <w:spacing w:after="0" w:line="240" w:lineRule="auto"/>
        <w:ind w:right="-7"/>
        <w:jc w:val="both"/>
        <w:rPr>
          <w:rFonts w:ascii="Times New Roman" w:eastAsia="Times New Roman" w:hAnsi="Times New Roman" w:cs="Times New Roman"/>
          <w:sz w:val="20"/>
          <w:szCs w:val="20"/>
        </w:rPr>
      </w:pPr>
    </w:p>
    <w:p w14:paraId="288BE7DC" w14:textId="77777777" w:rsidR="00222B92" w:rsidRPr="006721EF" w:rsidRDefault="006721EF" w:rsidP="009179F9">
      <w:pPr>
        <w:pBdr>
          <w:top w:val="nil"/>
          <w:left w:val="nil"/>
          <w:bottom w:val="nil"/>
          <w:right w:val="nil"/>
          <w:between w:val="nil"/>
        </w:pBdr>
        <w:spacing w:after="0" w:line="240" w:lineRule="auto"/>
        <w:ind w:right="-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[22] </w:t>
      </w:r>
      <w:r w:rsidR="007953DE">
        <w:rPr>
          <w:rFonts w:ascii="Times New Roman" w:eastAsia="Times New Roman" w:hAnsi="Times New Roman" w:cs="Times New Roman"/>
          <w:sz w:val="20"/>
          <w:szCs w:val="20"/>
        </w:rPr>
        <w:t xml:space="preserve">F.H. </w:t>
      </w:r>
      <w:r w:rsidR="00222B92" w:rsidRPr="006721EF">
        <w:rPr>
          <w:rFonts w:ascii="Times New Roman" w:eastAsia="Times New Roman" w:hAnsi="Times New Roman" w:cs="Times New Roman"/>
          <w:sz w:val="20"/>
          <w:szCs w:val="20"/>
        </w:rPr>
        <w:t xml:space="preserve">Muhamad, </w:t>
      </w:r>
      <w:r w:rsidR="007953DE">
        <w:rPr>
          <w:rFonts w:ascii="Times New Roman" w:eastAsia="Times New Roman" w:hAnsi="Times New Roman" w:cs="Times New Roman"/>
          <w:sz w:val="20"/>
          <w:szCs w:val="20"/>
        </w:rPr>
        <w:t xml:space="preserve">H. </w:t>
      </w:r>
      <w:r w:rsidR="00222B92" w:rsidRPr="006721EF">
        <w:rPr>
          <w:rFonts w:ascii="Times New Roman" w:eastAsia="Times New Roman" w:hAnsi="Times New Roman" w:cs="Times New Roman"/>
          <w:sz w:val="20"/>
          <w:szCs w:val="20"/>
        </w:rPr>
        <w:t xml:space="preserve">Ab Ghani &amp; </w:t>
      </w:r>
      <w:r w:rsidR="007953DE">
        <w:rPr>
          <w:rFonts w:ascii="Times New Roman" w:eastAsia="Times New Roman" w:hAnsi="Times New Roman" w:cs="Times New Roman"/>
          <w:sz w:val="20"/>
          <w:szCs w:val="20"/>
        </w:rPr>
        <w:t xml:space="preserve">J. </w:t>
      </w:r>
      <w:r w:rsidR="00222B92" w:rsidRPr="006721EF">
        <w:rPr>
          <w:rFonts w:ascii="Times New Roman" w:eastAsia="Times New Roman" w:hAnsi="Times New Roman" w:cs="Times New Roman"/>
          <w:sz w:val="20"/>
          <w:szCs w:val="20"/>
        </w:rPr>
        <w:t xml:space="preserve">Arifin. </w:t>
      </w:r>
      <w:r w:rsidR="00222B92" w:rsidRPr="00936A5E">
        <w:rPr>
          <w:rFonts w:ascii="Times New Roman" w:eastAsia="Times New Roman" w:hAnsi="Times New Roman" w:cs="Times New Roman"/>
          <w:i/>
          <w:sz w:val="20"/>
          <w:szCs w:val="20"/>
        </w:rPr>
        <w:t>Journal of Entrepreneurship &amp; Business</w:t>
      </w:r>
      <w:r w:rsidR="00222B92" w:rsidRPr="006721EF">
        <w:rPr>
          <w:rFonts w:ascii="Times New Roman" w:eastAsia="Times New Roman" w:hAnsi="Times New Roman" w:cs="Times New Roman"/>
          <w:sz w:val="20"/>
          <w:szCs w:val="20"/>
        </w:rPr>
        <w:t xml:space="preserve">, </w:t>
      </w:r>
      <w:r w:rsidR="00222B92" w:rsidRPr="006721EF">
        <w:rPr>
          <w:rFonts w:ascii="Times New Roman" w:eastAsia="Times New Roman" w:hAnsi="Times New Roman" w:cs="Times New Roman"/>
          <w:b/>
          <w:sz w:val="20"/>
          <w:szCs w:val="20"/>
        </w:rPr>
        <w:t>12</w:t>
      </w:r>
      <w:r w:rsidR="00222B92" w:rsidRPr="006721EF">
        <w:rPr>
          <w:rFonts w:ascii="Times New Roman" w:eastAsia="Times New Roman" w:hAnsi="Times New Roman" w:cs="Times New Roman"/>
          <w:sz w:val="20"/>
          <w:szCs w:val="20"/>
        </w:rPr>
        <w:t>(2), 67-90. (2024).</w:t>
      </w:r>
    </w:p>
    <w:sectPr w:rsidR="00222B92" w:rsidRPr="006721EF"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36A9F7FE-A575-4FC4-9922-735350844EF8}"/>
    <w:embedBold r:id="rId2" w:fontKey="{AC55E8BB-6366-41BD-A443-4662FA97EE1A}"/>
    <w:embedItalic r:id="rId3" w:fontKey="{280EAFEA-26B4-4088-B858-E49450FA9FC8}"/>
    <w:embedBoldItalic r:id="rId4" w:fontKey="{D339859D-61F6-4895-AA7F-E87C9A2B6B69}"/>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5" w:fontKey="{5D91692B-92B8-4CB6-863D-920E56D68D0A}"/>
    <w:embedBold r:id="rId6" w:fontKey="{676C22CD-7295-488F-B443-E88758E11831}"/>
    <w:embedItalic r:id="rId7" w:fontKey="{96705FC0-3C4C-4C92-AE5B-F3D0BA25917C}"/>
    <w:embedBoldItalic r:id="rId8" w:fontKey="{B3E0E8A4-B9CF-4796-8212-0458B586DD6C}"/>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embedRegular r:id="rId9" w:fontKey="{4ECEE703-D17D-4B81-957F-C94088AA7E3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5AAC347A"/>
    <w:multiLevelType w:val="hybridMultilevel"/>
    <w:tmpl w:val="F0EE905E"/>
    <w:lvl w:ilvl="0" w:tplc="09882716">
      <w:start w:val="1"/>
      <w:numFmt w:val="decimal"/>
      <w:lvlText w:val="%1."/>
      <w:lvlJc w:val="left"/>
      <w:pPr>
        <w:ind w:left="720" w:hanging="360"/>
      </w:pPr>
      <w:rPr>
        <w:b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15:restartNumberingAfterBreak="0">
    <w:nsid w:val="795D299D"/>
    <w:multiLevelType w:val="hybridMultilevel"/>
    <w:tmpl w:val="2D1AAD36"/>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16cid:durableId="563491576">
    <w:abstractNumId w:val="8"/>
  </w:num>
  <w:num w:numId="2" w16cid:durableId="1057047554">
    <w:abstractNumId w:val="6"/>
  </w:num>
  <w:num w:numId="3" w16cid:durableId="2045514824">
    <w:abstractNumId w:val="5"/>
  </w:num>
  <w:num w:numId="4" w16cid:durableId="407968658">
    <w:abstractNumId w:val="4"/>
  </w:num>
  <w:num w:numId="5" w16cid:durableId="357316551">
    <w:abstractNumId w:val="7"/>
  </w:num>
  <w:num w:numId="6" w16cid:durableId="1827359696">
    <w:abstractNumId w:val="3"/>
  </w:num>
  <w:num w:numId="7" w16cid:durableId="1258097404">
    <w:abstractNumId w:val="2"/>
  </w:num>
  <w:num w:numId="8" w16cid:durableId="848371476">
    <w:abstractNumId w:val="1"/>
  </w:num>
  <w:num w:numId="9" w16cid:durableId="1094594419">
    <w:abstractNumId w:val="0"/>
  </w:num>
  <w:num w:numId="10" w16cid:durableId="1280382171">
    <w:abstractNumId w:val="10"/>
  </w:num>
  <w:num w:numId="11" w16cid:durableId="15972035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01576"/>
    <w:rsid w:val="00014421"/>
    <w:rsid w:val="000335D5"/>
    <w:rsid w:val="00034616"/>
    <w:rsid w:val="0006063C"/>
    <w:rsid w:val="00061FC6"/>
    <w:rsid w:val="00066FD8"/>
    <w:rsid w:val="000A247E"/>
    <w:rsid w:val="000E27D5"/>
    <w:rsid w:val="0015074B"/>
    <w:rsid w:val="00180E3A"/>
    <w:rsid w:val="001B7CD7"/>
    <w:rsid w:val="001D066D"/>
    <w:rsid w:val="001D18BD"/>
    <w:rsid w:val="001D2B1A"/>
    <w:rsid w:val="00201EE9"/>
    <w:rsid w:val="00210311"/>
    <w:rsid w:val="00222B92"/>
    <w:rsid w:val="00253EB7"/>
    <w:rsid w:val="00272DC5"/>
    <w:rsid w:val="00280209"/>
    <w:rsid w:val="00291D78"/>
    <w:rsid w:val="0029639D"/>
    <w:rsid w:val="003124FF"/>
    <w:rsid w:val="00321A88"/>
    <w:rsid w:val="00326F90"/>
    <w:rsid w:val="0032747B"/>
    <w:rsid w:val="003408BB"/>
    <w:rsid w:val="00346DD9"/>
    <w:rsid w:val="003B2BE1"/>
    <w:rsid w:val="003D77F8"/>
    <w:rsid w:val="00426C08"/>
    <w:rsid w:val="00434A57"/>
    <w:rsid w:val="0043571C"/>
    <w:rsid w:val="00564395"/>
    <w:rsid w:val="005A2A1D"/>
    <w:rsid w:val="005C3B03"/>
    <w:rsid w:val="00610424"/>
    <w:rsid w:val="006721EF"/>
    <w:rsid w:val="006C2E3F"/>
    <w:rsid w:val="006F689C"/>
    <w:rsid w:val="007136ED"/>
    <w:rsid w:val="00722712"/>
    <w:rsid w:val="00794932"/>
    <w:rsid w:val="007953DE"/>
    <w:rsid w:val="007B1027"/>
    <w:rsid w:val="007B5257"/>
    <w:rsid w:val="007C5EF6"/>
    <w:rsid w:val="007D2AC8"/>
    <w:rsid w:val="007E5C66"/>
    <w:rsid w:val="008C5A53"/>
    <w:rsid w:val="008E2672"/>
    <w:rsid w:val="00915CFF"/>
    <w:rsid w:val="00916E66"/>
    <w:rsid w:val="009179F9"/>
    <w:rsid w:val="00936A5E"/>
    <w:rsid w:val="0094410F"/>
    <w:rsid w:val="0094524D"/>
    <w:rsid w:val="00947867"/>
    <w:rsid w:val="00951E5B"/>
    <w:rsid w:val="00985A4A"/>
    <w:rsid w:val="009A2B16"/>
    <w:rsid w:val="009A7A86"/>
    <w:rsid w:val="009F46D4"/>
    <w:rsid w:val="00A45A1E"/>
    <w:rsid w:val="00A52541"/>
    <w:rsid w:val="00A5708C"/>
    <w:rsid w:val="00AA1D8D"/>
    <w:rsid w:val="00AD22E4"/>
    <w:rsid w:val="00AF420B"/>
    <w:rsid w:val="00B4618C"/>
    <w:rsid w:val="00B47730"/>
    <w:rsid w:val="00BE011C"/>
    <w:rsid w:val="00C177B2"/>
    <w:rsid w:val="00C50439"/>
    <w:rsid w:val="00C60746"/>
    <w:rsid w:val="00CA5494"/>
    <w:rsid w:val="00CA7BE9"/>
    <w:rsid w:val="00CB0664"/>
    <w:rsid w:val="00CE6016"/>
    <w:rsid w:val="00D06EFB"/>
    <w:rsid w:val="00D7545E"/>
    <w:rsid w:val="00D76891"/>
    <w:rsid w:val="00DC37B5"/>
    <w:rsid w:val="00E04357"/>
    <w:rsid w:val="00E3234D"/>
    <w:rsid w:val="00E33ED2"/>
    <w:rsid w:val="00E41665"/>
    <w:rsid w:val="00E5565A"/>
    <w:rsid w:val="00E84CFD"/>
    <w:rsid w:val="00F3240B"/>
    <w:rsid w:val="00F61A15"/>
    <w:rsid w:val="00F91CF7"/>
    <w:rsid w:val="00F9679E"/>
    <w:rsid w:val="00FC693F"/>
    <w:rsid w:val="00FE1DB2"/>
    <w:rsid w:val="00FF37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65B17E"/>
  <w14:defaultImageDpi w14:val="300"/>
  <w15:docId w15:val="{F420C7BE-00CE-4B58-9516-AA6197975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A5708C"/>
    <w:rPr>
      <w:color w:val="0000FF" w:themeColor="hyperlink"/>
      <w:u w:val="single"/>
    </w:rPr>
  </w:style>
  <w:style w:type="paragraph" w:styleId="NormalWeb">
    <w:name w:val="Normal (Web)"/>
    <w:basedOn w:val="Normal"/>
    <w:uiPriority w:val="99"/>
    <w:unhideWhenUsed/>
    <w:rsid w:val="009A2B1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ecorp.gov.my/index.php/my/mengenai-kami/2015-12-21-08-49-11/about-sme-corp-malaysia" TargetMode="External"/><Relationship Id="rId3" Type="http://schemas.openxmlformats.org/officeDocument/2006/relationships/styles" Target="styles.xml"/><Relationship Id="rId7" Type="http://schemas.openxmlformats.org/officeDocument/2006/relationships/hyperlink" Target="https://www.dosm.gov.my/v1/index.php?r=column/cthemeByCat&amp;cat=159&amp;bul_id=aFRNc2Zid295Tm1yczN5dWJNS1NwQT09&amp;menu_id=TE5CRUZCblh4ZTZMODZIbmk2aWRRQT09"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eychah@ukm.edu.my"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5C73F-8505-49FB-9222-C065E077C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3707</Words>
  <Characters>21130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24788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Dr. Nurul Nazihah binti Hawari</cp:lastModifiedBy>
  <cp:revision>2</cp:revision>
  <dcterms:created xsi:type="dcterms:W3CDTF">2026-01-15T12:25:00Z</dcterms:created>
  <dcterms:modified xsi:type="dcterms:W3CDTF">2026-01-15T12:25:00Z</dcterms:modified>
  <cp:category/>
</cp:coreProperties>
</file>