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3954F8B5" w:rsidR="0016385D" w:rsidRPr="00075EA6" w:rsidRDefault="00A06397" w:rsidP="00D30640">
      <w:pPr>
        <w:pStyle w:val="PaperTitle"/>
        <w:spacing w:before="0"/>
        <w:rPr>
          <w:b w:val="0"/>
          <w:bCs/>
          <w:sz w:val="24"/>
          <w:szCs w:val="24"/>
        </w:rPr>
      </w:pPr>
      <w:r>
        <w:t>Robustification of Wealth-Need Ratio based on EPF Dividend Rate Among Malaysian Retirees</w:t>
      </w:r>
    </w:p>
    <w:p w14:paraId="548D96A3" w14:textId="2878AD07" w:rsidR="00C14B14" w:rsidRDefault="000C6E26" w:rsidP="2F830975">
      <w:pPr>
        <w:pStyle w:val="AuthorName"/>
        <w:rPr>
          <w:sz w:val="20"/>
          <w:lang w:val="en-GB" w:eastAsia="en-GB"/>
        </w:rPr>
      </w:pPr>
      <w:r>
        <w:t>Ros Idayuwati Alaudin</w:t>
      </w:r>
      <w:r w:rsidR="00EF6940" w:rsidRPr="2F830975">
        <w:rPr>
          <w:vertAlign w:val="superscript"/>
        </w:rPr>
        <w:t>1</w:t>
      </w:r>
      <w:r w:rsidR="0026667A">
        <w:rPr>
          <w:vertAlign w:val="superscript"/>
        </w:rPr>
        <w:t>,a)</w:t>
      </w:r>
      <w:r w:rsidR="0016385D">
        <w:t xml:space="preserve"> and A</w:t>
      </w:r>
      <w:r>
        <w:t>yu Abdul-Rahman</w:t>
      </w:r>
      <w:r>
        <w:rPr>
          <w:vertAlign w:val="superscript"/>
        </w:rPr>
        <w:t>1</w:t>
      </w:r>
      <w:r w:rsidR="007B4863" w:rsidRPr="2F830975">
        <w:rPr>
          <w:vertAlign w:val="superscript"/>
        </w:rPr>
        <w:t>,</w:t>
      </w:r>
      <w:r w:rsidR="003A5C85" w:rsidRPr="2F830975">
        <w:rPr>
          <w:vertAlign w:val="superscript"/>
        </w:rPr>
        <w:t xml:space="preserve"> </w:t>
      </w:r>
      <w:r w:rsidR="0026667A">
        <w:rPr>
          <w:vertAlign w:val="superscript"/>
        </w:rPr>
        <w:t>b</w:t>
      </w:r>
      <w:r w:rsidR="003A5C85" w:rsidRPr="2F830975">
        <w:rPr>
          <w:vertAlign w:val="superscript"/>
        </w:rPr>
        <w:t>)</w:t>
      </w:r>
    </w:p>
    <w:p w14:paraId="771D6B6C" w14:textId="2FD19E63" w:rsidR="00C14B14" w:rsidRPr="00075EA6" w:rsidRDefault="00027428" w:rsidP="00A06397">
      <w:pPr>
        <w:pStyle w:val="AuthorAffiliation"/>
      </w:pPr>
      <w:r w:rsidRPr="00075EA6">
        <w:rPr>
          <w:i w:val="0"/>
          <w:iCs/>
          <w:vertAlign w:val="superscript"/>
        </w:rPr>
        <w:t>1</w:t>
      </w:r>
      <w:r w:rsidR="00A06397">
        <w:t xml:space="preserve">Department of Mathematics &amp; Statistics, School of Quantitative Sciences, Universiti Utara Malaysia, </w:t>
      </w:r>
      <w:r w:rsidR="000C6E26">
        <w:br/>
      </w:r>
      <w:r w:rsidR="00A06397">
        <w:t>06010 UUM Sintok, Kedah, Malaysia</w:t>
      </w:r>
      <w:r w:rsidR="000C6E26">
        <w:t>.</w:t>
      </w:r>
    </w:p>
    <w:p w14:paraId="378A6F2F" w14:textId="6E9A1D3B" w:rsidR="00DF20F4" w:rsidRDefault="00C14B14" w:rsidP="001F07B6">
      <w:pPr>
        <w:pStyle w:val="AuthorAffiliation"/>
        <w:rPr>
          <w:i w:val="0"/>
        </w:rPr>
      </w:pPr>
      <w:r w:rsidRPr="00075EA6">
        <w:br/>
      </w:r>
      <w:r w:rsidR="0026667A">
        <w:rPr>
          <w:i w:val="0"/>
          <w:szCs w:val="28"/>
          <w:vertAlign w:val="superscript"/>
        </w:rPr>
        <w:t>b</w:t>
      </w:r>
      <w:r w:rsidR="00003D7C" w:rsidRPr="0062225F">
        <w:rPr>
          <w:i w:val="0"/>
          <w:szCs w:val="28"/>
          <w:vertAlign w:val="superscript"/>
        </w:rPr>
        <w:t>)</w:t>
      </w:r>
      <w:r w:rsidR="00003D7C" w:rsidRPr="0062225F">
        <w:rPr>
          <w:i w:val="0"/>
        </w:rPr>
        <w:t>Corresponding</w:t>
      </w:r>
      <w:r w:rsidR="004E3CB2" w:rsidRPr="0062225F">
        <w:rPr>
          <w:i w:val="0"/>
        </w:rPr>
        <w:t xml:space="preserve"> author</w:t>
      </w:r>
      <w:r w:rsidR="00204376">
        <w:rPr>
          <w:i w:val="0"/>
        </w:rPr>
        <w:t>s</w:t>
      </w:r>
      <w:r w:rsidR="004E3CB2" w:rsidRPr="0062225F">
        <w:rPr>
          <w:i w:val="0"/>
        </w:rPr>
        <w:t xml:space="preserve">: </w:t>
      </w:r>
      <w:hyperlink r:id="rId9" w:history="1">
        <w:r w:rsidR="00DF20F4" w:rsidRPr="00DF20F4">
          <w:rPr>
            <w:rStyle w:val="Hyperlink"/>
            <w:i w:val="0"/>
            <w:color w:val="000000" w:themeColor="text1"/>
            <w:u w:val="none"/>
          </w:rPr>
          <w:t>ayurahman@uum.edu.my</w:t>
        </w:r>
      </w:hyperlink>
    </w:p>
    <w:p w14:paraId="5E05E235" w14:textId="6FCD1161" w:rsidR="003A5C85" w:rsidRPr="00DF20F4" w:rsidRDefault="0026667A" w:rsidP="001F07B6">
      <w:pPr>
        <w:pStyle w:val="AuthorAffiliation"/>
        <w:rPr>
          <w:i w:val="0"/>
          <w:color w:val="000000" w:themeColor="text1"/>
        </w:rPr>
      </w:pPr>
      <w:r>
        <w:rPr>
          <w:i w:val="0"/>
          <w:color w:val="000000" w:themeColor="text1"/>
          <w:vertAlign w:val="superscript"/>
        </w:rPr>
        <w:t>a</w:t>
      </w:r>
      <w:r w:rsidR="00DF20F4" w:rsidRPr="00DF20F4">
        <w:rPr>
          <w:i w:val="0"/>
          <w:color w:val="000000" w:themeColor="text1"/>
          <w:vertAlign w:val="superscript"/>
        </w:rPr>
        <w:t>)</w:t>
      </w:r>
      <w:r w:rsidR="00204376" w:rsidRPr="00DF20F4">
        <w:rPr>
          <w:i w:val="0"/>
          <w:color w:val="000000" w:themeColor="text1"/>
        </w:rPr>
        <w:t>idayuwati@uum.edu.my</w:t>
      </w:r>
    </w:p>
    <w:p w14:paraId="22C3F2A8" w14:textId="7642BEB0" w:rsidR="0016385D" w:rsidRPr="00075EA6" w:rsidRDefault="0016385D" w:rsidP="00C14B14">
      <w:pPr>
        <w:pStyle w:val="Abstract"/>
      </w:pPr>
      <w:r w:rsidRPr="00075EA6">
        <w:rPr>
          <w:b/>
          <w:bCs/>
        </w:rPr>
        <w:t>Abstract.</w:t>
      </w:r>
      <w:r w:rsidRPr="00075EA6">
        <w:t xml:space="preserve"> </w:t>
      </w:r>
      <w:r w:rsidR="007D4407" w:rsidRPr="00075EA6">
        <w:t xml:space="preserve">To </w:t>
      </w:r>
      <w:r w:rsidR="00C86679" w:rsidRPr="00C86679">
        <w:t>live comfortably after retiring from work, it is important to have adequate saving. This can be achieved when the total retirement income (i.e., wealth) is equal or greater than the desired total retirement consumption (i.e., needs). This is known as wealth adequacy which can be gauged effectively using a wealth-need ratio. The ratio is projected based on two models, namely retirement wealth (which involves an estimation of a dividend rate) and retirement needs. A common practice is to estimate the dividend rate based on the sample mean which is known to fluctuate according to financial scenarios. Consequently, the wealth-need ratio may not be projected accurately which may lead to misinformation to the future retirees. Therefore, this study modified the projection wealth model using robust estimators, namely the trimean and trimmed mean estimators. Hence, enabling reliable projection of the retirement wealth despite fluctuation in the financial dataset. Several scenarios that are frequently encountered in real life were emulated to validate the performance of the robust wealth-need ratios. The finding shows smaller values of dividend rates via the trimean and trimmed mean estimators as opposed to using the sample mean. This concurs with the behavior of the financial dataset employed in this study (i.e., inconsistent throughout the years). As such, the robust wealth-ratios can provide more valuable information to the future retirees in planning their retirement. Indirectly, the robust projection models can be used to reduce wealth inequality among Malaysian retirees which is aligned with Sustainable Development Goal 10 (SDG10)</w:t>
      </w:r>
      <w:r w:rsidR="00B10134" w:rsidRPr="00075EA6">
        <w:t>.</w:t>
      </w:r>
    </w:p>
    <w:p w14:paraId="5240E3FB" w14:textId="3838E70F" w:rsidR="003A287B" w:rsidRPr="00075EA6" w:rsidRDefault="004E3C57" w:rsidP="00003D7C">
      <w:pPr>
        <w:pStyle w:val="Heading1"/>
        <w:rPr>
          <w:b w:val="0"/>
          <w:caps w:val="0"/>
          <w:sz w:val="20"/>
        </w:rPr>
      </w:pPr>
      <w:r w:rsidRPr="00075EA6">
        <w:t>i</w:t>
      </w:r>
      <w:r w:rsidR="00106DD0">
        <w:t>ntroduction</w:t>
      </w:r>
    </w:p>
    <w:p w14:paraId="5A73B264" w14:textId="47333F11" w:rsidR="003E7C74" w:rsidRDefault="00106DD0" w:rsidP="00106DD0">
      <w:pPr>
        <w:pStyle w:val="Paragraph"/>
      </w:pPr>
      <w:r w:rsidRPr="00106DD0">
        <w:rPr>
          <w:lang w:val="en-MY"/>
        </w:rPr>
        <w:t>Adequacy of retirement income is very important to maintain a comfortable living standard over the retirement period. Under a life cycle model, assets are mainly accumulated during an individual’s work life to finance consumption after retirement. A generally accepted goal of retirement planning is to provide enough income during retirement to prevent the level of living from dropping much below the partial retirement level. Retirement wealth can be defined as adequate if the total retirement income is equal or greater than the desired total retirement consumption (or needs). If the retirement wealth is inadequate, the scenario will have a substantial impact on the country's social support system. Notably, the size of the elderly population in Malaysia is 3.6 million people in 2021 and is expected to increase to 4.4 million people in 2040, which is in line with a greater lifespan. As such, a robust model to project retirement wealth and needs is very important in ensuring comfortable lifestyle over the period of retirement</w:t>
      </w:r>
      <w:r w:rsidR="00AE2860">
        <w:t>.</w:t>
      </w:r>
    </w:p>
    <w:p w14:paraId="20E1BDF0" w14:textId="3B78831A" w:rsidR="00106DD0" w:rsidRDefault="00106DD0" w:rsidP="00106DD0">
      <w:pPr>
        <w:pStyle w:val="Paragraph"/>
        <w:rPr>
          <w:lang w:val="en-MY"/>
        </w:rPr>
      </w:pPr>
      <w:r w:rsidRPr="00106DD0">
        <w:rPr>
          <w:lang w:val="en-MY"/>
        </w:rPr>
        <w:t>In 2020, over 50% of EPF contributors aged 54 have savings of RM50,000 or less for retirement which is deemed insufficient due to longer life expectancy. This becomes a huge dilemma as retirees may not have adequate retirement wealth. Retirement wealth adequacy is generally determined based on two projection models namely the retirement wealth and retirement needs. These projection models made up a wealth-need ratio which is useful in determining wealth adequacy. Thus, answering question such as “Does he or she has an adequate saving upon retiring from work?”. One of the critical components in projecting the retirement wealth model is Employees Provident Fund (EPF) dividend rate which is known to fluctuate according to financial scenarios. Thus, it is important to determine an accurate dividend rate to be applied in projecting the retirement wealth model. Commonly, the dividend rate is computed based on the sample mean which is known to be susceptible to the effect of outliers. Hence, this study focuses on modifying the projection of the retirement wealth model by replacing the usual sample mean with a median-based estimator in obtaining the dividend rate of the EPF. Meanwhile, the second projection model was based on the retirement needs in Alaudin [1</w:t>
      </w:r>
      <w:r>
        <w:rPr>
          <w:lang w:val="en-MY"/>
        </w:rPr>
        <w:t>].</w:t>
      </w:r>
    </w:p>
    <w:p w14:paraId="4CDFA84D" w14:textId="68AED8A9" w:rsidR="00106DD0" w:rsidRDefault="00106DD0" w:rsidP="00106DD0">
      <w:pPr>
        <w:pStyle w:val="Paragraph"/>
        <w:rPr>
          <w:lang w:val="en-MY"/>
        </w:rPr>
      </w:pPr>
      <w:r w:rsidRPr="00106DD0">
        <w:rPr>
          <w:lang w:val="en-MY"/>
        </w:rPr>
        <w:t>The goal of this study is to model the wealth-need ratio based on the robust EPF dividend rate among Malaysian retirees. To achieve the goal, the following objectives need to be accomplished</w:t>
      </w:r>
      <w:r>
        <w:rPr>
          <w:lang w:val="en-MY"/>
        </w:rPr>
        <w:t>:</w:t>
      </w:r>
    </w:p>
    <w:p w14:paraId="1230B729" w14:textId="17E7028D" w:rsidR="00106DD0" w:rsidRPr="00106DD0" w:rsidRDefault="00106DD0" w:rsidP="00106DD0">
      <w:pPr>
        <w:pStyle w:val="Paragraphnumbered"/>
      </w:pPr>
      <w:r>
        <w:t xml:space="preserve">To </w:t>
      </w:r>
      <w:r w:rsidRPr="00106DD0">
        <w:rPr>
          <w:lang w:val="en-MY"/>
        </w:rPr>
        <w:t>estimate the EPF dividend rate using a robust estimator namely trimean</w:t>
      </w:r>
      <w:r w:rsidR="00954B93">
        <w:rPr>
          <w:lang w:val="en-MY"/>
        </w:rPr>
        <w:t xml:space="preserve"> and trimmed mean</w:t>
      </w:r>
      <w:r w:rsidRPr="00106DD0">
        <w:rPr>
          <w:lang w:val="en-MY"/>
        </w:rPr>
        <w:t xml:space="preserve"> of a sample</w:t>
      </w:r>
      <w:r>
        <w:rPr>
          <w:lang w:val="en-MY"/>
        </w:rPr>
        <w:t>.</w:t>
      </w:r>
    </w:p>
    <w:p w14:paraId="5E7F46A5" w14:textId="7800082F" w:rsidR="00106DD0" w:rsidRPr="00106DD0" w:rsidRDefault="00106DD0" w:rsidP="00106DD0">
      <w:pPr>
        <w:pStyle w:val="Paragraphnumbered"/>
      </w:pPr>
      <w:r>
        <w:rPr>
          <w:lang w:val="en-MY"/>
        </w:rPr>
        <w:t xml:space="preserve">To </w:t>
      </w:r>
      <w:r w:rsidRPr="00106DD0">
        <w:rPr>
          <w:lang w:val="en-MY"/>
        </w:rPr>
        <w:t>project retirement wealth based on the proposed robust EPF dividend rate</w:t>
      </w:r>
      <w:r>
        <w:rPr>
          <w:lang w:val="en-MY"/>
        </w:rPr>
        <w:t>.</w:t>
      </w:r>
    </w:p>
    <w:p w14:paraId="1FC1EA32" w14:textId="442B9690" w:rsidR="00106DD0" w:rsidRPr="00706AD0" w:rsidRDefault="00106DD0" w:rsidP="00106DD0">
      <w:pPr>
        <w:pStyle w:val="Paragraphnumbered"/>
      </w:pPr>
      <w:r>
        <w:lastRenderedPageBreak/>
        <w:t xml:space="preserve">To </w:t>
      </w:r>
      <w:r w:rsidRPr="00106DD0">
        <w:rPr>
          <w:lang w:val="en-MY"/>
        </w:rPr>
        <w:t>compare the adequacy of the retirement wealth based on the proposed robust EPF dividend rate with the existing retirement wealth model</w:t>
      </w:r>
      <w:r>
        <w:rPr>
          <w:lang w:val="en-MY"/>
        </w:rPr>
        <w:t>.</w:t>
      </w:r>
    </w:p>
    <w:p w14:paraId="728E2A4B" w14:textId="4BDC303D" w:rsidR="00706AD0" w:rsidRDefault="00706AD0" w:rsidP="00706AD0">
      <w:pPr>
        <w:pStyle w:val="Heading1"/>
      </w:pPr>
      <w:r>
        <w:t>Literature</w:t>
      </w:r>
    </w:p>
    <w:p w14:paraId="267E4739" w14:textId="7750EFE9" w:rsidR="00706AD0" w:rsidRDefault="00706AD0" w:rsidP="00706AD0">
      <w:pPr>
        <w:pStyle w:val="Paragraph"/>
      </w:pPr>
      <w:r w:rsidRPr="00706AD0">
        <w:t>Retirement wealth can be defined as adequate if the total retirement income is equal to or greater than the total desired retirement needs [2]. The key idea of a life cycle hypothesis is that individuals desire to maintain the level of needs over their entire lifetime [3]. This key idea leads to the projection of the retirement needs</w:t>
      </w:r>
      <w:r>
        <w:t>.</w:t>
      </w:r>
    </w:p>
    <w:p w14:paraId="3BC9A9A5" w14:textId="2C307643" w:rsidR="00706AD0" w:rsidRDefault="00706AD0" w:rsidP="00706AD0">
      <w:pPr>
        <w:pStyle w:val="Paragraph"/>
      </w:pPr>
      <w:r w:rsidRPr="00706AD0">
        <w:t>There are several existing approaches for determining a sufficient level of retirement needs. The most common approach is to identify the replacement rate which can be defined as the percentage of pre-retirement wealth that represents the desired level of needs during retirement. Previous researchers have set a range of adequate replacement rates. Palmer [4, 5] suggested replacement rates which range from 65% to 85% depending on income level and Duncan et al. [6] suggested replacement rates ranging from 70% to 90%. Several studies applied Palmer’s replacement rates to determine the retirement needs [7, 8]. Besides the replacement rates, other approaches have been used to calculate the retirement needs such as Yuh [9] who applied Consumer Expenditure Survey to predict spending for households where the dataset is considered as a proxy for the retirement needs. Yuh et al. [10] and Yao et al. [11] also used the same approach in estimating the retirement needs in their studies. Meanwhile, Binswanger and Schunk [12] used a calibration method where information on individual preferences is taken into account when computing the retirement needs</w:t>
      </w:r>
      <w:r>
        <w:t>.</w:t>
      </w:r>
    </w:p>
    <w:p w14:paraId="5FC17341" w14:textId="15676609" w:rsidR="00697207" w:rsidRDefault="00697207" w:rsidP="00706AD0">
      <w:pPr>
        <w:pStyle w:val="Paragraph"/>
      </w:pPr>
      <w:r w:rsidRPr="00697207">
        <w:t>A comprehensive measure of retirement wealth requires all possible resources of retirement wealth to be considered concurrently. Empirical measures of retirement wealth normally focus on income from financial assets as well as benefits from a pension plan, Social Security and personal savings [13]. Previous researchers also consider non-financial assets, specifically housing wealth, as resources of retirement wealth [9, 10, 11, 14]. However, Brady [15] suggested that housing wealth is not a significant resource to increase retirement wealth. On the other hand, the replacement rate values above 100% may be required because retired individuals could find that their health-related expenses are increasing with age and that precautionary saving is, therefore, necessary [16</w:t>
      </w:r>
      <w:r>
        <w:t>].</w:t>
      </w:r>
    </w:p>
    <w:p w14:paraId="4263B040" w14:textId="7C3CCC4A" w:rsidR="00697207" w:rsidRDefault="00697207" w:rsidP="00706AD0">
      <w:pPr>
        <w:pStyle w:val="Paragraph"/>
      </w:pPr>
      <w:r w:rsidRPr="00697207">
        <w:t>Most studies on the retirement wealth adequacy have compared the</w:t>
      </w:r>
      <w:r w:rsidR="00BE6E53">
        <w:t xml:space="preserve"> </w:t>
      </w:r>
      <w:r w:rsidRPr="00697207">
        <w:t xml:space="preserve">retirement wealth to the retirement needs, which is, wealth-need ratio. A number of studies were summarized in Yuh et al. [11] ,  Yuh [9] and Yuh et al. [14] used the data from the 1995 Survey of Consumer Finances (SCF) to estimate the adequacy of the retirement wealth and found that slightly more than half of the households in the sample have adequate retirement income and maintain the pre-retirement level of living during retirement. The important determinants related to the retirement wealth adequacy in their studies were planned retirement age and household spending </w:t>
      </w:r>
      <w:r w:rsidR="00A133B7" w:rsidRPr="00697207">
        <w:t>behaviors</w:t>
      </w:r>
      <w:r w:rsidRPr="00697207">
        <w:t>. Therefore, Yuh et al. [14] focused on the accumulated retirement wealth at planned retirement age rather than random retirement age. On the other hand, Moore and Mitchell [7] specified the retirement age as 62 and 65 for projecting the retirement wealth. Denton et al. [17] found that the adequacy of the retirement wealth increases with the retirement age</w:t>
      </w:r>
      <w:r>
        <w:t>.</w:t>
      </w:r>
    </w:p>
    <w:p w14:paraId="61788ADB" w14:textId="3C3F2145" w:rsidR="00697207" w:rsidRDefault="00697207" w:rsidP="00706AD0">
      <w:pPr>
        <w:pStyle w:val="Paragraph"/>
      </w:pPr>
      <w:r w:rsidRPr="00697207">
        <w:t>To compare the retirement wealth to the retirement needs, Yuh et al., [14] proposed the conceptual framework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E330E9" w14:paraId="4D2DED1B" w14:textId="77777777" w:rsidTr="00E330E9">
        <w:tc>
          <w:tcPr>
            <w:tcW w:w="8500" w:type="dxa"/>
          </w:tcPr>
          <w:p w14:paraId="05720BC0" w14:textId="3A110E07" w:rsidR="00E330E9" w:rsidRDefault="007F1202" w:rsidP="00706AD0">
            <w:pPr>
              <w:pStyle w:val="Paragraph"/>
              <w:ind w:firstLine="0"/>
            </w:pPr>
            <m:oMathPara>
              <m:oMath>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nary>
                  <m:naryPr>
                    <m:chr m:val="∑"/>
                    <m:limLoc m:val="undOvr"/>
                    <m:ctrlPr>
                      <w:rPr>
                        <w:rFonts w:ascii="Cambria Math" w:hAnsi="Cambria Math"/>
                        <w:i/>
                      </w:rPr>
                    </m:ctrlPr>
                  </m:naryPr>
                  <m:sub>
                    <m:r>
                      <w:rPr>
                        <w:rFonts w:ascii="Cambria Math" w:hAnsi="Cambria Math"/>
                      </w:rPr>
                      <m:t>t</m:t>
                    </m:r>
                    <m:r>
                      <w:rPr>
                        <w:rFonts w:ascii="Cambria Math" w:hAnsi="Cambria Math"/>
                      </w:rPr>
                      <m:t>=1</m:t>
                    </m:r>
                  </m:sub>
                  <m:sup>
                    <m:r>
                      <w:rPr>
                        <w:rFonts w:ascii="Cambria Math" w:hAnsi="Cambria Math"/>
                      </w:rPr>
                      <m:t>T</m:t>
                    </m:r>
                    <m:r>
                      <w:rPr>
                        <w:rFonts w:ascii="Cambria Math" w:hAnsi="Cambria Math"/>
                      </w:rPr>
                      <m:t>-</m:t>
                    </m:r>
                    <m:r>
                      <w:rPr>
                        <w:rFonts w:ascii="Cambria Math" w:hAnsi="Cambria Math"/>
                      </w:rPr>
                      <m:t>R</m:t>
                    </m:r>
                  </m:sup>
                  <m:e>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r</m:t>
                            </m:r>
                          </m:e>
                        </m:d>
                      </m:e>
                      <m:sup>
                        <m:r>
                          <w:rPr>
                            <w:rFonts w:ascii="Cambria Math" w:hAnsi="Cambria Math"/>
                          </w:rPr>
                          <m:t>t</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t</m:t>
                    </m:r>
                    <m:r>
                      <w:rPr>
                        <w:rFonts w:ascii="Cambria Math" w:hAnsi="Cambria Math"/>
                      </w:rPr>
                      <m:t>=1</m:t>
                    </m:r>
                  </m:sub>
                  <m:sup>
                    <m:r>
                      <w:rPr>
                        <w:rFonts w:ascii="Cambria Math" w:hAnsi="Cambria Math"/>
                      </w:rPr>
                      <m:t>T</m:t>
                    </m:r>
                    <m:r>
                      <w:rPr>
                        <w:rFonts w:ascii="Cambria Math" w:hAnsi="Cambria Math"/>
                      </w:rPr>
                      <m:t>-</m:t>
                    </m:r>
                    <m:r>
                      <w:rPr>
                        <w:rFonts w:ascii="Cambria Math" w:hAnsi="Cambria Math"/>
                      </w:rPr>
                      <m:t>R</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r</m:t>
                                </m:r>
                              </m:e>
                            </m:d>
                          </m:e>
                          <m:sup>
                            <m:r>
                              <w:rPr>
                                <w:rFonts w:ascii="Cambria Math" w:hAnsi="Cambria Math"/>
                              </w:rPr>
                              <m:t>t</m:t>
                            </m:r>
                          </m:sup>
                        </m:sSup>
                      </m:den>
                    </m:f>
                  </m:e>
                </m:nary>
              </m:oMath>
            </m:oMathPara>
          </w:p>
        </w:tc>
        <w:tc>
          <w:tcPr>
            <w:tcW w:w="850" w:type="dxa"/>
            <w:vAlign w:val="center"/>
          </w:tcPr>
          <w:p w14:paraId="03396D97" w14:textId="622C4233" w:rsidR="00E330E9" w:rsidRDefault="00E330E9" w:rsidP="00E330E9">
            <w:pPr>
              <w:pStyle w:val="Paragraph"/>
              <w:ind w:firstLine="0"/>
              <w:jc w:val="right"/>
            </w:pPr>
            <w:r>
              <w:t>(1)</w:t>
            </w:r>
          </w:p>
        </w:tc>
      </w:tr>
    </w:tbl>
    <w:p w14:paraId="664174D2" w14:textId="27932228" w:rsidR="005453B7" w:rsidRDefault="005453B7" w:rsidP="005453B7">
      <w:pPr>
        <w:pStyle w:val="Paragraph"/>
        <w:ind w:firstLine="0"/>
      </w:pPr>
      <w:r>
        <w:t>w</w:t>
      </w:r>
      <w:r w:rsidRPr="005453B7">
        <w:t>her</w:t>
      </w:r>
      <w:r>
        <w:t xml:space="preserve">e </w:t>
      </w:r>
      <m:oMath>
        <m:sSub>
          <m:sSubPr>
            <m:ctrlPr>
              <w:rPr>
                <w:rFonts w:ascii="Cambria Math" w:hAnsi="Cambria Math"/>
                <w:i/>
              </w:rPr>
            </m:ctrlPr>
          </m:sSubPr>
          <m:e>
            <m:r>
              <w:rPr>
                <w:rFonts w:ascii="Cambria Math" w:hAnsi="Cambria Math"/>
              </w:rPr>
              <m:t>A</m:t>
            </m:r>
          </m:e>
          <m:sub>
            <m:r>
              <w:rPr>
                <w:rFonts w:ascii="Cambria Math" w:hAnsi="Cambria Math"/>
              </w:rPr>
              <m:t>R</m:t>
            </m:r>
          </m:sub>
        </m:sSub>
      </m:oMath>
      <w:r>
        <w:t xml:space="preserve"> is</w:t>
      </w:r>
      <w:r w:rsidRPr="005453B7">
        <w:t xml:space="preserve"> the total asset accumulated upon retirement at ag</w:t>
      </w:r>
      <w:r>
        <w:t xml:space="preserve">e </w:t>
      </w:r>
      <m:oMath>
        <m:r>
          <w:rPr>
            <w:rFonts w:ascii="Cambria Math" w:hAnsi="Cambria Math"/>
          </w:rPr>
          <m:t>R</m:t>
        </m:r>
      </m:oMath>
      <w:r>
        <w:t xml:space="preserve">, </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 xml:space="preserve"> i</w:t>
      </w:r>
      <w:r w:rsidRPr="005453B7">
        <w:t>s the pension income at ag</w:t>
      </w:r>
      <w:r>
        <w:t xml:space="preserve">e </w:t>
      </w:r>
      <m:oMath>
        <m:r>
          <w:rPr>
            <w:rFonts w:ascii="Cambria Math" w:hAnsi="Cambria Math"/>
          </w:rPr>
          <m:t>t</m:t>
        </m:r>
      </m:oMath>
      <w:r>
        <w:t>, i</w:t>
      </w:r>
      <w:r w:rsidRPr="005453B7">
        <w:t>s the consumption at ag</w:t>
      </w:r>
      <w:r>
        <w:t xml:space="preserve">e </w:t>
      </w:r>
      <m:oMath>
        <m:r>
          <w:rPr>
            <w:rFonts w:ascii="Cambria Math" w:hAnsi="Cambria Math"/>
          </w:rPr>
          <m:t>t</m:t>
        </m:r>
      </m:oMath>
      <w:r>
        <w:t xml:space="preserve">, </w:t>
      </w:r>
      <m:oMath>
        <m:r>
          <w:rPr>
            <w:rFonts w:ascii="Cambria Math" w:hAnsi="Cambria Math"/>
          </w:rPr>
          <m:t>R</m:t>
        </m:r>
      </m:oMath>
      <w:r>
        <w:t xml:space="preserve"> i</w:t>
      </w:r>
      <w:r w:rsidRPr="005453B7">
        <w:t>s the retirement age an</w:t>
      </w:r>
      <w:r>
        <w:t xml:space="preserve">d </w:t>
      </w:r>
      <m:oMath>
        <m:r>
          <w:rPr>
            <w:rFonts w:ascii="Cambria Math" w:hAnsi="Cambria Math"/>
          </w:rPr>
          <m:t>T</m:t>
        </m:r>
      </m:oMath>
      <w:r>
        <w:t xml:space="preserve"> i</w:t>
      </w:r>
      <w:r w:rsidRPr="005453B7">
        <w:t>s the age at death. According to Equation (7), retirement wealth is adequate if the left-hand side that represents the sum of accumulated assets plus the present value of pension income at retirement age is equal or greater than the right-hand side which denotes the present value of retirement consumption at retirement age. Here, the term retirement consumption is equivalent to the retirement needs</w:t>
      </w:r>
      <w:r>
        <w:t>.</w:t>
      </w:r>
    </w:p>
    <w:p w14:paraId="681D97D1" w14:textId="674DABB8" w:rsidR="00697207" w:rsidRDefault="005453B7" w:rsidP="00706AD0">
      <w:pPr>
        <w:pStyle w:val="Paragraph"/>
      </w:pPr>
      <w:r w:rsidRPr="005453B7">
        <w:t>The left-hand side of Equation (1) which is the accumulated assets includes one critical component namely the EPF dividend rate. Commonly, the rate is determined based on the average of historical dividend rate via the sample mean. For examples, see Alaudin et al. [18, 19] and Alaudin [1]. Nonetheless, a study by Rashid and San [20] shows that the dividend rate of EPF in Malaysia typically fluctuates based on the economic scenario in the country. While the rate climbed after the Asian crisis in 1997, the most recent data shows a decline for the past six years as attested by the authors. Therefore, the rate may be overestimated or underestimated with persistent use of the sample mean. This issue, however, has yet to be explored in any retirement wealth adequacy literature, to the best of our knowledge</w:t>
      </w:r>
      <w:r>
        <w:t>.</w:t>
      </w:r>
    </w:p>
    <w:p w14:paraId="0712D34C" w14:textId="54FF9F0D" w:rsidR="00BE6E53" w:rsidRDefault="00BE6E53" w:rsidP="00BE6E53">
      <w:pPr>
        <w:pStyle w:val="Heading1"/>
      </w:pPr>
      <w:r>
        <w:lastRenderedPageBreak/>
        <w:t>Methodology</w:t>
      </w:r>
    </w:p>
    <w:p w14:paraId="3B736FDC" w14:textId="7E3ABEF5" w:rsidR="00BE6E53" w:rsidRDefault="00BE6E53" w:rsidP="00BE6E53">
      <w:pPr>
        <w:pStyle w:val="Paragraph"/>
      </w:pPr>
      <w:r w:rsidRPr="00BE6E53">
        <w:t xml:space="preserve">In projecting the retirement wealth adequacy among Malaysian retirees. </w:t>
      </w:r>
      <w:r w:rsidR="00167158">
        <w:t>F</w:t>
      </w:r>
      <w:r w:rsidRPr="00BE6E53">
        <w:t>our phases (a - d) were involved whereby data analysis was executed via the R programming</w:t>
      </w:r>
      <w:r>
        <w:t>.</w:t>
      </w:r>
    </w:p>
    <w:p w14:paraId="7C15D0DB" w14:textId="77777777" w:rsidR="00B06701" w:rsidRPr="00B06701" w:rsidRDefault="00B06701" w:rsidP="00B06701">
      <w:pPr>
        <w:pStyle w:val="Paragraph"/>
      </w:pPr>
    </w:p>
    <w:p w14:paraId="41E5374E" w14:textId="7636D047" w:rsidR="00BE6E53" w:rsidRPr="00167158" w:rsidRDefault="00167158" w:rsidP="00167158">
      <w:pPr>
        <w:pStyle w:val="Paragraph"/>
        <w:numPr>
          <w:ilvl w:val="0"/>
          <w:numId w:val="46"/>
        </w:numPr>
        <w:ind w:left="357" w:hanging="357"/>
        <w:rPr>
          <w:b/>
          <w:bCs/>
        </w:rPr>
      </w:pPr>
      <w:r w:rsidRPr="00167158">
        <w:rPr>
          <w:b/>
          <w:bCs/>
        </w:rPr>
        <w:t>Phase 1: Data Selection</w:t>
      </w:r>
    </w:p>
    <w:p w14:paraId="35BCF57F" w14:textId="3A044983" w:rsidR="00167158" w:rsidRDefault="00167158" w:rsidP="00167158">
      <w:pPr>
        <w:pStyle w:val="Paragraph"/>
      </w:pPr>
      <w:r w:rsidRPr="00167158">
        <w:t>In this study, cross sectional data from the Household Income and Expenditure Survey (HEIS 2019) were used. Originally obtained from the Census, the pertinent cross-sectional dataset was retrieved from the Department of Statistics Malaysia (DOSM) and contains information on income, demographic and socioeconomic characteristics of each household. Upon retrieving the dataset from the DOSM, data selection was performed. There is a restriction of household selection, where only households with stable income were taken into account. Firstly, the data with households aging outside the range of 30 and 54 years old were excluded to ensure that the salary projections are reasonable. In addition, part-time employees were not considered in this study because household incomes would not be able to be projected accurately due to unstable or inconsistent salaries. Finally, only households with income level above the poverty threshold were selected</w:t>
      </w:r>
      <w:r>
        <w:t>.</w:t>
      </w:r>
    </w:p>
    <w:p w14:paraId="11F351F8" w14:textId="77777777" w:rsidR="00B06701" w:rsidRPr="00B06701" w:rsidRDefault="00B06701" w:rsidP="00B06701">
      <w:pPr>
        <w:pStyle w:val="Paragraph"/>
      </w:pPr>
    </w:p>
    <w:p w14:paraId="58BD63F1" w14:textId="0BEE19A3" w:rsidR="00167158" w:rsidRPr="000F3F4A" w:rsidRDefault="00167158" w:rsidP="000F3F4A">
      <w:pPr>
        <w:pStyle w:val="Paragraph"/>
        <w:numPr>
          <w:ilvl w:val="0"/>
          <w:numId w:val="46"/>
        </w:numPr>
        <w:ind w:left="357" w:hanging="357"/>
        <w:rPr>
          <w:b/>
          <w:bCs/>
        </w:rPr>
      </w:pPr>
      <w:r w:rsidRPr="00167158">
        <w:rPr>
          <w:b/>
          <w:bCs/>
        </w:rPr>
        <w:t>Phase 2: Retirement Wealth Projection</w:t>
      </w:r>
    </w:p>
    <w:p w14:paraId="1452FCF5" w14:textId="17721787" w:rsidR="00167158" w:rsidRDefault="000F3F4A" w:rsidP="00167158">
      <w:pPr>
        <w:pStyle w:val="Paragraph"/>
      </w:pPr>
      <w:r w:rsidRPr="000F3F4A">
        <w:t>The projection of retirement wealth was formulated based on three (3) main variables: EPF dividend rate, EPF contribution rate and salary increment rate according to the proposed retirement wealth model by Alaudin [1]. The projection of retirement wealth is illustrated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BD5D8B" w14:paraId="6CAE8BF3" w14:textId="77777777" w:rsidTr="00BD5D8B">
        <w:tc>
          <w:tcPr>
            <w:tcW w:w="8642" w:type="dxa"/>
          </w:tcPr>
          <w:p w14:paraId="25E2AFAF" w14:textId="355ECE29" w:rsidR="00BD5D8B" w:rsidRDefault="007F1202" w:rsidP="00167158">
            <w:pPr>
              <w:pStyle w:val="Paragraph"/>
              <w:ind w:firstLine="0"/>
            </w:pPr>
            <m:oMathPara>
              <m:oMath>
                <m:m>
                  <m:mPr>
                    <m:mcs>
                      <m:mc>
                        <m:mcPr>
                          <m:count m:val="1"/>
                          <m:mcJc m:val="center"/>
                        </m:mcPr>
                      </m:mc>
                    </m:mcs>
                    <m:ctrlPr>
                      <w:rPr>
                        <w:rFonts w:ascii="Cambria Math" w:hAnsi="Cambria Math"/>
                        <w:i/>
                      </w:rPr>
                    </m:ctrlPr>
                  </m:mPr>
                  <m:mr>
                    <m:e>
                      <m:r>
                        <w:rPr>
                          <w:rFonts w:ascii="Cambria Math" w:hAnsi="Cambria Math"/>
                        </w:rPr>
                        <m:t>K</m:t>
                      </m:r>
                      <m:r>
                        <w:rPr>
                          <w:rFonts w:ascii="Cambria Math" w:hAnsi="Cambria Math"/>
                        </w:rPr>
                        <m:t>*</m:t>
                      </m:r>
                      <m:r>
                        <w:rPr>
                          <w:rFonts w:ascii="Cambria Math" w:hAnsi="Cambria Math"/>
                        </w:rPr>
                        <m:t>S</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d</m:t>
                                  </m:r>
                                </m:e>
                              </m:d>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i</m:t>
                                  </m:r>
                                </m:e>
                              </m:d>
                              <m:d>
                                <m:dPr>
                                  <m:ctrlPr>
                                    <w:rPr>
                                      <w:rFonts w:ascii="Cambria Math" w:hAnsi="Cambria Math"/>
                                      <w:i/>
                                    </w:rPr>
                                  </m:ctrlPr>
                                </m:dPr>
                                <m:e>
                                  <m:r>
                                    <w:rPr>
                                      <w:rFonts w:ascii="Cambria Math" w:hAnsi="Cambria Math"/>
                                    </w:rPr>
                                    <m:t>1+</m:t>
                                  </m:r>
                                  <m:r>
                                    <w:rPr>
                                      <w:rFonts w:ascii="Cambria Math" w:hAnsi="Cambria Math"/>
                                    </w:rPr>
                                    <m:t>d</m:t>
                                  </m:r>
                                </m:e>
                              </m:d>
                            </m:e>
                            <m:sup>
                              <m:r>
                                <w:rPr>
                                  <w:rFonts w:ascii="Cambria Math" w:hAnsi="Cambria Math"/>
                                </w:rPr>
                                <m:t>T</m:t>
                              </m:r>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i</m:t>
                                  </m:r>
                                </m:e>
                              </m:d>
                            </m:e>
                            <m:sup>
                              <m:r>
                                <w:rPr>
                                  <w:rFonts w:ascii="Cambria Math" w:hAnsi="Cambria Math"/>
                                </w:rPr>
                                <m:t>T</m:t>
                              </m:r>
                              <m:r>
                                <w:rPr>
                                  <w:rFonts w:ascii="Cambria Math" w:hAnsi="Cambria Math"/>
                                </w:rPr>
                                <m:t>-1</m:t>
                              </m:r>
                            </m:sup>
                          </m:sSup>
                          <m:d>
                            <m:dPr>
                              <m:ctrlPr>
                                <w:rPr>
                                  <w:rFonts w:ascii="Cambria Math" w:hAnsi="Cambria Math"/>
                                  <w:i/>
                                </w:rPr>
                              </m:ctrlPr>
                            </m:dPr>
                            <m:e>
                              <m:r>
                                <w:rPr>
                                  <w:rFonts w:ascii="Cambria Math" w:hAnsi="Cambria Math"/>
                                </w:rPr>
                                <m:t>1+</m:t>
                              </m:r>
                              <m:r>
                                <w:rPr>
                                  <w:rFonts w:ascii="Cambria Math" w:hAnsi="Cambria Math"/>
                                </w:rPr>
                                <m:t>d</m:t>
                              </m:r>
                            </m:e>
                          </m:d>
                        </m:e>
                      </m:d>
                    </m:e>
                  </m:mr>
                  <m:mr>
                    <m:e>
                      <m:r>
                        <w:rPr>
                          <w:rFonts w:ascii="Cambria Math" w:hAnsi="Cambria Math"/>
                        </w:rPr>
                        <m:t>=</m:t>
                      </m:r>
                      <m:r>
                        <w:rPr>
                          <w:rFonts w:ascii="Cambria Math" w:hAnsi="Cambria Math"/>
                        </w:rPr>
                        <m:t>K</m:t>
                      </m:r>
                      <m:r>
                        <w:rPr>
                          <w:rFonts w:ascii="Cambria Math" w:hAnsi="Cambria Math"/>
                        </w:rPr>
                        <m:t>*</m:t>
                      </m:r>
                      <m:r>
                        <w:rPr>
                          <w:rFonts w:ascii="Cambria Math" w:hAnsi="Cambria Math"/>
                        </w:rPr>
                        <m:t>S</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i</m:t>
                              </m:r>
                            </m:e>
                          </m:d>
                        </m:e>
                        <m:sup>
                          <m:r>
                            <w:rPr>
                              <w:rFonts w:ascii="Cambria Math" w:hAnsi="Cambria Math"/>
                            </w:rPr>
                            <m:t>T</m:t>
                          </m:r>
                        </m:sup>
                      </m:sSup>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r>
                                        <w:rPr>
                                          <w:rFonts w:ascii="Cambria Math" w:hAnsi="Cambria Math"/>
                                        </w:rPr>
                                        <m:t>d</m:t>
                                      </m:r>
                                    </m:num>
                                    <m:den>
                                      <m:r>
                                        <w:rPr>
                                          <w:rFonts w:ascii="Cambria Math" w:hAnsi="Cambria Math"/>
                                        </w:rPr>
                                        <m:t>1+</m:t>
                                      </m:r>
                                      <m:r>
                                        <w:rPr>
                                          <w:rFonts w:ascii="Cambria Math" w:hAnsi="Cambria Math"/>
                                        </w:rPr>
                                        <m:t>i</m:t>
                                      </m:r>
                                    </m:den>
                                  </m:f>
                                </m:e>
                              </m:d>
                            </m:e>
                            <m:sup>
                              <m:r>
                                <w:rPr>
                                  <w:rFonts w:ascii="Cambria Math" w:hAnsi="Cambria Math"/>
                                </w:rPr>
                                <m:t>T</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r>
                                    <w:rPr>
                                      <w:rFonts w:ascii="Cambria Math" w:hAnsi="Cambria Math"/>
                                    </w:rPr>
                                    <m:t>d</m:t>
                                  </m:r>
                                </m:num>
                                <m:den>
                                  <m:r>
                                    <w:rPr>
                                      <w:rFonts w:ascii="Cambria Math" w:hAnsi="Cambria Math"/>
                                    </w:rPr>
                                    <m:t>1+</m:t>
                                  </m:r>
                                  <m:r>
                                    <w:rPr>
                                      <w:rFonts w:ascii="Cambria Math" w:hAnsi="Cambria Math"/>
                                    </w:rPr>
                                    <m:t>i</m:t>
                                  </m:r>
                                </m:den>
                              </m:f>
                            </m:e>
                          </m:d>
                        </m:e>
                      </m:d>
                    </m:e>
                  </m:mr>
                  <m:mr>
                    <m:e>
                      <m:r>
                        <w:rPr>
                          <w:rFonts w:ascii="Cambria Math" w:hAnsi="Cambria Math"/>
                        </w:rPr>
                        <m:t>=</m:t>
                      </m:r>
                      <m:r>
                        <w:rPr>
                          <w:rFonts w:ascii="Cambria Math" w:hAnsi="Cambria Math"/>
                        </w:rPr>
                        <m:t>K</m:t>
                      </m:r>
                      <m:r>
                        <w:rPr>
                          <w:rFonts w:ascii="Cambria Math" w:hAnsi="Cambria Math"/>
                        </w:rPr>
                        <m:t>*</m:t>
                      </m:r>
                      <m:r>
                        <w:rPr>
                          <w:rFonts w:ascii="Cambria Math" w:hAnsi="Cambria Math"/>
                        </w:rPr>
                        <m:t>S</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i</m:t>
                              </m:r>
                            </m:e>
                          </m:d>
                        </m:e>
                        <m:sup>
                          <m:r>
                            <w:rPr>
                              <w:rFonts w:ascii="Cambria Math" w:hAnsi="Cambria Math"/>
                            </w:rPr>
                            <m:t>T</m:t>
                          </m:r>
                        </m:sup>
                      </m:sSup>
                      <m:r>
                        <w:rPr>
                          <w:rFonts w:ascii="Cambria Math" w:hAnsi="Cambria Math"/>
                        </w:rPr>
                        <m:t>r</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T</m:t>
                                  </m:r>
                                </m:sup>
                              </m:sSup>
                              <m:r>
                                <w:rPr>
                                  <w:rFonts w:ascii="Cambria Math" w:hAnsi="Cambria Math"/>
                                </w:rPr>
                                <m:t>-1</m:t>
                              </m:r>
                            </m:num>
                            <m:den>
                              <m:r>
                                <w:rPr>
                                  <w:rFonts w:ascii="Cambria Math" w:hAnsi="Cambria Math"/>
                                </w:rPr>
                                <m:t>r</m:t>
                              </m:r>
                              <m:r>
                                <w:rPr>
                                  <w:rFonts w:ascii="Cambria Math" w:hAnsi="Cambria Math"/>
                                </w:rPr>
                                <m:t>-1</m:t>
                              </m:r>
                            </m:den>
                          </m:f>
                        </m:e>
                      </m:d>
                    </m:e>
                  </m:mr>
                </m:m>
              </m:oMath>
            </m:oMathPara>
          </w:p>
        </w:tc>
        <w:tc>
          <w:tcPr>
            <w:tcW w:w="708" w:type="dxa"/>
            <w:vAlign w:val="center"/>
          </w:tcPr>
          <w:p w14:paraId="047A8E37" w14:textId="5E246024" w:rsidR="00BD5D8B" w:rsidRDefault="00BD5D8B" w:rsidP="00BD5D8B">
            <w:pPr>
              <w:pStyle w:val="Paragraph"/>
              <w:ind w:firstLine="0"/>
              <w:jc w:val="right"/>
            </w:pPr>
            <w:r>
              <w:t>(2)</w:t>
            </w:r>
          </w:p>
        </w:tc>
      </w:tr>
    </w:tbl>
    <w:p w14:paraId="0F3F24F9" w14:textId="09484C77" w:rsidR="003523D3" w:rsidRDefault="003D3BA7" w:rsidP="003D3BA7">
      <w:pPr>
        <w:pStyle w:val="Paragraph"/>
        <w:ind w:firstLine="0"/>
      </w:pPr>
      <w:r>
        <w:t>where</w:t>
      </w:r>
    </w:p>
    <w:p w14:paraId="5559F141" w14:textId="2F53D71B" w:rsidR="003D3BA7" w:rsidRDefault="003D3BA7" w:rsidP="003D3BA7">
      <w:pPr>
        <w:pStyle w:val="Paragraph"/>
        <w:rPr>
          <w:iCs/>
        </w:rPr>
      </w:pPr>
      <m:oMath>
        <m:r>
          <w:rPr>
            <w:rFonts w:ascii="Cambria Math" w:hAnsi="Cambria Math"/>
          </w:rPr>
          <m:t>K</m:t>
        </m:r>
      </m:oMath>
      <w:r>
        <w:t xml:space="preserve"> – </w:t>
      </w:r>
      <w:r w:rsidRPr="003D3BA7">
        <w:rPr>
          <w:iCs/>
        </w:rPr>
        <w:t>contribution rate (employer and employee</w:t>
      </w:r>
      <w:r>
        <w:rPr>
          <w:iCs/>
        </w:rPr>
        <w:t>)</w:t>
      </w:r>
    </w:p>
    <w:p w14:paraId="684623F3" w14:textId="7C1EC56F" w:rsidR="003D3BA7" w:rsidRDefault="003D3BA7" w:rsidP="003D3BA7">
      <w:pPr>
        <w:pStyle w:val="Paragraph"/>
        <w:rPr>
          <w:iCs/>
        </w:rPr>
      </w:pPr>
      <m:oMath>
        <m:r>
          <w:rPr>
            <w:rFonts w:ascii="Cambria Math" w:hAnsi="Cambria Math"/>
          </w:rPr>
          <m:t>S</m:t>
        </m:r>
      </m:oMath>
      <w:r>
        <w:t xml:space="preserve"> – the </w:t>
      </w:r>
      <w:r w:rsidRPr="003D3BA7">
        <w:rPr>
          <w:iCs/>
        </w:rPr>
        <w:t>first annual salary</w:t>
      </w:r>
    </w:p>
    <w:p w14:paraId="00168396" w14:textId="67067638" w:rsidR="003D3BA7" w:rsidRDefault="003D3BA7" w:rsidP="003D3BA7">
      <w:pPr>
        <w:pStyle w:val="Paragraph"/>
        <w:rPr>
          <w:iCs/>
        </w:rPr>
      </w:pPr>
      <m:oMath>
        <m:r>
          <w:rPr>
            <w:rFonts w:ascii="Cambria Math" w:hAnsi="Cambria Math"/>
          </w:rPr>
          <m:t>i</m:t>
        </m:r>
      </m:oMath>
      <w:r>
        <w:t xml:space="preserve"> – salary </w:t>
      </w:r>
      <w:r w:rsidRPr="003D3BA7">
        <w:rPr>
          <w:iCs/>
        </w:rPr>
        <w:t>increment rate</w:t>
      </w:r>
    </w:p>
    <w:p w14:paraId="47A196C9" w14:textId="6025B46F" w:rsidR="003D3BA7" w:rsidRDefault="003D3BA7" w:rsidP="003D3BA7">
      <w:pPr>
        <w:pStyle w:val="Paragraph"/>
      </w:pPr>
      <m:oMath>
        <m:r>
          <w:rPr>
            <w:rFonts w:ascii="Cambria Math" w:hAnsi="Cambria Math"/>
          </w:rPr>
          <m:t>d</m:t>
        </m:r>
      </m:oMath>
      <w:r>
        <w:t xml:space="preserve"> – dividend rate</w:t>
      </w:r>
    </w:p>
    <w:p w14:paraId="7672C89F" w14:textId="7C37938D" w:rsidR="003D3BA7" w:rsidRDefault="003D3BA7" w:rsidP="003D3BA7">
      <w:pPr>
        <w:pStyle w:val="Paragraph"/>
        <w:rPr>
          <w:iCs/>
        </w:rPr>
      </w:pPr>
      <m:oMath>
        <m:r>
          <w:rPr>
            <w:rFonts w:ascii="Cambria Math" w:hAnsi="Cambria Math"/>
          </w:rPr>
          <m:t>T</m:t>
        </m:r>
      </m:oMath>
      <w:r>
        <w:t xml:space="preserve"> – future </w:t>
      </w:r>
      <w:r w:rsidRPr="003D3BA7">
        <w:rPr>
          <w:iCs/>
        </w:rPr>
        <w:t>service year at the start of working year</w:t>
      </w:r>
    </w:p>
    <w:p w14:paraId="4F62061D" w14:textId="5CC7295E" w:rsidR="003D3BA7" w:rsidRDefault="003D3BA7" w:rsidP="003D3BA7">
      <w:pPr>
        <w:pStyle w:val="Paragraph"/>
        <w:ind w:firstLine="0"/>
        <w:rPr>
          <w:iCs/>
        </w:rPr>
      </w:pPr>
      <w:r>
        <w:rPr>
          <w:iCs/>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B450FA" w14:paraId="463EF36C" w14:textId="77777777" w:rsidTr="00B450FA">
        <w:tc>
          <w:tcPr>
            <w:tcW w:w="8642" w:type="dxa"/>
          </w:tcPr>
          <w:p w14:paraId="18D1684F" w14:textId="61943FFA" w:rsidR="00B450FA" w:rsidRDefault="00B450FA" w:rsidP="003D3BA7">
            <w:pPr>
              <w:pStyle w:val="Paragraph"/>
              <w:ind w:firstLine="0"/>
              <w:rPr>
                <w:iCs/>
              </w:rPr>
            </w:pPr>
            <w:bookmarkStart w:id="0" w:name="_Hlk206431634"/>
            <m:oMathPara>
              <m:oMath>
                <m:r>
                  <w:rPr>
                    <w:rFonts w:ascii="Cambria Math" w:hAnsi="Cambria Math"/>
                  </w:rPr>
                  <m:t>r=</m:t>
                </m:r>
                <m:f>
                  <m:fPr>
                    <m:ctrlPr>
                      <w:rPr>
                        <w:rFonts w:ascii="Cambria Math" w:hAnsi="Cambria Math"/>
                        <w:i/>
                      </w:rPr>
                    </m:ctrlPr>
                  </m:fPr>
                  <m:num>
                    <m:r>
                      <w:rPr>
                        <w:rFonts w:ascii="Cambria Math" w:hAnsi="Cambria Math"/>
                      </w:rPr>
                      <m:t>1+d</m:t>
                    </m:r>
                  </m:num>
                  <m:den>
                    <m:r>
                      <w:rPr>
                        <w:rFonts w:ascii="Cambria Math" w:hAnsi="Cambria Math"/>
                      </w:rPr>
                      <m:t>1+i</m:t>
                    </m:r>
                  </m:den>
                </m:f>
                <m:r>
                  <w:rPr>
                    <w:rFonts w:ascii="Cambria Math" w:hAnsi="Cambria Math"/>
                  </w:rPr>
                  <m:t>&gt;1</m:t>
                </m:r>
              </m:oMath>
            </m:oMathPara>
          </w:p>
        </w:tc>
        <w:tc>
          <w:tcPr>
            <w:tcW w:w="708" w:type="dxa"/>
            <w:vAlign w:val="center"/>
          </w:tcPr>
          <w:p w14:paraId="349B55FF" w14:textId="41F25A96" w:rsidR="00B450FA" w:rsidRDefault="00B450FA" w:rsidP="00B450FA">
            <w:pPr>
              <w:pStyle w:val="Paragraph"/>
              <w:ind w:firstLine="0"/>
              <w:jc w:val="right"/>
              <w:rPr>
                <w:iCs/>
              </w:rPr>
            </w:pPr>
            <w:r>
              <w:rPr>
                <w:iCs/>
              </w:rPr>
              <w:t>(2a)</w:t>
            </w:r>
          </w:p>
        </w:tc>
      </w:tr>
    </w:tbl>
    <w:bookmarkEnd w:id="0"/>
    <w:p w14:paraId="0F36ADF0" w14:textId="5BDD53CD" w:rsidR="00910006" w:rsidRDefault="00910006" w:rsidP="00910006">
      <w:pPr>
        <w:pStyle w:val="Paragraph"/>
      </w:pPr>
      <w:r w:rsidRPr="00910006">
        <w:rPr>
          <w:iCs/>
        </w:rPr>
        <w:t>I</w:t>
      </w:r>
      <w:r w:rsidRPr="00910006">
        <w:t>t should be noted that Equation (2a) contain</w:t>
      </w:r>
      <w:r>
        <w:t xml:space="preserve">s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w:t>
      </w:r>
      <w:r w:rsidRPr="00910006">
        <w:t>hich is the main component in projecting th</w:t>
      </w:r>
      <w:r w:rsidR="00FB404D">
        <w:t xml:space="preserve">e </w:t>
      </w:r>
      <w:r w:rsidR="00FB404D" w:rsidRPr="00FB404D">
        <w:rPr>
          <w:i/>
          <w:iCs/>
        </w:rPr>
        <w:t>j</w:t>
      </w:r>
      <w:r w:rsidR="00FB404D" w:rsidRPr="00FB404D">
        <w:rPr>
          <w:i/>
          <w:iCs/>
          <w:vertAlign w:val="superscript"/>
        </w:rPr>
        <w:t>th</w:t>
      </w:r>
      <w:r w:rsidR="00FB404D">
        <w:t xml:space="preserve"> y</w:t>
      </w:r>
      <w:r w:rsidRPr="00910006">
        <w:t>ear of retirement wealth. The usual practice is to comput</w:t>
      </w:r>
      <w:r>
        <w:t xml:space="preserve">e </w:t>
      </w:r>
      <m:oMath>
        <m:r>
          <w:rPr>
            <w:rFonts w:ascii="Cambria Math" w:hAnsi="Cambria Math"/>
          </w:rPr>
          <m:t>d</m:t>
        </m:r>
      </m:oMath>
      <w:r>
        <w:t xml:space="preserve"> b</w:t>
      </w:r>
      <w:r w:rsidRPr="00910006">
        <w:t>ased on the usual sample mea</w:t>
      </w:r>
      <w:r>
        <w:t xml:space="preserve">n </w:t>
      </w:r>
      <m:oMath>
        <m:d>
          <m:dPr>
            <m:ctrlPr>
              <w:rPr>
                <w:rFonts w:ascii="Cambria Math" w:hAnsi="Cambria Math"/>
                <w:i/>
              </w:rPr>
            </m:ctrlPr>
          </m:dPr>
          <m:e>
            <m:acc>
              <m:accPr>
                <m:chr m:val="̅"/>
                <m:ctrlPr>
                  <w:rPr>
                    <w:rFonts w:ascii="Cambria Math" w:hAnsi="Cambria Math"/>
                    <w:i/>
                  </w:rPr>
                </m:ctrlPr>
              </m:accPr>
              <m:e>
                <m:r>
                  <w:rPr>
                    <w:rFonts w:ascii="Cambria Math" w:hAnsi="Cambria Math"/>
                  </w:rPr>
                  <m:t>X</m:t>
                </m:r>
              </m:e>
            </m:acc>
          </m:e>
        </m:d>
      </m:oMath>
      <w:r w:rsidRPr="00910006">
        <w:t>. It is widely known tha</w:t>
      </w:r>
      <w:r>
        <w:t xml:space="preserve">t </w:t>
      </w:r>
      <m:oMath>
        <m:acc>
          <m:accPr>
            <m:chr m:val="̅"/>
            <m:ctrlPr>
              <w:rPr>
                <w:rFonts w:ascii="Cambria Math" w:hAnsi="Cambria Math"/>
                <w:i/>
              </w:rPr>
            </m:ctrlPr>
          </m:accPr>
          <m:e>
            <m:r>
              <w:rPr>
                <w:rFonts w:ascii="Cambria Math" w:hAnsi="Cambria Math"/>
              </w:rPr>
              <m:t>X</m:t>
            </m:r>
          </m:e>
        </m:acc>
      </m:oMath>
      <w:r>
        <w:t xml:space="preserve"> i</w:t>
      </w:r>
      <w:r w:rsidRPr="00910006">
        <w:t>s easily perturbed by extreme values and thus, may lead to overestimation or underestimation of the computed value. From financial perspective, this situation may create misinformation for Malaysian retirees. As such, the wealth-need ratio gauged from the retirement wealth model may not be accurate</w:t>
      </w:r>
      <w:r>
        <w:t>.</w:t>
      </w:r>
    </w:p>
    <w:p w14:paraId="2A687892" w14:textId="77A31DE9" w:rsidR="00516A51" w:rsidRDefault="00516A51" w:rsidP="00910006">
      <w:pPr>
        <w:pStyle w:val="Paragraph"/>
        <w:rPr>
          <w:iCs/>
        </w:rPr>
      </w:pPr>
      <w:r w:rsidRPr="00516A51">
        <w:t xml:space="preserve">To mitigate the effect of extreme values on the calculation of wealth-need ratio in projecting the retirement wealth, this study employed two robust location estimators in place of the </w:t>
      </w:r>
      <m:oMath>
        <m:acc>
          <m:accPr>
            <m:chr m:val="̅"/>
            <m:ctrlPr>
              <w:rPr>
                <w:rFonts w:ascii="Cambria Math" w:hAnsi="Cambria Math"/>
                <w:i/>
              </w:rPr>
            </m:ctrlPr>
          </m:accPr>
          <m:e>
            <m:r>
              <w:rPr>
                <w:rFonts w:ascii="Cambria Math" w:hAnsi="Cambria Math"/>
              </w:rPr>
              <m:t>X</m:t>
            </m:r>
          </m:e>
        </m:acc>
      </m:oMath>
      <w:r w:rsidRPr="00516A51">
        <w:t xml:space="preserve"> for computin</w:t>
      </w:r>
      <w:r>
        <w:t xml:space="preserve">g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w:t>
      </w:r>
      <w:r w:rsidRPr="00516A51">
        <w:rPr>
          <w:iCs/>
        </w:rPr>
        <w:t xml:space="preserve"> They are listed in Table 1</w:t>
      </w:r>
      <w:r>
        <w:rPr>
          <w:iCs/>
        </w:rPr>
        <w:t>.</w:t>
      </w:r>
    </w:p>
    <w:p w14:paraId="12BB8C66" w14:textId="1E455A4E" w:rsidR="00516A51" w:rsidRDefault="00FC3214" w:rsidP="00FC3214">
      <w:pPr>
        <w:pStyle w:val="TableCaption"/>
      </w:pPr>
      <w:r w:rsidRPr="00FC3214">
        <w:rPr>
          <w:b/>
          <w:bCs/>
        </w:rPr>
        <w:t>TABLE 1.</w:t>
      </w:r>
      <w:r>
        <w:t xml:space="preserve"> Robust location estimators.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127"/>
        <w:gridCol w:w="1979"/>
      </w:tblGrid>
      <w:tr w:rsidR="00126881" w14:paraId="4FC5D002" w14:textId="77777777" w:rsidTr="00A87AD3">
        <w:trPr>
          <w:jc w:val="center"/>
        </w:trPr>
        <w:tc>
          <w:tcPr>
            <w:tcW w:w="2127" w:type="dxa"/>
            <w:tcBorders>
              <w:bottom w:val="single" w:sz="4" w:space="0" w:color="auto"/>
              <w:right w:val="nil"/>
            </w:tcBorders>
          </w:tcPr>
          <w:p w14:paraId="09EE122D" w14:textId="4B692365" w:rsidR="00126881" w:rsidRPr="00126881" w:rsidRDefault="00126881" w:rsidP="00910006">
            <w:pPr>
              <w:pStyle w:val="Paragraph"/>
              <w:ind w:firstLine="0"/>
              <w:rPr>
                <w:b/>
                <w:bCs/>
                <w:iCs/>
              </w:rPr>
            </w:pPr>
            <w:r w:rsidRPr="00126881">
              <w:rPr>
                <w:b/>
                <w:bCs/>
                <w:iCs/>
              </w:rPr>
              <w:t>Estimator</w:t>
            </w:r>
          </w:p>
        </w:tc>
        <w:tc>
          <w:tcPr>
            <w:tcW w:w="1979" w:type="dxa"/>
            <w:tcBorders>
              <w:left w:val="nil"/>
              <w:bottom w:val="single" w:sz="4" w:space="0" w:color="auto"/>
            </w:tcBorders>
          </w:tcPr>
          <w:p w14:paraId="0D3BF229" w14:textId="32ABEF8F" w:rsidR="00126881" w:rsidRPr="00126881" w:rsidRDefault="00126881" w:rsidP="00FC3214">
            <w:pPr>
              <w:pStyle w:val="Paragraph"/>
              <w:ind w:firstLine="0"/>
              <w:jc w:val="center"/>
              <w:rPr>
                <w:b/>
                <w:bCs/>
                <w:iCs/>
              </w:rPr>
            </w:pPr>
            <w:r w:rsidRPr="00126881">
              <w:rPr>
                <w:b/>
                <w:bCs/>
                <w:iCs/>
              </w:rPr>
              <w:t>Notation</w:t>
            </w:r>
          </w:p>
        </w:tc>
      </w:tr>
      <w:tr w:rsidR="00126881" w14:paraId="6572446F" w14:textId="77777777" w:rsidTr="00A87AD3">
        <w:trPr>
          <w:jc w:val="center"/>
        </w:trPr>
        <w:tc>
          <w:tcPr>
            <w:tcW w:w="2127" w:type="dxa"/>
            <w:tcBorders>
              <w:bottom w:val="nil"/>
              <w:right w:val="nil"/>
            </w:tcBorders>
          </w:tcPr>
          <w:p w14:paraId="72C9B0A5" w14:textId="7F360B0A" w:rsidR="00126881" w:rsidRDefault="00126881" w:rsidP="00910006">
            <w:pPr>
              <w:pStyle w:val="Paragraph"/>
              <w:ind w:firstLine="0"/>
              <w:rPr>
                <w:iCs/>
              </w:rPr>
            </w:pPr>
            <w:r>
              <w:rPr>
                <w:iCs/>
              </w:rPr>
              <w:t>Trimean</w:t>
            </w:r>
          </w:p>
        </w:tc>
        <w:tc>
          <w:tcPr>
            <w:tcW w:w="1979" w:type="dxa"/>
            <w:tcBorders>
              <w:left w:val="nil"/>
              <w:bottom w:val="nil"/>
            </w:tcBorders>
          </w:tcPr>
          <w:p w14:paraId="3E8A9491" w14:textId="7EA30640" w:rsidR="00126881" w:rsidRDefault="00FC3214" w:rsidP="00910006">
            <w:pPr>
              <w:pStyle w:val="Paragraph"/>
              <w:ind w:firstLine="0"/>
              <w:rPr>
                <w:iCs/>
              </w:rPr>
            </w:pPr>
            <m:oMathPara>
              <m:oMath>
                <m:r>
                  <w:rPr>
                    <w:rFonts w:ascii="Cambria Math" w:hAnsi="Cambria Math"/>
                  </w:rPr>
                  <m:t>TM</m:t>
                </m:r>
              </m:oMath>
            </m:oMathPara>
          </w:p>
        </w:tc>
      </w:tr>
      <w:tr w:rsidR="00126881" w14:paraId="57781FE9" w14:textId="77777777" w:rsidTr="00A87AD3">
        <w:trPr>
          <w:jc w:val="center"/>
        </w:trPr>
        <w:tc>
          <w:tcPr>
            <w:tcW w:w="2127" w:type="dxa"/>
            <w:tcBorders>
              <w:top w:val="nil"/>
              <w:right w:val="nil"/>
            </w:tcBorders>
          </w:tcPr>
          <w:p w14:paraId="6BB83448" w14:textId="631088D8" w:rsidR="00126881" w:rsidRDefault="00126881" w:rsidP="00910006">
            <w:pPr>
              <w:pStyle w:val="Paragraph"/>
              <w:ind w:firstLine="0"/>
              <w:rPr>
                <w:iCs/>
              </w:rPr>
            </w:pPr>
            <w:r>
              <w:rPr>
                <w:iCs/>
              </w:rPr>
              <w:t>Trimmed mean</w:t>
            </w:r>
          </w:p>
        </w:tc>
        <w:tc>
          <w:tcPr>
            <w:tcW w:w="1979" w:type="dxa"/>
            <w:tcBorders>
              <w:top w:val="nil"/>
              <w:left w:val="nil"/>
            </w:tcBorders>
          </w:tcPr>
          <w:p w14:paraId="14BAA5D2" w14:textId="2B8D1D0A" w:rsidR="00126881" w:rsidRDefault="007F1202" w:rsidP="00910006">
            <w:pPr>
              <w:pStyle w:val="Paragraph"/>
              <w:ind w:firstLine="0"/>
              <w:rPr>
                <w:iCs/>
              </w:rPr>
            </w:pPr>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X</m:t>
                        </m:r>
                      </m:e>
                    </m:acc>
                  </m:e>
                  <m:sub>
                    <m:r>
                      <w:rPr>
                        <w:rFonts w:ascii="Cambria Math" w:hAnsi="Cambria Math"/>
                      </w:rPr>
                      <m:t>0.2</m:t>
                    </m:r>
                  </m:sub>
                </m:sSub>
              </m:oMath>
            </m:oMathPara>
          </w:p>
        </w:tc>
      </w:tr>
    </w:tbl>
    <w:p w14:paraId="6A1D146F" w14:textId="77777777" w:rsidR="00126881" w:rsidRDefault="00126881" w:rsidP="00910006">
      <w:pPr>
        <w:pStyle w:val="Paragraph"/>
        <w:rPr>
          <w:iCs/>
        </w:rPr>
      </w:pPr>
    </w:p>
    <w:p w14:paraId="1471336F" w14:textId="33B7F868" w:rsidR="00516A51" w:rsidRDefault="00516A51" w:rsidP="00910006">
      <w:pPr>
        <w:pStyle w:val="Paragraph"/>
      </w:pPr>
      <w:r w:rsidRPr="00516A51">
        <w:t>The first estimator</w:t>
      </w:r>
      <w:r>
        <w:t xml:space="preserve">, </w:t>
      </w:r>
      <m:oMath>
        <m:r>
          <w:rPr>
            <w:rFonts w:ascii="Cambria Math" w:hAnsi="Cambria Math"/>
          </w:rPr>
          <m:t>TM</m:t>
        </m:r>
      </m:oMath>
      <w:r>
        <w:t xml:space="preserve">, </w:t>
      </w:r>
      <w:r w:rsidRPr="00516A51">
        <w:t>is the weighted average three quartiles as defined in Equation (2b)</w:t>
      </w:r>
      <w:r w:rsidR="00B25D9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B450FA" w14:paraId="6564965C" w14:textId="77777777" w:rsidTr="00B450FA">
        <w:tc>
          <w:tcPr>
            <w:tcW w:w="8642" w:type="dxa"/>
          </w:tcPr>
          <w:p w14:paraId="25E9B309" w14:textId="1BF5E943" w:rsidR="00B450FA" w:rsidRDefault="00B450FA" w:rsidP="00BD1E92">
            <w:pPr>
              <w:pStyle w:val="Paragraph"/>
              <w:ind w:firstLine="0"/>
              <w:rPr>
                <w:iCs/>
              </w:rPr>
            </w:pPr>
            <m:oMathPara>
              <m:oMath>
                <m:r>
                  <w:rPr>
                    <w:rFonts w:ascii="Cambria Math" w:hAnsi="Cambria Math"/>
                  </w:rPr>
                  <m:t>TM=</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num>
                  <m:den>
                    <m:r>
                      <w:rPr>
                        <w:rFonts w:ascii="Cambria Math" w:hAnsi="Cambria Math"/>
                      </w:rPr>
                      <m:t>4</m:t>
                    </m:r>
                  </m:den>
                </m:f>
              </m:oMath>
            </m:oMathPara>
          </w:p>
        </w:tc>
        <w:tc>
          <w:tcPr>
            <w:tcW w:w="708" w:type="dxa"/>
            <w:vAlign w:val="center"/>
          </w:tcPr>
          <w:p w14:paraId="118639D0" w14:textId="5293F7FE" w:rsidR="00B450FA" w:rsidRDefault="00B450FA" w:rsidP="00BD1E92">
            <w:pPr>
              <w:pStyle w:val="Paragraph"/>
              <w:ind w:firstLine="0"/>
              <w:jc w:val="right"/>
              <w:rPr>
                <w:iCs/>
              </w:rPr>
            </w:pPr>
            <w:r>
              <w:rPr>
                <w:iCs/>
              </w:rPr>
              <w:t>(2b)</w:t>
            </w:r>
          </w:p>
        </w:tc>
      </w:tr>
    </w:tbl>
    <w:p w14:paraId="4F8C3282" w14:textId="33C1726B" w:rsidR="004F63E2" w:rsidRDefault="004F63E2" w:rsidP="004F63E2">
      <w:pPr>
        <w:pStyle w:val="Paragraph"/>
        <w:ind w:firstLine="0"/>
      </w:pPr>
      <w:r>
        <w:t xml:space="preserve">where </w:t>
      </w:r>
      <m:oMath>
        <m:sSub>
          <m:sSubPr>
            <m:ctrlPr>
              <w:rPr>
                <w:rFonts w:ascii="Cambria Math" w:hAnsi="Cambria Math"/>
                <w:i/>
              </w:rPr>
            </m:ctrlPr>
          </m:sSubPr>
          <m:e>
            <m:r>
              <w:rPr>
                <w:rFonts w:ascii="Cambria Math" w:hAnsi="Cambria Math"/>
              </w:rPr>
              <m:t>Q</m:t>
            </m:r>
          </m:e>
          <m:sub>
            <m:r>
              <w:rPr>
                <w:rFonts w:ascii="Cambria Math" w:hAnsi="Cambria Math"/>
              </w:rPr>
              <m:t>p</m:t>
            </m:r>
          </m:sub>
        </m:sSub>
        <m:d>
          <m:dPr>
            <m:ctrlPr>
              <w:rPr>
                <w:rFonts w:ascii="Cambria Math" w:hAnsi="Cambria Math"/>
                <w:i/>
              </w:rPr>
            </m:ctrlPr>
          </m:dPr>
          <m:e>
            <m:r>
              <w:rPr>
                <w:rFonts w:ascii="Cambria Math" w:hAnsi="Cambria Math"/>
              </w:rPr>
              <m:t>p=1,2,3</m:t>
            </m:r>
          </m:e>
        </m:d>
      </m:oMath>
      <w:r>
        <w:t xml:space="preserve"> </w:t>
      </w:r>
      <w:r w:rsidRPr="004F63E2">
        <w:t>denotes one of the three quartiles</w:t>
      </w:r>
      <w:r>
        <w:t>.</w:t>
      </w:r>
      <w:r w:rsidR="00B25D95">
        <w:t xml:space="preserve"> </w:t>
      </w:r>
    </w:p>
    <w:p w14:paraId="43A0AC41" w14:textId="3419697B" w:rsidR="004F63E2" w:rsidRDefault="004F63E2" w:rsidP="004F63E2">
      <w:pPr>
        <w:pStyle w:val="Paragraph"/>
      </w:pPr>
      <w:r w:rsidRPr="004F63E2">
        <w:t>Meanwhile, the sample trimmed mean is defined as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B450FA" w14:paraId="2C63D337" w14:textId="77777777" w:rsidTr="00B450FA">
        <w:tc>
          <w:tcPr>
            <w:tcW w:w="8642" w:type="dxa"/>
          </w:tcPr>
          <w:p w14:paraId="2A03A545" w14:textId="68426F1A" w:rsidR="00B450FA" w:rsidRDefault="007F1202" w:rsidP="00BD1E92">
            <w:pPr>
              <w:pStyle w:val="Paragraph"/>
              <w:ind w:firstLine="0"/>
              <w:rPr>
                <w:iCs/>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α</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r>
                      <w:rPr>
                        <w:rFonts w:ascii="Cambria Math" w:hAnsi="Cambria Math"/>
                      </w:rPr>
                      <m:t>-2</m:t>
                    </m:r>
                    <m:d>
                      <m:dPr>
                        <m:begChr m:val="["/>
                        <m:endChr m:val="]"/>
                        <m:ctrlPr>
                          <w:rPr>
                            <w:rFonts w:ascii="Cambria Math" w:hAnsi="Cambria Math"/>
                            <w:i/>
                          </w:rPr>
                        </m:ctrlPr>
                      </m:dPr>
                      <m:e>
                        <m:r>
                          <w:rPr>
                            <w:rFonts w:ascii="Cambria Math" w:hAnsi="Cambria Math"/>
                          </w:rPr>
                          <m:t>nα</m:t>
                        </m:r>
                      </m:e>
                    </m:d>
                  </m:den>
                </m:f>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m:t>
                        </m:r>
                        <m:r>
                          <w:rPr>
                            <w:rFonts w:ascii="Cambria Math" w:hAnsi="Cambria Math"/>
                          </w:rPr>
                          <m:t>=</m:t>
                        </m:r>
                        <m:d>
                          <m:dPr>
                            <m:begChr m:val="["/>
                            <m:endChr m:val="]"/>
                            <m:ctrlPr>
                              <w:rPr>
                                <w:rFonts w:ascii="Cambria Math" w:hAnsi="Cambria Math"/>
                                <w:i/>
                              </w:rPr>
                            </m:ctrlPr>
                          </m:dPr>
                          <m:e>
                            <m:r>
                              <w:rPr>
                                <w:rFonts w:ascii="Cambria Math" w:hAnsi="Cambria Math"/>
                              </w:rPr>
                              <m:t>nα</m:t>
                            </m:r>
                          </m:e>
                        </m:d>
                        <m:r>
                          <w:rPr>
                            <w:rFonts w:ascii="Cambria Math" w:hAnsi="Cambria Math"/>
                          </w:rPr>
                          <m:t>+1</m:t>
                        </m:r>
                      </m:sub>
                      <m:sup>
                        <m:r>
                          <w:rPr>
                            <w:rFonts w:ascii="Cambria Math" w:hAnsi="Cambria Math"/>
                          </w:rPr>
                          <m:t>n</m:t>
                        </m:r>
                        <m:r>
                          <w:rPr>
                            <w:rFonts w:ascii="Cambria Math" w:hAnsi="Cambria Math"/>
                          </w:rPr>
                          <m:t>-</m:t>
                        </m:r>
                        <m:d>
                          <m:dPr>
                            <m:begChr m:val="["/>
                            <m:endChr m:val="]"/>
                            <m:ctrlPr>
                              <w:rPr>
                                <w:rFonts w:ascii="Cambria Math" w:hAnsi="Cambria Math"/>
                                <w:i/>
                              </w:rPr>
                            </m:ctrlPr>
                          </m:dPr>
                          <m:e>
                            <m:r>
                              <w:rPr>
                                <w:rFonts w:ascii="Cambria Math" w:hAnsi="Cambria Math"/>
                              </w:rPr>
                              <m:t>nα</m:t>
                            </m:r>
                          </m:e>
                        </m:d>
                      </m:sup>
                      <m:e>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e>
                    </m:nary>
                  </m:e>
                </m:d>
              </m:oMath>
            </m:oMathPara>
          </w:p>
        </w:tc>
        <w:tc>
          <w:tcPr>
            <w:tcW w:w="708" w:type="dxa"/>
            <w:vAlign w:val="center"/>
          </w:tcPr>
          <w:p w14:paraId="68E821C1" w14:textId="08D284BB" w:rsidR="00B450FA" w:rsidRDefault="00B450FA" w:rsidP="00BD1E92">
            <w:pPr>
              <w:pStyle w:val="Paragraph"/>
              <w:ind w:firstLine="0"/>
              <w:jc w:val="right"/>
              <w:rPr>
                <w:iCs/>
              </w:rPr>
            </w:pPr>
            <w:r>
              <w:rPr>
                <w:iCs/>
              </w:rPr>
              <w:t>(2c)</w:t>
            </w:r>
          </w:p>
        </w:tc>
      </w:tr>
    </w:tbl>
    <w:p w14:paraId="4DD637DC" w14:textId="1FB7C6BE" w:rsidR="00FB404D" w:rsidRDefault="00FB404D" w:rsidP="00B06701">
      <w:pPr>
        <w:pStyle w:val="Paragraph"/>
        <w:ind w:firstLine="0"/>
        <w:rPr>
          <w:iCs/>
        </w:rPr>
      </w:pPr>
      <w:r>
        <w:t xml:space="preserve">where </w:t>
      </w:r>
      <m:oMath>
        <m:r>
          <w:rPr>
            <w:rFonts w:ascii="Cambria Math" w:hAnsi="Cambria Math"/>
          </w:rPr>
          <m:t>α</m:t>
        </m:r>
      </m:oMath>
      <w:r>
        <w:t xml:space="preserve"> is </w:t>
      </w:r>
      <w:r w:rsidRPr="00FB404D">
        <w:rPr>
          <w:iCs/>
        </w:rPr>
        <w:t>the trimming proportion an</w:t>
      </w:r>
      <w:r>
        <w:rPr>
          <w:iCs/>
        </w:rPr>
        <w:t xml:space="preserve">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oMath>
      <w:r>
        <w:rPr>
          <w:iCs/>
        </w:rPr>
        <w:t xml:space="preserve"> i</w:t>
      </w:r>
      <w:r w:rsidRPr="00FB404D">
        <w:rPr>
          <w:iCs/>
        </w:rPr>
        <w:t xml:space="preserve">s the </w:t>
      </w:r>
      <w:r w:rsidRPr="00FB404D">
        <w:rPr>
          <w:i/>
        </w:rPr>
        <w:t>i</w:t>
      </w:r>
      <w:r w:rsidRPr="00FB404D">
        <w:rPr>
          <w:iCs/>
          <w:vertAlign w:val="superscript"/>
        </w:rPr>
        <w:t>th</w:t>
      </w:r>
      <w:r w:rsidRPr="00FB404D">
        <w:rPr>
          <w:iCs/>
        </w:rPr>
        <w:t xml:space="preserve"> order statistics in a random sample of siz</w:t>
      </w:r>
      <w:r>
        <w:rPr>
          <w:iCs/>
        </w:rPr>
        <w:t xml:space="preserve">e </w:t>
      </w:r>
      <m:oMath>
        <m:r>
          <w:rPr>
            <w:rFonts w:ascii="Cambria Math" w:hAnsi="Cambria Math"/>
          </w:rPr>
          <m:t>n</m:t>
        </m:r>
      </m:oMath>
      <w:r>
        <w:rPr>
          <w:iCs/>
        </w:rPr>
        <w:t>.</w:t>
      </w:r>
      <w:r w:rsidRPr="00FB404D">
        <w:rPr>
          <w:iCs/>
        </w:rPr>
        <w:t xml:space="preserve"> In other words, trimmed mean is an adjusted mean whereby the average is calculated after removing th</w:t>
      </w:r>
      <w:r>
        <w:rPr>
          <w:iCs/>
        </w:rPr>
        <w:t xml:space="preserve">e </w:t>
      </w:r>
      <m:oMath>
        <m:d>
          <m:dPr>
            <m:ctrlPr>
              <w:rPr>
                <w:rFonts w:ascii="Cambria Math" w:hAnsi="Cambria Math"/>
                <w:i/>
                <w:iCs/>
              </w:rPr>
            </m:ctrlPr>
          </m:dPr>
          <m:e>
            <m:r>
              <w:rPr>
                <w:rFonts w:ascii="Cambria Math" w:hAnsi="Cambria Math"/>
              </w:rPr>
              <m:t>nα</m:t>
            </m:r>
          </m:e>
        </m:d>
      </m:oMath>
      <w:r>
        <w:rPr>
          <w:iCs/>
        </w:rPr>
        <w:t xml:space="preserve"> s</w:t>
      </w:r>
      <w:r w:rsidRPr="00FB404D">
        <w:rPr>
          <w:iCs/>
        </w:rPr>
        <w:t>mallest and th</w:t>
      </w:r>
      <w:r>
        <w:rPr>
          <w:iCs/>
        </w:rPr>
        <w:t xml:space="preserve">e </w:t>
      </w:r>
      <m:oMath>
        <m:d>
          <m:dPr>
            <m:ctrlPr>
              <w:rPr>
                <w:rFonts w:ascii="Cambria Math" w:hAnsi="Cambria Math"/>
                <w:i/>
                <w:iCs/>
              </w:rPr>
            </m:ctrlPr>
          </m:dPr>
          <m:e>
            <m:r>
              <w:rPr>
                <w:rFonts w:ascii="Cambria Math" w:hAnsi="Cambria Math"/>
              </w:rPr>
              <m:t>nα</m:t>
            </m:r>
          </m:e>
        </m:d>
      </m:oMath>
      <w:r>
        <w:rPr>
          <w:iCs/>
        </w:rPr>
        <w:t xml:space="preserve"> l</w:t>
      </w:r>
      <w:r w:rsidRPr="00FB404D">
        <w:rPr>
          <w:iCs/>
        </w:rPr>
        <w:t>argest observations. In this study</w:t>
      </w:r>
      <w:r>
        <w:rPr>
          <w:iCs/>
        </w:rPr>
        <w:t xml:space="preserve">, </w:t>
      </w:r>
      <m:oMath>
        <m:r>
          <w:rPr>
            <w:rFonts w:ascii="Cambria Math" w:hAnsi="Cambria Math"/>
          </w:rPr>
          <m:t>α</m:t>
        </m:r>
      </m:oMath>
      <w:r>
        <w:rPr>
          <w:iCs/>
        </w:rPr>
        <w:t xml:space="preserve"> w</w:t>
      </w:r>
      <w:r w:rsidRPr="00FB404D">
        <w:rPr>
          <w:iCs/>
        </w:rPr>
        <w:t>as set at 20% in order to attain a small standard error for the said robust estimator [21</w:t>
      </w:r>
      <w:r>
        <w:rPr>
          <w:iCs/>
        </w:rPr>
        <w:t>].</w:t>
      </w:r>
    </w:p>
    <w:p w14:paraId="4431AA11" w14:textId="60011517" w:rsidR="00257A9A" w:rsidRDefault="00257A9A" w:rsidP="00257A9A">
      <w:pPr>
        <w:pStyle w:val="Paragraph"/>
        <w:rPr>
          <w:iCs/>
        </w:rPr>
      </w:pPr>
      <w:r w:rsidRPr="00257A9A">
        <w:rPr>
          <w:iCs/>
        </w:rPr>
        <w:t>Notably, Equation (2) can be rewritten in a more detailed form if the dividend rate and the salary increment rate are assumed to be random and change annually as shown in Equa</w:t>
      </w:r>
      <w:r>
        <w:rPr>
          <w:iCs/>
        </w:rPr>
        <w:t>t</w:t>
      </w:r>
      <w:r w:rsidRPr="00257A9A">
        <w:rPr>
          <w:iCs/>
        </w:rPr>
        <w:t>ion</w:t>
      </w:r>
      <w:r w:rsidR="00D95F87">
        <w:rPr>
          <w:iCs/>
        </w:rPr>
        <w:t>s</w:t>
      </w:r>
      <w:r w:rsidRPr="00257A9A">
        <w:rPr>
          <w:iCs/>
        </w:rPr>
        <w:t xml:space="preserve"> (3a) – (3c). In this study, three (3) different scenarios were considered in projecting the retirement wealth. The scenarios are</w:t>
      </w:r>
      <w:r>
        <w:rPr>
          <w:iCs/>
        </w:rPr>
        <w:t>:</w:t>
      </w:r>
    </w:p>
    <w:p w14:paraId="3B714128" w14:textId="3B0BDB2B" w:rsidR="00257A9A" w:rsidRDefault="00257A9A" w:rsidP="00257A9A">
      <w:pPr>
        <w:pStyle w:val="Paragraphbulleted"/>
      </w:pPr>
      <w:r>
        <w:t>Model 1: No partial withdrawal</w:t>
      </w:r>
      <w:r w:rsidR="009570A4">
        <w:t>,</w:t>
      </w:r>
    </w:p>
    <w:p w14:paraId="48AD42A8" w14:textId="50E3CD1F" w:rsidR="00257A9A" w:rsidRDefault="00257A9A" w:rsidP="00257A9A">
      <w:pPr>
        <w:pStyle w:val="Paragraphbulleted"/>
      </w:pPr>
      <w:r>
        <w:t xml:space="preserve">Model 2: </w:t>
      </w:r>
      <w:r w:rsidRPr="00257A9A">
        <w:rPr>
          <w:iCs/>
        </w:rPr>
        <w:t>Partial withdrawal to purchase house</w:t>
      </w:r>
      <w:r w:rsidR="009570A4">
        <w:rPr>
          <w:iCs/>
        </w:rPr>
        <w:t>,</w:t>
      </w:r>
    </w:p>
    <w:p w14:paraId="2C8F4DD1" w14:textId="4E41098F" w:rsidR="00257A9A" w:rsidRPr="00257A9A" w:rsidRDefault="00257A9A" w:rsidP="00257A9A">
      <w:pPr>
        <w:pStyle w:val="Paragraphbulleted"/>
      </w:pPr>
      <w:r>
        <w:t xml:space="preserve">Model 3: </w:t>
      </w:r>
      <w:r w:rsidRPr="00257A9A">
        <w:rPr>
          <w:iCs/>
        </w:rPr>
        <w:t>Partial withdrawal to purchase house and partial withdrawal at age 50</w:t>
      </w:r>
      <w:r w:rsidR="009570A4">
        <w:rPr>
          <w:iCs/>
        </w:rPr>
        <w:t>.</w:t>
      </w:r>
    </w:p>
    <w:p w14:paraId="25C1E10F" w14:textId="2FB7D8FB" w:rsidR="00257A9A" w:rsidRDefault="009570A4" w:rsidP="00257A9A">
      <w:pPr>
        <w:pStyle w:val="Paragraph"/>
        <w:rPr>
          <w:iCs/>
        </w:rPr>
      </w:pPr>
      <w:r w:rsidRPr="009570A4">
        <w:rPr>
          <w:iCs/>
        </w:rPr>
        <w:t>Specifically, the projected EPF's accumulated amount at retirement age, based on annual contributions multiplied by accumulated dividends can be classified and described as follows</w:t>
      </w:r>
      <w:r>
        <w:rPr>
          <w:iCs/>
        </w:rPr>
        <w:t>:</w:t>
      </w:r>
    </w:p>
    <w:p w14:paraId="1A461F15" w14:textId="77777777" w:rsidR="001656ED" w:rsidRDefault="001656ED" w:rsidP="00257A9A">
      <w:pPr>
        <w:pStyle w:val="Paragraph"/>
        <w:rPr>
          <w:iCs/>
        </w:rPr>
      </w:pPr>
    </w:p>
    <w:p w14:paraId="397EEBD0" w14:textId="2ED3D012" w:rsidR="009570A4" w:rsidRPr="00FC7179" w:rsidRDefault="000A0878" w:rsidP="00257A9A">
      <w:pPr>
        <w:pStyle w:val="Paragraph"/>
        <w:rPr>
          <w:b/>
          <w:bCs/>
          <w:u w:val="single"/>
        </w:rPr>
      </w:pPr>
      <w:r w:rsidRPr="00FC7179">
        <w:rPr>
          <w:b/>
          <w:bCs/>
          <w:iCs/>
          <w:u w:val="single"/>
        </w:rPr>
        <w:t xml:space="preserve">Model 1: </w:t>
      </w:r>
      <w:r w:rsidRPr="00FC7179">
        <w:rPr>
          <w:b/>
          <w:bCs/>
          <w:u w:val="single"/>
        </w:rPr>
        <w:t>No partial withdrawal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A86071" w14:paraId="1DA14B89" w14:textId="77777777" w:rsidTr="00A86071">
        <w:tc>
          <w:tcPr>
            <w:tcW w:w="8500" w:type="dxa"/>
          </w:tcPr>
          <w:p w14:paraId="6C34FA4A" w14:textId="3CEB113C" w:rsidR="00A86071" w:rsidRDefault="007F1202" w:rsidP="000A0878">
            <w:pPr>
              <w:pStyle w:val="Paragraph"/>
              <w:ind w:firstLine="0"/>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0</m:t>
                    </m:r>
                  </m:sub>
                </m:sSub>
                <m:nary>
                  <m:naryPr>
                    <m:chr m:val="∑"/>
                    <m:limLoc m:val="undOvr"/>
                    <m:ctrlPr>
                      <w:rPr>
                        <w:rFonts w:ascii="Cambria Math" w:hAnsi="Cambria Math"/>
                        <w:i/>
                      </w:rPr>
                    </m:ctrlPr>
                  </m:naryPr>
                  <m:sub>
                    <m:r>
                      <w:rPr>
                        <w:rFonts w:ascii="Cambria Math" w:hAnsi="Cambria Math"/>
                      </w:rPr>
                      <m:t>j</m:t>
                    </m:r>
                    <m:r>
                      <w:rPr>
                        <w:rFonts w:ascii="Cambria Math" w:hAnsi="Cambria Math"/>
                      </w:rPr>
                      <m:t>=0</m:t>
                    </m:r>
                  </m:sub>
                  <m:sup>
                    <m:r>
                      <w:rPr>
                        <w:rFonts w:ascii="Cambria Math" w:hAnsi="Cambria Math"/>
                      </w:rPr>
                      <m:t>T</m:t>
                    </m:r>
                    <m:r>
                      <w:rPr>
                        <w:rFonts w:ascii="Cambria Math" w:hAnsi="Cambria Math"/>
                      </w:rPr>
                      <m:t>-1</m:t>
                    </m:r>
                  </m:sup>
                  <m:e>
                    <m:nary>
                      <m:naryPr>
                        <m:chr m:val="∏"/>
                        <m:limLoc m:val="undOvr"/>
                        <m:ctrlPr>
                          <w:rPr>
                            <w:rFonts w:ascii="Cambria Math" w:hAnsi="Cambria Math"/>
                            <w:i/>
                          </w:rPr>
                        </m:ctrlPr>
                      </m:naryPr>
                      <m:sub>
                        <m:r>
                          <w:rPr>
                            <w:rFonts w:ascii="Cambria Math" w:hAnsi="Cambria Math"/>
                          </w:rPr>
                          <m:t>s</m:t>
                        </m:r>
                        <m:r>
                          <w:rPr>
                            <w:rFonts w:ascii="Cambria Math" w:hAnsi="Cambria Math"/>
                          </w:rPr>
                          <m:t>=0</m:t>
                        </m:r>
                      </m:sub>
                      <m:sup>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m:t>
                                </m:r>
                              </m:sub>
                            </m:sSub>
                          </m:e>
                        </m:d>
                      </m:e>
                    </m:nary>
                    <m:nary>
                      <m:naryPr>
                        <m:chr m:val="∏"/>
                        <m:limLoc m:val="undOvr"/>
                        <m:ctrlPr>
                          <w:rPr>
                            <w:rFonts w:ascii="Cambria Math" w:hAnsi="Cambria Math"/>
                            <w:i/>
                          </w:rPr>
                        </m:ctrlPr>
                      </m:naryPr>
                      <m:sub>
                        <m:r>
                          <w:rPr>
                            <w:rFonts w:ascii="Cambria Math" w:hAnsi="Cambria Math"/>
                          </w:rPr>
                          <m:t>s</m:t>
                        </m:r>
                        <m:r>
                          <w:rPr>
                            <w:rFonts w:ascii="Cambria Math" w:hAnsi="Cambria Math"/>
                          </w:rPr>
                          <m:t>=0</m:t>
                        </m:r>
                      </m:sub>
                      <m:sup>
                        <m:r>
                          <w:rPr>
                            <w:rFonts w:ascii="Cambria Math" w:hAnsi="Cambria Math"/>
                          </w:rPr>
                          <m:t>T</m:t>
                        </m:r>
                        <m:r>
                          <w:rPr>
                            <w:rFonts w:ascii="Cambria Math" w:hAnsi="Cambria Math"/>
                          </w:rPr>
                          <m:t>-</m:t>
                        </m:r>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s</m:t>
                                </m:r>
                                <m:r>
                                  <w:rPr>
                                    <w:rFonts w:ascii="Cambria Math" w:hAnsi="Cambria Math"/>
                                  </w:rPr>
                                  <m:t>+</m:t>
                                </m:r>
                                <m:r>
                                  <w:rPr>
                                    <w:rFonts w:ascii="Cambria Math" w:hAnsi="Cambria Math"/>
                                  </w:rPr>
                                  <m:t>j</m:t>
                                </m:r>
                              </m:sub>
                            </m:sSub>
                          </m:e>
                        </m:d>
                      </m:e>
                    </m:nary>
                  </m:e>
                </m:nary>
              </m:oMath>
            </m:oMathPara>
          </w:p>
        </w:tc>
        <w:tc>
          <w:tcPr>
            <w:tcW w:w="850" w:type="dxa"/>
            <w:vAlign w:val="center"/>
          </w:tcPr>
          <w:p w14:paraId="4772E3FD" w14:textId="208CE4A9" w:rsidR="00A86071" w:rsidRDefault="00A86071" w:rsidP="00A86071">
            <w:pPr>
              <w:pStyle w:val="Paragraph"/>
              <w:ind w:firstLine="0"/>
              <w:jc w:val="right"/>
            </w:pPr>
            <w:r>
              <w:t>(3</w:t>
            </w:r>
            <w:r w:rsidR="009C05C8">
              <w:t>a</w:t>
            </w:r>
            <w:r>
              <w:t>)</w:t>
            </w:r>
          </w:p>
        </w:tc>
      </w:tr>
    </w:tbl>
    <w:p w14:paraId="139BAC8A" w14:textId="38C10C0F" w:rsidR="001656ED" w:rsidRDefault="001656ED" w:rsidP="001656ED">
      <w:pPr>
        <w:pStyle w:val="Paragraph"/>
      </w:pPr>
      <w:r>
        <w:t>where</w:t>
      </w:r>
    </w:p>
    <w:p w14:paraId="1E0BC85D" w14:textId="33934DD1" w:rsidR="001656ED" w:rsidRDefault="007F1202" w:rsidP="001656ED">
      <w:pPr>
        <w:pStyle w:val="Paragraph"/>
      </w:pP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1656ED">
        <w:t xml:space="preserve"> – accumulated EPF savings</w:t>
      </w:r>
    </w:p>
    <w:p w14:paraId="3A6E80FF" w14:textId="783FA895" w:rsidR="001656ED" w:rsidRDefault="001656ED" w:rsidP="001656ED">
      <w:pPr>
        <w:pStyle w:val="Paragraph"/>
      </w:pPr>
      <m:oMath>
        <m:r>
          <w:rPr>
            <w:rFonts w:ascii="Cambria Math" w:hAnsi="Cambria Math"/>
          </w:rPr>
          <m:t>K</m:t>
        </m:r>
      </m:oMath>
      <w:r>
        <w:t xml:space="preserve"> – contribution rate</w:t>
      </w:r>
    </w:p>
    <w:p w14:paraId="767E19CB" w14:textId="21EA2AEC" w:rsidR="001656ED" w:rsidRDefault="007F1202" w:rsidP="001656ED">
      <w:pPr>
        <w:pStyle w:val="Paragraph"/>
      </w:pP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1656ED">
        <w:t xml:space="preserve"> – salary in year </w:t>
      </w:r>
      <w:r w:rsidR="001656ED">
        <w:rPr>
          <w:i/>
          <w:iCs/>
        </w:rPr>
        <w:t>j</w:t>
      </w:r>
      <w:r w:rsidR="001656ED">
        <w:rPr>
          <w:i/>
          <w:iCs/>
          <w:vertAlign w:val="superscript"/>
        </w:rPr>
        <w:t>th</w:t>
      </w:r>
    </w:p>
    <w:p w14:paraId="7AB6F88D" w14:textId="0A72C143" w:rsidR="001656ED" w:rsidRDefault="007F1202" w:rsidP="001656ED">
      <w:pPr>
        <w:pStyle w:val="Paragraph"/>
      </w:pP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001656ED">
        <w:t xml:space="preserve"> – EPF dividend rate in year </w:t>
      </w:r>
      <w:r w:rsidR="001656ED">
        <w:rPr>
          <w:i/>
          <w:iCs/>
        </w:rPr>
        <w:t>j</w:t>
      </w:r>
      <w:r w:rsidR="001656ED">
        <w:rPr>
          <w:i/>
          <w:iCs/>
          <w:vertAlign w:val="superscript"/>
        </w:rPr>
        <w:t>th</w:t>
      </w:r>
    </w:p>
    <w:p w14:paraId="770D835A" w14:textId="37429D7D" w:rsidR="001656ED" w:rsidRDefault="001656ED" w:rsidP="001656ED">
      <w:pPr>
        <w:pStyle w:val="Paragraph"/>
      </w:pPr>
      <m:oMath>
        <m:r>
          <w:rPr>
            <w:rFonts w:ascii="Cambria Math" w:hAnsi="Cambria Math"/>
          </w:rPr>
          <m:t>T</m:t>
        </m:r>
      </m:oMath>
      <w:r>
        <w:t xml:space="preserve"> – the future service years from age at first year salary to age at retirement</w:t>
      </w:r>
    </w:p>
    <w:p w14:paraId="57B907E1" w14:textId="725AF022" w:rsidR="001656ED" w:rsidRDefault="007F1202" w:rsidP="001656ED">
      <w:pPr>
        <w:pStyle w:val="Paragraph"/>
      </w:pPr>
      <m:oMath>
        <m:sSub>
          <m:sSubPr>
            <m:ctrlPr>
              <w:rPr>
                <w:rFonts w:ascii="Cambria Math" w:hAnsi="Cambria Math"/>
                <w:i/>
              </w:rPr>
            </m:ctrlPr>
          </m:sSubPr>
          <m:e>
            <m:r>
              <w:rPr>
                <w:rFonts w:ascii="Cambria Math" w:hAnsi="Cambria Math"/>
              </w:rPr>
              <m:t>S</m:t>
            </m:r>
          </m:e>
          <m:sub>
            <m:r>
              <w:rPr>
                <w:rFonts w:ascii="Cambria Math" w:hAnsi="Cambria Math"/>
              </w:rPr>
              <m:t>0</m:t>
            </m:r>
          </m:sub>
        </m:sSub>
      </m:oMath>
      <w:r w:rsidR="001656ED">
        <w:t xml:space="preserve"> – the first year salary</w:t>
      </w:r>
    </w:p>
    <w:p w14:paraId="5044F1A1" w14:textId="77777777" w:rsidR="001656ED" w:rsidRPr="001656ED" w:rsidRDefault="001656ED" w:rsidP="001656ED">
      <w:pPr>
        <w:pStyle w:val="Paragraph"/>
      </w:pPr>
    </w:p>
    <w:p w14:paraId="12539354" w14:textId="399B3DB9" w:rsidR="000A0878" w:rsidRPr="00FC7179" w:rsidRDefault="000A0878" w:rsidP="00257A9A">
      <w:pPr>
        <w:pStyle w:val="Paragraph"/>
        <w:rPr>
          <w:b/>
          <w:bCs/>
          <w:iCs/>
          <w:u w:val="single"/>
        </w:rPr>
      </w:pPr>
      <w:r w:rsidRPr="00FC7179">
        <w:rPr>
          <w:b/>
          <w:bCs/>
          <w:u w:val="single"/>
        </w:rPr>
        <w:t xml:space="preserve">Model 2: </w:t>
      </w:r>
      <w:r w:rsidRPr="00FC7179">
        <w:rPr>
          <w:b/>
          <w:bCs/>
          <w:iCs/>
          <w:u w:val="single"/>
        </w:rPr>
        <w:t>Partial withdrawal to purchase house</w:t>
      </w:r>
    </w:p>
    <w:p w14:paraId="24C40248" w14:textId="25D40290" w:rsidR="000A0878" w:rsidRPr="002A7F8B" w:rsidRDefault="007F1202" w:rsidP="000A0878">
      <w:pPr>
        <w:pStyle w:val="Paragraph"/>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Model</m:t>
          </m:r>
          <m:r>
            <w:rPr>
              <w:rFonts w:ascii="Cambria Math" w:hAnsi="Cambria Math"/>
            </w:rPr>
            <m:t xml:space="preserve"> 1-</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contribution</m:t>
              </m:r>
              <m:r>
                <w:rPr>
                  <w:rFonts w:ascii="Cambria Math" w:hAnsi="Cambria Math"/>
                </w:rPr>
                <m:t xml:space="preserve"> </m:t>
              </m:r>
              <m:r>
                <w:rPr>
                  <w:rFonts w:ascii="Cambria Math" w:hAnsi="Cambria Math"/>
                </w:rPr>
                <m:t>from</m:t>
              </m:r>
              <m:r>
                <w:rPr>
                  <w:rFonts w:ascii="Cambria Math" w:hAnsi="Cambria Math"/>
                </w:rPr>
                <m:t xml:space="preserve"> </m:t>
              </m:r>
              <m:r>
                <w:rPr>
                  <w:rFonts w:ascii="Cambria Math" w:hAnsi="Cambria Math"/>
                </w:rPr>
                <m:t>t</m:t>
              </m:r>
              <m:r>
                <w:rPr>
                  <w:rFonts w:ascii="Cambria Math" w:hAnsi="Cambria Math"/>
                </w:rPr>
                <m:t xml:space="preserve">=0 </m:t>
              </m:r>
              <m:r>
                <w:rPr>
                  <w:rFonts w:ascii="Cambria Math" w:hAnsi="Cambria Math"/>
                </w:rPr>
                <m:t>to</m:t>
              </m:r>
              <m:r>
                <w:rPr>
                  <w:rFonts w:ascii="Cambria Math" w:hAnsi="Cambria Math"/>
                </w:rPr>
                <m:t xml:space="preserve"> </m:t>
              </m:r>
              <m:r>
                <w:rPr>
                  <w:rFonts w:ascii="Cambria Math" w:hAnsi="Cambria Math"/>
                </w:rPr>
                <m:t>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oMath>
      </m:oMathPara>
    </w:p>
    <w:p w14:paraId="08EC766F" w14:textId="525BF6B4" w:rsidR="002A7F8B" w:rsidRDefault="002A7F8B" w:rsidP="000A0878">
      <w:pPr>
        <w:pStyle w:val="Paragraph"/>
      </w:pPr>
      <m:oMathPara>
        <m:oMath>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0</m:t>
              </m:r>
            </m:sub>
          </m:sSub>
          <m:nary>
            <m:naryPr>
              <m:chr m:val="∑"/>
              <m:limLoc m:val="undOvr"/>
              <m:ctrlPr>
                <w:rPr>
                  <w:rFonts w:ascii="Cambria Math" w:hAnsi="Cambria Math"/>
                  <w:i/>
                </w:rPr>
              </m:ctrlPr>
            </m:naryPr>
            <m:sub>
              <m:r>
                <w:rPr>
                  <w:rFonts w:ascii="Cambria Math" w:hAnsi="Cambria Math"/>
                </w:rPr>
                <m:t>j=0</m:t>
              </m:r>
            </m:sub>
            <m:sup>
              <m:r>
                <w:rPr>
                  <w:rFonts w:ascii="Cambria Math" w:hAnsi="Cambria Math"/>
                </w:rPr>
                <m:t>T</m:t>
              </m:r>
            </m:sup>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s=0</m:t>
                      </m:r>
                    </m:sub>
                    <m:sup>
                      <m:r>
                        <w:rPr>
                          <w:rFonts w:ascii="Cambria Math" w:hAnsi="Cambria Math"/>
                        </w:rPr>
                        <m:t>j</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m:t>
                              </m:r>
                            </m:sub>
                          </m:sSub>
                        </m:e>
                      </m:d>
                    </m:e>
                  </m:nary>
                  <m:nary>
                    <m:naryPr>
                      <m:chr m:val="∏"/>
                      <m:limLoc m:val="undOvr"/>
                      <m:ctrlPr>
                        <w:rPr>
                          <w:rFonts w:ascii="Cambria Math" w:hAnsi="Cambria Math"/>
                          <w:i/>
                        </w:rPr>
                      </m:ctrlPr>
                    </m:naryPr>
                    <m:sub>
                      <m:r>
                        <w:rPr>
                          <w:rFonts w:ascii="Cambria Math" w:hAnsi="Cambria Math"/>
                        </w:rPr>
                        <m:t>s=0</m:t>
                      </m:r>
                    </m:sub>
                    <m:sup>
                      <m:r>
                        <w:rPr>
                          <w:rFonts w:ascii="Cambria Math" w:hAnsi="Cambria Math"/>
                        </w:rPr>
                        <m:t>T-j</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s+j</m:t>
                              </m:r>
                            </m:sub>
                          </m:sSub>
                        </m:e>
                      </m:d>
                    </m:e>
                  </m:nary>
                </m:e>
              </m:d>
              <m:r>
                <w:rPr>
                  <w:rFonts w:ascii="Cambria Math" w:hAnsi="Cambria Math"/>
                </w:rPr>
                <m:t>-</m:t>
              </m:r>
            </m:e>
          </m:nary>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0</m:t>
              </m:r>
            </m:sub>
          </m:sSub>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j=0</m:t>
                  </m:r>
                </m:sub>
                <m:sup>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-1</m:t>
                  </m:r>
                </m:sup>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s=0</m:t>
                          </m:r>
                        </m:sub>
                        <m:sup>
                          <m:r>
                            <w:rPr>
                              <w:rFonts w:ascii="Cambria Math" w:hAnsi="Cambria Math"/>
                            </w:rPr>
                            <m:t>j-1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m:t>
                                  </m:r>
                                </m:sub>
                              </m:sSub>
                            </m:e>
                          </m:d>
                        </m:e>
                      </m:nary>
                      <m:nary>
                        <m:naryPr>
                          <m:chr m:val="∏"/>
                          <m:limLoc m:val="undOvr"/>
                          <m:ctrlPr>
                            <w:rPr>
                              <w:rFonts w:ascii="Cambria Math" w:hAnsi="Cambria Math"/>
                              <w:i/>
                            </w:rPr>
                          </m:ctrlPr>
                        </m:naryPr>
                        <m:sub>
                          <m:r>
                            <w:rPr>
                              <w:rFonts w:ascii="Cambria Math" w:hAnsi="Cambria Math"/>
                            </w:rPr>
                            <m:t>s=0</m:t>
                          </m:r>
                        </m:sub>
                        <m:sup>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-j-1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s+j</m:t>
                                  </m:r>
                                </m:sub>
                              </m:sSub>
                            </m:e>
                          </m:d>
                        </m:e>
                      </m:nary>
                    </m:e>
                  </m:d>
                </m:e>
              </m:nary>
            </m:e>
          </m:d>
          <m:nary>
            <m:naryPr>
              <m:chr m:val="∏"/>
              <m:limLoc m:val="undOvr"/>
              <m:ctrlPr>
                <w:rPr>
                  <w:rFonts w:ascii="Cambria Math" w:hAnsi="Cambria Math"/>
                  <w:i/>
                </w:rPr>
              </m:ctrlPr>
            </m:naryPr>
            <m:sub>
              <m:r>
                <w:rPr>
                  <w:rFonts w:ascii="Cambria Math" w:hAnsi="Cambria Math"/>
                </w:rPr>
                <m:t>j=</m:t>
              </m:r>
              <m:sSub>
                <m:sSubPr>
                  <m:ctrlPr>
                    <w:rPr>
                      <w:rFonts w:ascii="Cambria Math" w:hAnsi="Cambria Math"/>
                      <w:i/>
                    </w:rPr>
                  </m:ctrlPr>
                </m:sSubPr>
                <m:e>
                  <m:r>
                    <w:rPr>
                      <w:rFonts w:ascii="Cambria Math" w:hAnsi="Cambria Math"/>
                    </w:rPr>
                    <m:t>T</m:t>
                  </m:r>
                </m:e>
                <m:sub>
                  <m:r>
                    <w:rPr>
                      <w:rFonts w:ascii="Cambria Math" w:hAnsi="Cambria Math"/>
                    </w:rPr>
                    <m:t>1</m:t>
                  </m:r>
                </m:sub>
              </m:sSub>
            </m:sub>
            <m:sup>
              <m:r>
                <w:rPr>
                  <w:rFonts w:ascii="Cambria Math" w:hAnsi="Cambria Math"/>
                </w:rPr>
                <m:t>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j</m:t>
                      </m:r>
                    </m:sub>
                  </m:sSub>
                </m:e>
              </m:d>
            </m:e>
          </m:nary>
        </m:oMath>
      </m:oMathPara>
    </w:p>
    <w:p w14:paraId="27444715" w14:textId="0D248AF7" w:rsidR="00350EE7" w:rsidRDefault="009C05C8" w:rsidP="009C05C8">
      <w:pPr>
        <w:pStyle w:val="Paragraph"/>
        <w:jc w:val="right"/>
      </w:pPr>
      <w:r>
        <w:t>(3b)</w:t>
      </w:r>
    </w:p>
    <w:p w14:paraId="3BDF5567" w14:textId="77777777" w:rsidR="009C05C8" w:rsidRPr="000A0878" w:rsidRDefault="009C05C8" w:rsidP="000A0878">
      <w:pPr>
        <w:pStyle w:val="Paragraph"/>
      </w:pPr>
    </w:p>
    <w:p w14:paraId="658407C9" w14:textId="07613558" w:rsidR="000A0878" w:rsidRPr="00FC7179" w:rsidRDefault="000A0878" w:rsidP="00257A9A">
      <w:pPr>
        <w:pStyle w:val="Paragraph"/>
        <w:rPr>
          <w:b/>
          <w:bCs/>
          <w:iCs/>
          <w:u w:val="single"/>
        </w:rPr>
      </w:pPr>
      <w:r w:rsidRPr="00FC7179">
        <w:rPr>
          <w:b/>
          <w:bCs/>
          <w:iCs/>
          <w:u w:val="single"/>
        </w:rPr>
        <w:t>Model 3: Partial withdrawal to purchase house and partial withdrawal at age 50</w:t>
      </w:r>
    </w:p>
    <w:p w14:paraId="7667BA0D" w14:textId="7F6C6F37" w:rsidR="000A0878" w:rsidRDefault="007F1202" w:rsidP="000A0878">
      <w:pPr>
        <w:pStyle w:val="Paragraph"/>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0</m:t>
              </m:r>
            </m:sub>
          </m:sSub>
          <m:nary>
            <m:naryPr>
              <m:chr m:val="∑"/>
              <m:limLoc m:val="undOvr"/>
              <m:ctrlPr>
                <w:rPr>
                  <w:rFonts w:ascii="Cambria Math" w:hAnsi="Cambria Math"/>
                  <w:i/>
                </w:rPr>
              </m:ctrlPr>
            </m:naryPr>
            <m:sub>
              <m:r>
                <w:rPr>
                  <w:rFonts w:ascii="Cambria Math" w:hAnsi="Cambria Math"/>
                </w:rPr>
                <m:t>j</m:t>
              </m:r>
              <m:r>
                <w:rPr>
                  <w:rFonts w:ascii="Cambria Math" w:hAnsi="Cambria Math"/>
                </w:rPr>
                <m:t>=0</m:t>
              </m:r>
            </m:sub>
            <m:sup>
              <m:r>
                <w:rPr>
                  <w:rFonts w:ascii="Cambria Math" w:hAnsi="Cambria Math"/>
                </w:rPr>
                <m:t>T</m:t>
              </m:r>
              <m:r>
                <w:rPr>
                  <w:rFonts w:ascii="Cambria Math" w:hAnsi="Cambria Math"/>
                </w:rPr>
                <m:t>-1</m:t>
              </m:r>
            </m:sup>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s</m:t>
                      </m:r>
                      <m:r>
                        <w:rPr>
                          <w:rFonts w:ascii="Cambria Math" w:hAnsi="Cambria Math"/>
                        </w:rPr>
                        <m:t>=0</m:t>
                      </m:r>
                    </m:sub>
                    <m:sup>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m:t>
                              </m:r>
                            </m:sub>
                          </m:sSub>
                        </m:e>
                      </m:d>
                    </m:e>
                  </m:nary>
                  <m:nary>
                    <m:naryPr>
                      <m:chr m:val="∏"/>
                      <m:limLoc m:val="undOvr"/>
                      <m:ctrlPr>
                        <w:rPr>
                          <w:rFonts w:ascii="Cambria Math" w:hAnsi="Cambria Math"/>
                          <w:i/>
                        </w:rPr>
                      </m:ctrlPr>
                    </m:naryPr>
                    <m:sub>
                      <m:r>
                        <w:rPr>
                          <w:rFonts w:ascii="Cambria Math" w:hAnsi="Cambria Math"/>
                        </w:rPr>
                        <m:t>s</m:t>
                      </m:r>
                      <m:r>
                        <w:rPr>
                          <w:rFonts w:ascii="Cambria Math" w:hAnsi="Cambria Math"/>
                        </w:rPr>
                        <m:t>=0</m:t>
                      </m:r>
                    </m:sub>
                    <m:sup>
                      <m:r>
                        <w:rPr>
                          <w:rFonts w:ascii="Cambria Math" w:hAnsi="Cambria Math"/>
                        </w:rPr>
                        <m:t>T</m:t>
                      </m:r>
                      <m:r>
                        <w:rPr>
                          <w:rFonts w:ascii="Cambria Math" w:hAnsi="Cambria Math"/>
                        </w:rPr>
                        <m:t>-</m:t>
                      </m:r>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s</m:t>
                              </m:r>
                              <m:r>
                                <w:rPr>
                                  <w:rFonts w:ascii="Cambria Math" w:hAnsi="Cambria Math"/>
                                </w:rPr>
                                <m:t>+</m:t>
                              </m:r>
                              <m:r>
                                <w:rPr>
                                  <w:rFonts w:ascii="Cambria Math" w:hAnsi="Cambria Math"/>
                                </w:rPr>
                                <m:t>j</m:t>
                              </m:r>
                            </m:sub>
                          </m:sSub>
                        </m:e>
                      </m:d>
                    </m:e>
                  </m:nary>
                </m:e>
              </m:d>
              <m:r>
                <w:rPr>
                  <w:rFonts w:ascii="Cambria Math" w:hAnsi="Cambria Math"/>
                </w:rPr>
                <m:t>-</m:t>
              </m:r>
            </m:e>
          </m:nary>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0</m:t>
              </m:r>
            </m:sub>
          </m:sSub>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m:t>
                  </m:r>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-1</m:t>
                  </m:r>
                </m:sup>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s</m:t>
                          </m:r>
                          <m:r>
                            <w:rPr>
                              <w:rFonts w:ascii="Cambria Math" w:hAnsi="Cambria Math"/>
                            </w:rPr>
                            <m:t>=0</m:t>
                          </m:r>
                        </m:sub>
                        <m:sup>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m:t>
                                  </m:r>
                                </m:sub>
                              </m:sSub>
                            </m:e>
                          </m:d>
                        </m:e>
                      </m:nary>
                      <m:nary>
                        <m:naryPr>
                          <m:chr m:val="∏"/>
                          <m:limLoc m:val="undOvr"/>
                          <m:ctrlPr>
                            <w:rPr>
                              <w:rFonts w:ascii="Cambria Math" w:hAnsi="Cambria Math"/>
                              <w:i/>
                            </w:rPr>
                          </m:ctrlPr>
                        </m:naryPr>
                        <m:sub>
                          <m:r>
                            <w:rPr>
                              <w:rFonts w:ascii="Cambria Math" w:hAnsi="Cambria Math"/>
                            </w:rPr>
                            <m:t>s</m:t>
                          </m:r>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s</m:t>
                                  </m:r>
                                  <m:r>
                                    <w:rPr>
                                      <w:rFonts w:ascii="Cambria Math" w:hAnsi="Cambria Math"/>
                                    </w:rPr>
                                    <m:t>+</m:t>
                                  </m:r>
                                  <m:r>
                                    <w:rPr>
                                      <w:rFonts w:ascii="Cambria Math" w:hAnsi="Cambria Math"/>
                                    </w:rPr>
                                    <m:t>j</m:t>
                                  </m:r>
                                </m:sub>
                              </m:sSub>
                            </m:e>
                          </m:d>
                        </m:e>
                      </m:nary>
                    </m:e>
                  </m:d>
                </m:e>
              </m:nary>
            </m:e>
          </m:d>
          <m:nary>
            <m:naryPr>
              <m:chr m:val="∏"/>
              <m:limLoc m:val="undOvr"/>
              <m:ctrlPr>
                <w:rPr>
                  <w:rFonts w:ascii="Cambria Math" w:hAnsi="Cambria Math"/>
                  <w:i/>
                </w:rPr>
              </m:ctrlPr>
            </m:naryPr>
            <m:sub>
              <m:r>
                <w:rPr>
                  <w:rFonts w:ascii="Cambria Math" w:hAnsi="Cambria Math"/>
                </w:rPr>
                <m:t>j</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sub>
            <m:sup>
              <m:r>
                <w:rPr>
                  <w:rFonts w:ascii="Cambria Math" w:hAnsi="Cambria Math"/>
                </w:rPr>
                <m:t>T</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j</m:t>
                      </m:r>
                    </m:sub>
                  </m:sSub>
                </m:e>
              </m:d>
            </m:e>
          </m:nary>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K</m:t>
          </m:r>
          <m:sSub>
            <m:sSubPr>
              <m:ctrlPr>
                <w:rPr>
                  <w:rFonts w:ascii="Cambria Math" w:hAnsi="Cambria Math"/>
                  <w:i/>
                </w:rPr>
              </m:ctrlPr>
            </m:sSubPr>
            <m:e>
              <m:r>
                <w:rPr>
                  <w:rFonts w:ascii="Cambria Math" w:hAnsi="Cambria Math"/>
                </w:rPr>
                <m:t>S</m:t>
              </m:r>
            </m:e>
            <m:sub>
              <m:r>
                <w:rPr>
                  <w:rFonts w:ascii="Cambria Math" w:hAnsi="Cambria Math"/>
                </w:rPr>
                <m:t>0</m:t>
              </m:r>
            </m:sub>
          </m:sSub>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sub>
                <m:sup>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-1</m:t>
                  </m:r>
                </m:sup>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s</m:t>
                          </m:r>
                          <m:r>
                            <w:rPr>
                              <w:rFonts w:ascii="Cambria Math" w:hAnsi="Cambria Math"/>
                            </w:rPr>
                            <m:t>=0</m:t>
                          </m:r>
                        </m:sub>
                        <m:sup>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m:t>
                                  </m:r>
                                </m:e>
                                <m:sub>
                                  <m:r>
                                    <w:rPr>
                                      <w:rFonts w:ascii="Cambria Math" w:hAnsi="Cambria Math"/>
                                    </w:rPr>
                                    <m:t>s</m:t>
                                  </m:r>
                                </m:sub>
                              </m:sSub>
                            </m:e>
                          </m:d>
                        </m:e>
                      </m:nary>
                      <m:nary>
                        <m:naryPr>
                          <m:chr m:val="∏"/>
                          <m:limLoc m:val="undOvr"/>
                          <m:ctrlPr>
                            <w:rPr>
                              <w:rFonts w:ascii="Cambria Math" w:hAnsi="Cambria Math"/>
                              <w:i/>
                            </w:rPr>
                          </m:ctrlPr>
                        </m:naryPr>
                        <m:sub>
                          <m:r>
                            <w:rPr>
                              <w:rFonts w:ascii="Cambria Math" w:hAnsi="Cambria Math"/>
                            </w:rPr>
                            <m:t>s</m:t>
                          </m:r>
                          <m:r>
                            <w:rPr>
                              <w:rFonts w:ascii="Cambria Math" w:hAnsi="Cambria Math"/>
                            </w:rPr>
                            <m:t>=0</m:t>
                          </m:r>
                        </m:sub>
                        <m:sup>
                          <m:r>
                            <w:rPr>
                              <w:rFonts w:ascii="Cambria Math" w:hAnsi="Cambria Math"/>
                            </w:rPr>
                            <m:t>2-</m:t>
                          </m:r>
                          <m:r>
                            <w:rPr>
                              <w:rFonts w:ascii="Cambria Math" w:hAnsi="Cambria Math"/>
                            </w:rPr>
                            <m:t>j</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s</m:t>
                                  </m:r>
                                  <m:r>
                                    <w:rPr>
                                      <w:rFonts w:ascii="Cambria Math" w:hAnsi="Cambria Math"/>
                                    </w:rPr>
                                    <m:t>+</m:t>
                                  </m:r>
                                  <m:r>
                                    <w:rPr>
                                      <w:rFonts w:ascii="Cambria Math" w:hAnsi="Cambria Math"/>
                                    </w:rPr>
                                    <m:t>j</m:t>
                                  </m:r>
                                </m:sub>
                              </m:sSub>
                            </m:e>
                          </m:d>
                        </m:e>
                      </m:nary>
                    </m:e>
                  </m:d>
                </m:e>
              </m:nary>
            </m:e>
          </m:d>
          <m:nary>
            <m:naryPr>
              <m:chr m:val="∏"/>
              <m:limLoc m:val="undOvr"/>
              <m:ctrlPr>
                <w:rPr>
                  <w:rFonts w:ascii="Cambria Math" w:hAnsi="Cambria Math"/>
                  <w:i/>
                </w:rPr>
              </m:ctrlPr>
            </m:naryPr>
            <m:sub>
              <m:r>
                <w:rPr>
                  <w:rFonts w:ascii="Cambria Math" w:hAnsi="Cambria Math"/>
                </w:rPr>
                <m:t>j</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sub>
            <m:sup>
              <m:r>
                <w:rPr>
                  <w:rFonts w:ascii="Cambria Math" w:hAnsi="Cambria Math"/>
                </w:rPr>
                <m:t>T</m:t>
              </m:r>
              <m:r>
                <w:rPr>
                  <w:rFonts w:ascii="Cambria Math" w:hAnsi="Cambria Math"/>
                </w:rPr>
                <m:t>-1</m:t>
              </m:r>
            </m:sup>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j</m:t>
                      </m:r>
                    </m:sub>
                  </m:sSub>
                </m:e>
              </m:d>
            </m:e>
          </m:nary>
        </m:oMath>
      </m:oMathPara>
    </w:p>
    <w:p w14:paraId="4BBB8FD9" w14:textId="469ADF2B" w:rsidR="009C05C8" w:rsidRDefault="009C05C8" w:rsidP="009C05C8">
      <w:pPr>
        <w:pStyle w:val="Paragraph"/>
        <w:jc w:val="right"/>
      </w:pPr>
      <w:r>
        <w:t>(3c)</w:t>
      </w:r>
    </w:p>
    <w:p w14:paraId="65447B48" w14:textId="582CDA32" w:rsidR="00536931" w:rsidRDefault="003312C4" w:rsidP="000A0878">
      <w:pPr>
        <w:pStyle w:val="Paragraph"/>
      </w:pPr>
      <w:r>
        <w:t>where</w:t>
      </w:r>
    </w:p>
    <w:p w14:paraId="19AD76AD" w14:textId="2FD48A2B" w:rsidR="003312C4" w:rsidRDefault="007F1202" w:rsidP="000A0878">
      <w:pPr>
        <w:pStyle w:val="Paragraph"/>
      </w:pP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D36AFE">
        <w:t xml:space="preserve"> = percentage of first withdrawal</w:t>
      </w:r>
    </w:p>
    <w:p w14:paraId="2FDAEC6E" w14:textId="119853BF" w:rsidR="00D36AFE" w:rsidRDefault="007F1202" w:rsidP="000A0878">
      <w:pPr>
        <w:pStyle w:val="Paragraph"/>
      </w:pP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00D36AFE">
        <w:t xml:space="preserve"> = percentage of second withdrawal</w:t>
      </w:r>
    </w:p>
    <w:p w14:paraId="78F3FC5A" w14:textId="77777777" w:rsidR="00B06701" w:rsidRPr="000A0878" w:rsidRDefault="00B06701" w:rsidP="000A0878">
      <w:pPr>
        <w:pStyle w:val="Paragraph"/>
      </w:pPr>
    </w:p>
    <w:p w14:paraId="28AD6B4C" w14:textId="54E64865" w:rsidR="00167158" w:rsidRPr="000F3F4A" w:rsidRDefault="00167158" w:rsidP="000F3F4A">
      <w:pPr>
        <w:pStyle w:val="Paragraph"/>
        <w:numPr>
          <w:ilvl w:val="0"/>
          <w:numId w:val="46"/>
        </w:numPr>
        <w:ind w:left="357" w:hanging="357"/>
        <w:rPr>
          <w:b/>
          <w:bCs/>
        </w:rPr>
      </w:pPr>
      <w:r w:rsidRPr="000F3F4A">
        <w:rPr>
          <w:b/>
          <w:bCs/>
        </w:rPr>
        <w:t>Phase 3: Retirement Needs Projection</w:t>
      </w:r>
    </w:p>
    <w:p w14:paraId="71F71B4C" w14:textId="596E8A76" w:rsidR="00167158" w:rsidRDefault="00B06701" w:rsidP="00B06701">
      <w:pPr>
        <w:pStyle w:val="Paragraph"/>
      </w:pPr>
      <w:r w:rsidRPr="00B06701">
        <w:t>Following Phase 1 and 2, the retirement needs was projected in Phase 3. The following formula based on Alaudin [1] model was used as shown in Equation (4) below</w:t>
      </w:r>
      <w:r>
        <w:t>:</w:t>
      </w:r>
    </w:p>
    <w:p w14:paraId="061B6C34" w14:textId="77777777" w:rsidR="00034EEE" w:rsidRDefault="00034EEE" w:rsidP="00B06701">
      <w:pPr>
        <w:pStyle w:val="Paragraph"/>
      </w:pPr>
    </w:p>
    <w:p w14:paraId="1B3F516B" w14:textId="77777777" w:rsidR="00034EEE" w:rsidRDefault="00034EEE" w:rsidP="00B06701">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3C0290" w14:paraId="0BAAA2CD" w14:textId="77777777" w:rsidTr="003C0290">
        <w:tc>
          <w:tcPr>
            <w:tcW w:w="8784" w:type="dxa"/>
          </w:tcPr>
          <w:p w14:paraId="4787D552" w14:textId="263708CD" w:rsidR="003C0290" w:rsidRDefault="007F1202" w:rsidP="00B06701">
            <w:pPr>
              <w:pStyle w:val="Paragraph"/>
              <w:ind w:firstLine="0"/>
            </w:pPr>
            <m:oMathPara>
              <m:oMath>
                <m:m>
                  <m:mPr>
                    <m:mcs>
                      <m:mc>
                        <m:mcPr>
                          <m:count m:val="1"/>
                          <m:mcJc m:val="center"/>
                        </m:mcPr>
                      </m:mc>
                    </m:mcs>
                    <m:ctrlPr>
                      <w:rPr>
                        <w:rFonts w:ascii="Cambria Math" w:hAnsi="Cambria Math"/>
                        <w:i/>
                      </w:rPr>
                    </m:ctrlPr>
                  </m:mPr>
                  <m:mr>
                    <m:e>
                      <m:r>
                        <w:rPr>
                          <w:rFonts w:ascii="Cambria Math" w:hAnsi="Cambria Math"/>
                        </w:rPr>
                        <m:t>W</m:t>
                      </m:r>
                      <m:r>
                        <w:rPr>
                          <w:rFonts w:ascii="Cambria Math" w:hAnsi="Cambria Math"/>
                        </w:rPr>
                        <m:t>=</m:t>
                      </m:r>
                      <m:r>
                        <w:rPr>
                          <w:rFonts w:ascii="Cambria Math" w:hAnsi="Cambria Math"/>
                        </w:rPr>
                        <m:t>H</m:t>
                      </m:r>
                      <m:r>
                        <w:rPr>
                          <w:rFonts w:ascii="Cambria Math" w:hAnsi="Cambria Math"/>
                        </w:rPr>
                        <m:t>*</m:t>
                      </m:r>
                      <m:r>
                        <w:rPr>
                          <w:rFonts w:ascii="Cambria Math" w:hAnsi="Cambria Math"/>
                        </w:rPr>
                        <m:t>RR</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g</m:t>
                                  </m:r>
                                </m:e>
                              </m:d>
                            </m:e>
                            <m:sup>
                              <m:r>
                                <w:rPr>
                                  <w:rFonts w:ascii="Cambria Math" w:hAnsi="Cambria Math"/>
                                </w:rPr>
                                <m:t>-1</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g</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g</m:t>
                                  </m:r>
                                </m:e>
                              </m:d>
                            </m:e>
                            <m:sup>
                              <m:r>
                                <w:rPr>
                                  <w:rFonts w:ascii="Cambria Math" w:hAnsi="Cambria Math"/>
                                </w:rPr>
                                <m:t>-</m:t>
                              </m:r>
                              <m:r>
                                <w:rPr>
                                  <w:rFonts w:ascii="Cambria Math" w:hAnsi="Cambria Math"/>
                                </w:rPr>
                                <m:t>f</m:t>
                              </m:r>
                            </m:sup>
                          </m:sSup>
                        </m:e>
                      </m:d>
                    </m:e>
                  </m:mr>
                  <m:mr>
                    <m:e>
                      <m:r>
                        <w:rPr>
                          <w:rFonts w:ascii="Cambria Math" w:hAnsi="Cambria Math"/>
                        </w:rPr>
                        <m:t>=</m:t>
                      </m:r>
                      <m:r>
                        <w:rPr>
                          <w:rFonts w:ascii="Cambria Math" w:hAnsi="Cambria Math"/>
                        </w:rPr>
                        <m:t>H</m:t>
                      </m:r>
                      <m:r>
                        <w:rPr>
                          <w:rFonts w:ascii="Cambria Math" w:hAnsi="Cambria Math"/>
                        </w:rPr>
                        <m:t>*</m:t>
                      </m:r>
                      <m:r>
                        <w:rPr>
                          <w:rFonts w:ascii="Cambria Math" w:hAnsi="Cambria Math"/>
                        </w:rPr>
                        <m:t>RR</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g</m:t>
                                      </m:r>
                                    </m:e>
                                  </m:d>
                                </m:e>
                                <m:sup>
                                  <m:r>
                                    <w:rPr>
                                      <w:rFonts w:ascii="Cambria Math" w:hAnsi="Cambria Math"/>
                                    </w:rPr>
                                    <m:t>-</m:t>
                                  </m:r>
                                  <m:r>
                                    <w:rPr>
                                      <w:rFonts w:ascii="Cambria Math" w:hAnsi="Cambria Math"/>
                                    </w:rPr>
                                    <m:t>f</m:t>
                                  </m:r>
                                </m:sup>
                              </m:sSup>
                            </m:num>
                            <m:den>
                              <m:r>
                                <w:rPr>
                                  <w:rFonts w:ascii="Cambria Math" w:hAnsi="Cambria Math"/>
                                </w:rPr>
                                <m:t>g</m:t>
                              </m:r>
                            </m:den>
                          </m:f>
                        </m:e>
                      </m:d>
                    </m:e>
                  </m:mr>
                </m:m>
              </m:oMath>
            </m:oMathPara>
          </w:p>
        </w:tc>
        <w:tc>
          <w:tcPr>
            <w:tcW w:w="566" w:type="dxa"/>
            <w:vAlign w:val="center"/>
          </w:tcPr>
          <w:p w14:paraId="410F8694" w14:textId="2AB5AD05" w:rsidR="003C0290" w:rsidRDefault="003C0290" w:rsidP="003C0290">
            <w:pPr>
              <w:pStyle w:val="Paragraph"/>
              <w:ind w:firstLine="0"/>
              <w:jc w:val="right"/>
            </w:pPr>
            <w:r>
              <w:t>(4)</w:t>
            </w:r>
          </w:p>
        </w:tc>
      </w:tr>
    </w:tbl>
    <w:p w14:paraId="65076BAA" w14:textId="3CCC51BE" w:rsidR="00B06701" w:rsidRPr="00B06701" w:rsidRDefault="00B06701" w:rsidP="00B06701">
      <w:pPr>
        <w:pStyle w:val="Paragraph"/>
        <w:ind w:firstLine="0"/>
      </w:pPr>
      <w:r>
        <w:t>where</w:t>
      </w:r>
    </w:p>
    <w:p w14:paraId="3476BBBD" w14:textId="2C797FF7" w:rsidR="00B06701" w:rsidRDefault="00B06701" w:rsidP="00B06701">
      <w:pPr>
        <w:pStyle w:val="Paragraph"/>
        <w:ind w:firstLine="0"/>
      </w:pPr>
      <m:oMath>
        <m:r>
          <w:rPr>
            <w:rFonts w:ascii="Cambria Math" w:hAnsi="Cambria Math"/>
          </w:rPr>
          <m:t>W</m:t>
        </m:r>
      </m:oMath>
      <w:r>
        <w:t xml:space="preserve"> – the </w:t>
      </w:r>
      <w:r w:rsidRPr="00B06701">
        <w:t>retirement needs (or present value of total consumption during retirement</w:t>
      </w:r>
      <w:r>
        <w:t>)</w:t>
      </w:r>
    </w:p>
    <w:p w14:paraId="59849507" w14:textId="34FF908F" w:rsidR="003B085F" w:rsidRDefault="003B085F" w:rsidP="00B06701">
      <w:pPr>
        <w:pStyle w:val="Paragraph"/>
        <w:ind w:firstLine="0"/>
      </w:pPr>
      <m:oMath>
        <m:r>
          <w:rPr>
            <w:rFonts w:ascii="Cambria Math" w:hAnsi="Cambria Math"/>
          </w:rPr>
          <m:t>H</m:t>
        </m:r>
      </m:oMath>
      <w:r>
        <w:t xml:space="preserve"> – the </w:t>
      </w:r>
      <w:r w:rsidRPr="003B085F">
        <w:t>expected annual salary prior to retirement</w:t>
      </w:r>
    </w:p>
    <w:p w14:paraId="66A007C5" w14:textId="45B22FA9" w:rsidR="003B085F" w:rsidRDefault="003B085F" w:rsidP="00B06701">
      <w:pPr>
        <w:pStyle w:val="Paragraph"/>
        <w:ind w:firstLine="0"/>
      </w:pPr>
      <m:oMath>
        <m:r>
          <w:rPr>
            <w:rFonts w:ascii="Cambria Math" w:hAnsi="Cambria Math"/>
          </w:rPr>
          <m:t>RR</m:t>
        </m:r>
      </m:oMath>
      <w:r>
        <w:t xml:space="preserve"> – the </w:t>
      </w:r>
      <w:r w:rsidRPr="003B085F">
        <w:t>replacement rate</w:t>
      </w:r>
    </w:p>
    <w:p w14:paraId="1A83E8BF" w14:textId="23F3A891" w:rsidR="003B085F" w:rsidRDefault="003B085F" w:rsidP="00B06701">
      <w:pPr>
        <w:pStyle w:val="Paragraph"/>
        <w:ind w:firstLine="0"/>
      </w:pPr>
      <m:oMath>
        <m:r>
          <w:rPr>
            <w:rFonts w:ascii="Cambria Math" w:hAnsi="Cambria Math"/>
          </w:rPr>
          <m:t>g</m:t>
        </m:r>
      </m:oMath>
      <w:r>
        <w:t xml:space="preserve"> – the </w:t>
      </w:r>
      <w:r w:rsidRPr="003B085F">
        <w:t>estimated real interest rate from retirement age to expected age of death</w:t>
      </w:r>
    </w:p>
    <w:p w14:paraId="647AE0D0" w14:textId="04C950B0" w:rsidR="003B085F" w:rsidRDefault="003B085F" w:rsidP="00B06701">
      <w:pPr>
        <w:pStyle w:val="Paragraph"/>
        <w:ind w:firstLine="0"/>
      </w:pPr>
      <m:oMath>
        <m:r>
          <w:rPr>
            <w:rFonts w:ascii="Cambria Math" w:hAnsi="Cambria Math"/>
          </w:rPr>
          <m:t>f</m:t>
        </m:r>
      </m:oMath>
      <w:r>
        <w:t xml:space="preserve"> – the </w:t>
      </w:r>
      <w:r w:rsidRPr="003B085F">
        <w:t>retirement period (or the number of years from retirement age to the expected age of death</w:t>
      </w:r>
      <w:r>
        <w:t>)</w:t>
      </w:r>
    </w:p>
    <w:p w14:paraId="20475F6E" w14:textId="77777777" w:rsidR="00B06701" w:rsidRPr="00B06701" w:rsidRDefault="00B06701" w:rsidP="00B06701">
      <w:pPr>
        <w:pStyle w:val="Paragraph"/>
      </w:pPr>
    </w:p>
    <w:p w14:paraId="020E9700" w14:textId="189C4FBC" w:rsidR="00167158" w:rsidRPr="000F3F4A" w:rsidRDefault="00167158" w:rsidP="000F3F4A">
      <w:pPr>
        <w:pStyle w:val="Paragraph"/>
        <w:numPr>
          <w:ilvl w:val="0"/>
          <w:numId w:val="46"/>
        </w:numPr>
        <w:ind w:left="357" w:hanging="357"/>
        <w:rPr>
          <w:b/>
          <w:bCs/>
        </w:rPr>
      </w:pPr>
      <w:r w:rsidRPr="000F3F4A">
        <w:rPr>
          <w:b/>
          <w:bCs/>
        </w:rPr>
        <w:t>Phase 4: Construction of Wealth-Need Ratio</w:t>
      </w:r>
    </w:p>
    <w:p w14:paraId="2017B993" w14:textId="5B391D46" w:rsidR="00167158" w:rsidRDefault="009B700A" w:rsidP="00167158">
      <w:pPr>
        <w:pStyle w:val="Paragraph"/>
      </w:pPr>
      <w:r w:rsidRPr="009B700A">
        <w:t>Following Phase 1, 2, and 3, the ratio of retirement wealth adequacy was projected as follows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6"/>
      </w:tblGrid>
      <w:tr w:rsidR="009C30A1" w14:paraId="53D8055D" w14:textId="77777777" w:rsidTr="009C30A1">
        <w:tc>
          <w:tcPr>
            <w:tcW w:w="8784" w:type="dxa"/>
          </w:tcPr>
          <w:p w14:paraId="31770BF8" w14:textId="124737E5" w:rsidR="009C30A1" w:rsidRDefault="007F1202" w:rsidP="00167158">
            <w:pPr>
              <w:pStyle w:val="Paragraph"/>
              <w:ind w:firstLine="0"/>
            </w:pPr>
            <m:oMathPara>
              <m:oMath>
                <m:f>
                  <m:fPr>
                    <m:ctrlPr>
                      <w:rPr>
                        <w:rFonts w:ascii="Cambria Math" w:hAnsi="Cambria Math"/>
                        <w:i/>
                      </w:rPr>
                    </m:ctrlPr>
                  </m:fPr>
                  <m:num>
                    <m:r>
                      <w:rPr>
                        <w:rFonts w:ascii="Cambria Math" w:hAnsi="Cambria Math"/>
                      </w:rPr>
                      <m:t>Projection</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Retirement</m:t>
                    </m:r>
                    <m:r>
                      <w:rPr>
                        <w:rFonts w:ascii="Cambria Math" w:hAnsi="Cambria Math"/>
                      </w:rPr>
                      <m:t xml:space="preserve"> </m:t>
                    </m:r>
                    <m:r>
                      <w:rPr>
                        <w:rFonts w:ascii="Cambria Math" w:hAnsi="Cambria Math"/>
                      </w:rPr>
                      <m:t>Wealt</m:t>
                    </m:r>
                    <m:r>
                      <w:rPr>
                        <w:rFonts w:ascii="Cambria Math" w:hAnsi="Cambria Math"/>
                      </w:rPr>
                      <m:t>h</m:t>
                    </m:r>
                  </m:num>
                  <m:den>
                    <m:r>
                      <w:rPr>
                        <w:rFonts w:ascii="Cambria Math" w:hAnsi="Cambria Math"/>
                      </w:rPr>
                      <m:t>Projection</m:t>
                    </m:r>
                    <m:r>
                      <w:rPr>
                        <w:rFonts w:ascii="Cambria Math" w:hAnsi="Cambria Math"/>
                      </w:rPr>
                      <m:t xml:space="preserve"> </m:t>
                    </m:r>
                    <m:r>
                      <w:rPr>
                        <w:rFonts w:ascii="Cambria Math" w:hAnsi="Cambria Math"/>
                      </w:rPr>
                      <m:t>of</m:t>
                    </m:r>
                    <m:r>
                      <w:rPr>
                        <w:rFonts w:ascii="Cambria Math" w:hAnsi="Cambria Math"/>
                      </w:rPr>
                      <m:t xml:space="preserve"> </m:t>
                    </m:r>
                    <m:r>
                      <w:rPr>
                        <w:rFonts w:ascii="Cambria Math" w:hAnsi="Cambria Math"/>
                      </w:rPr>
                      <m:t>Retirement</m:t>
                    </m:r>
                    <m:r>
                      <w:rPr>
                        <w:rFonts w:ascii="Cambria Math" w:hAnsi="Cambria Math"/>
                      </w:rPr>
                      <m:t xml:space="preserve"> </m:t>
                    </m:r>
                    <m:r>
                      <w:rPr>
                        <w:rFonts w:ascii="Cambria Math" w:hAnsi="Cambria Math"/>
                      </w:rPr>
                      <m:t>Needs</m:t>
                    </m:r>
                  </m:den>
                </m:f>
                <m:r>
                  <w:rPr>
                    <w:rFonts w:ascii="Cambria Math" w:hAnsi="Cambria Math"/>
                  </w:rPr>
                  <m:t>×100</m:t>
                </m:r>
              </m:oMath>
            </m:oMathPara>
          </w:p>
        </w:tc>
        <w:tc>
          <w:tcPr>
            <w:tcW w:w="566" w:type="dxa"/>
            <w:vAlign w:val="center"/>
          </w:tcPr>
          <w:p w14:paraId="3F12EB41" w14:textId="26040114" w:rsidR="009C30A1" w:rsidRDefault="009C30A1" w:rsidP="009C30A1">
            <w:pPr>
              <w:pStyle w:val="Paragraph"/>
              <w:ind w:firstLine="0"/>
              <w:jc w:val="right"/>
            </w:pPr>
            <w:r>
              <w:t>(5)</w:t>
            </w:r>
          </w:p>
        </w:tc>
      </w:tr>
    </w:tbl>
    <w:p w14:paraId="79CEE40E" w14:textId="0EF410D1" w:rsidR="009B700A" w:rsidRDefault="009B700A" w:rsidP="009B700A">
      <w:pPr>
        <w:pStyle w:val="Paragraph"/>
      </w:pPr>
      <w:r w:rsidRPr="009B700A">
        <w:t>The wealth-need ratio is considered as adequate if the computed value is greater than or equal to 1. Otherwise, the computed value is deemed as inadequate</w:t>
      </w:r>
      <w:r>
        <w:t>.</w:t>
      </w:r>
    </w:p>
    <w:p w14:paraId="60FADA12" w14:textId="64B40B8A" w:rsidR="009B700A" w:rsidRDefault="009B700A" w:rsidP="009B700A">
      <w:pPr>
        <w:pStyle w:val="Heading1"/>
      </w:pPr>
      <w:r>
        <w:t>Results and Discussion</w:t>
      </w:r>
    </w:p>
    <w:p w14:paraId="282153DD" w14:textId="16A83265" w:rsidR="009B700A" w:rsidRDefault="00333B31" w:rsidP="009B700A">
      <w:pPr>
        <w:pStyle w:val="Paragraph"/>
        <w:rPr>
          <w:iCs/>
        </w:rPr>
      </w:pPr>
      <w:r w:rsidRPr="00333B31">
        <w:rPr>
          <w:iCs/>
        </w:rPr>
        <w:t>In this study, the retirement wealth adequacy, i.e., whether the future retirees can maintain the consumption and saving during the retirement period, was computed and compared based on two approaches. The two approaches are</w:t>
      </w:r>
      <w:r>
        <w:rPr>
          <w:iCs/>
        </w:rPr>
        <w:t>:</w:t>
      </w:r>
    </w:p>
    <w:p w14:paraId="5A91D4DB" w14:textId="34338054" w:rsidR="00333B31" w:rsidRDefault="00CE46A3" w:rsidP="00333B31">
      <w:pPr>
        <w:pStyle w:val="Paragraphnumbered"/>
        <w:numPr>
          <w:ilvl w:val="0"/>
          <w:numId w:val="47"/>
        </w:numPr>
      </w:pPr>
      <w:r>
        <w:t xml:space="preserve">The </w:t>
      </w:r>
      <w:r w:rsidRPr="00CE46A3">
        <w:t>classical retirement wealth-need ratio which is based on the sample mean</w:t>
      </w:r>
      <w:r>
        <w:t>.</w:t>
      </w:r>
    </w:p>
    <w:p w14:paraId="2D799187" w14:textId="6816E201" w:rsidR="00CE46A3" w:rsidRDefault="00CE46A3" w:rsidP="00333B31">
      <w:pPr>
        <w:pStyle w:val="Paragraphnumbered"/>
        <w:numPr>
          <w:ilvl w:val="0"/>
          <w:numId w:val="47"/>
        </w:numPr>
      </w:pPr>
      <w:r>
        <w:t xml:space="preserve">The </w:t>
      </w:r>
      <w:r w:rsidRPr="00CE46A3">
        <w:rPr>
          <w:iCs/>
        </w:rPr>
        <w:t>r</w:t>
      </w:r>
      <w:r w:rsidRPr="00CE46A3">
        <w:t>obust retirement wealth-need ratio which is based on the trimean and 20%-trimmed mean estimators</w:t>
      </w:r>
      <w:r>
        <w:t>.</w:t>
      </w:r>
    </w:p>
    <w:p w14:paraId="3BF361F7" w14:textId="58882D2C" w:rsidR="00CE46A3" w:rsidRDefault="00CE46A3" w:rsidP="00CE46A3">
      <w:pPr>
        <w:pStyle w:val="Paragraph"/>
        <w:rPr>
          <w:iCs/>
        </w:rPr>
      </w:pPr>
      <w:r w:rsidRPr="00CE46A3">
        <w:rPr>
          <w:iCs/>
        </w:rPr>
        <w:t xml:space="preserve">Three (3) scenarios frequently encountered in real life were employed to illustrate the usage of wealth-need ratio in determining the wealth adequacy of future retirees. The first column of Table </w:t>
      </w:r>
      <w:r w:rsidR="00D95F87">
        <w:rPr>
          <w:iCs/>
        </w:rPr>
        <w:t>2</w:t>
      </w:r>
      <w:r w:rsidRPr="00CE46A3">
        <w:rPr>
          <w:iCs/>
        </w:rPr>
        <w:t xml:space="preserve"> displays the scenarios</w:t>
      </w:r>
      <w:r>
        <w:rPr>
          <w:iCs/>
        </w:rPr>
        <w:t>.</w:t>
      </w:r>
    </w:p>
    <w:p w14:paraId="72AC968B" w14:textId="211C50C2" w:rsidR="00CE46A3" w:rsidRDefault="00CE46A3" w:rsidP="00CE46A3">
      <w:pPr>
        <w:pStyle w:val="TableCaption"/>
      </w:pPr>
      <w:r w:rsidRPr="00675081">
        <w:rPr>
          <w:b/>
          <w:bCs/>
        </w:rPr>
        <w:t>TABLE 2.</w:t>
      </w:r>
      <w:r>
        <w:t xml:space="preserve"> </w:t>
      </w:r>
      <w:r w:rsidR="00D15F93">
        <w:t>Percentage of retirement wealth adequacy.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337"/>
        <w:gridCol w:w="2337"/>
        <w:gridCol w:w="2338"/>
        <w:gridCol w:w="2338"/>
      </w:tblGrid>
      <w:tr w:rsidR="00CE46A3" w14:paraId="11966823" w14:textId="77777777" w:rsidTr="003F5AB0">
        <w:tc>
          <w:tcPr>
            <w:tcW w:w="2337" w:type="dxa"/>
            <w:tcBorders>
              <w:right w:val="nil"/>
            </w:tcBorders>
            <w:vAlign w:val="center"/>
          </w:tcPr>
          <w:p w14:paraId="4DBF4C91" w14:textId="3B0784DF" w:rsidR="00CE46A3" w:rsidRPr="00D15F93" w:rsidRDefault="00CE46A3" w:rsidP="003F5AB0">
            <w:pPr>
              <w:pStyle w:val="Paragraph"/>
              <w:ind w:firstLine="0"/>
              <w:jc w:val="left"/>
              <w:rPr>
                <w:b/>
                <w:bCs/>
                <w:iCs/>
              </w:rPr>
            </w:pPr>
            <w:r w:rsidRPr="00D15F93">
              <w:rPr>
                <w:b/>
                <w:bCs/>
                <w:iCs/>
              </w:rPr>
              <w:t>Model</w:t>
            </w:r>
          </w:p>
        </w:tc>
        <w:tc>
          <w:tcPr>
            <w:tcW w:w="2337" w:type="dxa"/>
            <w:tcBorders>
              <w:left w:val="nil"/>
              <w:right w:val="nil"/>
            </w:tcBorders>
          </w:tcPr>
          <w:p w14:paraId="3EE93A1B" w14:textId="52D72C5A" w:rsidR="00CE46A3" w:rsidRPr="00D15F93" w:rsidRDefault="00D15F93" w:rsidP="00D15F93">
            <w:pPr>
              <w:pStyle w:val="Paragraph"/>
              <w:ind w:firstLine="0"/>
              <w:jc w:val="center"/>
              <w:rPr>
                <w:b/>
                <w:bCs/>
                <w:iCs/>
              </w:rPr>
            </w:pPr>
            <w:r w:rsidRPr="00D15F93">
              <w:rPr>
                <w:b/>
                <w:bCs/>
                <w:iCs/>
              </w:rPr>
              <w:t xml:space="preserve">Classical Retirement Wealth Adequacy Based on Sample Mean, </w:t>
            </w:r>
            <m:oMath>
              <m:acc>
                <m:accPr>
                  <m:chr m:val="̅"/>
                  <m:ctrlPr>
                    <w:rPr>
                      <w:rFonts w:ascii="Cambria Math" w:hAnsi="Cambria Math"/>
                      <w:b/>
                      <w:bCs/>
                      <w:i/>
                      <w:iCs/>
                    </w:rPr>
                  </m:ctrlPr>
                </m:accPr>
                <m:e>
                  <m:r>
                    <m:rPr>
                      <m:sty m:val="bi"/>
                    </m:rPr>
                    <w:rPr>
                      <w:rFonts w:ascii="Cambria Math" w:hAnsi="Cambria Math"/>
                    </w:rPr>
                    <m:t>X</m:t>
                  </m:r>
                </m:e>
              </m:acc>
              <m:d>
                <m:dPr>
                  <m:ctrlPr>
                    <w:rPr>
                      <w:rFonts w:ascii="Cambria Math" w:hAnsi="Cambria Math"/>
                      <w:b/>
                      <w:bCs/>
                      <w:i/>
                      <w:iCs/>
                    </w:rPr>
                  </m:ctrlPr>
                </m:dPr>
                <m:e>
                  <m:r>
                    <m:rPr>
                      <m:sty m:val="bi"/>
                    </m:rPr>
                    <w:rPr>
                      <w:rFonts w:ascii="Cambria Math" w:hAnsi="Cambria Math"/>
                    </w:rPr>
                    <m:t>%</m:t>
                  </m:r>
                </m:e>
              </m:d>
            </m:oMath>
          </w:p>
        </w:tc>
        <w:tc>
          <w:tcPr>
            <w:tcW w:w="2338" w:type="dxa"/>
            <w:tcBorders>
              <w:left w:val="nil"/>
              <w:right w:val="nil"/>
            </w:tcBorders>
          </w:tcPr>
          <w:p w14:paraId="1466F913" w14:textId="23CD5589" w:rsidR="00CE46A3" w:rsidRPr="00D15F93" w:rsidRDefault="00D15F93" w:rsidP="00D15F93">
            <w:pPr>
              <w:pStyle w:val="Paragraph"/>
              <w:ind w:firstLine="0"/>
              <w:jc w:val="center"/>
              <w:rPr>
                <w:b/>
                <w:bCs/>
                <w:iCs/>
              </w:rPr>
            </w:pPr>
            <w:r w:rsidRPr="00D15F93">
              <w:rPr>
                <w:b/>
                <w:bCs/>
                <w:iCs/>
              </w:rPr>
              <w:t xml:space="preserve">Robust Retirement Wealth Adequacy Based on Trimean, </w:t>
            </w:r>
            <m:oMath>
              <m:r>
                <m:rPr>
                  <m:sty m:val="bi"/>
                </m:rPr>
                <w:rPr>
                  <w:rFonts w:ascii="Cambria Math" w:hAnsi="Cambria Math"/>
                </w:rPr>
                <m:t>TM</m:t>
              </m:r>
              <m:d>
                <m:dPr>
                  <m:ctrlPr>
                    <w:rPr>
                      <w:rFonts w:ascii="Cambria Math" w:hAnsi="Cambria Math"/>
                      <w:b/>
                      <w:bCs/>
                      <w:i/>
                      <w:iCs/>
                    </w:rPr>
                  </m:ctrlPr>
                </m:dPr>
                <m:e>
                  <m:r>
                    <m:rPr>
                      <m:sty m:val="bi"/>
                    </m:rPr>
                    <w:rPr>
                      <w:rFonts w:ascii="Cambria Math" w:hAnsi="Cambria Math"/>
                    </w:rPr>
                    <m:t>%</m:t>
                  </m:r>
                </m:e>
              </m:d>
            </m:oMath>
          </w:p>
        </w:tc>
        <w:tc>
          <w:tcPr>
            <w:tcW w:w="2338" w:type="dxa"/>
            <w:tcBorders>
              <w:left w:val="nil"/>
            </w:tcBorders>
          </w:tcPr>
          <w:p w14:paraId="4D6E0A85" w14:textId="440832F0" w:rsidR="00CE46A3" w:rsidRPr="00D15F93" w:rsidRDefault="00D15F93" w:rsidP="00D15F93">
            <w:pPr>
              <w:pStyle w:val="Paragraph"/>
              <w:ind w:firstLine="0"/>
              <w:jc w:val="center"/>
              <w:rPr>
                <w:b/>
                <w:bCs/>
                <w:iCs/>
              </w:rPr>
            </w:pPr>
            <w:r w:rsidRPr="00D15F93">
              <w:rPr>
                <w:b/>
                <w:bCs/>
                <w:iCs/>
              </w:rPr>
              <w:t xml:space="preserve">Robust Retirement Wealth Adequacy Based on Trimmed Mean, </w:t>
            </w:r>
            <m:oMath>
              <m:sSub>
                <m:sSubPr>
                  <m:ctrlPr>
                    <w:rPr>
                      <w:rFonts w:ascii="Cambria Math" w:hAnsi="Cambria Math"/>
                      <w:b/>
                      <w:bCs/>
                      <w:i/>
                      <w:iCs/>
                    </w:rPr>
                  </m:ctrlPr>
                </m:sSubPr>
                <m:e>
                  <m:acc>
                    <m:accPr>
                      <m:chr m:val="̅"/>
                      <m:ctrlPr>
                        <w:rPr>
                          <w:rFonts w:ascii="Cambria Math" w:hAnsi="Cambria Math"/>
                          <w:b/>
                          <w:bCs/>
                          <w:i/>
                          <w:iCs/>
                        </w:rPr>
                      </m:ctrlPr>
                    </m:accPr>
                    <m:e>
                      <m:r>
                        <m:rPr>
                          <m:sty m:val="bi"/>
                        </m:rPr>
                        <w:rPr>
                          <w:rFonts w:ascii="Cambria Math" w:hAnsi="Cambria Math"/>
                        </w:rPr>
                        <m:t>X</m:t>
                      </m:r>
                    </m:e>
                  </m:acc>
                </m:e>
                <m:sub>
                  <m:r>
                    <m:rPr>
                      <m:sty m:val="bi"/>
                    </m:rPr>
                    <w:rPr>
                      <w:rFonts w:ascii="Cambria Math" w:hAnsi="Cambria Math"/>
                    </w:rPr>
                    <m:t>0.2</m:t>
                  </m:r>
                </m:sub>
              </m:sSub>
              <m:d>
                <m:dPr>
                  <m:ctrlPr>
                    <w:rPr>
                      <w:rFonts w:ascii="Cambria Math" w:hAnsi="Cambria Math"/>
                      <w:b/>
                      <w:bCs/>
                      <w:i/>
                      <w:iCs/>
                    </w:rPr>
                  </m:ctrlPr>
                </m:dPr>
                <m:e>
                  <m:r>
                    <m:rPr>
                      <m:sty m:val="bi"/>
                    </m:rPr>
                    <w:rPr>
                      <w:rFonts w:ascii="Cambria Math" w:hAnsi="Cambria Math"/>
                    </w:rPr>
                    <m:t>%</m:t>
                  </m:r>
                </m:e>
              </m:d>
            </m:oMath>
          </w:p>
        </w:tc>
      </w:tr>
      <w:tr w:rsidR="00CE46A3" w14:paraId="47F88D90" w14:textId="77777777" w:rsidTr="003F5AB0">
        <w:tc>
          <w:tcPr>
            <w:tcW w:w="2337" w:type="dxa"/>
            <w:tcBorders>
              <w:bottom w:val="nil"/>
              <w:right w:val="nil"/>
            </w:tcBorders>
          </w:tcPr>
          <w:p w14:paraId="5225B5B2" w14:textId="341C9F56" w:rsidR="00CE46A3" w:rsidRDefault="00D15F93" w:rsidP="00D15F93">
            <w:pPr>
              <w:pStyle w:val="Paragraph"/>
              <w:ind w:firstLine="0"/>
              <w:jc w:val="left"/>
              <w:rPr>
                <w:iCs/>
              </w:rPr>
            </w:pPr>
            <w:r>
              <w:rPr>
                <w:iCs/>
              </w:rPr>
              <w:t xml:space="preserve">Model 1: </w:t>
            </w:r>
            <w:r>
              <w:t>No partial withdrawal</w:t>
            </w:r>
          </w:p>
        </w:tc>
        <w:tc>
          <w:tcPr>
            <w:tcW w:w="2337" w:type="dxa"/>
            <w:tcBorders>
              <w:left w:val="nil"/>
              <w:bottom w:val="nil"/>
              <w:right w:val="nil"/>
            </w:tcBorders>
            <w:vAlign w:val="center"/>
          </w:tcPr>
          <w:p w14:paraId="0BB8433C" w14:textId="2BC81A54" w:rsidR="00CE46A3" w:rsidRDefault="003F5AB0" w:rsidP="003F5AB0">
            <w:pPr>
              <w:pStyle w:val="Paragraph"/>
              <w:ind w:firstLine="0"/>
              <w:jc w:val="center"/>
              <w:rPr>
                <w:iCs/>
              </w:rPr>
            </w:pPr>
            <w:r>
              <w:rPr>
                <w:iCs/>
              </w:rPr>
              <w:t>51.68</w:t>
            </w:r>
          </w:p>
        </w:tc>
        <w:tc>
          <w:tcPr>
            <w:tcW w:w="2338" w:type="dxa"/>
            <w:tcBorders>
              <w:left w:val="nil"/>
              <w:bottom w:val="nil"/>
              <w:right w:val="nil"/>
            </w:tcBorders>
            <w:vAlign w:val="center"/>
          </w:tcPr>
          <w:p w14:paraId="36F818E8" w14:textId="08647E48" w:rsidR="00CE46A3" w:rsidRDefault="003F5AB0" w:rsidP="003F5AB0">
            <w:pPr>
              <w:pStyle w:val="Paragraph"/>
              <w:ind w:firstLine="0"/>
              <w:jc w:val="center"/>
              <w:rPr>
                <w:iCs/>
              </w:rPr>
            </w:pPr>
            <w:r>
              <w:rPr>
                <w:iCs/>
              </w:rPr>
              <w:t>51.72</w:t>
            </w:r>
          </w:p>
        </w:tc>
        <w:tc>
          <w:tcPr>
            <w:tcW w:w="2338" w:type="dxa"/>
            <w:tcBorders>
              <w:left w:val="nil"/>
              <w:bottom w:val="nil"/>
            </w:tcBorders>
            <w:vAlign w:val="center"/>
          </w:tcPr>
          <w:p w14:paraId="66E05A64" w14:textId="16257739" w:rsidR="00CE46A3" w:rsidRDefault="003F5AB0" w:rsidP="003F5AB0">
            <w:pPr>
              <w:pStyle w:val="Paragraph"/>
              <w:ind w:firstLine="0"/>
              <w:jc w:val="center"/>
              <w:rPr>
                <w:iCs/>
              </w:rPr>
            </w:pPr>
            <w:r>
              <w:rPr>
                <w:iCs/>
              </w:rPr>
              <w:t>51.71</w:t>
            </w:r>
          </w:p>
        </w:tc>
      </w:tr>
      <w:tr w:rsidR="00CE46A3" w14:paraId="576E6A13" w14:textId="77777777" w:rsidTr="003F5AB0">
        <w:tc>
          <w:tcPr>
            <w:tcW w:w="2337" w:type="dxa"/>
            <w:tcBorders>
              <w:top w:val="nil"/>
              <w:bottom w:val="nil"/>
              <w:right w:val="nil"/>
            </w:tcBorders>
          </w:tcPr>
          <w:p w14:paraId="255BA1FC" w14:textId="0480771C" w:rsidR="00CE46A3" w:rsidRDefault="00D15F93" w:rsidP="00D15F93">
            <w:pPr>
              <w:pStyle w:val="Paragraph"/>
              <w:ind w:firstLine="0"/>
              <w:jc w:val="left"/>
              <w:rPr>
                <w:iCs/>
              </w:rPr>
            </w:pPr>
            <w:r>
              <w:rPr>
                <w:iCs/>
              </w:rPr>
              <w:t xml:space="preserve">Model 2: </w:t>
            </w:r>
            <w:r w:rsidRPr="00257A9A">
              <w:rPr>
                <w:iCs/>
              </w:rPr>
              <w:t>Partial withdrawal to purchase house</w:t>
            </w:r>
          </w:p>
        </w:tc>
        <w:tc>
          <w:tcPr>
            <w:tcW w:w="2337" w:type="dxa"/>
            <w:tcBorders>
              <w:top w:val="nil"/>
              <w:left w:val="nil"/>
              <w:bottom w:val="nil"/>
              <w:right w:val="nil"/>
            </w:tcBorders>
            <w:vAlign w:val="center"/>
          </w:tcPr>
          <w:p w14:paraId="4761FDC3" w14:textId="3F8E518D" w:rsidR="00CE46A3" w:rsidRDefault="003F5AB0" w:rsidP="003F5AB0">
            <w:pPr>
              <w:pStyle w:val="Paragraph"/>
              <w:ind w:firstLine="0"/>
              <w:jc w:val="center"/>
              <w:rPr>
                <w:iCs/>
              </w:rPr>
            </w:pPr>
            <w:r>
              <w:rPr>
                <w:iCs/>
              </w:rPr>
              <w:t>47.13</w:t>
            </w:r>
          </w:p>
        </w:tc>
        <w:tc>
          <w:tcPr>
            <w:tcW w:w="2338" w:type="dxa"/>
            <w:tcBorders>
              <w:top w:val="nil"/>
              <w:left w:val="nil"/>
              <w:bottom w:val="nil"/>
              <w:right w:val="nil"/>
            </w:tcBorders>
            <w:vAlign w:val="center"/>
          </w:tcPr>
          <w:p w14:paraId="15510B0B" w14:textId="29AF974B" w:rsidR="00CE46A3" w:rsidRDefault="003F5AB0" w:rsidP="003F5AB0">
            <w:pPr>
              <w:pStyle w:val="Paragraph"/>
              <w:ind w:firstLine="0"/>
              <w:jc w:val="center"/>
              <w:rPr>
                <w:iCs/>
              </w:rPr>
            </w:pPr>
            <w:r>
              <w:rPr>
                <w:iCs/>
              </w:rPr>
              <w:t>47.83</w:t>
            </w:r>
          </w:p>
        </w:tc>
        <w:tc>
          <w:tcPr>
            <w:tcW w:w="2338" w:type="dxa"/>
            <w:tcBorders>
              <w:top w:val="nil"/>
              <w:left w:val="nil"/>
              <w:bottom w:val="nil"/>
            </w:tcBorders>
            <w:vAlign w:val="center"/>
          </w:tcPr>
          <w:p w14:paraId="6121595F" w14:textId="252ECF10" w:rsidR="00CE46A3" w:rsidRDefault="003F5AB0" w:rsidP="003F5AB0">
            <w:pPr>
              <w:pStyle w:val="Paragraph"/>
              <w:ind w:firstLine="0"/>
              <w:jc w:val="center"/>
              <w:rPr>
                <w:iCs/>
              </w:rPr>
            </w:pPr>
            <w:r>
              <w:rPr>
                <w:iCs/>
              </w:rPr>
              <w:t>47.83</w:t>
            </w:r>
          </w:p>
        </w:tc>
      </w:tr>
      <w:tr w:rsidR="00CE46A3" w14:paraId="67CCFDEA" w14:textId="77777777" w:rsidTr="003F5AB0">
        <w:tc>
          <w:tcPr>
            <w:tcW w:w="2337" w:type="dxa"/>
            <w:tcBorders>
              <w:top w:val="nil"/>
              <w:right w:val="nil"/>
            </w:tcBorders>
          </w:tcPr>
          <w:p w14:paraId="41E84F91" w14:textId="66C4478A" w:rsidR="00CE46A3" w:rsidRDefault="00D15F93" w:rsidP="00D15F93">
            <w:pPr>
              <w:pStyle w:val="Paragraph"/>
              <w:ind w:firstLine="0"/>
              <w:jc w:val="left"/>
              <w:rPr>
                <w:iCs/>
              </w:rPr>
            </w:pPr>
            <w:r>
              <w:rPr>
                <w:iCs/>
              </w:rPr>
              <w:t xml:space="preserve">Model 3: </w:t>
            </w:r>
            <w:r w:rsidRPr="00257A9A">
              <w:rPr>
                <w:iCs/>
              </w:rPr>
              <w:t>Partial withdrawal to purchase house and partial withdrawal at age 50</w:t>
            </w:r>
          </w:p>
        </w:tc>
        <w:tc>
          <w:tcPr>
            <w:tcW w:w="2337" w:type="dxa"/>
            <w:tcBorders>
              <w:top w:val="nil"/>
              <w:left w:val="nil"/>
              <w:right w:val="nil"/>
            </w:tcBorders>
            <w:vAlign w:val="center"/>
          </w:tcPr>
          <w:p w14:paraId="08414066" w14:textId="2BFDC379" w:rsidR="00CE46A3" w:rsidRDefault="003F5AB0" w:rsidP="003F5AB0">
            <w:pPr>
              <w:pStyle w:val="Paragraph"/>
              <w:ind w:firstLine="0"/>
              <w:jc w:val="center"/>
              <w:rPr>
                <w:iCs/>
              </w:rPr>
            </w:pPr>
            <w:r>
              <w:rPr>
                <w:iCs/>
              </w:rPr>
              <w:t>20.16</w:t>
            </w:r>
          </w:p>
        </w:tc>
        <w:tc>
          <w:tcPr>
            <w:tcW w:w="2338" w:type="dxa"/>
            <w:tcBorders>
              <w:top w:val="nil"/>
              <w:left w:val="nil"/>
              <w:right w:val="nil"/>
            </w:tcBorders>
            <w:vAlign w:val="center"/>
          </w:tcPr>
          <w:p w14:paraId="4A5050E9" w14:textId="5961D027" w:rsidR="00CE46A3" w:rsidRDefault="003F5AB0" w:rsidP="003F5AB0">
            <w:pPr>
              <w:pStyle w:val="Paragraph"/>
              <w:ind w:firstLine="0"/>
              <w:jc w:val="center"/>
              <w:rPr>
                <w:iCs/>
              </w:rPr>
            </w:pPr>
            <w:r>
              <w:rPr>
                <w:iCs/>
              </w:rPr>
              <w:t>18.71</w:t>
            </w:r>
          </w:p>
        </w:tc>
        <w:tc>
          <w:tcPr>
            <w:tcW w:w="2338" w:type="dxa"/>
            <w:tcBorders>
              <w:top w:val="nil"/>
              <w:left w:val="nil"/>
            </w:tcBorders>
            <w:vAlign w:val="center"/>
          </w:tcPr>
          <w:p w14:paraId="063CDBE8" w14:textId="51CDF565" w:rsidR="00CE46A3" w:rsidRDefault="003F5AB0" w:rsidP="003F5AB0">
            <w:pPr>
              <w:pStyle w:val="Paragraph"/>
              <w:ind w:firstLine="0"/>
              <w:jc w:val="center"/>
              <w:rPr>
                <w:iCs/>
              </w:rPr>
            </w:pPr>
            <w:r>
              <w:rPr>
                <w:iCs/>
              </w:rPr>
              <w:t>19.39</w:t>
            </w:r>
          </w:p>
        </w:tc>
      </w:tr>
    </w:tbl>
    <w:p w14:paraId="22B79041" w14:textId="77777777" w:rsidR="00CE46A3" w:rsidRDefault="00CE46A3" w:rsidP="00CE46A3">
      <w:pPr>
        <w:pStyle w:val="Paragraph"/>
        <w:rPr>
          <w:iCs/>
        </w:rPr>
      </w:pPr>
    </w:p>
    <w:p w14:paraId="1C8D5846" w14:textId="034124BB" w:rsidR="00CE46A3" w:rsidRDefault="00E4610E" w:rsidP="00E4610E">
      <w:pPr>
        <w:pStyle w:val="Paragraph"/>
        <w:rPr>
          <w:iCs/>
        </w:rPr>
      </w:pPr>
      <w:r w:rsidRPr="00E4610E">
        <w:rPr>
          <w:iCs/>
        </w:rPr>
        <w:t>The first scenario is named as Model 1 where the projection of wealth-need ratio disregards any pre-withdrawal before the retirement age. Meanwhile, Model 2 focused on purchasing the first house in projecting the wealth-need ratio. The third model, i.e., Model 3, considered common practices which are purchasing house and making pre-withdrawal at age 50</w:t>
      </w:r>
      <w:r>
        <w:rPr>
          <w:iCs/>
        </w:rPr>
        <w:t>.</w:t>
      </w:r>
    </w:p>
    <w:p w14:paraId="036245FE" w14:textId="45E24EEC" w:rsidR="00E4610E" w:rsidRDefault="00E4610E" w:rsidP="00E4610E">
      <w:pPr>
        <w:pStyle w:val="Paragraph"/>
        <w:rPr>
          <w:iCs/>
        </w:rPr>
      </w:pPr>
      <w:r w:rsidRPr="00E4610E">
        <w:rPr>
          <w:iCs/>
        </w:rPr>
        <w:t>The finding obtained by comparing the columns in Table</w:t>
      </w:r>
      <w:r w:rsidR="00D95F87">
        <w:rPr>
          <w:iCs/>
        </w:rPr>
        <w:t>2</w:t>
      </w:r>
      <w:r w:rsidRPr="00E4610E">
        <w:rPr>
          <w:iCs/>
        </w:rPr>
        <w:t xml:space="preserve"> shows that the robust and classical retirement wealth-need ratios for Model</w:t>
      </w:r>
      <w:r>
        <w:rPr>
          <w:iCs/>
        </w:rPr>
        <w:t>s</w:t>
      </w:r>
      <w:r w:rsidRPr="00E4610E">
        <w:rPr>
          <w:iCs/>
        </w:rPr>
        <w:t xml:space="preserve"> 1 and 2 are comparable. Table </w:t>
      </w:r>
      <w:r w:rsidR="00D95F87">
        <w:rPr>
          <w:iCs/>
        </w:rPr>
        <w:t>2</w:t>
      </w:r>
      <w:r w:rsidRPr="00E4610E">
        <w:rPr>
          <w:iCs/>
        </w:rPr>
        <w:t xml:space="preserve"> shows that the robust approaches, namel</w:t>
      </w:r>
      <w:r>
        <w:rPr>
          <w:iCs/>
        </w:rPr>
        <w:t xml:space="preserve">y </w:t>
      </w:r>
      <m:oMath>
        <m:r>
          <w:rPr>
            <w:rFonts w:ascii="Cambria Math" w:hAnsi="Cambria Math"/>
          </w:rPr>
          <m:t>TM</m:t>
        </m:r>
      </m:oMath>
      <w:r>
        <w:rPr>
          <w:iCs/>
        </w:rPr>
        <w:t xml:space="preserve"> a</w:t>
      </w:r>
      <w:r w:rsidRPr="00E4610E">
        <w:rPr>
          <w:iCs/>
        </w:rPr>
        <w:t xml:space="preserve">nd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X</m:t>
                </m:r>
              </m:e>
            </m:acc>
          </m:e>
          <m:sub>
            <m:r>
              <w:rPr>
                <w:rFonts w:ascii="Cambria Math" w:hAnsi="Cambria Math"/>
              </w:rPr>
              <m:t>0.2</m:t>
            </m:r>
          </m:sub>
        </m:sSub>
      </m:oMath>
      <w:r w:rsidRPr="00E4610E">
        <w:rPr>
          <w:iCs/>
        </w:rPr>
        <w:t>, yield a slightly higher percentage in the two scenarios. The finding also indicates that if the future retirees are not making any partial withdrawal, they will have adequate saving in their retirement period. This is supported by a significantly large percentage (i.e., &gt; 50%) of the wealth-need ratio obtained in both approaches</w:t>
      </w:r>
      <w:r>
        <w:rPr>
          <w:iCs/>
        </w:rPr>
        <w:t>.</w:t>
      </w:r>
    </w:p>
    <w:p w14:paraId="5B04CA93" w14:textId="5009AEC5" w:rsidR="00E4610E" w:rsidRDefault="00E4610E" w:rsidP="00E4610E">
      <w:pPr>
        <w:pStyle w:val="Paragraph"/>
        <w:rPr>
          <w:iCs/>
        </w:rPr>
      </w:pPr>
      <w:r w:rsidRPr="00E4610E">
        <w:rPr>
          <w:iCs/>
        </w:rPr>
        <w:t>It is imperative to note that a slight decrease in the percentage value of the wealth-need ratio can be seen in Model 2 when compared to Model 1. However, the slight drop in the percentage value of the ratio is expected as future retirees will be making less contribution to the saving in Model 2</w:t>
      </w:r>
      <w:r>
        <w:rPr>
          <w:iCs/>
        </w:rPr>
        <w:t>.</w:t>
      </w:r>
    </w:p>
    <w:p w14:paraId="14AFF12D" w14:textId="35E18BAA" w:rsidR="00E4610E" w:rsidRPr="00E4610E" w:rsidRDefault="00E4610E" w:rsidP="00E4610E">
      <w:pPr>
        <w:pStyle w:val="Paragraph"/>
      </w:pPr>
      <w:r w:rsidRPr="00E4610E">
        <w:rPr>
          <w:iCs/>
        </w:rPr>
        <w:t>Notably, the percentage of wealth-need ratio differs significantly between the two approaches in projecting scenario in Model 3. A lower percentage of wealth-need ratio is</w:t>
      </w:r>
      <w:r>
        <w:rPr>
          <w:iCs/>
        </w:rPr>
        <w:t xml:space="preserve"> obtained using </w:t>
      </w:r>
      <w:r w:rsidRPr="00E4610E">
        <w:rPr>
          <w:iCs/>
        </w:rPr>
        <w:t>the</w:t>
      </w:r>
      <w:r>
        <w:rPr>
          <w:iCs/>
        </w:rPr>
        <w:t xml:space="preserve"> </w:t>
      </w:r>
      <w:r w:rsidRPr="00E4610E">
        <w:rPr>
          <w:iCs/>
        </w:rPr>
        <w:t xml:space="preserve">robust approaches based on trimean </w:t>
      </w:r>
      <w:r w:rsidRPr="00E4610E">
        <w:rPr>
          <w:iCs/>
        </w:rPr>
        <w:lastRenderedPageBreak/>
        <w:t>and trimmed mean, i.e., 18.71% and 19.39 respectively, as compared to 20.16% which is given by the classical approach. While both approaches indicate inadequate EPF contributors in the case of purchasing house as well as making partial withdrawal at age 50, the much lower percentage obtained via the robust approach emphasizes the severity of the situation. In addition, the results imply that with more partial withdrawal scenarios (i.e., more withdrawals), significance differences among the proposed methods can be observed</w:t>
      </w:r>
      <w:r>
        <w:rPr>
          <w:iCs/>
        </w:rPr>
        <w:t>.</w:t>
      </w:r>
    </w:p>
    <w:p w14:paraId="238F91B4" w14:textId="79FDE2C4" w:rsidR="00D87E2A" w:rsidRDefault="00D87E2A" w:rsidP="00D87E2A">
      <w:pPr>
        <w:pStyle w:val="Heading1"/>
        <w:rPr>
          <w:b w:val="0"/>
          <w:caps w:val="0"/>
          <w:sz w:val="20"/>
        </w:rPr>
      </w:pPr>
      <w:r>
        <w:rPr>
          <w:rFonts w:asciiTheme="majorBidi" w:hAnsiTheme="majorBidi" w:cstheme="majorBidi"/>
        </w:rPr>
        <w:t>CONCLUSION</w:t>
      </w:r>
    </w:p>
    <w:p w14:paraId="55D56508" w14:textId="4F4B6737" w:rsidR="00D87E2A" w:rsidRDefault="00410BDC" w:rsidP="00410BDC">
      <w:pPr>
        <w:pStyle w:val="Paragraph"/>
        <w:rPr>
          <w:iCs/>
        </w:rPr>
      </w:pPr>
      <w:r w:rsidRPr="00410BDC">
        <w:rPr>
          <w:iCs/>
        </w:rPr>
        <w:t>The rising cost of living has been a huge concern especially for those in the B40 category as it will impact future retirement plan. As emphasized in Malaysia Now, majority of the government retirees do not have sufficient pension and hence, facing financial issues due to several commitment [22]. Such commitments involve an extension of house loan period due to the rising house price. Apart from that, retirees still need to spend on daily necessities, while some may still have to pay children’s education expenses. With more than 10% increment in prices of food items, including chicken and vegetables, Malaysian retirees find it difficult to keep up with daily expenses [23]. As such, it is a huge concern if the wealth (i.e., income) can support the needs during the retirement period</w:t>
      </w:r>
      <w:r>
        <w:rPr>
          <w:iCs/>
        </w:rPr>
        <w:t>.</w:t>
      </w:r>
    </w:p>
    <w:p w14:paraId="28E5F330" w14:textId="77777777" w:rsidR="00410BDC" w:rsidRPr="00410BDC" w:rsidRDefault="00410BDC" w:rsidP="00410BDC">
      <w:pPr>
        <w:pStyle w:val="Paragraph"/>
        <w:rPr>
          <w:iCs/>
        </w:rPr>
      </w:pPr>
      <w:r w:rsidRPr="00410BDC">
        <w:rPr>
          <w:iCs/>
        </w:rPr>
        <w:t xml:space="preserve">Wealth-need ratio is useful to project if the wealth (or income) accumulated in working years is adequate to support the total needs (or consumptions) in retirement years. It is crucial that the computed ratio is unbiased and able to deliver accurate information to the future retirees. It is important to note that the ratio depends on the dividend rate estimation which is known to fluctuate according to financial scenarios. Estimating the dividend rate via the sample mean, for instance, may yield a larger value of projected </w:t>
      </w:r>
    </w:p>
    <w:p w14:paraId="5C0B069A" w14:textId="10902824" w:rsidR="00410BDC" w:rsidRDefault="00410BDC" w:rsidP="00410BDC">
      <w:pPr>
        <w:pStyle w:val="Paragraph"/>
        <w:rPr>
          <w:iCs/>
        </w:rPr>
      </w:pPr>
      <w:r w:rsidRPr="00410BDC">
        <w:rPr>
          <w:iCs/>
        </w:rPr>
        <w:t>wealth and hence, suggesting an adequate wealth. In this case, individuals may perceive their wealth as greater than its true value</w:t>
      </w:r>
      <w:r>
        <w:rPr>
          <w:iCs/>
        </w:rPr>
        <w:t>.</w:t>
      </w:r>
    </w:p>
    <w:p w14:paraId="66192379" w14:textId="20CF70B5" w:rsidR="00410BDC" w:rsidRDefault="00410BDC" w:rsidP="00410BDC">
      <w:pPr>
        <w:pStyle w:val="Paragraph"/>
        <w:rPr>
          <w:iCs/>
        </w:rPr>
      </w:pPr>
      <w:r w:rsidRPr="00410BDC">
        <w:rPr>
          <w:iCs/>
        </w:rPr>
        <w:t>To produce a reliable wealth-need ratio that is able to gauge retirement wealth adequacy, the use of a robust estimator instead of the usual sample mean is recommended in this study as the HEIS 2019 dataset shows severe fluctuation. In this study, the use of the trimean estimator produced a smaller value of dividend rate than the usual sample mean. Three scenarios employed in this study showed a plausible retirement wealth adequacy based on the robust approach. Therefore, the robust wealth-need ratio can be used to gauge the retirement wealth adequacy confidently, especially when future retirees are making more partial withdrawals such as illustrated in Model 3 in this study</w:t>
      </w:r>
      <w:r>
        <w:rPr>
          <w:iCs/>
        </w:rPr>
        <w:t>.</w:t>
      </w:r>
    </w:p>
    <w:p w14:paraId="5B1D9837" w14:textId="1861BA1E" w:rsidR="00410BDC" w:rsidRPr="00410BDC" w:rsidRDefault="00410BDC" w:rsidP="00410BDC">
      <w:pPr>
        <w:pStyle w:val="Paragraph"/>
      </w:pPr>
      <w:r w:rsidRPr="00410BDC">
        <w:rPr>
          <w:iCs/>
        </w:rPr>
        <w:t>For future studies, it is recommended to consider various cases of partial withdrawals in determining adequate retirement saving and later, compared them with the results attained in Model 3</w:t>
      </w:r>
      <w:r>
        <w:rPr>
          <w:iCs/>
        </w:rPr>
        <w:t>.</w:t>
      </w:r>
    </w:p>
    <w:p w14:paraId="7691B80C" w14:textId="37E019F4" w:rsidR="00613B4D" w:rsidRPr="00075EA6" w:rsidRDefault="0016385D" w:rsidP="00613B4D">
      <w:pPr>
        <w:pStyle w:val="Heading1"/>
      </w:pPr>
      <w:r w:rsidRPr="00075EA6">
        <w:rPr>
          <w:rFonts w:asciiTheme="majorBidi" w:hAnsiTheme="majorBidi" w:cstheme="majorBidi"/>
        </w:rPr>
        <w:t>Acknowledgments</w:t>
      </w:r>
    </w:p>
    <w:p w14:paraId="4F4EA3E3" w14:textId="0331F298" w:rsidR="000B3A2D" w:rsidRPr="005E1009" w:rsidRDefault="005E1009" w:rsidP="005E1009">
      <w:pPr>
        <w:pStyle w:val="Paragraph"/>
      </w:pPr>
      <w:r w:rsidRPr="005E1009">
        <w:rPr>
          <w:iCs/>
        </w:rPr>
        <w:t>This research was supported by Universiti Utara Malaysia</w:t>
      </w:r>
      <w:r w:rsidRPr="005E1009">
        <w:t xml:space="preserve"> through </w:t>
      </w:r>
      <w:r w:rsidRPr="005E1009">
        <w:rPr>
          <w:i/>
          <w:iCs/>
        </w:rPr>
        <w:t>Geran Penjanaan</w:t>
      </w:r>
      <w:r w:rsidRPr="005E1009">
        <w:t xml:space="preserve"> (SO Code </w:t>
      </w:r>
      <w:r w:rsidRPr="005E1009">
        <w:rPr>
          <w:iCs/>
        </w:rPr>
        <w:t>21107</w:t>
      </w:r>
      <w:r>
        <w:rPr>
          <w:iCs/>
        </w:rPr>
        <w:t>).</w:t>
      </w:r>
    </w:p>
    <w:p w14:paraId="16F21B4D" w14:textId="31CD0575" w:rsidR="00613B4D" w:rsidRDefault="0016385D" w:rsidP="00613B4D">
      <w:pPr>
        <w:pStyle w:val="Heading1"/>
        <w:rPr>
          <w:b w:val="0"/>
          <w:caps w:val="0"/>
          <w:sz w:val="20"/>
        </w:rPr>
      </w:pPr>
      <w:r w:rsidRPr="00F611CD">
        <w:rPr>
          <w:rFonts w:asciiTheme="majorBidi" w:hAnsiTheme="majorBidi" w:cstheme="majorBidi"/>
        </w:rPr>
        <w:t>References</w:t>
      </w:r>
    </w:p>
    <w:p w14:paraId="55307D2E" w14:textId="77777777" w:rsidR="0026667A" w:rsidRPr="0026667A" w:rsidRDefault="004D0CFC" w:rsidP="0026667A">
      <w:pPr>
        <w:pStyle w:val="Reference"/>
        <w:rPr>
          <w:color w:val="000000" w:themeColor="text1"/>
        </w:rPr>
      </w:pPr>
      <w:r w:rsidRPr="00A51DF7">
        <w:rPr>
          <w:iCs/>
          <w:color w:val="000000" w:themeColor="text1"/>
        </w:rPr>
        <w:t xml:space="preserve">R. I. Alaudin, </w:t>
      </w:r>
      <w:r w:rsidRPr="00A51DF7">
        <w:rPr>
          <w:i/>
          <w:iCs/>
          <w:color w:val="000000" w:themeColor="text1"/>
        </w:rPr>
        <w:t>Actuarial modeling in determination of retirement wealth adequacy</w:t>
      </w:r>
      <w:r w:rsidR="00DF20F4" w:rsidRPr="00A51DF7">
        <w:rPr>
          <w:iCs/>
          <w:color w:val="000000" w:themeColor="text1"/>
        </w:rPr>
        <w:t>,</w:t>
      </w:r>
      <w:r w:rsidRPr="00A51DF7">
        <w:rPr>
          <w:iCs/>
          <w:color w:val="000000" w:themeColor="text1"/>
        </w:rPr>
        <w:t xml:space="preserve"> Ph</w:t>
      </w:r>
      <w:r w:rsidR="00DF20F4" w:rsidRPr="00A51DF7">
        <w:rPr>
          <w:iCs/>
          <w:color w:val="000000" w:themeColor="text1"/>
        </w:rPr>
        <w:t>D</w:t>
      </w:r>
      <w:r w:rsidRPr="00A51DF7">
        <w:rPr>
          <w:iCs/>
          <w:color w:val="000000" w:themeColor="text1"/>
        </w:rPr>
        <w:t xml:space="preserve"> </w:t>
      </w:r>
      <w:r w:rsidR="00DF20F4" w:rsidRPr="00A51DF7">
        <w:rPr>
          <w:iCs/>
          <w:color w:val="000000" w:themeColor="text1"/>
        </w:rPr>
        <w:t>T</w:t>
      </w:r>
      <w:r w:rsidRPr="00A51DF7">
        <w:rPr>
          <w:iCs/>
          <w:color w:val="000000" w:themeColor="text1"/>
        </w:rPr>
        <w:t>hesis</w:t>
      </w:r>
      <w:r w:rsidR="00DF20F4" w:rsidRPr="00A51DF7">
        <w:rPr>
          <w:iCs/>
          <w:color w:val="000000" w:themeColor="text1"/>
        </w:rPr>
        <w:t>. (</w:t>
      </w:r>
      <w:r w:rsidRPr="00A51DF7">
        <w:rPr>
          <w:iCs/>
          <w:color w:val="000000" w:themeColor="text1"/>
        </w:rPr>
        <w:t>Universiti Kebangsaan Malaysia, 2018</w:t>
      </w:r>
      <w:r w:rsidR="00DF20F4" w:rsidRPr="00A51DF7">
        <w:rPr>
          <w:iCs/>
          <w:color w:val="000000" w:themeColor="text1"/>
        </w:rPr>
        <w:t>)</w:t>
      </w:r>
      <w:r w:rsidRPr="00A51DF7">
        <w:rPr>
          <w:iCs/>
          <w:color w:val="000000" w:themeColor="text1"/>
        </w:rPr>
        <w:t>.</w:t>
      </w:r>
    </w:p>
    <w:p w14:paraId="71C70443" w14:textId="53CF5D05" w:rsidR="0026667A" w:rsidRPr="0026667A" w:rsidRDefault="0026667A" w:rsidP="0026667A">
      <w:pPr>
        <w:pStyle w:val="Reference"/>
        <w:rPr>
          <w:color w:val="000000" w:themeColor="text1"/>
        </w:rPr>
      </w:pPr>
      <w:r w:rsidRPr="0026667A">
        <w:rPr>
          <w:rFonts w:ascii="TimesNewRomanPSMT" w:hAnsi="TimesNewRomanPSMT"/>
          <w:color w:val="000000"/>
          <w:lang w:val="en-MY" w:eastAsia="en-MY"/>
        </w:rPr>
        <w:t xml:space="preserve">K. Beirne et. al., </w:t>
      </w:r>
      <w:r w:rsidRPr="0026667A">
        <w:rPr>
          <w:rFonts w:ascii="TimesNewRomanPSMT" w:hAnsi="TimesNewRomanPSMT"/>
          <w:color w:val="0A0A0A"/>
          <w:lang w:val="en-MY" w:eastAsia="en-MY"/>
        </w:rPr>
        <w:t xml:space="preserve">Economic and Social Research Institute (ESRI), </w:t>
      </w:r>
      <w:r w:rsidRPr="0026667A">
        <w:rPr>
          <w:rFonts w:ascii="TimesNewRomanPS-ItalicMT" w:hAnsi="TimesNewRomanPS-ItalicMT"/>
          <w:i/>
          <w:iCs/>
          <w:color w:val="000000"/>
          <w:lang w:val="en-MY" w:eastAsia="en-MY"/>
        </w:rPr>
        <w:t>Income Adequacy in Retirement: Evidence</w:t>
      </w:r>
    </w:p>
    <w:p w14:paraId="20E91AFC" w14:textId="7AFB6A76" w:rsidR="00FC7179" w:rsidRPr="00A51DF7" w:rsidRDefault="0026667A" w:rsidP="0026667A">
      <w:pPr>
        <w:pStyle w:val="Reference"/>
        <w:numPr>
          <w:ilvl w:val="0"/>
          <w:numId w:val="0"/>
        </w:numPr>
        <w:ind w:left="426"/>
        <w:rPr>
          <w:color w:val="000000" w:themeColor="text1"/>
        </w:rPr>
      </w:pPr>
      <w:r w:rsidRPr="0026667A">
        <w:rPr>
          <w:rFonts w:ascii="TimesNewRomanPS-ItalicMT" w:hAnsi="TimesNewRomanPS-ItalicMT"/>
          <w:i/>
          <w:iCs/>
          <w:color w:val="000000"/>
          <w:lang w:val="en-MY" w:eastAsia="en-MY"/>
        </w:rPr>
        <w:t>from the Irish Longitudinal Study on Ageing (TILDA)</w:t>
      </w:r>
      <w:r w:rsidRPr="0026667A">
        <w:rPr>
          <w:rFonts w:ascii="TimesNewRomanPSMT" w:hAnsi="TimesNewRomanPSMT"/>
          <w:color w:val="000000"/>
          <w:lang w:val="en-MY" w:eastAsia="en-MY"/>
        </w:rPr>
        <w:t>. (ESRI, Dublin, 2020)</w:t>
      </w:r>
    </w:p>
    <w:p w14:paraId="7D758F24" w14:textId="3EBBCCB8" w:rsidR="00204376" w:rsidRPr="00A51DF7" w:rsidRDefault="00FC7179" w:rsidP="00FC7179">
      <w:pPr>
        <w:pStyle w:val="Reference"/>
        <w:rPr>
          <w:color w:val="000000" w:themeColor="text1"/>
        </w:rPr>
      </w:pPr>
      <w:r w:rsidRPr="00A51DF7">
        <w:rPr>
          <w:iCs/>
          <w:color w:val="000000" w:themeColor="text1"/>
        </w:rPr>
        <w:t>A. Ando and F. Modigliani</w:t>
      </w:r>
      <w:r w:rsidR="00E4252E" w:rsidRPr="00A51DF7">
        <w:rPr>
          <w:iCs/>
          <w:color w:val="000000" w:themeColor="text1"/>
        </w:rPr>
        <w:t xml:space="preserve">, </w:t>
      </w:r>
      <w:r w:rsidR="00204376" w:rsidRPr="00A51DF7">
        <w:rPr>
          <w:iCs/>
          <w:color w:val="000000" w:themeColor="text1"/>
        </w:rPr>
        <w:t xml:space="preserve">Am. Econ. Rev. </w:t>
      </w:r>
      <w:r w:rsidR="00204376" w:rsidRPr="00A51DF7">
        <w:rPr>
          <w:b/>
          <w:bCs/>
          <w:iCs/>
          <w:color w:val="000000" w:themeColor="text1"/>
        </w:rPr>
        <w:t>53</w:t>
      </w:r>
      <w:r w:rsidR="00985256" w:rsidRPr="00A51DF7">
        <w:rPr>
          <w:iCs/>
          <w:color w:val="000000" w:themeColor="text1"/>
        </w:rPr>
        <w:t>(1)</w:t>
      </w:r>
      <w:r w:rsidR="00204376" w:rsidRPr="00A51DF7">
        <w:rPr>
          <w:iCs/>
          <w:color w:val="000000" w:themeColor="text1"/>
        </w:rPr>
        <w:t>, 55–84 (1963).</w:t>
      </w:r>
    </w:p>
    <w:p w14:paraId="4B7B93B2" w14:textId="431D18D2" w:rsidR="00FC7179" w:rsidRPr="00A51DF7" w:rsidRDefault="00FC7179" w:rsidP="00FC7179">
      <w:pPr>
        <w:pStyle w:val="Reference"/>
        <w:rPr>
          <w:color w:val="000000" w:themeColor="text1"/>
        </w:rPr>
      </w:pPr>
      <w:r w:rsidRPr="00A51DF7">
        <w:rPr>
          <w:iCs/>
          <w:color w:val="000000" w:themeColor="text1"/>
        </w:rPr>
        <w:t>B. A. Palmer</w:t>
      </w:r>
      <w:r w:rsidR="00E4252E" w:rsidRPr="00A51DF7">
        <w:rPr>
          <w:iCs/>
          <w:color w:val="000000" w:themeColor="text1"/>
        </w:rPr>
        <w:t xml:space="preserve">, JRI. </w:t>
      </w:r>
      <w:r w:rsidR="00D9517A" w:rsidRPr="00A51DF7">
        <w:rPr>
          <w:b/>
          <w:bCs/>
          <w:iCs/>
          <w:color w:val="000000" w:themeColor="text1"/>
        </w:rPr>
        <w:t>1</w:t>
      </w:r>
      <w:r w:rsidR="00D9517A" w:rsidRPr="00A51DF7">
        <w:rPr>
          <w:iCs/>
          <w:color w:val="000000" w:themeColor="text1"/>
        </w:rPr>
        <w:t xml:space="preserve">, </w:t>
      </w:r>
      <w:r w:rsidRPr="00A51DF7">
        <w:rPr>
          <w:iCs/>
          <w:color w:val="000000" w:themeColor="text1"/>
        </w:rPr>
        <w:t>702</w:t>
      </w:r>
      <w:r w:rsidR="00D9517A" w:rsidRPr="00A51DF7">
        <w:rPr>
          <w:iCs/>
          <w:color w:val="000000" w:themeColor="text1"/>
        </w:rPr>
        <w:t>-</w:t>
      </w:r>
      <w:r w:rsidRPr="00A51DF7">
        <w:rPr>
          <w:iCs/>
          <w:color w:val="000000" w:themeColor="text1"/>
        </w:rPr>
        <w:t>25</w:t>
      </w:r>
      <w:r w:rsidR="00D9517A" w:rsidRPr="00A51DF7">
        <w:rPr>
          <w:iCs/>
          <w:color w:val="000000" w:themeColor="text1"/>
        </w:rPr>
        <w:t xml:space="preserve"> </w:t>
      </w:r>
      <w:r w:rsidRPr="00A51DF7">
        <w:rPr>
          <w:iCs/>
          <w:color w:val="000000" w:themeColor="text1"/>
        </w:rPr>
        <w:t>(1989).</w:t>
      </w:r>
    </w:p>
    <w:p w14:paraId="3BB810B7" w14:textId="60D387EB" w:rsidR="00D9517A" w:rsidRPr="00A51DF7" w:rsidRDefault="00D9517A" w:rsidP="00FC7179">
      <w:pPr>
        <w:pStyle w:val="Reference"/>
        <w:rPr>
          <w:color w:val="000000" w:themeColor="text1"/>
        </w:rPr>
      </w:pPr>
      <w:r w:rsidRPr="00A51DF7">
        <w:rPr>
          <w:iCs/>
          <w:color w:val="000000" w:themeColor="text1"/>
        </w:rPr>
        <w:t>B. A. Palmer</w:t>
      </w:r>
      <w:r w:rsidR="00CB45FF" w:rsidRPr="00A51DF7">
        <w:rPr>
          <w:iCs/>
          <w:color w:val="000000" w:themeColor="text1"/>
        </w:rPr>
        <w:t>,</w:t>
      </w:r>
      <w:r w:rsidRPr="00A51DF7">
        <w:rPr>
          <w:iCs/>
          <w:color w:val="000000" w:themeColor="text1"/>
        </w:rPr>
        <w:t xml:space="preserve"> Benefits Quarterly</w:t>
      </w:r>
      <w:r w:rsidR="00CB45FF" w:rsidRPr="00A51DF7">
        <w:rPr>
          <w:iCs/>
          <w:color w:val="000000" w:themeColor="text1"/>
        </w:rPr>
        <w:t>.</w:t>
      </w:r>
      <w:r w:rsidRPr="00A51DF7">
        <w:rPr>
          <w:iCs/>
          <w:color w:val="000000" w:themeColor="text1"/>
        </w:rPr>
        <w:t xml:space="preserve"> </w:t>
      </w:r>
      <w:r w:rsidRPr="00A51DF7">
        <w:rPr>
          <w:b/>
          <w:bCs/>
          <w:iCs/>
          <w:color w:val="000000" w:themeColor="text1"/>
        </w:rPr>
        <w:t>10</w:t>
      </w:r>
      <w:r w:rsidRPr="00A51DF7">
        <w:rPr>
          <w:iCs/>
          <w:color w:val="000000" w:themeColor="text1"/>
        </w:rPr>
        <w:t>(2), 59-75 (1994).</w:t>
      </w:r>
    </w:p>
    <w:p w14:paraId="736754DD" w14:textId="1590B1CA" w:rsidR="00D9517A" w:rsidRPr="0026667A" w:rsidRDefault="00DE20E5" w:rsidP="00FC7179">
      <w:pPr>
        <w:pStyle w:val="Reference"/>
        <w:rPr>
          <w:color w:val="000000" w:themeColor="text1"/>
          <w:lang w:val="nl-NL"/>
        </w:rPr>
      </w:pPr>
      <w:r w:rsidRPr="0026667A">
        <w:rPr>
          <w:iCs/>
          <w:color w:val="000000" w:themeColor="text1"/>
          <w:lang w:val="nl-NL"/>
        </w:rPr>
        <w:t>G. J. Duncan</w:t>
      </w:r>
      <w:r w:rsidR="00D80426" w:rsidRPr="0026667A">
        <w:rPr>
          <w:iCs/>
          <w:color w:val="000000" w:themeColor="text1"/>
          <w:lang w:val="nl-NL"/>
        </w:rPr>
        <w:t xml:space="preserve"> et. al.</w:t>
      </w:r>
      <w:r w:rsidR="00E4252E" w:rsidRPr="0026667A">
        <w:rPr>
          <w:iCs/>
          <w:color w:val="000000" w:themeColor="text1"/>
          <w:lang w:val="nl-NL"/>
        </w:rPr>
        <w:t>,</w:t>
      </w:r>
      <w:r w:rsidRPr="0026667A">
        <w:rPr>
          <w:iCs/>
          <w:color w:val="000000" w:themeColor="text1"/>
          <w:lang w:val="nl-NL"/>
        </w:rPr>
        <w:t xml:space="preserve"> </w:t>
      </w:r>
      <w:r w:rsidR="006205D7" w:rsidRPr="0026667A">
        <w:rPr>
          <w:iCs/>
          <w:color w:val="000000" w:themeColor="text1"/>
          <w:lang w:val="nl-NL"/>
        </w:rPr>
        <w:t>JCA</w:t>
      </w:r>
      <w:r w:rsidR="00EB767A" w:rsidRPr="0026667A">
        <w:rPr>
          <w:iCs/>
          <w:color w:val="000000" w:themeColor="text1"/>
          <w:lang w:val="nl-NL"/>
        </w:rPr>
        <w:t>.</w:t>
      </w:r>
      <w:r w:rsidRPr="0026667A">
        <w:rPr>
          <w:iCs/>
          <w:color w:val="000000" w:themeColor="text1"/>
          <w:lang w:val="nl-NL"/>
        </w:rPr>
        <w:t xml:space="preserve"> </w:t>
      </w:r>
      <w:r w:rsidRPr="0026667A">
        <w:rPr>
          <w:b/>
          <w:bCs/>
          <w:iCs/>
          <w:color w:val="000000" w:themeColor="text1"/>
          <w:lang w:val="nl-NL"/>
        </w:rPr>
        <w:t>18</w:t>
      </w:r>
      <w:r w:rsidRPr="0026667A">
        <w:rPr>
          <w:iCs/>
          <w:color w:val="000000" w:themeColor="text1"/>
          <w:lang w:val="nl-NL"/>
        </w:rPr>
        <w:t>(1), 22-46 (1984).</w:t>
      </w:r>
    </w:p>
    <w:p w14:paraId="4580B486" w14:textId="6AFE5C52" w:rsidR="00DE20E5" w:rsidRPr="00A51DF7" w:rsidRDefault="001C712C" w:rsidP="00FC7179">
      <w:pPr>
        <w:pStyle w:val="Reference"/>
        <w:rPr>
          <w:color w:val="000000" w:themeColor="text1"/>
        </w:rPr>
      </w:pPr>
      <w:r w:rsidRPr="00A51DF7">
        <w:rPr>
          <w:iCs/>
          <w:color w:val="000000" w:themeColor="text1"/>
        </w:rPr>
        <w:t>J. F. Moore and O. S. Mitchell, Pension Research Council Working Paper</w:t>
      </w:r>
      <w:r w:rsidR="00CB45FF" w:rsidRPr="00A51DF7">
        <w:rPr>
          <w:iCs/>
          <w:color w:val="000000" w:themeColor="text1"/>
        </w:rPr>
        <w:t>.</w:t>
      </w:r>
      <w:r w:rsidRPr="00A51DF7">
        <w:rPr>
          <w:iCs/>
          <w:color w:val="000000" w:themeColor="text1"/>
        </w:rPr>
        <w:t xml:space="preserve"> 98-1 (1997).</w:t>
      </w:r>
    </w:p>
    <w:p w14:paraId="051FF433" w14:textId="070706EC" w:rsidR="00DE20E5" w:rsidRPr="00A51DF7" w:rsidRDefault="00DE20E5" w:rsidP="00FC7179">
      <w:pPr>
        <w:pStyle w:val="Reference"/>
        <w:rPr>
          <w:color w:val="000000" w:themeColor="text1"/>
        </w:rPr>
      </w:pPr>
      <w:r w:rsidRPr="00A51DF7">
        <w:rPr>
          <w:iCs/>
          <w:color w:val="000000" w:themeColor="text1"/>
        </w:rPr>
        <w:t xml:space="preserve">O. S. Mitchell and J. F. Moore, </w:t>
      </w:r>
      <w:r w:rsidR="00EB767A" w:rsidRPr="00A51DF7">
        <w:rPr>
          <w:iCs/>
          <w:color w:val="000000" w:themeColor="text1"/>
        </w:rPr>
        <w:t>JRI.</w:t>
      </w:r>
      <w:r w:rsidRPr="00A51DF7">
        <w:rPr>
          <w:iCs/>
          <w:color w:val="000000" w:themeColor="text1"/>
        </w:rPr>
        <w:t xml:space="preserve"> </w:t>
      </w:r>
      <w:r w:rsidRPr="00A51DF7">
        <w:rPr>
          <w:b/>
          <w:bCs/>
          <w:iCs/>
          <w:color w:val="000000" w:themeColor="text1"/>
        </w:rPr>
        <w:t>65</w:t>
      </w:r>
      <w:r w:rsidRPr="00A51DF7">
        <w:rPr>
          <w:iCs/>
          <w:color w:val="000000" w:themeColor="text1"/>
        </w:rPr>
        <w:t>(3), 371-400 (1998).</w:t>
      </w:r>
    </w:p>
    <w:p w14:paraId="3CCBFA9F" w14:textId="275CD895" w:rsidR="00DE20E5" w:rsidRPr="00A51DF7" w:rsidRDefault="007E39A6" w:rsidP="00FC7179">
      <w:pPr>
        <w:pStyle w:val="Reference"/>
        <w:rPr>
          <w:color w:val="000000" w:themeColor="text1"/>
        </w:rPr>
      </w:pPr>
      <w:r w:rsidRPr="00A51DF7">
        <w:rPr>
          <w:iCs/>
          <w:color w:val="000000" w:themeColor="text1"/>
        </w:rPr>
        <w:t xml:space="preserve">Y. Yuh, </w:t>
      </w:r>
      <w:r w:rsidRPr="00A51DF7">
        <w:rPr>
          <w:i/>
          <w:color w:val="000000" w:themeColor="text1"/>
        </w:rPr>
        <w:t>Adequacy of preparation for retirement: Mean and pessimistic case projections</w:t>
      </w:r>
      <w:r w:rsidRPr="00A51DF7">
        <w:rPr>
          <w:iCs/>
          <w:color w:val="000000" w:themeColor="text1"/>
        </w:rPr>
        <w:t xml:space="preserve">, Ph.D. thesis, </w:t>
      </w:r>
      <w:r w:rsidR="00CB45FF" w:rsidRPr="00A51DF7">
        <w:rPr>
          <w:iCs/>
          <w:color w:val="000000" w:themeColor="text1"/>
        </w:rPr>
        <w:t>(</w:t>
      </w:r>
      <w:r w:rsidRPr="00A51DF7">
        <w:rPr>
          <w:iCs/>
          <w:color w:val="000000" w:themeColor="text1"/>
        </w:rPr>
        <w:t>Ohio State University, 1998</w:t>
      </w:r>
      <w:r w:rsidR="00CB45FF" w:rsidRPr="00A51DF7">
        <w:rPr>
          <w:iCs/>
          <w:color w:val="000000" w:themeColor="text1"/>
        </w:rPr>
        <w:t>).</w:t>
      </w:r>
    </w:p>
    <w:p w14:paraId="5E1AA956" w14:textId="06FAF75D" w:rsidR="00476B37" w:rsidRPr="00A51DF7" w:rsidRDefault="00476B37" w:rsidP="00FC7179">
      <w:pPr>
        <w:pStyle w:val="Reference"/>
        <w:rPr>
          <w:color w:val="000000" w:themeColor="text1"/>
        </w:rPr>
      </w:pPr>
      <w:r w:rsidRPr="00A51DF7">
        <w:rPr>
          <w:iCs/>
          <w:color w:val="000000" w:themeColor="text1"/>
        </w:rPr>
        <w:t>Y. Yuh</w:t>
      </w:r>
      <w:r w:rsidR="00D80426" w:rsidRPr="00A51DF7">
        <w:rPr>
          <w:iCs/>
          <w:color w:val="000000" w:themeColor="text1"/>
        </w:rPr>
        <w:t xml:space="preserve"> et. al.</w:t>
      </w:r>
      <w:r w:rsidRPr="00A51DF7">
        <w:rPr>
          <w:iCs/>
          <w:color w:val="000000" w:themeColor="text1"/>
        </w:rPr>
        <w:t>, Financial Counseling Plan</w:t>
      </w:r>
      <w:r w:rsidR="00CB45FF" w:rsidRPr="00A51DF7">
        <w:rPr>
          <w:iCs/>
          <w:color w:val="000000" w:themeColor="text1"/>
        </w:rPr>
        <w:t>.</w:t>
      </w:r>
      <w:r w:rsidRPr="00A51DF7">
        <w:rPr>
          <w:iCs/>
          <w:color w:val="000000" w:themeColor="text1"/>
        </w:rPr>
        <w:t xml:space="preserve"> </w:t>
      </w:r>
      <w:r w:rsidRPr="00A51DF7">
        <w:rPr>
          <w:b/>
          <w:bCs/>
          <w:iCs/>
          <w:color w:val="000000" w:themeColor="text1"/>
        </w:rPr>
        <w:t>9</w:t>
      </w:r>
      <w:r w:rsidRPr="00A51DF7">
        <w:rPr>
          <w:iCs/>
          <w:color w:val="000000" w:themeColor="text1"/>
        </w:rPr>
        <w:t>(1), 1-12 (1998).</w:t>
      </w:r>
    </w:p>
    <w:p w14:paraId="6BFBFCD7" w14:textId="407F4545" w:rsidR="00476B37" w:rsidRPr="00A51DF7" w:rsidRDefault="001F61C1" w:rsidP="00FC7179">
      <w:pPr>
        <w:pStyle w:val="Reference"/>
        <w:rPr>
          <w:color w:val="000000" w:themeColor="text1"/>
        </w:rPr>
      </w:pPr>
      <w:r w:rsidRPr="00A51DF7">
        <w:rPr>
          <w:iCs/>
          <w:color w:val="000000" w:themeColor="text1"/>
        </w:rPr>
        <w:t xml:space="preserve">R. Yao </w:t>
      </w:r>
      <w:r w:rsidR="00D80426" w:rsidRPr="00A51DF7">
        <w:rPr>
          <w:iCs/>
          <w:color w:val="000000" w:themeColor="text1"/>
        </w:rPr>
        <w:t xml:space="preserve">et. al., </w:t>
      </w:r>
      <w:r w:rsidRPr="00A51DF7">
        <w:rPr>
          <w:iCs/>
          <w:color w:val="000000" w:themeColor="text1"/>
        </w:rPr>
        <w:t>Financial Counseling Plan</w:t>
      </w:r>
      <w:r w:rsidR="00CB45FF" w:rsidRPr="00A51DF7">
        <w:rPr>
          <w:iCs/>
          <w:color w:val="000000" w:themeColor="text1"/>
        </w:rPr>
        <w:t>.</w:t>
      </w:r>
      <w:r w:rsidRPr="00A51DF7">
        <w:rPr>
          <w:iCs/>
          <w:color w:val="000000" w:themeColor="text1"/>
        </w:rPr>
        <w:t xml:space="preserve"> </w:t>
      </w:r>
      <w:r w:rsidRPr="00A51DF7">
        <w:rPr>
          <w:b/>
          <w:bCs/>
          <w:iCs/>
          <w:color w:val="000000" w:themeColor="text1"/>
        </w:rPr>
        <w:t>14</w:t>
      </w:r>
      <w:r w:rsidRPr="00A51DF7">
        <w:rPr>
          <w:iCs/>
          <w:color w:val="000000" w:themeColor="text1"/>
        </w:rPr>
        <w:t>(2), 1-11 (2003).</w:t>
      </w:r>
    </w:p>
    <w:p w14:paraId="288C8C8A" w14:textId="1530209A" w:rsidR="001F61C1" w:rsidRPr="00A51DF7" w:rsidRDefault="00C132D9" w:rsidP="00FC7179">
      <w:pPr>
        <w:pStyle w:val="Reference"/>
        <w:rPr>
          <w:color w:val="000000" w:themeColor="text1"/>
        </w:rPr>
      </w:pPr>
      <w:r w:rsidRPr="00A51DF7">
        <w:rPr>
          <w:iCs/>
          <w:color w:val="000000" w:themeColor="text1"/>
        </w:rPr>
        <w:t xml:space="preserve">J. </w:t>
      </w:r>
      <w:r w:rsidR="001F61C1" w:rsidRPr="00A51DF7">
        <w:rPr>
          <w:iCs/>
          <w:color w:val="000000" w:themeColor="text1"/>
        </w:rPr>
        <w:t xml:space="preserve">Binswanger </w:t>
      </w:r>
      <w:r w:rsidRPr="00A51DF7">
        <w:rPr>
          <w:iCs/>
          <w:color w:val="000000" w:themeColor="text1"/>
        </w:rPr>
        <w:t>and</w:t>
      </w:r>
      <w:r w:rsidR="001F61C1" w:rsidRPr="00A51DF7">
        <w:rPr>
          <w:iCs/>
          <w:color w:val="000000" w:themeColor="text1"/>
        </w:rPr>
        <w:t xml:space="preserve"> </w:t>
      </w:r>
      <w:r w:rsidRPr="00A51DF7">
        <w:rPr>
          <w:iCs/>
          <w:color w:val="000000" w:themeColor="text1"/>
        </w:rPr>
        <w:t xml:space="preserve">D. </w:t>
      </w:r>
      <w:r w:rsidR="001F61C1" w:rsidRPr="00A51DF7">
        <w:rPr>
          <w:iCs/>
          <w:color w:val="000000" w:themeColor="text1"/>
        </w:rPr>
        <w:t>Schunk</w:t>
      </w:r>
      <w:r w:rsidR="00CB45FF" w:rsidRPr="00A51DF7">
        <w:rPr>
          <w:iCs/>
          <w:color w:val="000000" w:themeColor="text1"/>
        </w:rPr>
        <w:t xml:space="preserve">, </w:t>
      </w:r>
      <w:r w:rsidR="001F61C1" w:rsidRPr="00A51DF7">
        <w:rPr>
          <w:iCs/>
          <w:color w:val="000000" w:themeColor="text1"/>
        </w:rPr>
        <w:t>Journal of Pension Economics and Finance</w:t>
      </w:r>
      <w:r w:rsidR="00CB45FF" w:rsidRPr="00A51DF7">
        <w:rPr>
          <w:iCs/>
          <w:color w:val="000000" w:themeColor="text1"/>
        </w:rPr>
        <w:t xml:space="preserve">. </w:t>
      </w:r>
      <w:r w:rsidR="001F61C1" w:rsidRPr="00A51DF7">
        <w:rPr>
          <w:b/>
          <w:bCs/>
          <w:iCs/>
          <w:color w:val="000000" w:themeColor="text1"/>
        </w:rPr>
        <w:t>11</w:t>
      </w:r>
      <w:r w:rsidRPr="00A51DF7">
        <w:rPr>
          <w:iCs/>
          <w:color w:val="000000" w:themeColor="text1"/>
        </w:rPr>
        <w:t>,</w:t>
      </w:r>
      <w:r w:rsidR="001F61C1" w:rsidRPr="00A51DF7">
        <w:rPr>
          <w:iCs/>
          <w:color w:val="000000" w:themeColor="text1"/>
        </w:rPr>
        <w:t xml:space="preserve"> 203-222</w:t>
      </w:r>
      <w:r w:rsidRPr="00A51DF7">
        <w:rPr>
          <w:iCs/>
          <w:color w:val="000000" w:themeColor="text1"/>
        </w:rPr>
        <w:t xml:space="preserve"> (2014)</w:t>
      </w:r>
      <w:r w:rsidR="001F61C1" w:rsidRPr="00A51DF7">
        <w:rPr>
          <w:iCs/>
          <w:color w:val="000000" w:themeColor="text1"/>
        </w:rPr>
        <w:t>.</w:t>
      </w:r>
    </w:p>
    <w:p w14:paraId="1A92AE8E" w14:textId="048727FB" w:rsidR="00C132D9" w:rsidRPr="00A51DF7" w:rsidRDefault="002B7427" w:rsidP="00FC7179">
      <w:pPr>
        <w:pStyle w:val="Reference"/>
        <w:rPr>
          <w:color w:val="000000" w:themeColor="text1"/>
        </w:rPr>
      </w:pPr>
      <w:r w:rsidRPr="00A51DF7">
        <w:rPr>
          <w:iCs/>
          <w:color w:val="000000" w:themeColor="text1"/>
        </w:rPr>
        <w:t>C. E. Bohr</w:t>
      </w:r>
      <w:r w:rsidR="00D80426" w:rsidRPr="00A51DF7">
        <w:rPr>
          <w:iCs/>
          <w:color w:val="000000" w:themeColor="text1"/>
        </w:rPr>
        <w:t xml:space="preserve"> et. al.,</w:t>
      </w:r>
      <w:r w:rsidR="00CB45FF" w:rsidRPr="00A51DF7">
        <w:rPr>
          <w:iCs/>
          <w:color w:val="000000" w:themeColor="text1"/>
        </w:rPr>
        <w:t xml:space="preserve"> </w:t>
      </w:r>
      <w:r w:rsidRPr="00A51DF7">
        <w:rPr>
          <w:iCs/>
          <w:color w:val="000000" w:themeColor="text1"/>
        </w:rPr>
        <w:t>European Economic Review</w:t>
      </w:r>
      <w:r w:rsidR="00CB45FF" w:rsidRPr="00A51DF7">
        <w:rPr>
          <w:iCs/>
          <w:color w:val="000000" w:themeColor="text1"/>
        </w:rPr>
        <w:t>.</w:t>
      </w:r>
      <w:r w:rsidRPr="00A51DF7">
        <w:rPr>
          <w:iCs/>
          <w:color w:val="000000" w:themeColor="text1"/>
        </w:rPr>
        <w:t xml:space="preserve"> </w:t>
      </w:r>
      <w:r w:rsidRPr="00A51DF7">
        <w:rPr>
          <w:b/>
          <w:bCs/>
          <w:iCs/>
          <w:color w:val="000000" w:themeColor="text1"/>
        </w:rPr>
        <w:t>119</w:t>
      </w:r>
      <w:r w:rsidRPr="00A51DF7">
        <w:rPr>
          <w:iCs/>
          <w:color w:val="000000" w:themeColor="text1"/>
        </w:rPr>
        <w:t>, 42–54 (2019).</w:t>
      </w:r>
    </w:p>
    <w:p w14:paraId="12EFB77F" w14:textId="3EA96F0C" w:rsidR="002B7427" w:rsidRPr="00A51DF7" w:rsidRDefault="002B7427" w:rsidP="00FC7179">
      <w:pPr>
        <w:pStyle w:val="Reference"/>
        <w:rPr>
          <w:color w:val="000000" w:themeColor="text1"/>
        </w:rPr>
      </w:pPr>
      <w:r w:rsidRPr="00A51DF7">
        <w:rPr>
          <w:iCs/>
          <w:color w:val="000000" w:themeColor="text1"/>
        </w:rPr>
        <w:t>Y. Yuh</w:t>
      </w:r>
      <w:r w:rsidR="00D80426" w:rsidRPr="00A51DF7">
        <w:rPr>
          <w:iCs/>
          <w:color w:val="000000" w:themeColor="text1"/>
        </w:rPr>
        <w:t xml:space="preserve"> et. al.</w:t>
      </w:r>
      <w:r w:rsidR="00CB45FF" w:rsidRPr="00A51DF7">
        <w:rPr>
          <w:iCs/>
          <w:color w:val="000000" w:themeColor="text1"/>
        </w:rPr>
        <w:t xml:space="preserve">, </w:t>
      </w:r>
      <w:r w:rsidRPr="00A51DF7">
        <w:rPr>
          <w:iCs/>
          <w:color w:val="000000" w:themeColor="text1"/>
        </w:rPr>
        <w:t>Financial Services Review</w:t>
      </w:r>
      <w:r w:rsidR="00CB45FF" w:rsidRPr="00A51DF7">
        <w:rPr>
          <w:iCs/>
          <w:color w:val="000000" w:themeColor="text1"/>
        </w:rPr>
        <w:t>.</w:t>
      </w:r>
      <w:r w:rsidRPr="00A51DF7">
        <w:rPr>
          <w:iCs/>
          <w:color w:val="000000" w:themeColor="text1"/>
        </w:rPr>
        <w:t xml:space="preserve"> </w:t>
      </w:r>
      <w:r w:rsidRPr="00A51DF7">
        <w:rPr>
          <w:b/>
          <w:bCs/>
          <w:iCs/>
          <w:color w:val="000000" w:themeColor="text1"/>
        </w:rPr>
        <w:t>7</w:t>
      </w:r>
      <w:r w:rsidRPr="00A51DF7">
        <w:rPr>
          <w:iCs/>
          <w:color w:val="000000" w:themeColor="text1"/>
        </w:rPr>
        <w:t>, 175-193 (1998).</w:t>
      </w:r>
    </w:p>
    <w:p w14:paraId="7115C535" w14:textId="4BC5CA5C" w:rsidR="002B7427" w:rsidRPr="00A51DF7" w:rsidRDefault="002B7427" w:rsidP="00FC7179">
      <w:pPr>
        <w:pStyle w:val="Reference"/>
        <w:rPr>
          <w:color w:val="000000" w:themeColor="text1"/>
        </w:rPr>
      </w:pPr>
      <w:r w:rsidRPr="00A51DF7">
        <w:rPr>
          <w:iCs/>
          <w:color w:val="000000" w:themeColor="text1"/>
        </w:rPr>
        <w:lastRenderedPageBreak/>
        <w:t>F. J. Brady,</w:t>
      </w:r>
      <w:r w:rsidR="00CB45FF" w:rsidRPr="00A51DF7">
        <w:rPr>
          <w:iCs/>
          <w:color w:val="000000" w:themeColor="text1"/>
        </w:rPr>
        <w:t xml:space="preserve"> </w:t>
      </w:r>
      <w:r w:rsidRPr="00A51DF7">
        <w:rPr>
          <w:iCs/>
          <w:color w:val="000000" w:themeColor="text1"/>
        </w:rPr>
        <w:t>Journal of Pension Economics and Finance</w:t>
      </w:r>
      <w:r w:rsidR="00CB45FF" w:rsidRPr="00A51DF7">
        <w:rPr>
          <w:iCs/>
          <w:color w:val="000000" w:themeColor="text1"/>
        </w:rPr>
        <w:t>.</w:t>
      </w:r>
      <w:r w:rsidRPr="00A51DF7">
        <w:rPr>
          <w:iCs/>
          <w:color w:val="000000" w:themeColor="text1"/>
        </w:rPr>
        <w:t xml:space="preserve"> </w:t>
      </w:r>
      <w:r w:rsidRPr="00A51DF7">
        <w:rPr>
          <w:b/>
          <w:bCs/>
          <w:iCs/>
          <w:color w:val="000000" w:themeColor="text1"/>
        </w:rPr>
        <w:t>9</w:t>
      </w:r>
      <w:r w:rsidRPr="00A51DF7">
        <w:rPr>
          <w:iCs/>
          <w:color w:val="000000" w:themeColor="text1"/>
        </w:rPr>
        <w:t>(02), 235-262 (2008).</w:t>
      </w:r>
    </w:p>
    <w:p w14:paraId="2A338065" w14:textId="54FB26F1" w:rsidR="002B7427" w:rsidRPr="00A51DF7" w:rsidRDefault="002B7427" w:rsidP="00FC7179">
      <w:pPr>
        <w:pStyle w:val="Reference"/>
        <w:rPr>
          <w:color w:val="000000" w:themeColor="text1"/>
        </w:rPr>
      </w:pPr>
      <w:r w:rsidRPr="00A51DF7">
        <w:rPr>
          <w:iCs/>
          <w:color w:val="000000" w:themeColor="text1"/>
        </w:rPr>
        <w:t>R. Blundell</w:t>
      </w:r>
      <w:r w:rsidR="00D80426" w:rsidRPr="00A51DF7">
        <w:rPr>
          <w:iCs/>
          <w:color w:val="000000" w:themeColor="text1"/>
        </w:rPr>
        <w:t xml:space="preserve"> et. al.,</w:t>
      </w:r>
      <w:r w:rsidR="00CB45FF" w:rsidRPr="00A51DF7">
        <w:rPr>
          <w:iCs/>
          <w:color w:val="000000" w:themeColor="text1"/>
        </w:rPr>
        <w:t xml:space="preserve"> </w:t>
      </w:r>
      <w:r w:rsidRPr="00A51DF7">
        <w:rPr>
          <w:iCs/>
          <w:color w:val="000000" w:themeColor="text1"/>
        </w:rPr>
        <w:t>Fiscal Studies</w:t>
      </w:r>
      <w:r w:rsidR="00CB45FF" w:rsidRPr="00A51DF7">
        <w:rPr>
          <w:iCs/>
          <w:color w:val="000000" w:themeColor="text1"/>
        </w:rPr>
        <w:t>.</w:t>
      </w:r>
      <w:r w:rsidRPr="00A51DF7">
        <w:rPr>
          <w:iCs/>
          <w:color w:val="000000" w:themeColor="text1"/>
        </w:rPr>
        <w:t xml:space="preserve"> </w:t>
      </w:r>
      <w:r w:rsidRPr="00A51DF7">
        <w:rPr>
          <w:b/>
          <w:bCs/>
          <w:iCs/>
          <w:color w:val="000000" w:themeColor="text1"/>
        </w:rPr>
        <w:t>37</w:t>
      </w:r>
      <w:r w:rsidRPr="00A51DF7">
        <w:rPr>
          <w:iCs/>
          <w:color w:val="000000" w:themeColor="text1"/>
        </w:rPr>
        <w:t>, 105– 130 (2016).</w:t>
      </w:r>
    </w:p>
    <w:p w14:paraId="7AFB13C0" w14:textId="77777777" w:rsidR="0026667A" w:rsidRPr="0026667A" w:rsidRDefault="002B7427" w:rsidP="0026667A">
      <w:pPr>
        <w:pStyle w:val="Reference"/>
        <w:rPr>
          <w:color w:val="000000" w:themeColor="text1"/>
        </w:rPr>
      </w:pPr>
      <w:r w:rsidRPr="00A51DF7">
        <w:rPr>
          <w:iCs/>
          <w:color w:val="000000" w:themeColor="text1"/>
        </w:rPr>
        <w:t xml:space="preserve">F. T. Denton </w:t>
      </w:r>
      <w:r w:rsidR="00D80426" w:rsidRPr="00A51DF7">
        <w:rPr>
          <w:iCs/>
          <w:color w:val="000000" w:themeColor="text1"/>
        </w:rPr>
        <w:t xml:space="preserve">et. al., </w:t>
      </w:r>
      <w:r w:rsidRPr="00A51DF7">
        <w:rPr>
          <w:iCs/>
          <w:color w:val="000000" w:themeColor="text1"/>
        </w:rPr>
        <w:t>Canadian Journal on Aging</w:t>
      </w:r>
      <w:r w:rsidR="00CB45FF" w:rsidRPr="00A51DF7">
        <w:rPr>
          <w:iCs/>
          <w:color w:val="000000" w:themeColor="text1"/>
        </w:rPr>
        <w:t>.</w:t>
      </w:r>
      <w:r w:rsidRPr="00A51DF7">
        <w:rPr>
          <w:iCs/>
          <w:color w:val="000000" w:themeColor="text1"/>
        </w:rPr>
        <w:t xml:space="preserve"> </w:t>
      </w:r>
      <w:r w:rsidRPr="00A51DF7">
        <w:rPr>
          <w:b/>
          <w:bCs/>
          <w:iCs/>
          <w:color w:val="000000" w:themeColor="text1"/>
        </w:rPr>
        <w:t>30</w:t>
      </w:r>
      <w:r w:rsidRPr="00A51DF7">
        <w:rPr>
          <w:iCs/>
          <w:color w:val="000000" w:themeColor="text1"/>
        </w:rPr>
        <w:t>(4), 523-539 (2011).</w:t>
      </w:r>
    </w:p>
    <w:p w14:paraId="1574774C" w14:textId="1CD38DFE" w:rsidR="0026667A" w:rsidRPr="0026667A" w:rsidRDefault="0026667A" w:rsidP="0026667A">
      <w:pPr>
        <w:pStyle w:val="Reference"/>
        <w:rPr>
          <w:color w:val="000000" w:themeColor="text1"/>
        </w:rPr>
      </w:pPr>
      <w:r w:rsidRPr="0026667A">
        <w:rPr>
          <w:rFonts w:ascii="TimesNewRomanPSMT" w:hAnsi="TimesNewRomanPSMT"/>
          <w:color w:val="000000"/>
          <w:lang w:val="en-MY" w:eastAsia="en-MY"/>
        </w:rPr>
        <w:t>R. I. Alaudin et. al., Projection of Retirement Adequacy Using Wealth-Need Ratio: A Case Study in Malaysia,</w:t>
      </w:r>
    </w:p>
    <w:p w14:paraId="5C620D43" w14:textId="77777777" w:rsidR="0026667A" w:rsidRDefault="0026667A" w:rsidP="0026667A">
      <w:pPr>
        <w:pStyle w:val="Reference"/>
        <w:numPr>
          <w:ilvl w:val="0"/>
          <w:numId w:val="0"/>
        </w:numPr>
        <w:ind w:left="426"/>
        <w:rPr>
          <w:sz w:val="24"/>
          <w:szCs w:val="24"/>
          <w:lang w:val="en-MY" w:eastAsia="en-MY"/>
        </w:rPr>
      </w:pPr>
      <w:r w:rsidRPr="0026667A">
        <w:rPr>
          <w:rFonts w:ascii="TimesNewRomanPSMT" w:hAnsi="TimesNewRomanPSMT"/>
          <w:color w:val="000000"/>
          <w:lang w:val="en-MY" w:eastAsia="en-MY"/>
        </w:rPr>
        <w:t xml:space="preserve">In: </w:t>
      </w:r>
      <w:r w:rsidRPr="0026667A">
        <w:rPr>
          <w:rFonts w:ascii="TimesNewRomanPS-ItalicMT" w:hAnsi="TimesNewRomanPS-ItalicMT"/>
          <w:i/>
          <w:iCs/>
          <w:color w:val="000000"/>
          <w:lang w:val="en-MY" w:eastAsia="en-MY"/>
        </w:rPr>
        <w:t>The 2</w:t>
      </w:r>
      <w:r w:rsidRPr="0026667A">
        <w:rPr>
          <w:rFonts w:ascii="TimesNewRomanPS-ItalicMT" w:hAnsi="TimesNewRomanPS-ItalicMT"/>
          <w:i/>
          <w:iCs/>
          <w:color w:val="000000"/>
          <w:sz w:val="14"/>
          <w:szCs w:val="14"/>
          <w:lang w:val="en-MY" w:eastAsia="en-MY"/>
        </w:rPr>
        <w:t xml:space="preserve">nd </w:t>
      </w:r>
      <w:r w:rsidRPr="0026667A">
        <w:rPr>
          <w:rFonts w:ascii="TimesNewRomanPS-ItalicMT" w:hAnsi="TimesNewRomanPS-ItalicMT"/>
          <w:i/>
          <w:iCs/>
          <w:color w:val="000000"/>
          <w:lang w:val="en-MY" w:eastAsia="en-MY"/>
        </w:rPr>
        <w:t xml:space="preserve">ISM International Statistical Conference 2014, </w:t>
      </w:r>
      <w:r w:rsidRPr="0026667A">
        <w:rPr>
          <w:rFonts w:ascii="TimesNewRomanPSMT" w:hAnsi="TimesNewRomanPSMT"/>
          <w:color w:val="000000"/>
          <w:lang w:val="en-MY" w:eastAsia="en-MY"/>
        </w:rPr>
        <w:t>(AIP Publishing, 2015)</w:t>
      </w:r>
      <w:r>
        <w:rPr>
          <w:rFonts w:ascii="TimesNewRomanPSMT" w:hAnsi="TimesNewRomanPSMT"/>
          <w:color w:val="000000"/>
          <w:lang w:val="en-MY" w:eastAsia="en-MY"/>
        </w:rPr>
        <w:t>.</w:t>
      </w:r>
      <w:r w:rsidRPr="0026667A">
        <w:rPr>
          <w:sz w:val="24"/>
          <w:szCs w:val="24"/>
          <w:lang w:val="en-MY" w:eastAsia="en-MY"/>
        </w:rPr>
        <w:t xml:space="preserve"> </w:t>
      </w:r>
    </w:p>
    <w:p w14:paraId="073B92AB" w14:textId="2B7368A0" w:rsidR="00F211AB" w:rsidRPr="0026667A" w:rsidRDefault="00F211AB" w:rsidP="0026667A">
      <w:pPr>
        <w:pStyle w:val="Reference"/>
        <w:rPr>
          <w:lang w:val="en-MY" w:eastAsia="en-MY"/>
        </w:rPr>
      </w:pPr>
      <w:r w:rsidRPr="0026667A">
        <w:t>R. I. Alaudin</w:t>
      </w:r>
      <w:r w:rsidR="00D80426" w:rsidRPr="0026667A">
        <w:t xml:space="preserve"> et. al.,</w:t>
      </w:r>
      <w:r w:rsidRPr="0026667A">
        <w:t xml:space="preserve"> Institutions and Economies</w:t>
      </w:r>
      <w:r w:rsidR="00CB45FF" w:rsidRPr="0026667A">
        <w:t>.</w:t>
      </w:r>
      <w:r w:rsidRPr="0026667A">
        <w:t xml:space="preserve"> </w:t>
      </w:r>
      <w:r w:rsidRPr="0026667A">
        <w:rPr>
          <w:b/>
          <w:bCs/>
        </w:rPr>
        <w:t>9</w:t>
      </w:r>
      <w:r w:rsidRPr="0026667A">
        <w:t>(1), 81-98 (2017).</w:t>
      </w:r>
    </w:p>
    <w:p w14:paraId="33D280D0" w14:textId="5D83C7F5" w:rsidR="00F211AB" w:rsidRPr="00A51DF7" w:rsidRDefault="00F211AB" w:rsidP="00FC7179">
      <w:pPr>
        <w:pStyle w:val="Reference"/>
        <w:rPr>
          <w:color w:val="000000" w:themeColor="text1"/>
        </w:rPr>
      </w:pPr>
      <w:r w:rsidRPr="00A51DF7">
        <w:rPr>
          <w:iCs/>
          <w:color w:val="000000" w:themeColor="text1"/>
        </w:rPr>
        <w:t>M. Rashid and W. K. C. San, Management of Shari’ah Compliant Businesses</w:t>
      </w:r>
      <w:r w:rsidR="00CB45FF" w:rsidRPr="00A51DF7">
        <w:rPr>
          <w:iCs/>
          <w:color w:val="000000" w:themeColor="text1"/>
        </w:rPr>
        <w:t>.</w:t>
      </w:r>
      <w:r w:rsidRPr="00A51DF7">
        <w:rPr>
          <w:iCs/>
          <w:color w:val="000000" w:themeColor="text1"/>
        </w:rPr>
        <w:t xml:space="preserve"> 45-54 (2019).</w:t>
      </w:r>
    </w:p>
    <w:p w14:paraId="703FF21A" w14:textId="77777777" w:rsidR="0026667A" w:rsidRPr="0026667A" w:rsidRDefault="00F211AB" w:rsidP="0026667A">
      <w:pPr>
        <w:pStyle w:val="Reference"/>
        <w:rPr>
          <w:color w:val="000000" w:themeColor="text1"/>
        </w:rPr>
      </w:pPr>
      <w:r w:rsidRPr="00A51DF7">
        <w:rPr>
          <w:iCs/>
          <w:color w:val="000000" w:themeColor="text1"/>
        </w:rPr>
        <w:t>R. R. Wilcox, British Journal of Mathematical and Statistical Psychology</w:t>
      </w:r>
      <w:r w:rsidR="00CB45FF" w:rsidRPr="00A51DF7">
        <w:rPr>
          <w:iCs/>
          <w:color w:val="000000" w:themeColor="text1"/>
        </w:rPr>
        <w:t>.</w:t>
      </w:r>
      <w:r w:rsidRPr="00A51DF7">
        <w:rPr>
          <w:iCs/>
          <w:color w:val="000000" w:themeColor="text1"/>
        </w:rPr>
        <w:t xml:space="preserve"> </w:t>
      </w:r>
      <w:r w:rsidRPr="00A51DF7">
        <w:rPr>
          <w:b/>
          <w:bCs/>
          <w:iCs/>
          <w:color w:val="000000" w:themeColor="text1"/>
        </w:rPr>
        <w:t>51</w:t>
      </w:r>
      <w:r w:rsidRPr="00A51DF7">
        <w:rPr>
          <w:iCs/>
          <w:color w:val="000000" w:themeColor="text1"/>
        </w:rPr>
        <w:t>(1), 1-39 (1998).</w:t>
      </w:r>
    </w:p>
    <w:p w14:paraId="78E25225" w14:textId="77777777" w:rsidR="0026667A" w:rsidRDefault="0026667A" w:rsidP="0026667A">
      <w:pPr>
        <w:pStyle w:val="Reference"/>
        <w:rPr>
          <w:color w:val="000000" w:themeColor="text1"/>
        </w:rPr>
      </w:pPr>
      <w:r w:rsidRPr="0026667A">
        <w:rPr>
          <w:rFonts w:ascii="TimesNewRomanPSMT" w:hAnsi="TimesNewRomanPSMT"/>
          <w:color w:val="000000"/>
          <w:lang w:val="en-MY" w:eastAsia="en-MY"/>
        </w:rPr>
        <w:t xml:space="preserve">A. A. Jamal, </w:t>
      </w:r>
      <w:r w:rsidRPr="0026667A">
        <w:rPr>
          <w:rFonts w:ascii="TimesNewRomanPS-ItalicMT" w:hAnsi="TimesNewRomanPS-ItalicMT"/>
          <w:i/>
          <w:iCs/>
          <w:color w:val="000000"/>
          <w:lang w:val="en-MY" w:eastAsia="en-MY"/>
        </w:rPr>
        <w:t>Give Retirees a Bigger Pension, Govt Told Amid Hike in Cost of Living</w:t>
      </w:r>
      <w:r w:rsidRPr="0026667A">
        <w:rPr>
          <w:rFonts w:ascii="TimesNewRomanPSMT" w:hAnsi="TimesNewRomanPSMT"/>
          <w:color w:val="000000"/>
          <w:lang w:val="en-MY" w:eastAsia="en-MY"/>
        </w:rPr>
        <w:t>, WWW document,</w:t>
      </w:r>
    </w:p>
    <w:p w14:paraId="7657D7CE" w14:textId="77777777" w:rsidR="0026667A" w:rsidRDefault="0026667A" w:rsidP="0026667A">
      <w:pPr>
        <w:pStyle w:val="Reference"/>
        <w:numPr>
          <w:ilvl w:val="0"/>
          <w:numId w:val="0"/>
        </w:numPr>
        <w:ind w:left="426"/>
        <w:rPr>
          <w:color w:val="000000" w:themeColor="text1"/>
        </w:rPr>
      </w:pPr>
      <w:r w:rsidRPr="0026667A">
        <w:rPr>
          <w:rFonts w:ascii="TimesNewRomanPSMT" w:hAnsi="TimesNewRomanPSMT"/>
          <w:color w:val="000000"/>
          <w:lang w:val="en-MY" w:eastAsia="en-MY"/>
        </w:rPr>
        <w:t>(</w:t>
      </w:r>
      <w:hyperlink r:id="rId10" w:history="1">
        <w:r w:rsidRPr="0026667A">
          <w:rPr>
            <w:rStyle w:val="Hyperlink"/>
            <w:rFonts w:ascii="TimesNewRomanPSMT" w:hAnsi="TimesNewRomanPSMT"/>
            <w:color w:val="auto"/>
            <w:u w:val="none"/>
            <w:lang w:val="en-MY" w:eastAsia="en-MY"/>
          </w:rPr>
          <w:t>https://www.malaysianow.com/news/2021/10/10/give-retirees-a-bigger-pension-govt-told-amid-hike-in-costof-living</w:t>
        </w:r>
      </w:hyperlink>
      <w:r w:rsidRPr="0026667A">
        <w:rPr>
          <w:rFonts w:ascii="TimesNewRomanPSMT" w:hAnsi="TimesNewRomanPSMT"/>
          <w:color w:val="000000"/>
          <w:lang w:val="en-MY" w:eastAsia="en-MY"/>
        </w:rPr>
        <w:t>)</w:t>
      </w:r>
      <w:r w:rsidRPr="0026667A">
        <w:rPr>
          <w:sz w:val="24"/>
          <w:szCs w:val="24"/>
          <w:lang w:val="en-MY" w:eastAsia="en-MY"/>
        </w:rPr>
        <w:t>.</w:t>
      </w:r>
    </w:p>
    <w:p w14:paraId="76319496" w14:textId="1CD54B7B" w:rsidR="0026667A" w:rsidRPr="0026667A" w:rsidRDefault="0026667A" w:rsidP="0026667A">
      <w:pPr>
        <w:pStyle w:val="Reference"/>
        <w:rPr>
          <w:color w:val="000000" w:themeColor="text1"/>
        </w:rPr>
      </w:pPr>
      <w:r w:rsidRPr="0026667A">
        <w:rPr>
          <w:rFonts w:ascii="TimesNewRomanPSMT" w:hAnsi="TimesNewRomanPSMT"/>
          <w:lang w:val="en-MY" w:eastAsia="en-MY"/>
        </w:rPr>
        <w:t xml:space="preserve">T. Arumugam, </w:t>
      </w:r>
      <w:r w:rsidRPr="0026667A">
        <w:rPr>
          <w:lang w:val="en-MY" w:eastAsia="en-MY"/>
        </w:rPr>
        <w:t>From Skipping Meals to Staying Put at Home, Malaysians Share How Rising Inflation has Altered</w:t>
      </w:r>
    </w:p>
    <w:p w14:paraId="552F9905" w14:textId="038D61E8" w:rsidR="004D0CFC" w:rsidRPr="0026667A" w:rsidRDefault="0026667A" w:rsidP="0026667A">
      <w:pPr>
        <w:pStyle w:val="Reference"/>
        <w:numPr>
          <w:ilvl w:val="0"/>
          <w:numId w:val="0"/>
        </w:numPr>
        <w:ind w:left="426"/>
      </w:pPr>
      <w:r w:rsidRPr="0026667A">
        <w:rPr>
          <w:rFonts w:ascii="TimesNewRomanPS-ItalicMT" w:hAnsi="TimesNewRomanPS-ItalicMT"/>
          <w:i/>
          <w:iCs/>
          <w:color w:val="000000"/>
          <w:lang w:val="en-MY" w:eastAsia="en-MY"/>
        </w:rPr>
        <w:t>Their Lives</w:t>
      </w:r>
      <w:r w:rsidRPr="0026667A">
        <w:rPr>
          <w:rFonts w:ascii="TimesNewRomanPSMT" w:hAnsi="TimesNewRomanPSMT"/>
          <w:color w:val="000000"/>
          <w:lang w:val="en-MY" w:eastAsia="en-MY"/>
        </w:rPr>
        <w:t>, WWW document, (</w:t>
      </w:r>
      <w:hyperlink r:id="rId11" w:history="1">
        <w:r w:rsidRPr="0026667A">
          <w:rPr>
            <w:rStyle w:val="Hyperlink"/>
            <w:rFonts w:ascii="TimesNewRomanPSMT" w:hAnsi="TimesNewRomanPSMT"/>
            <w:color w:val="auto"/>
            <w:u w:val="none"/>
            <w:lang w:val="en-MY" w:eastAsia="en-MY"/>
          </w:rPr>
          <w:t>https://www.nst.com.my/news/nation/2022/06/809102/skipping-meals-</w:t>
        </w:r>
      </w:hyperlink>
      <w:r w:rsidRPr="0026667A">
        <w:rPr>
          <w:rFonts w:ascii="TimesNewRomanPSMT" w:hAnsi="TimesNewRomanPSMT"/>
          <w:lang w:val="en-MY" w:eastAsia="en-MY"/>
        </w:rPr>
        <w:t>stayingput-home-malaysians-share-how-rising-inflation-has)</w:t>
      </w:r>
      <w:r w:rsidR="0004342C" w:rsidRPr="0026667A">
        <w:rPr>
          <w:iCs/>
        </w:rPr>
        <w:t>.</w:t>
      </w:r>
    </w:p>
    <w:p w14:paraId="5CA35480" w14:textId="77777777" w:rsidR="00316921" w:rsidRPr="00A51DF7" w:rsidRDefault="00316921" w:rsidP="00316921">
      <w:pPr>
        <w:pStyle w:val="Paragraph"/>
        <w:rPr>
          <w:color w:val="000000" w:themeColor="text1"/>
        </w:rPr>
      </w:pPr>
    </w:p>
    <w:sectPr w:rsidR="00316921" w:rsidRPr="00A51DF7" w:rsidSect="00B91D67">
      <w:pgSz w:w="12240" w:h="15840"/>
      <w:pgMar w:top="1440" w:right="1440" w:bottom="1444"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4C3D32B-CC15-43CA-BFD2-CC6ED40A98C2}"/>
  </w:font>
  <w:font w:name="Times New Roman">
    <w:panose1 w:val="02020603050405020304"/>
    <w:charset w:val="00"/>
    <w:family w:val="roman"/>
    <w:pitch w:val="variable"/>
    <w:sig w:usb0="E0002EFF" w:usb1="C000785B" w:usb2="00000009" w:usb3="00000000" w:csb0="000001FF" w:csb1="00000000"/>
    <w:embedRegular r:id="rId2" w:fontKey="{8BB64F80-672E-4028-A04E-7F3A932CDA1C}"/>
    <w:embedBold r:id="rId3" w:fontKey="{BB924865-66F7-470B-AABF-0AE45124C1F6}"/>
    <w:embedItalic r:id="rId4" w:fontKey="{9A48CE3D-C3E8-4718-A226-305FAFA6CB5F}"/>
    <w:embedBoldItalic r:id="rId5" w:fontKey="{03370B69-4020-4C83-885D-4594693DB748}"/>
  </w:font>
  <w:font w:name="Courier New">
    <w:panose1 w:val="02070309020205020404"/>
    <w:charset w:val="00"/>
    <w:family w:val="modern"/>
    <w:pitch w:val="fixed"/>
    <w:sig w:usb0="E0002EFF" w:usb1="C0007843" w:usb2="00000009" w:usb3="00000000" w:csb0="000001FF" w:csb1="00000000"/>
    <w:embedRegular r:id="rId6" w:fontKey="{9B2ECA24-7B9C-43DD-9029-EF0A8AB01EB8}"/>
  </w:font>
  <w:font w:name="Wingdings">
    <w:panose1 w:val="05000000000000000000"/>
    <w:charset w:val="02"/>
    <w:family w:val="auto"/>
    <w:pitch w:val="variable"/>
    <w:sig w:usb0="00000000" w:usb1="10000000" w:usb2="00000000" w:usb3="00000000" w:csb0="80000000" w:csb1="00000000"/>
    <w:embedRegular r:id="rId7" w:fontKey="{670A2F62-1A54-49C0-A8D8-A36E258F366F}"/>
  </w:font>
  <w:font w:name="Tahoma">
    <w:panose1 w:val="020B0604030504040204"/>
    <w:charset w:val="00"/>
    <w:family w:val="swiss"/>
    <w:pitch w:val="variable"/>
    <w:sig w:usb0="E1002EFF" w:usb1="C000605B" w:usb2="00000029" w:usb3="00000000" w:csb0="000101FF" w:csb1="00000000"/>
    <w:embedRegular r:id="rId8" w:fontKey="{610C1E93-91F3-4178-A1BE-718BFC16FE75}"/>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9" w:fontKey="{9422F3EC-1038-40DF-97FF-5FBB0046CF37}"/>
    <w:embedBoldItalic r:id="rId10" w:fontKey="{84446E04-E6B9-4C7D-AA9F-918131A011D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F5EC8A29-0DA8-45DC-99D1-2E7AA5ACEB48}"/>
  </w:font>
  <w:font w:name="Calibri">
    <w:panose1 w:val="020F0502020204030204"/>
    <w:charset w:val="00"/>
    <w:family w:val="swiss"/>
    <w:pitch w:val="variable"/>
    <w:sig w:usb0="E4002EFF" w:usb1="C000247B" w:usb2="00000009" w:usb3="00000000" w:csb0="000001FF" w:csb1="00000000"/>
    <w:embedRegular r:id="rId12" w:fontKey="{7FCC8B90-7D0F-43A0-9251-32A28D78D8AA}"/>
  </w:font>
  <w:font w:name="Arial">
    <w:panose1 w:val="020B0604020202020204"/>
    <w:charset w:val="00"/>
    <w:family w:val="swiss"/>
    <w:pitch w:val="variable"/>
    <w:sig w:usb0="E0002EFF" w:usb1="C000785B" w:usb2="00000009" w:usb3="00000000" w:csb0="000001FF" w:csb1="00000000"/>
    <w:embedRegular r:id="rId13" w:fontKey="{0AD8508E-66F5-4F57-BE2B-281036824E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CC907EC"/>
    <w:multiLevelType w:val="hybridMultilevel"/>
    <w:tmpl w:val="307C5EFA"/>
    <w:lvl w:ilvl="0" w:tplc="4409000F">
      <w:start w:val="1"/>
      <w:numFmt w:val="decimal"/>
      <w:lvlText w:val="%1."/>
      <w:lvlJc w:val="left"/>
      <w:pPr>
        <w:ind w:left="1146" w:hanging="360"/>
      </w:pPr>
    </w:lvl>
    <w:lvl w:ilvl="1" w:tplc="44090019" w:tentative="1">
      <w:start w:val="1"/>
      <w:numFmt w:val="lowerLetter"/>
      <w:lvlText w:val="%2."/>
      <w:lvlJc w:val="left"/>
      <w:pPr>
        <w:ind w:left="1866" w:hanging="360"/>
      </w:pPr>
    </w:lvl>
    <w:lvl w:ilvl="2" w:tplc="4409001B" w:tentative="1">
      <w:start w:val="1"/>
      <w:numFmt w:val="lowerRoman"/>
      <w:lvlText w:val="%3."/>
      <w:lvlJc w:val="right"/>
      <w:pPr>
        <w:ind w:left="2586" w:hanging="180"/>
      </w:pPr>
    </w:lvl>
    <w:lvl w:ilvl="3" w:tplc="4409000F" w:tentative="1">
      <w:start w:val="1"/>
      <w:numFmt w:val="decimal"/>
      <w:lvlText w:val="%4."/>
      <w:lvlJc w:val="left"/>
      <w:pPr>
        <w:ind w:left="3306" w:hanging="360"/>
      </w:pPr>
    </w:lvl>
    <w:lvl w:ilvl="4" w:tplc="44090019" w:tentative="1">
      <w:start w:val="1"/>
      <w:numFmt w:val="lowerLetter"/>
      <w:lvlText w:val="%5."/>
      <w:lvlJc w:val="left"/>
      <w:pPr>
        <w:ind w:left="4026" w:hanging="360"/>
      </w:pPr>
    </w:lvl>
    <w:lvl w:ilvl="5" w:tplc="4409001B" w:tentative="1">
      <w:start w:val="1"/>
      <w:numFmt w:val="lowerRoman"/>
      <w:lvlText w:val="%6."/>
      <w:lvlJc w:val="right"/>
      <w:pPr>
        <w:ind w:left="4746" w:hanging="180"/>
      </w:pPr>
    </w:lvl>
    <w:lvl w:ilvl="6" w:tplc="4409000F" w:tentative="1">
      <w:start w:val="1"/>
      <w:numFmt w:val="decimal"/>
      <w:lvlText w:val="%7."/>
      <w:lvlJc w:val="left"/>
      <w:pPr>
        <w:ind w:left="5466" w:hanging="360"/>
      </w:pPr>
    </w:lvl>
    <w:lvl w:ilvl="7" w:tplc="44090019" w:tentative="1">
      <w:start w:val="1"/>
      <w:numFmt w:val="lowerLetter"/>
      <w:lvlText w:val="%8."/>
      <w:lvlJc w:val="left"/>
      <w:pPr>
        <w:ind w:left="6186" w:hanging="360"/>
      </w:pPr>
    </w:lvl>
    <w:lvl w:ilvl="8" w:tplc="4409001B" w:tentative="1">
      <w:start w:val="1"/>
      <w:numFmt w:val="lowerRoman"/>
      <w:lvlText w:val="%9."/>
      <w:lvlJc w:val="right"/>
      <w:pPr>
        <w:ind w:left="6906"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90208338"/>
    <w:lvl w:ilvl="0" w:tplc="3D24E90E">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17" w15:restartNumberingAfterBreak="0">
    <w:nsid w:val="7B40238B"/>
    <w:multiLevelType w:val="hybridMultilevel"/>
    <w:tmpl w:val="D77EA8E0"/>
    <w:lvl w:ilvl="0" w:tplc="A7F8504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92211931">
    <w:abstractNumId w:val="16"/>
  </w:num>
  <w:num w:numId="2" w16cid:durableId="1952931371">
    <w:abstractNumId w:val="4"/>
  </w:num>
  <w:num w:numId="3" w16cid:durableId="2023821256">
    <w:abstractNumId w:val="13"/>
  </w:num>
  <w:num w:numId="4" w16cid:durableId="1613392864">
    <w:abstractNumId w:val="8"/>
  </w:num>
  <w:num w:numId="5" w16cid:durableId="1613243773">
    <w:abstractNumId w:val="12"/>
  </w:num>
  <w:num w:numId="6" w16cid:durableId="1423187182">
    <w:abstractNumId w:val="5"/>
  </w:num>
  <w:num w:numId="7" w16cid:durableId="11803044">
    <w:abstractNumId w:val="7"/>
  </w:num>
  <w:num w:numId="8" w16cid:durableId="1677268033">
    <w:abstractNumId w:val="1"/>
  </w:num>
  <w:num w:numId="9" w16cid:durableId="1954752997">
    <w:abstractNumId w:val="15"/>
  </w:num>
  <w:num w:numId="10" w16cid:durableId="451168911">
    <w:abstractNumId w:val="10"/>
  </w:num>
  <w:num w:numId="11" w16cid:durableId="418529751">
    <w:abstractNumId w:val="14"/>
  </w:num>
  <w:num w:numId="12" w16cid:durableId="241649526">
    <w:abstractNumId w:val="11"/>
  </w:num>
  <w:num w:numId="13" w16cid:durableId="550459301">
    <w:abstractNumId w:val="6"/>
  </w:num>
  <w:num w:numId="14" w16cid:durableId="434909867">
    <w:abstractNumId w:val="15"/>
  </w:num>
  <w:num w:numId="15" w16cid:durableId="2093159935">
    <w:abstractNumId w:val="9"/>
  </w:num>
  <w:num w:numId="16" w16cid:durableId="2024741249">
    <w:abstractNumId w:val="6"/>
  </w:num>
  <w:num w:numId="17" w16cid:durableId="800733443">
    <w:abstractNumId w:val="6"/>
  </w:num>
  <w:num w:numId="18" w16cid:durableId="2146118734">
    <w:abstractNumId w:val="6"/>
  </w:num>
  <w:num w:numId="19" w16cid:durableId="1907954219">
    <w:abstractNumId w:val="6"/>
  </w:num>
  <w:num w:numId="20" w16cid:durableId="632948096">
    <w:abstractNumId w:val="6"/>
  </w:num>
  <w:num w:numId="21" w16cid:durableId="1400135505">
    <w:abstractNumId w:val="6"/>
  </w:num>
  <w:num w:numId="22" w16cid:durableId="651909636">
    <w:abstractNumId w:val="6"/>
  </w:num>
  <w:num w:numId="23" w16cid:durableId="1628857794">
    <w:abstractNumId w:val="6"/>
  </w:num>
  <w:num w:numId="24" w16cid:durableId="353658306">
    <w:abstractNumId w:val="6"/>
  </w:num>
  <w:num w:numId="25" w16cid:durableId="897938540">
    <w:abstractNumId w:val="6"/>
  </w:num>
  <w:num w:numId="26" w16cid:durableId="438332716">
    <w:abstractNumId w:val="6"/>
  </w:num>
  <w:num w:numId="27" w16cid:durableId="1732196430">
    <w:abstractNumId w:val="6"/>
  </w:num>
  <w:num w:numId="28" w16cid:durableId="836194937">
    <w:abstractNumId w:val="6"/>
  </w:num>
  <w:num w:numId="29" w16cid:durableId="430590175">
    <w:abstractNumId w:val="12"/>
  </w:num>
  <w:num w:numId="30" w16cid:durableId="1417436143">
    <w:abstractNumId w:val="12"/>
  </w:num>
  <w:num w:numId="31" w16cid:durableId="1355158426">
    <w:abstractNumId w:val="12"/>
    <w:lvlOverride w:ilvl="0">
      <w:startOverride w:val="1"/>
    </w:lvlOverride>
  </w:num>
  <w:num w:numId="32" w16cid:durableId="1832865688">
    <w:abstractNumId w:val="12"/>
  </w:num>
  <w:num w:numId="33" w16cid:durableId="1395735467">
    <w:abstractNumId w:val="12"/>
    <w:lvlOverride w:ilvl="0">
      <w:startOverride w:val="1"/>
    </w:lvlOverride>
  </w:num>
  <w:num w:numId="34" w16cid:durableId="298801433">
    <w:abstractNumId w:val="12"/>
    <w:lvlOverride w:ilvl="0">
      <w:startOverride w:val="1"/>
    </w:lvlOverride>
  </w:num>
  <w:num w:numId="35" w16cid:durableId="13001301">
    <w:abstractNumId w:val="13"/>
    <w:lvlOverride w:ilvl="0">
      <w:startOverride w:val="1"/>
    </w:lvlOverride>
  </w:num>
  <w:num w:numId="36" w16cid:durableId="1413159773">
    <w:abstractNumId w:val="13"/>
  </w:num>
  <w:num w:numId="37" w16cid:durableId="2143766461">
    <w:abstractNumId w:val="13"/>
    <w:lvlOverride w:ilvl="0">
      <w:startOverride w:val="1"/>
    </w:lvlOverride>
  </w:num>
  <w:num w:numId="38" w16cid:durableId="537936130">
    <w:abstractNumId w:val="13"/>
  </w:num>
  <w:num w:numId="39" w16cid:durableId="1884439657">
    <w:abstractNumId w:val="13"/>
    <w:lvlOverride w:ilvl="0">
      <w:startOverride w:val="1"/>
    </w:lvlOverride>
  </w:num>
  <w:num w:numId="40" w16cid:durableId="759791484">
    <w:abstractNumId w:val="13"/>
    <w:lvlOverride w:ilvl="0">
      <w:startOverride w:val="1"/>
    </w:lvlOverride>
  </w:num>
  <w:num w:numId="41" w16cid:durableId="1161316628">
    <w:abstractNumId w:val="13"/>
    <w:lvlOverride w:ilvl="0">
      <w:startOverride w:val="1"/>
    </w:lvlOverride>
  </w:num>
  <w:num w:numId="42" w16cid:durableId="35400079">
    <w:abstractNumId w:val="13"/>
  </w:num>
  <w:num w:numId="43" w16cid:durableId="1245994172">
    <w:abstractNumId w:val="13"/>
  </w:num>
  <w:num w:numId="44" w16cid:durableId="745104452">
    <w:abstractNumId w:val="2"/>
  </w:num>
  <w:num w:numId="45" w16cid:durableId="1658456671">
    <w:abstractNumId w:val="0"/>
  </w:num>
  <w:num w:numId="46" w16cid:durableId="359356679">
    <w:abstractNumId w:val="17"/>
  </w:num>
  <w:num w:numId="47" w16cid:durableId="1615673007">
    <w:abstractNumId w:val="13"/>
    <w:lvlOverride w:ilvl="0">
      <w:startOverride w:val="1"/>
    </w:lvlOverride>
  </w:num>
  <w:num w:numId="48" w16cid:durableId="253176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34EEE"/>
    <w:rsid w:val="0004342C"/>
    <w:rsid w:val="00066FED"/>
    <w:rsid w:val="00075EA6"/>
    <w:rsid w:val="0007709F"/>
    <w:rsid w:val="00086F62"/>
    <w:rsid w:val="00090674"/>
    <w:rsid w:val="0009320B"/>
    <w:rsid w:val="00096AE0"/>
    <w:rsid w:val="000A0878"/>
    <w:rsid w:val="000B1B74"/>
    <w:rsid w:val="000B3A2D"/>
    <w:rsid w:val="000B49C0"/>
    <w:rsid w:val="000C0063"/>
    <w:rsid w:val="000C6E26"/>
    <w:rsid w:val="000E382F"/>
    <w:rsid w:val="000E75CD"/>
    <w:rsid w:val="000F0D2E"/>
    <w:rsid w:val="000F3F4A"/>
    <w:rsid w:val="001036BA"/>
    <w:rsid w:val="00106DD0"/>
    <w:rsid w:val="001146DC"/>
    <w:rsid w:val="00114AB1"/>
    <w:rsid w:val="001230FF"/>
    <w:rsid w:val="00126881"/>
    <w:rsid w:val="00130BD7"/>
    <w:rsid w:val="00155B67"/>
    <w:rsid w:val="001562AF"/>
    <w:rsid w:val="00161A5B"/>
    <w:rsid w:val="0016385D"/>
    <w:rsid w:val="001656ED"/>
    <w:rsid w:val="00167158"/>
    <w:rsid w:val="0016782F"/>
    <w:rsid w:val="001872E0"/>
    <w:rsid w:val="001937E9"/>
    <w:rsid w:val="001964E5"/>
    <w:rsid w:val="001B263B"/>
    <w:rsid w:val="001B476A"/>
    <w:rsid w:val="001C712C"/>
    <w:rsid w:val="001C764F"/>
    <w:rsid w:val="001C7BB3"/>
    <w:rsid w:val="001D469C"/>
    <w:rsid w:val="001F07B6"/>
    <w:rsid w:val="001F61C1"/>
    <w:rsid w:val="00204376"/>
    <w:rsid w:val="0021619E"/>
    <w:rsid w:val="0023171B"/>
    <w:rsid w:val="00236BFC"/>
    <w:rsid w:val="00237437"/>
    <w:rsid w:val="002502FD"/>
    <w:rsid w:val="00257A9A"/>
    <w:rsid w:val="002628F2"/>
    <w:rsid w:val="0026667A"/>
    <w:rsid w:val="00274622"/>
    <w:rsid w:val="00285D24"/>
    <w:rsid w:val="00290390"/>
    <w:rsid w:val="002915D3"/>
    <w:rsid w:val="002924DB"/>
    <w:rsid w:val="002941DA"/>
    <w:rsid w:val="002A5B41"/>
    <w:rsid w:val="002A7F8B"/>
    <w:rsid w:val="002B5648"/>
    <w:rsid w:val="002B7427"/>
    <w:rsid w:val="002E3C35"/>
    <w:rsid w:val="002F5298"/>
    <w:rsid w:val="00316921"/>
    <w:rsid w:val="00321A88"/>
    <w:rsid w:val="00326AE0"/>
    <w:rsid w:val="003312C4"/>
    <w:rsid w:val="00333B31"/>
    <w:rsid w:val="00337E4F"/>
    <w:rsid w:val="00340C36"/>
    <w:rsid w:val="00346A9D"/>
    <w:rsid w:val="00350EE7"/>
    <w:rsid w:val="003523D3"/>
    <w:rsid w:val="003775AB"/>
    <w:rsid w:val="0039376F"/>
    <w:rsid w:val="003A287B"/>
    <w:rsid w:val="003A5C85"/>
    <w:rsid w:val="003A61B1"/>
    <w:rsid w:val="003B0050"/>
    <w:rsid w:val="003B085F"/>
    <w:rsid w:val="003C0290"/>
    <w:rsid w:val="003D3BA7"/>
    <w:rsid w:val="003D529D"/>
    <w:rsid w:val="003D6312"/>
    <w:rsid w:val="003E7C74"/>
    <w:rsid w:val="003F31C6"/>
    <w:rsid w:val="003F5AB0"/>
    <w:rsid w:val="0040225B"/>
    <w:rsid w:val="00402DA2"/>
    <w:rsid w:val="00410BDC"/>
    <w:rsid w:val="00425AC2"/>
    <w:rsid w:val="0044771F"/>
    <w:rsid w:val="00476B37"/>
    <w:rsid w:val="004B151D"/>
    <w:rsid w:val="004C1C04"/>
    <w:rsid w:val="004C7243"/>
    <w:rsid w:val="004C7B2E"/>
    <w:rsid w:val="004D0CFC"/>
    <w:rsid w:val="004E21DE"/>
    <w:rsid w:val="004E3C57"/>
    <w:rsid w:val="004E3CB2"/>
    <w:rsid w:val="004F63E2"/>
    <w:rsid w:val="00516A51"/>
    <w:rsid w:val="00525813"/>
    <w:rsid w:val="0053513F"/>
    <w:rsid w:val="00536931"/>
    <w:rsid w:val="005453B7"/>
    <w:rsid w:val="00574405"/>
    <w:rsid w:val="005854B0"/>
    <w:rsid w:val="005A0E21"/>
    <w:rsid w:val="005B3A34"/>
    <w:rsid w:val="005D42CC"/>
    <w:rsid w:val="005D49AF"/>
    <w:rsid w:val="005D5A61"/>
    <w:rsid w:val="005E1009"/>
    <w:rsid w:val="005E415C"/>
    <w:rsid w:val="005E71ED"/>
    <w:rsid w:val="005E7946"/>
    <w:rsid w:val="005F7475"/>
    <w:rsid w:val="00611299"/>
    <w:rsid w:val="00613B4D"/>
    <w:rsid w:val="006141FB"/>
    <w:rsid w:val="00616365"/>
    <w:rsid w:val="00616F3B"/>
    <w:rsid w:val="006205D7"/>
    <w:rsid w:val="0062225F"/>
    <w:rsid w:val="006249A7"/>
    <w:rsid w:val="0064225B"/>
    <w:rsid w:val="00643CA8"/>
    <w:rsid w:val="00675081"/>
    <w:rsid w:val="006763F9"/>
    <w:rsid w:val="006949BC"/>
    <w:rsid w:val="00697207"/>
    <w:rsid w:val="006C6CA6"/>
    <w:rsid w:val="006D1229"/>
    <w:rsid w:val="006D372F"/>
    <w:rsid w:val="006D7A18"/>
    <w:rsid w:val="006E4474"/>
    <w:rsid w:val="00701388"/>
    <w:rsid w:val="00706AD0"/>
    <w:rsid w:val="00721F85"/>
    <w:rsid w:val="00723B7F"/>
    <w:rsid w:val="00725861"/>
    <w:rsid w:val="0073393A"/>
    <w:rsid w:val="0073539D"/>
    <w:rsid w:val="00754C09"/>
    <w:rsid w:val="00767B8A"/>
    <w:rsid w:val="00775481"/>
    <w:rsid w:val="007A233B"/>
    <w:rsid w:val="007B4863"/>
    <w:rsid w:val="007C65E6"/>
    <w:rsid w:val="007D406B"/>
    <w:rsid w:val="007D4407"/>
    <w:rsid w:val="007E1CA3"/>
    <w:rsid w:val="007E39A6"/>
    <w:rsid w:val="007F1202"/>
    <w:rsid w:val="00812D62"/>
    <w:rsid w:val="00812F29"/>
    <w:rsid w:val="00821713"/>
    <w:rsid w:val="00827050"/>
    <w:rsid w:val="0083278B"/>
    <w:rsid w:val="00834538"/>
    <w:rsid w:val="00850E89"/>
    <w:rsid w:val="008926F3"/>
    <w:rsid w:val="008930E4"/>
    <w:rsid w:val="00893821"/>
    <w:rsid w:val="008A7B9C"/>
    <w:rsid w:val="008B39FA"/>
    <w:rsid w:val="008B4754"/>
    <w:rsid w:val="008E6A7A"/>
    <w:rsid w:val="008E739F"/>
    <w:rsid w:val="008F1038"/>
    <w:rsid w:val="008F3ADE"/>
    <w:rsid w:val="008F7046"/>
    <w:rsid w:val="009005FC"/>
    <w:rsid w:val="00910006"/>
    <w:rsid w:val="0091341D"/>
    <w:rsid w:val="00922E5A"/>
    <w:rsid w:val="00943315"/>
    <w:rsid w:val="00946C27"/>
    <w:rsid w:val="00954B93"/>
    <w:rsid w:val="009570A4"/>
    <w:rsid w:val="00985256"/>
    <w:rsid w:val="009A4F3D"/>
    <w:rsid w:val="009B696B"/>
    <w:rsid w:val="009B700A"/>
    <w:rsid w:val="009B7671"/>
    <w:rsid w:val="009C05C8"/>
    <w:rsid w:val="009C30A1"/>
    <w:rsid w:val="009E5BA1"/>
    <w:rsid w:val="009F056E"/>
    <w:rsid w:val="00A06397"/>
    <w:rsid w:val="00A133B7"/>
    <w:rsid w:val="00A24F3D"/>
    <w:rsid w:val="00A26DCD"/>
    <w:rsid w:val="00A314BB"/>
    <w:rsid w:val="00A32B7D"/>
    <w:rsid w:val="00A51870"/>
    <w:rsid w:val="00A51DF7"/>
    <w:rsid w:val="00A5596B"/>
    <w:rsid w:val="00A646B3"/>
    <w:rsid w:val="00A6739B"/>
    <w:rsid w:val="00A86071"/>
    <w:rsid w:val="00A87AD3"/>
    <w:rsid w:val="00A90413"/>
    <w:rsid w:val="00A97C04"/>
    <w:rsid w:val="00AA728C"/>
    <w:rsid w:val="00AB0A9C"/>
    <w:rsid w:val="00AB7119"/>
    <w:rsid w:val="00AD5855"/>
    <w:rsid w:val="00AE2860"/>
    <w:rsid w:val="00AE7500"/>
    <w:rsid w:val="00AE7F87"/>
    <w:rsid w:val="00AF3542"/>
    <w:rsid w:val="00AF5ABE"/>
    <w:rsid w:val="00B00415"/>
    <w:rsid w:val="00B03C2A"/>
    <w:rsid w:val="00B06701"/>
    <w:rsid w:val="00B1000D"/>
    <w:rsid w:val="00B10134"/>
    <w:rsid w:val="00B16BFE"/>
    <w:rsid w:val="00B25D95"/>
    <w:rsid w:val="00B450FA"/>
    <w:rsid w:val="00B500E5"/>
    <w:rsid w:val="00B91D67"/>
    <w:rsid w:val="00BA39BB"/>
    <w:rsid w:val="00BA3B3D"/>
    <w:rsid w:val="00BB7EEA"/>
    <w:rsid w:val="00BD1909"/>
    <w:rsid w:val="00BD5D8B"/>
    <w:rsid w:val="00BE5E16"/>
    <w:rsid w:val="00BE5FD1"/>
    <w:rsid w:val="00BE6E53"/>
    <w:rsid w:val="00C06E05"/>
    <w:rsid w:val="00C132D9"/>
    <w:rsid w:val="00C14B14"/>
    <w:rsid w:val="00C17370"/>
    <w:rsid w:val="00C2054D"/>
    <w:rsid w:val="00C252EB"/>
    <w:rsid w:val="00C26EC0"/>
    <w:rsid w:val="00C56C77"/>
    <w:rsid w:val="00C60735"/>
    <w:rsid w:val="00C84923"/>
    <w:rsid w:val="00C86679"/>
    <w:rsid w:val="00C91621"/>
    <w:rsid w:val="00CB45FF"/>
    <w:rsid w:val="00CB5CF2"/>
    <w:rsid w:val="00CB7B3E"/>
    <w:rsid w:val="00CC739D"/>
    <w:rsid w:val="00CE46A3"/>
    <w:rsid w:val="00D04468"/>
    <w:rsid w:val="00D15F93"/>
    <w:rsid w:val="00D30640"/>
    <w:rsid w:val="00D36257"/>
    <w:rsid w:val="00D36AFE"/>
    <w:rsid w:val="00D4687E"/>
    <w:rsid w:val="00D53A12"/>
    <w:rsid w:val="00D80426"/>
    <w:rsid w:val="00D87E2A"/>
    <w:rsid w:val="00D9517A"/>
    <w:rsid w:val="00D95F87"/>
    <w:rsid w:val="00DB0C43"/>
    <w:rsid w:val="00DE20E5"/>
    <w:rsid w:val="00DE3354"/>
    <w:rsid w:val="00DF20F4"/>
    <w:rsid w:val="00DF7DCD"/>
    <w:rsid w:val="00E330E9"/>
    <w:rsid w:val="00E4252E"/>
    <w:rsid w:val="00E43464"/>
    <w:rsid w:val="00E4610E"/>
    <w:rsid w:val="00E50B7D"/>
    <w:rsid w:val="00E845AF"/>
    <w:rsid w:val="00E904A1"/>
    <w:rsid w:val="00EB767A"/>
    <w:rsid w:val="00EB7D28"/>
    <w:rsid w:val="00EC0D0C"/>
    <w:rsid w:val="00ED46EC"/>
    <w:rsid w:val="00ED4A2C"/>
    <w:rsid w:val="00EF6940"/>
    <w:rsid w:val="00F06525"/>
    <w:rsid w:val="00F2044A"/>
    <w:rsid w:val="00F20BFC"/>
    <w:rsid w:val="00F211AB"/>
    <w:rsid w:val="00F24D5F"/>
    <w:rsid w:val="00F611CD"/>
    <w:rsid w:val="00F726C3"/>
    <w:rsid w:val="00F820CA"/>
    <w:rsid w:val="00F8554C"/>
    <w:rsid w:val="00F95F82"/>
    <w:rsid w:val="00F97A90"/>
    <w:rsid w:val="00FB404D"/>
    <w:rsid w:val="00FC2F35"/>
    <w:rsid w:val="00FC3214"/>
    <w:rsid w:val="00FC3FD7"/>
    <w:rsid w:val="00FC7179"/>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FollowedHyperlink">
    <w:name w:val="FollowedHyperlink"/>
    <w:basedOn w:val="DefaultParagraphFont"/>
    <w:semiHidden/>
    <w:unhideWhenUsed/>
    <w:rsid w:val="00A06397"/>
    <w:rPr>
      <w:color w:val="800080" w:themeColor="followedHyperlink"/>
      <w:u w:val="single"/>
    </w:rPr>
  </w:style>
  <w:style w:type="character" w:styleId="PlaceholderText">
    <w:name w:val="Placeholder Text"/>
    <w:basedOn w:val="DefaultParagraphFont"/>
    <w:uiPriority w:val="99"/>
    <w:semiHidden/>
    <w:rsid w:val="000C0063"/>
    <w:rPr>
      <w:color w:val="666666"/>
    </w:rPr>
  </w:style>
  <w:style w:type="character" w:customStyle="1" w:styleId="fontstyle01">
    <w:name w:val="fontstyle01"/>
    <w:basedOn w:val="DefaultParagraphFont"/>
    <w:rsid w:val="0026667A"/>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26667A"/>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153104">
      <w:bodyDiv w:val="1"/>
      <w:marLeft w:val="0"/>
      <w:marRight w:val="0"/>
      <w:marTop w:val="0"/>
      <w:marBottom w:val="0"/>
      <w:divBdr>
        <w:top w:val="none" w:sz="0" w:space="0" w:color="auto"/>
        <w:left w:val="none" w:sz="0" w:space="0" w:color="auto"/>
        <w:bottom w:val="none" w:sz="0" w:space="0" w:color="auto"/>
        <w:right w:val="none" w:sz="0" w:space="0" w:color="auto"/>
      </w:divBdr>
    </w:div>
    <w:div w:id="560291235">
      <w:bodyDiv w:val="1"/>
      <w:marLeft w:val="0"/>
      <w:marRight w:val="0"/>
      <w:marTop w:val="0"/>
      <w:marBottom w:val="0"/>
      <w:divBdr>
        <w:top w:val="none" w:sz="0" w:space="0" w:color="auto"/>
        <w:left w:val="none" w:sz="0" w:space="0" w:color="auto"/>
        <w:bottom w:val="none" w:sz="0" w:space="0" w:color="auto"/>
        <w:right w:val="none" w:sz="0" w:space="0" w:color="auto"/>
      </w:divBdr>
    </w:div>
    <w:div w:id="686911428">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69531824">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st.com.my/news/nation/2022/06/809102/skipping-meals-" TargetMode="External"/><Relationship Id="rId5" Type="http://schemas.openxmlformats.org/officeDocument/2006/relationships/numbering" Target="numbering.xml"/><Relationship Id="rId10" Type="http://schemas.openxmlformats.org/officeDocument/2006/relationships/hyperlink" Target="https://www.malaysianow.com/news/2021/10/10/give-retirees-a-bigger-pension-govt-told-amid-hike-in-costof-living" TargetMode="External"/><Relationship Id="rId4" Type="http://schemas.openxmlformats.org/officeDocument/2006/relationships/customXml" Target="../customXml/item4.xml"/><Relationship Id="rId9" Type="http://schemas.openxmlformats.org/officeDocument/2006/relationships/hyperlink" Target="mailto:ayurahman@uum.edu.m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08F171-26A4-4140-9A2D-CDD7579A226B}">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7</Pages>
  <Words>3600</Words>
  <Characters>20522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2011-03-03T08:29:00Z</cp:lastPrinted>
  <dcterms:created xsi:type="dcterms:W3CDTF">2026-01-15T12:28:00Z</dcterms:created>
  <dcterms:modified xsi:type="dcterms:W3CDTF">2026-01-15T12:28:00Z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