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8676A1" w14:textId="59CA0975" w:rsidR="007C337C" w:rsidRDefault="007C337C" w:rsidP="007C337C">
      <w:pPr>
        <w:pStyle w:val="PaperTitle"/>
      </w:pPr>
      <w:r>
        <w:t>Explore Simpler Eigenmarking:</w:t>
      </w:r>
    </w:p>
    <w:p w14:paraId="3B9815EA" w14:textId="39931129" w:rsidR="0016385D" w:rsidRPr="00075EA6" w:rsidRDefault="007C337C" w:rsidP="007C337C">
      <w:pPr>
        <w:pStyle w:val="PaperTitle"/>
        <w:spacing w:before="0"/>
        <w:rPr>
          <w:b w:val="0"/>
          <w:bCs/>
          <w:sz w:val="24"/>
          <w:szCs w:val="24"/>
        </w:rPr>
      </w:pPr>
      <w:r>
        <w:t>Quantum Entailment Model Checking</w:t>
      </w:r>
      <w:r w:rsidR="00BE5FD1" w:rsidRPr="002B5648">
        <w:t xml:space="preserve"> </w:t>
      </w:r>
      <w:r w:rsidR="00A90413" w:rsidRPr="00075EA6">
        <w:br/>
      </w:r>
    </w:p>
    <w:p w14:paraId="548D96A3" w14:textId="43E8D652" w:rsidR="00C14B14" w:rsidRDefault="007C337C" w:rsidP="2F830975">
      <w:pPr>
        <w:pStyle w:val="AuthorName"/>
        <w:rPr>
          <w:sz w:val="20"/>
          <w:lang w:val="en-GB" w:eastAsia="en-GB"/>
        </w:rPr>
      </w:pPr>
      <w:r>
        <w:t>Tatpong Katanyukul</w:t>
      </w:r>
      <w:r w:rsidR="00EF6940" w:rsidRPr="2F830975">
        <w:rPr>
          <w:vertAlign w:val="superscript"/>
        </w:rPr>
        <w:t>1,</w:t>
      </w:r>
      <w:r w:rsidR="003A5C85" w:rsidRPr="2F830975">
        <w:rPr>
          <w:vertAlign w:val="superscript"/>
        </w:rPr>
        <w:t xml:space="preserve"> </w:t>
      </w:r>
      <w:r w:rsidR="00EF6940" w:rsidRPr="2F830975">
        <w:rPr>
          <w:vertAlign w:val="superscript"/>
        </w:rPr>
        <w:t>a)</w:t>
      </w:r>
      <w:r>
        <w:t xml:space="preserve"> </w:t>
      </w:r>
      <w:r w:rsidR="0016385D">
        <w:br/>
      </w:r>
    </w:p>
    <w:p w14:paraId="5E05E235" w14:textId="7B52EEBF" w:rsidR="003A5C85" w:rsidRPr="00075EA6" w:rsidRDefault="00027428" w:rsidP="003A585B">
      <w:pPr>
        <w:pStyle w:val="AuthorAffiliation"/>
      </w:pPr>
      <w:r w:rsidRPr="00075EA6">
        <w:rPr>
          <w:i w:val="0"/>
          <w:iCs/>
          <w:vertAlign w:val="superscript"/>
        </w:rPr>
        <w:t>1</w:t>
      </w:r>
      <w:r w:rsidR="007C337C">
        <w:t>Department of Computer Engineering, Khon Kaen University, Khon Kaen, Thailand 40002</w:t>
      </w:r>
      <w:r w:rsidR="0016385D" w:rsidRPr="00075EA6">
        <w:t xml:space="preserve"> </w:t>
      </w:r>
      <w:r w:rsidR="0016782F" w:rsidRPr="00075EA6">
        <w:br/>
      </w:r>
      <w:r w:rsidR="00C14B14" w:rsidRPr="00075EA6">
        <w:br/>
      </w:r>
      <w:r w:rsidR="00003D7C" w:rsidRPr="00075EA6">
        <w:rPr>
          <w:szCs w:val="28"/>
          <w:vertAlign w:val="superscript"/>
        </w:rPr>
        <w:t>a)</w:t>
      </w:r>
      <w:r w:rsidR="00003D7C" w:rsidRPr="00075EA6">
        <w:t xml:space="preserve"> Corresponding</w:t>
      </w:r>
      <w:r w:rsidR="004E3CB2" w:rsidRPr="00075EA6">
        <w:t xml:space="preserve"> author: </w:t>
      </w:r>
      <w:r w:rsidR="007C337C">
        <w:t>tatpong@kku.ac.th</w:t>
      </w:r>
    </w:p>
    <w:p w14:paraId="22C3F2A8" w14:textId="3DE4A90C" w:rsidR="0016385D" w:rsidRPr="00075EA6" w:rsidRDefault="0016385D" w:rsidP="00C14B14">
      <w:pPr>
        <w:pStyle w:val="Abstract"/>
      </w:pPr>
      <w:r w:rsidRPr="00075EA6">
        <w:rPr>
          <w:b/>
          <w:bCs/>
        </w:rPr>
        <w:t>Abstract.</w:t>
      </w:r>
      <w:r w:rsidRPr="00075EA6">
        <w:t xml:space="preserve"> </w:t>
      </w:r>
      <w:r w:rsidR="007C337C" w:rsidRPr="007C337C">
        <w:t>Targeting entailment model checking, a recent study has pioneered an idea of Eigenmarking search, an improvement over Grover search using extra qubits. The extra qubits condition the quantum state evolution such that the answer states (if exist) are always in the minority. The minority criteri</w:t>
      </w:r>
      <w:r w:rsidR="007C337C">
        <w:t>on</w:t>
      </w:r>
      <w:r w:rsidR="007C337C" w:rsidRPr="007C337C">
        <w:t xml:space="preserve"> is essential to Grover probability-amplitude amplification and consequently the effectiveness of Grover search. In addition to enforce the minority criteri</w:t>
      </w:r>
      <w:r w:rsidR="007435E5">
        <w:t>on</w:t>
      </w:r>
      <w:r w:rsidR="007C337C" w:rsidRPr="007C337C">
        <w:t xml:space="preserve">, Eigenmarking also employs complementary states (through well-orchestrated phase rotation) for easy identification of a no-answer case (related to a no-violation case in the context of model checking). Eigenmarking search has been shown effective in </w:t>
      </w:r>
      <w:r w:rsidR="005405F8">
        <w:t xml:space="preserve">a </w:t>
      </w:r>
      <w:r w:rsidR="007C337C" w:rsidRPr="007C337C">
        <w:t xml:space="preserve">two-qubit simulation. </w:t>
      </w:r>
      <w:r w:rsidR="005405F8">
        <w:t>T</w:t>
      </w:r>
      <w:r w:rsidR="007C337C" w:rsidRPr="007C337C">
        <w:t xml:space="preserve">hree Eigenmarking schemes have been previously proposed. Two schemes require two extra qubits. One scheme (called “subtle marking”) requires one extra qubit with a multiple-qubit-controlled phase rotation. Our study refines the mechanism using only one extra qubit with only two-qubit-controlled phase rotation, commonly known as ccz, regardless of how many qubits the input has. Using a multiple-qubit-controlled phase rotation (as in subtle marking) associates with highly entangled states. Highly entangled states in a real quantum hardware are difficult (or in some cases may even be unachievable) particularly in a </w:t>
      </w:r>
      <w:r w:rsidR="007435E5" w:rsidRPr="007C337C">
        <w:t>scaled-up</w:t>
      </w:r>
      <w:r w:rsidR="007C337C" w:rsidRPr="007C337C">
        <w:t xml:space="preserve"> scenario involving many qubits. Our proposed new Eigenmarking scheme has lightened the burden for the hardware requirement. The new Eigenmarking search has been experimented in two-qubit-system simulations and shown viable, achieving the minimal relative local winning margin of </w:t>
      </w:r>
      <w:r w:rsidR="007C337C" w:rsidRPr="007C337C">
        <w:rPr>
          <w:i/>
          <w:iCs/>
        </w:rPr>
        <w:t>W</w:t>
      </w:r>
      <w:r w:rsidR="007C337C" w:rsidRPr="007C337C">
        <w:t xml:space="preserve">=3.17 and the worst-case distinguishability of </w:t>
      </w:r>
      <w:r w:rsidR="007C337C" w:rsidRPr="007C337C">
        <w:rPr>
          <w:i/>
          <w:iCs/>
        </w:rPr>
        <w:t>D</w:t>
      </w:r>
      <w:r w:rsidR="007C337C" w:rsidRPr="007C337C">
        <w:t xml:space="preserve">=0.769 (cf. </w:t>
      </w:r>
      <w:r w:rsidR="007C337C" w:rsidRPr="007C337C">
        <w:rPr>
          <w:i/>
          <w:iCs/>
        </w:rPr>
        <w:t>W</w:t>
      </w:r>
      <w:r w:rsidR="007C337C" w:rsidRPr="007C337C">
        <w:t xml:space="preserve">=0.67; </w:t>
      </w:r>
      <w:r w:rsidR="007C337C" w:rsidRPr="007C337C">
        <w:rPr>
          <w:i/>
          <w:iCs/>
        </w:rPr>
        <w:t>D</w:t>
      </w:r>
      <w:r w:rsidR="007C337C" w:rsidRPr="007C337C">
        <w:t xml:space="preserve">=0.19 from conventional marking and </w:t>
      </w:r>
      <w:r w:rsidR="007C337C" w:rsidRPr="00B91722">
        <w:rPr>
          <w:i/>
          <w:iCs/>
        </w:rPr>
        <w:t>W</w:t>
      </w:r>
      <w:r w:rsidR="007C337C" w:rsidRPr="007C337C">
        <w:t xml:space="preserve">=0.28; </w:t>
      </w:r>
      <w:r w:rsidR="007C337C" w:rsidRPr="00B91722">
        <w:rPr>
          <w:i/>
          <w:iCs/>
        </w:rPr>
        <w:t>D</w:t>
      </w:r>
      <w:r w:rsidR="007C337C" w:rsidRPr="007C337C">
        <w:t>=0.55 from subtle marking).</w:t>
      </w:r>
    </w:p>
    <w:p w14:paraId="5240E3FB" w14:textId="006BE4EC" w:rsidR="003A287B" w:rsidRPr="00075EA6" w:rsidRDefault="00B91722" w:rsidP="00003D7C">
      <w:pPr>
        <w:pStyle w:val="Heading1"/>
        <w:rPr>
          <w:b w:val="0"/>
          <w:caps w:val="0"/>
          <w:sz w:val="20"/>
        </w:rPr>
      </w:pPr>
      <w:r w:rsidRPr="00B91722">
        <w:t>INTRODUCTION</w:t>
      </w:r>
      <w:r w:rsidR="00616F3B" w:rsidRPr="00075EA6">
        <w:br/>
      </w:r>
    </w:p>
    <w:p w14:paraId="2CDDF09B" w14:textId="3E1A69F1" w:rsidR="00FC0514" w:rsidRDefault="00FC0514" w:rsidP="00FC0514">
      <w:pPr>
        <w:pStyle w:val="Paragraph"/>
      </w:pPr>
      <w:r>
        <w:t>Logical reasoning is one of the most notable functions in computational intelligence. Entailment — truth inference of an under-questioned sentence based on an accepted knowledge — is central to resolve logical reasoning. Entailment can be verified using model checking: checking every combination of truth values for all logical symbols involved (the input) and their resultant truth values if the resultant values of the sentence agrees with ones of the knowledge. However, computation cost of model checking may be exponential of the number of possible input values</w:t>
      </w:r>
      <w:r w:rsidR="00B3409F">
        <w:t xml:space="preserve"> [1]</w:t>
      </w:r>
      <w:r>
        <w:t>.</w:t>
      </w:r>
    </w:p>
    <w:p w14:paraId="59643E01" w14:textId="45F28FEE" w:rsidR="00FC0514" w:rsidRDefault="00FC0514" w:rsidP="00FC0514">
      <w:pPr>
        <w:pStyle w:val="Paragraph"/>
      </w:pPr>
      <w:r>
        <w:t>The advent of rapid development in quantum computing</w:t>
      </w:r>
      <w:r w:rsidR="00D34B9D">
        <w:t xml:space="preserve"> [2]</w:t>
      </w:r>
      <w:r>
        <w:t xml:space="preserve"> has offered a great opportunity for computationally intensive tasks. A previous study</w:t>
      </w:r>
      <w:r w:rsidR="00D34B9D">
        <w:t xml:space="preserve"> [3]</w:t>
      </w:r>
      <w:r>
        <w:t xml:space="preserve"> has proposed Eigenmarking schemes to enhance Grover search </w:t>
      </w:r>
      <w:r w:rsidR="00D34B9D">
        <w:t xml:space="preserve">[4] </w:t>
      </w:r>
      <w:r>
        <w:t>in the context of entailment model checking. Original Grover search assumes a single-answer scenario and exploit the minority condition in one of its key mechanism, i.e., probability-amplitude amplification. The context of entailment model checking requires a huge relaxation on this minority constraint. The key idea of Eigenmarking is to add extra qubits such that regardless of a proportion of answer states in all possible input states, these answer states remain minorities in a total number of all states. Another word, extra qubits create many dummy states such that even all input states are answers, they still remain minorities in this extended state space: one extra qubit allows double the number of states; two extra qubits allow quadruple the number of states.</w:t>
      </w:r>
    </w:p>
    <w:p w14:paraId="75AB8214" w14:textId="730B0AC5" w:rsidR="00FC0514" w:rsidRDefault="00FC0514" w:rsidP="00FC0514">
      <w:pPr>
        <w:pStyle w:val="Paragraph"/>
      </w:pPr>
      <w:r>
        <w:t>While the extra qubits have extended the state space, the extra qubits also act as a tag for the input states: the first previously proposed scheme</w:t>
      </w:r>
      <w:r w:rsidR="00D34B9D">
        <w:t xml:space="preserve"> [3]</w:t>
      </w:r>
      <w:r>
        <w:t xml:space="preserve"> (called “conventional marking”) uses tag </w:t>
      </w:r>
      <w:r w:rsidRPr="00FC0514">
        <w:t>01</w:t>
      </w:r>
      <w:r>
        <w:t xml:space="preserve"> to mark the answer states (target group) and tag 10 for the complementary states; the last previously proposed scheme</w:t>
      </w:r>
      <w:r w:rsidR="00D34B9D">
        <w:t xml:space="preserve"> [3]</w:t>
      </w:r>
      <w:r>
        <w:t xml:space="preserve"> (called “subtle marking”) uses tag 0 </w:t>
      </w:r>
      <w:r>
        <w:lastRenderedPageBreak/>
        <w:t>for the answers and tag 1 for the complementaries. The complementary states are selected to represent a no-answer scenario: their probability amplitudes are considerably amplified when there is no answer.</w:t>
      </w:r>
    </w:p>
    <w:p w14:paraId="4FAA31AD" w14:textId="77777777" w:rsidR="00FC0514" w:rsidRDefault="00FC0514" w:rsidP="00FC0514">
      <w:pPr>
        <w:pStyle w:val="Paragraph"/>
      </w:pPr>
      <w:r>
        <w:t>Conventional marking schemes uses two extra qubits and π/2-phase rotations. Subtle marking uses one extra qubit and multiple-qubit-controlled phase rotation. Conventional marking is reported to have a good global winning margin, i.e., the answer states have remarkably larger chances to be measured (regardless of a tag value), but when there is no answer, it has to rely on the difference between measurements in the target states and ones in complementary states to decide if it is a no-answer scenario.</w:t>
      </w:r>
    </w:p>
    <w:p w14:paraId="4F408FCA" w14:textId="62271F78" w:rsidR="00FC0514" w:rsidRDefault="00FC0514" w:rsidP="00FC0514">
      <w:pPr>
        <w:pStyle w:val="Paragraph"/>
      </w:pPr>
      <w:r>
        <w:t>Subtle marking is reported to have a good local winning margin — when considered among the target states (with target tag, i.e., tag qubit is 0) the answer states have also substantially larger chances to be measured — and a large contrast between measurements in the target states (very low chance) and ones in complementary states (very high chance) when there is no answer. Its second reported property makes determining if there is any answer easier when using subtle marking. However, a main disadvantage of subtle marking is architectural: it uses multiple-qubit-controlled phase rotation. This puts considerable stress on the hardware requirement and for a large-input problem, e.g., 1000-qubit input, this may not even be possible.</w:t>
      </w:r>
    </w:p>
    <w:p w14:paraId="5FCBEB91" w14:textId="7D44AB58" w:rsidR="0000259D" w:rsidRPr="00075EA6" w:rsidRDefault="00FC0514" w:rsidP="0000259D">
      <w:pPr>
        <w:pStyle w:val="Paragraph"/>
      </w:pPr>
      <w:r>
        <w:t>Our work proposed a more refined scheme to reduce stress on hardware requirement and evaluate the quality of its deliverables conferring to conventional and subtle Eigenmarking schemes. Specifically, this study aims to design a simpler Eigenmarking scheme using only one extra qubit and a two-qubit-controlled phase rotation (CCZ) to improve scalability and hardware feasibility.</w:t>
      </w:r>
    </w:p>
    <w:p w14:paraId="2D18FA7C" w14:textId="38CC31A2" w:rsidR="0000259D" w:rsidRPr="00075EA6" w:rsidRDefault="0000259D" w:rsidP="0000259D">
      <w:pPr>
        <w:pStyle w:val="Heading1"/>
        <w:rPr>
          <w:b w:val="0"/>
          <w:caps w:val="0"/>
          <w:sz w:val="20"/>
        </w:rPr>
      </w:pPr>
      <w:r>
        <w:t>Background</w:t>
      </w:r>
      <w:r w:rsidRPr="00075EA6">
        <w:br/>
      </w:r>
    </w:p>
    <w:p w14:paraId="61595064" w14:textId="7E3B0549" w:rsidR="0000259D" w:rsidRDefault="0000259D" w:rsidP="0000259D">
      <w:pPr>
        <w:pStyle w:val="Paragraph"/>
      </w:pPr>
      <w:r w:rsidRPr="00B3409F">
        <w:rPr>
          <w:i/>
          <w:iCs/>
        </w:rPr>
        <w:t>Entailment.</w:t>
      </w:r>
      <w:r>
        <w:t xml:space="preserve"> When an accepted knowledge α entails a sentence β, it means that what sentence β says agrees with what knowledge α has said. This is written with notation α</w:t>
      </w:r>
      <w:r>
        <w:rPr>
          <w:rFonts w:ascii="Cambria Math" w:hAnsi="Cambria Math" w:cs="Cambria Math"/>
        </w:rPr>
        <w:t>⊨</w:t>
      </w:r>
      <w:r>
        <w:t xml:space="preserve">β. It means that for every combination of input truth values when the entailer α is true, the entailee β </w:t>
      </w:r>
      <w:r w:rsidR="003D1BC2">
        <w:t>is also</w:t>
      </w:r>
      <w:r>
        <w:t xml:space="preserve"> true.</w:t>
      </w:r>
    </w:p>
    <w:p w14:paraId="3A6E07F6" w14:textId="4449A1DC" w:rsidR="0000259D" w:rsidRDefault="0000259D" w:rsidP="0000259D">
      <w:pPr>
        <w:pStyle w:val="Paragraph"/>
      </w:pPr>
      <w:r>
        <w:t>There are two main approaches for entailment checking</w:t>
      </w:r>
      <w:r w:rsidR="00D34B9D">
        <w:t xml:space="preserve"> [1]</w:t>
      </w:r>
      <w:r>
        <w:t xml:space="preserve">: </w:t>
      </w:r>
      <w:r w:rsidRPr="003D1BC2">
        <w:rPr>
          <w:i/>
          <w:iCs/>
        </w:rPr>
        <w:t>theorem proving</w:t>
      </w:r>
      <w:r>
        <w:t xml:space="preserve"> and </w:t>
      </w:r>
      <w:r w:rsidRPr="003D1BC2">
        <w:rPr>
          <w:i/>
          <w:iCs/>
        </w:rPr>
        <w:t>model checking</w:t>
      </w:r>
      <w:r>
        <w:t>. Theorem proving applies rules of inference to the entailer to eventually derive the entailee. Model checking checks all input truth values to validate the resultant truth values.</w:t>
      </w:r>
    </w:p>
    <w:p w14:paraId="4854A76F" w14:textId="0FDB7FF6" w:rsidR="001D6149" w:rsidRDefault="0000259D" w:rsidP="00B3409F">
      <w:pPr>
        <w:pStyle w:val="Paragraph"/>
      </w:pPr>
      <w:r>
        <w:t>E.g., suppose knowl</w:t>
      </w:r>
      <w:r w:rsidR="001D6149">
        <w:t>e</w:t>
      </w:r>
      <w:r>
        <w:t>dge α={A</w:t>
      </w:r>
      <w:r>
        <w:rPr>
          <w:rFonts w:ascii="Cambria Math" w:hAnsi="Cambria Math" w:cs="Cambria Math"/>
        </w:rPr>
        <w:t>⇒</w:t>
      </w:r>
      <w:r>
        <w:t>B,B</w:t>
      </w:r>
      <w:r>
        <w:rPr>
          <w:rFonts w:ascii="Cambria Math" w:hAnsi="Cambria Math" w:cs="Cambria Math"/>
        </w:rPr>
        <w:t>⇒</w:t>
      </w:r>
      <w:r>
        <w:t>C} ( “Monthong is a variety of durian.”, “Durian is prickly.”); β</w:t>
      </w:r>
      <w:r w:rsidRPr="001D6149">
        <w:rPr>
          <w:vertAlign w:val="subscript"/>
        </w:rPr>
        <w:t>1</w:t>
      </w:r>
      <w:r>
        <w:t>={A</w:t>
      </w:r>
      <w:r>
        <w:rPr>
          <w:rFonts w:ascii="Cambria Math" w:hAnsi="Cambria Math" w:cs="Cambria Math"/>
        </w:rPr>
        <w:t>⇒</w:t>
      </w:r>
      <w:r>
        <w:t>C} (“Monthong is prickly.”); β</w:t>
      </w:r>
      <w:r w:rsidRPr="001D6149">
        <w:rPr>
          <w:vertAlign w:val="subscript"/>
        </w:rPr>
        <w:t>2</w:t>
      </w:r>
      <w:r>
        <w:t>={A</w:t>
      </w:r>
      <w:r>
        <w:rPr>
          <w:rFonts w:ascii="Cambria Math" w:hAnsi="Cambria Math" w:cs="Cambria Math"/>
        </w:rPr>
        <w:t>⇒</w:t>
      </w:r>
      <w:r w:rsidR="00972747">
        <w:rPr>
          <w:rFonts w:ascii="Cambria Math" w:hAnsi="Cambria Math" w:cs="Cambria Math"/>
        </w:rPr>
        <w:t xml:space="preserve"> </w:t>
      </w:r>
      <w:r>
        <w:t>¬</w:t>
      </w:r>
      <w:r w:rsidR="00972747">
        <w:t xml:space="preserve"> </w:t>
      </w:r>
      <w:r>
        <w:t>C} (“Monthong is not prickly.”); β</w:t>
      </w:r>
      <w:r w:rsidRPr="001D6149">
        <w:rPr>
          <w:vertAlign w:val="subscript"/>
        </w:rPr>
        <w:t>3</w:t>
      </w:r>
      <w:r>
        <w:t>={D</w:t>
      </w:r>
      <w:r>
        <w:rPr>
          <w:rFonts w:ascii="Cambria Math" w:hAnsi="Cambria Math" w:cs="Cambria Math"/>
        </w:rPr>
        <w:t>⇒</w:t>
      </w:r>
      <w:r>
        <w:t>E} (“There is life on Mars.”); and β</w:t>
      </w:r>
      <w:r w:rsidRPr="001D6149">
        <w:rPr>
          <w:vertAlign w:val="subscript"/>
        </w:rPr>
        <w:t>4</w:t>
      </w:r>
      <w:r>
        <w:t>={D</w:t>
      </w:r>
      <w:r>
        <w:rPr>
          <w:rFonts w:ascii="Cambria Math" w:hAnsi="Cambria Math" w:cs="Cambria Math"/>
        </w:rPr>
        <w:t>⇒</w:t>
      </w:r>
      <w:r w:rsidR="00972747">
        <w:t xml:space="preserve"> </w:t>
      </w:r>
      <w:r>
        <w:t>¬</w:t>
      </w:r>
      <w:r w:rsidR="00972747">
        <w:t xml:space="preserve"> </w:t>
      </w:r>
      <w:r>
        <w:t>E} (“There is no life on Mars.”), this can be reasoned: α</w:t>
      </w:r>
      <w:r w:rsidR="00B7286B">
        <w:t xml:space="preserve"> </w:t>
      </w:r>
      <w:r>
        <w:rPr>
          <w:rFonts w:ascii="Cambria Math" w:hAnsi="Cambria Math" w:cs="Cambria Math"/>
        </w:rPr>
        <w:t>⊨</w:t>
      </w:r>
      <w:r w:rsidR="00B7286B">
        <w:rPr>
          <w:rFonts w:ascii="Cambria Math" w:hAnsi="Cambria Math" w:cs="Cambria Math"/>
        </w:rPr>
        <w:t xml:space="preserve"> </w:t>
      </w:r>
      <w:r>
        <w:t>β</w:t>
      </w:r>
      <w:r w:rsidRPr="001D6149">
        <w:rPr>
          <w:vertAlign w:val="subscript"/>
        </w:rPr>
        <w:t>1</w:t>
      </w:r>
      <w:r>
        <w:t>; α</w:t>
      </w:r>
      <w:r w:rsidR="00B7286B">
        <w:t xml:space="preserve"> </w:t>
      </w:r>
      <w:r>
        <w:rPr>
          <w:rFonts w:ascii="Cambria Math" w:hAnsi="Cambria Math" w:cs="Cambria Math"/>
        </w:rPr>
        <w:t>⊭</w:t>
      </w:r>
      <w:r w:rsidR="00B7286B">
        <w:t xml:space="preserve"> </w:t>
      </w:r>
      <w:r>
        <w:t>β</w:t>
      </w:r>
      <w:r w:rsidRPr="001D6149">
        <w:rPr>
          <w:vertAlign w:val="subscript"/>
        </w:rPr>
        <w:t>2</w:t>
      </w:r>
      <w:r>
        <w:t>; α</w:t>
      </w:r>
      <w:r w:rsidR="00B7286B">
        <w:t xml:space="preserve"> </w:t>
      </w:r>
      <w:r>
        <w:rPr>
          <w:rFonts w:ascii="Cambria Math" w:hAnsi="Cambria Math" w:cs="Cambria Math"/>
        </w:rPr>
        <w:t>⊭</w:t>
      </w:r>
      <w:r w:rsidR="00B7286B">
        <w:t xml:space="preserve"> </w:t>
      </w:r>
      <w:r>
        <w:t>β</w:t>
      </w:r>
      <w:r w:rsidRPr="001D6149">
        <w:rPr>
          <w:vertAlign w:val="subscript"/>
        </w:rPr>
        <w:t>3</w:t>
      </w:r>
      <w:r>
        <w:t xml:space="preserve"> and α</w:t>
      </w:r>
      <w:r w:rsidR="00B7286B">
        <w:t xml:space="preserve"> </w:t>
      </w:r>
      <w:r>
        <w:rPr>
          <w:rFonts w:ascii="Cambria Math" w:hAnsi="Cambria Math" w:cs="Cambria Math"/>
        </w:rPr>
        <w:t>⊭</w:t>
      </w:r>
      <w:r w:rsidR="00B7286B">
        <w:rPr>
          <w:rFonts w:ascii="Cambria Math" w:hAnsi="Cambria Math" w:cs="Cambria Math"/>
        </w:rPr>
        <w:t xml:space="preserve"> </w:t>
      </w:r>
      <w:r>
        <w:t>β</w:t>
      </w:r>
      <w:r w:rsidRPr="001D6149">
        <w:rPr>
          <w:vertAlign w:val="subscript"/>
        </w:rPr>
        <w:t>4</w:t>
      </w:r>
      <w:r>
        <w:t xml:space="preserve"> for violations as shown in Table 1 (violation is emphasized in </w:t>
      </w:r>
      <w:r w:rsidR="00017641">
        <w:t>italic</w:t>
      </w:r>
      <w:r>
        <w:t>). For entailment model checking, entailment is equivalent to no violation: for all x’s</w:t>
      </w:r>
      <w:r w:rsidR="001D6149">
        <w:t>,</w:t>
      </w:r>
      <w:r>
        <w:t xml:space="preserve"> no logical false of ¬</w:t>
      </w:r>
      <w:r w:rsidR="00B7286B">
        <w:t xml:space="preserve"> </w:t>
      </w:r>
      <w:r>
        <w:t>α(x)</w:t>
      </w:r>
      <w:r w:rsidR="00B7286B">
        <w:t xml:space="preserve"> </w:t>
      </w:r>
      <w:r>
        <w:rPr>
          <w:rFonts w:ascii="Cambria Math" w:hAnsi="Cambria Math" w:cs="Cambria Math"/>
        </w:rPr>
        <w:t>∨</w:t>
      </w:r>
      <w:r w:rsidR="00B7286B">
        <w:rPr>
          <w:rFonts w:ascii="Cambria Math" w:hAnsi="Cambria Math" w:cs="Cambria Math"/>
        </w:rPr>
        <w:t xml:space="preserve"> </w:t>
      </w:r>
      <w:r>
        <w:t>β(x) (≡ no logical true of α(x)</w:t>
      </w:r>
      <w:r w:rsidR="00B7286B">
        <w:t xml:space="preserve"> </w:t>
      </w:r>
      <w:r>
        <w:rPr>
          <w:rFonts w:ascii="Cambria Math" w:hAnsi="Cambria Math" w:cs="Cambria Math"/>
        </w:rPr>
        <w:t>∧</w:t>
      </w:r>
      <w:r w:rsidR="00B7286B">
        <w:t xml:space="preserve"> </w:t>
      </w:r>
      <w:r>
        <w:t>¬</w:t>
      </w:r>
      <w:r w:rsidR="00B7286B">
        <w:t xml:space="preserve"> </w:t>
      </w:r>
      <w:r>
        <w:t>β(x)).</w:t>
      </w:r>
    </w:p>
    <w:p w14:paraId="720E5698" w14:textId="77777777" w:rsidR="00B3409F" w:rsidRPr="005A0E21" w:rsidRDefault="00B3409F" w:rsidP="00B3409F">
      <w:pPr>
        <w:pStyle w:val="Paragraph"/>
        <w:ind w:firstLine="0"/>
      </w:pPr>
    </w:p>
    <w:tbl>
      <w:tblPr>
        <w:tblW w:w="0" w:type="auto"/>
        <w:jc w:val="center"/>
        <w:tblBorders>
          <w:bottom w:val="single" w:sz="4" w:space="0" w:color="auto"/>
        </w:tblBorders>
        <w:tblLayout w:type="fixed"/>
        <w:tblLook w:val="0000" w:firstRow="0" w:lastRow="0" w:firstColumn="0" w:lastColumn="0" w:noHBand="0" w:noVBand="0"/>
      </w:tblPr>
      <w:tblGrid>
        <w:gridCol w:w="8370"/>
      </w:tblGrid>
      <w:tr w:rsidR="001D6149" w:rsidRPr="00075EA6" w14:paraId="37F347EE" w14:textId="77777777" w:rsidTr="00EC3AAB">
        <w:trPr>
          <w:cantSplit/>
          <w:trHeight w:val="783"/>
          <w:jc w:val="center"/>
        </w:trPr>
        <w:tc>
          <w:tcPr>
            <w:tcW w:w="8370" w:type="dxa"/>
            <w:tcBorders>
              <w:bottom w:val="nil"/>
            </w:tcBorders>
          </w:tcPr>
          <w:p w14:paraId="48D9F69E" w14:textId="5387EC7E" w:rsidR="001D6149" w:rsidRDefault="001D6149" w:rsidP="00B3409F">
            <w:pPr>
              <w:pStyle w:val="TableCaption"/>
            </w:pPr>
            <w:r w:rsidRPr="00075EA6">
              <w:rPr>
                <w:b/>
              </w:rPr>
              <w:t xml:space="preserve">TABLE 1. </w:t>
            </w:r>
            <w:r>
              <w:t>Example of entailment model checking: α</w:t>
            </w:r>
            <w:r w:rsidR="005405F8">
              <w:t xml:space="preserve"> </w:t>
            </w:r>
            <w:r>
              <w:rPr>
                <w:rFonts w:ascii="Cambria Math" w:hAnsi="Cambria Math" w:cs="Cambria Math"/>
              </w:rPr>
              <w:t>⊨</w:t>
            </w:r>
            <w:r w:rsidR="005405F8">
              <w:rPr>
                <w:rFonts w:ascii="Cambria Math" w:hAnsi="Cambria Math" w:cs="Cambria Math"/>
              </w:rPr>
              <w:t xml:space="preserve"> </w:t>
            </w:r>
            <w:r>
              <w:t>β if and only if ¬</w:t>
            </w:r>
            <w:r w:rsidR="005405F8">
              <w:t xml:space="preserve"> </w:t>
            </w:r>
            <w:r>
              <w:t>α</w:t>
            </w:r>
            <w:r w:rsidR="005405F8">
              <w:t xml:space="preserve"> </w:t>
            </w:r>
            <w:r>
              <w:t>(x)</w:t>
            </w:r>
            <w:r w:rsidR="005405F8">
              <w:t xml:space="preserve"> </w:t>
            </w:r>
            <w:r>
              <w:rPr>
                <w:rFonts w:ascii="Cambria Math" w:hAnsi="Cambria Math" w:cs="Cambria Math"/>
              </w:rPr>
              <w:t>∨</w:t>
            </w:r>
            <w:r w:rsidR="005405F8">
              <w:rPr>
                <w:rFonts w:ascii="Cambria Math" w:hAnsi="Cambria Math" w:cs="Cambria Math"/>
              </w:rPr>
              <w:t xml:space="preserve"> </w:t>
            </w:r>
            <w:r>
              <w:t>β</w:t>
            </w:r>
            <w:r w:rsidR="005405F8">
              <w:t xml:space="preserve"> </w:t>
            </w:r>
            <w:r>
              <w:t>(x) for all x’s.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4"/>
              <w:gridCol w:w="814"/>
              <w:gridCol w:w="814"/>
              <w:gridCol w:w="814"/>
              <w:gridCol w:w="814"/>
              <w:gridCol w:w="814"/>
              <w:gridCol w:w="815"/>
              <w:gridCol w:w="815"/>
              <w:gridCol w:w="815"/>
              <w:gridCol w:w="815"/>
            </w:tblGrid>
            <w:tr w:rsidR="001D6149" w14:paraId="6BA95854" w14:textId="77777777" w:rsidTr="001D6149">
              <w:tc>
                <w:tcPr>
                  <w:tcW w:w="814" w:type="dxa"/>
                  <w:tcBorders>
                    <w:top w:val="single" w:sz="4" w:space="0" w:color="auto"/>
                    <w:bottom w:val="single" w:sz="4" w:space="0" w:color="auto"/>
                  </w:tcBorders>
                </w:tcPr>
                <w:p w14:paraId="534465E3" w14:textId="252E1B29" w:rsidR="001D6149" w:rsidRPr="001D6149" w:rsidRDefault="001D6149" w:rsidP="001D6149">
                  <w:pPr>
                    <w:jc w:val="center"/>
                    <w:rPr>
                      <w:b/>
                      <w:sz w:val="18"/>
                      <w:szCs w:val="18"/>
                    </w:rPr>
                  </w:pPr>
                  <w:r w:rsidRPr="001D6149">
                    <w:rPr>
                      <w:b/>
                      <w:sz w:val="18"/>
                      <w:szCs w:val="18"/>
                    </w:rPr>
                    <w:t>A</w:t>
                  </w:r>
                </w:p>
              </w:tc>
              <w:tc>
                <w:tcPr>
                  <w:tcW w:w="814" w:type="dxa"/>
                  <w:tcBorders>
                    <w:top w:val="single" w:sz="4" w:space="0" w:color="auto"/>
                    <w:bottom w:val="single" w:sz="4" w:space="0" w:color="auto"/>
                  </w:tcBorders>
                </w:tcPr>
                <w:p w14:paraId="02058E2F" w14:textId="74D4B89A" w:rsidR="001D6149" w:rsidRPr="001D6149" w:rsidRDefault="001D6149" w:rsidP="001D6149">
                  <w:pPr>
                    <w:jc w:val="center"/>
                    <w:rPr>
                      <w:b/>
                      <w:sz w:val="18"/>
                      <w:szCs w:val="18"/>
                    </w:rPr>
                  </w:pPr>
                  <w:r w:rsidRPr="001D6149">
                    <w:rPr>
                      <w:b/>
                      <w:sz w:val="18"/>
                      <w:szCs w:val="18"/>
                    </w:rPr>
                    <w:t>B</w:t>
                  </w:r>
                </w:p>
              </w:tc>
              <w:tc>
                <w:tcPr>
                  <w:tcW w:w="814" w:type="dxa"/>
                  <w:tcBorders>
                    <w:top w:val="single" w:sz="4" w:space="0" w:color="auto"/>
                    <w:bottom w:val="single" w:sz="4" w:space="0" w:color="auto"/>
                  </w:tcBorders>
                </w:tcPr>
                <w:p w14:paraId="2A2C56F3" w14:textId="1FBADB71" w:rsidR="001D6149" w:rsidRPr="001D6149" w:rsidRDefault="001D6149" w:rsidP="001D6149">
                  <w:pPr>
                    <w:jc w:val="center"/>
                    <w:rPr>
                      <w:b/>
                      <w:sz w:val="18"/>
                      <w:szCs w:val="18"/>
                    </w:rPr>
                  </w:pPr>
                  <w:r w:rsidRPr="001D6149">
                    <w:rPr>
                      <w:b/>
                      <w:sz w:val="18"/>
                      <w:szCs w:val="18"/>
                    </w:rPr>
                    <w:t>C</w:t>
                  </w:r>
                </w:p>
              </w:tc>
              <w:tc>
                <w:tcPr>
                  <w:tcW w:w="814" w:type="dxa"/>
                  <w:tcBorders>
                    <w:top w:val="single" w:sz="4" w:space="0" w:color="auto"/>
                    <w:bottom w:val="single" w:sz="4" w:space="0" w:color="auto"/>
                  </w:tcBorders>
                </w:tcPr>
                <w:p w14:paraId="021072C3" w14:textId="5E813C51" w:rsidR="001D6149" w:rsidRPr="001D6149" w:rsidRDefault="001D6149" w:rsidP="001D6149">
                  <w:pPr>
                    <w:jc w:val="center"/>
                    <w:rPr>
                      <w:b/>
                      <w:sz w:val="18"/>
                      <w:szCs w:val="18"/>
                    </w:rPr>
                  </w:pPr>
                  <w:r w:rsidRPr="001D6149">
                    <w:rPr>
                      <w:b/>
                      <w:sz w:val="18"/>
                      <w:szCs w:val="18"/>
                    </w:rPr>
                    <w:t>D</w:t>
                  </w:r>
                </w:p>
              </w:tc>
              <w:tc>
                <w:tcPr>
                  <w:tcW w:w="814" w:type="dxa"/>
                  <w:tcBorders>
                    <w:top w:val="single" w:sz="4" w:space="0" w:color="auto"/>
                    <w:bottom w:val="single" w:sz="4" w:space="0" w:color="auto"/>
                  </w:tcBorders>
                </w:tcPr>
                <w:p w14:paraId="4C0F5C16" w14:textId="1EF3C718" w:rsidR="001D6149" w:rsidRPr="001D6149" w:rsidRDefault="001D6149" w:rsidP="001D6149">
                  <w:pPr>
                    <w:jc w:val="center"/>
                    <w:rPr>
                      <w:b/>
                      <w:sz w:val="18"/>
                      <w:szCs w:val="18"/>
                    </w:rPr>
                  </w:pPr>
                  <w:r w:rsidRPr="001D6149">
                    <w:rPr>
                      <w:b/>
                      <w:sz w:val="18"/>
                      <w:szCs w:val="18"/>
                    </w:rPr>
                    <w:t>E</w:t>
                  </w:r>
                </w:p>
              </w:tc>
              <w:tc>
                <w:tcPr>
                  <w:tcW w:w="814" w:type="dxa"/>
                  <w:tcBorders>
                    <w:top w:val="single" w:sz="4" w:space="0" w:color="auto"/>
                    <w:bottom w:val="single" w:sz="4" w:space="0" w:color="auto"/>
                  </w:tcBorders>
                </w:tcPr>
                <w:p w14:paraId="044C8925" w14:textId="5AFA0839" w:rsidR="001D6149" w:rsidRPr="001D6149" w:rsidRDefault="001D6149" w:rsidP="001D6149">
                  <w:pPr>
                    <w:jc w:val="center"/>
                    <w:rPr>
                      <w:b/>
                      <w:sz w:val="18"/>
                      <w:szCs w:val="18"/>
                    </w:rPr>
                  </w:pPr>
                  <m:oMathPara>
                    <m:oMath>
                      <m:r>
                        <m:rPr>
                          <m:sty m:val="bi"/>
                        </m:rPr>
                        <w:rPr>
                          <w:rFonts w:ascii="Cambria Math" w:hAnsi="Cambria Math"/>
                          <w:sz w:val="18"/>
                          <w:szCs w:val="18"/>
                        </w:rPr>
                        <m:t>α</m:t>
                      </m:r>
                    </m:oMath>
                  </m:oMathPara>
                </w:p>
              </w:tc>
              <w:tc>
                <w:tcPr>
                  <w:tcW w:w="815" w:type="dxa"/>
                  <w:tcBorders>
                    <w:top w:val="single" w:sz="4" w:space="0" w:color="auto"/>
                    <w:bottom w:val="single" w:sz="4" w:space="0" w:color="auto"/>
                  </w:tcBorders>
                </w:tcPr>
                <w:p w14:paraId="0736100F" w14:textId="313E2EA2" w:rsidR="001D6149" w:rsidRPr="001D6149" w:rsidRDefault="00485395" w:rsidP="001D6149">
                  <w:pPr>
                    <w:jc w:val="center"/>
                    <w:rPr>
                      <w:b/>
                      <w:sz w:val="18"/>
                      <w:szCs w:val="18"/>
                    </w:rPr>
                  </w:pPr>
                  <m:oMathPara>
                    <m:oMath>
                      <m:sSub>
                        <m:sSubPr>
                          <m:ctrlPr>
                            <w:rPr>
                              <w:rFonts w:ascii="Cambria Math" w:hAnsi="Cambria Math"/>
                              <w:b/>
                              <w:sz w:val="18"/>
                              <w:szCs w:val="18"/>
                            </w:rPr>
                          </m:ctrlPr>
                        </m:sSubPr>
                        <m:e>
                          <m:r>
                            <m:rPr>
                              <m:sty m:val="bi"/>
                            </m:rPr>
                            <w:rPr>
                              <w:rFonts w:ascii="Cambria Math" w:hAnsi="Cambria Math"/>
                              <w:sz w:val="18"/>
                              <w:szCs w:val="18"/>
                            </w:rPr>
                            <m:t>β</m:t>
                          </m:r>
                        </m:e>
                        <m:sub>
                          <m:r>
                            <m:rPr>
                              <m:sty m:val="b"/>
                            </m:rPr>
                            <w:rPr>
                              <w:rFonts w:ascii="Cambria Math" w:hAnsi="Cambria Math"/>
                              <w:sz w:val="18"/>
                              <w:szCs w:val="18"/>
                            </w:rPr>
                            <m:t>1</m:t>
                          </m:r>
                        </m:sub>
                      </m:sSub>
                    </m:oMath>
                  </m:oMathPara>
                </w:p>
              </w:tc>
              <w:tc>
                <w:tcPr>
                  <w:tcW w:w="815" w:type="dxa"/>
                  <w:tcBorders>
                    <w:top w:val="single" w:sz="4" w:space="0" w:color="auto"/>
                    <w:bottom w:val="single" w:sz="4" w:space="0" w:color="auto"/>
                  </w:tcBorders>
                </w:tcPr>
                <w:p w14:paraId="4012CB18" w14:textId="53F9E254" w:rsidR="001D6149" w:rsidRPr="001D6149" w:rsidRDefault="00485395" w:rsidP="001D6149">
                  <w:pPr>
                    <w:jc w:val="center"/>
                    <w:rPr>
                      <w:b/>
                      <w:sz w:val="18"/>
                      <w:szCs w:val="18"/>
                    </w:rPr>
                  </w:pPr>
                  <m:oMathPara>
                    <m:oMath>
                      <m:sSub>
                        <m:sSubPr>
                          <m:ctrlPr>
                            <w:rPr>
                              <w:rFonts w:ascii="Cambria Math" w:hAnsi="Cambria Math"/>
                              <w:b/>
                              <w:sz w:val="18"/>
                              <w:szCs w:val="18"/>
                            </w:rPr>
                          </m:ctrlPr>
                        </m:sSubPr>
                        <m:e>
                          <m:r>
                            <m:rPr>
                              <m:sty m:val="bi"/>
                            </m:rPr>
                            <w:rPr>
                              <w:rFonts w:ascii="Cambria Math" w:hAnsi="Cambria Math"/>
                              <w:sz w:val="18"/>
                              <w:szCs w:val="18"/>
                            </w:rPr>
                            <m:t>β</m:t>
                          </m:r>
                        </m:e>
                        <m:sub>
                          <m:r>
                            <m:rPr>
                              <m:sty m:val="b"/>
                            </m:rPr>
                            <w:rPr>
                              <w:rFonts w:ascii="Cambria Math" w:hAnsi="Cambria Math"/>
                              <w:sz w:val="18"/>
                              <w:szCs w:val="18"/>
                            </w:rPr>
                            <m:t>2</m:t>
                          </m:r>
                        </m:sub>
                      </m:sSub>
                    </m:oMath>
                  </m:oMathPara>
                </w:p>
              </w:tc>
              <w:tc>
                <w:tcPr>
                  <w:tcW w:w="815" w:type="dxa"/>
                  <w:tcBorders>
                    <w:top w:val="single" w:sz="4" w:space="0" w:color="auto"/>
                    <w:bottom w:val="single" w:sz="4" w:space="0" w:color="auto"/>
                  </w:tcBorders>
                </w:tcPr>
                <w:p w14:paraId="2C0621AD" w14:textId="0681D04E" w:rsidR="001D6149" w:rsidRPr="001D6149" w:rsidRDefault="00485395" w:rsidP="001D6149">
                  <w:pPr>
                    <w:jc w:val="center"/>
                    <w:rPr>
                      <w:b/>
                      <w:sz w:val="18"/>
                      <w:szCs w:val="18"/>
                    </w:rPr>
                  </w:pPr>
                  <m:oMathPara>
                    <m:oMath>
                      <m:sSub>
                        <m:sSubPr>
                          <m:ctrlPr>
                            <w:rPr>
                              <w:rFonts w:ascii="Cambria Math" w:hAnsi="Cambria Math"/>
                              <w:b/>
                              <w:sz w:val="18"/>
                              <w:szCs w:val="18"/>
                            </w:rPr>
                          </m:ctrlPr>
                        </m:sSubPr>
                        <m:e>
                          <m:r>
                            <m:rPr>
                              <m:sty m:val="bi"/>
                            </m:rPr>
                            <w:rPr>
                              <w:rFonts w:ascii="Cambria Math" w:hAnsi="Cambria Math"/>
                              <w:sz w:val="18"/>
                              <w:szCs w:val="18"/>
                            </w:rPr>
                            <m:t>β</m:t>
                          </m:r>
                        </m:e>
                        <m:sub>
                          <m:r>
                            <m:rPr>
                              <m:sty m:val="b"/>
                            </m:rPr>
                            <w:rPr>
                              <w:rFonts w:ascii="Cambria Math" w:hAnsi="Cambria Math"/>
                              <w:sz w:val="18"/>
                              <w:szCs w:val="18"/>
                            </w:rPr>
                            <m:t>3</m:t>
                          </m:r>
                        </m:sub>
                      </m:sSub>
                    </m:oMath>
                  </m:oMathPara>
                </w:p>
              </w:tc>
              <w:tc>
                <w:tcPr>
                  <w:tcW w:w="815" w:type="dxa"/>
                  <w:tcBorders>
                    <w:top w:val="single" w:sz="4" w:space="0" w:color="auto"/>
                    <w:bottom w:val="single" w:sz="4" w:space="0" w:color="auto"/>
                  </w:tcBorders>
                </w:tcPr>
                <w:p w14:paraId="0246A80B" w14:textId="4CBB547D" w:rsidR="001D6149" w:rsidRPr="001D6149" w:rsidRDefault="00485395" w:rsidP="001D6149">
                  <w:pPr>
                    <w:jc w:val="center"/>
                    <w:rPr>
                      <w:b/>
                      <w:sz w:val="18"/>
                      <w:szCs w:val="18"/>
                    </w:rPr>
                  </w:pPr>
                  <m:oMathPara>
                    <m:oMath>
                      <m:sSub>
                        <m:sSubPr>
                          <m:ctrlPr>
                            <w:rPr>
                              <w:rFonts w:ascii="Cambria Math" w:hAnsi="Cambria Math"/>
                              <w:b/>
                              <w:sz w:val="18"/>
                              <w:szCs w:val="18"/>
                            </w:rPr>
                          </m:ctrlPr>
                        </m:sSubPr>
                        <m:e>
                          <m:r>
                            <m:rPr>
                              <m:sty m:val="bi"/>
                            </m:rPr>
                            <w:rPr>
                              <w:rFonts w:ascii="Cambria Math" w:hAnsi="Cambria Math"/>
                              <w:sz w:val="18"/>
                              <w:szCs w:val="18"/>
                            </w:rPr>
                            <m:t>β</m:t>
                          </m:r>
                        </m:e>
                        <m:sub>
                          <m:r>
                            <m:rPr>
                              <m:sty m:val="b"/>
                            </m:rPr>
                            <w:rPr>
                              <w:rFonts w:ascii="Cambria Math" w:hAnsi="Cambria Math"/>
                              <w:sz w:val="18"/>
                              <w:szCs w:val="18"/>
                            </w:rPr>
                            <m:t>4</m:t>
                          </m:r>
                        </m:sub>
                      </m:sSub>
                    </m:oMath>
                  </m:oMathPara>
                </w:p>
              </w:tc>
            </w:tr>
            <w:tr w:rsidR="001D6149" w14:paraId="7F4C3FFA" w14:textId="77777777" w:rsidTr="001D6149">
              <w:tc>
                <w:tcPr>
                  <w:tcW w:w="814" w:type="dxa"/>
                  <w:tcBorders>
                    <w:top w:val="single" w:sz="4" w:space="0" w:color="auto"/>
                  </w:tcBorders>
                </w:tcPr>
                <w:p w14:paraId="5AAE8068" w14:textId="14232B69" w:rsidR="001D6149" w:rsidRDefault="001D6149" w:rsidP="001D6149">
                  <w:pPr>
                    <w:pStyle w:val="Paragraph"/>
                  </w:pPr>
                  <w:r>
                    <w:t>F</w:t>
                  </w:r>
                </w:p>
              </w:tc>
              <w:tc>
                <w:tcPr>
                  <w:tcW w:w="814" w:type="dxa"/>
                  <w:tcBorders>
                    <w:top w:val="single" w:sz="4" w:space="0" w:color="auto"/>
                  </w:tcBorders>
                </w:tcPr>
                <w:p w14:paraId="73810A4B" w14:textId="24451537" w:rsidR="001D6149" w:rsidRDefault="001D6149" w:rsidP="001D6149">
                  <w:pPr>
                    <w:pStyle w:val="Paragraph"/>
                  </w:pPr>
                  <w:r>
                    <w:t>F</w:t>
                  </w:r>
                </w:p>
              </w:tc>
              <w:tc>
                <w:tcPr>
                  <w:tcW w:w="814" w:type="dxa"/>
                  <w:tcBorders>
                    <w:top w:val="single" w:sz="4" w:space="0" w:color="auto"/>
                  </w:tcBorders>
                </w:tcPr>
                <w:p w14:paraId="3874CA65" w14:textId="094BB00E" w:rsidR="001D6149" w:rsidRDefault="001D6149" w:rsidP="001D6149">
                  <w:pPr>
                    <w:pStyle w:val="Paragraph"/>
                  </w:pPr>
                  <w:r>
                    <w:t>F</w:t>
                  </w:r>
                </w:p>
              </w:tc>
              <w:tc>
                <w:tcPr>
                  <w:tcW w:w="814" w:type="dxa"/>
                  <w:tcBorders>
                    <w:top w:val="single" w:sz="4" w:space="0" w:color="auto"/>
                  </w:tcBorders>
                </w:tcPr>
                <w:p w14:paraId="738554F0" w14:textId="37ADD118" w:rsidR="001D6149" w:rsidRDefault="001D6149" w:rsidP="001D6149">
                  <w:pPr>
                    <w:pStyle w:val="Paragraph"/>
                  </w:pPr>
                  <w:r>
                    <w:t>F</w:t>
                  </w:r>
                </w:p>
              </w:tc>
              <w:tc>
                <w:tcPr>
                  <w:tcW w:w="814" w:type="dxa"/>
                  <w:tcBorders>
                    <w:top w:val="single" w:sz="4" w:space="0" w:color="auto"/>
                  </w:tcBorders>
                </w:tcPr>
                <w:p w14:paraId="5D1869A1" w14:textId="223B4E8D" w:rsidR="001D6149" w:rsidRDefault="001D6149" w:rsidP="001D6149">
                  <w:pPr>
                    <w:pStyle w:val="Paragraph"/>
                  </w:pPr>
                  <w:r>
                    <w:t>F</w:t>
                  </w:r>
                </w:p>
              </w:tc>
              <w:tc>
                <w:tcPr>
                  <w:tcW w:w="814" w:type="dxa"/>
                  <w:tcBorders>
                    <w:top w:val="single" w:sz="4" w:space="0" w:color="auto"/>
                  </w:tcBorders>
                </w:tcPr>
                <w:p w14:paraId="0C993BCE" w14:textId="58413FFA" w:rsidR="001D6149" w:rsidRDefault="001D6149" w:rsidP="001D6149">
                  <w:pPr>
                    <w:pStyle w:val="Paragraph"/>
                  </w:pPr>
                  <w:r>
                    <w:t>T</w:t>
                  </w:r>
                </w:p>
              </w:tc>
              <w:tc>
                <w:tcPr>
                  <w:tcW w:w="815" w:type="dxa"/>
                  <w:tcBorders>
                    <w:top w:val="single" w:sz="4" w:space="0" w:color="auto"/>
                  </w:tcBorders>
                </w:tcPr>
                <w:p w14:paraId="6D97FA0B" w14:textId="5A4041F8" w:rsidR="001D6149" w:rsidRDefault="001D6149" w:rsidP="001D6149">
                  <w:pPr>
                    <w:pStyle w:val="Paragraph"/>
                  </w:pPr>
                  <w:r>
                    <w:t>T</w:t>
                  </w:r>
                </w:p>
              </w:tc>
              <w:tc>
                <w:tcPr>
                  <w:tcW w:w="815" w:type="dxa"/>
                  <w:tcBorders>
                    <w:top w:val="single" w:sz="4" w:space="0" w:color="auto"/>
                  </w:tcBorders>
                </w:tcPr>
                <w:p w14:paraId="7A605847" w14:textId="6E2FB35D" w:rsidR="001D6149" w:rsidRDefault="001D6149" w:rsidP="001D6149">
                  <w:pPr>
                    <w:pStyle w:val="Paragraph"/>
                  </w:pPr>
                  <w:r>
                    <w:t>T</w:t>
                  </w:r>
                </w:p>
              </w:tc>
              <w:tc>
                <w:tcPr>
                  <w:tcW w:w="815" w:type="dxa"/>
                  <w:tcBorders>
                    <w:top w:val="single" w:sz="4" w:space="0" w:color="auto"/>
                  </w:tcBorders>
                </w:tcPr>
                <w:p w14:paraId="5D27855E" w14:textId="3700E2AF" w:rsidR="001D6149" w:rsidRDefault="001D6149" w:rsidP="001D6149">
                  <w:pPr>
                    <w:pStyle w:val="Paragraph"/>
                  </w:pPr>
                  <w:r>
                    <w:t>T</w:t>
                  </w:r>
                </w:p>
              </w:tc>
              <w:tc>
                <w:tcPr>
                  <w:tcW w:w="815" w:type="dxa"/>
                  <w:tcBorders>
                    <w:top w:val="single" w:sz="4" w:space="0" w:color="auto"/>
                  </w:tcBorders>
                </w:tcPr>
                <w:p w14:paraId="50343E70" w14:textId="38051CA1" w:rsidR="001D6149" w:rsidRDefault="001D6149" w:rsidP="001D6149">
                  <w:pPr>
                    <w:pStyle w:val="Paragraph"/>
                  </w:pPr>
                  <w:r>
                    <w:t>T</w:t>
                  </w:r>
                </w:p>
              </w:tc>
            </w:tr>
            <w:tr w:rsidR="001D6149" w14:paraId="773A73E1" w14:textId="77777777" w:rsidTr="001D6149">
              <w:tc>
                <w:tcPr>
                  <w:tcW w:w="814" w:type="dxa"/>
                </w:tcPr>
                <w:p w14:paraId="2B3F4C3D" w14:textId="37282A26" w:rsidR="001D6149" w:rsidRDefault="001D6149" w:rsidP="001D6149">
                  <w:pPr>
                    <w:pStyle w:val="Paragraph"/>
                  </w:pPr>
                  <m:oMathPara>
                    <m:oMath>
                      <m:r>
                        <m:rPr>
                          <m:sty m:val="p"/>
                        </m:rPr>
                        <w:rPr>
                          <w:rFonts w:ascii="Cambria Math" w:hAnsi="Cambria Math"/>
                        </w:rPr>
                        <m:t>⋮</m:t>
                      </m:r>
                    </m:oMath>
                  </m:oMathPara>
                </w:p>
              </w:tc>
              <w:tc>
                <w:tcPr>
                  <w:tcW w:w="814" w:type="dxa"/>
                </w:tcPr>
                <w:p w14:paraId="365C81B9" w14:textId="1AE5CF98" w:rsidR="001D6149" w:rsidRDefault="001D6149" w:rsidP="001D6149">
                  <w:pPr>
                    <w:pStyle w:val="Paragraph"/>
                  </w:pPr>
                  <m:oMathPara>
                    <m:oMath>
                      <m:r>
                        <m:rPr>
                          <m:sty m:val="p"/>
                        </m:rPr>
                        <w:rPr>
                          <w:rFonts w:ascii="Cambria Math" w:hAnsi="Cambria Math"/>
                        </w:rPr>
                        <m:t>⋮</m:t>
                      </m:r>
                    </m:oMath>
                  </m:oMathPara>
                </w:p>
              </w:tc>
              <w:tc>
                <w:tcPr>
                  <w:tcW w:w="814" w:type="dxa"/>
                </w:tcPr>
                <w:p w14:paraId="15E96D94" w14:textId="7D59C13F" w:rsidR="001D6149" w:rsidRDefault="001D6149" w:rsidP="001D6149">
                  <w:pPr>
                    <w:pStyle w:val="Paragraph"/>
                  </w:pPr>
                  <m:oMathPara>
                    <m:oMath>
                      <m:r>
                        <m:rPr>
                          <m:sty m:val="p"/>
                        </m:rPr>
                        <w:rPr>
                          <w:rFonts w:ascii="Cambria Math" w:hAnsi="Cambria Math"/>
                        </w:rPr>
                        <m:t>⋮</m:t>
                      </m:r>
                    </m:oMath>
                  </m:oMathPara>
                </w:p>
              </w:tc>
              <w:tc>
                <w:tcPr>
                  <w:tcW w:w="814" w:type="dxa"/>
                </w:tcPr>
                <w:p w14:paraId="371D724D" w14:textId="77579594" w:rsidR="001D6149" w:rsidRDefault="001D6149" w:rsidP="001D6149">
                  <w:pPr>
                    <w:pStyle w:val="Paragraph"/>
                  </w:pPr>
                  <m:oMathPara>
                    <m:oMath>
                      <m:r>
                        <m:rPr>
                          <m:sty m:val="p"/>
                        </m:rPr>
                        <w:rPr>
                          <w:rFonts w:ascii="Cambria Math" w:hAnsi="Cambria Math"/>
                        </w:rPr>
                        <m:t>⋮</m:t>
                      </m:r>
                    </m:oMath>
                  </m:oMathPara>
                </w:p>
              </w:tc>
              <w:tc>
                <w:tcPr>
                  <w:tcW w:w="814" w:type="dxa"/>
                </w:tcPr>
                <w:p w14:paraId="7FB6BBE6" w14:textId="76124D2B" w:rsidR="001D6149" w:rsidRDefault="001D6149" w:rsidP="001D6149">
                  <w:pPr>
                    <w:pStyle w:val="Paragraph"/>
                  </w:pPr>
                  <m:oMathPara>
                    <m:oMath>
                      <m:r>
                        <m:rPr>
                          <m:sty m:val="p"/>
                        </m:rPr>
                        <w:rPr>
                          <w:rFonts w:ascii="Cambria Math" w:hAnsi="Cambria Math"/>
                        </w:rPr>
                        <m:t>⋮</m:t>
                      </m:r>
                    </m:oMath>
                  </m:oMathPara>
                </w:p>
              </w:tc>
              <w:tc>
                <w:tcPr>
                  <w:tcW w:w="814" w:type="dxa"/>
                </w:tcPr>
                <w:p w14:paraId="20537525" w14:textId="372754F2" w:rsidR="001D6149" w:rsidRDefault="001D6149" w:rsidP="001D6149">
                  <w:pPr>
                    <w:pStyle w:val="Paragraph"/>
                  </w:pPr>
                  <m:oMathPara>
                    <m:oMath>
                      <m:r>
                        <m:rPr>
                          <m:sty m:val="p"/>
                        </m:rPr>
                        <w:rPr>
                          <w:rFonts w:ascii="Cambria Math" w:hAnsi="Cambria Math"/>
                        </w:rPr>
                        <m:t>⋮</m:t>
                      </m:r>
                    </m:oMath>
                  </m:oMathPara>
                </w:p>
              </w:tc>
              <w:tc>
                <w:tcPr>
                  <w:tcW w:w="815" w:type="dxa"/>
                </w:tcPr>
                <w:p w14:paraId="3CC1D965" w14:textId="7AF29829" w:rsidR="001D6149" w:rsidRDefault="001D6149" w:rsidP="001D6149">
                  <w:pPr>
                    <w:pStyle w:val="Paragraph"/>
                  </w:pPr>
                  <m:oMathPara>
                    <m:oMath>
                      <m:r>
                        <m:rPr>
                          <m:sty m:val="p"/>
                        </m:rPr>
                        <w:rPr>
                          <w:rFonts w:ascii="Cambria Math" w:hAnsi="Cambria Math"/>
                        </w:rPr>
                        <m:t>⋮</m:t>
                      </m:r>
                    </m:oMath>
                  </m:oMathPara>
                </w:p>
              </w:tc>
              <w:tc>
                <w:tcPr>
                  <w:tcW w:w="815" w:type="dxa"/>
                </w:tcPr>
                <w:p w14:paraId="73BDC012" w14:textId="47C44B57" w:rsidR="001D6149" w:rsidRDefault="001D6149" w:rsidP="001D6149">
                  <w:pPr>
                    <w:pStyle w:val="Paragraph"/>
                  </w:pPr>
                  <m:oMathPara>
                    <m:oMath>
                      <m:r>
                        <m:rPr>
                          <m:sty m:val="p"/>
                        </m:rPr>
                        <w:rPr>
                          <w:rFonts w:ascii="Cambria Math" w:hAnsi="Cambria Math"/>
                        </w:rPr>
                        <m:t>⋮</m:t>
                      </m:r>
                    </m:oMath>
                  </m:oMathPara>
                </w:p>
              </w:tc>
              <w:tc>
                <w:tcPr>
                  <w:tcW w:w="815" w:type="dxa"/>
                </w:tcPr>
                <w:p w14:paraId="517E5E36" w14:textId="508B188E" w:rsidR="001D6149" w:rsidRDefault="001D6149" w:rsidP="001D6149">
                  <w:pPr>
                    <w:pStyle w:val="Paragraph"/>
                  </w:pPr>
                  <m:oMathPara>
                    <m:oMath>
                      <m:r>
                        <m:rPr>
                          <m:sty m:val="p"/>
                        </m:rPr>
                        <w:rPr>
                          <w:rFonts w:ascii="Cambria Math" w:hAnsi="Cambria Math"/>
                        </w:rPr>
                        <m:t>⋮</m:t>
                      </m:r>
                    </m:oMath>
                  </m:oMathPara>
                </w:p>
              </w:tc>
              <w:tc>
                <w:tcPr>
                  <w:tcW w:w="815" w:type="dxa"/>
                </w:tcPr>
                <w:p w14:paraId="77F11834" w14:textId="0339D229" w:rsidR="001D6149" w:rsidRDefault="001D6149" w:rsidP="001D6149">
                  <w:pPr>
                    <w:pStyle w:val="Paragraph"/>
                  </w:pPr>
                  <m:oMathPara>
                    <m:oMath>
                      <m:r>
                        <m:rPr>
                          <m:sty m:val="p"/>
                        </m:rPr>
                        <w:rPr>
                          <w:rFonts w:ascii="Cambria Math" w:hAnsi="Cambria Math"/>
                        </w:rPr>
                        <m:t>⋮</m:t>
                      </m:r>
                    </m:oMath>
                  </m:oMathPara>
                </w:p>
              </w:tc>
            </w:tr>
            <w:tr w:rsidR="001D6149" w14:paraId="328998C3" w14:textId="77777777" w:rsidTr="001D6149">
              <w:tc>
                <w:tcPr>
                  <w:tcW w:w="814" w:type="dxa"/>
                </w:tcPr>
                <w:p w14:paraId="187C7BA6" w14:textId="5C4028D0" w:rsidR="001D6149" w:rsidRDefault="001D6149" w:rsidP="001D6149">
                  <w:pPr>
                    <w:pStyle w:val="Paragraph"/>
                  </w:pPr>
                  <w:r>
                    <w:t>T</w:t>
                  </w:r>
                </w:p>
              </w:tc>
              <w:tc>
                <w:tcPr>
                  <w:tcW w:w="814" w:type="dxa"/>
                </w:tcPr>
                <w:p w14:paraId="7AA03AFC" w14:textId="246A9D11" w:rsidR="001D6149" w:rsidRDefault="001D6149" w:rsidP="001D6149">
                  <w:pPr>
                    <w:pStyle w:val="Paragraph"/>
                  </w:pPr>
                  <w:r>
                    <w:t>T</w:t>
                  </w:r>
                </w:p>
              </w:tc>
              <w:tc>
                <w:tcPr>
                  <w:tcW w:w="814" w:type="dxa"/>
                </w:tcPr>
                <w:p w14:paraId="7003D1C6" w14:textId="29185611" w:rsidR="001D6149" w:rsidRDefault="001D6149" w:rsidP="001D6149">
                  <w:pPr>
                    <w:pStyle w:val="Paragraph"/>
                  </w:pPr>
                  <w:r>
                    <w:t>T</w:t>
                  </w:r>
                </w:p>
              </w:tc>
              <w:tc>
                <w:tcPr>
                  <w:tcW w:w="814" w:type="dxa"/>
                </w:tcPr>
                <w:p w14:paraId="5D939F6D" w14:textId="25AA8931" w:rsidR="001D6149" w:rsidRDefault="001D6149" w:rsidP="001D6149">
                  <w:pPr>
                    <w:pStyle w:val="Paragraph"/>
                  </w:pPr>
                  <w:r>
                    <w:t>F</w:t>
                  </w:r>
                </w:p>
              </w:tc>
              <w:tc>
                <w:tcPr>
                  <w:tcW w:w="814" w:type="dxa"/>
                </w:tcPr>
                <w:p w14:paraId="0357F43D" w14:textId="1A5DED6D" w:rsidR="001D6149" w:rsidRDefault="001D6149" w:rsidP="001D6149">
                  <w:pPr>
                    <w:pStyle w:val="Paragraph"/>
                  </w:pPr>
                  <w:r>
                    <w:t>F</w:t>
                  </w:r>
                </w:p>
              </w:tc>
              <w:tc>
                <w:tcPr>
                  <w:tcW w:w="814" w:type="dxa"/>
                </w:tcPr>
                <w:p w14:paraId="60418141" w14:textId="206A3329" w:rsidR="001D6149" w:rsidRDefault="001D6149" w:rsidP="001D6149">
                  <w:pPr>
                    <w:pStyle w:val="Paragraph"/>
                  </w:pPr>
                  <w:r>
                    <w:t>T</w:t>
                  </w:r>
                </w:p>
              </w:tc>
              <w:tc>
                <w:tcPr>
                  <w:tcW w:w="815" w:type="dxa"/>
                </w:tcPr>
                <w:p w14:paraId="4C088430" w14:textId="25396717" w:rsidR="001D6149" w:rsidRDefault="001D6149" w:rsidP="001D6149">
                  <w:pPr>
                    <w:pStyle w:val="Paragraph"/>
                  </w:pPr>
                  <w:r>
                    <w:t>T</w:t>
                  </w:r>
                </w:p>
              </w:tc>
              <w:tc>
                <w:tcPr>
                  <w:tcW w:w="815" w:type="dxa"/>
                </w:tcPr>
                <w:p w14:paraId="7DC3FCA7" w14:textId="2634A3DD" w:rsidR="001D6149" w:rsidRPr="00017641" w:rsidRDefault="001D6149" w:rsidP="001D6149">
                  <w:pPr>
                    <w:pStyle w:val="Paragraph"/>
                    <w:rPr>
                      <w:i/>
                      <w:iCs/>
                    </w:rPr>
                  </w:pPr>
                  <w:r w:rsidRPr="00017641">
                    <w:rPr>
                      <w:i/>
                      <w:iCs/>
                    </w:rPr>
                    <w:t>F</w:t>
                  </w:r>
                </w:p>
              </w:tc>
              <w:tc>
                <w:tcPr>
                  <w:tcW w:w="815" w:type="dxa"/>
                </w:tcPr>
                <w:p w14:paraId="62C07CFD" w14:textId="4C7F2C34" w:rsidR="001D6149" w:rsidRDefault="001D6149" w:rsidP="001D6149">
                  <w:pPr>
                    <w:pStyle w:val="Paragraph"/>
                  </w:pPr>
                  <w:r>
                    <w:t>T</w:t>
                  </w:r>
                </w:p>
              </w:tc>
              <w:tc>
                <w:tcPr>
                  <w:tcW w:w="815" w:type="dxa"/>
                </w:tcPr>
                <w:p w14:paraId="0D87EC86" w14:textId="45CF9557" w:rsidR="001D6149" w:rsidRDefault="001D6149" w:rsidP="001D6149">
                  <w:pPr>
                    <w:pStyle w:val="Paragraph"/>
                  </w:pPr>
                  <w:r>
                    <w:t>T</w:t>
                  </w:r>
                </w:p>
              </w:tc>
            </w:tr>
            <w:tr w:rsidR="001D6149" w14:paraId="7FBA7F61" w14:textId="77777777" w:rsidTr="001D6149">
              <w:tc>
                <w:tcPr>
                  <w:tcW w:w="814" w:type="dxa"/>
                </w:tcPr>
                <w:p w14:paraId="63B640A3" w14:textId="47A10B43" w:rsidR="001D6149" w:rsidRDefault="001D6149" w:rsidP="001D6149">
                  <w:pPr>
                    <w:pStyle w:val="Paragraph"/>
                  </w:pPr>
                  <w:r>
                    <w:t>T</w:t>
                  </w:r>
                </w:p>
              </w:tc>
              <w:tc>
                <w:tcPr>
                  <w:tcW w:w="814" w:type="dxa"/>
                </w:tcPr>
                <w:p w14:paraId="61DA9836" w14:textId="0839EF52" w:rsidR="001D6149" w:rsidRDefault="001D6149" w:rsidP="001D6149">
                  <w:pPr>
                    <w:pStyle w:val="Paragraph"/>
                  </w:pPr>
                  <w:r>
                    <w:t>T</w:t>
                  </w:r>
                </w:p>
              </w:tc>
              <w:tc>
                <w:tcPr>
                  <w:tcW w:w="814" w:type="dxa"/>
                </w:tcPr>
                <w:p w14:paraId="1A0E3825" w14:textId="319ED86F" w:rsidR="001D6149" w:rsidRDefault="001D6149" w:rsidP="001D6149">
                  <w:pPr>
                    <w:pStyle w:val="Paragraph"/>
                  </w:pPr>
                  <w:r>
                    <w:t>T</w:t>
                  </w:r>
                </w:p>
              </w:tc>
              <w:tc>
                <w:tcPr>
                  <w:tcW w:w="814" w:type="dxa"/>
                </w:tcPr>
                <w:p w14:paraId="2E8CA5D4" w14:textId="35E1E448" w:rsidR="001D6149" w:rsidRDefault="001D6149" w:rsidP="001D6149">
                  <w:pPr>
                    <w:pStyle w:val="Paragraph"/>
                  </w:pPr>
                  <w:r>
                    <w:t>F</w:t>
                  </w:r>
                </w:p>
              </w:tc>
              <w:tc>
                <w:tcPr>
                  <w:tcW w:w="814" w:type="dxa"/>
                </w:tcPr>
                <w:p w14:paraId="64C28D4E" w14:textId="35FF5C59" w:rsidR="001D6149" w:rsidRDefault="001D6149" w:rsidP="001D6149">
                  <w:pPr>
                    <w:pStyle w:val="Paragraph"/>
                  </w:pPr>
                  <w:r>
                    <w:t>T</w:t>
                  </w:r>
                </w:p>
              </w:tc>
              <w:tc>
                <w:tcPr>
                  <w:tcW w:w="814" w:type="dxa"/>
                </w:tcPr>
                <w:p w14:paraId="16B3DAA1" w14:textId="20869308" w:rsidR="001D6149" w:rsidRDefault="001D6149" w:rsidP="001D6149">
                  <w:pPr>
                    <w:pStyle w:val="Paragraph"/>
                  </w:pPr>
                  <w:r>
                    <w:t>T</w:t>
                  </w:r>
                </w:p>
              </w:tc>
              <w:tc>
                <w:tcPr>
                  <w:tcW w:w="815" w:type="dxa"/>
                </w:tcPr>
                <w:p w14:paraId="0CD71E8B" w14:textId="65C3656F" w:rsidR="001D6149" w:rsidRDefault="001D6149" w:rsidP="001D6149">
                  <w:pPr>
                    <w:pStyle w:val="Paragraph"/>
                  </w:pPr>
                  <w:r>
                    <w:t>T</w:t>
                  </w:r>
                </w:p>
              </w:tc>
              <w:tc>
                <w:tcPr>
                  <w:tcW w:w="815" w:type="dxa"/>
                </w:tcPr>
                <w:p w14:paraId="33BB7BFC" w14:textId="141730C3" w:rsidR="001D6149" w:rsidRPr="00017641" w:rsidRDefault="001D6149" w:rsidP="001D6149">
                  <w:pPr>
                    <w:pStyle w:val="Paragraph"/>
                    <w:rPr>
                      <w:i/>
                      <w:iCs/>
                    </w:rPr>
                  </w:pPr>
                  <w:r w:rsidRPr="00017641">
                    <w:rPr>
                      <w:i/>
                      <w:iCs/>
                    </w:rPr>
                    <w:t>F</w:t>
                  </w:r>
                </w:p>
              </w:tc>
              <w:tc>
                <w:tcPr>
                  <w:tcW w:w="815" w:type="dxa"/>
                </w:tcPr>
                <w:p w14:paraId="3A9042F2" w14:textId="58B66FB9" w:rsidR="001D6149" w:rsidRDefault="001D6149" w:rsidP="001D6149">
                  <w:pPr>
                    <w:pStyle w:val="Paragraph"/>
                  </w:pPr>
                  <w:r>
                    <w:t>T</w:t>
                  </w:r>
                </w:p>
              </w:tc>
              <w:tc>
                <w:tcPr>
                  <w:tcW w:w="815" w:type="dxa"/>
                </w:tcPr>
                <w:p w14:paraId="4B6513EE" w14:textId="69E8DF9A" w:rsidR="001D6149" w:rsidRDefault="001D6149" w:rsidP="001D6149">
                  <w:pPr>
                    <w:pStyle w:val="Paragraph"/>
                  </w:pPr>
                  <w:r>
                    <w:t>T</w:t>
                  </w:r>
                </w:p>
              </w:tc>
            </w:tr>
            <w:tr w:rsidR="001D6149" w14:paraId="315EF985" w14:textId="77777777" w:rsidTr="001D6149">
              <w:tc>
                <w:tcPr>
                  <w:tcW w:w="814" w:type="dxa"/>
                </w:tcPr>
                <w:p w14:paraId="30B597FD" w14:textId="25D6F728" w:rsidR="001D6149" w:rsidRDefault="001D6149" w:rsidP="001D6149">
                  <w:pPr>
                    <w:pStyle w:val="Paragraph"/>
                  </w:pPr>
                  <w:r>
                    <w:t>T</w:t>
                  </w:r>
                </w:p>
              </w:tc>
              <w:tc>
                <w:tcPr>
                  <w:tcW w:w="814" w:type="dxa"/>
                </w:tcPr>
                <w:p w14:paraId="4194802E" w14:textId="42D475B3" w:rsidR="001D6149" w:rsidRDefault="001D6149" w:rsidP="001D6149">
                  <w:pPr>
                    <w:pStyle w:val="Paragraph"/>
                  </w:pPr>
                  <w:r>
                    <w:t>T</w:t>
                  </w:r>
                </w:p>
              </w:tc>
              <w:tc>
                <w:tcPr>
                  <w:tcW w:w="814" w:type="dxa"/>
                </w:tcPr>
                <w:p w14:paraId="7906322F" w14:textId="6BB42865" w:rsidR="001D6149" w:rsidRDefault="001D6149" w:rsidP="001D6149">
                  <w:pPr>
                    <w:pStyle w:val="Paragraph"/>
                  </w:pPr>
                  <w:r>
                    <w:t>T</w:t>
                  </w:r>
                </w:p>
              </w:tc>
              <w:tc>
                <w:tcPr>
                  <w:tcW w:w="814" w:type="dxa"/>
                </w:tcPr>
                <w:p w14:paraId="7DC02E3B" w14:textId="797E98C2" w:rsidR="001D6149" w:rsidRDefault="001D6149" w:rsidP="001D6149">
                  <w:pPr>
                    <w:pStyle w:val="Paragraph"/>
                  </w:pPr>
                  <w:r>
                    <w:t>T</w:t>
                  </w:r>
                </w:p>
              </w:tc>
              <w:tc>
                <w:tcPr>
                  <w:tcW w:w="814" w:type="dxa"/>
                </w:tcPr>
                <w:p w14:paraId="50BA82B2" w14:textId="08B7443D" w:rsidR="001D6149" w:rsidRDefault="001D6149" w:rsidP="001D6149">
                  <w:pPr>
                    <w:pStyle w:val="Paragraph"/>
                  </w:pPr>
                  <w:r>
                    <w:t>F</w:t>
                  </w:r>
                </w:p>
              </w:tc>
              <w:tc>
                <w:tcPr>
                  <w:tcW w:w="814" w:type="dxa"/>
                </w:tcPr>
                <w:p w14:paraId="1E34CAD8" w14:textId="79C19214" w:rsidR="001D6149" w:rsidRDefault="001D6149" w:rsidP="001D6149">
                  <w:pPr>
                    <w:pStyle w:val="Paragraph"/>
                  </w:pPr>
                  <w:r>
                    <w:t>T</w:t>
                  </w:r>
                </w:p>
              </w:tc>
              <w:tc>
                <w:tcPr>
                  <w:tcW w:w="815" w:type="dxa"/>
                </w:tcPr>
                <w:p w14:paraId="6A5694B0" w14:textId="120DF2C5" w:rsidR="001D6149" w:rsidRDefault="001D6149" w:rsidP="001D6149">
                  <w:pPr>
                    <w:pStyle w:val="Paragraph"/>
                  </w:pPr>
                  <w:r>
                    <w:t>T</w:t>
                  </w:r>
                </w:p>
              </w:tc>
              <w:tc>
                <w:tcPr>
                  <w:tcW w:w="815" w:type="dxa"/>
                </w:tcPr>
                <w:p w14:paraId="16930413" w14:textId="3C271974" w:rsidR="001D6149" w:rsidRPr="00017641" w:rsidRDefault="001D6149" w:rsidP="001D6149">
                  <w:pPr>
                    <w:pStyle w:val="Paragraph"/>
                    <w:rPr>
                      <w:i/>
                      <w:iCs/>
                    </w:rPr>
                  </w:pPr>
                  <w:r w:rsidRPr="00017641">
                    <w:rPr>
                      <w:i/>
                      <w:iCs/>
                    </w:rPr>
                    <w:t>F</w:t>
                  </w:r>
                </w:p>
              </w:tc>
              <w:tc>
                <w:tcPr>
                  <w:tcW w:w="815" w:type="dxa"/>
                </w:tcPr>
                <w:p w14:paraId="2110021B" w14:textId="43083F39" w:rsidR="001D6149" w:rsidRPr="00017641" w:rsidRDefault="001D6149" w:rsidP="001D6149">
                  <w:pPr>
                    <w:pStyle w:val="Paragraph"/>
                    <w:rPr>
                      <w:i/>
                      <w:iCs/>
                    </w:rPr>
                  </w:pPr>
                  <w:r w:rsidRPr="00017641">
                    <w:rPr>
                      <w:i/>
                      <w:iCs/>
                    </w:rPr>
                    <w:t>F</w:t>
                  </w:r>
                </w:p>
              </w:tc>
              <w:tc>
                <w:tcPr>
                  <w:tcW w:w="815" w:type="dxa"/>
                </w:tcPr>
                <w:p w14:paraId="7E2D77EF" w14:textId="2E6E3D82" w:rsidR="001D6149" w:rsidRDefault="001D6149" w:rsidP="001D6149">
                  <w:pPr>
                    <w:pStyle w:val="Paragraph"/>
                  </w:pPr>
                  <w:r>
                    <w:t>T</w:t>
                  </w:r>
                </w:p>
              </w:tc>
            </w:tr>
            <w:tr w:rsidR="001D6149" w14:paraId="7AAFC838" w14:textId="77777777" w:rsidTr="001D6149">
              <w:tc>
                <w:tcPr>
                  <w:tcW w:w="814" w:type="dxa"/>
                  <w:tcBorders>
                    <w:bottom w:val="single" w:sz="4" w:space="0" w:color="auto"/>
                  </w:tcBorders>
                </w:tcPr>
                <w:p w14:paraId="23973A29" w14:textId="563A68DC" w:rsidR="001D6149" w:rsidRDefault="001D6149" w:rsidP="001D6149">
                  <w:pPr>
                    <w:pStyle w:val="Paragraph"/>
                  </w:pPr>
                  <w:r>
                    <w:t>T</w:t>
                  </w:r>
                </w:p>
              </w:tc>
              <w:tc>
                <w:tcPr>
                  <w:tcW w:w="814" w:type="dxa"/>
                  <w:tcBorders>
                    <w:bottom w:val="single" w:sz="4" w:space="0" w:color="auto"/>
                  </w:tcBorders>
                </w:tcPr>
                <w:p w14:paraId="7B9EFE5F" w14:textId="19D5A873" w:rsidR="001D6149" w:rsidRDefault="001D6149" w:rsidP="001D6149">
                  <w:pPr>
                    <w:pStyle w:val="Paragraph"/>
                  </w:pPr>
                  <w:r>
                    <w:t>T</w:t>
                  </w:r>
                </w:p>
              </w:tc>
              <w:tc>
                <w:tcPr>
                  <w:tcW w:w="814" w:type="dxa"/>
                  <w:tcBorders>
                    <w:bottom w:val="single" w:sz="4" w:space="0" w:color="auto"/>
                  </w:tcBorders>
                </w:tcPr>
                <w:p w14:paraId="1D918DA8" w14:textId="34AC062A" w:rsidR="001D6149" w:rsidRDefault="001D6149" w:rsidP="001D6149">
                  <w:pPr>
                    <w:pStyle w:val="Paragraph"/>
                  </w:pPr>
                  <w:r>
                    <w:t>T</w:t>
                  </w:r>
                </w:p>
              </w:tc>
              <w:tc>
                <w:tcPr>
                  <w:tcW w:w="814" w:type="dxa"/>
                  <w:tcBorders>
                    <w:bottom w:val="single" w:sz="4" w:space="0" w:color="auto"/>
                  </w:tcBorders>
                </w:tcPr>
                <w:p w14:paraId="73F42558" w14:textId="4675508D" w:rsidR="001D6149" w:rsidRDefault="001D6149" w:rsidP="001D6149">
                  <w:pPr>
                    <w:pStyle w:val="Paragraph"/>
                  </w:pPr>
                  <w:r>
                    <w:t>T</w:t>
                  </w:r>
                </w:p>
              </w:tc>
              <w:tc>
                <w:tcPr>
                  <w:tcW w:w="814" w:type="dxa"/>
                  <w:tcBorders>
                    <w:bottom w:val="single" w:sz="4" w:space="0" w:color="auto"/>
                  </w:tcBorders>
                </w:tcPr>
                <w:p w14:paraId="78498D76" w14:textId="1D9FFC27" w:rsidR="001D6149" w:rsidRDefault="001D6149" w:rsidP="001D6149">
                  <w:pPr>
                    <w:pStyle w:val="Paragraph"/>
                  </w:pPr>
                  <w:r>
                    <w:t>T</w:t>
                  </w:r>
                </w:p>
              </w:tc>
              <w:tc>
                <w:tcPr>
                  <w:tcW w:w="814" w:type="dxa"/>
                  <w:tcBorders>
                    <w:bottom w:val="single" w:sz="4" w:space="0" w:color="auto"/>
                  </w:tcBorders>
                </w:tcPr>
                <w:p w14:paraId="38C4E8AB" w14:textId="1D993039" w:rsidR="001D6149" w:rsidRDefault="001D6149" w:rsidP="001D6149">
                  <w:pPr>
                    <w:pStyle w:val="Paragraph"/>
                  </w:pPr>
                  <w:r>
                    <w:t>T</w:t>
                  </w:r>
                </w:p>
              </w:tc>
              <w:tc>
                <w:tcPr>
                  <w:tcW w:w="815" w:type="dxa"/>
                  <w:tcBorders>
                    <w:bottom w:val="single" w:sz="4" w:space="0" w:color="auto"/>
                  </w:tcBorders>
                </w:tcPr>
                <w:p w14:paraId="751ECB40" w14:textId="18DBBC32" w:rsidR="001D6149" w:rsidRDefault="001D6149" w:rsidP="001D6149">
                  <w:pPr>
                    <w:pStyle w:val="Paragraph"/>
                  </w:pPr>
                  <w:r>
                    <w:t>T</w:t>
                  </w:r>
                </w:p>
              </w:tc>
              <w:tc>
                <w:tcPr>
                  <w:tcW w:w="815" w:type="dxa"/>
                  <w:tcBorders>
                    <w:bottom w:val="single" w:sz="4" w:space="0" w:color="auto"/>
                  </w:tcBorders>
                </w:tcPr>
                <w:p w14:paraId="39683C01" w14:textId="40CF9A90" w:rsidR="001D6149" w:rsidRPr="00017641" w:rsidRDefault="001D6149" w:rsidP="001D6149">
                  <w:pPr>
                    <w:pStyle w:val="Paragraph"/>
                    <w:rPr>
                      <w:i/>
                      <w:iCs/>
                    </w:rPr>
                  </w:pPr>
                  <w:r w:rsidRPr="00017641">
                    <w:rPr>
                      <w:i/>
                      <w:iCs/>
                    </w:rPr>
                    <w:t>F</w:t>
                  </w:r>
                </w:p>
              </w:tc>
              <w:tc>
                <w:tcPr>
                  <w:tcW w:w="815" w:type="dxa"/>
                  <w:tcBorders>
                    <w:bottom w:val="single" w:sz="4" w:space="0" w:color="auto"/>
                  </w:tcBorders>
                </w:tcPr>
                <w:p w14:paraId="6ED2BF9D" w14:textId="77695C54" w:rsidR="001D6149" w:rsidRDefault="001D6149" w:rsidP="001D6149">
                  <w:pPr>
                    <w:pStyle w:val="Paragraph"/>
                  </w:pPr>
                  <w:r>
                    <w:t>T</w:t>
                  </w:r>
                </w:p>
              </w:tc>
              <w:tc>
                <w:tcPr>
                  <w:tcW w:w="815" w:type="dxa"/>
                  <w:tcBorders>
                    <w:bottom w:val="single" w:sz="4" w:space="0" w:color="auto"/>
                  </w:tcBorders>
                </w:tcPr>
                <w:p w14:paraId="260DCE4B" w14:textId="2007F070" w:rsidR="001D6149" w:rsidRPr="00017641" w:rsidRDefault="001D6149" w:rsidP="001D6149">
                  <w:pPr>
                    <w:pStyle w:val="Paragraph"/>
                    <w:rPr>
                      <w:i/>
                      <w:iCs/>
                    </w:rPr>
                  </w:pPr>
                  <w:r w:rsidRPr="00017641">
                    <w:rPr>
                      <w:i/>
                      <w:iCs/>
                    </w:rPr>
                    <w:t>F</w:t>
                  </w:r>
                </w:p>
              </w:tc>
            </w:tr>
          </w:tbl>
          <w:p w14:paraId="72A82729" w14:textId="5445D65E" w:rsidR="001D6149" w:rsidRPr="00075EA6" w:rsidRDefault="001D6149" w:rsidP="00EC3AAB">
            <w:pPr>
              <w:pStyle w:val="TableCaption"/>
            </w:pPr>
          </w:p>
        </w:tc>
      </w:tr>
    </w:tbl>
    <w:p w14:paraId="45D64653" w14:textId="77777777" w:rsidR="001D6149" w:rsidRDefault="001D6149" w:rsidP="0000259D">
      <w:pPr>
        <w:pStyle w:val="Paragraph"/>
      </w:pPr>
    </w:p>
    <w:p w14:paraId="3344D14B" w14:textId="302AAB3B" w:rsidR="00B3409F" w:rsidRDefault="00B3409F" w:rsidP="00B3409F">
      <w:pPr>
        <w:pStyle w:val="Paragraph"/>
      </w:pPr>
      <w:r w:rsidRPr="00B3409F">
        <w:rPr>
          <w:i/>
          <w:iCs/>
        </w:rPr>
        <w:t>Quantum computation.</w:t>
      </w:r>
      <w:r>
        <w:t xml:space="preserve"> Quantum properties, such as superposition and entanglement, can be exploited for computation. Superposition is a quantum state that is a linear combination of eigenstates, e.g., state </w:t>
      </w:r>
      <m:oMath>
        <m:r>
          <m:rPr>
            <m:sty m:val="p"/>
          </m:rPr>
          <w:rPr>
            <w:rFonts w:ascii="Cambria Math" w:hAnsi="Cambria Math"/>
          </w:rPr>
          <m:t>|</m:t>
        </m:r>
        <m:r>
          <w:rPr>
            <w:rFonts w:ascii="Cambria Math" w:hAnsi="Cambria Math"/>
          </w:rPr>
          <m:t>ψ</m:t>
        </m:r>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m:t>
            </m:r>
          </m:sub>
        </m:sSub>
        <m:r>
          <m:rPr>
            <m:sty m:val="p"/>
          </m:rPr>
          <w:rPr>
            <w:rFonts w:ascii="Cambria Math" w:hAnsi="Cambria Math"/>
          </w:rPr>
          <m:t>|-⟩</m:t>
        </m:r>
      </m:oMath>
      <w:r>
        <w:t xml:space="preserve"> where </w:t>
      </w:r>
      <m:oMath>
        <m:r>
          <m:rPr>
            <m:sty m:val="p"/>
          </m:rPr>
          <w:rPr>
            <w:rFonts w:ascii="Cambria Math" w:hAnsi="Cambria Math"/>
          </w:rPr>
          <m:t>|+⟩</m:t>
        </m:r>
      </m:oMath>
      <w:r>
        <w:t xml:space="preserve"> and </w:t>
      </w:r>
      <m:oMath>
        <m:r>
          <m:rPr>
            <m:sty m:val="p"/>
          </m:rPr>
          <w:rPr>
            <w:rFonts w:ascii="Cambria Math" w:hAnsi="Cambria Math"/>
          </w:rPr>
          <m:t>|-⟩</m:t>
        </m:r>
      </m:oMath>
      <w:r>
        <w:t xml:space="preserve"> are the eigenstates (depending on the measurement operator) and </w:t>
      </w:r>
      <m:oMath>
        <m:sSub>
          <m:sSubPr>
            <m:ctrlPr>
              <w:rPr>
                <w:rFonts w:ascii="Cambria Math" w:hAnsi="Cambria Math"/>
              </w:rPr>
            </m:ctrlPr>
          </m:sSubPr>
          <m:e>
            <m:r>
              <w:rPr>
                <w:rFonts w:ascii="Cambria Math" w:hAnsi="Cambria Math"/>
              </w:rPr>
              <m:t>a</m:t>
            </m:r>
          </m:e>
          <m:sub>
            <m:r>
              <w:rPr>
                <w:rFonts w:ascii="Cambria Math" w:hAnsi="Cambria Math"/>
              </w:rPr>
              <m:t>i</m:t>
            </m:r>
          </m:sub>
        </m:sSub>
      </m:oMath>
      <w:r>
        <w:t xml:space="preserve"> and </w:t>
      </w:r>
      <m:oMath>
        <m:sSub>
          <m:sSubPr>
            <m:ctrlPr>
              <w:rPr>
                <w:rFonts w:ascii="Cambria Math" w:hAnsi="Cambria Math"/>
              </w:rPr>
            </m:ctrlPr>
          </m:sSubPr>
          <m:e>
            <m:r>
              <w:rPr>
                <w:rFonts w:ascii="Cambria Math" w:hAnsi="Cambria Math"/>
              </w:rPr>
              <m:t>b</m:t>
            </m:r>
          </m:e>
          <m:sub>
            <m:r>
              <w:rPr>
                <w:rFonts w:ascii="Cambria Math" w:hAnsi="Cambria Math"/>
              </w:rPr>
              <m:t>i</m:t>
            </m:r>
          </m:sub>
        </m:sSub>
      </m:oMath>
      <w:r>
        <w:t xml:space="preserve"> are probability amplitudes of the corresponding eigentstates. For a given basis (a set of eigenstates), a state can be written in a vector form </w:t>
      </w:r>
      <m:oMath>
        <m:r>
          <m:rPr>
            <m:sty m:val="p"/>
          </m:rPr>
          <w:rPr>
            <w:rFonts w:ascii="Cambria Math" w:hAnsi="Cambria Math"/>
          </w:rPr>
          <m:t>|</m:t>
        </m:r>
        <m:r>
          <w:rPr>
            <w:rFonts w:ascii="Cambria Math" w:hAnsi="Cambria Math"/>
          </w:rPr>
          <m:t>ψ</m:t>
        </m:r>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m:t>
            </m:r>
          </m:sub>
        </m:sSub>
        <m:sSup>
          <m:sSupPr>
            <m:ctrlPr>
              <w:rPr>
                <w:rFonts w:ascii="Cambria Math" w:hAnsi="Cambria Math"/>
              </w:rPr>
            </m:ctrlPr>
          </m:sSupPr>
          <m:e>
            <m:r>
              <m:rPr>
                <m:sty m:val="p"/>
              </m:rPr>
              <w:rPr>
                <w:rFonts w:ascii="Cambria Math" w:hAnsi="Cambria Math"/>
              </w:rPr>
              <m:t>]</m:t>
            </m:r>
          </m:e>
          <m:sup>
            <m:r>
              <w:rPr>
                <w:rFonts w:ascii="Cambria Math" w:hAnsi="Cambria Math"/>
              </w:rPr>
              <m:t>T</m:t>
            </m:r>
          </m:sup>
        </m:sSup>
      </m:oMath>
      <w:r>
        <w:t xml:space="preserve">, where the eigenstates </w:t>
      </w:r>
      <m:oMath>
        <m:r>
          <m:rPr>
            <m:sty m:val="p"/>
          </m:rPr>
          <w:rPr>
            <w:rFonts w:ascii="Cambria Math" w:hAnsi="Cambria Math"/>
          </w:rPr>
          <m:t>|+⟩</m:t>
        </m:r>
      </m:oMath>
      <w:r>
        <w:t xml:space="preserve"> and </w:t>
      </w:r>
      <m:oMath>
        <m:r>
          <m:rPr>
            <m:sty m:val="p"/>
          </m:rPr>
          <w:rPr>
            <w:rFonts w:ascii="Cambria Math" w:hAnsi="Cambria Math"/>
          </w:rPr>
          <m:t>|-⟩</m:t>
        </m:r>
      </m:oMath>
      <w:r>
        <w:t xml:space="preserve"> are implicit.</w:t>
      </w:r>
    </w:p>
    <w:p w14:paraId="721DEDC1" w14:textId="5B038790" w:rsidR="00B3409F" w:rsidRDefault="00B3409F" w:rsidP="00B3409F">
      <w:pPr>
        <w:pStyle w:val="Paragraph"/>
      </w:pPr>
      <w:r>
        <w:t>A state can evolve in two distinct modes</w:t>
      </w:r>
      <w:r w:rsidR="00D34B9D">
        <w:t xml:space="preserve"> [5]</w:t>
      </w:r>
      <w:r>
        <w:t xml:space="preserve">. (1) In quantum evolution mode, state </w:t>
      </w:r>
      <m:oMath>
        <m:r>
          <m:rPr>
            <m:sty m:val="p"/>
          </m:rPr>
          <w:rPr>
            <w:rFonts w:ascii="Cambria Math" w:hAnsi="Cambria Math"/>
          </w:rPr>
          <m:t>|</m:t>
        </m:r>
        <m:r>
          <w:rPr>
            <w:rFonts w:ascii="Cambria Math" w:hAnsi="Cambria Math"/>
          </w:rPr>
          <m:t>ψ</m:t>
        </m:r>
        <m:r>
          <m:rPr>
            <m:sty m:val="p"/>
          </m:rPr>
          <w:rPr>
            <w:rFonts w:ascii="Cambria Math" w:hAnsi="Cambria Math"/>
          </w:rPr>
          <m:t>⟩</m:t>
        </m:r>
      </m:oMath>
      <w:r>
        <w:t xml:space="preserve"> evolves according to Schrödinger equation (SE) based on Hamiltonian </w:t>
      </w:r>
      <m:oMath>
        <m:acc>
          <m:accPr>
            <m:ctrlPr>
              <w:rPr>
                <w:rFonts w:ascii="Cambria Math" w:hAnsi="Cambria Math"/>
              </w:rPr>
            </m:ctrlPr>
          </m:accPr>
          <m:e>
            <m:r>
              <w:rPr>
                <w:rFonts w:ascii="Cambria Math" w:hAnsi="Cambria Math"/>
              </w:rPr>
              <m:t>H</m:t>
            </m:r>
          </m:e>
        </m:acc>
      </m:oMath>
      <w:r>
        <w:t xml:space="preserve"> (energy operator) of the system. I.e., </w:t>
      </w:r>
      <m:oMath>
        <m:r>
          <w:rPr>
            <w:rFonts w:ascii="Cambria Math" w:hAnsi="Cambria Math"/>
          </w:rPr>
          <m:t>i</m:t>
        </m:r>
        <m:r>
          <m:rPr>
            <m:sty m:val="p"/>
          </m:rPr>
          <w:rPr>
            <w:rFonts w:ascii="Cambria Math" w:hAnsi="Cambria Math"/>
          </w:rPr>
          <m:t>ℏ</m:t>
        </m:r>
        <m:f>
          <m:fPr>
            <m:ctrlPr>
              <w:rPr>
                <w:rFonts w:ascii="Cambria Math" w:hAnsi="Cambria Math"/>
              </w:rPr>
            </m:ctrlPr>
          </m:fPr>
          <m:num>
            <m:r>
              <m:rPr>
                <m:sty m:val="p"/>
              </m:rPr>
              <w:rPr>
                <w:rFonts w:ascii="Cambria Math" w:hAnsi="Cambria Math"/>
              </w:rPr>
              <m:t>∂|</m:t>
            </m:r>
            <m:r>
              <w:rPr>
                <w:rFonts w:ascii="Cambria Math" w:hAnsi="Cambria Math"/>
              </w:rPr>
              <m:t>ψ</m:t>
            </m:r>
            <m:r>
              <m:rPr>
                <m:sty m:val="p"/>
              </m:rPr>
              <w:rPr>
                <w:rFonts w:ascii="Cambria Math" w:hAnsi="Cambria Math"/>
              </w:rPr>
              <m:t>⟩</m:t>
            </m:r>
          </m:num>
          <m:den>
            <m:r>
              <m:rPr>
                <m:sty m:val="p"/>
              </m:rPr>
              <w:rPr>
                <w:rFonts w:ascii="Cambria Math" w:hAnsi="Cambria Math"/>
              </w:rPr>
              <m:t>∂</m:t>
            </m:r>
            <m:r>
              <w:rPr>
                <w:rFonts w:ascii="Cambria Math" w:hAnsi="Cambria Math"/>
              </w:rPr>
              <m:t>t</m:t>
            </m:r>
          </m:den>
        </m:f>
        <m:r>
          <m:rPr>
            <m:sty m:val="p"/>
          </m:rPr>
          <w:rPr>
            <w:rFonts w:ascii="Cambria Math" w:hAnsi="Cambria Math"/>
          </w:rPr>
          <m:t>=</m:t>
        </m:r>
        <m:acc>
          <m:accPr>
            <m:ctrlPr>
              <w:rPr>
                <w:rFonts w:ascii="Cambria Math" w:hAnsi="Cambria Math"/>
              </w:rPr>
            </m:ctrlPr>
          </m:accPr>
          <m:e>
            <m:r>
              <w:rPr>
                <w:rFonts w:ascii="Cambria Math" w:hAnsi="Cambria Math"/>
              </w:rPr>
              <m:t>H</m:t>
            </m:r>
          </m:e>
        </m:acc>
        <m:r>
          <m:rPr>
            <m:sty m:val="p"/>
          </m:rPr>
          <w:rPr>
            <w:rFonts w:ascii="Cambria Math" w:hAnsi="Cambria Math"/>
          </w:rPr>
          <m:t>|</m:t>
        </m:r>
        <m:r>
          <w:rPr>
            <w:rFonts w:ascii="Cambria Math" w:hAnsi="Cambria Math"/>
          </w:rPr>
          <m:t>ψ</m:t>
        </m:r>
        <m:r>
          <m:rPr>
            <m:sty m:val="p"/>
          </m:rPr>
          <w:rPr>
            <w:rFonts w:ascii="Cambria Math" w:hAnsi="Cambria Math"/>
          </w:rPr>
          <m:t>⟩</m:t>
        </m:r>
      </m:oMath>
      <w:r>
        <w:t xml:space="preserve"> where </w:t>
      </w:r>
      <m:oMath>
        <m:r>
          <w:rPr>
            <w:rFonts w:ascii="Cambria Math" w:hAnsi="Cambria Math"/>
          </w:rPr>
          <m:t>i</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e>
        </m:rad>
      </m:oMath>
      <w:r>
        <w:t xml:space="preserve"> and </w:t>
      </w:r>
      <m:oMath>
        <m:r>
          <m:rPr>
            <m:sty m:val="p"/>
          </m:rPr>
          <w:rPr>
            <w:rFonts w:ascii="Cambria Math" w:hAnsi="Cambria Math"/>
          </w:rPr>
          <m:t>ℏ</m:t>
        </m:r>
      </m:oMath>
      <w:r>
        <w:t xml:space="preserve"> is a reduced Planck constant. The solution to SE, </w:t>
      </w:r>
      <m:oMath>
        <m:r>
          <m:rPr>
            <m:sty m:val="p"/>
          </m:rPr>
          <w:rPr>
            <w:rFonts w:ascii="Cambria Math" w:hAnsi="Cambria Math"/>
          </w:rPr>
          <m:t>|</m:t>
        </m:r>
        <m:r>
          <w:rPr>
            <w:rFonts w:ascii="Cambria Math" w:hAnsi="Cambria Math"/>
          </w:rPr>
          <m:t>ψ</m:t>
        </m:r>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0</m:t>
            </m:r>
          </m:sub>
        </m:sSub>
        <m:r>
          <m:rPr>
            <m:sty m:val="p"/>
          </m:rPr>
          <w:rPr>
            <w:rFonts w:ascii="Cambria Math" w:hAnsi="Cambria Math"/>
          </w:rPr>
          <m:t>⟩exp(-</m:t>
        </m:r>
        <m:f>
          <m:fPr>
            <m:ctrlPr>
              <w:rPr>
                <w:rFonts w:ascii="Cambria Math" w:hAnsi="Cambria Math"/>
              </w:rPr>
            </m:ctrlPr>
          </m:fPr>
          <m:num>
            <m:r>
              <w:rPr>
                <w:rFonts w:ascii="Cambria Math" w:hAnsi="Cambria Math"/>
              </w:rPr>
              <m:t>i</m:t>
            </m:r>
          </m:num>
          <m:den>
            <m:r>
              <m:rPr>
                <m:sty m:val="p"/>
              </m:rPr>
              <w:rPr>
                <w:rFonts w:ascii="Cambria Math" w:hAnsi="Cambria Math"/>
              </w:rPr>
              <m:t>ℏ</m:t>
            </m:r>
          </m:den>
        </m:f>
        <m:acc>
          <m:accPr>
            <m:ctrlPr>
              <w:rPr>
                <w:rFonts w:ascii="Cambria Math" w:hAnsi="Cambria Math"/>
              </w:rPr>
            </m:ctrlPr>
          </m:accPr>
          <m:e>
            <m:r>
              <w:rPr>
                <w:rFonts w:ascii="Cambria Math" w:hAnsi="Cambria Math"/>
              </w:rPr>
              <m:t>H</m:t>
            </m:r>
          </m:e>
        </m:acc>
        <m:r>
          <w:rPr>
            <w:rFonts w:ascii="Cambria Math" w:hAnsi="Cambria Math"/>
          </w:rPr>
          <m:t>t</m:t>
        </m:r>
        <m:r>
          <m:rPr>
            <m:sty m:val="p"/>
          </m:rPr>
          <w:rPr>
            <w:rFonts w:ascii="Cambria Math" w:hAnsi="Cambria Math"/>
          </w:rPr>
          <m:t>)</m:t>
        </m:r>
      </m:oMath>
      <w:r>
        <w:t xml:space="preserve"> where </w:t>
      </w:r>
      <m:oMath>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0</m:t>
            </m:r>
          </m:sub>
        </m:sSub>
        <m:r>
          <m:rPr>
            <m:sty m:val="p"/>
          </m:rPr>
          <w:rPr>
            <w:rFonts w:ascii="Cambria Math" w:hAnsi="Cambria Math"/>
          </w:rPr>
          <m:t>⟩</m:t>
        </m:r>
      </m:oMath>
      <w:r>
        <w:t xml:space="preserve"> is an initial state.</w:t>
      </w:r>
    </w:p>
    <w:p w14:paraId="0136F835" w14:textId="624E7E89" w:rsidR="00B3409F" w:rsidRDefault="00B3409F" w:rsidP="00B3409F">
      <w:pPr>
        <w:pStyle w:val="Paragraph"/>
      </w:pPr>
      <w:r>
        <w:t xml:space="preserve">For a specific period of time </w:t>
      </w:r>
      <m:oMath>
        <m:r>
          <w:rPr>
            <w:rFonts w:ascii="Cambria Math" w:hAnsi="Cambria Math"/>
          </w:rPr>
          <m:t>t</m:t>
        </m:r>
      </m:oMath>
      <w:r>
        <w:t xml:space="preserve">, this is equivalent to </w:t>
      </w:r>
      <w:r w:rsidRPr="00B3409F">
        <w:t>unitary transformation</w:t>
      </w:r>
      <w:r>
        <w:t xml:space="preserve"> whose unitary operator corresponds to the Hamiltonian: </w:t>
      </w:r>
      <m:oMath>
        <m:r>
          <w:rPr>
            <w:rFonts w:ascii="Cambria Math" w:hAnsi="Cambria Math"/>
          </w:rPr>
          <m:t>U</m:t>
        </m:r>
        <m:r>
          <m:rPr>
            <m:sty m:val="p"/>
          </m:rPr>
          <w:rPr>
            <w:rFonts w:ascii="Cambria Math" w:hAnsi="Cambria Math"/>
          </w:rPr>
          <m:t>≡exp(-</m:t>
        </m:r>
        <m:f>
          <m:fPr>
            <m:ctrlPr>
              <w:rPr>
                <w:rFonts w:ascii="Cambria Math" w:hAnsi="Cambria Math"/>
              </w:rPr>
            </m:ctrlPr>
          </m:fPr>
          <m:num>
            <m:r>
              <w:rPr>
                <w:rFonts w:ascii="Cambria Math" w:hAnsi="Cambria Math"/>
              </w:rPr>
              <m:t>i</m:t>
            </m:r>
          </m:num>
          <m:den>
            <m:r>
              <m:rPr>
                <m:sty m:val="p"/>
              </m:rPr>
              <w:rPr>
                <w:rFonts w:ascii="Cambria Math" w:hAnsi="Cambria Math"/>
              </w:rPr>
              <m:t>ℏ</m:t>
            </m:r>
          </m:den>
        </m:f>
        <m:acc>
          <m:accPr>
            <m:ctrlPr>
              <w:rPr>
                <w:rFonts w:ascii="Cambria Math" w:hAnsi="Cambria Math"/>
              </w:rPr>
            </m:ctrlPr>
          </m:accPr>
          <m:e>
            <m:r>
              <w:rPr>
                <w:rFonts w:ascii="Cambria Math" w:hAnsi="Cambria Math"/>
              </w:rPr>
              <m:t>H</m:t>
            </m:r>
          </m:e>
        </m:acc>
        <m:r>
          <w:rPr>
            <w:rFonts w:ascii="Cambria Math" w:hAnsi="Cambria Math"/>
          </w:rPr>
          <m:t>t</m:t>
        </m:r>
        <m:r>
          <m:rPr>
            <m:sty m:val="p"/>
          </m:rPr>
          <w:rPr>
            <w:rFonts w:ascii="Cambria Math" w:hAnsi="Cambria Math"/>
          </w:rPr>
          <m:t>)</m:t>
        </m:r>
      </m:oMath>
      <w:r>
        <w:t xml:space="preserve">, hence </w:t>
      </w:r>
      <m:oMath>
        <m:r>
          <m:rPr>
            <m:sty m:val="p"/>
          </m:rPr>
          <w:rPr>
            <w:rFonts w:ascii="Cambria Math" w:hAnsi="Cambria Math"/>
          </w:rPr>
          <m:t>|</m:t>
        </m:r>
        <m:r>
          <w:rPr>
            <w:rFonts w:ascii="Cambria Math" w:hAnsi="Cambria Math"/>
          </w:rPr>
          <m:t>ψ</m:t>
        </m:r>
        <m:r>
          <m:rPr>
            <m:sty m:val="p"/>
          </m:rPr>
          <w:rPr>
            <w:rFonts w:ascii="Cambria Math" w:hAnsi="Cambria Math"/>
          </w:rPr>
          <m:t>⟩=</m:t>
        </m:r>
        <m:r>
          <w:rPr>
            <w:rFonts w:ascii="Cambria Math" w:hAnsi="Cambria Math"/>
          </w:rPr>
          <m:t>U</m:t>
        </m:r>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0</m:t>
            </m:r>
          </m:sub>
        </m:sSub>
        <m:r>
          <m:rPr>
            <m:sty m:val="p"/>
          </m:rPr>
          <w:rPr>
            <w:rFonts w:ascii="Cambria Math" w:hAnsi="Cambria Math"/>
          </w:rPr>
          <m:t>⟩</m:t>
        </m:r>
      </m:oMath>
      <w:r>
        <w:t xml:space="preserve"> or a state is a unitary transformation from its previous state: </w:t>
      </w:r>
      <m:oMath>
        <m:r>
          <m:rPr>
            <m:sty m:val="p"/>
          </m:rPr>
          <w:rPr>
            <w:rFonts w:ascii="Cambria Math" w:hAnsi="Cambria Math"/>
          </w:rPr>
          <w:lastRenderedPageBreak/>
          <m:t>|</m:t>
        </m:r>
        <m:sSup>
          <m:sSupPr>
            <m:ctrlPr>
              <w:rPr>
                <w:rFonts w:ascii="Cambria Math" w:hAnsi="Cambria Math"/>
              </w:rPr>
            </m:ctrlPr>
          </m:sSupPr>
          <m:e>
            <m:r>
              <w:rPr>
                <w:rFonts w:ascii="Cambria Math" w:hAnsi="Cambria Math"/>
              </w:rPr>
              <m:t>ψ</m:t>
            </m:r>
          </m:e>
          <m:sup>
            <m:r>
              <m:rPr>
                <m:sty m:val="p"/>
              </m:rPr>
              <w:rPr>
                <w:rFonts w:ascii="Cambria Math" w:hAnsi="Cambria Math"/>
              </w:rPr>
              <m:t>'</m:t>
            </m:r>
          </m:sup>
        </m:sSup>
        <m:r>
          <m:rPr>
            <m:sty m:val="p"/>
          </m:rPr>
          <w:rPr>
            <w:rFonts w:ascii="Cambria Math" w:hAnsi="Cambria Math"/>
          </w:rPr>
          <m:t>⟩=</m:t>
        </m:r>
        <m:r>
          <w:rPr>
            <w:rFonts w:ascii="Cambria Math" w:hAnsi="Cambria Math"/>
          </w:rPr>
          <m:t>U</m:t>
        </m:r>
        <m:r>
          <m:rPr>
            <m:sty m:val="p"/>
          </m:rPr>
          <w:rPr>
            <w:rFonts w:ascii="Cambria Math" w:hAnsi="Cambria Math"/>
          </w:rPr>
          <m:t>|</m:t>
        </m:r>
        <m:r>
          <w:rPr>
            <w:rFonts w:ascii="Cambria Math" w:hAnsi="Cambria Math"/>
          </w:rPr>
          <m:t>ψ</m:t>
        </m:r>
        <m:r>
          <m:rPr>
            <m:sty m:val="p"/>
          </m:rPr>
          <w:rPr>
            <w:rFonts w:ascii="Cambria Math" w:hAnsi="Cambria Math"/>
          </w:rPr>
          <m:t>⟩</m:t>
        </m:r>
      </m:oMath>
      <w:r>
        <w:t xml:space="preserve">. A control on system energy dictates the Hamiltonian and equivalently manipulates a unitary operator. Some common unitary operators are </w:t>
      </w:r>
      <w:r w:rsidRPr="00B3409F">
        <w:rPr>
          <w:i/>
          <w:iCs/>
        </w:rPr>
        <w:t>not</w:t>
      </w:r>
      <w:r>
        <w:t xml:space="preserve"> operator </w:t>
      </w:r>
      <m:oMath>
        <m:r>
          <w:rPr>
            <w:rFonts w:ascii="Cambria Math" w:hAnsi="Cambria Math"/>
          </w:rPr>
          <m:t>X</m:t>
        </m:r>
        <m:r>
          <m:rPr>
            <m:sty m:val="p"/>
          </m:rPr>
          <w:rPr>
            <w:rFonts w:ascii="Cambria Math" w:hAnsi="Cambria Math"/>
          </w:rPr>
          <m:t>=</m:t>
        </m:r>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0</m:t>
                  </m:r>
                </m:e>
                <m:e>
                  <m:r>
                    <m:rPr>
                      <m:sty m:val="p"/>
                    </m:rPr>
                    <w:rPr>
                      <w:rFonts w:ascii="Cambria Math" w:hAnsi="Cambria Math"/>
                    </w:rPr>
                    <m:t>1</m:t>
                  </m:r>
                </m:e>
              </m:mr>
              <m:mr>
                <m:e>
                  <m:r>
                    <m:rPr>
                      <m:sty m:val="p"/>
                    </m:rPr>
                    <w:rPr>
                      <w:rFonts w:ascii="Cambria Math" w:hAnsi="Cambria Math"/>
                    </w:rPr>
                    <m:t>1</m:t>
                  </m:r>
                </m:e>
                <m:e>
                  <m:r>
                    <m:rPr>
                      <m:sty m:val="p"/>
                    </m:rPr>
                    <w:rPr>
                      <w:rFonts w:ascii="Cambria Math" w:hAnsi="Cambria Math"/>
                    </w:rPr>
                    <m:t>0</m:t>
                  </m:r>
                </m:e>
              </m:mr>
            </m:m>
          </m:e>
        </m:d>
      </m:oMath>
      <w:r>
        <w:t xml:space="preserve">, </w:t>
      </w:r>
      <w:r w:rsidRPr="00B3409F">
        <w:rPr>
          <w:i/>
          <w:iCs/>
        </w:rPr>
        <w:t>Hadamard</w:t>
      </w:r>
      <w:r>
        <w:t xml:space="preserve"> operator </w:t>
      </w:r>
      <m:oMath>
        <m:r>
          <w:rPr>
            <w:rFonts w:ascii="Cambria Math" w:hAnsi="Cambria Math"/>
          </w:rPr>
          <m:t>H</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ad>
              <m:radPr>
                <m:degHide m:val="1"/>
                <m:ctrlPr>
                  <w:rPr>
                    <w:rFonts w:ascii="Cambria Math" w:hAnsi="Cambria Math"/>
                  </w:rPr>
                </m:ctrlPr>
              </m:radPr>
              <m:deg/>
              <m:e>
                <m:r>
                  <m:rPr>
                    <m:sty m:val="p"/>
                  </m:rPr>
                  <w:rPr>
                    <w:rFonts w:ascii="Cambria Math" w:hAnsi="Cambria Math"/>
                  </w:rPr>
                  <m:t>2</m:t>
                </m:r>
              </m:e>
            </m:rad>
          </m:den>
        </m:f>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1</m:t>
                  </m:r>
                </m:e>
              </m:mr>
              <m:mr>
                <m:e>
                  <m:r>
                    <m:rPr>
                      <m:sty m:val="p"/>
                    </m:rPr>
                    <w:rPr>
                      <w:rFonts w:ascii="Cambria Math" w:hAnsi="Cambria Math"/>
                    </w:rPr>
                    <m:t>1</m:t>
                  </m:r>
                </m:e>
                <m:e>
                  <m:r>
                    <m:rPr>
                      <m:sty m:val="p"/>
                    </m:rPr>
                    <w:rPr>
                      <w:rFonts w:ascii="Cambria Math" w:hAnsi="Cambria Math"/>
                    </w:rPr>
                    <m:t>-1</m:t>
                  </m:r>
                </m:e>
              </m:mr>
            </m:m>
          </m:e>
        </m:d>
      </m:oMath>
      <w:r>
        <w:t xml:space="preserve">, and </w:t>
      </w:r>
      <w:r w:rsidRPr="00B3409F">
        <w:rPr>
          <w:i/>
          <w:iCs/>
        </w:rPr>
        <w:t>one-qubit-controlled-phase</w:t>
      </w:r>
      <w:r>
        <w:t xml:space="preserve"> </w:t>
      </w:r>
      <m:oMath>
        <m:r>
          <w:rPr>
            <w:rFonts w:ascii="Cambria Math" w:hAnsi="Cambria Math"/>
          </w:rPr>
          <m:t>CZ</m:t>
        </m:r>
        <m:r>
          <m:rPr>
            <m:sty m:val="p"/>
          </m:rPr>
          <w:rPr>
            <w:rFonts w:ascii="Cambria Math" w:hAnsi="Cambria Math"/>
          </w:rPr>
          <m:t>=</m:t>
        </m:r>
        <m:d>
          <m:dPr>
            <m:begChr m:val="["/>
            <m:endChr m:val="]"/>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mr>
            </m:m>
          </m:e>
        </m:d>
      </m:oMath>
      <w:r>
        <w:t xml:space="preserve"> for a two-qubit system.</w:t>
      </w:r>
    </w:p>
    <w:p w14:paraId="34DCBCBB" w14:textId="77777777" w:rsidR="00B3409F" w:rsidRDefault="00B3409F" w:rsidP="00B3409F">
      <w:pPr>
        <w:pStyle w:val="Paragraph"/>
      </w:pPr>
      <w:r>
        <w:t xml:space="preserve">(2) In measurement mode, state collapses to one of its eigenstates upon measurement. The eigenstates correspond to the measurement operator, which is applied to measure the system. A probability of an eigenstate to which the state collapses is a squared modulus of the amplitude of that eigenstate in the state before the measurement. E.g., given a state </w:t>
      </w:r>
      <m:oMath>
        <m:r>
          <m:rPr>
            <m:sty m:val="p"/>
          </m:rPr>
          <w:rPr>
            <w:rFonts w:ascii="Cambria Math" w:hAnsi="Cambria Math"/>
          </w:rPr>
          <m:t>|</m:t>
        </m:r>
        <m:r>
          <w:rPr>
            <w:rFonts w:ascii="Cambria Math" w:hAnsi="Cambria Math"/>
          </w:rPr>
          <m:t>ψ</m:t>
        </m:r>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m:t>
            </m:r>
          </m:sub>
        </m:sSub>
        <m:sSup>
          <m:sSupPr>
            <m:ctrlPr>
              <w:rPr>
                <w:rFonts w:ascii="Cambria Math" w:hAnsi="Cambria Math"/>
              </w:rPr>
            </m:ctrlPr>
          </m:sSupPr>
          <m:e>
            <m:r>
              <m:rPr>
                <m:sty m:val="p"/>
              </m:rPr>
              <w:rPr>
                <w:rFonts w:ascii="Cambria Math" w:hAnsi="Cambria Math"/>
              </w:rPr>
              <m:t>]</m:t>
            </m:r>
          </m:e>
          <m:sup>
            <m:r>
              <w:rPr>
                <w:rFonts w:ascii="Cambria Math" w:hAnsi="Cambria Math"/>
              </w:rPr>
              <m:t>T</m:t>
            </m:r>
          </m:sup>
        </m:sSup>
      </m:oMath>
      <w:r>
        <w:t xml:space="preserve"> prior to the measurement in a basic of </w:t>
      </w:r>
      <m:oMath>
        <m:r>
          <m:rPr>
            <m:sty m:val="p"/>
          </m:rPr>
          <w:rPr>
            <w:rFonts w:ascii="Cambria Math" w:hAnsi="Cambria Math"/>
          </w:rPr>
          <m:t>|+⟩</m:t>
        </m:r>
      </m:oMath>
      <w:r>
        <w:t xml:space="preserve"> and </w:t>
      </w:r>
      <m:oMath>
        <m:r>
          <m:rPr>
            <m:sty m:val="p"/>
          </m:rPr>
          <w:rPr>
            <w:rFonts w:ascii="Cambria Math" w:hAnsi="Cambria Math"/>
          </w:rPr>
          <m:t>|-⟩</m:t>
        </m:r>
      </m:oMath>
      <w:r>
        <w:t xml:space="preserve">, after the measurement the state will collapse to either </w:t>
      </w:r>
      <m:oMath>
        <m:r>
          <m:rPr>
            <m:sty m:val="p"/>
          </m:rPr>
          <w:rPr>
            <w:rFonts w:ascii="Cambria Math" w:hAnsi="Cambria Math"/>
          </w:rPr>
          <m:t>|+⟩</m:t>
        </m:r>
      </m:oMath>
      <w:r>
        <w:t xml:space="preserve"> (with probability </w:t>
      </w:r>
      <m:oMath>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oMath>
      <w:r>
        <w:t xml:space="preserve">), i.e., </w:t>
      </w:r>
      <m:oMath>
        <m:r>
          <m:rPr>
            <m:sty m:val="p"/>
          </m:rPr>
          <w:rPr>
            <w:rFonts w:ascii="Cambria Math" w:hAnsi="Cambria Math"/>
          </w:rPr>
          <m:t>|</m:t>
        </m:r>
        <m:sSup>
          <m:sSupPr>
            <m:ctrlPr>
              <w:rPr>
                <w:rFonts w:ascii="Cambria Math" w:hAnsi="Cambria Math"/>
              </w:rPr>
            </m:ctrlPr>
          </m:sSupPr>
          <m:e>
            <m:r>
              <w:rPr>
                <w:rFonts w:ascii="Cambria Math" w:hAnsi="Cambria Math"/>
              </w:rPr>
              <m:t>ψ</m:t>
            </m:r>
          </m:e>
          <m:sup>
            <m:r>
              <m:rPr>
                <m:sty m:val="p"/>
              </m:rPr>
              <w:rPr>
                <w:rFonts w:ascii="Cambria Math" w:hAnsi="Cambria Math"/>
              </w:rPr>
              <m:t>'</m:t>
            </m:r>
          </m:sup>
        </m:sSup>
        <m:r>
          <m:rPr>
            <m:sty m:val="p"/>
          </m:rPr>
          <w:rPr>
            <w:rFonts w:ascii="Cambria Math" w:hAnsi="Cambria Math"/>
          </w:rPr>
          <m:t>⟩=|+⟩=[1,0</m:t>
        </m:r>
        <m:sSup>
          <m:sSupPr>
            <m:ctrlPr>
              <w:rPr>
                <w:rFonts w:ascii="Cambria Math" w:hAnsi="Cambria Math"/>
              </w:rPr>
            </m:ctrlPr>
          </m:sSupPr>
          <m:e>
            <m:r>
              <m:rPr>
                <m:sty m:val="p"/>
              </m:rPr>
              <w:rPr>
                <w:rFonts w:ascii="Cambria Math" w:hAnsi="Cambria Math"/>
              </w:rPr>
              <m:t>]</m:t>
            </m:r>
          </m:e>
          <m:sup>
            <m:r>
              <w:rPr>
                <w:rFonts w:ascii="Cambria Math" w:hAnsi="Cambria Math"/>
              </w:rPr>
              <m:t>T</m:t>
            </m:r>
          </m:sup>
        </m:sSup>
      </m:oMath>
      <w:r>
        <w:t xml:space="preserve">, or </w:t>
      </w:r>
      <m:oMath>
        <m:r>
          <m:rPr>
            <m:sty m:val="p"/>
          </m:rPr>
          <w:rPr>
            <w:rFonts w:ascii="Cambria Math" w:hAnsi="Cambria Math"/>
          </w:rPr>
          <m:t>|-⟩</m:t>
        </m:r>
      </m:oMath>
      <w:r>
        <w:t xml:space="preserve"> (with probability </w:t>
      </w:r>
      <m:oMath>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oMath>
      <w:r>
        <w:t xml:space="preserve">), i.e., </w:t>
      </w:r>
      <m:oMath>
        <m:r>
          <m:rPr>
            <m:sty m:val="p"/>
          </m:rPr>
          <w:rPr>
            <w:rFonts w:ascii="Cambria Math" w:hAnsi="Cambria Math"/>
          </w:rPr>
          <m:t>|</m:t>
        </m:r>
        <m:sSup>
          <m:sSupPr>
            <m:ctrlPr>
              <w:rPr>
                <w:rFonts w:ascii="Cambria Math" w:hAnsi="Cambria Math"/>
              </w:rPr>
            </m:ctrlPr>
          </m:sSupPr>
          <m:e>
            <m:r>
              <w:rPr>
                <w:rFonts w:ascii="Cambria Math" w:hAnsi="Cambria Math"/>
              </w:rPr>
              <m:t>ψ</m:t>
            </m:r>
          </m:e>
          <m:sup>
            <m:r>
              <m:rPr>
                <m:sty m:val="p"/>
              </m:rPr>
              <w:rPr>
                <w:rFonts w:ascii="Cambria Math" w:hAnsi="Cambria Math"/>
              </w:rPr>
              <m:t>'</m:t>
            </m:r>
          </m:sup>
        </m:sSup>
        <m:r>
          <m:rPr>
            <m:sty m:val="p"/>
          </m:rPr>
          <w:rPr>
            <w:rFonts w:ascii="Cambria Math" w:hAnsi="Cambria Math"/>
          </w:rPr>
          <m:t>⟩=|-⟩=[0,1</m:t>
        </m:r>
        <m:sSup>
          <m:sSupPr>
            <m:ctrlPr>
              <w:rPr>
                <w:rFonts w:ascii="Cambria Math" w:hAnsi="Cambria Math"/>
              </w:rPr>
            </m:ctrlPr>
          </m:sSupPr>
          <m:e>
            <m:r>
              <m:rPr>
                <m:sty m:val="p"/>
              </m:rPr>
              <w:rPr>
                <w:rFonts w:ascii="Cambria Math" w:hAnsi="Cambria Math"/>
              </w:rPr>
              <m:t>]</m:t>
            </m:r>
          </m:e>
          <m:sup>
            <m:r>
              <w:rPr>
                <w:rFonts w:ascii="Cambria Math" w:hAnsi="Cambria Math"/>
              </w:rPr>
              <m:t>T</m:t>
            </m:r>
          </m:sup>
        </m:sSup>
      </m:oMath>
      <w:r>
        <w:t>.</w:t>
      </w:r>
    </w:p>
    <w:p w14:paraId="42273A35" w14:textId="49674FDF" w:rsidR="0000259D" w:rsidRDefault="00B3409F" w:rsidP="00B3409F">
      <w:pPr>
        <w:pStyle w:val="Paragraph"/>
      </w:pPr>
      <w:r>
        <w:t>A hardware of a quantum computer can be implemented using many technologies, e.g., superconducting circuit</w:t>
      </w:r>
      <w:r w:rsidR="00D34B9D">
        <w:t xml:space="preserve"> [6]</w:t>
      </w:r>
      <w:r>
        <w:t>, and to control qubits can be done by changing the system energy, e.g., through microwave pulses.</w:t>
      </w:r>
    </w:p>
    <w:p w14:paraId="1B6FEDBD" w14:textId="30002954" w:rsidR="00CD373C" w:rsidRDefault="00CD373C" w:rsidP="00B3409F">
      <w:pPr>
        <w:pStyle w:val="Paragraph"/>
      </w:pPr>
    </w:p>
    <w:p w14:paraId="22CE183C" w14:textId="01AC3F15" w:rsidR="00CD373C" w:rsidRDefault="00CD373C" w:rsidP="00812E52">
      <w:pPr>
        <w:pStyle w:val="Heading4"/>
        <w:ind w:firstLine="284"/>
        <w:jc w:val="both"/>
        <w:rPr>
          <w:rFonts w:ascii="Times New Roman" w:eastAsia="Times New Roman" w:hAnsi="Times New Roman" w:cs="Times New Roman"/>
          <w:i w:val="0"/>
          <w:iCs w:val="0"/>
          <w:color w:val="auto"/>
          <w:sz w:val="20"/>
        </w:rPr>
      </w:pPr>
      <w:bookmarkStart w:id="0" w:name="classical-logic-from-quantum-gates."/>
      <w:r w:rsidRPr="00CD373C">
        <w:rPr>
          <w:rFonts w:ascii="Times New Roman" w:eastAsia="Times New Roman" w:hAnsi="Times New Roman" w:cs="Times New Roman"/>
          <w:color w:val="auto"/>
          <w:sz w:val="20"/>
        </w:rPr>
        <w:t>Classical logic from quantum gates.</w:t>
      </w:r>
      <w:r>
        <w:rPr>
          <w:rFonts w:ascii="Times New Roman" w:eastAsia="Times New Roman" w:hAnsi="Times New Roman" w:cs="Times New Roman"/>
          <w:i w:val="0"/>
          <w:iCs w:val="0"/>
          <w:color w:val="auto"/>
          <w:sz w:val="20"/>
        </w:rPr>
        <w:t xml:space="preserve"> </w:t>
      </w:r>
      <w:r w:rsidRPr="00CD373C">
        <w:rPr>
          <w:rFonts w:ascii="Times New Roman" w:eastAsia="Times New Roman" w:hAnsi="Times New Roman" w:cs="Times New Roman"/>
          <w:i w:val="0"/>
          <w:iCs w:val="0"/>
          <w:color w:val="auto"/>
          <w:sz w:val="20"/>
        </w:rPr>
        <w:t>Any classical logic can be derived from a proper application of quantum gates. Figure </w:t>
      </w:r>
      <w:hyperlink w:anchor="fig: classical logic">
        <w:r w:rsidRPr="00CD373C">
          <w:rPr>
            <w:rFonts w:ascii="Times New Roman" w:eastAsia="Times New Roman" w:hAnsi="Times New Roman" w:cs="Times New Roman"/>
            <w:i w:val="0"/>
            <w:iCs w:val="0"/>
            <w:color w:val="auto"/>
            <w:sz w:val="20"/>
          </w:rPr>
          <w:t>1</w:t>
        </w:r>
      </w:hyperlink>
      <w:r w:rsidRPr="00CD373C">
        <w:rPr>
          <w:rFonts w:ascii="Times New Roman" w:eastAsia="Times New Roman" w:hAnsi="Times New Roman" w:cs="Times New Roman"/>
          <w:i w:val="0"/>
          <w:iCs w:val="0"/>
          <w:color w:val="auto"/>
          <w:sz w:val="20"/>
        </w:rPr>
        <w:t xml:space="preserve"> shows equivalent functions to logical AND and OR.</w:t>
      </w:r>
    </w:p>
    <w:p w14:paraId="47FCB01E" w14:textId="43FD3E2D" w:rsidR="00826546" w:rsidRDefault="00826546" w:rsidP="008265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8"/>
        <w:gridCol w:w="2427"/>
        <w:gridCol w:w="2298"/>
        <w:gridCol w:w="2417"/>
      </w:tblGrid>
      <w:tr w:rsidR="00826546" w14:paraId="2ED7FD88" w14:textId="77777777" w:rsidTr="00826546">
        <w:tc>
          <w:tcPr>
            <w:tcW w:w="2337" w:type="dxa"/>
          </w:tcPr>
          <w:p w14:paraId="3789D873" w14:textId="7C8CAA73" w:rsidR="00826546" w:rsidRDefault="00826546" w:rsidP="00826546">
            <w:pPr>
              <w:jc w:val="center"/>
            </w:pPr>
            <w:r w:rsidRPr="00CD373C">
              <w:rPr>
                <w:noProof/>
                <w:sz w:val="20"/>
              </w:rPr>
              <w:drawing>
                <wp:inline distT="0" distB="0" distL="0" distR="0" wp14:anchorId="3B73FA16" wp14:editId="6B4DDEA7">
                  <wp:extent cx="538582" cy="899999"/>
                  <wp:effectExtent l="0" t="0" r="0" b="0"/>
                  <wp:docPr id="5" name="Picture" descr="image"/>
                  <wp:cNvGraphicFramePr/>
                  <a:graphic xmlns:a="http://schemas.openxmlformats.org/drawingml/2006/main">
                    <a:graphicData uri="http://schemas.openxmlformats.org/drawingml/2006/picture">
                      <pic:pic xmlns:pic="http://schemas.openxmlformats.org/drawingml/2006/picture">
                        <pic:nvPicPr>
                          <pic:cNvPr id="17" name="Picture" descr="pics/LogicalAND.png"/>
                          <pic:cNvPicPr>
                            <a:picLocks noChangeAspect="1" noChangeArrowheads="1"/>
                          </pic:cNvPicPr>
                        </pic:nvPicPr>
                        <pic:blipFill>
                          <a:blip r:embed="rId11"/>
                          <a:stretch>
                            <a:fillRect/>
                          </a:stretch>
                        </pic:blipFill>
                        <pic:spPr bwMode="auto">
                          <a:xfrm>
                            <a:off x="0" y="0"/>
                            <a:ext cx="538582" cy="899999"/>
                          </a:xfrm>
                          <a:prstGeom prst="rect">
                            <a:avLst/>
                          </a:prstGeom>
                          <a:noFill/>
                          <a:ln w="9525">
                            <a:noFill/>
                            <a:headEnd/>
                            <a:tailEnd/>
                          </a:ln>
                        </pic:spPr>
                      </pic:pic>
                    </a:graphicData>
                  </a:graphic>
                </wp:inline>
              </w:drawing>
            </w:r>
          </w:p>
        </w:tc>
        <w:tc>
          <w:tcPr>
            <w:tcW w:w="2337" w:type="dxa"/>
          </w:tcPr>
          <w:p w14:paraId="3E41751E" w14:textId="7EB760C6" w:rsidR="00826546" w:rsidRDefault="00826546" w:rsidP="00826546">
            <w:pPr>
              <w:jc w:val="center"/>
            </w:pPr>
            <w:r w:rsidRPr="00CD373C">
              <w:rPr>
                <w:noProof/>
                <w:sz w:val="20"/>
              </w:rPr>
              <w:drawing>
                <wp:inline distT="0" distB="0" distL="0" distR="0" wp14:anchorId="5C089AAB" wp14:editId="51226D02">
                  <wp:extent cx="1404517" cy="899999"/>
                  <wp:effectExtent l="0" t="0" r="0" b="0"/>
                  <wp:docPr id="6" name="Picture" descr="image"/>
                  <wp:cNvGraphicFramePr/>
                  <a:graphic xmlns:a="http://schemas.openxmlformats.org/drawingml/2006/main">
                    <a:graphicData uri="http://schemas.openxmlformats.org/drawingml/2006/picture">
                      <pic:pic xmlns:pic="http://schemas.openxmlformats.org/drawingml/2006/picture">
                        <pic:nvPicPr>
                          <pic:cNvPr id="20" name="Picture" descr="pics/LogicalANDsim.png"/>
                          <pic:cNvPicPr>
                            <a:picLocks noChangeAspect="1" noChangeArrowheads="1"/>
                          </pic:cNvPicPr>
                        </pic:nvPicPr>
                        <pic:blipFill>
                          <a:blip r:embed="rId12"/>
                          <a:stretch>
                            <a:fillRect/>
                          </a:stretch>
                        </pic:blipFill>
                        <pic:spPr bwMode="auto">
                          <a:xfrm>
                            <a:off x="0" y="0"/>
                            <a:ext cx="1404517" cy="899999"/>
                          </a:xfrm>
                          <a:prstGeom prst="rect">
                            <a:avLst/>
                          </a:prstGeom>
                          <a:noFill/>
                          <a:ln w="9525">
                            <a:noFill/>
                            <a:headEnd/>
                            <a:tailEnd/>
                          </a:ln>
                        </pic:spPr>
                      </pic:pic>
                    </a:graphicData>
                  </a:graphic>
                </wp:inline>
              </w:drawing>
            </w:r>
          </w:p>
        </w:tc>
        <w:tc>
          <w:tcPr>
            <w:tcW w:w="2338" w:type="dxa"/>
          </w:tcPr>
          <w:p w14:paraId="7036C25B" w14:textId="0E4E3871" w:rsidR="00826546" w:rsidRDefault="00826546" w:rsidP="00826546">
            <w:pPr>
              <w:jc w:val="center"/>
            </w:pPr>
            <w:r w:rsidRPr="00CD373C">
              <w:rPr>
                <w:noProof/>
                <w:sz w:val="20"/>
              </w:rPr>
              <w:drawing>
                <wp:inline distT="0" distB="0" distL="0" distR="0" wp14:anchorId="69D80C6F" wp14:editId="2061DFCF">
                  <wp:extent cx="1080656" cy="899999"/>
                  <wp:effectExtent l="0" t="0" r="0" b="0"/>
                  <wp:docPr id="7" name="Picture" descr="image"/>
                  <wp:cNvGraphicFramePr/>
                  <a:graphic xmlns:a="http://schemas.openxmlformats.org/drawingml/2006/main">
                    <a:graphicData uri="http://schemas.openxmlformats.org/drawingml/2006/picture">
                      <pic:pic xmlns:pic="http://schemas.openxmlformats.org/drawingml/2006/picture">
                        <pic:nvPicPr>
                          <pic:cNvPr id="23" name="Picture" descr="pics/LogicalOR.png"/>
                          <pic:cNvPicPr>
                            <a:picLocks noChangeAspect="1" noChangeArrowheads="1"/>
                          </pic:cNvPicPr>
                        </pic:nvPicPr>
                        <pic:blipFill>
                          <a:blip r:embed="rId13"/>
                          <a:stretch>
                            <a:fillRect/>
                          </a:stretch>
                        </pic:blipFill>
                        <pic:spPr bwMode="auto">
                          <a:xfrm>
                            <a:off x="0" y="0"/>
                            <a:ext cx="1080656" cy="899999"/>
                          </a:xfrm>
                          <a:prstGeom prst="rect">
                            <a:avLst/>
                          </a:prstGeom>
                          <a:noFill/>
                          <a:ln w="9525">
                            <a:noFill/>
                            <a:headEnd/>
                            <a:tailEnd/>
                          </a:ln>
                        </pic:spPr>
                      </pic:pic>
                    </a:graphicData>
                  </a:graphic>
                </wp:inline>
              </w:drawing>
            </w:r>
          </w:p>
        </w:tc>
        <w:tc>
          <w:tcPr>
            <w:tcW w:w="2338" w:type="dxa"/>
          </w:tcPr>
          <w:p w14:paraId="7FCB21AE" w14:textId="21FA9459" w:rsidR="00826546" w:rsidRDefault="00826546" w:rsidP="00826546">
            <w:pPr>
              <w:jc w:val="center"/>
            </w:pPr>
            <w:r w:rsidRPr="00CD373C">
              <w:rPr>
                <w:noProof/>
                <w:sz w:val="20"/>
              </w:rPr>
              <w:drawing>
                <wp:inline distT="0" distB="0" distL="0" distR="0" wp14:anchorId="2519D41B" wp14:editId="6AEAC501">
                  <wp:extent cx="1397950" cy="899999"/>
                  <wp:effectExtent l="0" t="0" r="0" b="0"/>
                  <wp:docPr id="8" name="Picture" descr="image"/>
                  <wp:cNvGraphicFramePr/>
                  <a:graphic xmlns:a="http://schemas.openxmlformats.org/drawingml/2006/main">
                    <a:graphicData uri="http://schemas.openxmlformats.org/drawingml/2006/picture">
                      <pic:pic xmlns:pic="http://schemas.openxmlformats.org/drawingml/2006/picture">
                        <pic:nvPicPr>
                          <pic:cNvPr id="26" name="Picture" descr="pics/LogicalORsim.png"/>
                          <pic:cNvPicPr>
                            <a:picLocks noChangeAspect="1" noChangeArrowheads="1"/>
                          </pic:cNvPicPr>
                        </pic:nvPicPr>
                        <pic:blipFill>
                          <a:blip r:embed="rId14"/>
                          <a:stretch>
                            <a:fillRect/>
                          </a:stretch>
                        </pic:blipFill>
                        <pic:spPr bwMode="auto">
                          <a:xfrm>
                            <a:off x="0" y="0"/>
                            <a:ext cx="1397950" cy="899999"/>
                          </a:xfrm>
                          <a:prstGeom prst="rect">
                            <a:avLst/>
                          </a:prstGeom>
                          <a:noFill/>
                          <a:ln w="9525">
                            <a:noFill/>
                            <a:headEnd/>
                            <a:tailEnd/>
                          </a:ln>
                        </pic:spPr>
                      </pic:pic>
                    </a:graphicData>
                  </a:graphic>
                </wp:inline>
              </w:drawing>
            </w:r>
          </w:p>
        </w:tc>
      </w:tr>
      <w:tr w:rsidR="00826546" w14:paraId="5AE94193" w14:textId="77777777" w:rsidTr="00826546">
        <w:tc>
          <w:tcPr>
            <w:tcW w:w="2337" w:type="dxa"/>
          </w:tcPr>
          <w:p w14:paraId="0936AEA5" w14:textId="530C3F6D" w:rsidR="00826546" w:rsidRPr="00CD373C" w:rsidRDefault="00826546" w:rsidP="00826546">
            <w:pPr>
              <w:pStyle w:val="Paragraph"/>
              <w:ind w:firstLine="0"/>
              <w:jc w:val="center"/>
            </w:pPr>
            <w:r>
              <w:t>(a)</w:t>
            </w:r>
          </w:p>
        </w:tc>
        <w:tc>
          <w:tcPr>
            <w:tcW w:w="2337" w:type="dxa"/>
          </w:tcPr>
          <w:p w14:paraId="11D69C4D" w14:textId="14519146" w:rsidR="00826546" w:rsidRPr="00CD373C" w:rsidRDefault="00826546" w:rsidP="00826546">
            <w:pPr>
              <w:pStyle w:val="Paragraph"/>
              <w:ind w:firstLine="0"/>
              <w:jc w:val="center"/>
            </w:pPr>
            <w:r>
              <w:t>(b)</w:t>
            </w:r>
          </w:p>
        </w:tc>
        <w:tc>
          <w:tcPr>
            <w:tcW w:w="2338" w:type="dxa"/>
          </w:tcPr>
          <w:p w14:paraId="7136FDD4" w14:textId="284C6FF4" w:rsidR="00826546" w:rsidRPr="00CD373C" w:rsidRDefault="00826546" w:rsidP="00826546">
            <w:pPr>
              <w:pStyle w:val="Paragraph"/>
              <w:ind w:firstLine="0"/>
              <w:jc w:val="center"/>
            </w:pPr>
            <w:r>
              <w:t>(c)</w:t>
            </w:r>
          </w:p>
        </w:tc>
        <w:tc>
          <w:tcPr>
            <w:tcW w:w="2338" w:type="dxa"/>
          </w:tcPr>
          <w:p w14:paraId="65B48F45" w14:textId="32ED7E91" w:rsidR="00826546" w:rsidRPr="00CD373C" w:rsidRDefault="00826546" w:rsidP="00826546">
            <w:pPr>
              <w:pStyle w:val="Paragraph"/>
              <w:ind w:firstLine="0"/>
              <w:jc w:val="center"/>
            </w:pPr>
            <w:r>
              <w:t>(d)</w:t>
            </w:r>
          </w:p>
        </w:tc>
      </w:tr>
    </w:tbl>
    <w:p w14:paraId="654A972D" w14:textId="760FC4E8" w:rsidR="00826546" w:rsidRPr="00574405" w:rsidRDefault="00826546" w:rsidP="00F320A1">
      <w:pPr>
        <w:pStyle w:val="FigureCaption"/>
        <w:rPr>
          <w:sz w:val="20"/>
        </w:rPr>
      </w:pPr>
      <w:bookmarkStart w:id="1" w:name="fig:_classical_logic"/>
      <w:r>
        <w:rPr>
          <w:b/>
          <w:caps/>
        </w:rPr>
        <w:t>Figure 1.</w:t>
      </w:r>
      <w:r>
        <w:t xml:space="preserve"> </w:t>
      </w:r>
      <w:r w:rsidRPr="00F320A1">
        <w:t>Quantum gate applications: (a) logical AND, (b) its simulated result, (c) logical OR, and (d) its simulated result.</w:t>
      </w:r>
      <w:bookmarkEnd w:id="0"/>
      <w:bookmarkEnd w:id="1"/>
    </w:p>
    <w:p w14:paraId="785F12DE" w14:textId="5601E0CE" w:rsidR="00826546" w:rsidRDefault="00826546" w:rsidP="00B3409F">
      <w:pPr>
        <w:pStyle w:val="Paragraph"/>
      </w:pPr>
    </w:p>
    <w:p w14:paraId="6C2EB335" w14:textId="6247A7DF" w:rsidR="00EC0B33" w:rsidRPr="00EC0B33" w:rsidRDefault="00EC3AAB" w:rsidP="00EC0B33">
      <w:pPr>
        <w:pStyle w:val="Paragraph"/>
      </w:pPr>
      <w:r w:rsidRPr="00EC3AAB">
        <w:rPr>
          <w:i/>
          <w:iCs/>
        </w:rPr>
        <w:t>Grover search.</w:t>
      </w:r>
      <w:r w:rsidRPr="00EC0B33">
        <w:t xml:space="preserve"> Grover algorithm</w:t>
      </w:r>
      <w:r w:rsidR="00EC0B33" w:rsidRPr="00EC0B33">
        <w:t xml:space="preserve"> [4]</w:t>
      </w:r>
      <w:r w:rsidRPr="00EC0B33">
        <w:t xml:space="preserve"> addresses a search problem: given a function </w:t>
      </w:r>
      <m:oMath>
        <m:r>
          <m:rPr>
            <m:sty m:val="p"/>
          </m:rPr>
          <w:rPr>
            <w:rFonts w:ascii="Cambria Math" w:hAnsi="Cambria Math"/>
          </w:rPr>
          <m:t>f:{0,1</m:t>
        </m:r>
        <m:sSup>
          <m:sSupPr>
            <m:ctrlPr>
              <w:rPr>
                <w:rFonts w:ascii="Cambria Math" w:hAnsi="Cambria Math"/>
              </w:rPr>
            </m:ctrlPr>
          </m:sSupPr>
          <m:e>
            <m:r>
              <m:rPr>
                <m:sty m:val="p"/>
              </m:rPr>
              <w:rPr>
                <w:rFonts w:ascii="Cambria Math" w:hAnsi="Cambria Math"/>
              </w:rPr>
              <m:t>}</m:t>
            </m:r>
          </m:e>
          <m:sup>
            <m:r>
              <m:rPr>
                <m:sty m:val="p"/>
              </m:rPr>
              <w:rPr>
                <w:rFonts w:ascii="Cambria Math" w:hAnsi="Cambria Math"/>
              </w:rPr>
              <m:t>n</m:t>
            </m:r>
          </m:sup>
        </m:sSup>
        <m:r>
          <m:rPr>
            <m:sty m:val="p"/>
          </m:rPr>
          <w:rPr>
            <w:rFonts w:ascii="Cambria Math" w:hAnsi="Cambria Math"/>
          </w:rPr>
          <m:t>→{0,1}</m:t>
        </m:r>
      </m:oMath>
      <w:r w:rsidRPr="00EC0B33">
        <w:t xml:space="preserve"> with a promise that there is exactly one answer </w:t>
      </w:r>
      <m:oMath>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oMath>
      <w:r w:rsidRPr="00EC0B33">
        <w:t xml:space="preserve"> such that </w:t>
      </w:r>
      <m:oMath>
        <m:r>
          <m:rPr>
            <m:sty m:val="p"/>
          </m:rPr>
          <w:rPr>
            <w:rFonts w:ascii="Cambria Math" w:hAnsi="Cambria Math"/>
          </w:rPr>
          <m:t>f(</m:t>
        </m:r>
        <m:r>
          <m:rPr>
            <m:sty m:val="b"/>
          </m:rPr>
          <w:rPr>
            <w:rFonts w:ascii="Cambria Math" w:hAnsi="Cambria Math"/>
          </w:rPr>
          <m:t>x</m:t>
        </m:r>
        <m:r>
          <m:rPr>
            <m:sty m:val="p"/>
          </m:rPr>
          <w:rPr>
            <w:rFonts w:ascii="Cambria Math" w:hAnsi="Cambria Math"/>
          </w:rPr>
          <m:t>)=1</m:t>
        </m:r>
      </m:oMath>
      <w:r w:rsidRPr="00EC0B33">
        <w:t xml:space="preserve"> if </w:t>
      </w:r>
      <m:oMath>
        <m:r>
          <m:rPr>
            <m:sty m:val="b"/>
          </m:rPr>
          <w:rPr>
            <w:rFonts w:ascii="Cambria Math" w:hAnsi="Cambria Math"/>
          </w:rPr>
          <m:t>x</m:t>
        </m:r>
        <m:r>
          <m:rPr>
            <m:sty m:val="p"/>
          </m:rPr>
          <w:rPr>
            <w:rFonts w:ascii="Cambria Math" w:hAnsi="Cambria Math"/>
          </w:rPr>
          <m:t>=</m:t>
        </m:r>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oMath>
      <w:r w:rsidRPr="00EC0B33">
        <w:t xml:space="preserve"> and </w:t>
      </w:r>
      <m:oMath>
        <m:r>
          <m:rPr>
            <m:sty m:val="p"/>
          </m:rPr>
          <w:rPr>
            <w:rFonts w:ascii="Cambria Math" w:hAnsi="Cambria Math"/>
          </w:rPr>
          <m:t>f(</m:t>
        </m:r>
        <m:r>
          <m:rPr>
            <m:sty m:val="b"/>
          </m:rPr>
          <w:rPr>
            <w:rFonts w:ascii="Cambria Math" w:hAnsi="Cambria Math"/>
          </w:rPr>
          <m:t>x</m:t>
        </m:r>
        <m:r>
          <m:rPr>
            <m:sty m:val="p"/>
          </m:rPr>
          <w:rPr>
            <w:rFonts w:ascii="Cambria Math" w:hAnsi="Cambria Math"/>
          </w:rPr>
          <m:t>)=0</m:t>
        </m:r>
      </m:oMath>
      <w:r w:rsidRPr="00EC0B33">
        <w:t xml:space="preserve"> otherwise. A binary input </w:t>
      </w:r>
      <m:oMath>
        <m:r>
          <m:rPr>
            <m:sty m:val="b"/>
          </m:rPr>
          <w:rPr>
            <w:rFonts w:ascii="Cambria Math" w:hAnsi="Cambria Math"/>
          </w:rPr>
          <m:t>x</m:t>
        </m:r>
      </m:oMath>
      <w:r w:rsidRPr="00EC0B33">
        <w:t xml:space="preserve"> has </w:t>
      </w:r>
      <m:oMath>
        <m:r>
          <m:rPr>
            <m:sty m:val="p"/>
          </m:rPr>
          <w:rPr>
            <w:rFonts w:ascii="Cambria Math" w:hAnsi="Cambria Math"/>
          </w:rPr>
          <m:t>n</m:t>
        </m:r>
      </m:oMath>
      <w:r w:rsidRPr="00EC0B33">
        <w:t xml:space="preserve"> qubits. Thus, there are </w:t>
      </w:r>
      <m:oMath>
        <m:r>
          <m:rPr>
            <m:sty m:val="p"/>
          </m:rPr>
          <w:rPr>
            <w:rFonts w:ascii="Cambria Math" w:hAnsi="Cambria Math"/>
          </w:rPr>
          <m:t>N=</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n</m:t>
            </m:r>
          </m:sup>
        </m:sSup>
      </m:oMath>
      <w:r w:rsidRPr="00EC0B33">
        <w:t xml:space="preserve"> possible combinations to search.</w:t>
      </w:r>
      <w:r w:rsidR="00EC0B33" w:rsidRPr="00EC0B33">
        <w:t xml:space="preserve"> </w:t>
      </w:r>
    </w:p>
    <w:p w14:paraId="1512BC8F" w14:textId="1881FC74" w:rsidR="00EC3AAB" w:rsidRPr="00EC0B33" w:rsidRDefault="00EC3AAB" w:rsidP="00EC0B33">
      <w:pPr>
        <w:pStyle w:val="Paragraph"/>
      </w:pPr>
      <w:r w:rsidRPr="00EC0B33">
        <w:t xml:space="preserve">Suppose the underlying function is given as a corresponding unitary operator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oMath>
      <w:r w:rsidRPr="00EC0B33">
        <w:t xml:space="preserve"> (often called “oracle”), which takes </w:t>
      </w:r>
      <m:oMath>
        <m:r>
          <m:rPr>
            <m:sty m:val="p"/>
          </m:rPr>
          <w:rPr>
            <w:rFonts w:ascii="Cambria Math" w:hAnsi="Cambria Math"/>
          </w:rPr>
          <m:t>n+1</m:t>
        </m:r>
      </m:oMath>
      <w:r w:rsidRPr="00EC0B33">
        <w:t xml:space="preserve"> qubits (</w:t>
      </w:r>
      <m:oMath>
        <m:r>
          <m:rPr>
            <m:sty m:val="p"/>
          </m:rPr>
          <w:rPr>
            <w:rFonts w:ascii="Cambria Math" w:hAnsi="Cambria Math"/>
          </w:rPr>
          <m:t>n</m:t>
        </m:r>
      </m:oMath>
      <w:r w:rsidRPr="00EC0B33">
        <w:t xml:space="preserve"> for input </w:t>
      </w:r>
      <m:oMath>
        <m:r>
          <m:rPr>
            <m:sty m:val="b"/>
          </m:rPr>
          <w:rPr>
            <w:rFonts w:ascii="Cambria Math" w:hAnsi="Cambria Math"/>
          </w:rPr>
          <m:t>x</m:t>
        </m:r>
      </m:oMath>
      <w:r w:rsidRPr="00EC0B33">
        <w:t xml:space="preserve"> and </w:t>
      </w:r>
      <m:oMath>
        <m:r>
          <m:rPr>
            <m:sty m:val="p"/>
          </m:rPr>
          <w:rPr>
            <w:rFonts w:ascii="Cambria Math" w:hAnsi="Cambria Math"/>
          </w:rPr>
          <m:t>1</m:t>
        </m:r>
      </m:oMath>
      <w:r w:rsidRPr="00EC0B33">
        <w:t xml:space="preserve"> for ancillary </w:t>
      </w:r>
      <m:oMath>
        <m:r>
          <m:rPr>
            <m:sty m:val="p"/>
          </m:rPr>
          <w:rPr>
            <w:rFonts w:ascii="Cambria Math" w:hAnsi="Cambria Math"/>
          </w:rPr>
          <m:t>y</m:t>
        </m:r>
      </m:oMath>
      <w:r w:rsidRPr="00EC0B33">
        <w:t xml:space="preserve">) and rotates </w:t>
      </w:r>
      <m:oMath>
        <m:r>
          <m:rPr>
            <m:sty m:val="p"/>
          </m:rPr>
          <w:rPr>
            <w:rFonts w:ascii="Cambria Math" w:hAnsi="Cambria Math"/>
          </w:rPr>
          <m:t>y</m:t>
        </m:r>
      </m:oMath>
      <w:r w:rsidRPr="00EC0B33">
        <w:t xml:space="preserve"> by </w:t>
      </w:r>
      <m:oMath>
        <m:r>
          <m:rPr>
            <m:sty m:val="p"/>
          </m:rPr>
          <w:rPr>
            <w:rFonts w:ascii="Cambria Math" w:hAnsi="Cambria Math"/>
          </w:rPr>
          <m:t>π</m:t>
        </m:r>
      </m:oMath>
      <w:r w:rsidRPr="00EC0B33">
        <w:t xml:space="preserve"> (phase inversion) only when </w:t>
      </w:r>
      <m:oMath>
        <m:r>
          <m:rPr>
            <m:sty m:val="p"/>
          </m:rPr>
          <w:rPr>
            <w:rFonts w:ascii="Cambria Math" w:hAnsi="Cambria Math"/>
          </w:rPr>
          <m:t>f(</m:t>
        </m:r>
        <m:r>
          <m:rPr>
            <m:sty m:val="b"/>
          </m:rPr>
          <w:rPr>
            <w:rFonts w:ascii="Cambria Math" w:hAnsi="Cambria Math"/>
          </w:rPr>
          <m:t>x</m:t>
        </m:r>
        <m:r>
          <m:rPr>
            <m:sty m:val="p"/>
          </m:rPr>
          <w:rPr>
            <w:rFonts w:ascii="Cambria Math" w:hAnsi="Cambria Math"/>
          </w:rPr>
          <m:t>)=1</m:t>
        </m:r>
      </m:oMath>
      <w:r w:rsidRPr="00EC0B33">
        <w:t xml:space="preserve">. That is, the unknown function operator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r>
          <m:rPr>
            <m:sty m:val="p"/>
          </m:rPr>
          <w:rPr>
            <w:rFonts w:ascii="Cambria Math" w:hAnsi="Cambria Math"/>
          </w:rPr>
          <m:t>≡|</m:t>
        </m:r>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r>
          <m:rPr>
            <m:sty m:val="p"/>
          </m:rPr>
          <w:rPr>
            <w:rFonts w:ascii="Cambria Math" w:hAnsi="Cambria Math"/>
          </w:rPr>
          <m:t>⟩⟨</m:t>
        </m:r>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r>
          <m:rPr>
            <m:sty m:val="p"/>
          </m:rPr>
          <w:rPr>
            <w:rFonts w:ascii="Cambria Math" w:hAnsi="Cambria Math"/>
          </w:rPr>
          <m:t>(π)+</m:t>
        </m:r>
        <m:nary>
          <m:naryPr>
            <m:chr m:val="∑"/>
            <m:limLoc m:val="undOvr"/>
            <m:supHide m:val="1"/>
            <m:ctrlPr>
              <w:rPr>
                <w:rFonts w:ascii="Cambria Math" w:hAnsi="Cambria Math"/>
              </w:rPr>
            </m:ctrlPr>
          </m:naryPr>
          <m:sub>
            <m:r>
              <m:rPr>
                <m:sty m:val="b"/>
              </m:rPr>
              <w:rPr>
                <w:rFonts w:ascii="Cambria Math" w:hAnsi="Cambria Math"/>
              </w:rPr>
              <m:t>x</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X</m:t>
                </m:r>
              </m:e>
            </m:acc>
          </m:sub>
          <m:sup>
            <m:r>
              <m:rPr>
                <m:sty m:val="p"/>
              </m:rPr>
              <w:rPr>
                <w:rFonts w:ascii="Cambria Math" w:hAnsi="Cambria Math"/>
              </w:rPr>
              <m:t>​</m:t>
            </m:r>
          </m:sup>
          <m:e>
            <m:r>
              <m:rPr>
                <m:sty m:val="p"/>
              </m:rPr>
              <w:rPr>
                <w:rFonts w:ascii="Cambria Math" w:hAnsi="Cambria Math"/>
              </w:rPr>
              <m:t>|</m:t>
            </m:r>
          </m:e>
        </m:nary>
        <m:r>
          <m:rPr>
            <m:sty m:val="b"/>
          </m:rPr>
          <w:rPr>
            <w:rFonts w:ascii="Cambria Math" w:hAnsi="Cambria Math"/>
          </w:rPr>
          <m:t>x</m:t>
        </m:r>
        <m:r>
          <m:rPr>
            <m:sty m:val="p"/>
          </m:rPr>
          <w:rPr>
            <w:rFonts w:ascii="Cambria Math" w:hAnsi="Cambria Math"/>
          </w:rPr>
          <m:t>⟩⟨</m:t>
        </m:r>
        <m:r>
          <m:rPr>
            <m:sty m:val="b"/>
          </m:rPr>
          <w:rPr>
            <w:rFonts w:ascii="Cambria Math" w:hAnsi="Cambria Math"/>
          </w:rPr>
          <m:t>x</m:t>
        </m:r>
        <m:r>
          <m:rPr>
            <m:sty m:val="p"/>
          </m:rPr>
          <w:rPr>
            <w:rFonts w:ascii="Cambria Math" w:hAnsi="Cambria Math"/>
          </w:rPr>
          <m:t>|⊗I</m:t>
        </m:r>
      </m:oMath>
      <w:r w:rsidRPr="00EC0B33">
        <w:t xml:space="preserve"> where </w:t>
      </w:r>
      <m:oMath>
        <m:acc>
          <m:accPr>
            <m:chr m:val="̃"/>
            <m:ctrlPr>
              <w:rPr>
                <w:rFonts w:ascii="Cambria Math" w:hAnsi="Cambria Math"/>
              </w:rPr>
            </m:ctrlPr>
          </m:accPr>
          <m:e>
            <m:r>
              <m:rPr>
                <m:sty m:val="p"/>
              </m:rPr>
              <w:rPr>
                <w:rFonts w:ascii="Cambria Math" w:hAnsi="Cambria Math"/>
              </w:rPr>
              <m:t>X</m:t>
            </m:r>
          </m:e>
        </m:acc>
      </m:oMath>
      <w:r w:rsidRPr="00EC0B33">
        <w:t xml:space="preserve"> is a set of non-winning states; identity </w:t>
      </w:r>
      <m:oMath>
        <m:r>
          <m:rPr>
            <m:sty m:val="p"/>
          </m:rPr>
          <w:rPr>
            <w:rFonts w:ascii="Cambria Math" w:hAnsi="Cambria Math"/>
          </w:rPr>
          <m:t>I=</m:t>
        </m:r>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1</m:t>
                  </m:r>
                </m:e>
              </m:mr>
            </m:m>
          </m:e>
        </m:d>
      </m:oMath>
      <w:r w:rsidRPr="00EC0B33">
        <w:t xml:space="preserve"> and rotation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r>
          <m:rPr>
            <m:sty m:val="p"/>
          </m:rPr>
          <w:rPr>
            <w:rFonts w:ascii="Cambria Math" w:hAnsi="Cambria Math"/>
          </w:rPr>
          <m:t>(θ)=</m:t>
        </m:r>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0</m:t>
                  </m:r>
                </m:e>
              </m:mr>
              <m:mr>
                <m:e>
                  <m:r>
                    <m:rPr>
                      <m:sty m:val="p"/>
                    </m:rPr>
                    <w:rPr>
                      <w:rFonts w:ascii="Cambria Math" w:hAnsi="Cambria Math"/>
                    </w:rPr>
                    <m:t>0</m:t>
                  </m:r>
                </m:e>
                <m:e>
                  <m:sSup>
                    <m:sSupPr>
                      <m:ctrlPr>
                        <w:rPr>
                          <w:rFonts w:ascii="Cambria Math" w:hAnsi="Cambria Math"/>
                        </w:rPr>
                      </m:ctrlPr>
                    </m:sSupPr>
                    <m:e>
                      <m:r>
                        <m:rPr>
                          <m:sty m:val="p"/>
                        </m:rPr>
                        <w:rPr>
                          <w:rFonts w:ascii="Cambria Math" w:hAnsi="Cambria Math"/>
                        </w:rPr>
                        <m:t>e</m:t>
                      </m:r>
                    </m:e>
                    <m:sup>
                      <m:r>
                        <m:rPr>
                          <m:sty m:val="p"/>
                        </m:rPr>
                        <w:rPr>
                          <w:rFonts w:ascii="Cambria Math" w:hAnsi="Cambria Math"/>
                        </w:rPr>
                        <m:t>iθ</m:t>
                      </m:r>
                    </m:sup>
                  </m:sSup>
                </m:e>
              </m:mr>
            </m:m>
          </m:e>
        </m:d>
      </m:oMath>
      <w:r w:rsidRPr="00EC0B33">
        <w:t>.</w:t>
      </w:r>
    </w:p>
    <w:p w14:paraId="211A27AA" w14:textId="72C8AF45" w:rsidR="00F320A1" w:rsidRDefault="00EC3AAB" w:rsidP="00EC3AAB">
      <w:pPr>
        <w:pStyle w:val="Paragraph"/>
      </w:pPr>
      <w:r>
        <w:t xml:space="preserve">Grover algorithm is as follows: (1) Prepare </w:t>
      </w:r>
      <m:oMath>
        <m:r>
          <m:rPr>
            <m:sty m:val="p"/>
          </m:rPr>
          <w:rPr>
            <w:rFonts w:ascii="Cambria Math" w:hAnsi="Cambria Math"/>
          </w:rPr>
          <m:t>|</m:t>
        </m:r>
        <m:r>
          <m:rPr>
            <m:sty m:val="b"/>
          </m:rPr>
          <w:rPr>
            <w:rFonts w:ascii="Cambria Math" w:hAnsi="Cambria Math"/>
          </w:rPr>
          <m:t>x</m:t>
        </m:r>
        <m:r>
          <m:rPr>
            <m:sty m:val="p"/>
          </m:rPr>
          <w:rPr>
            <w:rFonts w:ascii="Cambria Math" w:hAnsi="Cambria Math"/>
          </w:rPr>
          <m:t>⟩</m:t>
        </m:r>
      </m:oMath>
      <w:r>
        <w:t xml:space="preserve"> in a ground state, i.e.,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0</m:t>
            </m:r>
          </m:sub>
        </m:sSub>
        <m:r>
          <m:rPr>
            <m:sty m:val="p"/>
          </m:rPr>
          <w:rPr>
            <w:rFonts w:ascii="Cambria Math" w:hAnsi="Cambria Math"/>
          </w:rPr>
          <m:t>⟩=|</m:t>
        </m:r>
        <m:r>
          <m:rPr>
            <m:sty m:val="b"/>
          </m:rPr>
          <w:rPr>
            <w:rFonts w:ascii="Cambria Math" w:hAnsi="Cambria Math"/>
          </w:rPr>
          <m:t>0</m:t>
        </m:r>
        <m:r>
          <m:rPr>
            <m:sty m:val="p"/>
          </m:rPr>
          <w:rPr>
            <w:rFonts w:ascii="Cambria Math" w:hAnsi="Cambria Math"/>
          </w:rPr>
          <m:t>⟩≡|</m:t>
        </m:r>
        <m:limLow>
          <m:limLowPr>
            <m:ctrlPr>
              <w:rPr>
                <w:rFonts w:ascii="Cambria Math" w:hAnsi="Cambria Math"/>
              </w:rPr>
            </m:ctrlPr>
          </m:limLowPr>
          <m:e>
            <m:groupChr>
              <m:groupChrPr>
                <m:ctrlPr>
                  <w:rPr>
                    <w:rFonts w:ascii="Cambria Math" w:hAnsi="Cambria Math"/>
                  </w:rPr>
                </m:ctrlPr>
              </m:groupChrPr>
              <m:e>
                <m:r>
                  <w:rPr>
                    <w:rFonts w:ascii="Cambria Math" w:hAnsi="Cambria Math"/>
                  </w:rPr>
                  <m:t>00…0</m:t>
                </m:r>
              </m:e>
            </m:groupChr>
          </m:e>
          <m:lim>
            <m:r>
              <w:rPr>
                <w:rFonts w:ascii="Cambria Math" w:hAnsi="Cambria Math"/>
              </w:rPr>
              <m:t>n</m:t>
            </m:r>
          </m:lim>
        </m:limLow>
        <m:r>
          <m:rPr>
            <m:sty m:val="p"/>
          </m:rPr>
          <w:rPr>
            <w:rFonts w:ascii="Cambria Math" w:hAnsi="Cambria Math"/>
          </w:rPr>
          <m:t>⟩</m:t>
        </m:r>
      </m:oMath>
      <w:r>
        <w:t xml:space="preserve">. (2) Apply </w:t>
      </w:r>
      <m:oMath>
        <m:sSup>
          <m:sSupPr>
            <m:ctrlPr>
              <w:rPr>
                <w:rFonts w:ascii="Cambria Math" w:hAnsi="Cambria Math"/>
              </w:rPr>
            </m:ctrlPr>
          </m:sSupPr>
          <m:e>
            <m:r>
              <w:rPr>
                <w:rFonts w:ascii="Cambria Math" w:hAnsi="Cambria Math"/>
              </w:rPr>
              <m:t>H</m:t>
            </m:r>
          </m:e>
          <m:sup>
            <m:r>
              <m:rPr>
                <m:sty m:val="p"/>
              </m:rPr>
              <w:rPr>
                <w:rFonts w:ascii="Cambria Math" w:hAnsi="Cambria Math"/>
              </w:rPr>
              <m:t>⊗</m:t>
            </m:r>
            <m:r>
              <w:rPr>
                <w:rFonts w:ascii="Cambria Math" w:hAnsi="Cambria Math"/>
              </w:rPr>
              <m:t>n</m:t>
            </m:r>
          </m:sup>
        </m:sSup>
      </m:oMath>
      <w:r>
        <w:t xml:space="preserve">, where </w:t>
      </w:r>
      <m:oMath>
        <m:sSup>
          <m:sSupPr>
            <m:ctrlPr>
              <w:rPr>
                <w:rFonts w:ascii="Cambria Math" w:hAnsi="Cambria Math"/>
              </w:rPr>
            </m:ctrlPr>
          </m:sSupPr>
          <m:e>
            <m:r>
              <w:rPr>
                <w:rFonts w:ascii="Cambria Math" w:hAnsi="Cambria Math"/>
              </w:rPr>
              <m:t>H</m:t>
            </m:r>
          </m:e>
          <m:sup>
            <m:r>
              <m:rPr>
                <m:sty m:val="p"/>
              </m:rPr>
              <w:rPr>
                <w:rFonts w:ascii="Cambria Math" w:hAnsi="Cambria Math"/>
              </w:rPr>
              <m:t>⊗</m:t>
            </m:r>
            <m:r>
              <w:rPr>
                <w:rFonts w:ascii="Cambria Math" w:hAnsi="Cambria Math"/>
              </w:rPr>
              <m:t>n</m:t>
            </m:r>
          </m:sup>
        </m:sSup>
        <m:r>
          <m:rPr>
            <m:sty m:val="p"/>
          </m:rPr>
          <w:rPr>
            <w:rFonts w:ascii="Cambria Math" w:hAnsi="Cambria Math"/>
          </w:rPr>
          <m:t>=</m:t>
        </m:r>
        <m:limLow>
          <m:limLowPr>
            <m:ctrlPr>
              <w:rPr>
                <w:rFonts w:ascii="Cambria Math" w:hAnsi="Cambria Math"/>
              </w:rPr>
            </m:ctrlPr>
          </m:limLowPr>
          <m:e>
            <m:groupChr>
              <m:groupChrPr>
                <m:ctrlPr>
                  <w:rPr>
                    <w:rFonts w:ascii="Cambria Math" w:hAnsi="Cambria Math"/>
                  </w:rPr>
                </m:ctrlPr>
              </m:groupChrPr>
              <m:e>
                <m:r>
                  <w:rPr>
                    <w:rFonts w:ascii="Cambria Math" w:hAnsi="Cambria Math"/>
                  </w:rPr>
                  <m:t>H</m:t>
                </m:r>
                <m:r>
                  <m:rPr>
                    <m:sty m:val="p"/>
                  </m:rPr>
                  <w:rPr>
                    <w:rFonts w:ascii="Cambria Math" w:hAnsi="Cambria Math"/>
                  </w:rPr>
                  <m:t>⊗</m:t>
                </m:r>
                <m:r>
                  <w:rPr>
                    <w:rFonts w:ascii="Cambria Math" w:hAnsi="Cambria Math"/>
                  </w:rPr>
                  <m:t>H⊗…⊗H</m:t>
                </m:r>
              </m:e>
            </m:groupChr>
          </m:e>
          <m:lim>
            <m:r>
              <w:rPr>
                <w:rFonts w:ascii="Cambria Math" w:hAnsi="Cambria Math"/>
              </w:rPr>
              <m:t>n</m:t>
            </m:r>
          </m:lim>
        </m:limLow>
      </m:oMath>
      <w:r>
        <w:t xml:space="preserve"> is a tensor product of </w:t>
      </w:r>
      <m:oMath>
        <m:r>
          <w:rPr>
            <w:rFonts w:ascii="Cambria Math" w:hAnsi="Cambria Math"/>
          </w:rPr>
          <m:t>H</m:t>
        </m:r>
      </m:oMath>
      <w:r>
        <w:t xml:space="preserve">. It is equivalent to apply </w:t>
      </w:r>
      <m:oMath>
        <m:r>
          <w:rPr>
            <w:rFonts w:ascii="Cambria Math" w:hAnsi="Cambria Math"/>
          </w:rPr>
          <m:t>H</m:t>
        </m:r>
      </m:oMath>
      <w:r>
        <w:t xml:space="preserve"> independently to each qubit of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0</m:t>
            </m:r>
          </m:sub>
        </m:sSub>
        <m:r>
          <m:rPr>
            <m:sty m:val="p"/>
          </m:rPr>
          <w:rPr>
            <w:rFonts w:ascii="Cambria Math" w:hAnsi="Cambria Math"/>
          </w:rPr>
          <m:t>⟩</m:t>
        </m:r>
      </m:oMath>
      <w:r>
        <w:t xml:space="preserve">, i.e.,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1</m:t>
            </m:r>
          </m:sub>
        </m:sSub>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r>
              <w:rPr>
                <w:rFonts w:ascii="Cambria Math" w:hAnsi="Cambria Math"/>
              </w:rPr>
              <m:t>n</m:t>
            </m:r>
          </m:sup>
        </m:sSup>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0</m:t>
            </m:r>
          </m:sub>
        </m:sSub>
        <m:r>
          <m:rPr>
            <m:sty m:val="p"/>
          </m:rPr>
          <w:rPr>
            <w:rFonts w:ascii="Cambria Math" w:hAnsi="Cambria Math"/>
          </w:rPr>
          <m:t>⟩</m:t>
        </m:r>
      </m:oMath>
      <w:r>
        <w:t xml:space="preserve">. (3) Apply the phase inversion, i.e., </w:t>
      </w:r>
      <m:oMath>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1</m:t>
            </m:r>
          </m:sub>
        </m:sSub>
        <m:r>
          <m:rPr>
            <m:sty m:val="p"/>
          </m:rPr>
          <w:rPr>
            <w:rFonts w:ascii="Cambria Math" w:hAnsi="Cambria Math"/>
          </w:rPr>
          <m:t>,1⟩</m:t>
        </m:r>
      </m:oMath>
      <w:r>
        <w:t xml:space="preserve">. (4) Apply the inversion about the mean to the input part, i.e., segment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2</m:t>
            </m:r>
          </m:sub>
        </m:sSub>
        <m:r>
          <m:rPr>
            <m:sty m:val="p"/>
          </m:rPr>
          <w:rPr>
            <w:rFonts w:ascii="Cambria Math" w:hAnsi="Cambria Math"/>
          </w:rPr>
          <m:t>⟩|</m:t>
        </m:r>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2</m:t>
            </m:r>
          </m:sub>
        </m:sSub>
        <m:r>
          <m:rPr>
            <m:sty m:val="p"/>
          </m:rPr>
          <w:rPr>
            <w:rFonts w:ascii="Cambria Math" w:hAnsi="Cambria Math"/>
          </w:rPr>
          <m:t>⟩</m:t>
        </m:r>
      </m:oMath>
      <w:r>
        <w:t xml:space="preserve"> and have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3</m:t>
            </m:r>
          </m:sub>
        </m:sSub>
        <m:r>
          <m:rPr>
            <m:sty m:val="p"/>
          </m:rPr>
          <w:rPr>
            <w:rFonts w:ascii="Cambria Math" w:hAnsi="Cambria Math"/>
          </w:rPr>
          <m:t>⟩=(2</m:t>
        </m:r>
        <m:r>
          <w:rPr>
            <w:rFonts w:ascii="Cambria Math" w:hAnsi="Cambria Math"/>
          </w:rPr>
          <m:t>A</m:t>
        </m:r>
        <m:r>
          <m:rPr>
            <m:sty m:val="p"/>
          </m:rPr>
          <w:rPr>
            <w:rFonts w:ascii="Cambria Math" w:hAnsi="Cambria Math"/>
          </w:rPr>
          <m:t>-</m:t>
        </m:r>
        <m:r>
          <w:rPr>
            <w:rFonts w:ascii="Cambria Math" w:hAnsi="Cambria Math"/>
          </w:rPr>
          <m:t>I</m:t>
        </m:r>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2</m:t>
            </m:r>
          </m:sub>
        </m:sSub>
        <m:r>
          <m:rPr>
            <m:sty m:val="p"/>
          </m:rPr>
          <w:rPr>
            <w:rFonts w:ascii="Cambria Math" w:hAnsi="Cambria Math"/>
          </w:rPr>
          <m:t>⟩</m:t>
        </m:r>
      </m:oMath>
      <w:r>
        <w:t xml:space="preserve">, where </w:t>
      </w:r>
      <m:oMath>
        <m:r>
          <w:rPr>
            <w:rFonts w:ascii="Cambria Math" w:hAnsi="Cambria Math"/>
          </w:rPr>
          <m:t>I</m:t>
        </m:r>
      </m:oMath>
      <w:r>
        <w:t xml:space="preserve"> is an identity matrix and an average matrix </w:t>
      </w:r>
      <m:oMath>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N</m:t>
            </m:r>
          </m:den>
        </m:f>
        <m:d>
          <m:dPr>
            <m:begChr m:val="["/>
            <m:endChr m:val="]"/>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1</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1</m:t>
                  </m:r>
                </m:e>
                <m:e>
                  <m:r>
                    <m:rPr>
                      <m:sty m:val="p"/>
                    </m:rPr>
                    <w:rPr>
                      <w:rFonts w:ascii="Cambria Math" w:hAnsi="Cambria Math"/>
                    </w:rPr>
                    <m:t>1</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r>
                    <m:rPr>
                      <m:sty m:val="p"/>
                    </m:rPr>
                    <w:rPr>
                      <w:rFonts w:ascii="Cambria Math" w:hAnsi="Cambria Math"/>
                    </w:rPr>
                    <m:t>1</m:t>
                  </m:r>
                </m:e>
                <m:e>
                  <m:r>
                    <m:rPr>
                      <m:sty m:val="p"/>
                    </m:rPr>
                    <w:rPr>
                      <w:rFonts w:ascii="Cambria Math" w:hAnsi="Cambria Math"/>
                    </w:rPr>
                    <m:t>1</m:t>
                  </m:r>
                </m:e>
                <m:e>
                  <m:r>
                    <m:rPr>
                      <m:sty m:val="p"/>
                    </m:rPr>
                    <w:rPr>
                      <w:rFonts w:ascii="Cambria Math" w:hAnsi="Cambria Math"/>
                    </w:rPr>
                    <m:t>…</m:t>
                  </m:r>
                </m:e>
                <m:e>
                  <m:r>
                    <m:rPr>
                      <m:sty m:val="p"/>
                    </m:rPr>
                    <w:rPr>
                      <w:rFonts w:ascii="Cambria Math" w:hAnsi="Cambria Math"/>
                    </w:rPr>
                    <m:t>1</m:t>
                  </m:r>
                </m:e>
              </m:mr>
            </m:m>
          </m:e>
        </m:d>
      </m:oMath>
      <w:r>
        <w:t xml:space="preserve">. (5) Grover operation (steps 3 and 4) should be applied for </w:t>
      </w:r>
      <m:oMath>
        <m:r>
          <w:rPr>
            <w:rFonts w:ascii="Cambria Math" w:hAnsi="Cambria Math"/>
          </w:rPr>
          <m:t>J</m:t>
        </m:r>
      </m:oMath>
      <w:r>
        <w:t xml:space="preserve"> times (Derived from</w:t>
      </w:r>
      <w:r w:rsidR="00EC0B33">
        <w:t xml:space="preserve"> [7]</w:t>
      </w:r>
      <w:r>
        <w:t xml:space="preserve">), </w:t>
      </w:r>
      <m:oMath>
        <m:r>
          <w:rPr>
            <w:rFonts w:ascii="Cambria Math" w:hAnsi="Cambria Math"/>
          </w:rPr>
          <m:t>J</m:t>
        </m:r>
        <m:r>
          <m:rPr>
            <m:sty m:val="p"/>
          </m:rPr>
          <w:rPr>
            <w:rFonts w:ascii="Cambria Math" w:hAnsi="Cambria Math"/>
          </w:rPr>
          <m:t>=arg</m:t>
        </m:r>
        <m:sSub>
          <m:sSubPr>
            <m:ctrlPr>
              <w:rPr>
                <w:rFonts w:ascii="Cambria Math" w:hAnsi="Cambria Math"/>
              </w:rPr>
            </m:ctrlPr>
          </m:sSubPr>
          <m:e>
            <m:r>
              <m:rPr>
                <m:sty m:val="p"/>
              </m:rPr>
              <w:rPr>
                <w:rFonts w:ascii="Cambria Math" w:hAnsi="Cambria Math"/>
              </w:rPr>
              <m:t>min</m:t>
            </m:r>
          </m:e>
          <m:sub>
            <m:r>
              <w:rPr>
                <w:rFonts w:ascii="Cambria Math" w:hAnsi="Cambria Math"/>
              </w:rPr>
              <m:t>j</m:t>
            </m:r>
          </m:sub>
        </m:sSub>
        <m:f>
          <m:fPr>
            <m:ctrlPr>
              <w:rPr>
                <w:rFonts w:ascii="Cambria Math" w:hAnsi="Cambria Math"/>
              </w:rPr>
            </m:ctrlPr>
          </m:fPr>
          <m:num>
            <m:r>
              <m:rPr>
                <m:sty m:val="p"/>
              </m:rPr>
              <w:rPr>
                <w:rFonts w:ascii="Cambria Math" w:hAnsi="Cambria Math"/>
              </w:rPr>
              <m:t>1</m:t>
            </m:r>
          </m:num>
          <m:den>
            <m:r>
              <w:rPr>
                <w:rFonts w:ascii="Cambria Math" w:hAnsi="Cambria Math"/>
              </w:rPr>
              <m:t>N</m:t>
            </m:r>
            <m:r>
              <m:rPr>
                <m:sty m:val="p"/>
              </m:rPr>
              <w:rPr>
                <w:rFonts w:ascii="Cambria Math" w:hAnsi="Cambria Math"/>
              </w:rPr>
              <m:t>-1</m:t>
            </m:r>
          </m:den>
        </m:f>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d>
          <m:dPr>
            <m:ctrlPr>
              <w:rPr>
                <w:rFonts w:ascii="Cambria Math" w:hAnsi="Cambria Math"/>
              </w:rPr>
            </m:ctrlPr>
          </m:dPr>
          <m:e>
            <m:d>
              <m:dPr>
                <m:ctrlPr>
                  <w:rPr>
                    <w:rFonts w:ascii="Cambria Math" w:hAnsi="Cambria Math"/>
                  </w:rPr>
                </m:ctrlPr>
              </m:dPr>
              <m:e>
                <m:r>
                  <m:rPr>
                    <m:sty m:val="p"/>
                  </m:rPr>
                  <w:rPr>
                    <w:rFonts w:ascii="Cambria Math" w:hAnsi="Cambria Math"/>
                  </w:rPr>
                  <m:t>2</m:t>
                </m:r>
                <m:r>
                  <w:rPr>
                    <w:rFonts w:ascii="Cambria Math" w:hAnsi="Cambria Math"/>
                  </w:rPr>
                  <m:t>j</m:t>
                </m:r>
                <m:r>
                  <m:rPr>
                    <m:sty m:val="p"/>
                  </m:rPr>
                  <w:rPr>
                    <w:rFonts w:ascii="Cambria Math" w:hAnsi="Cambria Math"/>
                  </w:rPr>
                  <m:t>+1</m:t>
                </m:r>
              </m:e>
            </m:d>
            <m:r>
              <w:rPr>
                <w:rFonts w:ascii="Cambria Math" w:hAnsi="Cambria Math"/>
              </w:rPr>
              <m:t xml:space="preserve"> </m:t>
            </m:r>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1</m:t>
                    </m:r>
                  </m:num>
                  <m:den>
                    <m:r>
                      <w:rPr>
                        <w:rFonts w:ascii="Cambria Math" w:hAnsi="Cambria Math"/>
                      </w:rPr>
                      <m:t>N</m:t>
                    </m:r>
                  </m:den>
                </m:f>
              </m:e>
            </m:rad>
          </m:e>
        </m:d>
      </m:oMath>
      <w:r>
        <w:t xml:space="preserve"> or simply </w:t>
      </w:r>
      <m:oMath>
        <m:r>
          <w:rPr>
            <w:rFonts w:ascii="Cambria Math" w:hAnsi="Cambria Math"/>
          </w:rPr>
          <m:t>J</m:t>
        </m:r>
        <m:r>
          <m:rPr>
            <m:sty m:val="p"/>
          </m:rPr>
          <w:rPr>
            <w:rFonts w:ascii="Cambria Math" w:hAnsi="Cambria Math"/>
          </w:rPr>
          <m:t>=round</m:t>
        </m:r>
        <m:d>
          <m:dPr>
            <m:ctrlPr>
              <w:rPr>
                <w:rFonts w:ascii="Cambria Math" w:hAnsi="Cambria Math"/>
              </w:rPr>
            </m:ctrlPr>
          </m:dPr>
          <m:e>
            <m:f>
              <m:fPr>
                <m:ctrlPr>
                  <w:rPr>
                    <w:rFonts w:ascii="Cambria Math" w:hAnsi="Cambria Math"/>
                  </w:rPr>
                </m:ctrlPr>
              </m:fPr>
              <m:num>
                <m:r>
                  <w:rPr>
                    <w:rFonts w:ascii="Cambria Math" w:hAnsi="Cambria Math"/>
                  </w:rPr>
                  <m:t>π</m:t>
                </m:r>
              </m:num>
              <m:den>
                <m:r>
                  <m:rPr>
                    <m:sty m:val="p"/>
                  </m:rPr>
                  <w:rPr>
                    <w:rFonts w:ascii="Cambria Math" w:hAnsi="Cambria Math"/>
                  </w:rPr>
                  <m:t>4</m:t>
                </m:r>
              </m:den>
            </m:f>
            <m:rad>
              <m:radPr>
                <m:degHide m:val="1"/>
                <m:ctrlPr>
                  <w:rPr>
                    <w:rFonts w:ascii="Cambria Math" w:hAnsi="Cambria Math"/>
                  </w:rPr>
                </m:ctrlPr>
              </m:radPr>
              <m:deg/>
              <m:e>
                <m:r>
                  <w:rPr>
                    <w:rFonts w:ascii="Cambria Math" w:hAnsi="Cambria Math"/>
                  </w:rPr>
                  <m:t>N</m:t>
                </m:r>
              </m:e>
            </m:ra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d>
      </m:oMath>
      <w:r>
        <w:t xml:space="preserve"> when </w:t>
      </w:r>
      <m:oMath>
        <m:r>
          <w:rPr>
            <w:rFonts w:ascii="Cambria Math" w:hAnsi="Cambria Math"/>
          </w:rPr>
          <m:t>N</m:t>
        </m:r>
      </m:oMath>
      <w:r>
        <w:t xml:space="preserve"> is large. (6) Measure the qubits. An eigenstate observed in the measurement is very likely to be the answer.</w:t>
      </w:r>
    </w:p>
    <w:p w14:paraId="17F8EA89" w14:textId="77777777" w:rsidR="00972747" w:rsidRDefault="00972747" w:rsidP="00EC3AAB">
      <w:pPr>
        <w:pStyle w:val="Paragraph"/>
      </w:pPr>
    </w:p>
    <w:p w14:paraId="12B1F634" w14:textId="7898397D" w:rsidR="00EC0B33" w:rsidRPr="00EC0B33" w:rsidRDefault="00EC0B33" w:rsidP="00EC0B33">
      <w:pPr>
        <w:pStyle w:val="Paragraph"/>
        <w:rPr>
          <w:i/>
          <w:iCs/>
        </w:rPr>
      </w:pPr>
      <w:r w:rsidRPr="00EC0B33">
        <w:rPr>
          <w:i/>
          <w:iCs/>
        </w:rPr>
        <w:t>Eigenmarking.</w:t>
      </w:r>
      <w:r>
        <w:rPr>
          <w:i/>
          <w:iCs/>
        </w:rPr>
        <w:t xml:space="preserve"> </w:t>
      </w:r>
      <w:r w:rsidRPr="00C62372">
        <w:t>Conventional Eigenmarking</w:t>
      </w:r>
      <w:r w:rsidR="00C62372">
        <w:t xml:space="preserve"> [3]</w:t>
      </w:r>
      <w:r w:rsidRPr="00C62372">
        <w:t xml:space="preserve"> (1) adds two additional qubits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oMath>
      <w:r w:rsidRPr="00C62372">
        <w:t xml:space="preserve"> each controls phase rotation on the ancillary </w:t>
      </w:r>
      <m:oMath>
        <m:r>
          <m:rPr>
            <m:sty m:val="p"/>
          </m:rPr>
          <w:rPr>
            <w:rFonts w:ascii="Cambria Math" w:hAnsi="Cambria Math"/>
          </w:rPr>
          <m:t>|y⟩</m:t>
        </m:r>
      </m:oMath>
      <w:r w:rsidRPr="00C62372">
        <w:t xml:space="preserve"> and (2) has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oMath>
      <w:r w:rsidRPr="00C62372">
        <w:t xml:space="preserve"> shift phase by only </w:t>
      </w:r>
      <m:oMath>
        <m:r>
          <m:rPr>
            <m:sty m:val="p"/>
          </m:rPr>
          <w:rPr>
            <w:rFonts w:ascii="Cambria Math" w:hAnsi="Cambria Math"/>
          </w:rPr>
          <m:t>π/2</m:t>
        </m:r>
      </m:oMath>
      <w:r w:rsidRPr="00C62372">
        <w:t xml:space="preserve"> (instead of full phase inversion, equivalent to </w:t>
      </w:r>
      <m:oMath>
        <m:r>
          <m:rPr>
            <m:sty m:val="p"/>
          </m:rPr>
          <w:rPr>
            <w:rFonts w:ascii="Cambria Math" w:hAnsi="Cambria Math"/>
          </w:rPr>
          <m:t>π</m:t>
        </m:r>
      </m:oMath>
      <w:r w:rsidRPr="00C62372">
        <w:t>), and (3) extends the inversion about the mean to average over all qubits (not just the input qubits). Table </w:t>
      </w:r>
      <w:hyperlink w:anchor="tab: conventional marking">
        <w:r w:rsidRPr="00C62372">
          <w:t>2</w:t>
        </w:r>
      </w:hyperlink>
      <w:r w:rsidRPr="00C62372">
        <w:t xml:space="preserve"> shows the algorithm.</w:t>
      </w:r>
    </w:p>
    <w:tbl>
      <w:tblPr>
        <w:tblW w:w="0" w:type="auto"/>
        <w:jc w:val="center"/>
        <w:tblBorders>
          <w:bottom w:val="single" w:sz="4" w:space="0" w:color="auto"/>
        </w:tblBorders>
        <w:tblLayout w:type="fixed"/>
        <w:tblLook w:val="0000" w:firstRow="0" w:lastRow="0" w:firstColumn="0" w:lastColumn="0" w:noHBand="0" w:noVBand="0"/>
      </w:tblPr>
      <w:tblGrid>
        <w:gridCol w:w="8370"/>
      </w:tblGrid>
      <w:tr w:rsidR="00C62372" w:rsidRPr="00075EA6" w14:paraId="6BFADF21" w14:textId="77777777" w:rsidTr="00C62372">
        <w:trPr>
          <w:cantSplit/>
          <w:trHeight w:val="783"/>
          <w:jc w:val="center"/>
        </w:trPr>
        <w:tc>
          <w:tcPr>
            <w:tcW w:w="8370" w:type="dxa"/>
            <w:tcBorders>
              <w:bottom w:val="nil"/>
            </w:tcBorders>
          </w:tcPr>
          <w:p w14:paraId="0B49DA63" w14:textId="7FA85F33" w:rsidR="00C62372" w:rsidRDefault="00C62372" w:rsidP="00C62372">
            <w:pPr>
              <w:pStyle w:val="TableCaption"/>
            </w:pPr>
            <w:bookmarkStart w:id="2" w:name="tab:_conventional_marking"/>
            <w:r w:rsidRPr="00075EA6">
              <w:rPr>
                <w:b/>
              </w:rPr>
              <w:lastRenderedPageBreak/>
              <w:t xml:space="preserve">TABLE </w:t>
            </w:r>
            <w:r>
              <w:rPr>
                <w:b/>
              </w:rPr>
              <w:t>2</w:t>
            </w:r>
            <w:r w:rsidRPr="00075EA6">
              <w:rPr>
                <w:b/>
              </w:rPr>
              <w:t xml:space="preserve">. </w:t>
            </w:r>
            <w:r>
              <w:t>Conventional marking.</w:t>
            </w:r>
          </w:p>
          <w:tbl>
            <w:tblPr>
              <w:tblStyle w:val="TableGrid"/>
              <w:tblW w:w="1628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44"/>
              <w:gridCol w:w="8144"/>
            </w:tblGrid>
            <w:tr w:rsidR="00C62372" w14:paraId="27D192FF" w14:textId="77777777" w:rsidTr="00C62372">
              <w:tc>
                <w:tcPr>
                  <w:tcW w:w="8144" w:type="dxa"/>
                </w:tcPr>
                <w:p w14:paraId="21D3E903" w14:textId="1DCABA1A" w:rsidR="00C62372" w:rsidRPr="00C62372" w:rsidRDefault="00C62372" w:rsidP="00972747">
                  <w:pPr>
                    <w:pStyle w:val="Paragraph"/>
                  </w:pPr>
                  <w:r w:rsidRPr="00C62372">
                    <w:t xml:space="preserve">(1) Have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e>
                    </m:d>
                    <m:d>
                      <m:dPr>
                        <m:begChr m:val="⟨"/>
                        <m:endChr m:val="|"/>
                        <m:ctrlPr>
                          <w:rPr>
                            <w:rFonts w:ascii="Cambria Math" w:hAnsi="Cambria Math"/>
                          </w:rPr>
                        </m:ctrlPr>
                      </m:dPr>
                      <m:e>
                        <m:sSup>
                          <m:sSupPr>
                            <m:ctrlPr>
                              <w:rPr>
                                <w:rFonts w:ascii="Cambria Math" w:hAnsi="Cambria Math"/>
                              </w:rPr>
                            </m:ctrlPr>
                          </m:sSupPr>
                          <m:e>
                            <m:r>
                              <m:rPr>
                                <m:sty m:val="b"/>
                              </m:rPr>
                              <w:rPr>
                                <w:rFonts w:ascii="Cambria Math" w:hAnsi="Cambria Math"/>
                              </w:rPr>
                              <m:t>x</m:t>
                            </m:r>
                          </m:e>
                          <m:sup>
                            <m:r>
                              <m:rPr>
                                <m:sty m:val="p"/>
                              </m:rPr>
                              <w:rPr>
                                <w:rFonts w:ascii="Cambria Math" w:hAnsi="Cambria Math"/>
                              </w:rPr>
                              <m:t>'</m:t>
                            </m:r>
                          </m:sup>
                        </m:sSup>
                      </m:e>
                    </m:d>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d>
                      <m:dPr>
                        <m:ctrlPr>
                          <w:rPr>
                            <w:rFonts w:ascii="Cambria Math" w:hAnsi="Cambria Math"/>
                          </w:rPr>
                        </m:ctrlPr>
                      </m:dPr>
                      <m:e>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r>
                      <m:rPr>
                        <m:sty m:val="p"/>
                      </m:rPr>
                      <w:rPr>
                        <w:rFonts w:ascii="Cambria Math" w:hAnsi="Cambria Math"/>
                      </w:rPr>
                      <m:t>+</m:t>
                    </m:r>
                    <m:nary>
                      <m:naryPr>
                        <m:chr m:val="∑"/>
                        <m:limLoc m:val="undOvr"/>
                        <m:supHide m:val="1"/>
                        <m:ctrlPr>
                          <w:rPr>
                            <w:rFonts w:ascii="Cambria Math" w:hAnsi="Cambria Math"/>
                          </w:rPr>
                        </m:ctrlPr>
                      </m:naryPr>
                      <m:sub>
                        <m:r>
                          <m:rPr>
                            <m:sty m:val="b"/>
                          </m:rPr>
                          <w:rPr>
                            <w:rFonts w:ascii="Cambria Math" w:hAnsi="Cambria Math"/>
                          </w:rPr>
                          <m:t>x</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X</m:t>
                            </m:r>
                          </m:e>
                        </m:acc>
                        <m:r>
                          <m:rPr>
                            <m:sty m:val="p"/>
                          </m:rPr>
                          <w:rPr>
                            <w:rFonts w:ascii="Cambria Math" w:hAnsi="Cambria Math"/>
                          </w:rPr>
                          <m:t xml:space="preserve"> </m:t>
                        </m:r>
                      </m:sub>
                      <m:sup/>
                      <m:e>
                        <m:r>
                          <m:rPr>
                            <m:sty m:val="p"/>
                          </m:rPr>
                          <w:rPr>
                            <w:rFonts w:ascii="Cambria Math" w:hAnsi="Cambria Math"/>
                          </w:rPr>
                          <m:t>|</m:t>
                        </m:r>
                        <m:r>
                          <m:rPr>
                            <m:sty m:val="b"/>
                          </m:rPr>
                          <w:rPr>
                            <w:rFonts w:ascii="Cambria Math" w:hAnsi="Cambria Math"/>
                          </w:rPr>
                          <m:t>x</m:t>
                        </m:r>
                        <m:r>
                          <m:rPr>
                            <m:sty m:val="p"/>
                          </m:rPr>
                          <w:rPr>
                            <w:rFonts w:ascii="Cambria Math" w:hAnsi="Cambria Math"/>
                          </w:rPr>
                          <m:t>⟩⟨</m:t>
                        </m:r>
                        <m:r>
                          <m:rPr>
                            <m:sty m:val="b"/>
                          </m:rPr>
                          <w:rPr>
                            <w:rFonts w:ascii="Cambria Math" w:hAnsi="Cambria Math"/>
                          </w:rPr>
                          <m:t>x</m:t>
                        </m:r>
                        <m:r>
                          <m:rPr>
                            <m:sty m:val="p"/>
                          </m:rPr>
                          <w:rPr>
                            <w:rFonts w:ascii="Cambria Math" w:hAnsi="Cambria Math"/>
                          </w:rPr>
                          <m:t>|⊗I</m:t>
                        </m:r>
                      </m:e>
                    </m:nary>
                  </m:oMath>
                  <w:r w:rsidRPr="00C62372">
                    <w:t>.</w:t>
                  </w:r>
                </w:p>
              </w:tc>
              <w:tc>
                <w:tcPr>
                  <w:tcW w:w="8144" w:type="dxa"/>
                </w:tcPr>
                <w:p w14:paraId="558343EC" w14:textId="38DA17E8" w:rsidR="00C62372" w:rsidRDefault="00C62372" w:rsidP="00C62372">
                  <w:pPr>
                    <w:pStyle w:val="TableCaption"/>
                  </w:pPr>
                </w:p>
              </w:tc>
            </w:tr>
            <w:tr w:rsidR="00C62372" w14:paraId="78876CD6" w14:textId="77777777" w:rsidTr="00C62372">
              <w:tc>
                <w:tcPr>
                  <w:tcW w:w="8144" w:type="dxa"/>
                </w:tcPr>
                <w:p w14:paraId="402D1AB9" w14:textId="1A0F6D5E" w:rsidR="00C62372" w:rsidRPr="00C62372" w:rsidRDefault="00C62372" w:rsidP="00972747">
                  <w:pPr>
                    <w:pStyle w:val="Paragraph"/>
                  </w:pPr>
                  <w:r w:rsidRPr="00C62372">
                    <w:t xml:space="preserve">(2) Prepare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0</m:t>
                        </m:r>
                      </m:sub>
                    </m:sSub>
                    <m:r>
                      <m:rPr>
                        <m:sty m:val="p"/>
                      </m:rPr>
                      <w:rPr>
                        <w:rFonts w:ascii="Cambria Math" w:hAnsi="Cambria Math"/>
                      </w:rPr>
                      <m:t>⟩=|</m:t>
                    </m:r>
                    <m:r>
                      <m:rPr>
                        <m:sty m:val="b"/>
                      </m:rPr>
                      <w:rPr>
                        <w:rFonts w:ascii="Cambria Math" w:hAnsi="Cambria Math"/>
                      </w:rPr>
                      <m:t>x</m:t>
                    </m:r>
                    <m:r>
                      <m:rPr>
                        <m:sty m:val="p"/>
                      </m:rPr>
                      <w:rPr>
                        <w:rFonts w:ascii="Cambria Math" w:hAnsi="Cambria Math"/>
                      </w:rPr>
                      <m:t>,y⟩=|</m:t>
                    </m:r>
                    <m:r>
                      <m:rPr>
                        <m:sty m:val="b"/>
                      </m:rPr>
                      <w:rPr>
                        <w:rFonts w:ascii="Cambria Math" w:hAnsi="Cambria Math"/>
                      </w:rPr>
                      <m:t>0</m:t>
                    </m:r>
                    <m:r>
                      <m:rPr>
                        <m:sty m:val="p"/>
                      </m:rPr>
                      <w:rPr>
                        <w:rFonts w:ascii="Cambria Math" w:hAnsi="Cambria Math"/>
                      </w:rPr>
                      <m:t>,0⟩</m:t>
                    </m:r>
                  </m:oMath>
                  <w:r w:rsidRPr="00C62372">
                    <w:t>.</w:t>
                  </w:r>
                </w:p>
              </w:tc>
              <w:tc>
                <w:tcPr>
                  <w:tcW w:w="8144" w:type="dxa"/>
                </w:tcPr>
                <w:p w14:paraId="2E010772" w14:textId="599EE7BD" w:rsidR="00C62372" w:rsidRDefault="00C62372" w:rsidP="00C62372">
                  <w:pPr>
                    <w:pStyle w:val="TableCaption"/>
                  </w:pPr>
                </w:p>
              </w:tc>
            </w:tr>
            <w:tr w:rsidR="00C62372" w14:paraId="5DB87C8E" w14:textId="77777777" w:rsidTr="00C62372">
              <w:tc>
                <w:tcPr>
                  <w:tcW w:w="8144" w:type="dxa"/>
                </w:tcPr>
                <w:p w14:paraId="11E949AD" w14:textId="54725939" w:rsidR="00C62372" w:rsidRPr="00C62372" w:rsidRDefault="00C62372" w:rsidP="00972747">
                  <w:pPr>
                    <w:pStyle w:val="Paragraph"/>
                  </w:pPr>
                  <w:r w:rsidRPr="00C62372">
                    <w:t xml:space="preserve">(3) Do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⊗(n+1)</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0</m:t>
                        </m:r>
                      </m:sub>
                    </m:sSub>
                    <m:r>
                      <m:rPr>
                        <m:sty m:val="p"/>
                      </m:rPr>
                      <w:rPr>
                        <w:rFonts w:ascii="Cambria Math" w:hAnsi="Cambria Math"/>
                      </w:rPr>
                      <m:t>⟩</m:t>
                    </m:r>
                  </m:oMath>
                  <w:r w:rsidRPr="00C62372">
                    <w:t>.</w:t>
                  </w:r>
                </w:p>
              </w:tc>
              <w:tc>
                <w:tcPr>
                  <w:tcW w:w="8144" w:type="dxa"/>
                </w:tcPr>
                <w:p w14:paraId="7E67586E" w14:textId="1D66F59D" w:rsidR="00C62372" w:rsidRDefault="00C62372" w:rsidP="00C62372">
                  <w:pPr>
                    <w:pStyle w:val="TableCaption"/>
                  </w:pPr>
                </w:p>
              </w:tc>
            </w:tr>
            <w:tr w:rsidR="00C62372" w14:paraId="5591F779" w14:textId="77777777" w:rsidTr="00C62372">
              <w:tc>
                <w:tcPr>
                  <w:tcW w:w="8144" w:type="dxa"/>
                </w:tcPr>
                <w:p w14:paraId="769D2B10" w14:textId="38F6AA54" w:rsidR="00C62372" w:rsidRPr="00C62372" w:rsidRDefault="00C62372" w:rsidP="00972747">
                  <w:pPr>
                    <w:pStyle w:val="Paragraph"/>
                  </w:pPr>
                  <w:r w:rsidRPr="00C62372">
                    <w:t xml:space="preserve">(4) Apply Grover selection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m:t>
                    </m:r>
                  </m:oMath>
                  <w:r w:rsidRPr="00C62372">
                    <w:t>.</w:t>
                  </w:r>
                </w:p>
              </w:tc>
              <w:tc>
                <w:tcPr>
                  <w:tcW w:w="8144" w:type="dxa"/>
                </w:tcPr>
                <w:p w14:paraId="098F3286" w14:textId="3DBC29D2" w:rsidR="00C62372" w:rsidRDefault="00C62372" w:rsidP="00C62372">
                  <w:pPr>
                    <w:pStyle w:val="TableCaption"/>
                  </w:pPr>
                </w:p>
              </w:tc>
            </w:tr>
            <w:tr w:rsidR="00C62372" w14:paraId="4E929484" w14:textId="77777777" w:rsidTr="00C62372">
              <w:tc>
                <w:tcPr>
                  <w:tcW w:w="8144" w:type="dxa"/>
                </w:tcPr>
                <w:p w14:paraId="754E9A76" w14:textId="5A19F97F" w:rsidR="00C62372" w:rsidRPr="00C62372" w:rsidRDefault="00C62372" w:rsidP="00972747">
                  <w:pPr>
                    <w:pStyle w:val="Paragraph"/>
                  </w:pPr>
                  <w:r w:rsidRPr="00C62372">
                    <w:t xml:space="preserve">(5) Apply marking: let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r>
                      <m:rPr>
                        <m:sty m:val="p"/>
                      </m:rPr>
                      <w:rPr>
                        <w:rFonts w:ascii="Cambria Math" w:hAnsi="Cambria Math"/>
                      </w:rPr>
                      <m:t>|0,0⟩</m:t>
                    </m:r>
                  </m:oMath>
                  <w:r w:rsidRPr="00C62372">
                    <w:t xml:space="preserve"> and segment </w:t>
                  </w:r>
                  <m:oMath>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2</m:t>
                        </m:r>
                      </m:sub>
                    </m:sSub>
                    <m:r>
                      <m:rPr>
                        <m:sty m:val="p"/>
                      </m:rPr>
                      <w:rPr>
                        <w:rFonts w:ascii="Cambria Math" w:hAnsi="Cambria Math"/>
                      </w:rPr>
                      <m:t>⟩</m:t>
                    </m:r>
                  </m:oMath>
                  <w:r w:rsidRPr="00C62372">
                    <w:t xml:space="preserve">, </w:t>
                  </w:r>
                </w:p>
              </w:tc>
              <w:tc>
                <w:tcPr>
                  <w:tcW w:w="8144" w:type="dxa"/>
                </w:tcPr>
                <w:p w14:paraId="5BCFD105" w14:textId="0689F37C" w:rsidR="00C62372" w:rsidRDefault="00C62372" w:rsidP="00C62372">
                  <w:pPr>
                    <w:pStyle w:val="TableCaption"/>
                  </w:pPr>
                </w:p>
              </w:tc>
            </w:tr>
            <w:tr w:rsidR="00C62372" w14:paraId="2484D48E" w14:textId="77777777" w:rsidTr="00C62372">
              <w:tc>
                <w:tcPr>
                  <w:tcW w:w="8144" w:type="dxa"/>
                </w:tcPr>
                <w:p w14:paraId="079B8F20" w14:textId="407A4327" w:rsidR="00C62372" w:rsidRPr="00C62372" w:rsidRDefault="00972747" w:rsidP="00972747">
                  <w:pPr>
                    <w:pStyle w:val="Paragraph"/>
                  </w:pPr>
                  <w:r w:rsidRPr="00C62372">
                    <w:t xml:space="preserve">then </w:t>
                  </w:r>
                  <m:oMath>
                    <m:r>
                      <m:rPr>
                        <m:sty m:val="p"/>
                      </m:rPr>
                      <w:rPr>
                        <w:rFonts w:ascii="Cambria Math" w:hAnsi="Cambria Math"/>
                      </w:rPr>
                      <m: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0</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3</m:t>
                        </m:r>
                      </m:sub>
                    </m:sSub>
                    <m:r>
                      <m:rPr>
                        <m:sty m:val="p"/>
                      </m:rPr>
                      <w:rPr>
                        <w:rFonts w:ascii="Cambria Math" w:hAnsi="Cambria Math"/>
                      </w:rPr>
                      <m:t>⟩=</m:t>
                    </m:r>
                    <m:r>
                      <m:rPr>
                        <m:sty m:val="b"/>
                      </m:rPr>
                      <w:rPr>
                        <w:rFonts w:ascii="Cambria Math" w:hAnsi="Cambria Math"/>
                      </w:rPr>
                      <m:t>CR</m:t>
                    </m:r>
                    <m:r>
                      <m:rPr>
                        <m:sty m:val="p"/>
                      </m:rPr>
                      <w:rPr>
                        <w:rFonts w:ascii="Cambria Math" w:hAnsi="Cambria Math"/>
                      </w:rPr>
                      <m:t>(π/2)|</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2</m:t>
                        </m:r>
                      </m:sub>
                    </m:sSub>
                    <m:r>
                      <m:rPr>
                        <m:sty m:val="p"/>
                      </m:rPr>
                      <w:rPr>
                        <w:rFonts w:ascii="Cambria Math" w:hAnsi="Cambria Math"/>
                      </w:rPr>
                      <m:t>⟩</m:t>
                    </m:r>
                  </m:oMath>
                  <w:r>
                    <w:t xml:space="preserve"> </w:t>
                  </w:r>
                  <w:r w:rsidR="00C62372" w:rsidRPr="00C62372">
                    <w:t xml:space="preserve">and </w:t>
                  </w:r>
                  <m:oMath>
                    <m:r>
                      <m:rPr>
                        <m:sty m:val="p"/>
                      </m:rPr>
                      <w:rPr>
                        <w:rFonts w:ascii="Cambria Math" w:hAnsi="Cambria Math"/>
                      </w:rPr>
                      <m: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1</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4</m:t>
                        </m:r>
                      </m:sub>
                    </m:sSub>
                    <m:r>
                      <m:rPr>
                        <m:sty m:val="p"/>
                      </m:rPr>
                      <w:rPr>
                        <w:rFonts w:ascii="Cambria Math" w:hAnsi="Cambria Math"/>
                      </w:rPr>
                      <m:t>⟩=</m:t>
                    </m:r>
                    <m:r>
                      <m:rPr>
                        <m:sty m:val="b"/>
                      </m:rPr>
                      <w:rPr>
                        <w:rFonts w:ascii="Cambria Math" w:hAnsi="Cambria Math"/>
                      </w:rPr>
                      <m:t>CR</m:t>
                    </m:r>
                    <m:r>
                      <m:rPr>
                        <m:sty m:val="p"/>
                      </m:rPr>
                      <w:rPr>
                        <w:rFonts w:ascii="Cambria Math" w:hAnsi="Cambria Math"/>
                      </w:rPr>
                      <m:t>(-π/2)|</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3</m:t>
                        </m:r>
                      </m:sub>
                    </m:sSub>
                    <m:r>
                      <m:rPr>
                        <m:sty m:val="p"/>
                      </m:rPr>
                      <w:rPr>
                        <w:rFonts w:ascii="Cambria Math" w:hAnsi="Cambria Math"/>
                      </w:rPr>
                      <m:t>⟩</m:t>
                    </m:r>
                  </m:oMath>
                  <w:r w:rsidR="00C62372" w:rsidRPr="00C62372">
                    <w:t xml:space="preserve"> </w:t>
                  </w:r>
                </w:p>
              </w:tc>
              <w:tc>
                <w:tcPr>
                  <w:tcW w:w="8144" w:type="dxa"/>
                </w:tcPr>
                <w:p w14:paraId="685874C7" w14:textId="63888678" w:rsidR="00C62372" w:rsidRDefault="00C62372" w:rsidP="00C62372">
                  <w:pPr>
                    <w:pStyle w:val="TableCaption"/>
                  </w:pPr>
                </w:p>
              </w:tc>
            </w:tr>
            <w:tr w:rsidR="00972747" w14:paraId="6421A88E" w14:textId="77777777" w:rsidTr="00C62372">
              <w:tc>
                <w:tcPr>
                  <w:tcW w:w="8144" w:type="dxa"/>
                </w:tcPr>
                <w:p w14:paraId="0584BB63" w14:textId="2D6EFCCC" w:rsidR="00972747" w:rsidRPr="00C62372" w:rsidRDefault="00972747" w:rsidP="00972747">
                  <w:pPr>
                    <w:pStyle w:val="Paragraph"/>
                  </w:pPr>
                  <w:r w:rsidRPr="00C62372">
                    <w:t xml:space="preserve">where </w:t>
                  </w:r>
                  <m:oMath>
                    <m:r>
                      <m:rPr>
                        <m:sty m:val="b"/>
                      </m:rPr>
                      <w:rPr>
                        <w:rFonts w:ascii="Cambria Math" w:hAnsi="Cambria Math"/>
                      </w:rPr>
                      <m:t>CR</m:t>
                    </m:r>
                    <m:r>
                      <m:rPr>
                        <m:sty m:val="p"/>
                      </m:rPr>
                      <w:rPr>
                        <w:rFonts w:ascii="Cambria Math" w:hAnsi="Cambria Math"/>
                      </w:rPr>
                      <m:t>(θ)=I⊗|0⟩⟨0|+</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r>
                      <m:rPr>
                        <m:sty m:val="p"/>
                      </m:rPr>
                      <w:rPr>
                        <w:rFonts w:ascii="Cambria Math" w:hAnsi="Cambria Math"/>
                      </w:rPr>
                      <m:t>(θ)⊗|1⟩⟨1|</m:t>
                    </m:r>
                  </m:oMath>
                  <w:r w:rsidRPr="00C62372">
                    <w:t>.</w:t>
                  </w:r>
                </w:p>
              </w:tc>
              <w:tc>
                <w:tcPr>
                  <w:tcW w:w="8144" w:type="dxa"/>
                </w:tcPr>
                <w:p w14:paraId="501581CE" w14:textId="77777777" w:rsidR="00972747" w:rsidRDefault="00972747" w:rsidP="00C62372">
                  <w:pPr>
                    <w:pStyle w:val="TableCaption"/>
                  </w:pPr>
                </w:p>
              </w:tc>
            </w:tr>
            <w:tr w:rsidR="00C62372" w14:paraId="6D5D791E" w14:textId="77777777" w:rsidTr="00C62372">
              <w:tc>
                <w:tcPr>
                  <w:tcW w:w="8144" w:type="dxa"/>
                </w:tcPr>
                <w:p w14:paraId="0CB138F9" w14:textId="75812A71" w:rsidR="00C62372" w:rsidRPr="00C62372" w:rsidRDefault="00C62372" w:rsidP="00972747">
                  <w:pPr>
                    <w:pStyle w:val="Paragraph"/>
                  </w:pPr>
                  <w:r w:rsidRPr="00C62372">
                    <w:t xml:space="preserve">(6) Apply inversion about the mean to all qubits: aggregate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4</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1</m:t>
                        </m:r>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0</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x</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4</m:t>
                        </m:r>
                      </m:sub>
                    </m:sSub>
                    <m:r>
                      <m:rPr>
                        <m:sty m:val="p"/>
                      </m:rPr>
                      <w:rPr>
                        <w:rFonts w:ascii="Cambria Math" w:hAnsi="Cambria Math"/>
                      </w:rPr>
                      <m:t>⟩</m:t>
                    </m:r>
                  </m:oMath>
                  <w:r w:rsidRPr="00C62372">
                    <w:t xml:space="preserve"> </w:t>
                  </w:r>
                </w:p>
              </w:tc>
              <w:tc>
                <w:tcPr>
                  <w:tcW w:w="8144" w:type="dxa"/>
                </w:tcPr>
                <w:p w14:paraId="16DB1265" w14:textId="75CE76D1" w:rsidR="00C62372" w:rsidRDefault="00C62372" w:rsidP="00C62372">
                  <w:pPr>
                    <w:pStyle w:val="TableCaption"/>
                  </w:pPr>
                </w:p>
              </w:tc>
            </w:tr>
            <w:tr w:rsidR="00707D70" w14:paraId="41C38645" w14:textId="77777777" w:rsidTr="00C62372">
              <w:tc>
                <w:tcPr>
                  <w:tcW w:w="8144" w:type="dxa"/>
                </w:tcPr>
                <w:p w14:paraId="1F8193D8" w14:textId="77461899" w:rsidR="00707D70" w:rsidRPr="00C62372" w:rsidRDefault="00707D70" w:rsidP="00972747">
                  <w:pPr>
                    <w:pStyle w:val="Paragraph"/>
                  </w:pPr>
                  <w:r w:rsidRPr="00C62372">
                    <w:t xml:space="preserve">and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5</m:t>
                        </m:r>
                      </m:sub>
                    </m:sSub>
                    <m:r>
                      <m:rPr>
                        <m:sty m:val="p"/>
                      </m:rPr>
                      <w:rPr>
                        <w:rFonts w:ascii="Cambria Math" w:hAnsi="Cambria Math"/>
                      </w:rPr>
                      <m:t>⟩=(2A-I)|</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4</m:t>
                        </m:r>
                      </m:sub>
                    </m:sSub>
                    <m:r>
                      <m:rPr>
                        <m:sty m:val="p"/>
                      </m:rPr>
                      <w:rPr>
                        <w:rFonts w:ascii="Cambria Math" w:hAnsi="Cambria Math"/>
                      </w:rPr>
                      <m:t>⟩</m:t>
                    </m:r>
                  </m:oMath>
                  <w:r w:rsidRPr="00C62372">
                    <w:t>.</w:t>
                  </w:r>
                </w:p>
              </w:tc>
              <w:tc>
                <w:tcPr>
                  <w:tcW w:w="8144" w:type="dxa"/>
                </w:tcPr>
                <w:p w14:paraId="49118FB9" w14:textId="77777777" w:rsidR="00707D70" w:rsidRDefault="00707D70" w:rsidP="00C62372">
                  <w:pPr>
                    <w:pStyle w:val="TableCaption"/>
                  </w:pPr>
                </w:p>
              </w:tc>
            </w:tr>
            <w:tr w:rsidR="00C62372" w14:paraId="2D730F1B" w14:textId="77777777" w:rsidTr="00C62372">
              <w:tc>
                <w:tcPr>
                  <w:tcW w:w="8144" w:type="dxa"/>
                </w:tcPr>
                <w:p w14:paraId="1F4DE6E6" w14:textId="32173D4D" w:rsidR="00C62372" w:rsidRPr="00C62372" w:rsidRDefault="00C62372" w:rsidP="00972747">
                  <w:pPr>
                    <w:pStyle w:val="Paragraph"/>
                  </w:pPr>
                  <w:r w:rsidRPr="00C62372">
                    <w:t>(7) Measure the qubits.</w:t>
                  </w:r>
                </w:p>
              </w:tc>
              <w:tc>
                <w:tcPr>
                  <w:tcW w:w="8144" w:type="dxa"/>
                </w:tcPr>
                <w:p w14:paraId="0A9FBF1A" w14:textId="77777777" w:rsidR="00C62372" w:rsidRDefault="00C62372" w:rsidP="00C62372">
                  <w:pPr>
                    <w:pStyle w:val="TableCaption"/>
                  </w:pPr>
                </w:p>
              </w:tc>
            </w:tr>
          </w:tbl>
          <w:p w14:paraId="56BB56B9" w14:textId="77777777" w:rsidR="00C62372" w:rsidRPr="00075EA6" w:rsidRDefault="00C62372" w:rsidP="00F83128">
            <w:pPr>
              <w:pStyle w:val="TableCaption"/>
              <w:jc w:val="left"/>
            </w:pPr>
          </w:p>
        </w:tc>
      </w:tr>
    </w:tbl>
    <w:p w14:paraId="124EF2B9" w14:textId="77777777" w:rsidR="00C62372" w:rsidRDefault="00C62372" w:rsidP="00C62372">
      <w:pPr>
        <w:pStyle w:val="Paragraph"/>
      </w:pPr>
    </w:p>
    <w:bookmarkEnd w:id="2"/>
    <w:p w14:paraId="2B3D6D18" w14:textId="617A06B0" w:rsidR="00F83128" w:rsidRDefault="00EC0B33" w:rsidP="00990136">
      <w:pPr>
        <w:pStyle w:val="Paragraph"/>
      </w:pPr>
      <w:r w:rsidRPr="00F83128">
        <w:t>Subtle marking</w:t>
      </w:r>
      <w:r w:rsidR="00F83128">
        <w:t xml:space="preserve"> [3]</w:t>
      </w:r>
      <w:r w:rsidRPr="00F83128">
        <w:t xml:space="preserve"> employs only one extra qubit, but resorts to multiple-qubit-controlled phase rotation. Table </w:t>
      </w:r>
      <w:hyperlink w:anchor="tab: subtle mark">
        <w:r w:rsidRPr="00F83128">
          <w:t>3</w:t>
        </w:r>
      </w:hyperlink>
      <w:r w:rsidRPr="00F83128">
        <w:t xml:space="preserve"> shows subtle marking algorithm.</w:t>
      </w:r>
      <w:r w:rsidR="00A44C75">
        <w:t xml:space="preserve"> </w:t>
      </w:r>
      <w:r w:rsidR="00A44C75" w:rsidRPr="00A44C75">
        <w:t xml:space="preserve">It is worth noting that an alternative to </w:t>
      </w:r>
      <w:r w:rsidR="007435E5">
        <w:t>E</w:t>
      </w:r>
      <w:r w:rsidR="00A44C75" w:rsidRPr="00A44C75">
        <w:t>igenmarking for addressing entailment model checking could be an application of quantum counting</w:t>
      </w:r>
      <w:r w:rsidR="00A44C75">
        <w:t xml:space="preserve"> [8]</w:t>
      </w:r>
      <w:r w:rsidR="00A44C75" w:rsidRPr="00A44C75">
        <w:t>. Quantum counting usually employs quantum phase estimation</w:t>
      </w:r>
      <w:r w:rsidR="00A44C75">
        <w:t xml:space="preserve"> [5]</w:t>
      </w:r>
      <w:r w:rsidR="00A44C75" w:rsidRPr="00A44C75">
        <w:t>. However, quantum phase estimation requires a large number of coherent qubits as well as deep circuits.</w:t>
      </w:r>
      <w:r w:rsidR="00A44C75">
        <w:t xml:space="preserve"> [9]</w:t>
      </w:r>
      <w:r w:rsidR="00A44C75" w:rsidRPr="00A44C75">
        <w:t xml:space="preserve"> Such requirement poses critical difficulties for the current technology — Noisy Intermediate Scale Quantum (NISQ</w:t>
      </w:r>
      <w:r w:rsidR="00A44C75">
        <w:t xml:space="preserve"> [10]</w:t>
      </w:r>
      <w:r w:rsidR="00A44C75" w:rsidRPr="00A44C75">
        <w:t>) computers. Quantum phase estimation is also actively investigated</w:t>
      </w:r>
      <w:r w:rsidR="00A44C75">
        <w:t xml:space="preserve"> [9, 11]</w:t>
      </w:r>
      <w:r w:rsidR="00A44C75" w:rsidRPr="00A44C75">
        <w:t>. Therefore, it is too soon to reach consensus on these alternatives.</w:t>
      </w:r>
    </w:p>
    <w:tbl>
      <w:tblPr>
        <w:tblW w:w="0" w:type="auto"/>
        <w:jc w:val="center"/>
        <w:tblBorders>
          <w:bottom w:val="single" w:sz="4" w:space="0" w:color="auto"/>
        </w:tblBorders>
        <w:tblLayout w:type="fixed"/>
        <w:tblLook w:val="0000" w:firstRow="0" w:lastRow="0" w:firstColumn="0" w:lastColumn="0" w:noHBand="0" w:noVBand="0"/>
      </w:tblPr>
      <w:tblGrid>
        <w:gridCol w:w="8370"/>
      </w:tblGrid>
      <w:tr w:rsidR="00A44C75" w:rsidRPr="00075EA6" w14:paraId="21612A70" w14:textId="77777777" w:rsidTr="00F657D5">
        <w:trPr>
          <w:cantSplit/>
          <w:trHeight w:val="783"/>
          <w:jc w:val="center"/>
        </w:trPr>
        <w:tc>
          <w:tcPr>
            <w:tcW w:w="8370" w:type="dxa"/>
            <w:tcBorders>
              <w:bottom w:val="nil"/>
            </w:tcBorders>
          </w:tcPr>
          <w:p w14:paraId="73FD8E75" w14:textId="7484BEE3" w:rsidR="00A44C75" w:rsidRDefault="00A44C75" w:rsidP="00F657D5">
            <w:pPr>
              <w:pStyle w:val="TableCaption"/>
            </w:pPr>
            <w:r w:rsidRPr="00075EA6">
              <w:rPr>
                <w:b/>
              </w:rPr>
              <w:t xml:space="preserve">TABLE </w:t>
            </w:r>
            <w:r>
              <w:rPr>
                <w:b/>
              </w:rPr>
              <w:t>3</w:t>
            </w:r>
            <w:r w:rsidRPr="00075EA6">
              <w:rPr>
                <w:b/>
              </w:rPr>
              <w:t xml:space="preserve">. </w:t>
            </w:r>
            <w:r>
              <w:t>Subtle marking.</w:t>
            </w:r>
          </w:p>
          <w:tbl>
            <w:tblPr>
              <w:tblStyle w:val="TableGrid"/>
              <w:tblW w:w="1628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44"/>
              <w:gridCol w:w="8144"/>
            </w:tblGrid>
            <w:tr w:rsidR="00A44C75" w14:paraId="22EA4CD2" w14:textId="77777777" w:rsidTr="00F657D5">
              <w:tc>
                <w:tcPr>
                  <w:tcW w:w="8144" w:type="dxa"/>
                </w:tcPr>
                <w:p w14:paraId="614F0EF8" w14:textId="1032892F" w:rsidR="00A44C75" w:rsidRPr="00C62372" w:rsidRDefault="00A44C75" w:rsidP="00160F3D">
                  <w:pPr>
                    <w:pStyle w:val="Paragraph"/>
                  </w:pPr>
                  <w:r w:rsidRPr="00A44C75">
                    <w:t xml:space="preserve">(1) Prepare system in the ground state: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0</m:t>
                        </m:r>
                      </m:sub>
                    </m:sSub>
                    <m:r>
                      <m:rPr>
                        <m:sty m:val="p"/>
                      </m:rPr>
                      <w:rPr>
                        <w:rFonts w:ascii="Cambria Math" w:hAnsi="Cambria Math"/>
                      </w:rPr>
                      <m:t>⟩=|</m:t>
                    </m:r>
                    <m:r>
                      <m:rPr>
                        <m:sty m:val="b"/>
                      </m:rPr>
                      <w:rPr>
                        <w:rFonts w:ascii="Cambria Math" w:hAnsi="Cambria Math"/>
                      </w:rPr>
                      <m:t>0</m:t>
                    </m:r>
                    <m:r>
                      <m:rPr>
                        <m:sty m:val="p"/>
                      </m:rPr>
                      <w:rPr>
                        <w:rFonts w:ascii="Cambria Math" w:hAnsi="Cambria Math"/>
                      </w:rPr>
                      <m:t>⟩</m:t>
                    </m:r>
                  </m:oMath>
                  <w:r w:rsidRPr="00A44C75">
                    <w:t xml:space="preserve">, where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r>
                      <m:rPr>
                        <m:sty m:val="b"/>
                      </m:rPr>
                      <w:rPr>
                        <w:rFonts w:ascii="Cambria Math" w:hAnsi="Cambria Math"/>
                      </w:rPr>
                      <m:t>x</m:t>
                    </m:r>
                    <m:r>
                      <m:rPr>
                        <m:sty m:val="p"/>
                      </m:rPr>
                      <w:rPr>
                        <w:rFonts w:ascii="Cambria Math" w:hAnsi="Cambria Math"/>
                      </w:rPr>
                      <m:t>,y⟩</m:t>
                    </m:r>
                  </m:oMath>
                  <w:r w:rsidRPr="00A44C75">
                    <w:t>.</w:t>
                  </w:r>
                </w:p>
              </w:tc>
              <w:tc>
                <w:tcPr>
                  <w:tcW w:w="8144" w:type="dxa"/>
                </w:tcPr>
                <w:p w14:paraId="30FE32A9" w14:textId="77777777" w:rsidR="00A44C75" w:rsidRDefault="00A44C75" w:rsidP="00A44C75">
                  <w:pPr>
                    <w:pStyle w:val="TableCaption"/>
                  </w:pPr>
                </w:p>
              </w:tc>
            </w:tr>
            <w:tr w:rsidR="00A44C75" w14:paraId="04EC4397" w14:textId="77777777" w:rsidTr="00F657D5">
              <w:tc>
                <w:tcPr>
                  <w:tcW w:w="8144" w:type="dxa"/>
                </w:tcPr>
                <w:p w14:paraId="1191DC73" w14:textId="7DC57742" w:rsidR="00A44C75" w:rsidRPr="00C62372" w:rsidRDefault="00A44C75" w:rsidP="00160F3D">
                  <w:pPr>
                    <w:pStyle w:val="Paragraph"/>
                  </w:pPr>
                  <w:r w:rsidRPr="00A44C75">
                    <w:t xml:space="preserve">(2) Apply Hadamard: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⊗n+2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0</m:t>
                        </m:r>
                      </m:sub>
                    </m:sSub>
                    <m:r>
                      <m:rPr>
                        <m:sty m:val="p"/>
                      </m:rPr>
                      <w:rPr>
                        <w:rFonts w:ascii="Cambria Math" w:hAnsi="Cambria Math"/>
                      </w:rPr>
                      <m:t>⟩</m:t>
                    </m:r>
                  </m:oMath>
                  <w:r w:rsidRPr="00A44C75">
                    <w:t>.</w:t>
                  </w:r>
                </w:p>
              </w:tc>
              <w:tc>
                <w:tcPr>
                  <w:tcW w:w="8144" w:type="dxa"/>
                </w:tcPr>
                <w:p w14:paraId="23C2D82F" w14:textId="77777777" w:rsidR="00A44C75" w:rsidRDefault="00A44C75" w:rsidP="00A44C75">
                  <w:pPr>
                    <w:pStyle w:val="TableCaption"/>
                  </w:pPr>
                </w:p>
              </w:tc>
            </w:tr>
            <w:tr w:rsidR="00A44C75" w14:paraId="497DF7B6" w14:textId="77777777" w:rsidTr="00F657D5">
              <w:tc>
                <w:tcPr>
                  <w:tcW w:w="8144" w:type="dxa"/>
                </w:tcPr>
                <w:p w14:paraId="76E9BA64" w14:textId="1B7D1F1B" w:rsidR="00A44C75" w:rsidRPr="00C62372" w:rsidRDefault="00A44C75" w:rsidP="00160F3D">
                  <w:pPr>
                    <w:pStyle w:val="Paragraph"/>
                  </w:pPr>
                  <w:r w:rsidRPr="00A44C75">
                    <w:t xml:space="preserve">(3) Apply Grover selection: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2</m:t>
                        </m:r>
                      </m:sub>
                    </m:sSub>
                    <m:r>
                      <m:rPr>
                        <m:sty m:val="p"/>
                      </m:rPr>
                      <w:rPr>
                        <w:rFonts w:ascii="Cambria Math" w:hAnsi="Cambria Math"/>
                      </w:rPr>
                      <m:t>⟩=(I⊗</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1</m:t>
                        </m:r>
                      </m:sub>
                    </m:sSub>
                    <m:r>
                      <m:rPr>
                        <m:sty m:val="p"/>
                      </m:rPr>
                      <w:rPr>
                        <w:rFonts w:ascii="Cambria Math" w:hAnsi="Cambria Math"/>
                      </w:rPr>
                      <m:t>⟩</m:t>
                    </m:r>
                  </m:oMath>
                  <w:r w:rsidRPr="00A44C75">
                    <w:t>.</w:t>
                  </w:r>
                </w:p>
              </w:tc>
              <w:tc>
                <w:tcPr>
                  <w:tcW w:w="8144" w:type="dxa"/>
                </w:tcPr>
                <w:p w14:paraId="7FA0738D" w14:textId="77777777" w:rsidR="00A44C75" w:rsidRDefault="00A44C75" w:rsidP="00A44C75">
                  <w:pPr>
                    <w:pStyle w:val="TableCaption"/>
                  </w:pPr>
                </w:p>
              </w:tc>
            </w:tr>
            <w:tr w:rsidR="00A44C75" w14:paraId="602540FC" w14:textId="77777777" w:rsidTr="00F657D5">
              <w:tc>
                <w:tcPr>
                  <w:tcW w:w="8144" w:type="dxa"/>
                </w:tcPr>
                <w:p w14:paraId="0094D4F7" w14:textId="6964927B" w:rsidR="00A44C75" w:rsidRPr="00C62372" w:rsidRDefault="00A44C75" w:rsidP="00160F3D">
                  <w:pPr>
                    <w:pStyle w:val="Paragraph"/>
                  </w:pPr>
                  <w:r w:rsidRPr="00A44C75">
                    <w:t xml:space="preserve">(4) Apply marking: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3</m:t>
                        </m:r>
                      </m:sub>
                    </m:sSub>
                    <m:r>
                      <m:rPr>
                        <m:sty m:val="p"/>
                      </m:rPr>
                      <w:rPr>
                        <w:rFonts w:ascii="Cambria Math" w:hAnsi="Cambria Math"/>
                      </w:rPr>
                      <m:t>⟩=MCR(π)|</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2</m:t>
                        </m:r>
                      </m:sub>
                    </m:sSub>
                    <m:r>
                      <m:rPr>
                        <m:sty m:val="p"/>
                      </m:rPr>
                      <w:rPr>
                        <w:rFonts w:ascii="Cambria Math" w:hAnsi="Cambria Math"/>
                      </w:rPr>
                      <m:t>⟩</m:t>
                    </m:r>
                  </m:oMath>
                  <w:r w:rsidRPr="00A44C75">
                    <w:t xml:space="preserve">, </w:t>
                  </w:r>
                </w:p>
              </w:tc>
              <w:tc>
                <w:tcPr>
                  <w:tcW w:w="8144" w:type="dxa"/>
                </w:tcPr>
                <w:p w14:paraId="68BAC505" w14:textId="77777777" w:rsidR="00A44C75" w:rsidRDefault="00A44C75" w:rsidP="00A44C75">
                  <w:pPr>
                    <w:pStyle w:val="TableCaption"/>
                  </w:pPr>
                </w:p>
              </w:tc>
            </w:tr>
            <w:tr w:rsidR="00160F3D" w14:paraId="067DA987" w14:textId="77777777" w:rsidTr="00F657D5">
              <w:tc>
                <w:tcPr>
                  <w:tcW w:w="8144" w:type="dxa"/>
                </w:tcPr>
                <w:p w14:paraId="1CCFCE41" w14:textId="5254742A" w:rsidR="00160F3D" w:rsidRPr="00A44C75" w:rsidRDefault="00160F3D" w:rsidP="00160F3D">
                  <w:pPr>
                    <w:pStyle w:val="Paragraph"/>
                  </w:pPr>
                  <w:r w:rsidRPr="00A44C75">
                    <w:t xml:space="preserve">where </w:t>
                  </w:r>
                  <m:oMath>
                    <m:r>
                      <m:rPr>
                        <m:sty m:val="p"/>
                      </m:rPr>
                      <w:rPr>
                        <w:rFonts w:ascii="Cambria Math" w:hAnsi="Cambria Math"/>
                      </w:rPr>
                      <m:t>MCR(θ)=|1,</m:t>
                    </m:r>
                    <m:r>
                      <m:rPr>
                        <m:sty m:val="b"/>
                      </m:rPr>
                      <w:rPr>
                        <w:rFonts w:ascii="Cambria Math" w:hAnsi="Cambria Math"/>
                      </w:rPr>
                      <m:t>1</m:t>
                    </m:r>
                    <m:r>
                      <m:rPr>
                        <m:sty m:val="p"/>
                      </m:rPr>
                      <w:rPr>
                        <w:rFonts w:ascii="Cambria Math" w:hAnsi="Cambria Math"/>
                      </w:rPr>
                      <m:t>⟩⟨1,</m:t>
                    </m:r>
                    <m:r>
                      <m:rPr>
                        <m:sty m:val="b"/>
                      </m:rPr>
                      <w:rPr>
                        <w:rFonts w:ascii="Cambria Math" w:hAnsi="Cambria Math"/>
                      </w:rPr>
                      <m:t>1</m:t>
                    </m:r>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r>
                      <m:rPr>
                        <m:sty m:val="p"/>
                      </m:rPr>
                      <w:rPr>
                        <w:rFonts w:ascii="Cambria Math" w:hAnsi="Cambria Math"/>
                      </w:rPr>
                      <m:t>(θ)+</m:t>
                    </m:r>
                    <m:nary>
                      <m:naryPr>
                        <m:chr m:val="∑"/>
                        <m:limLoc m:val="undOvr"/>
                        <m:supHide m:val="1"/>
                        <m:ctrlPr>
                          <w:rPr>
                            <w:rFonts w:ascii="Cambria Math" w:hAnsi="Cambria Math"/>
                          </w:rPr>
                        </m:ctrlPr>
                      </m:naryPr>
                      <m:sub>
                        <m:r>
                          <m:rPr>
                            <m:sty m:val="b"/>
                          </m:rPr>
                          <w:rPr>
                            <w:rFonts w:ascii="Cambria Math" w:hAnsi="Cambria Math"/>
                          </w:rPr>
                          <m:t>x</m:t>
                        </m:r>
                        <m:r>
                          <m:rPr>
                            <m:sty m:val="p"/>
                          </m:rPr>
                          <w:rPr>
                            <w:rFonts w:ascii="Cambria Math" w:hAnsi="Cambria Math"/>
                          </w:rPr>
                          <m:t>≠|1,</m:t>
                        </m:r>
                        <m:r>
                          <m:rPr>
                            <m:sty m:val="b"/>
                          </m:rPr>
                          <w:rPr>
                            <w:rFonts w:ascii="Cambria Math" w:hAnsi="Cambria Math"/>
                          </w:rPr>
                          <m:t>1</m:t>
                        </m:r>
                        <m:r>
                          <m:rPr>
                            <m:sty m:val="p"/>
                          </m:rPr>
                          <w:rPr>
                            <w:rFonts w:ascii="Cambria Math" w:hAnsi="Cambria Math"/>
                          </w:rPr>
                          <m:t>⟩</m:t>
                        </m:r>
                      </m:sub>
                      <m:sup>
                        <m:r>
                          <m:rPr>
                            <m:sty m:val="p"/>
                          </m:rPr>
                          <w:rPr>
                            <w:rFonts w:ascii="Cambria Math" w:hAnsi="Cambria Math"/>
                          </w:rPr>
                          <m:t>​</m:t>
                        </m:r>
                      </m:sup>
                      <m:e>
                        <m:r>
                          <m:rPr>
                            <m:sty m:val="p"/>
                          </m:rPr>
                          <w:rPr>
                            <w:rFonts w:ascii="Cambria Math" w:hAnsi="Cambria Math"/>
                          </w:rPr>
                          <m:t>|</m:t>
                        </m:r>
                      </m:e>
                    </m:nary>
                    <m:r>
                      <m:rPr>
                        <m:sty m:val="b"/>
                      </m:rPr>
                      <w:rPr>
                        <w:rFonts w:ascii="Cambria Math" w:hAnsi="Cambria Math"/>
                      </w:rPr>
                      <m:t>x</m:t>
                    </m:r>
                    <m:r>
                      <m:rPr>
                        <m:sty m:val="p"/>
                      </m:rPr>
                      <w:rPr>
                        <w:rFonts w:ascii="Cambria Math" w:hAnsi="Cambria Math"/>
                      </w:rPr>
                      <m:t>⟩⟨</m:t>
                    </m:r>
                    <m:r>
                      <m:rPr>
                        <m:sty m:val="b"/>
                      </m:rPr>
                      <w:rPr>
                        <w:rFonts w:ascii="Cambria Math" w:hAnsi="Cambria Math"/>
                      </w:rPr>
                      <m:t>x</m:t>
                    </m:r>
                    <m:r>
                      <m:rPr>
                        <m:sty m:val="p"/>
                      </m:rPr>
                      <w:rPr>
                        <w:rFonts w:ascii="Cambria Math" w:hAnsi="Cambria Math"/>
                      </w:rPr>
                      <m:t>|⊗I</m:t>
                    </m:r>
                  </m:oMath>
                  <w:r w:rsidRPr="00A44C75">
                    <w:t>.</w:t>
                  </w:r>
                </w:p>
              </w:tc>
              <w:tc>
                <w:tcPr>
                  <w:tcW w:w="8144" w:type="dxa"/>
                </w:tcPr>
                <w:p w14:paraId="6B285CD1" w14:textId="77777777" w:rsidR="00160F3D" w:rsidRDefault="00160F3D" w:rsidP="00A44C75">
                  <w:pPr>
                    <w:pStyle w:val="TableCaption"/>
                  </w:pPr>
                </w:p>
              </w:tc>
            </w:tr>
            <w:tr w:rsidR="00A44C75" w14:paraId="079CF695" w14:textId="77777777" w:rsidTr="00F657D5">
              <w:tc>
                <w:tcPr>
                  <w:tcW w:w="8144" w:type="dxa"/>
                </w:tcPr>
                <w:p w14:paraId="103AE5A2" w14:textId="062853D8" w:rsidR="00A44C75" w:rsidRPr="00C62372" w:rsidRDefault="00A44C75" w:rsidP="00160F3D">
                  <w:pPr>
                    <w:pStyle w:val="Paragraph"/>
                  </w:pPr>
                  <w:r w:rsidRPr="00A44C75">
                    <w:t xml:space="preserve">(5) Do inversion about the mean: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4</m:t>
                        </m:r>
                      </m:sub>
                    </m:sSub>
                    <m:r>
                      <m:rPr>
                        <m:sty m:val="p"/>
                      </m:rPr>
                      <w:rPr>
                        <w:rFonts w:ascii="Cambria Math" w:hAnsi="Cambria Math"/>
                      </w:rPr>
                      <m:t>⟩=(2A-I)|</m:t>
                    </m:r>
                    <m:sSub>
                      <m:sSubPr>
                        <m:ctrlPr>
                          <w:rPr>
                            <w:rFonts w:ascii="Cambria Math" w:hAnsi="Cambria Math"/>
                          </w:rPr>
                        </m:ctrlPr>
                      </m:sSubPr>
                      <m:e>
                        <m:r>
                          <m:rPr>
                            <m:sty m:val="p"/>
                          </m:rPr>
                          <w:rPr>
                            <w:rFonts w:ascii="Cambria Math" w:hAnsi="Cambria Math"/>
                          </w:rPr>
                          <m:t>ψ</m:t>
                        </m:r>
                      </m:e>
                      <m:sub>
                        <m:r>
                          <m:rPr>
                            <m:sty m:val="p"/>
                          </m:rPr>
                          <w:rPr>
                            <w:rFonts w:ascii="Cambria Math" w:hAnsi="Cambria Math"/>
                          </w:rPr>
                          <m:t>3</m:t>
                        </m:r>
                      </m:sub>
                    </m:sSub>
                    <m:r>
                      <m:rPr>
                        <m:sty m:val="p"/>
                      </m:rPr>
                      <w:rPr>
                        <w:rFonts w:ascii="Cambria Math" w:hAnsi="Cambria Math"/>
                      </w:rPr>
                      <m:t>⟩</m:t>
                    </m:r>
                  </m:oMath>
                  <w:r w:rsidRPr="00A44C75">
                    <w:t>.</w:t>
                  </w:r>
                </w:p>
              </w:tc>
              <w:tc>
                <w:tcPr>
                  <w:tcW w:w="8144" w:type="dxa"/>
                </w:tcPr>
                <w:p w14:paraId="3E882269" w14:textId="77777777" w:rsidR="00A44C75" w:rsidRDefault="00A44C75" w:rsidP="00A44C75">
                  <w:pPr>
                    <w:pStyle w:val="TableCaption"/>
                  </w:pPr>
                </w:p>
              </w:tc>
            </w:tr>
            <w:tr w:rsidR="00A44C75" w14:paraId="56AA5D5D" w14:textId="77777777" w:rsidTr="00F657D5">
              <w:tc>
                <w:tcPr>
                  <w:tcW w:w="8144" w:type="dxa"/>
                </w:tcPr>
                <w:p w14:paraId="2BAC5CD7" w14:textId="54254B14" w:rsidR="00A44C75" w:rsidRPr="00C62372" w:rsidRDefault="00A44C75" w:rsidP="00160F3D">
                  <w:pPr>
                    <w:pStyle w:val="Paragraph"/>
                  </w:pPr>
                  <w:r w:rsidRPr="00A44C75">
                    <w:t>(6) Measure the qubits.</w:t>
                  </w:r>
                </w:p>
              </w:tc>
              <w:tc>
                <w:tcPr>
                  <w:tcW w:w="8144" w:type="dxa"/>
                </w:tcPr>
                <w:p w14:paraId="0E726C1D" w14:textId="77777777" w:rsidR="00A44C75" w:rsidRDefault="00A44C75" w:rsidP="00A44C75">
                  <w:pPr>
                    <w:pStyle w:val="TableCaption"/>
                  </w:pPr>
                </w:p>
              </w:tc>
            </w:tr>
          </w:tbl>
          <w:p w14:paraId="0F1485E4" w14:textId="77777777" w:rsidR="00A44C75" w:rsidRPr="00075EA6" w:rsidRDefault="00A44C75" w:rsidP="00F657D5">
            <w:pPr>
              <w:pStyle w:val="TableCaption"/>
              <w:jc w:val="left"/>
            </w:pPr>
          </w:p>
        </w:tc>
      </w:tr>
    </w:tbl>
    <w:p w14:paraId="536C120E" w14:textId="77777777" w:rsidR="00A44C75" w:rsidRDefault="00A44C75" w:rsidP="00EC0B33">
      <w:pPr>
        <w:pStyle w:val="Paragraph"/>
      </w:pPr>
    </w:p>
    <w:p w14:paraId="75F0E93A" w14:textId="0D2649F2" w:rsidR="0000259D" w:rsidRPr="00075EA6" w:rsidRDefault="0000259D" w:rsidP="0000259D">
      <w:pPr>
        <w:pStyle w:val="Heading1"/>
        <w:rPr>
          <w:b w:val="0"/>
          <w:caps w:val="0"/>
          <w:sz w:val="20"/>
        </w:rPr>
      </w:pPr>
      <w:r>
        <w:t>simpler eigenmarking</w:t>
      </w:r>
      <w:r w:rsidRPr="00075EA6">
        <w:br/>
      </w:r>
    </w:p>
    <w:p w14:paraId="0D64C330" w14:textId="29F04B98" w:rsidR="00B0470B" w:rsidRDefault="00B0470B" w:rsidP="00484E48">
      <w:pPr>
        <w:pStyle w:val="Paragraph"/>
      </w:pPr>
      <w:r>
        <w:t>Our work refines subtle marking to use only two-qubit controlled phase rotation, significantly reduce stress on the hardware requirement. Specifically, step (4) in Table </w:t>
      </w:r>
      <w:hyperlink w:anchor="tab: subtle mark">
        <w:r w:rsidRPr="00484E48">
          <w:t>3</w:t>
        </w:r>
      </w:hyperlink>
      <w:r>
        <w:t xml:space="preserve"> is changed to: </w:t>
      </w:r>
      <m:oMath>
        <m:r>
          <m:rPr>
            <m:sty m:val="p"/>
          </m:rPr>
          <w:rPr>
            <w:rFonts w:ascii="Cambria Math" w:hAnsi="Cambria Math"/>
          </w:rPr>
          <m:t>|</m:t>
        </m:r>
        <m:sSub>
          <m:sSubPr>
            <m:ctrlPr>
              <w:rPr>
                <w:rFonts w:ascii="Cambria Math" w:hAnsi="Cambria Math"/>
              </w:rPr>
            </m:ctrlPr>
          </m:sSubPr>
          <m:e>
            <m:r>
              <w:rPr>
                <w:rFonts w:ascii="Cambria Math" w:hAnsi="Cambria Math"/>
              </w:rPr>
              <m:t>ψ</m:t>
            </m:r>
          </m:e>
          <m:sub>
            <m:r>
              <m:rPr>
                <m:sty m:val="p"/>
              </m:rPr>
              <w:rPr>
                <w:rFonts w:ascii="Cambria Math" w:hAnsi="Cambria Math"/>
              </w:rPr>
              <m:t>3</m:t>
            </m:r>
          </m:sub>
        </m:sSub>
        <m:r>
          <m:rPr>
            <m:sty m:val="p"/>
          </m:rPr>
          <w:rPr>
            <w:rFonts w:ascii="Cambria Math" w:hAnsi="Cambria Math"/>
          </w:rPr>
          <m:t>⟩=CCZ|</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x</m:t>
            </m:r>
          </m:e>
          <m:sub>
            <m:r>
              <m:rPr>
                <m:nor/>
              </m:rPr>
              <m:t>msq</m:t>
            </m:r>
          </m:sub>
        </m:sSub>
        <m:r>
          <m:rPr>
            <m:sty m:val="p"/>
          </m:rPr>
          <w:rPr>
            <w:rFonts w:ascii="Cambria Math" w:hAnsi="Cambria Math"/>
          </w:rPr>
          <m:t>,</m:t>
        </m:r>
        <m:r>
          <w:rPr>
            <w:rFonts w:ascii="Cambria Math" w:hAnsi="Cambria Math"/>
          </w:rPr>
          <m:t>y</m:t>
        </m:r>
        <m:r>
          <m:rPr>
            <m:sty m:val="p"/>
          </m:rPr>
          <w:rPr>
            <w:rFonts w:ascii="Cambria Math" w:hAnsi="Cambria Math"/>
          </w:rPr>
          <m:t>⟩</m:t>
        </m:r>
      </m:oMath>
      <w:r>
        <w:t xml:space="preserve">, where </w:t>
      </w:r>
      <m:oMath>
        <m:r>
          <w:rPr>
            <w:rFonts w:ascii="Cambria Math" w:hAnsi="Cambria Math"/>
          </w:rPr>
          <m:t>t</m:t>
        </m:r>
      </m:oMath>
      <w:r>
        <w:t xml:space="preserve"> is a ta</w:t>
      </w:r>
      <w:r w:rsidR="00484E48">
        <w:t>g</w:t>
      </w:r>
      <w:r>
        <w:t xml:space="preserve"> qubit; </w:t>
      </w:r>
      <m:oMath>
        <m:sSub>
          <m:sSubPr>
            <m:ctrlPr>
              <w:rPr>
                <w:rFonts w:ascii="Cambria Math" w:hAnsi="Cambria Math"/>
              </w:rPr>
            </m:ctrlPr>
          </m:sSubPr>
          <m:e>
            <m:r>
              <w:rPr>
                <w:rFonts w:ascii="Cambria Math" w:hAnsi="Cambria Math"/>
              </w:rPr>
              <m:t>x</m:t>
            </m:r>
          </m:e>
          <m:sub>
            <m:r>
              <m:rPr>
                <m:nor/>
              </m:rPr>
              <m:t>msq</m:t>
            </m:r>
          </m:sub>
        </m:sSub>
      </m:oMath>
      <w:r>
        <w:t xml:space="preserve"> is the most significant qubit of the input; </w:t>
      </w:r>
      <m:oMath>
        <m:r>
          <w:rPr>
            <w:rFonts w:ascii="Cambria Math" w:hAnsi="Cambria Math"/>
          </w:rPr>
          <m:t>y</m:t>
        </m:r>
      </m:oMath>
      <w:r>
        <w:t xml:space="preserve"> is an ancillary; and</w:t>
      </w:r>
    </w:p>
    <w:p w14:paraId="6DA0AF2C" w14:textId="77777777" w:rsidR="00B0470B" w:rsidRDefault="00485395" w:rsidP="00484E48">
      <w:pPr>
        <w:pStyle w:val="Paragraph"/>
      </w:pPr>
      <m:oMathPara>
        <m:oMathParaPr>
          <m:jc m:val="center"/>
        </m:oMathParaPr>
        <m:oMath>
          <m:eqArr>
            <m:eqArrPr>
              <m:ctrlPr>
                <w:rPr>
                  <w:rFonts w:ascii="Cambria Math" w:hAnsi="Cambria Math"/>
                </w:rPr>
              </m:ctrlPr>
            </m:eqArrPr>
            <m:e>
              <m:r>
                <m:rPr>
                  <m:sty m:val="p"/>
                </m:rPr>
                <w:rPr>
                  <w:rFonts w:ascii="Cambria Math" w:hAnsi="Cambria Math"/>
                </w:rPr>
                <m:t>CCZ&amp;=|1,1⟩⟨1,1|⊗</m:t>
              </m:r>
              <m:sSub>
                <m:sSubPr>
                  <m:ctrlPr>
                    <w:rPr>
                      <w:rFonts w:ascii="Cambria Math" w:hAnsi="Cambria Math"/>
                    </w:rPr>
                  </m:ctrlPr>
                </m:sSubPr>
                <m:e>
                  <m:r>
                    <w:rPr>
                      <w:rFonts w:ascii="Cambria Math" w:hAnsi="Cambria Math"/>
                    </w:rPr>
                    <m:t>R</m:t>
                  </m:r>
                </m:e>
                <m:sub>
                  <m:r>
                    <w:rPr>
                      <w:rFonts w:ascii="Cambria Math" w:hAnsi="Cambria Math"/>
                    </w:rPr>
                    <m:t>z</m:t>
                  </m:r>
                </m:sub>
              </m:sSub>
              <m:r>
                <m:rPr>
                  <m:sty m:val="p"/>
                </m:rPr>
                <w:rPr>
                  <w:rFonts w:ascii="Cambria Math" w:hAnsi="Cambria Math"/>
                </w:rPr>
                <m:t>(</m:t>
              </m:r>
              <m:r>
                <w:rPr>
                  <w:rFonts w:ascii="Cambria Math" w:hAnsi="Cambria Math"/>
                </w:rPr>
                <m:t>π</m:t>
              </m:r>
              <m:r>
                <m:rPr>
                  <m:sty m:val="p"/>
                </m:rPr>
                <w:rPr>
                  <w:rFonts w:ascii="Cambria Math" w:hAnsi="Cambria Math"/>
                </w:rPr>
                <m:t>)+</m:t>
              </m:r>
              <m:nary>
                <m:naryPr>
                  <m:chr m:val="∑"/>
                  <m:limLoc m:val="undOvr"/>
                  <m:supHide m:val="1"/>
                  <m:ctrlPr>
                    <w:rPr>
                      <w:rFonts w:ascii="Cambria Math" w:hAnsi="Cambria Math"/>
                    </w:rPr>
                  </m:ctrlPr>
                </m:naryPr>
                <m:sub>
                  <m:r>
                    <m:rPr>
                      <m:sty m:val="b"/>
                    </m:rPr>
                    <w:rPr>
                      <w:rFonts w:ascii="Cambria Math" w:hAnsi="Cambria Math"/>
                    </w:rPr>
                    <m:t>x</m:t>
                  </m:r>
                  <m:r>
                    <m:rPr>
                      <m:sty m:val="p"/>
                    </m:rPr>
                    <w:rPr>
                      <w:rFonts w:ascii="Cambria Math" w:hAnsi="Cambria Math"/>
                    </w:rPr>
                    <m:t>≠|1,1⟩</m:t>
                  </m:r>
                </m:sub>
                <m:sup>
                  <m:r>
                    <m:rPr>
                      <m:sty m:val="p"/>
                    </m:rPr>
                    <w:rPr>
                      <w:rFonts w:ascii="Cambria Math" w:hAnsi="Cambria Math"/>
                    </w:rPr>
                    <m:t>​</m:t>
                  </m:r>
                </m:sup>
                <m:e>
                  <m:r>
                    <m:rPr>
                      <m:sty m:val="p"/>
                    </m:rPr>
                    <w:rPr>
                      <w:rFonts w:ascii="Cambria Math" w:hAnsi="Cambria Math"/>
                    </w:rPr>
                    <m:t>|</m:t>
                  </m:r>
                </m:e>
              </m:nary>
              <m:r>
                <m:rPr>
                  <m:sty m:val="b"/>
                </m:rPr>
                <w:rPr>
                  <w:rFonts w:ascii="Cambria Math" w:hAnsi="Cambria Math"/>
                </w:rPr>
                <m:t>x</m:t>
              </m:r>
              <m:r>
                <m:rPr>
                  <m:sty m:val="p"/>
                </m:rPr>
                <w:rPr>
                  <w:rFonts w:ascii="Cambria Math" w:hAnsi="Cambria Math"/>
                </w:rPr>
                <m:t>⟩⟨</m:t>
              </m:r>
              <m:r>
                <m:rPr>
                  <m:sty m:val="b"/>
                </m:rP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d>
                <m:dPr>
                  <m:begChr m:val="["/>
                  <m:endChr m:val="]"/>
                  <m:ctrlPr>
                    <w:rPr>
                      <w:rFonts w:ascii="Cambria Math" w:hAnsi="Cambria Math"/>
                    </w:rPr>
                  </m:ctrlPr>
                </m:dPr>
                <m:e>
                  <m:m>
                    <m:mPr>
                      <m:plcHide m:val="1"/>
                      <m:mcs>
                        <m:mc>
                          <m:mcPr>
                            <m:count m:val="8"/>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0</m:t>
                        </m:r>
                      </m:e>
                      <m:e>
                        <m:r>
                          <m:rPr>
                            <m:sty m:val="p"/>
                          </m:rPr>
                          <w:rPr>
                            <w:rFonts w:ascii="Cambria Math" w:hAnsi="Cambria Math"/>
                          </w:rPr>
                          <m:t>-1</m:t>
                        </m:r>
                      </m:e>
                    </m:mr>
                    <m:mr>
                      <m:e/>
                      <m:e/>
                      <m:e/>
                      <m:e/>
                      <m:e/>
                      <m:e/>
                      <m:e/>
                      <m:e/>
                    </m:mr>
                  </m:m>
                </m:e>
              </m:d>
              <m:r>
                <m:rPr>
                  <m:sty m:val="p"/>
                </m:rPr>
                <w:rPr>
                  <w:rFonts w:ascii="Cambria Math" w:hAnsi="Cambria Math"/>
                </w:rPr>
                <m:t>.</m:t>
              </m:r>
            </m:e>
          </m:eqArr>
        </m:oMath>
      </m:oMathPara>
    </w:p>
    <w:p w14:paraId="486D27AA" w14:textId="77777777" w:rsidR="00B0470B" w:rsidRDefault="00B0470B" w:rsidP="00484E48">
      <w:pPr>
        <w:pStyle w:val="Paragraph"/>
      </w:pPr>
      <w:r>
        <w:t xml:space="preserve">Since the ancillary </w:t>
      </w:r>
      <m:oMath>
        <m:r>
          <w:rPr>
            <w:rFonts w:ascii="Cambria Math" w:hAnsi="Cambria Math"/>
          </w:rPr>
          <m:t>y</m:t>
        </m:r>
      </m:oMath>
      <w:r>
        <w:t xml:space="preserve"> is put through Hadamard gate and it is eventually averaged over, this qubit also acts as an extra tag (and plays a role in extending a state space). Therefore, this qubit is also measured at the end of the algorithm (step 6).</w:t>
      </w:r>
    </w:p>
    <w:tbl>
      <w:tblPr>
        <w:tblStyle w:val="Table"/>
        <w:tblW w:w="0" w:type="auto"/>
        <w:jc w:val="center"/>
        <w:tblLook w:val="0600" w:firstRow="0" w:lastRow="0" w:firstColumn="0" w:lastColumn="0" w:noHBand="1" w:noVBand="1"/>
      </w:tblPr>
      <w:tblGrid>
        <w:gridCol w:w="660"/>
      </w:tblGrid>
      <w:tr w:rsidR="00B0470B" w14:paraId="55FDE7D7" w14:textId="77777777" w:rsidTr="00F657D5">
        <w:trPr>
          <w:jc w:val="center"/>
        </w:trPr>
        <w:tc>
          <w:tcPr>
            <w:tcW w:w="0" w:type="auto"/>
          </w:tcPr>
          <w:tbl>
            <w:tblPr>
              <w:tblStyle w:val="Table"/>
              <w:tblW w:w="0" w:type="auto"/>
              <w:tblLook w:val="0000" w:firstRow="0" w:lastRow="0" w:firstColumn="0" w:lastColumn="0" w:noHBand="0" w:noVBand="0"/>
            </w:tblPr>
            <w:tblGrid>
              <w:gridCol w:w="222"/>
              <w:gridCol w:w="222"/>
            </w:tblGrid>
            <w:tr w:rsidR="00B0470B" w14:paraId="4799DA02" w14:textId="77777777" w:rsidTr="00F657D5">
              <w:tc>
                <w:tcPr>
                  <w:tcW w:w="0" w:type="auto"/>
                </w:tcPr>
                <w:p w14:paraId="1E978831" w14:textId="4BD10636" w:rsidR="00B0470B" w:rsidRPr="00484E48" w:rsidRDefault="00B0470B" w:rsidP="00484E48">
                  <w:pPr>
                    <w:pStyle w:val="Paragraph"/>
                    <w:rPr>
                      <w:rFonts w:ascii="Times New Roman" w:eastAsia="Times New Roman" w:hAnsi="Times New Roman" w:cs="Times New Roman"/>
                      <w:szCs w:val="20"/>
                    </w:rPr>
                  </w:pPr>
                </w:p>
              </w:tc>
              <w:tc>
                <w:tcPr>
                  <w:tcW w:w="0" w:type="auto"/>
                </w:tcPr>
                <w:p w14:paraId="365074B3" w14:textId="34B3EAC9" w:rsidR="00B0470B" w:rsidRPr="00484E48" w:rsidRDefault="00B0470B" w:rsidP="00484E48">
                  <w:pPr>
                    <w:pStyle w:val="Paragraph"/>
                    <w:rPr>
                      <w:rFonts w:ascii="Times New Roman" w:eastAsia="Times New Roman" w:hAnsi="Times New Roman" w:cs="Times New Roman"/>
                      <w:szCs w:val="20"/>
                    </w:rPr>
                  </w:pPr>
                </w:p>
              </w:tc>
            </w:tr>
          </w:tbl>
          <w:p w14:paraId="744D568A" w14:textId="77777777" w:rsidR="00B0470B" w:rsidRPr="00484E48" w:rsidRDefault="00B0470B" w:rsidP="00484E48">
            <w:pPr>
              <w:pStyle w:val="Paragraph"/>
              <w:rPr>
                <w:rFonts w:ascii="Times New Roman" w:eastAsia="Times New Roman" w:hAnsi="Times New Roman" w:cs="Times New Roman"/>
                <w:szCs w:val="20"/>
              </w:rPr>
            </w:pPr>
          </w:p>
        </w:tc>
      </w:tr>
    </w:tbl>
    <w:p w14:paraId="73B5C137" w14:textId="0290D81F" w:rsidR="0000259D" w:rsidRDefault="0000259D" w:rsidP="0000259D">
      <w:pPr>
        <w:pStyle w:val="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4014"/>
      </w:tblGrid>
      <w:tr w:rsidR="00484E48" w14:paraId="7B2302B4" w14:textId="77777777" w:rsidTr="00484E48">
        <w:tc>
          <w:tcPr>
            <w:tcW w:w="4675" w:type="dxa"/>
          </w:tcPr>
          <w:p w14:paraId="27D754E9" w14:textId="5F207974" w:rsidR="00484E48" w:rsidRDefault="00484E48" w:rsidP="00484E48">
            <w:pPr>
              <w:pStyle w:val="Paragraph"/>
              <w:ind w:firstLine="0"/>
              <w:jc w:val="center"/>
            </w:pPr>
            <w:r w:rsidRPr="00484E48">
              <w:rPr>
                <w:noProof/>
              </w:rPr>
              <w:drawing>
                <wp:inline distT="0" distB="0" distL="0" distR="0" wp14:anchorId="7BE02E34" wp14:editId="625983A4">
                  <wp:extent cx="3258120" cy="1079999"/>
                  <wp:effectExtent l="0" t="0" r="0" b="0"/>
                  <wp:docPr id="14" name="Picture" descr="image"/>
                  <wp:cNvGraphicFramePr/>
                  <a:graphic xmlns:a="http://schemas.openxmlformats.org/drawingml/2006/main">
                    <a:graphicData uri="http://schemas.openxmlformats.org/drawingml/2006/picture">
                      <pic:pic xmlns:pic="http://schemas.openxmlformats.org/drawingml/2006/picture">
                        <pic:nvPicPr>
                          <pic:cNvPr id="37" name="Picture" descr="pics/SimplerMarkingPlain.png"/>
                          <pic:cNvPicPr>
                            <a:picLocks noChangeAspect="1" noChangeArrowheads="1"/>
                          </pic:cNvPicPr>
                        </pic:nvPicPr>
                        <pic:blipFill>
                          <a:blip r:embed="rId15"/>
                          <a:stretch>
                            <a:fillRect/>
                          </a:stretch>
                        </pic:blipFill>
                        <pic:spPr bwMode="auto">
                          <a:xfrm>
                            <a:off x="0" y="0"/>
                            <a:ext cx="3258120" cy="1079999"/>
                          </a:xfrm>
                          <a:prstGeom prst="rect">
                            <a:avLst/>
                          </a:prstGeom>
                          <a:noFill/>
                          <a:ln w="9525">
                            <a:noFill/>
                            <a:headEnd/>
                            <a:tailEnd/>
                          </a:ln>
                        </pic:spPr>
                      </pic:pic>
                    </a:graphicData>
                  </a:graphic>
                </wp:inline>
              </w:drawing>
            </w:r>
          </w:p>
        </w:tc>
        <w:tc>
          <w:tcPr>
            <w:tcW w:w="4675" w:type="dxa"/>
          </w:tcPr>
          <w:p w14:paraId="0AE12A5E" w14:textId="1F8BD26A" w:rsidR="00484E48" w:rsidRDefault="00484E48" w:rsidP="00484E48">
            <w:pPr>
              <w:pStyle w:val="Paragraph"/>
              <w:ind w:firstLine="0"/>
              <w:jc w:val="center"/>
            </w:pPr>
            <w:r w:rsidRPr="00484E48">
              <w:rPr>
                <w:noProof/>
              </w:rPr>
              <w:drawing>
                <wp:inline distT="0" distB="0" distL="0" distR="0" wp14:anchorId="5213EBBF" wp14:editId="6147E3EA">
                  <wp:extent cx="2025263" cy="1439999"/>
                  <wp:effectExtent l="0" t="0" r="0" b="0"/>
                  <wp:docPr id="15" name="Picture" descr="image"/>
                  <wp:cNvGraphicFramePr/>
                  <a:graphic xmlns:a="http://schemas.openxmlformats.org/drawingml/2006/main">
                    <a:graphicData uri="http://schemas.openxmlformats.org/drawingml/2006/picture">
                      <pic:pic xmlns:pic="http://schemas.openxmlformats.org/drawingml/2006/picture">
                        <pic:nvPicPr>
                          <pic:cNvPr id="40" name="Picture" descr="pics/simplemark3qubit.png"/>
                          <pic:cNvPicPr>
                            <a:picLocks noChangeAspect="1" noChangeArrowheads="1"/>
                          </pic:cNvPicPr>
                        </pic:nvPicPr>
                        <pic:blipFill>
                          <a:blip r:embed="rId16"/>
                          <a:stretch>
                            <a:fillRect/>
                          </a:stretch>
                        </pic:blipFill>
                        <pic:spPr bwMode="auto">
                          <a:xfrm>
                            <a:off x="0" y="0"/>
                            <a:ext cx="2025263" cy="1439999"/>
                          </a:xfrm>
                          <a:prstGeom prst="rect">
                            <a:avLst/>
                          </a:prstGeom>
                          <a:noFill/>
                          <a:ln w="9525">
                            <a:noFill/>
                            <a:headEnd/>
                            <a:tailEnd/>
                          </a:ln>
                        </pic:spPr>
                      </pic:pic>
                    </a:graphicData>
                  </a:graphic>
                </wp:inline>
              </w:drawing>
            </w:r>
          </w:p>
        </w:tc>
      </w:tr>
      <w:tr w:rsidR="00484E48" w14:paraId="7F66801A" w14:textId="77777777" w:rsidTr="00484E48">
        <w:tc>
          <w:tcPr>
            <w:tcW w:w="4675" w:type="dxa"/>
          </w:tcPr>
          <w:p w14:paraId="4FD0A45D" w14:textId="4573993C" w:rsidR="00484E48" w:rsidRPr="00484E48" w:rsidRDefault="00484E48" w:rsidP="00484E48">
            <w:pPr>
              <w:pStyle w:val="Paragraph"/>
              <w:ind w:firstLine="0"/>
              <w:jc w:val="center"/>
            </w:pPr>
            <w:r>
              <w:t>(a)</w:t>
            </w:r>
          </w:p>
        </w:tc>
        <w:tc>
          <w:tcPr>
            <w:tcW w:w="4675" w:type="dxa"/>
          </w:tcPr>
          <w:p w14:paraId="123E699E" w14:textId="785F26BE" w:rsidR="00484E48" w:rsidRPr="00484E48" w:rsidRDefault="00484E48" w:rsidP="00484E48">
            <w:pPr>
              <w:pStyle w:val="Paragraph"/>
              <w:ind w:firstLine="0"/>
              <w:jc w:val="center"/>
            </w:pPr>
            <w:r>
              <w:t>(b)</w:t>
            </w:r>
          </w:p>
        </w:tc>
      </w:tr>
    </w:tbl>
    <w:p w14:paraId="017ABDD7" w14:textId="797A4A91" w:rsidR="00484E48" w:rsidRDefault="00484E48" w:rsidP="00484E48">
      <w:pPr>
        <w:pStyle w:val="FigureCaption"/>
      </w:pPr>
      <w:r>
        <w:rPr>
          <w:b/>
          <w:caps/>
        </w:rPr>
        <w:t>Figure 2.</w:t>
      </w:r>
      <w:r>
        <w:t xml:space="preserve"> Simpler Eigenmarking. (a) Generic diagram and (b) Qiskit graphic draw of a three-qubit system: </w:t>
      </w: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w:r>
        <w:t xml:space="preserve"> is the most significant qubit (msq). </w:t>
      </w:r>
    </w:p>
    <w:p w14:paraId="1EC25ACF" w14:textId="58FE3E6A" w:rsidR="0000259D" w:rsidRPr="00075EA6" w:rsidRDefault="0000259D" w:rsidP="0000259D">
      <w:pPr>
        <w:pStyle w:val="Heading1"/>
        <w:rPr>
          <w:b w:val="0"/>
          <w:caps w:val="0"/>
          <w:sz w:val="20"/>
        </w:rPr>
      </w:pPr>
      <w:r>
        <w:t>methodology</w:t>
      </w:r>
      <w:r w:rsidRPr="00075EA6">
        <w:br/>
      </w:r>
    </w:p>
    <w:p w14:paraId="291F3581" w14:textId="435A22B9" w:rsidR="00EC20BA" w:rsidRDefault="00EC20BA" w:rsidP="00EC20BA">
      <w:pPr>
        <w:pStyle w:val="Paragraph"/>
      </w:pPr>
      <w:r>
        <w:t xml:space="preserve">Our proposed new Eigenmarking scheme is tested on all possible scenarios of a two-qubit system using Qiskit (version 1.1.1) and Qiskit Aer Simulator (version 0.15.1). Each treatment is repeated for 40 times, while each time the simulator simulates it for 1024 runs. The </w:t>
      </w:r>
      <w:r w:rsidRPr="00EC20BA">
        <w:rPr>
          <w:i/>
          <w:iCs/>
        </w:rPr>
        <w:t>winning margins</w:t>
      </w:r>
      <w:r>
        <w:t xml:space="preserve"> </w:t>
      </w:r>
      <m:oMath>
        <m:r>
          <w:rPr>
            <w:rFonts w:ascii="Cambria Math" w:hAnsi="Cambria Math"/>
          </w:rPr>
          <m:t>W</m:t>
        </m:r>
      </m:oMath>
      <w:r>
        <w:t xml:space="preserve"> and </w:t>
      </w:r>
      <w:r w:rsidRPr="00EC20BA">
        <w:rPr>
          <w:i/>
          <w:iCs/>
        </w:rPr>
        <w:t>distinguishabilities</w:t>
      </w:r>
      <w:r>
        <w:t xml:space="preserve"> </w:t>
      </w:r>
      <m:oMath>
        <m:r>
          <w:rPr>
            <w:rFonts w:ascii="Cambria Math" w:hAnsi="Cambria Math"/>
          </w:rPr>
          <m:t>D</m:t>
        </m:r>
      </m:oMath>
      <w:r>
        <w:t xml:space="preserve"> are presented in Table </w:t>
      </w:r>
      <w:hyperlink w:anchor="tab: win margins">
        <w:r w:rsidRPr="00EC20BA">
          <w:t>4</w:t>
        </w:r>
      </w:hyperlink>
      <w:r>
        <w:t xml:space="preserve">. Both performance indices are introduced in the previous study [3]. The </w:t>
      </w:r>
      <w:r w:rsidRPr="00EC20BA">
        <w:rPr>
          <w:i/>
          <w:iCs/>
        </w:rPr>
        <w:t>winning margin</w:t>
      </w:r>
      <w:r>
        <w:t xml:space="preserve"> measures how clearly answer states dominate non-answer states. It is a relative difference between the minimal count of the answer states and the maximal count of the non-answer states. Relative winning margin </w:t>
      </w:r>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num>
          <m:den>
            <m:sSup>
              <m:sSupPr>
                <m:ctrlPr>
                  <w:rPr>
                    <w:rFonts w:ascii="Cambria Math" w:hAnsi="Cambria Math"/>
                  </w:rPr>
                </m:ctrlPr>
              </m:sSupPr>
              <m:e>
                <m:r>
                  <w:rPr>
                    <w:rFonts w:ascii="Cambria Math" w:hAnsi="Cambria Math"/>
                  </w:rPr>
                  <m:t>c</m:t>
                </m:r>
              </m:e>
              <m:sup>
                <m:r>
                  <m:rPr>
                    <m:sty m:val="p"/>
                  </m:rPr>
                  <w:rPr>
                    <w:rFonts w:ascii="Cambria Math" w:hAnsi="Cambria Math"/>
                  </w:rPr>
                  <m:t>'</m:t>
                </m:r>
              </m:sup>
            </m:sSup>
          </m:den>
        </m:f>
      </m:oMath>
      <w:r>
        <w:t xml:space="preserve"> where </w:t>
      </w:r>
      <m:oMath>
        <m:r>
          <w:rPr>
            <w:rFonts w:ascii="Cambria Math" w:hAnsi="Cambria Math"/>
          </w:rPr>
          <m:t>c</m:t>
        </m:r>
      </m:oMath>
      <w:r>
        <w:t xml:space="preserve"> is a minimal number of observed answer states (winning count), i.e., </w:t>
      </w:r>
      <m:oMath>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min</m:t>
            </m:r>
          </m:e>
          <m:sub>
            <m:r>
              <w:rPr>
                <w:rFonts w:ascii="Cambria Math" w:hAnsi="Cambria Math"/>
              </w:rPr>
              <m:t>k</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s</m:t>
            </m:r>
            <m:r>
              <m:rPr>
                <m:sty m:val="p"/>
              </m:rPr>
              <w:rPr>
                <w:rFonts w:ascii="Cambria Math" w:hAnsi="Cambria Math"/>
              </w:rPr>
              <m:t>)}</m:t>
            </m:r>
          </m:sub>
        </m:sSub>
        <m:r>
          <w:rPr>
            <w:rFonts w:ascii="Cambria Math" w:hAnsi="Cambria Math"/>
          </w:rPr>
          <m:t>k</m:t>
        </m:r>
      </m:oMath>
      <w:r>
        <w:t xml:space="preserve"> for </w:t>
      </w:r>
      <m:oMath>
        <m:r>
          <w:rPr>
            <w:rFonts w:ascii="Cambria Math" w:hAnsi="Cambria Math"/>
          </w:rPr>
          <m:t>n</m:t>
        </m:r>
        <m:r>
          <m:rPr>
            <m:sty m:val="p"/>
          </m:rPr>
          <w:rPr>
            <w:rFonts w:ascii="Cambria Math" w:hAnsi="Cambria Math"/>
          </w:rPr>
          <m:t>(</m:t>
        </m:r>
        <m:r>
          <w:rPr>
            <w:rFonts w:ascii="Cambria Math" w:hAnsi="Cambria Math"/>
          </w:rPr>
          <m:t>s</m:t>
        </m:r>
        <m:r>
          <m:rPr>
            <m:sty m:val="p"/>
          </m:rPr>
          <w:rPr>
            <w:rFonts w:ascii="Cambria Math" w:hAnsi="Cambria Math"/>
          </w:rPr>
          <m:t>)</m:t>
        </m:r>
      </m:oMath>
      <w:r>
        <w:t xml:space="preserve"> is a number of observed answer states, and </w:t>
      </w:r>
      <m:oMath>
        <m:sSup>
          <m:sSupPr>
            <m:ctrlPr>
              <w:rPr>
                <w:rFonts w:ascii="Cambria Math" w:hAnsi="Cambria Math"/>
              </w:rPr>
            </m:ctrlPr>
          </m:sSupPr>
          <m:e>
            <m:r>
              <w:rPr>
                <w:rFonts w:ascii="Cambria Math" w:hAnsi="Cambria Math"/>
              </w:rPr>
              <m:t>c</m:t>
            </m:r>
          </m:e>
          <m:sup>
            <m:r>
              <m:rPr>
                <m:sty m:val="p"/>
              </m:rPr>
              <w:rPr>
                <w:rFonts w:ascii="Cambria Math" w:hAnsi="Cambria Math"/>
              </w:rPr>
              <m:t>'</m:t>
            </m:r>
          </m:sup>
        </m:sSup>
      </m:oMath>
      <w:r>
        <w:t xml:space="preserve"> is a maximal number of observed non-answer states (non-winning count), i.e., </w:t>
      </w:r>
      <m:oMath>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max</m:t>
            </m:r>
          </m:e>
          <m:sub>
            <m:r>
              <w:rPr>
                <w:rFonts w:ascii="Cambria Math" w:hAnsi="Cambria Math"/>
              </w:rPr>
              <m:t>k</m:t>
            </m:r>
            <m:r>
              <m:rPr>
                <m:sty m:val="p"/>
              </m:rPr>
              <w:rPr>
                <w:rFonts w:ascii="Cambria Math" w:hAnsi="Cambria Math"/>
              </w:rPr>
              <m:t>∈{</m:t>
            </m:r>
            <m:r>
              <w:rPr>
                <w:rFonts w:ascii="Cambria Math" w:hAnsi="Cambria Math"/>
              </w:rPr>
              <m:t>n</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sub>
        </m:sSub>
        <m:r>
          <w:rPr>
            <w:rFonts w:ascii="Cambria Math" w:hAnsi="Cambria Math"/>
          </w:rPr>
          <m:t>k</m:t>
        </m:r>
      </m:oMath>
      <w:r>
        <w:t xml:space="preserve"> for </w:t>
      </w:r>
      <m:oMath>
        <m:r>
          <w:rPr>
            <w:rFonts w:ascii="Cambria Math" w:hAnsi="Cambria Math"/>
          </w:rPr>
          <m:t>n</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oMath>
      <w:r>
        <w:t xml:space="preserve"> is a number of observed non-answer states. A larger </w:t>
      </w:r>
      <m:oMath>
        <m:r>
          <w:rPr>
            <w:rFonts w:ascii="Cambria Math" w:hAnsi="Cambria Math"/>
          </w:rPr>
          <m:t>W</m:t>
        </m:r>
      </m:oMath>
      <w:r>
        <w:t xml:space="preserve"> means the difference between a number of observed answer states and a number of observed non-answer states. E.g., given answer states </w:t>
      </w:r>
      <m:oMath>
        <m:r>
          <m:rPr>
            <m:sty m:val="p"/>
          </m:rPr>
          <w:rPr>
            <w:rFonts w:ascii="Cambria Math" w:hAnsi="Cambria Math"/>
          </w:rPr>
          <m:t>|01⟩</m:t>
        </m:r>
      </m:oMath>
      <w:r>
        <w:t xml:space="preserve"> and </w:t>
      </w:r>
      <m:oMath>
        <m:r>
          <m:rPr>
            <m:sty m:val="p"/>
          </m:rPr>
          <w:rPr>
            <w:rFonts w:ascii="Cambria Math" w:hAnsi="Cambria Math"/>
          </w:rPr>
          <m:t>|10⟩</m:t>
        </m:r>
      </m:oMath>
      <w:r>
        <w:t xml:space="preserve"> with 1024 runs and suppose that observables are </w:t>
      </w:r>
      <w:r w:rsidRPr="00EC20BA">
        <w:t>00</w:t>
      </w:r>
      <w:r w:rsidRPr="009E1774">
        <w:rPr>
          <w:u w:val="single"/>
        </w:rPr>
        <w:t>00</w:t>
      </w:r>
      <w:r>
        <w:t xml:space="preserve"> (200 counts), </w:t>
      </w:r>
      <w:r w:rsidRPr="00EC20BA">
        <w:t>01</w:t>
      </w:r>
      <w:r w:rsidRPr="004A292E">
        <w:rPr>
          <w:u w:val="single"/>
        </w:rPr>
        <w:t>01</w:t>
      </w:r>
      <w:r>
        <w:t xml:space="preserve"> (320 counts), </w:t>
      </w:r>
      <w:r w:rsidRPr="00EC20BA">
        <w:t>01</w:t>
      </w:r>
      <w:r w:rsidRPr="004A292E">
        <w:rPr>
          <w:u w:val="single"/>
        </w:rPr>
        <w:t>10</w:t>
      </w:r>
      <w:r>
        <w:t xml:space="preserve"> (380 counts), </w:t>
      </w:r>
      <w:r w:rsidRPr="00EC20BA">
        <w:t>01</w:t>
      </w:r>
      <w:r w:rsidRPr="004A292E">
        <w:rPr>
          <w:u w:val="single"/>
        </w:rPr>
        <w:t>11</w:t>
      </w:r>
      <w:r>
        <w:t xml:space="preserve"> (64 counts), and </w:t>
      </w:r>
      <w:r w:rsidRPr="00EC20BA">
        <w:t>11</w:t>
      </w:r>
      <w:r w:rsidRPr="004A292E">
        <w:rPr>
          <w:u w:val="single"/>
        </w:rPr>
        <w:t>10</w:t>
      </w:r>
      <w:r>
        <w:t xml:space="preserve"> (60 counts). Then we have </w:t>
      </w:r>
      <m:oMath>
        <m:r>
          <w:rPr>
            <w:rFonts w:ascii="Cambria Math" w:hAnsi="Cambria Math"/>
          </w:rPr>
          <m:t>W</m:t>
        </m:r>
        <m:r>
          <m:rPr>
            <m:sty m:val="p"/>
          </m:rPr>
          <w:rPr>
            <w:rFonts w:ascii="Cambria Math" w:hAnsi="Cambria Math"/>
          </w:rPr>
          <m:t>=(320-200)/200=0.6</m:t>
        </m:r>
      </m:oMath>
      <w:r>
        <w:t xml:space="preserve"> when observables are shown in format </w:t>
      </w:r>
      <w:r w:rsidRPr="00EC20BA">
        <w:t>pp</w:t>
      </w:r>
      <w:r w:rsidRPr="004A292E">
        <w:rPr>
          <w:u w:val="single"/>
        </w:rPr>
        <w:t>xx</w:t>
      </w:r>
      <w:r>
        <w:t xml:space="preserve">; </w:t>
      </w:r>
      <w:r w:rsidRPr="00EC20BA">
        <w:t>pp</w:t>
      </w:r>
      <w:r>
        <w:t xml:space="preserve"> and </w:t>
      </w:r>
      <w:r w:rsidRPr="004A292E">
        <w:rPr>
          <w:u w:val="single"/>
        </w:rPr>
        <w:t>xx</w:t>
      </w:r>
      <w:r>
        <w:t xml:space="preserve"> represent prefix and original state, respectively. Local relative winning margin only counts non-answer states with target prefix, i.e., </w:t>
      </w:r>
      <w:r w:rsidRPr="00EC20BA">
        <w:t>01</w:t>
      </w:r>
      <w:r>
        <w:t xml:space="preserve"> for this simpler Eigenmarking. Hence, local relative winning margin </w:t>
      </w:r>
      <m:oMath>
        <m:r>
          <w:rPr>
            <w:rFonts w:ascii="Cambria Math" w:hAnsi="Cambria Math"/>
          </w:rPr>
          <m:t>w</m:t>
        </m:r>
        <m:r>
          <m:rPr>
            <m:sty m:val="p"/>
          </m:rPr>
          <w:rPr>
            <w:rFonts w:ascii="Cambria Math" w:hAnsi="Cambria Math"/>
          </w:rPr>
          <m:t>=(320-64)/64=4</m:t>
        </m:r>
      </m:oMath>
      <w:r>
        <w:t>.</w:t>
      </w:r>
    </w:p>
    <w:p w14:paraId="2D544EA9" w14:textId="5164D8FD" w:rsidR="00EC20BA" w:rsidRDefault="00EC20BA" w:rsidP="00EC20BA">
      <w:pPr>
        <w:pStyle w:val="Paragraph"/>
      </w:pPr>
      <w:r>
        <w:t xml:space="preserve">Winning margin measures quality of results in case-by-case basis. Providing a bigger picture across scenarios, </w:t>
      </w:r>
      <w:r w:rsidRPr="004A292E">
        <w:rPr>
          <w:i/>
          <w:iCs/>
        </w:rPr>
        <w:t>distinguishability</w:t>
      </w:r>
      <w:r>
        <w:t xml:space="preserve"> quantifies how clearly non-answer case can be distinguished from cases with some answers. </w:t>
      </w:r>
      <w:r w:rsidRPr="004A292E">
        <w:rPr>
          <w:i/>
          <w:iCs/>
        </w:rPr>
        <w:t>Distinguishability</w:t>
      </w:r>
      <w:r>
        <w:t xml:space="preserve"> measures the worst-case difference between the minimal score in scenarios with at least some answer(s) and the maximal score in a no-answer scenario: </w:t>
      </w:r>
      <m:oMath>
        <m:r>
          <w:rPr>
            <w:rFonts w:ascii="Cambria Math" w:hAnsi="Cambria Math"/>
          </w:rPr>
          <m:t>D</m:t>
        </m:r>
        <m:r>
          <m:rPr>
            <m:sty m:val="p"/>
          </m:rPr>
          <w:rPr>
            <w:rFonts w:ascii="Cambria Math" w:hAnsi="Cambria Math"/>
          </w:rPr>
          <m:t>=min{min(</m:t>
        </m:r>
        <m:sSub>
          <m:sSubPr>
            <m:ctrlPr>
              <w:rPr>
                <w:rFonts w:ascii="Cambria Math" w:hAnsi="Cambria Math"/>
              </w:rPr>
            </m:ctrlPr>
          </m:sSubPr>
          <m:e>
            <m:r>
              <w:rPr>
                <w:rFonts w:ascii="Cambria Math" w:hAnsi="Cambria Math"/>
              </w:rPr>
              <m:t>M</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i</m:t>
            </m:r>
            <m:r>
              <m:rPr>
                <m:sty m:val="p"/>
              </m:rPr>
              <w:rPr>
                <w:rFonts w:ascii="Cambria Math" w:hAnsi="Cambria Math"/>
              </w:rPr>
              <m:t>&gt;0</m:t>
            </m:r>
          </m:sub>
        </m:sSub>
        <m:r>
          <m:rPr>
            <m:sty m:val="p"/>
          </m:rPr>
          <w:rPr>
            <w:rFonts w:ascii="Cambria Math" w:hAnsi="Cambria Math"/>
          </w:rPr>
          <m:t>-max(</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oMath>
      <w:r>
        <w:t xml:space="preserve"> where </w:t>
      </w:r>
      <m:oMath>
        <m:sSub>
          <m:sSubPr>
            <m:ctrlPr>
              <w:rPr>
                <w:rFonts w:ascii="Cambria Math" w:hAnsi="Cambria Math"/>
              </w:rPr>
            </m:ctrlPr>
          </m:sSubPr>
          <m:e>
            <m:r>
              <w:rPr>
                <w:rFonts w:ascii="Cambria Math" w:hAnsi="Cambria Math"/>
              </w:rPr>
              <m:t>M</m:t>
            </m:r>
          </m:e>
          <m:sub>
            <m:r>
              <w:rPr>
                <w:rFonts w:ascii="Cambria Math" w:hAnsi="Cambria Math"/>
              </w:rPr>
              <m:t>i</m:t>
            </m:r>
          </m:sub>
        </m:sSub>
      </m:oMath>
      <w:r>
        <w:t xml:space="preserve"> is a marking factor of the scenario with </w:t>
      </w:r>
      <m:oMath>
        <m:r>
          <w:rPr>
            <w:rFonts w:ascii="Cambria Math" w:hAnsi="Cambria Math"/>
          </w:rPr>
          <m:t>i</m:t>
        </m:r>
      </m:oMath>
      <w:r>
        <w:t xml:space="preserve">-answer(s) and </w:t>
      </w:r>
      <m:oMath>
        <m:sSub>
          <m:sSubPr>
            <m:ctrlPr>
              <w:rPr>
                <w:rFonts w:ascii="Cambria Math" w:hAnsi="Cambria Math"/>
              </w:rPr>
            </m:ctrlPr>
          </m:sSubPr>
          <m:e>
            <m:r>
              <w:rPr>
                <w:rFonts w:ascii="Cambria Math" w:hAnsi="Cambria Math"/>
              </w:rPr>
              <m:t>M</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n</m:t>
                </m:r>
              </m:sub>
            </m:sSub>
          </m:num>
          <m:den>
            <m:sSub>
              <m:sSubPr>
                <m:ctrlPr>
                  <w:rPr>
                    <w:rFonts w:ascii="Cambria Math" w:hAnsi="Cambria Math"/>
                  </w:rPr>
                </m:ctrlPr>
              </m:sSubPr>
              <m:e>
                <m:r>
                  <w:rPr>
                    <w:rFonts w:ascii="Cambria Math" w:hAnsi="Cambria Math"/>
                  </w:rPr>
                  <m:t>c</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n</m:t>
                </m:r>
              </m:sub>
            </m:sSub>
          </m:den>
        </m:f>
      </m:oMath>
      <w:r>
        <w:t xml:space="preserve">; </w:t>
      </w:r>
      <m:oMath>
        <m:sSub>
          <m:sSubPr>
            <m:ctrlPr>
              <w:rPr>
                <w:rFonts w:ascii="Cambria Math" w:hAnsi="Cambria Math"/>
              </w:rPr>
            </m:ctrlPr>
          </m:sSubPr>
          <m:e>
            <m:r>
              <w:rPr>
                <w:rFonts w:ascii="Cambria Math" w:hAnsi="Cambria Math"/>
              </w:rPr>
              <m:t>c</m:t>
            </m:r>
          </m:e>
          <m:sub>
            <m:r>
              <w:rPr>
                <w:rFonts w:ascii="Cambria Math" w:hAnsi="Cambria Math"/>
              </w:rPr>
              <m:t>t</m:t>
            </m:r>
          </m:sub>
        </m:sSub>
      </m:oMath>
      <w:r>
        <w:t xml:space="preserve"> is a maximum count of states with target tag (simpler marking: prefix </w:t>
      </w:r>
      <w:r w:rsidRPr="00EC20BA">
        <w:t>01</w:t>
      </w:r>
      <w:r>
        <w:t xml:space="preserve">), </w:t>
      </w:r>
      <m:oMath>
        <m:sSub>
          <m:sSubPr>
            <m:ctrlPr>
              <w:rPr>
                <w:rFonts w:ascii="Cambria Math" w:hAnsi="Cambria Math"/>
              </w:rPr>
            </m:ctrlPr>
          </m:sSubPr>
          <m:e>
            <m:r>
              <w:rPr>
                <w:rFonts w:ascii="Cambria Math" w:hAnsi="Cambria Math"/>
              </w:rPr>
              <m:t>c</m:t>
            </m:r>
          </m:e>
          <m:sub>
            <m:r>
              <w:rPr>
                <w:rFonts w:ascii="Cambria Math" w:hAnsi="Cambria Math"/>
              </w:rPr>
              <m:t>n</m:t>
            </m:r>
          </m:sub>
        </m:sSub>
      </m:oMath>
      <w:r>
        <w:t xml:space="preserve"> is a maximum count of complementary states (simpler marking: starting with </w:t>
      </w:r>
      <w:r w:rsidRPr="00EC20BA">
        <w:t>11</w:t>
      </w:r>
      <w:r w:rsidRPr="003455AA">
        <w:rPr>
          <w:u w:val="single"/>
        </w:rPr>
        <w:t>1</w:t>
      </w:r>
      <w:r>
        <w:t xml:space="preserve">). A large value of </w:t>
      </w:r>
      <m:oMath>
        <m:r>
          <w:rPr>
            <w:rFonts w:ascii="Cambria Math" w:hAnsi="Cambria Math"/>
          </w:rPr>
          <m:t>D</m:t>
        </m:r>
      </m:oMath>
      <w:r>
        <w:t xml:space="preserve"> indicates the ease of differentiate a no-answer case from a</w:t>
      </w:r>
      <w:r w:rsidR="003455AA">
        <w:t>ny</w:t>
      </w:r>
      <w:r>
        <w:t xml:space="preserve"> some-answer one. E.g., given the previous example (answers </w:t>
      </w:r>
      <m:oMath>
        <m:r>
          <m:rPr>
            <m:sty m:val="p"/>
          </m:rPr>
          <w:rPr>
            <w:rFonts w:ascii="Cambria Math" w:hAnsi="Cambria Math"/>
          </w:rPr>
          <m:t>|01⟩</m:t>
        </m:r>
      </m:oMath>
      <w:r>
        <w:t xml:space="preserve"> and </w:t>
      </w:r>
      <m:oMath>
        <m:r>
          <m:rPr>
            <m:sty m:val="p"/>
          </m:rPr>
          <w:rPr>
            <w:rFonts w:ascii="Cambria Math" w:hAnsi="Cambria Math"/>
          </w:rPr>
          <m:t>|10⟩</m:t>
        </m:r>
      </m:oMath>
      <w:r>
        <w:t xml:space="preserve">), </w:t>
      </w:r>
      <m:oMath>
        <m:sSub>
          <m:sSubPr>
            <m:ctrlPr>
              <w:rPr>
                <w:rFonts w:ascii="Cambria Math" w:hAnsi="Cambria Math"/>
              </w:rPr>
            </m:ctrlPr>
          </m:sSubPr>
          <m:e>
            <m:r>
              <w:rPr>
                <w:rFonts w:ascii="Cambria Math" w:hAnsi="Cambria Math"/>
              </w:rPr>
              <m:t>M</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r>
              <m:rPr>
                <m:sty m:val="p"/>
              </m:rPr>
              <w:rPr>
                <w:rFonts w:ascii="Cambria Math" w:hAnsi="Cambria Math"/>
              </w:rPr>
              <m:t>380-60</m:t>
            </m:r>
          </m:num>
          <m:den>
            <m:r>
              <m:rPr>
                <m:sty m:val="p"/>
              </m:rPr>
              <w:rPr>
                <w:rFonts w:ascii="Cambria Math" w:hAnsi="Cambria Math"/>
              </w:rPr>
              <m:t>380+60</m:t>
            </m:r>
          </m:den>
        </m:f>
        <m:r>
          <m:rPr>
            <m:sty m:val="p"/>
          </m:rPr>
          <w:rPr>
            <w:rFonts w:ascii="Cambria Math" w:hAnsi="Cambria Math"/>
          </w:rPr>
          <m:t>=0.72</m:t>
        </m:r>
      </m:oMath>
      <w:r>
        <w:t xml:space="preserve">. Suppose we have </w:t>
      </w:r>
      <m:oMath>
        <m:sSub>
          <m:sSubPr>
            <m:ctrlPr>
              <w:rPr>
                <w:rFonts w:ascii="Cambria Math" w:hAnsi="Cambria Math"/>
              </w:rPr>
            </m:ctrlPr>
          </m:sSubPr>
          <m:e>
            <m:r>
              <w:rPr>
                <w:rFonts w:ascii="Cambria Math" w:hAnsi="Cambria Math"/>
              </w:rPr>
              <m:t>M</m:t>
            </m:r>
          </m:e>
          <m:sub>
            <m:r>
              <w:rPr>
                <w:rFonts w:ascii="Cambria Math" w:hAnsi="Cambria Math"/>
              </w:rPr>
              <m:t>i</m:t>
            </m:r>
          </m:sub>
        </m:sSub>
      </m:oMath>
      <w:r>
        <w:t xml:space="preserve"> for all cases: </w:t>
      </w:r>
      <m:oMath>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=-1</m:t>
        </m:r>
      </m:oMath>
      <w:r>
        <w:t xml:space="preserve">, </w:t>
      </w:r>
      <m:oMath>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={0.3,0.7,0.65,0.73}</m:t>
        </m:r>
      </m:oMath>
      <w:r>
        <w:t xml:space="preserve">, </w:t>
      </w:r>
      <m:oMath>
        <m:sSub>
          <m:sSubPr>
            <m:ctrlPr>
              <w:rPr>
                <w:rFonts w:ascii="Cambria Math" w:hAnsi="Cambria Math"/>
              </w:rPr>
            </m:ctrlPr>
          </m:sSubPr>
          <m:e>
            <m:r>
              <w:rPr>
                <w:rFonts w:ascii="Cambria Math" w:hAnsi="Cambria Math"/>
              </w:rPr>
              <m:t>M</m:t>
            </m:r>
          </m:e>
          <m:sub>
            <m:r>
              <m:rPr>
                <m:sty m:val="p"/>
              </m:rPr>
              <w:rPr>
                <w:rFonts w:ascii="Cambria Math" w:hAnsi="Cambria Math"/>
              </w:rPr>
              <m:t>2</m:t>
            </m:r>
          </m:sub>
        </m:sSub>
        <m:r>
          <m:rPr>
            <m:sty m:val="p"/>
          </m:rPr>
          <w:rPr>
            <w:rFonts w:ascii="Cambria Math" w:hAnsi="Cambria Math"/>
          </w:rPr>
          <m:t>={0.72,⋯}</m:t>
        </m:r>
      </m:oMath>
      <w:r>
        <w:t xml:space="preserve">, </w:t>
      </w:r>
      <m:oMath>
        <m:r>
          <m:rPr>
            <m:sty m:val="p"/>
          </m:rPr>
          <w:rPr>
            <w:rFonts w:ascii="Cambria Math" w:hAnsi="Cambria Math"/>
          </w:rPr>
          <m:t>…</m:t>
        </m:r>
      </m:oMath>
      <w:r>
        <w:t xml:space="preserve"> and suppose the worst marking score from some-answer case</w:t>
      </w:r>
      <w:r w:rsidR="003455AA">
        <w:t>s</w:t>
      </w:r>
      <w:r>
        <w:t xml:space="preserve">, </w:t>
      </w:r>
      <m:oMath>
        <m:r>
          <m:rPr>
            <m:sty m:val="p"/>
          </m:rPr>
          <w:rPr>
            <w:rFonts w:ascii="Cambria Math" w:hAnsi="Cambria Math"/>
          </w:rPr>
          <m:t>min{min(</m:t>
        </m:r>
        <m:sSub>
          <m:sSubPr>
            <m:ctrlPr>
              <w:rPr>
                <w:rFonts w:ascii="Cambria Math" w:hAnsi="Cambria Math"/>
              </w:rPr>
            </m:ctrlPr>
          </m:sSubPr>
          <m:e>
            <m:r>
              <w:rPr>
                <w:rFonts w:ascii="Cambria Math" w:hAnsi="Cambria Math"/>
              </w:rPr>
              <m:t>M</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i</m:t>
            </m:r>
            <m:r>
              <m:rPr>
                <m:sty m:val="p"/>
              </m:rPr>
              <w:rPr>
                <w:rFonts w:ascii="Cambria Math" w:hAnsi="Cambria Math"/>
              </w:rPr>
              <m:t>&gt;0</m:t>
            </m:r>
          </m:sub>
        </m:sSub>
        <m:r>
          <m:rPr>
            <m:sty m:val="p"/>
          </m:rPr>
          <w:rPr>
            <w:rFonts w:ascii="Cambria Math" w:hAnsi="Cambria Math"/>
          </w:rPr>
          <m:t>=0.3</m:t>
        </m:r>
      </m:oMath>
      <w:r>
        <w:t xml:space="preserve">. We will have </w:t>
      </w:r>
      <m:oMath>
        <m:r>
          <w:rPr>
            <w:rFonts w:ascii="Cambria Math" w:hAnsi="Cambria Math"/>
          </w:rPr>
          <m:t>D</m:t>
        </m:r>
        <m:r>
          <m:rPr>
            <m:sty m:val="p"/>
          </m:rPr>
          <w:rPr>
            <w:rFonts w:ascii="Cambria Math" w:hAnsi="Cambria Math"/>
          </w:rPr>
          <m:t>=0.3-(-1)=1.3</m:t>
        </m:r>
      </m:oMath>
      <w:r>
        <w:t>.</w:t>
      </w:r>
    </w:p>
    <w:p w14:paraId="24E53C5A" w14:textId="09490564" w:rsidR="003455AA" w:rsidRDefault="003455AA" w:rsidP="00EC20BA">
      <w:pPr>
        <w:pStyle w:val="Paragraph"/>
      </w:pPr>
    </w:p>
    <w:p w14:paraId="0FF5A685" w14:textId="77777777" w:rsidR="00EB0084" w:rsidRPr="005A0E21" w:rsidRDefault="00EB0084" w:rsidP="00EB0084">
      <w:pPr>
        <w:pStyle w:val="Paragraph"/>
        <w:ind w:firstLine="0"/>
      </w:pPr>
    </w:p>
    <w:tbl>
      <w:tblPr>
        <w:tblW w:w="0" w:type="auto"/>
        <w:jc w:val="center"/>
        <w:tblBorders>
          <w:bottom w:val="single" w:sz="4" w:space="0" w:color="auto"/>
        </w:tblBorders>
        <w:tblLayout w:type="fixed"/>
        <w:tblLook w:val="0000" w:firstRow="0" w:lastRow="0" w:firstColumn="0" w:lastColumn="0" w:noHBand="0" w:noVBand="0"/>
      </w:tblPr>
      <w:tblGrid>
        <w:gridCol w:w="8370"/>
      </w:tblGrid>
      <w:tr w:rsidR="00EB0084" w:rsidRPr="00075EA6" w14:paraId="6EE83E0E" w14:textId="77777777" w:rsidTr="00F657D5">
        <w:trPr>
          <w:cantSplit/>
          <w:trHeight w:val="783"/>
          <w:jc w:val="center"/>
        </w:trPr>
        <w:tc>
          <w:tcPr>
            <w:tcW w:w="8370" w:type="dxa"/>
            <w:tcBorders>
              <w:bottom w:val="nil"/>
            </w:tcBorders>
          </w:tcPr>
          <w:p w14:paraId="5E01FE8D" w14:textId="6915BE3E" w:rsidR="00EB0084" w:rsidRDefault="00EB0084" w:rsidP="00F657D5">
            <w:pPr>
              <w:pStyle w:val="TableCaption"/>
            </w:pPr>
            <w:r w:rsidRPr="00075EA6">
              <w:rPr>
                <w:b/>
              </w:rPr>
              <w:lastRenderedPageBreak/>
              <w:t xml:space="preserve">TABLE </w:t>
            </w:r>
            <w:r>
              <w:rPr>
                <w:b/>
              </w:rPr>
              <w:t>4</w:t>
            </w:r>
            <w:r w:rsidRPr="00075EA6">
              <w:rPr>
                <w:b/>
              </w:rPr>
              <w:t xml:space="preserve">. </w:t>
            </w:r>
            <w:r>
              <w:t xml:space="preserve">Winning margin [min., </w:t>
            </w:r>
            <w:r w:rsidRPr="00685AB3">
              <w:t>mean</w:t>
            </w:r>
            <w:r>
              <w:t>, max.](std. dev.) and distinguishability.</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87"/>
              <w:gridCol w:w="2127"/>
              <w:gridCol w:w="2394"/>
              <w:gridCol w:w="2036"/>
            </w:tblGrid>
            <w:tr w:rsidR="00EB0084" w14:paraId="7DCD8CFA" w14:textId="77777777" w:rsidTr="00685AB3">
              <w:tc>
                <w:tcPr>
                  <w:tcW w:w="1587" w:type="dxa"/>
                  <w:tcBorders>
                    <w:top w:val="single" w:sz="4" w:space="0" w:color="auto"/>
                    <w:bottom w:val="nil"/>
                  </w:tcBorders>
                </w:tcPr>
                <w:p w14:paraId="41462949" w14:textId="570F65CB" w:rsidR="00EB0084" w:rsidRDefault="00EB0084" w:rsidP="00EB0084">
                  <w:pPr>
                    <w:pStyle w:val="TableCaption"/>
                  </w:pPr>
                  <w:r>
                    <w:rPr>
                      <w:b/>
                      <w:bCs/>
                    </w:rPr>
                    <w:t>Scheme</w:t>
                  </w:r>
                </w:p>
              </w:tc>
              <w:tc>
                <w:tcPr>
                  <w:tcW w:w="4521" w:type="dxa"/>
                  <w:gridSpan w:val="2"/>
                  <w:tcBorders>
                    <w:top w:val="single" w:sz="4" w:space="0" w:color="auto"/>
                    <w:bottom w:val="nil"/>
                  </w:tcBorders>
                </w:tcPr>
                <w:p w14:paraId="204F6B7E" w14:textId="04C106A0" w:rsidR="00EB0084" w:rsidRDefault="00EB0084" w:rsidP="00EB0084">
                  <w:pPr>
                    <w:pStyle w:val="TableCaption"/>
                  </w:pPr>
                  <w:r>
                    <w:rPr>
                      <w:b/>
                      <w:bCs/>
                    </w:rPr>
                    <w:t>Relative winning margin</w:t>
                  </w:r>
                </w:p>
              </w:tc>
              <w:tc>
                <w:tcPr>
                  <w:tcW w:w="2036" w:type="dxa"/>
                  <w:tcBorders>
                    <w:top w:val="single" w:sz="4" w:space="0" w:color="auto"/>
                    <w:bottom w:val="nil"/>
                  </w:tcBorders>
                </w:tcPr>
                <w:p w14:paraId="21DB86C2" w14:textId="7C27CE7C" w:rsidR="00EB0084" w:rsidRDefault="00EB0084" w:rsidP="00EB0084">
                  <w:pPr>
                    <w:pStyle w:val="TableCaption"/>
                  </w:pPr>
                  <w:r>
                    <w:rPr>
                      <w:b/>
                      <w:bCs/>
                    </w:rPr>
                    <w:t>Distinguishability</w:t>
                  </w:r>
                </w:p>
              </w:tc>
            </w:tr>
            <w:tr w:rsidR="00EB0084" w14:paraId="6F008863" w14:textId="77777777" w:rsidTr="00685AB3">
              <w:tc>
                <w:tcPr>
                  <w:tcW w:w="1587" w:type="dxa"/>
                  <w:tcBorders>
                    <w:top w:val="nil"/>
                    <w:bottom w:val="single" w:sz="4" w:space="0" w:color="auto"/>
                  </w:tcBorders>
                </w:tcPr>
                <w:p w14:paraId="51A63E1E" w14:textId="77777777" w:rsidR="00EB0084" w:rsidRDefault="00EB0084" w:rsidP="00EB0084">
                  <w:pPr>
                    <w:pStyle w:val="TableCaption"/>
                  </w:pPr>
                </w:p>
              </w:tc>
              <w:tc>
                <w:tcPr>
                  <w:tcW w:w="2127" w:type="dxa"/>
                  <w:tcBorders>
                    <w:top w:val="nil"/>
                    <w:bottom w:val="single" w:sz="4" w:space="0" w:color="auto"/>
                  </w:tcBorders>
                </w:tcPr>
                <w:p w14:paraId="71A9E2EE" w14:textId="1B2B4E7E" w:rsidR="00EB0084" w:rsidRDefault="00EB0084" w:rsidP="00EB0084">
                  <w:pPr>
                    <w:pStyle w:val="TableCaption"/>
                  </w:pPr>
                  <w:r>
                    <w:rPr>
                      <w:b/>
                      <w:bCs/>
                    </w:rPr>
                    <w:t>Global</w:t>
                  </w:r>
                </w:p>
              </w:tc>
              <w:tc>
                <w:tcPr>
                  <w:tcW w:w="2394" w:type="dxa"/>
                  <w:tcBorders>
                    <w:top w:val="nil"/>
                    <w:bottom w:val="single" w:sz="4" w:space="0" w:color="auto"/>
                  </w:tcBorders>
                </w:tcPr>
                <w:p w14:paraId="1D73C318" w14:textId="676EE900" w:rsidR="00EB0084" w:rsidRDefault="00EB0084" w:rsidP="00EB0084">
                  <w:pPr>
                    <w:pStyle w:val="TableCaption"/>
                  </w:pPr>
                  <w:r>
                    <w:rPr>
                      <w:b/>
                      <w:bCs/>
                    </w:rPr>
                    <w:t>Local</w:t>
                  </w:r>
                </w:p>
              </w:tc>
              <w:tc>
                <w:tcPr>
                  <w:tcW w:w="2036" w:type="dxa"/>
                  <w:tcBorders>
                    <w:top w:val="nil"/>
                    <w:bottom w:val="single" w:sz="4" w:space="0" w:color="auto"/>
                  </w:tcBorders>
                </w:tcPr>
                <w:p w14:paraId="7D10224B" w14:textId="48191967" w:rsidR="00EB0084" w:rsidRDefault="00EB0084" w:rsidP="00EB0084">
                  <w:pPr>
                    <w:pStyle w:val="TableCaption"/>
                  </w:pPr>
                  <m:oMathPara>
                    <m:oMath>
                      <m:r>
                        <w:rPr>
                          <w:rFonts w:ascii="Cambria Math" w:hAnsi="Cambria Math"/>
                        </w:rPr>
                        <m:t>D</m:t>
                      </m:r>
                    </m:oMath>
                  </m:oMathPara>
                </w:p>
              </w:tc>
            </w:tr>
            <w:tr w:rsidR="00EB0084" w14:paraId="6F008D83" w14:textId="77777777" w:rsidTr="00685AB3">
              <w:tc>
                <w:tcPr>
                  <w:tcW w:w="1587" w:type="dxa"/>
                  <w:tcBorders>
                    <w:top w:val="single" w:sz="4" w:space="0" w:color="auto"/>
                  </w:tcBorders>
                </w:tcPr>
                <w:p w14:paraId="027D2299" w14:textId="2131648E" w:rsidR="00EB0084" w:rsidRDefault="00EB0084" w:rsidP="00EB0084">
                  <w:pPr>
                    <w:pStyle w:val="TableCaption"/>
                  </w:pPr>
                  <w:r>
                    <w:t>Convention.</w:t>
                  </w:r>
                </w:p>
              </w:tc>
              <w:tc>
                <w:tcPr>
                  <w:tcW w:w="2127" w:type="dxa"/>
                  <w:tcBorders>
                    <w:top w:val="single" w:sz="4" w:space="0" w:color="auto"/>
                  </w:tcBorders>
                </w:tcPr>
                <w:p w14:paraId="15A4F8F6" w14:textId="7EEB6E61" w:rsidR="00EB0084" w:rsidRDefault="00EB0084" w:rsidP="00EB0084">
                  <w:pPr>
                    <w:pStyle w:val="TableCaption"/>
                  </w:pPr>
                  <w:r>
                    <w:t xml:space="preserve">[0.57, </w:t>
                  </w:r>
                  <w:r w:rsidRPr="00685AB3">
                    <w:t>1.10</w:t>
                  </w:r>
                  <w:r>
                    <w:t>, 1.76](0.2)</w:t>
                  </w:r>
                </w:p>
              </w:tc>
              <w:tc>
                <w:tcPr>
                  <w:tcW w:w="2394" w:type="dxa"/>
                  <w:tcBorders>
                    <w:top w:val="single" w:sz="4" w:space="0" w:color="auto"/>
                  </w:tcBorders>
                </w:tcPr>
                <w:p w14:paraId="74EFC3BE" w14:textId="28F6746E" w:rsidR="00EB0084" w:rsidRDefault="00EB0084" w:rsidP="00EB0084">
                  <w:pPr>
                    <w:pStyle w:val="TableCaption"/>
                  </w:pPr>
                  <w:r>
                    <w:t xml:space="preserve">[0.67, </w:t>
                  </w:r>
                  <w:r w:rsidRPr="00685AB3">
                    <w:t>1.49</w:t>
                  </w:r>
                  <w:r>
                    <w:t>, 2.60](0.3)</w:t>
                  </w:r>
                </w:p>
              </w:tc>
              <w:tc>
                <w:tcPr>
                  <w:tcW w:w="2036" w:type="dxa"/>
                  <w:tcBorders>
                    <w:top w:val="single" w:sz="4" w:space="0" w:color="auto"/>
                  </w:tcBorders>
                </w:tcPr>
                <w:p w14:paraId="2D3540B8" w14:textId="11DD56BD" w:rsidR="00EB0084" w:rsidRDefault="00EB0084" w:rsidP="00EB0084">
                  <w:pPr>
                    <w:pStyle w:val="TableCaption"/>
                  </w:pPr>
                  <w:r>
                    <w:t>0.190</w:t>
                  </w:r>
                </w:p>
              </w:tc>
            </w:tr>
            <w:tr w:rsidR="00EB0084" w14:paraId="519C5AAA" w14:textId="77777777" w:rsidTr="00685AB3">
              <w:tc>
                <w:tcPr>
                  <w:tcW w:w="1587" w:type="dxa"/>
                </w:tcPr>
                <w:p w14:paraId="0341BD0D" w14:textId="73553BAB" w:rsidR="00EB0084" w:rsidRDefault="00EB0084" w:rsidP="00EB0084">
                  <w:pPr>
                    <w:pStyle w:val="TableCaption"/>
                  </w:pPr>
                  <w:r>
                    <w:t>Subtle.</w:t>
                  </w:r>
                </w:p>
              </w:tc>
              <w:tc>
                <w:tcPr>
                  <w:tcW w:w="2127" w:type="dxa"/>
                </w:tcPr>
                <w:p w14:paraId="0BFE42EA" w14:textId="27DEF301" w:rsidR="00EB0084" w:rsidRDefault="00EB0084" w:rsidP="00EB0084">
                  <w:pPr>
                    <w:pStyle w:val="TableCaption"/>
                  </w:pPr>
                  <w:r>
                    <w:t xml:space="preserve">[-0.37, </w:t>
                  </w:r>
                  <w:r w:rsidRPr="00685AB3">
                    <w:t>0.31</w:t>
                  </w:r>
                  <w:r>
                    <w:t>, 6.12](1.4)</w:t>
                  </w:r>
                </w:p>
              </w:tc>
              <w:tc>
                <w:tcPr>
                  <w:tcW w:w="2394" w:type="dxa"/>
                </w:tcPr>
                <w:p w14:paraId="3459BE69" w14:textId="2F1D25C9" w:rsidR="00EB0084" w:rsidRDefault="00EB0084" w:rsidP="00EB0084">
                  <w:pPr>
                    <w:pStyle w:val="TableCaption"/>
                  </w:pPr>
                  <w:r>
                    <w:t xml:space="preserve">[0.28, </w:t>
                  </w:r>
                  <w:r w:rsidRPr="00685AB3">
                    <w:t>25.72</w:t>
                  </w:r>
                  <w:r>
                    <w:t>, 197.00](15.8)</w:t>
                  </w:r>
                </w:p>
              </w:tc>
              <w:tc>
                <w:tcPr>
                  <w:tcW w:w="2036" w:type="dxa"/>
                </w:tcPr>
                <w:p w14:paraId="71EAA3D7" w14:textId="0C3F613F" w:rsidR="00EB0084" w:rsidRDefault="00EB0084" w:rsidP="00EB0084">
                  <w:pPr>
                    <w:pStyle w:val="TableCaption"/>
                  </w:pPr>
                  <w:r>
                    <w:t>0.550</w:t>
                  </w:r>
                </w:p>
              </w:tc>
            </w:tr>
            <w:tr w:rsidR="00EB0084" w14:paraId="1CE2701B" w14:textId="77777777" w:rsidTr="00685AB3">
              <w:tc>
                <w:tcPr>
                  <w:tcW w:w="1587" w:type="dxa"/>
                </w:tcPr>
                <w:p w14:paraId="764F0F09" w14:textId="76825D77" w:rsidR="00EB0084" w:rsidRDefault="00EB0084" w:rsidP="00EB0084">
                  <w:pPr>
                    <w:pStyle w:val="TableCaption"/>
                  </w:pPr>
                  <w:r>
                    <w:t>Simpler.</w:t>
                  </w:r>
                </w:p>
              </w:tc>
              <w:tc>
                <w:tcPr>
                  <w:tcW w:w="2127" w:type="dxa"/>
                </w:tcPr>
                <w:p w14:paraId="5200BFF5" w14:textId="02488530" w:rsidR="00EB0084" w:rsidRDefault="00EB0084" w:rsidP="00EB0084">
                  <w:pPr>
                    <w:pStyle w:val="TableCaption"/>
                  </w:pPr>
                  <w:r>
                    <w:t xml:space="preserve">[-0.29, </w:t>
                  </w:r>
                  <w:r w:rsidRPr="00685AB3">
                    <w:t>1.06</w:t>
                  </w:r>
                  <w:r>
                    <w:t>, 19.95](4.1)</w:t>
                  </w:r>
                </w:p>
              </w:tc>
              <w:tc>
                <w:tcPr>
                  <w:tcW w:w="2394" w:type="dxa"/>
                </w:tcPr>
                <w:p w14:paraId="01D1053B" w14:textId="731B3ED4" w:rsidR="00EB0084" w:rsidRDefault="00EB0084" w:rsidP="00EB0084">
                  <w:pPr>
                    <w:pStyle w:val="TableCaption"/>
                  </w:pPr>
                  <w:r>
                    <w:t xml:space="preserve">[3.17, </w:t>
                  </w:r>
                  <w:r w:rsidRPr="00685AB3">
                    <w:t>Large</w:t>
                  </w:r>
                  <w:r>
                    <w:t xml:space="preserve">, </w:t>
                  </w:r>
                  <w:r w:rsidRPr="00685AB3">
                    <w:t>Large</w:t>
                  </w:r>
                  <w:r>
                    <w:t>](</w:t>
                  </w:r>
                  <w:r w:rsidRPr="00685AB3">
                    <w:t>Large</w:t>
                  </w:r>
                  <w:r>
                    <w:t>)</w:t>
                  </w:r>
                  <w:r>
                    <w:rPr>
                      <w:rStyle w:val="FootnoteReference"/>
                    </w:rPr>
                    <w:footnoteReference w:id="1"/>
                  </w:r>
                </w:p>
              </w:tc>
              <w:tc>
                <w:tcPr>
                  <w:tcW w:w="2036" w:type="dxa"/>
                </w:tcPr>
                <w:p w14:paraId="4AC25923" w14:textId="5E61996F" w:rsidR="00EB0084" w:rsidRDefault="00EB0084" w:rsidP="00EB0084">
                  <w:pPr>
                    <w:pStyle w:val="TableCaption"/>
                  </w:pPr>
                  <w:r>
                    <w:t>0.769</w:t>
                  </w:r>
                </w:p>
              </w:tc>
            </w:tr>
          </w:tbl>
          <w:p w14:paraId="41FBAB52" w14:textId="77777777" w:rsidR="00EB0084" w:rsidRPr="00075EA6" w:rsidRDefault="00EB0084" w:rsidP="00F657D5">
            <w:pPr>
              <w:pStyle w:val="TableCaption"/>
            </w:pPr>
          </w:p>
        </w:tc>
      </w:tr>
    </w:tbl>
    <w:p w14:paraId="5EA1940C" w14:textId="77777777" w:rsidR="00EB0084" w:rsidRDefault="00EB0084" w:rsidP="00EB0084">
      <w:pPr>
        <w:pStyle w:val="Paragraph"/>
      </w:pPr>
    </w:p>
    <w:p w14:paraId="0F191386" w14:textId="4A482B60" w:rsidR="0000259D" w:rsidRPr="00075EA6" w:rsidRDefault="0000259D" w:rsidP="0000259D">
      <w:pPr>
        <w:pStyle w:val="Heading1"/>
        <w:rPr>
          <w:b w:val="0"/>
          <w:caps w:val="0"/>
          <w:sz w:val="20"/>
        </w:rPr>
      </w:pPr>
      <w:r>
        <w:t>conclusion and discussion</w:t>
      </w:r>
      <w:r w:rsidRPr="00075EA6">
        <w:br/>
      </w:r>
    </w:p>
    <w:p w14:paraId="400AB350" w14:textId="65B01D12" w:rsidR="00990136" w:rsidRDefault="00990136" w:rsidP="00990136">
      <w:pPr>
        <w:pStyle w:val="Paragraph"/>
      </w:pPr>
      <w:r>
        <w:t xml:space="preserve">A new eigenmarking scheme is proposed. It requires only one extra qubit and a common </w:t>
      </w:r>
      <w:r w:rsidRPr="00990136">
        <w:t>ccz</w:t>
      </w:r>
      <w:r>
        <w:t xml:space="preserve"> gate. Its performance has been shown to be viable in a two-qubit simulation.</w:t>
      </w:r>
    </w:p>
    <w:p w14:paraId="758DC7DF" w14:textId="77777777" w:rsidR="00990136" w:rsidRDefault="00990136" w:rsidP="00990136">
      <w:pPr>
        <w:pStyle w:val="Paragraph"/>
      </w:pPr>
      <w:r>
        <w:t xml:space="preserve">Regarding practical implementation, our novel eigenmarking scheme requires less resources than previously proposed eigenmarking. It requires only one extra qubit and two-qubit-control phase rotation. Using two-qubit controlled phase rotation leads to entanglement of only three qubits regardless of search space. This could be conferred to multiple-qubit controlled phase rotation in subtle eigenmarking, which leads to entanglement of </w:t>
      </w:r>
      <m:oMath>
        <m:r>
          <w:rPr>
            <w:rFonts w:ascii="Cambria Math" w:hAnsi="Cambria Math"/>
          </w:rPr>
          <m:t>n</m:t>
        </m:r>
        <m:r>
          <m:rPr>
            <m:sty m:val="p"/>
          </m:rPr>
          <w:rPr>
            <w:rFonts w:ascii="Cambria Math" w:hAnsi="Cambria Math"/>
          </w:rPr>
          <m:t>+2</m:t>
        </m:r>
      </m:oMath>
      <w:r>
        <w:t xml:space="preserve"> qubits for </w:t>
      </w:r>
      <m:oMath>
        <m:r>
          <w:rPr>
            <w:rFonts w:ascii="Cambria Math" w:hAnsi="Cambria Math"/>
          </w:rPr>
          <m:t>n</m:t>
        </m:r>
      </m:oMath>
      <w:r>
        <w:t xml:space="preserve">-qubit search space. Maintaining coherence of highly entangled states poses critical challenges on practical hardware, particularly on superconducting circuits. In addition, as all eigenmarking schemes relying on Grover search, implementing oracle </w:t>
      </w:r>
      <m:oMath>
        <m:sSub>
          <m:sSubPr>
            <m:ctrlPr>
              <w:rPr>
                <w:rFonts w:ascii="Cambria Math" w:hAnsi="Cambria Math"/>
              </w:rPr>
            </m:ctrlPr>
          </m:sSubPr>
          <m:e>
            <m:r>
              <w:rPr>
                <w:rFonts w:ascii="Cambria Math" w:hAnsi="Cambria Math"/>
              </w:rPr>
              <m:t>U</m:t>
            </m:r>
          </m:e>
          <m:sub>
            <m:r>
              <w:rPr>
                <w:rFonts w:ascii="Cambria Math" w:hAnsi="Cambria Math"/>
              </w:rPr>
              <m:t>f</m:t>
            </m:r>
          </m:sub>
        </m:sSub>
      </m:oMath>
      <w:r>
        <w:t>, especially a complex one, remains one of the major practical challenges.</w:t>
      </w:r>
    </w:p>
    <w:p w14:paraId="6BB5EAC7" w14:textId="5B39AA13" w:rsidR="0000259D" w:rsidRDefault="00990136" w:rsidP="00990136">
      <w:pPr>
        <w:pStyle w:val="Paragraph"/>
      </w:pPr>
      <w:r>
        <w:t>To further advance the development of the eigenmarking approach, its scalability (scaling up to a large number of qubits), robustness (accounting for noise and testing on a real quantum machine), theoretical analysis (examining its potentials and limits), further exploration on applications along with other related algorithms (synergizing its applicability) have to be adequately investigated.</w:t>
      </w:r>
    </w:p>
    <w:p w14:paraId="5A73B264" w14:textId="305833A7" w:rsidR="003E7C74" w:rsidRPr="00075EA6" w:rsidRDefault="003E7C74" w:rsidP="009B7671">
      <w:pPr>
        <w:pStyle w:val="Paragraph"/>
      </w:pPr>
    </w:p>
    <w:p w14:paraId="16F21B4D" w14:textId="438934AD" w:rsidR="00613B4D" w:rsidRDefault="0016385D" w:rsidP="00613B4D">
      <w:pPr>
        <w:pStyle w:val="Heading1"/>
        <w:rPr>
          <w:b w:val="0"/>
          <w:caps w:val="0"/>
          <w:sz w:val="20"/>
        </w:rPr>
      </w:pPr>
      <w:r w:rsidRPr="00075EA6">
        <w:rPr>
          <w:rFonts w:asciiTheme="majorBidi" w:hAnsiTheme="majorBidi" w:cstheme="majorBidi"/>
        </w:rPr>
        <w:t>References</w:t>
      </w:r>
      <w:r w:rsidR="00B1000D">
        <w:rPr>
          <w:rFonts w:asciiTheme="majorBidi" w:hAnsiTheme="majorBidi" w:cstheme="majorBidi"/>
        </w:rPr>
        <w:br/>
      </w:r>
    </w:p>
    <w:p w14:paraId="22435ED9" w14:textId="06CEDDE9" w:rsidR="00F657D5" w:rsidRDefault="00F657D5" w:rsidP="003B0050">
      <w:pPr>
        <w:pStyle w:val="Reference"/>
      </w:pPr>
      <w:r w:rsidRPr="00F657D5">
        <w:t>S. Russell and P. Norvig, Artificial intelligence: a modern approach (Pearson, 2022).</w:t>
      </w:r>
    </w:p>
    <w:p w14:paraId="4923E52C" w14:textId="77ABA3E9" w:rsidR="00F657D5" w:rsidRDefault="00F657D5" w:rsidP="003B0050">
      <w:pPr>
        <w:pStyle w:val="Reference"/>
      </w:pPr>
      <w:r w:rsidRPr="00F657D5">
        <w:t>Y. Kim, A. Eddins, S. Anand, and et al., “Evidence for the utility of quantum computing before fault tolerance,” Nature 618, 500–505 (2023).</w:t>
      </w:r>
    </w:p>
    <w:p w14:paraId="0EBC2167" w14:textId="34B183D9" w:rsidR="00F657D5" w:rsidRDefault="00F657D5" w:rsidP="003B0050">
      <w:pPr>
        <w:pStyle w:val="Reference"/>
      </w:pPr>
      <w:r w:rsidRPr="00F657D5">
        <w:t>T. Katanyukul, “Toward entailment checking: explore eigenmarking search,” in InCACCT (2025).</w:t>
      </w:r>
    </w:p>
    <w:p w14:paraId="191BECD5" w14:textId="7D5CCE93" w:rsidR="00F657D5" w:rsidRDefault="00F657D5" w:rsidP="003B0050">
      <w:pPr>
        <w:pStyle w:val="Reference"/>
      </w:pPr>
      <w:r w:rsidRPr="00F657D5">
        <w:t>L. Grover, “Quantum mechanics helps in searching for a needle in a haystack,” Phys. Rev. Lett. 79(325) (1997).</w:t>
      </w:r>
    </w:p>
    <w:p w14:paraId="6C6DDE47" w14:textId="0CFD9375" w:rsidR="00F657D5" w:rsidRDefault="00F657D5" w:rsidP="003B0050">
      <w:pPr>
        <w:pStyle w:val="Reference"/>
      </w:pPr>
      <w:r w:rsidRPr="00F657D5">
        <w:t>M. A. Nielsen and I. L. Chuang, Quantum computation and quantum information (CUP, 2016).</w:t>
      </w:r>
    </w:p>
    <w:p w14:paraId="770E9BDC" w14:textId="1450D874" w:rsidR="00F657D5" w:rsidRDefault="00F657D5" w:rsidP="003B0050">
      <w:pPr>
        <w:pStyle w:val="Reference"/>
      </w:pPr>
      <w:r w:rsidRPr="00F657D5">
        <w:t>P. Krantz, M. Kjaergaard, F. Yan, and et al., “A quantum engineer’s guide to superconducting qubits,” Appl. Phys. Rev. 6 (2019).</w:t>
      </w:r>
    </w:p>
    <w:p w14:paraId="7C8CA78A" w14:textId="2431945D" w:rsidR="00F657D5" w:rsidRDefault="00F657D5" w:rsidP="003B0050">
      <w:pPr>
        <w:pStyle w:val="Reference"/>
      </w:pPr>
      <w:r w:rsidRPr="00F657D5">
        <w:t>M. Boyer, G. Brassard, P. Høyer, and A. Tapp, “Tight bounds on quantum search,” Fortschritte der Physik 46 (1998).</w:t>
      </w:r>
    </w:p>
    <w:p w14:paraId="1D1585E9" w14:textId="6431A751" w:rsidR="00F657D5" w:rsidRDefault="00F657D5" w:rsidP="003B0050">
      <w:pPr>
        <w:pStyle w:val="Reference"/>
      </w:pPr>
      <w:r w:rsidRPr="00F657D5">
        <w:t>G. Brassard, P. Høyer, and A. Tapp, “Quantum counting,” in ICALP (1998).</w:t>
      </w:r>
    </w:p>
    <w:p w14:paraId="5FECB244" w14:textId="69438213" w:rsidR="00F657D5" w:rsidRDefault="00F657D5" w:rsidP="003B0050">
      <w:pPr>
        <w:pStyle w:val="Reference"/>
      </w:pPr>
      <w:r w:rsidRPr="00F657D5">
        <w:t>A. Shukla and P. Vedula, “Toward practical quantum phase estimation: a modular, scalable, and adaptive approach,” arXiv preprint arXiv:2507.22460 (2025).</w:t>
      </w:r>
    </w:p>
    <w:p w14:paraId="5DE1FBA7" w14:textId="19CE723F" w:rsidR="00F657D5" w:rsidRDefault="00F657D5" w:rsidP="003B0050">
      <w:pPr>
        <w:pStyle w:val="Reference"/>
      </w:pPr>
      <w:r w:rsidRPr="00F657D5">
        <w:t>K. Bharti, A. Cervera-Lierta, T. Kyaw, and et al., “Noisy intermediate-scale quantum algorithms,” Rev. Mod. Phys. 94 (2022).</w:t>
      </w:r>
    </w:p>
    <w:p w14:paraId="2001AB49" w14:textId="400F71ED" w:rsidR="00F657D5" w:rsidRDefault="00241288" w:rsidP="003B0050">
      <w:pPr>
        <w:pStyle w:val="Reference"/>
      </w:pPr>
      <w:r w:rsidRPr="00241288">
        <w:t>Y. Dong, J. Gross, and M. Niu, “Optimal low-depth quantum signal-processing phase estimation,” Nat. Commun. 16 (2025).</w:t>
      </w:r>
    </w:p>
    <w:p w14:paraId="6CDCD180" w14:textId="6E5E1568" w:rsidR="00F657D5" w:rsidRDefault="00F657D5" w:rsidP="00F657D5">
      <w:pPr>
        <w:pStyle w:val="Reference"/>
        <w:numPr>
          <w:ilvl w:val="0"/>
          <w:numId w:val="0"/>
        </w:numPr>
        <w:ind w:left="426" w:hanging="426"/>
      </w:pPr>
    </w:p>
    <w:p w14:paraId="2A682501" w14:textId="77777777" w:rsidR="00F657D5" w:rsidRPr="006E4474" w:rsidRDefault="00F657D5" w:rsidP="00F657D5">
      <w:pPr>
        <w:pStyle w:val="Reference"/>
        <w:numPr>
          <w:ilvl w:val="0"/>
          <w:numId w:val="0"/>
        </w:numPr>
        <w:ind w:left="426" w:hanging="426"/>
      </w:pPr>
    </w:p>
    <w:p w14:paraId="4DE91CCB" w14:textId="77777777" w:rsidR="00326AE0" w:rsidRPr="00114AB1" w:rsidRDefault="00326AE0" w:rsidP="003B0050">
      <w:pPr>
        <w:pStyle w:val="Paragraphbulleted"/>
        <w:numPr>
          <w:ilvl w:val="0"/>
          <w:numId w:val="0"/>
        </w:numPr>
        <w:ind w:left="426" w:hanging="426"/>
      </w:pPr>
    </w:p>
    <w:sectPr w:rsidR="00326AE0" w:rsidRPr="00114AB1" w:rsidSect="00D30640">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6B3012" w14:textId="77777777" w:rsidR="00A65809" w:rsidRDefault="00A65809" w:rsidP="00EC20BA">
      <w:r>
        <w:separator/>
      </w:r>
    </w:p>
  </w:endnote>
  <w:endnote w:type="continuationSeparator" w:id="0">
    <w:p w14:paraId="4524F24A" w14:textId="77777777" w:rsidR="00A65809" w:rsidRDefault="00A65809" w:rsidP="00EC2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D2904FA-C815-4433-A69D-A323994CEF58}"/>
  </w:font>
  <w:font w:name="Times New Roman">
    <w:panose1 w:val="02020603050405020304"/>
    <w:charset w:val="00"/>
    <w:family w:val="roman"/>
    <w:pitch w:val="variable"/>
    <w:sig w:usb0="E0002EFF" w:usb1="C000785B" w:usb2="00000009" w:usb3="00000000" w:csb0="000001FF" w:csb1="00000000"/>
    <w:embedRegular r:id="rId2" w:fontKey="{BD32B876-1B18-4E8A-8637-862F1D2C765C}"/>
    <w:embedBold r:id="rId3" w:fontKey="{7443FC96-E6A1-4F07-9E19-56B3B031DF35}"/>
    <w:embedItalic r:id="rId4" w:fontKey="{032ADD61-3399-4FCA-B0DC-8D7EB887E7A9}"/>
    <w:embedBoldItalic r:id="rId5" w:fontKey="{641EAC2F-DB6D-44AB-A16F-B5F6D9353090}"/>
  </w:font>
  <w:font w:name="Courier New">
    <w:panose1 w:val="02070309020205020404"/>
    <w:charset w:val="00"/>
    <w:family w:val="modern"/>
    <w:pitch w:val="fixed"/>
    <w:sig w:usb0="E0002EFF" w:usb1="C0007843" w:usb2="00000009" w:usb3="00000000" w:csb0="000001FF" w:csb1="00000000"/>
    <w:embedRegular r:id="rId6" w:fontKey="{0BA28979-AFFA-4ED8-93E7-BB7B1A5D507C}"/>
  </w:font>
  <w:font w:name="Wingdings">
    <w:panose1 w:val="05000000000000000000"/>
    <w:charset w:val="02"/>
    <w:family w:val="auto"/>
    <w:pitch w:val="variable"/>
    <w:sig w:usb0="00000000" w:usb1="10000000" w:usb2="00000000" w:usb3="00000000" w:csb0="80000000" w:csb1="00000000"/>
    <w:embedRegular r:id="rId7" w:fontKey="{DB954FC0-EE29-4D34-9EAA-CA5126EEDA11}"/>
  </w:font>
  <w:font w:name="Cambria">
    <w:panose1 w:val="02040503050406030204"/>
    <w:charset w:val="00"/>
    <w:family w:val="roman"/>
    <w:pitch w:val="variable"/>
    <w:sig w:usb0="E00006FF" w:usb1="420024FF" w:usb2="02000000" w:usb3="00000000" w:csb0="0000019F" w:csb1="00000000"/>
    <w:embedRegular r:id="rId8" w:fontKey="{CE4A14CF-C40B-4357-8ED0-301A7B7ACFC9}"/>
    <w:embedItalic r:id="rId9" w:fontKey="{EF0657E6-7ECC-461E-88EB-F2298BBE846B}"/>
  </w:font>
  <w:font w:name="Tahoma">
    <w:panose1 w:val="020B0604030504040204"/>
    <w:charset w:val="00"/>
    <w:family w:val="swiss"/>
    <w:pitch w:val="variable"/>
    <w:sig w:usb0="E1002EFF" w:usb1="C000605B" w:usb2="00000029" w:usb3="00000000" w:csb0="000101FF" w:csb1="00000000"/>
    <w:embedRegular r:id="rId10" w:fontKey="{0B8BCF9A-5B82-4966-96C9-C79E875BA97D}"/>
  </w:font>
  <w:font w:name="Calibri">
    <w:panose1 w:val="020F0502020204030204"/>
    <w:charset w:val="00"/>
    <w:family w:val="swiss"/>
    <w:pitch w:val="variable"/>
    <w:sig w:usb0="E4002EFF" w:usb1="C000247B" w:usb2="00000009" w:usb3="00000000" w:csb0="000001FF" w:csb1="00000000"/>
    <w:embedRegular r:id="rId11" w:fontKey="{A97726A5-D55A-4AC8-9860-B70B64F72870}"/>
    <w:embedItalic r:id="rId12" w:fontKey="{D5D237CF-3631-4578-A236-D41E86E33A48}"/>
  </w:font>
  <w:font w:name="Arial">
    <w:panose1 w:val="020B0604020202020204"/>
    <w:charset w:val="00"/>
    <w:family w:val="swiss"/>
    <w:pitch w:val="variable"/>
    <w:sig w:usb0="E0002EFF" w:usb1="C000785B" w:usb2="00000009" w:usb3="00000000" w:csb0="000001FF" w:csb1="00000000"/>
    <w:embedRegular r:id="rId13" w:fontKey="{895C172F-3CAA-49D2-BE1C-FEA3A6EDD6BD}"/>
  </w:font>
  <w:font w:name="Consolas">
    <w:panose1 w:val="020B0609020204030204"/>
    <w:charset w:val="00"/>
    <w:family w:val="modern"/>
    <w:pitch w:val="fixed"/>
    <w:sig w:usb0="E00006FF" w:usb1="0000FCFF" w:usb2="00000001" w:usb3="00000000" w:csb0="0000019F" w:csb1="00000000"/>
    <w:embedRegular r:id="rId14" w:fontKey="{5C1053BF-EAEB-436B-95B1-352EBFE83DD1}"/>
  </w:font>
  <w:font w:name="Cambria Math">
    <w:panose1 w:val="02040503050406030204"/>
    <w:charset w:val="00"/>
    <w:family w:val="roman"/>
    <w:pitch w:val="variable"/>
    <w:sig w:usb0="E00006FF" w:usb1="420024FF" w:usb2="02000000" w:usb3="00000000" w:csb0="0000019F" w:csb1="00000000"/>
    <w:embedRegular r:id="rId15" w:fontKey="{4EA7D1DC-D708-4D9C-AA0D-E46050549848}"/>
    <w:embedBold r:id="rId16" w:fontKey="{86295EA5-9CD7-4C99-BA09-F396E2106864}"/>
    <w:embedItalic r:id="rId17" w:fontKey="{3290501A-0FD7-4676-AB6A-5A5880A31C2B}"/>
    <w:embedBoldItalic r:id="rId18" w:fontKey="{29227E56-92C4-47F0-AAD2-741E24E4198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7E5311" w14:textId="77777777" w:rsidR="00A65809" w:rsidRDefault="00A65809" w:rsidP="00EC20BA">
      <w:r>
        <w:separator/>
      </w:r>
    </w:p>
  </w:footnote>
  <w:footnote w:type="continuationSeparator" w:id="0">
    <w:p w14:paraId="43C74094" w14:textId="77777777" w:rsidR="00A65809" w:rsidRDefault="00A65809" w:rsidP="00EC20BA">
      <w:r>
        <w:continuationSeparator/>
      </w:r>
    </w:p>
  </w:footnote>
  <w:footnote w:id="1">
    <w:p w14:paraId="774648BE" w14:textId="77777777" w:rsidR="00F657D5" w:rsidRDefault="00F657D5" w:rsidP="00EC20BA">
      <w:pPr>
        <w:pStyle w:val="FootnoteText"/>
      </w:pPr>
      <w:r>
        <w:rPr>
          <w:rStyle w:val="FootnoteReference"/>
        </w:rPr>
        <w:footnoteRef/>
      </w:r>
      <w:r>
        <w:t xml:space="preserve"> Count of any non-answer state with a target tag is zero.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31C51"/>
    <w:multiLevelType w:val="hybridMultilevel"/>
    <w:tmpl w:val="097C1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EF4291"/>
    <w:multiLevelType w:val="multilevel"/>
    <w:tmpl w:val="F82C5E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DF2E96"/>
    <w:multiLevelType w:val="hybridMultilevel"/>
    <w:tmpl w:val="4DCACC84"/>
    <w:lvl w:ilvl="0" w:tplc="0008B0C4">
      <w:start w:val="1"/>
      <w:numFmt w:val="decimal"/>
      <w:lvlText w:val="%1-"/>
      <w:lvlJc w:val="left"/>
      <w:pPr>
        <w:ind w:left="644" w:hanging="360"/>
      </w:pPr>
      <w:rPr>
        <w:rFonts w:hint="default"/>
        <w:b/>
        <w:i w:val="0"/>
        <w:u w:val="single"/>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4" w15:restartNumberingAfterBreak="0">
    <w:nsid w:val="29845F6D"/>
    <w:multiLevelType w:val="hybridMultilevel"/>
    <w:tmpl w:val="5AE0C1F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39AB2696"/>
    <w:multiLevelType w:val="hybridMultilevel"/>
    <w:tmpl w:val="8F02AA48"/>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 w15:restartNumberingAfterBreak="0">
    <w:nsid w:val="3A756C1A"/>
    <w:multiLevelType w:val="hybridMultilevel"/>
    <w:tmpl w:val="201C2230"/>
    <w:lvl w:ilvl="0" w:tplc="08090001">
      <w:start w:val="1"/>
      <w:numFmt w:val="bullet"/>
      <w:lvlText w:val=""/>
      <w:lvlJc w:val="left"/>
      <w:pPr>
        <w:ind w:left="1050" w:hanging="360"/>
      </w:pPr>
      <w:rPr>
        <w:rFonts w:ascii="Symbol" w:hAnsi="Symbol"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8" w15:restartNumberingAfterBreak="0">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E1C6FEE"/>
    <w:multiLevelType w:val="hybridMultilevel"/>
    <w:tmpl w:val="BC72DB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467158"/>
    <w:multiLevelType w:val="hybridMultilevel"/>
    <w:tmpl w:val="2A1CDC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7C9507E"/>
    <w:multiLevelType w:val="hybridMultilevel"/>
    <w:tmpl w:val="74D8EBE6"/>
    <w:lvl w:ilvl="0" w:tplc="D458AF60">
      <w:start w:val="1"/>
      <w:numFmt w:val="decimal"/>
      <w:lvlText w:val="%1."/>
      <w:lvlJc w:val="left"/>
      <w:pPr>
        <w:ind w:left="64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2"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13" w15:restartNumberingAfterBreak="0">
    <w:nsid w:val="765903BB"/>
    <w:multiLevelType w:val="multilevel"/>
    <w:tmpl w:val="9BBC2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72E6F57"/>
    <w:multiLevelType w:val="hybridMultilevel"/>
    <w:tmpl w:val="6972D792"/>
    <w:lvl w:ilvl="0" w:tplc="10A26694">
      <w:start w:val="1"/>
      <w:numFmt w:val="bullet"/>
      <w:lvlText w:val=""/>
      <w:lvlJc w:val="left"/>
      <w:pPr>
        <w:tabs>
          <w:tab w:val="num" w:pos="720"/>
        </w:tabs>
        <w:ind w:left="720" w:hanging="360"/>
      </w:pPr>
      <w:rPr>
        <w:rFonts w:ascii="Symbol" w:hAnsi="Symbol" w:hint="default"/>
        <w:sz w:val="20"/>
      </w:rPr>
    </w:lvl>
    <w:lvl w:ilvl="1" w:tplc="9C6E8F36" w:tentative="1">
      <w:start w:val="1"/>
      <w:numFmt w:val="bullet"/>
      <w:lvlText w:val="o"/>
      <w:lvlJc w:val="left"/>
      <w:pPr>
        <w:tabs>
          <w:tab w:val="num" w:pos="1440"/>
        </w:tabs>
        <w:ind w:left="1440" w:hanging="360"/>
      </w:pPr>
      <w:rPr>
        <w:rFonts w:ascii="Courier New" w:hAnsi="Courier New" w:hint="default"/>
        <w:sz w:val="20"/>
      </w:rPr>
    </w:lvl>
    <w:lvl w:ilvl="2" w:tplc="99AE47CC" w:tentative="1">
      <w:start w:val="1"/>
      <w:numFmt w:val="bullet"/>
      <w:lvlText w:val=""/>
      <w:lvlJc w:val="left"/>
      <w:pPr>
        <w:tabs>
          <w:tab w:val="num" w:pos="2160"/>
        </w:tabs>
        <w:ind w:left="2160" w:hanging="360"/>
      </w:pPr>
      <w:rPr>
        <w:rFonts w:ascii="Wingdings" w:hAnsi="Wingdings" w:hint="default"/>
        <w:sz w:val="20"/>
      </w:rPr>
    </w:lvl>
    <w:lvl w:ilvl="3" w:tplc="DC901BFC" w:tentative="1">
      <w:start w:val="1"/>
      <w:numFmt w:val="bullet"/>
      <w:lvlText w:val=""/>
      <w:lvlJc w:val="left"/>
      <w:pPr>
        <w:tabs>
          <w:tab w:val="num" w:pos="2880"/>
        </w:tabs>
        <w:ind w:left="2880" w:hanging="360"/>
      </w:pPr>
      <w:rPr>
        <w:rFonts w:ascii="Wingdings" w:hAnsi="Wingdings" w:hint="default"/>
        <w:sz w:val="20"/>
      </w:rPr>
    </w:lvl>
    <w:lvl w:ilvl="4" w:tplc="E22EC48C" w:tentative="1">
      <w:start w:val="1"/>
      <w:numFmt w:val="bullet"/>
      <w:lvlText w:val=""/>
      <w:lvlJc w:val="left"/>
      <w:pPr>
        <w:tabs>
          <w:tab w:val="num" w:pos="3600"/>
        </w:tabs>
        <w:ind w:left="3600" w:hanging="360"/>
      </w:pPr>
      <w:rPr>
        <w:rFonts w:ascii="Wingdings" w:hAnsi="Wingdings" w:hint="default"/>
        <w:sz w:val="20"/>
      </w:rPr>
    </w:lvl>
    <w:lvl w:ilvl="5" w:tplc="A462C292" w:tentative="1">
      <w:start w:val="1"/>
      <w:numFmt w:val="bullet"/>
      <w:lvlText w:val=""/>
      <w:lvlJc w:val="left"/>
      <w:pPr>
        <w:tabs>
          <w:tab w:val="num" w:pos="4320"/>
        </w:tabs>
        <w:ind w:left="4320" w:hanging="360"/>
      </w:pPr>
      <w:rPr>
        <w:rFonts w:ascii="Wingdings" w:hAnsi="Wingdings" w:hint="default"/>
        <w:sz w:val="20"/>
      </w:rPr>
    </w:lvl>
    <w:lvl w:ilvl="6" w:tplc="D1DC61E0" w:tentative="1">
      <w:start w:val="1"/>
      <w:numFmt w:val="bullet"/>
      <w:lvlText w:val=""/>
      <w:lvlJc w:val="left"/>
      <w:pPr>
        <w:tabs>
          <w:tab w:val="num" w:pos="5040"/>
        </w:tabs>
        <w:ind w:left="5040" w:hanging="360"/>
      </w:pPr>
      <w:rPr>
        <w:rFonts w:ascii="Wingdings" w:hAnsi="Wingdings" w:hint="default"/>
        <w:sz w:val="20"/>
      </w:rPr>
    </w:lvl>
    <w:lvl w:ilvl="7" w:tplc="5AB06E28" w:tentative="1">
      <w:start w:val="1"/>
      <w:numFmt w:val="bullet"/>
      <w:lvlText w:val=""/>
      <w:lvlJc w:val="left"/>
      <w:pPr>
        <w:tabs>
          <w:tab w:val="num" w:pos="5760"/>
        </w:tabs>
        <w:ind w:left="5760" w:hanging="360"/>
      </w:pPr>
      <w:rPr>
        <w:rFonts w:ascii="Wingdings" w:hAnsi="Wingdings" w:hint="default"/>
        <w:sz w:val="20"/>
      </w:rPr>
    </w:lvl>
    <w:lvl w:ilvl="8" w:tplc="95CE6B50"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num w:numId="1" w16cid:durableId="895509087">
    <w:abstractNumId w:val="15"/>
  </w:num>
  <w:num w:numId="2" w16cid:durableId="746079348">
    <w:abstractNumId w:val="3"/>
  </w:num>
  <w:num w:numId="3" w16cid:durableId="1707825191">
    <w:abstractNumId w:val="12"/>
  </w:num>
  <w:num w:numId="4" w16cid:durableId="11953889">
    <w:abstractNumId w:val="7"/>
  </w:num>
  <w:num w:numId="5" w16cid:durableId="1230186418">
    <w:abstractNumId w:val="11"/>
  </w:num>
  <w:num w:numId="6" w16cid:durableId="2029283320">
    <w:abstractNumId w:val="4"/>
  </w:num>
  <w:num w:numId="7" w16cid:durableId="398286342">
    <w:abstractNumId w:val="6"/>
  </w:num>
  <w:num w:numId="8" w16cid:durableId="157888613">
    <w:abstractNumId w:val="1"/>
  </w:num>
  <w:num w:numId="9" w16cid:durableId="1467358397">
    <w:abstractNumId w:val="14"/>
  </w:num>
  <w:num w:numId="10" w16cid:durableId="368340439">
    <w:abstractNumId w:val="9"/>
  </w:num>
  <w:num w:numId="11" w16cid:durableId="755590390">
    <w:abstractNumId w:val="13"/>
  </w:num>
  <w:num w:numId="12" w16cid:durableId="1498231377">
    <w:abstractNumId w:val="10"/>
  </w:num>
  <w:num w:numId="13" w16cid:durableId="1505047438">
    <w:abstractNumId w:val="5"/>
  </w:num>
  <w:num w:numId="14" w16cid:durableId="937979084">
    <w:abstractNumId w:val="14"/>
  </w:num>
  <w:num w:numId="15" w16cid:durableId="1318876569">
    <w:abstractNumId w:val="8"/>
  </w:num>
  <w:num w:numId="16" w16cid:durableId="2074964865">
    <w:abstractNumId w:val="5"/>
  </w:num>
  <w:num w:numId="17" w16cid:durableId="1203398897">
    <w:abstractNumId w:val="5"/>
  </w:num>
  <w:num w:numId="18" w16cid:durableId="388579999">
    <w:abstractNumId w:val="5"/>
  </w:num>
  <w:num w:numId="19" w16cid:durableId="1342900063">
    <w:abstractNumId w:val="5"/>
  </w:num>
  <w:num w:numId="20" w16cid:durableId="1679575799">
    <w:abstractNumId w:val="5"/>
  </w:num>
  <w:num w:numId="21" w16cid:durableId="1720857410">
    <w:abstractNumId w:val="5"/>
  </w:num>
  <w:num w:numId="22" w16cid:durableId="1841046776">
    <w:abstractNumId w:val="5"/>
  </w:num>
  <w:num w:numId="23" w16cid:durableId="645209761">
    <w:abstractNumId w:val="5"/>
  </w:num>
  <w:num w:numId="24" w16cid:durableId="1187214043">
    <w:abstractNumId w:val="5"/>
  </w:num>
  <w:num w:numId="25" w16cid:durableId="1391925756">
    <w:abstractNumId w:val="5"/>
  </w:num>
  <w:num w:numId="26" w16cid:durableId="233053718">
    <w:abstractNumId w:val="5"/>
  </w:num>
  <w:num w:numId="27" w16cid:durableId="1434782402">
    <w:abstractNumId w:val="5"/>
  </w:num>
  <w:num w:numId="28" w16cid:durableId="88626853">
    <w:abstractNumId w:val="5"/>
  </w:num>
  <w:num w:numId="29" w16cid:durableId="920022157">
    <w:abstractNumId w:val="11"/>
  </w:num>
  <w:num w:numId="30" w16cid:durableId="244077660">
    <w:abstractNumId w:val="11"/>
  </w:num>
  <w:num w:numId="31" w16cid:durableId="1107190431">
    <w:abstractNumId w:val="11"/>
    <w:lvlOverride w:ilvl="0">
      <w:startOverride w:val="1"/>
    </w:lvlOverride>
  </w:num>
  <w:num w:numId="32" w16cid:durableId="1641376975">
    <w:abstractNumId w:val="11"/>
  </w:num>
  <w:num w:numId="33" w16cid:durableId="1084491736">
    <w:abstractNumId w:val="11"/>
    <w:lvlOverride w:ilvl="0">
      <w:startOverride w:val="1"/>
    </w:lvlOverride>
  </w:num>
  <w:num w:numId="34" w16cid:durableId="922647693">
    <w:abstractNumId w:val="11"/>
    <w:lvlOverride w:ilvl="0">
      <w:startOverride w:val="1"/>
    </w:lvlOverride>
  </w:num>
  <w:num w:numId="35" w16cid:durableId="1910454276">
    <w:abstractNumId w:val="12"/>
    <w:lvlOverride w:ilvl="0">
      <w:startOverride w:val="1"/>
    </w:lvlOverride>
  </w:num>
  <w:num w:numId="36" w16cid:durableId="1398237891">
    <w:abstractNumId w:val="12"/>
  </w:num>
  <w:num w:numId="37" w16cid:durableId="1807628523">
    <w:abstractNumId w:val="12"/>
    <w:lvlOverride w:ilvl="0">
      <w:startOverride w:val="1"/>
    </w:lvlOverride>
  </w:num>
  <w:num w:numId="38" w16cid:durableId="638150447">
    <w:abstractNumId w:val="12"/>
  </w:num>
  <w:num w:numId="39" w16cid:durableId="55054988">
    <w:abstractNumId w:val="12"/>
    <w:lvlOverride w:ilvl="0">
      <w:startOverride w:val="1"/>
    </w:lvlOverride>
  </w:num>
  <w:num w:numId="40" w16cid:durableId="1692564774">
    <w:abstractNumId w:val="12"/>
    <w:lvlOverride w:ilvl="0">
      <w:startOverride w:val="1"/>
    </w:lvlOverride>
  </w:num>
  <w:num w:numId="41" w16cid:durableId="339435325">
    <w:abstractNumId w:val="12"/>
    <w:lvlOverride w:ilvl="0">
      <w:startOverride w:val="1"/>
    </w:lvlOverride>
  </w:num>
  <w:num w:numId="42" w16cid:durableId="1676423349">
    <w:abstractNumId w:val="12"/>
  </w:num>
  <w:num w:numId="43" w16cid:durableId="1676414547">
    <w:abstractNumId w:val="12"/>
  </w:num>
  <w:num w:numId="44" w16cid:durableId="604927318">
    <w:abstractNumId w:val="2"/>
  </w:num>
  <w:num w:numId="45" w16cid:durableId="11410785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PostScriptOverText/>
  <w:embedTrueTypeFonts/>
  <w:embedSystemFont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4B14"/>
    <w:rsid w:val="0000259D"/>
    <w:rsid w:val="00003D7C"/>
    <w:rsid w:val="00014140"/>
    <w:rsid w:val="00017641"/>
    <w:rsid w:val="00027428"/>
    <w:rsid w:val="00031EC9"/>
    <w:rsid w:val="00066FED"/>
    <w:rsid w:val="00075EA6"/>
    <w:rsid w:val="0007709F"/>
    <w:rsid w:val="00086F62"/>
    <w:rsid w:val="00090674"/>
    <w:rsid w:val="0009320B"/>
    <w:rsid w:val="00096AE0"/>
    <w:rsid w:val="000B1B74"/>
    <w:rsid w:val="000B3A2D"/>
    <w:rsid w:val="000B49C0"/>
    <w:rsid w:val="000E382F"/>
    <w:rsid w:val="000E75CD"/>
    <w:rsid w:val="001036BA"/>
    <w:rsid w:val="001146DC"/>
    <w:rsid w:val="00114AB1"/>
    <w:rsid w:val="001230FF"/>
    <w:rsid w:val="00130BD7"/>
    <w:rsid w:val="00155B67"/>
    <w:rsid w:val="001562AF"/>
    <w:rsid w:val="00160F3D"/>
    <w:rsid w:val="00161A5B"/>
    <w:rsid w:val="0016385D"/>
    <w:rsid w:val="001647A9"/>
    <w:rsid w:val="0016782F"/>
    <w:rsid w:val="001937E9"/>
    <w:rsid w:val="001964E5"/>
    <w:rsid w:val="001B263B"/>
    <w:rsid w:val="001B476A"/>
    <w:rsid w:val="001C764F"/>
    <w:rsid w:val="001C7BB3"/>
    <w:rsid w:val="001D469C"/>
    <w:rsid w:val="001D6149"/>
    <w:rsid w:val="0021619E"/>
    <w:rsid w:val="0023171B"/>
    <w:rsid w:val="00236BFC"/>
    <w:rsid w:val="00237437"/>
    <w:rsid w:val="00241288"/>
    <w:rsid w:val="002502FD"/>
    <w:rsid w:val="00274622"/>
    <w:rsid w:val="00285D24"/>
    <w:rsid w:val="00290390"/>
    <w:rsid w:val="002915D3"/>
    <w:rsid w:val="002924DB"/>
    <w:rsid w:val="002941DA"/>
    <w:rsid w:val="002B5648"/>
    <w:rsid w:val="002B7857"/>
    <w:rsid w:val="002E3C35"/>
    <w:rsid w:val="002F5298"/>
    <w:rsid w:val="00321A88"/>
    <w:rsid w:val="00326AE0"/>
    <w:rsid w:val="00337E4F"/>
    <w:rsid w:val="00340C36"/>
    <w:rsid w:val="003455AA"/>
    <w:rsid w:val="00346A9D"/>
    <w:rsid w:val="0039376F"/>
    <w:rsid w:val="003A287B"/>
    <w:rsid w:val="003A585B"/>
    <w:rsid w:val="003A5C85"/>
    <w:rsid w:val="003A61B1"/>
    <w:rsid w:val="003B0050"/>
    <w:rsid w:val="003D1BC2"/>
    <w:rsid w:val="003D6312"/>
    <w:rsid w:val="003E7C74"/>
    <w:rsid w:val="003F31C6"/>
    <w:rsid w:val="0040225B"/>
    <w:rsid w:val="00402DA2"/>
    <w:rsid w:val="00425AC2"/>
    <w:rsid w:val="0044771F"/>
    <w:rsid w:val="00484E48"/>
    <w:rsid w:val="00485395"/>
    <w:rsid w:val="00495010"/>
    <w:rsid w:val="004A292E"/>
    <w:rsid w:val="004B151D"/>
    <w:rsid w:val="004C7243"/>
    <w:rsid w:val="004E21DE"/>
    <w:rsid w:val="004E3C57"/>
    <w:rsid w:val="004E3CB2"/>
    <w:rsid w:val="00525813"/>
    <w:rsid w:val="0053513F"/>
    <w:rsid w:val="005405F8"/>
    <w:rsid w:val="00574405"/>
    <w:rsid w:val="005854B0"/>
    <w:rsid w:val="005A0E21"/>
    <w:rsid w:val="005B3A34"/>
    <w:rsid w:val="005D49AF"/>
    <w:rsid w:val="005E415C"/>
    <w:rsid w:val="005E71ED"/>
    <w:rsid w:val="005E7946"/>
    <w:rsid w:val="005F4800"/>
    <w:rsid w:val="005F7475"/>
    <w:rsid w:val="00611299"/>
    <w:rsid w:val="00613B4D"/>
    <w:rsid w:val="00616365"/>
    <w:rsid w:val="00616F3B"/>
    <w:rsid w:val="006249A7"/>
    <w:rsid w:val="0064225B"/>
    <w:rsid w:val="006763F9"/>
    <w:rsid w:val="00685AB3"/>
    <w:rsid w:val="006949BC"/>
    <w:rsid w:val="00694ED3"/>
    <w:rsid w:val="006D1229"/>
    <w:rsid w:val="006D372F"/>
    <w:rsid w:val="006D7A18"/>
    <w:rsid w:val="006E4474"/>
    <w:rsid w:val="00701388"/>
    <w:rsid w:val="00707D70"/>
    <w:rsid w:val="00723B7F"/>
    <w:rsid w:val="00725861"/>
    <w:rsid w:val="0073393A"/>
    <w:rsid w:val="0073539D"/>
    <w:rsid w:val="007435E5"/>
    <w:rsid w:val="00767B8A"/>
    <w:rsid w:val="00775481"/>
    <w:rsid w:val="007A233B"/>
    <w:rsid w:val="007B4863"/>
    <w:rsid w:val="007C337C"/>
    <w:rsid w:val="007C65E6"/>
    <w:rsid w:val="007D406B"/>
    <w:rsid w:val="007D4407"/>
    <w:rsid w:val="007E1CA3"/>
    <w:rsid w:val="00812D62"/>
    <w:rsid w:val="00812E52"/>
    <w:rsid w:val="00812F29"/>
    <w:rsid w:val="00821713"/>
    <w:rsid w:val="00826546"/>
    <w:rsid w:val="00827050"/>
    <w:rsid w:val="0083278B"/>
    <w:rsid w:val="00834433"/>
    <w:rsid w:val="00834538"/>
    <w:rsid w:val="00850E89"/>
    <w:rsid w:val="008930E4"/>
    <w:rsid w:val="00893821"/>
    <w:rsid w:val="008A7B9C"/>
    <w:rsid w:val="008B39FA"/>
    <w:rsid w:val="008B4754"/>
    <w:rsid w:val="008E6A7A"/>
    <w:rsid w:val="008F1038"/>
    <w:rsid w:val="008F7046"/>
    <w:rsid w:val="009005FC"/>
    <w:rsid w:val="00922E5A"/>
    <w:rsid w:val="00943315"/>
    <w:rsid w:val="00946C27"/>
    <w:rsid w:val="00950839"/>
    <w:rsid w:val="00972747"/>
    <w:rsid w:val="00990136"/>
    <w:rsid w:val="009A4F3D"/>
    <w:rsid w:val="009B696B"/>
    <w:rsid w:val="009B7671"/>
    <w:rsid w:val="009E1774"/>
    <w:rsid w:val="009E5BA1"/>
    <w:rsid w:val="009F056E"/>
    <w:rsid w:val="00A24F3D"/>
    <w:rsid w:val="00A26DCD"/>
    <w:rsid w:val="00A314BB"/>
    <w:rsid w:val="00A32B7D"/>
    <w:rsid w:val="00A44C75"/>
    <w:rsid w:val="00A5596B"/>
    <w:rsid w:val="00A646B3"/>
    <w:rsid w:val="00A65809"/>
    <w:rsid w:val="00A6739B"/>
    <w:rsid w:val="00A90413"/>
    <w:rsid w:val="00AA728C"/>
    <w:rsid w:val="00AB0A9C"/>
    <w:rsid w:val="00AB7119"/>
    <w:rsid w:val="00AD5855"/>
    <w:rsid w:val="00AE7500"/>
    <w:rsid w:val="00AE7F87"/>
    <w:rsid w:val="00AF3542"/>
    <w:rsid w:val="00AF5ABE"/>
    <w:rsid w:val="00B00415"/>
    <w:rsid w:val="00B03C2A"/>
    <w:rsid w:val="00B0470B"/>
    <w:rsid w:val="00B1000D"/>
    <w:rsid w:val="00B10134"/>
    <w:rsid w:val="00B16BFE"/>
    <w:rsid w:val="00B3409F"/>
    <w:rsid w:val="00B500E5"/>
    <w:rsid w:val="00B633E4"/>
    <w:rsid w:val="00B7286B"/>
    <w:rsid w:val="00B91722"/>
    <w:rsid w:val="00BA39BB"/>
    <w:rsid w:val="00BA3B3D"/>
    <w:rsid w:val="00BB7EEA"/>
    <w:rsid w:val="00BD1909"/>
    <w:rsid w:val="00BE5468"/>
    <w:rsid w:val="00BE5E16"/>
    <w:rsid w:val="00BE5FD1"/>
    <w:rsid w:val="00C06E05"/>
    <w:rsid w:val="00C14B14"/>
    <w:rsid w:val="00C17370"/>
    <w:rsid w:val="00C2054D"/>
    <w:rsid w:val="00C252EB"/>
    <w:rsid w:val="00C26EC0"/>
    <w:rsid w:val="00C4243F"/>
    <w:rsid w:val="00C56C77"/>
    <w:rsid w:val="00C62372"/>
    <w:rsid w:val="00C84923"/>
    <w:rsid w:val="00CB7B3E"/>
    <w:rsid w:val="00CC739D"/>
    <w:rsid w:val="00CD373C"/>
    <w:rsid w:val="00CF0038"/>
    <w:rsid w:val="00D04468"/>
    <w:rsid w:val="00D30640"/>
    <w:rsid w:val="00D34B9D"/>
    <w:rsid w:val="00D36257"/>
    <w:rsid w:val="00D4687E"/>
    <w:rsid w:val="00D53A12"/>
    <w:rsid w:val="00D87E2A"/>
    <w:rsid w:val="00DB0C43"/>
    <w:rsid w:val="00DE3354"/>
    <w:rsid w:val="00DF7DCD"/>
    <w:rsid w:val="00E50B7D"/>
    <w:rsid w:val="00E87E53"/>
    <w:rsid w:val="00E904A1"/>
    <w:rsid w:val="00EB0084"/>
    <w:rsid w:val="00EB7D28"/>
    <w:rsid w:val="00EC0B33"/>
    <w:rsid w:val="00EC0D0C"/>
    <w:rsid w:val="00EC20BA"/>
    <w:rsid w:val="00EC3AAB"/>
    <w:rsid w:val="00ED4A2C"/>
    <w:rsid w:val="00EF6940"/>
    <w:rsid w:val="00F2044A"/>
    <w:rsid w:val="00F20BFC"/>
    <w:rsid w:val="00F24D5F"/>
    <w:rsid w:val="00F320A1"/>
    <w:rsid w:val="00F657D5"/>
    <w:rsid w:val="00F726C3"/>
    <w:rsid w:val="00F820CA"/>
    <w:rsid w:val="00F83128"/>
    <w:rsid w:val="00F8554C"/>
    <w:rsid w:val="00F95F82"/>
    <w:rsid w:val="00F97A90"/>
    <w:rsid w:val="00FC0514"/>
    <w:rsid w:val="00FC2F35"/>
    <w:rsid w:val="00FC3FD7"/>
    <w:rsid w:val="00FD1FC6"/>
    <w:rsid w:val="00FE5869"/>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7DAFF2"/>
  <w15:docId w15:val="{3B121B4A-06B2-40BF-BECE-4B088022D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E3CB2"/>
    <w:rPr>
      <w:sz w:val="24"/>
      <w:lang w:val="en-US" w:eastAsia="en-US"/>
    </w:rPr>
  </w:style>
  <w:style w:type="paragraph" w:styleId="Heading1">
    <w:name w:val="heading 1"/>
    <w:basedOn w:val="Normal"/>
    <w:next w:val="Paragraph"/>
    <w:qFormat/>
    <w:pPr>
      <w:keepNext/>
      <w:spacing w:before="240" w:after="240"/>
      <w:jc w:val="center"/>
      <w:outlineLvl w:val="0"/>
    </w:pPr>
    <w:rPr>
      <w:b/>
      <w:caps/>
    </w:rPr>
  </w:style>
  <w:style w:type="paragraph" w:styleId="Heading2">
    <w:name w:val="heading 2"/>
    <w:basedOn w:val="Normal"/>
    <w:next w:val="Paragraph"/>
    <w:qFormat/>
    <w:pPr>
      <w:keepNext/>
      <w:spacing w:before="240" w:after="240"/>
      <w:jc w:val="center"/>
      <w:outlineLvl w:val="1"/>
    </w:pPr>
    <w:rPr>
      <w:b/>
    </w:rPr>
  </w:style>
  <w:style w:type="paragraph" w:styleId="Heading3">
    <w:name w:val="heading 3"/>
    <w:basedOn w:val="Normal"/>
    <w:next w:val="Normal"/>
    <w:qFormat/>
    <w:rsid w:val="005854B0"/>
    <w:pPr>
      <w:keepNext/>
      <w:spacing w:before="240" w:after="240"/>
      <w:jc w:val="center"/>
      <w:outlineLvl w:val="2"/>
    </w:pPr>
    <w:rPr>
      <w:i/>
      <w:iCs/>
      <w:sz w:val="20"/>
      <w:lang w:val="en-GB" w:eastAsia="en-GB"/>
    </w:rPr>
  </w:style>
  <w:style w:type="paragraph" w:styleId="Heading4">
    <w:name w:val="heading 4"/>
    <w:basedOn w:val="Normal"/>
    <w:next w:val="Normal"/>
    <w:link w:val="Heading4Char"/>
    <w:unhideWhenUsed/>
    <w:qFormat/>
    <w:rsid w:val="00B3409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uiPriority w:val="9"/>
    <w:qFormat/>
    <w:rPr>
      <w:sz w:val="16"/>
    </w:rPr>
  </w:style>
  <w:style w:type="paragraph" w:customStyle="1" w:styleId="PaperTitle">
    <w:name w:val="Paper Title"/>
    <w:basedOn w:val="Normal"/>
    <w:next w:val="AuthorName"/>
    <w:pPr>
      <w:spacing w:before="1200"/>
      <w:jc w:val="center"/>
    </w:pPr>
    <w:rPr>
      <w:b/>
      <w:sz w:val="36"/>
    </w:rPr>
  </w:style>
  <w:style w:type="paragraph" w:customStyle="1" w:styleId="AuthorName">
    <w:name w:val="Author Name"/>
    <w:basedOn w:val="Normal"/>
    <w:next w:val="AuthorAffiliation"/>
    <w:pPr>
      <w:spacing w:before="360" w:after="360"/>
      <w:jc w:val="center"/>
    </w:pPr>
    <w:rPr>
      <w:sz w:val="28"/>
    </w:rPr>
  </w:style>
  <w:style w:type="paragraph" w:customStyle="1" w:styleId="AuthorAffiliation">
    <w:name w:val="Author Affiliation"/>
    <w:basedOn w:val="Normal"/>
    <w:pPr>
      <w:jc w:val="center"/>
    </w:pPr>
    <w:rPr>
      <w:i/>
      <w:sz w:val="20"/>
    </w:rPr>
  </w:style>
  <w:style w:type="paragraph" w:customStyle="1" w:styleId="Abstract">
    <w:name w:val="Abstract"/>
    <w:basedOn w:val="Normal"/>
    <w:next w:val="Heading1"/>
    <w:rsid w:val="00F20BFC"/>
    <w:pPr>
      <w:spacing w:before="360" w:after="360"/>
      <w:ind w:left="289" w:right="289"/>
      <w:jc w:val="both"/>
    </w:pPr>
    <w:rPr>
      <w:sz w:val="18"/>
    </w:rPr>
  </w:style>
  <w:style w:type="paragraph" w:customStyle="1" w:styleId="Paragraph">
    <w:name w:val="Paragraph"/>
    <w:basedOn w:val="Normal"/>
    <w:rsid w:val="005E415C"/>
    <w:pPr>
      <w:ind w:firstLine="284"/>
      <w:jc w:val="both"/>
    </w:pPr>
    <w:rPr>
      <w:sz w:val="20"/>
    </w:rPr>
  </w:style>
  <w:style w:type="character" w:styleId="FootnoteReference">
    <w:name w:val="footnote reference"/>
    <w:rPr>
      <w:vertAlign w:val="superscript"/>
    </w:rPr>
  </w:style>
  <w:style w:type="paragraph" w:customStyle="1" w:styleId="Reference">
    <w:name w:val="Reference"/>
    <w:basedOn w:val="Paragraph"/>
    <w:rsid w:val="00AE7500"/>
    <w:pPr>
      <w:numPr>
        <w:numId w:val="15"/>
      </w:numPr>
      <w:ind w:left="426" w:hanging="426"/>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BalloonText">
    <w:name w:val="Balloon Text"/>
    <w:basedOn w:val="Normal"/>
    <w:link w:val="BalloonTextChar"/>
    <w:rsid w:val="00114AB1"/>
    <w:rPr>
      <w:rFonts w:ascii="Tahoma" w:hAnsi="Tahoma" w:cs="Tahoma"/>
      <w:sz w:val="16"/>
      <w:szCs w:val="16"/>
    </w:rPr>
  </w:style>
  <w:style w:type="character" w:customStyle="1" w:styleId="BalloonTextChar">
    <w:name w:val="Balloon Text Char"/>
    <w:basedOn w:val="DefaultParagraphFont"/>
    <w:link w:val="BalloonText"/>
    <w:rsid w:val="00114AB1"/>
    <w:rPr>
      <w:rFonts w:ascii="Tahoma" w:hAnsi="Tahoma" w:cs="Tahoma"/>
      <w:sz w:val="16"/>
      <w:szCs w:val="16"/>
      <w:lang w:val="en-US" w:eastAsia="en-US"/>
    </w:rPr>
  </w:style>
  <w:style w:type="character" w:styleId="Hyperlink">
    <w:name w:val="Hyperlink"/>
    <w:rPr>
      <w:color w:val="0000FF"/>
      <w:u w:val="single"/>
    </w:rPr>
  </w:style>
  <w:style w:type="table" w:styleId="TableGrid">
    <w:name w:val="Table Grid"/>
    <w:basedOn w:val="TableNormal"/>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28"/>
      </w:numPr>
      <w:ind w:left="641" w:hanging="357"/>
    </w:pPr>
  </w:style>
  <w:style w:type="paragraph" w:customStyle="1" w:styleId="AuthorEmail">
    <w:name w:val="Author Email"/>
    <w:basedOn w:val="Normal"/>
    <w:qFormat/>
    <w:rsid w:val="001D469C"/>
    <w:pPr>
      <w:jc w:val="center"/>
    </w:pPr>
    <w:rPr>
      <w:sz w:val="20"/>
    </w:rPr>
  </w:style>
  <w:style w:type="paragraph" w:styleId="NormalWeb">
    <w:name w:val="Normal (Web)"/>
    <w:basedOn w:val="Normal"/>
    <w:uiPriority w:val="99"/>
    <w:unhideWhenUsed/>
    <w:rsid w:val="005F7475"/>
    <w:pPr>
      <w:spacing w:before="100" w:beforeAutospacing="1" w:after="100" w:afterAutospacing="1"/>
    </w:pPr>
    <w:rPr>
      <w:szCs w:val="24"/>
      <w:lang w:val="en-GB" w:eastAsia="en-GB"/>
    </w:rPr>
  </w:style>
  <w:style w:type="character" w:styleId="Strong">
    <w:name w:val="Strong"/>
    <w:basedOn w:val="DefaultParagraphFont"/>
    <w:uiPriority w:val="22"/>
    <w:qFormat/>
    <w:rsid w:val="005F7475"/>
    <w:rPr>
      <w:b/>
      <w:bCs/>
    </w:rPr>
  </w:style>
  <w:style w:type="character" w:styleId="Emphasis">
    <w:name w:val="Emphasis"/>
    <w:basedOn w:val="DefaultParagraphFont"/>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43"/>
      </w:numPr>
      <w:jc w:val="both"/>
    </w:pPr>
    <w:rPr>
      <w:lang w:val="en-US" w:eastAsia="en-US"/>
    </w:rPr>
  </w:style>
  <w:style w:type="character" w:styleId="UnresolvedMention">
    <w:name w:val="Unresolved Mention"/>
    <w:basedOn w:val="DefaultParagraphFont"/>
    <w:uiPriority w:val="99"/>
    <w:semiHidden/>
    <w:unhideWhenUsed/>
    <w:rsid w:val="00613B4D"/>
    <w:rPr>
      <w:color w:val="808080"/>
      <w:shd w:val="clear" w:color="auto" w:fill="E6E6E6"/>
    </w:rPr>
  </w:style>
  <w:style w:type="paragraph" w:styleId="ListParagraph">
    <w:name w:val="List Paragraph"/>
    <w:basedOn w:val="Normal"/>
    <w:uiPriority w:val="34"/>
    <w:rsid w:val="006E4474"/>
    <w:pPr>
      <w:ind w:left="720"/>
      <w:contextualSpacing/>
    </w:pPr>
  </w:style>
  <w:style w:type="character" w:styleId="CommentReference">
    <w:name w:val="annotation reference"/>
    <w:basedOn w:val="DefaultParagraphFont"/>
    <w:semiHidden/>
    <w:unhideWhenUsed/>
    <w:rsid w:val="005E71ED"/>
    <w:rPr>
      <w:sz w:val="16"/>
      <w:szCs w:val="16"/>
    </w:rPr>
  </w:style>
  <w:style w:type="paragraph" w:styleId="CommentText">
    <w:name w:val="annotation text"/>
    <w:basedOn w:val="Normal"/>
    <w:link w:val="CommentTextChar"/>
    <w:semiHidden/>
    <w:unhideWhenUsed/>
    <w:rsid w:val="005E71ED"/>
    <w:rPr>
      <w:sz w:val="20"/>
    </w:rPr>
  </w:style>
  <w:style w:type="character" w:customStyle="1" w:styleId="CommentTextChar">
    <w:name w:val="Comment Text Char"/>
    <w:basedOn w:val="DefaultParagraphFont"/>
    <w:link w:val="CommentText"/>
    <w:semiHidden/>
    <w:rsid w:val="005E71ED"/>
    <w:rPr>
      <w:lang w:val="en-US" w:eastAsia="en-US"/>
    </w:rPr>
  </w:style>
  <w:style w:type="paragraph" w:styleId="CommentSubject">
    <w:name w:val="annotation subject"/>
    <w:basedOn w:val="CommentText"/>
    <w:next w:val="CommentText"/>
    <w:link w:val="CommentSubjectChar"/>
    <w:semiHidden/>
    <w:unhideWhenUsed/>
    <w:rsid w:val="005E71ED"/>
    <w:rPr>
      <w:b/>
      <w:bCs/>
    </w:rPr>
  </w:style>
  <w:style w:type="character" w:customStyle="1" w:styleId="CommentSubjectChar">
    <w:name w:val="Comment Subject Char"/>
    <w:basedOn w:val="CommentTextChar"/>
    <w:link w:val="CommentSubject"/>
    <w:semiHidden/>
    <w:rsid w:val="005E71ED"/>
    <w:rPr>
      <w:b/>
      <w:bCs/>
      <w:lang w:val="en-US" w:eastAsia="en-US"/>
    </w:rPr>
  </w:style>
  <w:style w:type="character" w:customStyle="1" w:styleId="Heading4Char">
    <w:name w:val="Heading 4 Char"/>
    <w:basedOn w:val="DefaultParagraphFont"/>
    <w:link w:val="Heading4"/>
    <w:rsid w:val="00B3409F"/>
    <w:rPr>
      <w:rFonts w:asciiTheme="majorHAnsi" w:eastAsiaTheme="majorEastAsia" w:hAnsiTheme="majorHAnsi" w:cstheme="majorBidi"/>
      <w:i/>
      <w:iCs/>
      <w:color w:val="365F91" w:themeColor="accent1" w:themeShade="BF"/>
      <w:sz w:val="24"/>
      <w:lang w:val="en-US" w:eastAsia="en-US"/>
    </w:rPr>
  </w:style>
  <w:style w:type="paragraph" w:styleId="BodyText">
    <w:name w:val="Body Text"/>
    <w:basedOn w:val="Normal"/>
    <w:link w:val="BodyTextChar"/>
    <w:qFormat/>
    <w:rsid w:val="00B3409F"/>
    <w:pPr>
      <w:spacing w:before="180" w:after="180"/>
    </w:pPr>
    <w:rPr>
      <w:rFonts w:asciiTheme="minorHAnsi" w:eastAsiaTheme="minorEastAsia" w:hAnsiTheme="minorHAnsi" w:cstheme="minorBidi"/>
      <w:szCs w:val="24"/>
      <w:lang w:eastAsia="zh-CN"/>
    </w:rPr>
  </w:style>
  <w:style w:type="character" w:customStyle="1" w:styleId="BodyTextChar">
    <w:name w:val="Body Text Char"/>
    <w:basedOn w:val="DefaultParagraphFont"/>
    <w:link w:val="BodyText"/>
    <w:rsid w:val="00B3409F"/>
    <w:rPr>
      <w:rFonts w:asciiTheme="minorHAnsi" w:eastAsiaTheme="minorEastAsia" w:hAnsiTheme="minorHAnsi" w:cstheme="minorBidi"/>
      <w:sz w:val="24"/>
      <w:szCs w:val="24"/>
      <w:lang w:val="en-US" w:eastAsia="zh-CN"/>
    </w:rPr>
  </w:style>
  <w:style w:type="paragraph" w:customStyle="1" w:styleId="FirstParagraph">
    <w:name w:val="First Paragraph"/>
    <w:basedOn w:val="BodyText"/>
    <w:next w:val="BodyText"/>
    <w:qFormat/>
    <w:rsid w:val="00B3409F"/>
  </w:style>
  <w:style w:type="paragraph" w:styleId="Subtitle">
    <w:name w:val="Subtitle"/>
    <w:basedOn w:val="Title"/>
    <w:next w:val="BodyText"/>
    <w:link w:val="SubtitleChar"/>
    <w:uiPriority w:val="11"/>
    <w:qFormat/>
    <w:rsid w:val="00B3409F"/>
    <w:pPr>
      <w:numPr>
        <w:ilvl w:val="1"/>
      </w:numPr>
      <w:spacing w:after="80"/>
      <w:jc w:val="center"/>
    </w:pPr>
    <w:rPr>
      <w:spacing w:val="15"/>
      <w:kern w:val="0"/>
      <w:sz w:val="28"/>
      <w:szCs w:val="28"/>
      <w:lang w:eastAsia="zh-CN"/>
    </w:rPr>
  </w:style>
  <w:style w:type="character" w:customStyle="1" w:styleId="SubtitleChar">
    <w:name w:val="Subtitle Char"/>
    <w:basedOn w:val="DefaultParagraphFont"/>
    <w:link w:val="Subtitle"/>
    <w:uiPriority w:val="11"/>
    <w:rsid w:val="00B3409F"/>
    <w:rPr>
      <w:rFonts w:asciiTheme="majorHAnsi" w:eastAsiaTheme="majorEastAsia" w:hAnsiTheme="majorHAnsi" w:cstheme="majorBidi"/>
      <w:spacing w:val="15"/>
      <w:sz w:val="28"/>
      <w:szCs w:val="28"/>
      <w:lang w:val="en-US" w:eastAsia="zh-CN"/>
    </w:rPr>
  </w:style>
  <w:style w:type="paragraph" w:styleId="Title">
    <w:name w:val="Title"/>
    <w:basedOn w:val="Normal"/>
    <w:next w:val="Normal"/>
    <w:link w:val="TitleChar"/>
    <w:qFormat/>
    <w:rsid w:val="00B3409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B3409F"/>
    <w:rPr>
      <w:rFonts w:asciiTheme="majorHAnsi" w:eastAsiaTheme="majorEastAsia" w:hAnsiTheme="majorHAnsi" w:cstheme="majorBidi"/>
      <w:spacing w:val="-10"/>
      <w:kern w:val="28"/>
      <w:sz w:val="56"/>
      <w:szCs w:val="56"/>
      <w:lang w:val="en-US" w:eastAsia="en-US"/>
    </w:rPr>
  </w:style>
  <w:style w:type="paragraph" w:customStyle="1" w:styleId="Compact">
    <w:name w:val="Compact"/>
    <w:basedOn w:val="BodyText"/>
    <w:qFormat/>
    <w:rsid w:val="00CD373C"/>
    <w:pPr>
      <w:spacing w:before="36" w:after="36"/>
    </w:pPr>
  </w:style>
  <w:style w:type="table" w:customStyle="1" w:styleId="Table">
    <w:name w:val="Table"/>
    <w:semiHidden/>
    <w:unhideWhenUsed/>
    <w:qFormat/>
    <w:rsid w:val="00CD373C"/>
    <w:pPr>
      <w:spacing w:after="200"/>
    </w:pPr>
    <w:rPr>
      <w:rFonts w:asciiTheme="minorHAnsi" w:eastAsiaTheme="minorEastAsia" w:hAnsiTheme="minorHAnsi" w:cstheme="minorBidi"/>
      <w:sz w:val="24"/>
      <w:szCs w:val="24"/>
      <w:lang w:val="en-US" w:eastAsia="zh-CN"/>
    </w:rPr>
    <w:tblPr>
      <w:tblInd w:w="0" w:type="dxa"/>
      <w:tblCellMar>
        <w:top w:w="0" w:type="dxa"/>
        <w:left w:w="108" w:type="dxa"/>
        <w:bottom w:w="0" w:type="dxa"/>
        <w:right w:w="108" w:type="dxa"/>
      </w:tblCellMar>
    </w:tblPr>
    <w:tblStylePr w:type="firstRow">
      <w:tblPr/>
      <w:tcPr>
        <w:tcBorders>
          <w:bottom w:val="single" w:sz="0" w:space="0" w:color="auto"/>
        </w:tcBorders>
        <w:vAlign w:val="bottom"/>
      </w:tcPr>
    </w:tblStylePr>
  </w:style>
  <w:style w:type="paragraph" w:customStyle="1" w:styleId="ImageCaption">
    <w:name w:val="Image Caption"/>
    <w:basedOn w:val="Caption"/>
    <w:rsid w:val="00CD373C"/>
    <w:pPr>
      <w:spacing w:after="120"/>
    </w:pPr>
    <w:rPr>
      <w:rFonts w:asciiTheme="minorHAnsi" w:eastAsiaTheme="minorEastAsia" w:hAnsiTheme="minorHAnsi" w:cstheme="minorBidi"/>
      <w:iCs w:val="0"/>
      <w:color w:val="auto"/>
      <w:sz w:val="24"/>
      <w:szCs w:val="24"/>
      <w:lang w:eastAsia="zh-CN"/>
    </w:rPr>
  </w:style>
  <w:style w:type="paragraph" w:styleId="Caption">
    <w:name w:val="caption"/>
    <w:basedOn w:val="Normal"/>
    <w:next w:val="Normal"/>
    <w:semiHidden/>
    <w:unhideWhenUsed/>
    <w:qFormat/>
    <w:rsid w:val="00CD373C"/>
    <w:pPr>
      <w:spacing w:after="200"/>
    </w:pPr>
    <w:rPr>
      <w:i/>
      <w:iCs/>
      <w:color w:val="1F497D" w:themeColor="text2"/>
      <w:sz w:val="18"/>
      <w:szCs w:val="18"/>
    </w:rPr>
  </w:style>
  <w:style w:type="character" w:customStyle="1" w:styleId="VerbatimChar">
    <w:name w:val="Verbatim Char"/>
    <w:basedOn w:val="DefaultParagraphFont"/>
    <w:link w:val="SourceCode"/>
    <w:rsid w:val="00EC20BA"/>
    <w:rPr>
      <w:rFonts w:ascii="Consolas" w:hAnsi="Consolas"/>
      <w:sz w:val="22"/>
    </w:rPr>
  </w:style>
  <w:style w:type="paragraph" w:customStyle="1" w:styleId="SourceCode">
    <w:name w:val="Source Code"/>
    <w:basedOn w:val="Normal"/>
    <w:link w:val="VerbatimChar"/>
    <w:rsid w:val="00EC20BA"/>
    <w:pPr>
      <w:wordWrap w:val="0"/>
      <w:spacing w:after="200"/>
    </w:pPr>
    <w:rPr>
      <w:rFonts w:ascii="Consolas" w:hAnsi="Consolas"/>
      <w:sz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846995F60857E14C80FE53F9695AA2C6" ma:contentTypeVersion="7" ma:contentTypeDescription="Create a new document." ma:contentTypeScope="" ma:versionID="38c5f35686c3c4cec37769de32b93b97">
  <xsd:schema xmlns:xsd="http://www.w3.org/2001/XMLSchema" xmlns:xs="http://www.w3.org/2001/XMLSchema" xmlns:p="http://schemas.microsoft.com/office/2006/metadata/properties" xmlns:ns2="62f7b773-16dd-4b3c-b599-ed9bfcbd904f" xmlns:ns3="c3a8a8ca-00e5-416b-a184-163173e53f53" targetNamespace="http://schemas.microsoft.com/office/2006/metadata/properties" ma:root="true" ma:fieldsID="c7a00eb472d1264d625833f449ae8108" ns2:_="" ns3:_="">
    <xsd:import namespace="62f7b773-16dd-4b3c-b599-ed9bfcbd904f"/>
    <xsd:import namespace="c3a8a8ca-00e5-416b-a184-163173e53f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f7b773-16dd-4b3c-b599-ed9bfcbd90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a8a8ca-00e5-416b-a184-163173e53f5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23F62D3-EB58-423F-9DEC-FB3FD7A7276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32159A5-BC23-4CFF-BD29-903CDA33606B}">
  <ds:schemaRefs>
    <ds:schemaRef ds:uri="http://schemas.openxmlformats.org/officeDocument/2006/bibliography"/>
  </ds:schemaRefs>
</ds:datastoreItem>
</file>

<file path=customXml/itemProps3.xml><?xml version="1.0" encoding="utf-8"?>
<ds:datastoreItem xmlns:ds="http://schemas.openxmlformats.org/officeDocument/2006/customXml" ds:itemID="{CF065601-3004-4BED-8BEF-2E59F4003D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f7b773-16dd-4b3c-b599-ed9bfcbd904f"/>
    <ds:schemaRef ds:uri="c3a8a8ca-00e5-416b-a184-163173e53f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44FC6D-7350-442F-8936-25B8D55E2C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8_point5_x11_single_column_template.dotx</Template>
  <TotalTime>2</TotalTime>
  <Pages>6</Pages>
  <Words>3047</Words>
  <Characters>17374</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Title Goes Here</vt:lpstr>
    </vt:vector>
  </TitlesOfParts>
  <Company>PPI</Company>
  <LinksUpToDate>false</LinksUpToDate>
  <CharactersWithSpaces>20381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creator>Ruth Levins</dc:creator>
  <cp:lastModifiedBy>Dr. Nurul Nazihah binti Hawari</cp:lastModifiedBy>
  <cp:revision>2</cp:revision>
  <cp:lastPrinted>2011-03-03T08:29:00Z</cp:lastPrinted>
  <dcterms:created xsi:type="dcterms:W3CDTF">2026-01-20T06:22:00Z</dcterms:created>
  <dcterms:modified xsi:type="dcterms:W3CDTF">2026-01-20T06:22:00Z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ies>
</file>