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3DFC7" w14:textId="77777777" w:rsidR="006971F4" w:rsidRDefault="007065EF">
      <w:pPr>
        <w:pBdr>
          <w:top w:val="nil"/>
          <w:left w:val="nil"/>
          <w:bottom w:val="nil"/>
          <w:right w:val="nil"/>
          <w:between w:val="nil"/>
        </w:pBdr>
        <w:jc w:val="center"/>
        <w:rPr>
          <w:color w:val="000000"/>
        </w:rPr>
      </w:pPr>
      <w:r>
        <w:rPr>
          <w:b/>
          <w:bCs/>
          <w:color w:val="000000"/>
          <w:sz w:val="36"/>
          <w:szCs w:val="36"/>
        </w:rPr>
        <w:t>A Networked Intuitionistic Fuzzy Preference Model with Robust Median Normalization for Portfolio Decision Making</w:t>
      </w:r>
    </w:p>
    <w:p w14:paraId="284C8FF7" w14:textId="77777777" w:rsidR="006971F4" w:rsidRDefault="007065EF">
      <w:pPr>
        <w:pBdr>
          <w:top w:val="nil"/>
          <w:left w:val="nil"/>
          <w:bottom w:val="nil"/>
          <w:right w:val="nil"/>
          <w:between w:val="nil"/>
        </w:pBdr>
        <w:spacing w:before="360" w:after="360"/>
        <w:jc w:val="center"/>
        <w:rPr>
          <w:color w:val="000000"/>
          <w:sz w:val="20"/>
          <w:szCs w:val="20"/>
        </w:rPr>
      </w:pPr>
      <w:r>
        <w:rPr>
          <w:color w:val="000000"/>
          <w:sz w:val="28"/>
          <w:szCs w:val="28"/>
        </w:rPr>
        <w:t>Afnan Aizzat Adnan</w:t>
      </w:r>
      <w:r>
        <w:rPr>
          <w:color w:val="000000"/>
          <w:sz w:val="28"/>
          <w:szCs w:val="28"/>
          <w:vertAlign w:val="superscript"/>
        </w:rPr>
        <w:t>1, a)</w:t>
      </w:r>
      <w:r>
        <w:rPr>
          <w:color w:val="000000"/>
          <w:sz w:val="28"/>
          <w:szCs w:val="28"/>
        </w:rPr>
        <w:t>, Ros Idayuwati Alaudin</w:t>
      </w:r>
      <w:r>
        <w:rPr>
          <w:color w:val="000000"/>
          <w:sz w:val="28"/>
          <w:szCs w:val="28"/>
          <w:vertAlign w:val="superscript"/>
        </w:rPr>
        <w:t>1, b)</w:t>
      </w:r>
      <w:r>
        <w:rPr>
          <w:color w:val="000000"/>
          <w:sz w:val="28"/>
          <w:szCs w:val="28"/>
        </w:rPr>
        <w:t xml:space="preserve"> and Ayu Abdul-Rahman</w:t>
      </w:r>
      <w:r>
        <w:rPr>
          <w:color w:val="000000"/>
          <w:sz w:val="28"/>
          <w:szCs w:val="28"/>
          <w:vertAlign w:val="superscript"/>
        </w:rPr>
        <w:t>1, c)</w:t>
      </w:r>
    </w:p>
    <w:p w14:paraId="1C3BB2D3" w14:textId="77777777" w:rsidR="006971F4" w:rsidRDefault="007065EF">
      <w:pPr>
        <w:pBdr>
          <w:top w:val="nil"/>
          <w:left w:val="nil"/>
          <w:bottom w:val="nil"/>
          <w:right w:val="nil"/>
          <w:between w:val="nil"/>
        </w:pBdr>
        <w:jc w:val="center"/>
        <w:rPr>
          <w:i/>
          <w:iCs/>
          <w:color w:val="000000"/>
          <w:sz w:val="20"/>
          <w:szCs w:val="20"/>
        </w:rPr>
      </w:pPr>
      <w:r>
        <w:rPr>
          <w:color w:val="000000"/>
          <w:sz w:val="20"/>
          <w:szCs w:val="20"/>
          <w:vertAlign w:val="superscript"/>
        </w:rPr>
        <w:t>1</w:t>
      </w:r>
      <w:r>
        <w:rPr>
          <w:i/>
          <w:iCs/>
          <w:color w:val="000000"/>
          <w:sz w:val="20"/>
          <w:szCs w:val="20"/>
        </w:rPr>
        <w:t>School of Quantitative Sciences,</w:t>
      </w:r>
      <w:r>
        <w:rPr>
          <w:i/>
          <w:iCs/>
          <w:color w:val="000000"/>
          <w:sz w:val="20"/>
          <w:szCs w:val="20"/>
        </w:rPr>
        <w:br/>
        <w:t>Universiti Utara Malaysia, 06010 UUM Sintok, Kedah, Malaysia.</w:t>
      </w:r>
    </w:p>
    <w:p w14:paraId="3948160E" w14:textId="77777777" w:rsidR="006971F4" w:rsidRDefault="006971F4">
      <w:pPr>
        <w:pBdr>
          <w:top w:val="nil"/>
          <w:left w:val="nil"/>
          <w:bottom w:val="nil"/>
          <w:right w:val="nil"/>
          <w:between w:val="nil"/>
        </w:pBdr>
        <w:jc w:val="center"/>
        <w:rPr>
          <w:color w:val="000000"/>
          <w:sz w:val="20"/>
          <w:szCs w:val="20"/>
        </w:rPr>
      </w:pPr>
    </w:p>
    <w:p w14:paraId="1D82E2EA" w14:textId="77777777" w:rsidR="006971F4" w:rsidRDefault="007065EF">
      <w:pPr>
        <w:pBdr>
          <w:top w:val="nil"/>
          <w:left w:val="nil"/>
          <w:bottom w:val="nil"/>
          <w:right w:val="nil"/>
          <w:between w:val="nil"/>
        </w:pBdr>
        <w:jc w:val="center"/>
        <w:rPr>
          <w:color w:val="000000"/>
          <w:sz w:val="20"/>
          <w:szCs w:val="20"/>
        </w:rPr>
      </w:pPr>
      <w:r>
        <w:rPr>
          <w:color w:val="000000"/>
          <w:sz w:val="20"/>
          <w:szCs w:val="20"/>
        </w:rPr>
        <w:br/>
      </w:r>
      <w:r>
        <w:rPr>
          <w:color w:val="000000"/>
          <w:sz w:val="20"/>
          <w:szCs w:val="20"/>
          <w:vertAlign w:val="superscript"/>
        </w:rPr>
        <w:t>b)</w:t>
      </w:r>
      <w:r>
        <w:rPr>
          <w:color w:val="000000"/>
          <w:sz w:val="20"/>
          <w:szCs w:val="20"/>
        </w:rPr>
        <w:t xml:space="preserve"> Corresponding author: </w:t>
      </w:r>
      <w:hyperlink r:id="rId6">
        <w:r>
          <w:rPr>
            <w:color w:val="000000"/>
            <w:sz w:val="20"/>
            <w:szCs w:val="20"/>
          </w:rPr>
          <w:t>idayuwati@uum.edu.my</w:t>
        </w:r>
      </w:hyperlink>
    </w:p>
    <w:p w14:paraId="4147FDF4" w14:textId="77777777" w:rsidR="006971F4" w:rsidRDefault="007065EF">
      <w:pPr>
        <w:pBdr>
          <w:top w:val="nil"/>
          <w:left w:val="nil"/>
          <w:bottom w:val="nil"/>
          <w:right w:val="nil"/>
          <w:between w:val="nil"/>
        </w:pBdr>
        <w:jc w:val="center"/>
        <w:rPr>
          <w:color w:val="000000"/>
          <w:sz w:val="20"/>
          <w:szCs w:val="20"/>
        </w:rPr>
      </w:pPr>
      <w:r>
        <w:rPr>
          <w:color w:val="000000"/>
          <w:sz w:val="20"/>
          <w:szCs w:val="20"/>
          <w:vertAlign w:val="superscript"/>
        </w:rPr>
        <w:t xml:space="preserve"> a) </w:t>
      </w:r>
      <w:r>
        <w:rPr>
          <w:color w:val="000000"/>
          <w:sz w:val="20"/>
          <w:szCs w:val="20"/>
        </w:rPr>
        <w:t>afnan.sqs@gmail.com</w:t>
      </w:r>
    </w:p>
    <w:p w14:paraId="01E65668" w14:textId="77777777" w:rsidR="006971F4" w:rsidRDefault="007065EF">
      <w:pPr>
        <w:pBdr>
          <w:top w:val="nil"/>
          <w:left w:val="nil"/>
          <w:bottom w:val="nil"/>
          <w:right w:val="nil"/>
          <w:between w:val="nil"/>
        </w:pBdr>
        <w:jc w:val="center"/>
        <w:rPr>
          <w:color w:val="000000"/>
          <w:sz w:val="20"/>
          <w:szCs w:val="20"/>
        </w:rPr>
      </w:pPr>
      <w:bookmarkStart w:id="0" w:name="_heading=h.1342j0osce7h" w:colFirst="0" w:colLast="0"/>
      <w:bookmarkEnd w:id="0"/>
      <w:r>
        <w:rPr>
          <w:color w:val="000000"/>
          <w:sz w:val="20"/>
          <w:szCs w:val="20"/>
          <w:vertAlign w:val="superscript"/>
        </w:rPr>
        <w:t xml:space="preserve">c) </w:t>
      </w:r>
      <w:r>
        <w:rPr>
          <w:color w:val="000000"/>
          <w:sz w:val="20"/>
          <w:szCs w:val="20"/>
        </w:rPr>
        <w:t>ayurahman@uum.edu.my</w:t>
      </w:r>
    </w:p>
    <w:p w14:paraId="7C8D824F" w14:textId="77777777" w:rsidR="006971F4" w:rsidRDefault="007065EF">
      <w:pPr>
        <w:pBdr>
          <w:top w:val="nil"/>
          <w:left w:val="nil"/>
          <w:bottom w:val="nil"/>
          <w:right w:val="nil"/>
          <w:between w:val="nil"/>
        </w:pBdr>
        <w:spacing w:before="360" w:after="360"/>
        <w:ind w:left="289" w:right="289"/>
        <w:jc w:val="both"/>
        <w:rPr>
          <w:color w:val="000000"/>
          <w:sz w:val="18"/>
          <w:szCs w:val="18"/>
        </w:rPr>
      </w:pPr>
      <w:r>
        <w:rPr>
          <w:b/>
          <w:bCs/>
          <w:color w:val="000000"/>
          <w:sz w:val="18"/>
          <w:szCs w:val="18"/>
        </w:rPr>
        <w:t>Abstract.</w:t>
      </w:r>
      <w:r>
        <w:rPr>
          <w:color w:val="000000"/>
          <w:sz w:val="18"/>
          <w:szCs w:val="18"/>
        </w:rPr>
        <w:t xml:space="preserve"> Decision-making in portfolio selection is challenging due to uncertainty, interdependent criteria, and sensitivity to outliers. Traditional fuzzy multi-criteria decision-making (MCDM) models often assume independence and crisp data, limiting their realism. This study proposes a Networked Intuitionistic Fuzzy Preference Relation (NIFPR) model with median-based normalization to address these gaps. Intuitionistic fuzzy sets capture membership, non-membership, and hesitation, while network modelling ensures tr</w:t>
      </w:r>
      <w:r>
        <w:rPr>
          <w:color w:val="000000"/>
          <w:sz w:val="18"/>
          <w:szCs w:val="18"/>
        </w:rPr>
        <w:t xml:space="preserve">ansparency by reflecting inter-criteria relationships. A case study of 15 Shariah-compliant asset funds from the Employees Provident Fund (EPF) </w:t>
      </w:r>
      <w:r>
        <w:rPr>
          <w:i/>
          <w:iCs/>
          <w:color w:val="000000"/>
          <w:sz w:val="18"/>
          <w:szCs w:val="18"/>
        </w:rPr>
        <w:t>i</w:t>
      </w:r>
      <w:r>
        <w:rPr>
          <w:color w:val="000000"/>
          <w:sz w:val="18"/>
          <w:szCs w:val="18"/>
        </w:rPr>
        <w:t>-Invest platform, evaluated across six (6) financial criteria, validates the approach. Results show that the Robust NIFPR model achieves the lowest root mean square error (RMSE) compared with standard Intuitionistic Fuzzy Preference Relation (IFPR) and NIFPR, indicating stable rankings and improved agreement with actual return-on-investment (ROI) outcomes. The results demonstrate that integrating fuzzy logic with robust statistics enhances portfolio decisions under uncertainty.</w:t>
      </w:r>
    </w:p>
    <w:p w14:paraId="5BCD092F" w14:textId="77777777" w:rsidR="006971F4" w:rsidRDefault="006971F4">
      <w:pPr>
        <w:pStyle w:val="Heading1"/>
        <w:rPr>
          <w:smallCaps w:val="0"/>
          <w:sz w:val="18"/>
          <w:szCs w:val="18"/>
        </w:rPr>
      </w:pPr>
    </w:p>
    <w:p w14:paraId="63E643FD" w14:textId="77777777" w:rsidR="006971F4" w:rsidRDefault="007065EF">
      <w:pPr>
        <w:pStyle w:val="Heading1"/>
        <w:rPr>
          <w:b w:val="0"/>
          <w:bCs w:val="0"/>
          <w:smallCaps w:val="0"/>
          <w:sz w:val="20"/>
          <w:szCs w:val="20"/>
        </w:rPr>
      </w:pPr>
      <w:r>
        <w:t>introduction</w:t>
      </w:r>
    </w:p>
    <w:p w14:paraId="13CB1AAD" w14:textId="77777777" w:rsidR="006971F4" w:rsidRDefault="007065EF">
      <w:pPr>
        <w:pBdr>
          <w:top w:val="nil"/>
          <w:left w:val="nil"/>
          <w:bottom w:val="nil"/>
          <w:right w:val="nil"/>
          <w:between w:val="nil"/>
        </w:pBdr>
        <w:ind w:firstLine="284"/>
        <w:jc w:val="both"/>
        <w:rPr>
          <w:color w:val="000000"/>
          <w:sz w:val="20"/>
          <w:szCs w:val="20"/>
        </w:rPr>
      </w:pPr>
      <w:r>
        <w:rPr>
          <w:color w:val="000000"/>
          <w:sz w:val="20"/>
          <w:szCs w:val="20"/>
        </w:rPr>
        <w:t>Decision-making models are important tools in financial settings, particularly in portfolio selection where investors must evaluate multiple alternatives under uncertain and often conflicting criteria. A robust model should address challenges such as the ambiguity of expert opinions, the interdependence of criteria, and the influence of outliers or skewed data distributions. However, the traditional approaches often assume criterion independence and rely on crisp input values, which fail to capture the comp</w:t>
      </w:r>
      <w:r>
        <w:rPr>
          <w:color w:val="000000"/>
          <w:sz w:val="20"/>
          <w:szCs w:val="20"/>
        </w:rPr>
        <w:t xml:space="preserve">lexity of real-world financial environments. </w:t>
      </w:r>
    </w:p>
    <w:p w14:paraId="71CB298C" w14:textId="77777777" w:rsidR="006971F4" w:rsidRDefault="006971F4">
      <w:pPr>
        <w:pBdr>
          <w:top w:val="nil"/>
          <w:left w:val="nil"/>
          <w:bottom w:val="nil"/>
          <w:right w:val="nil"/>
          <w:between w:val="nil"/>
        </w:pBdr>
        <w:ind w:firstLine="284"/>
        <w:jc w:val="both"/>
        <w:rPr>
          <w:color w:val="000000"/>
          <w:sz w:val="20"/>
          <w:szCs w:val="20"/>
        </w:rPr>
      </w:pPr>
    </w:p>
    <w:p w14:paraId="1A05E3BC" w14:textId="77777777" w:rsidR="006971F4" w:rsidRDefault="007065EF">
      <w:pPr>
        <w:pBdr>
          <w:top w:val="nil"/>
          <w:left w:val="nil"/>
          <w:bottom w:val="nil"/>
          <w:right w:val="nil"/>
          <w:between w:val="nil"/>
        </w:pBdr>
        <w:ind w:firstLine="284"/>
        <w:jc w:val="both"/>
        <w:rPr>
          <w:color w:val="000000"/>
          <w:sz w:val="20"/>
          <w:szCs w:val="20"/>
        </w:rPr>
      </w:pPr>
      <w:r>
        <w:rPr>
          <w:color w:val="000000"/>
          <w:sz w:val="20"/>
          <w:szCs w:val="20"/>
        </w:rPr>
        <w:t>Standard fuzzy sets, while widely applied in multi-criteria decision-making (MCDM) are limited because they only capture the degree of membership of an element to a set that neglecting non-membership and hesitation [1]. By contrast, they emphasized that intuitionistic fuzzy sets (IFS), which incorporate membership (μ), non-membership (ν), and hesitation (π), which provide a more sensitive and realistic framework for modelling human assessments under uncertainty. Networked Intuitionistic Fuzzy (NIF) theory t</w:t>
      </w:r>
      <w:r>
        <w:rPr>
          <w:color w:val="000000"/>
          <w:sz w:val="20"/>
          <w:szCs w:val="20"/>
        </w:rPr>
        <w:t xml:space="preserve">o enhance transparency in decision processes and to account for interrelationships among criteria [2]. These contributions are particularly relevant in financial contexts where attributes such as fund size, leverage ratio, and return on assets (ROA) are interconnected, and neglecting such dependencies may result in oversimplified evaluations. Moreover, previous studies have shown that common normalization techniques, including average-based and min–max methods, remain highly sensitive to outliers, reducing </w:t>
      </w:r>
      <w:r>
        <w:rPr>
          <w:color w:val="000000"/>
          <w:sz w:val="20"/>
          <w:szCs w:val="20"/>
        </w:rPr>
        <w:t xml:space="preserve">their reliability in uncertain decision environments. </w:t>
      </w:r>
    </w:p>
    <w:p w14:paraId="6EFE7125" w14:textId="77777777" w:rsidR="006971F4" w:rsidRDefault="006971F4">
      <w:pPr>
        <w:pBdr>
          <w:top w:val="nil"/>
          <w:left w:val="nil"/>
          <w:bottom w:val="nil"/>
          <w:right w:val="nil"/>
          <w:between w:val="nil"/>
        </w:pBdr>
        <w:ind w:firstLine="284"/>
        <w:jc w:val="both"/>
        <w:rPr>
          <w:color w:val="000000"/>
          <w:sz w:val="20"/>
          <w:szCs w:val="20"/>
        </w:rPr>
      </w:pPr>
    </w:p>
    <w:p w14:paraId="32478E14" w14:textId="77777777" w:rsidR="006971F4" w:rsidRDefault="007065EF">
      <w:pPr>
        <w:pBdr>
          <w:top w:val="nil"/>
          <w:left w:val="nil"/>
          <w:bottom w:val="nil"/>
          <w:right w:val="nil"/>
          <w:between w:val="nil"/>
        </w:pBdr>
        <w:ind w:firstLine="284"/>
        <w:jc w:val="both"/>
        <w:rPr>
          <w:color w:val="000000"/>
          <w:sz w:val="20"/>
          <w:szCs w:val="20"/>
        </w:rPr>
      </w:pPr>
      <w:r>
        <w:rPr>
          <w:color w:val="000000"/>
          <w:sz w:val="20"/>
          <w:szCs w:val="20"/>
        </w:rPr>
        <w:t>To address these limitations, this study develops the Networked Intuitionistic Fuzzy Preference Relation (NIFPR) model. The model integrates intuitionistic fuzzy theory, network-based evaluation, and median-based normalization to enhance decision-making under uncertainty. In addition to addressing conceptual gaps in traditional MCDM approaches, the study demonstrates the empirical application of the NIFPR model through portfolio selection involving 15 Shariah-compliant asset funds from the Employees Provide</w:t>
      </w:r>
      <w:r>
        <w:rPr>
          <w:color w:val="000000"/>
          <w:sz w:val="20"/>
          <w:szCs w:val="20"/>
        </w:rPr>
        <w:t>nt Fund (EPF)</w:t>
      </w:r>
      <w:r>
        <w:rPr>
          <w:i/>
          <w:iCs/>
          <w:color w:val="000000"/>
          <w:sz w:val="20"/>
          <w:szCs w:val="20"/>
        </w:rPr>
        <w:t xml:space="preserve"> i</w:t>
      </w:r>
      <w:r>
        <w:rPr>
          <w:color w:val="000000"/>
          <w:sz w:val="20"/>
          <w:szCs w:val="20"/>
        </w:rPr>
        <w:t xml:space="preserve">-Invest platform, highlighting its practical relevance in real-world financial decision-making. The remainder of this paper is structured as follows: </w:t>
      </w:r>
      <w:r>
        <w:rPr>
          <w:color w:val="000000"/>
          <w:sz w:val="20"/>
          <w:szCs w:val="20"/>
        </w:rPr>
        <w:lastRenderedPageBreak/>
        <w:t>Section 2 reviews related literature, Section 3 details the methodology, Section 4 presents the case study results, and Section 5 provides the conclusion.</w:t>
      </w:r>
    </w:p>
    <w:p w14:paraId="7E2275FF" w14:textId="77777777" w:rsidR="006971F4" w:rsidRDefault="007065EF">
      <w:pPr>
        <w:pStyle w:val="Heading1"/>
      </w:pPr>
      <w:r>
        <w:t>literature review</w:t>
      </w:r>
    </w:p>
    <w:p w14:paraId="0B15A496" w14:textId="77777777" w:rsidR="006971F4" w:rsidRDefault="007065EF">
      <w:pPr>
        <w:pStyle w:val="Heading2"/>
        <w:ind w:firstLine="284"/>
        <w:jc w:val="both"/>
        <w:rPr>
          <w:b w:val="0"/>
          <w:bCs w:val="0"/>
          <w:sz w:val="20"/>
          <w:szCs w:val="20"/>
        </w:rPr>
      </w:pPr>
      <w:r>
        <w:rPr>
          <w:b w:val="0"/>
          <w:bCs w:val="0"/>
          <w:sz w:val="20"/>
          <w:szCs w:val="20"/>
        </w:rPr>
        <w:t>Fuzzy MCDM models have been widely applied to support decision-making processes where imprecision and uncertainty are present. Methods such as the Technique for Order Preference by Similarity to Ideal Solution</w:t>
      </w:r>
      <w:r>
        <w:rPr>
          <w:sz w:val="20"/>
          <w:szCs w:val="20"/>
        </w:rPr>
        <w:t xml:space="preserve"> </w:t>
      </w:r>
      <w:r>
        <w:rPr>
          <w:b w:val="0"/>
          <w:bCs w:val="0"/>
          <w:sz w:val="20"/>
          <w:szCs w:val="20"/>
        </w:rPr>
        <w:t xml:space="preserve">(TOPSIS), the Analytic Hierarchy Process (AHP), and Fuzzy Preference Relations (FPR) have been used across domains ranging from supply chain management to financial portfolio evaluation [3, 4]. These models extend classical decision tools by incorporating fuzzy numbers to represent linguistic or vague judgments [5]. Within this stream, FPR models have been extensively utilized to represent the relative importance or preference of one alternative over another. FPRs allow pairwise comparisons to be expressed </w:t>
      </w:r>
      <w:r>
        <w:rPr>
          <w:b w:val="0"/>
          <w:bCs w:val="0"/>
          <w:sz w:val="20"/>
          <w:szCs w:val="20"/>
        </w:rPr>
        <w:t>in linguistic terms, thereby improving the consistency and reliability of human-centred evaluations [6].</w:t>
      </w:r>
    </w:p>
    <w:p w14:paraId="5857C62A" w14:textId="77777777" w:rsidR="006971F4" w:rsidRDefault="007065EF">
      <w:pPr>
        <w:pStyle w:val="Heading2"/>
        <w:ind w:firstLine="284"/>
        <w:jc w:val="both"/>
        <w:rPr>
          <w:b w:val="0"/>
          <w:bCs w:val="0"/>
          <w:sz w:val="20"/>
          <w:szCs w:val="20"/>
        </w:rPr>
      </w:pPr>
      <w:r>
        <w:rPr>
          <w:b w:val="0"/>
          <w:bCs w:val="0"/>
          <w:sz w:val="20"/>
          <w:szCs w:val="20"/>
        </w:rPr>
        <w:t xml:space="preserve">In financial contexts, FPRs are advantageous because they enable decision-makers to compare investment alternatives without requiring precise numerical inputs [7]. Several studies have applied FPRs to portfolio selection problems, producing intuitive rankings of assets across multiple criteria. However, classical FPRs assume precise membership values and often fail to account for hesitation or indecision that experts naturally express during complex evaluations. To address these limitations, Intuitionistic </w:t>
      </w:r>
      <w:r>
        <w:rPr>
          <w:b w:val="0"/>
          <w:bCs w:val="0"/>
          <w:sz w:val="20"/>
          <w:szCs w:val="20"/>
        </w:rPr>
        <w:t>Fuzzy Preference Relations (IFPRs) extend preference matrices by incorporating not only preference (μ) and non-preference (ν), but also hesitation (π). This extension improves the accuracy of decision-making under ambiguous conditions [8].</w:t>
      </w:r>
    </w:p>
    <w:p w14:paraId="3A5A1186" w14:textId="77777777" w:rsidR="006971F4" w:rsidRDefault="007065EF">
      <w:pPr>
        <w:pStyle w:val="Heading2"/>
        <w:ind w:firstLine="284"/>
        <w:jc w:val="both"/>
      </w:pPr>
      <w:r>
        <w:rPr>
          <w:b w:val="0"/>
          <w:bCs w:val="0"/>
          <w:sz w:val="20"/>
          <w:szCs w:val="20"/>
        </w:rPr>
        <w:t>In portfolio evaluation, criteria such as fund size, leverage ratio, sales growth, and return on assets are rarely independent, and their interrelationships strongly influence overall performance. Network-based models can capture decision-making flows, score aggregation, and interdependencies among criteria, making the process more transparent [9]. Nevertheless, the integration of networked approaches with IFPRs remains limited. In addition, normalization plays a critical role in fuzzy MCDM models. Common n</w:t>
      </w:r>
      <w:r>
        <w:rPr>
          <w:b w:val="0"/>
          <w:bCs w:val="0"/>
          <w:sz w:val="20"/>
          <w:szCs w:val="20"/>
        </w:rPr>
        <w:t>ormalization techniques, such as linear scaling and mean-based methods, are highly sensitive to outliers or skewed distributions, which can distort preference matrices and amplify inconsistencies in expert judgment [10]. Median-based normalization offers a more robust alternative due to its resilience to anomalies, yet its application within IFPR models is still scarce.</w:t>
      </w:r>
    </w:p>
    <w:p w14:paraId="2C5F1A79" w14:textId="77777777" w:rsidR="006971F4" w:rsidRDefault="007065EF">
      <w:pPr>
        <w:pStyle w:val="Heading2"/>
        <w:ind w:firstLine="284"/>
        <w:jc w:val="both"/>
        <w:rPr>
          <w:b w:val="0"/>
          <w:bCs w:val="0"/>
          <w:sz w:val="20"/>
          <w:szCs w:val="20"/>
        </w:rPr>
      </w:pPr>
      <w:r>
        <w:rPr>
          <w:b w:val="0"/>
          <w:bCs w:val="0"/>
          <w:sz w:val="20"/>
          <w:szCs w:val="20"/>
        </w:rPr>
        <w:t>To address these gaps, this paper introduces the NIFPR model, which integrates intuitionistic fuzzy theory, network-based modelling, and median-based normalization to enhance portfolio decision-making under uncertainty.</w:t>
      </w:r>
    </w:p>
    <w:p w14:paraId="578750CC" w14:textId="77777777" w:rsidR="006971F4" w:rsidRDefault="007065EF">
      <w:pPr>
        <w:pStyle w:val="Heading1"/>
      </w:pPr>
      <w:r>
        <w:t>Methodology</w:t>
      </w:r>
    </w:p>
    <w:p w14:paraId="7D338ED4" w14:textId="77777777" w:rsidR="006971F4" w:rsidRDefault="007065EF">
      <w:pPr>
        <w:pBdr>
          <w:top w:val="nil"/>
          <w:left w:val="nil"/>
          <w:bottom w:val="nil"/>
          <w:right w:val="nil"/>
          <w:between w:val="nil"/>
        </w:pBdr>
        <w:ind w:firstLine="284"/>
        <w:jc w:val="both"/>
        <w:rPr>
          <w:color w:val="000000"/>
          <w:sz w:val="20"/>
          <w:szCs w:val="20"/>
        </w:rPr>
      </w:pPr>
      <w:r>
        <w:rPr>
          <w:color w:val="000000"/>
          <w:sz w:val="20"/>
          <w:szCs w:val="20"/>
        </w:rPr>
        <w:t xml:space="preserve">This study adapts the NIFPR model, which follows a nine-step MCDM process, from constructing the decision matrix and calculating expert and criterion weights to computing benefit and cost evaluations, aggregating pairwise values, forming preference relations, and ranking alternatives via non-dominated degrees. The model is applied to 15 Shariah-compliant EPF </w:t>
      </w:r>
      <w:r>
        <w:rPr>
          <w:i/>
          <w:iCs/>
          <w:color w:val="000000"/>
          <w:sz w:val="20"/>
          <w:szCs w:val="20"/>
        </w:rPr>
        <w:t>i</w:t>
      </w:r>
      <w:r>
        <w:rPr>
          <w:color w:val="000000"/>
          <w:sz w:val="20"/>
          <w:szCs w:val="20"/>
        </w:rPr>
        <w:t>-Invest funds, evaluated using six interdependent financial criteria: fund size, leverage ratio, tenor, sales growth, ROA, and cash flow. Three domain experts provided assessments using linguistic terms, which were converted into intuitionistic fuzzy numbers (IFNs) to form the decision matrix and capture uncertainty and hesitation in expert judgments.</w:t>
      </w:r>
    </w:p>
    <w:p w14:paraId="3DFB4A5C" w14:textId="77777777" w:rsidR="006971F4" w:rsidRDefault="006971F4">
      <w:pPr>
        <w:pBdr>
          <w:top w:val="nil"/>
          <w:left w:val="nil"/>
          <w:bottom w:val="nil"/>
          <w:right w:val="nil"/>
          <w:between w:val="nil"/>
        </w:pBdr>
        <w:ind w:firstLine="284"/>
        <w:jc w:val="both"/>
        <w:rPr>
          <w:color w:val="000000"/>
          <w:sz w:val="20"/>
          <w:szCs w:val="20"/>
        </w:rPr>
      </w:pPr>
    </w:p>
    <w:p w14:paraId="6C608243" w14:textId="77777777" w:rsidR="006971F4" w:rsidRDefault="007065EF">
      <w:pPr>
        <w:jc w:val="both"/>
        <w:rPr>
          <w:i/>
          <w:iCs/>
          <w:sz w:val="20"/>
          <w:szCs w:val="20"/>
        </w:rPr>
      </w:pPr>
      <w:r>
        <w:rPr>
          <w:i/>
          <w:iCs/>
          <w:sz w:val="20"/>
          <w:szCs w:val="20"/>
        </w:rPr>
        <w:t>Step 1: Define the decision matrix</w:t>
      </w:r>
    </w:p>
    <w:p w14:paraId="4D72322F" w14:textId="77777777" w:rsidR="006971F4" w:rsidRDefault="006971F4">
      <w:pPr>
        <w:jc w:val="both"/>
        <w:rPr>
          <w:i/>
          <w:iCs/>
          <w:sz w:val="20"/>
          <w:szCs w:val="20"/>
        </w:rPr>
      </w:pPr>
    </w:p>
    <w:p w14:paraId="30FC1A01" w14:textId="77777777" w:rsidR="006971F4" w:rsidRDefault="007065EF">
      <w:pPr>
        <w:ind w:firstLine="284"/>
        <w:jc w:val="both"/>
        <w:rPr>
          <w:sz w:val="20"/>
          <w:szCs w:val="20"/>
        </w:rPr>
      </w:pPr>
      <w:r>
        <w:rPr>
          <w:sz w:val="20"/>
          <w:szCs w:val="20"/>
        </w:rPr>
        <w:t xml:space="preserve">The process begins with the formulation of a </w:t>
      </w:r>
      <w:r>
        <w:rPr>
          <w:sz w:val="20"/>
          <w:szCs w:val="20"/>
        </w:rPr>
        <w:t>decision matrix</w:t>
      </w:r>
      <w:r>
        <w:rPr>
          <w:sz w:val="20"/>
          <w:szCs w:val="20"/>
        </w:rPr>
        <w:t xml:space="preserve">, where each row corresponds to an alternative, and each column represents a criterion. The elements of this matrix consist of </w:t>
      </w:r>
      <w:r>
        <w:rPr>
          <w:sz w:val="20"/>
          <w:szCs w:val="20"/>
        </w:rPr>
        <w:t>fuzzy ratings</w:t>
      </w:r>
      <w:r>
        <w:rPr>
          <w:sz w:val="20"/>
          <w:szCs w:val="20"/>
        </w:rPr>
        <w:t xml:space="preserve"> that quantify the performance of each alternative relative to each criterion. Let </w:t>
      </w:r>
      <m:oMath>
        <m:r>
          <w:rPr>
            <w:rFonts w:ascii="Cambria Math" w:eastAsia="Cambria Math" w:hAnsi="Cambria Math" w:cs="Cambria Math"/>
            <w:sz w:val="20"/>
            <w:szCs w:val="20"/>
          </w:rPr>
          <m:t>S</m:t>
        </m:r>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m:t>
            </m:r>
          </m:e>
          <m:sub>
            <m:r>
              <w:rPr>
                <w:rFonts w:ascii="Cambria Math" w:eastAsia="Cambria Math" w:hAnsi="Cambria Math" w:cs="Cambria Math"/>
                <w:sz w:val="20"/>
                <w:szCs w:val="20"/>
              </w:rPr>
              <m:t>1</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m:t>
            </m:r>
          </m:e>
          <m:sub>
            <m:r>
              <w:rPr>
                <w:rFonts w:ascii="Cambria Math" w:eastAsia="Cambria Math" w:hAnsi="Cambria Math" w:cs="Cambria Math"/>
                <w:sz w:val="20"/>
                <w:szCs w:val="20"/>
              </w:rPr>
              <m:t>2</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m:t>
            </m:r>
          </m:e>
          <m:sub>
            <m:r>
              <w:rPr>
                <w:rFonts w:ascii="Cambria Math" w:eastAsia="Cambria Math" w:hAnsi="Cambria Math" w:cs="Cambria Math"/>
                <w:sz w:val="20"/>
                <w:szCs w:val="20"/>
              </w:rPr>
              <m:t>m</m:t>
            </m:r>
          </m:sub>
        </m:sSub>
        <m:r>
          <w:rPr>
            <w:rFonts w:ascii="Cambria Math" w:eastAsia="Cambria Math" w:hAnsi="Cambria Math" w:cs="Cambria Math"/>
            <w:sz w:val="20"/>
            <w:szCs w:val="20"/>
          </w:rPr>
          <m:t>}</m:t>
        </m:r>
      </m:oMath>
      <w:r>
        <w:rPr>
          <w:sz w:val="20"/>
          <w:szCs w:val="20"/>
        </w:rPr>
        <w:t xml:space="preserve"> denote the set of alternatives and </w:t>
      </w:r>
      <m:oMath>
        <m:r>
          <w:rPr>
            <w:rFonts w:ascii="Cambria Math" w:eastAsia="Cambria Math" w:hAnsi="Cambria Math" w:cs="Cambria Math"/>
            <w:sz w:val="20"/>
            <w:szCs w:val="20"/>
          </w:rPr>
          <m:t>C</m:t>
        </m:r>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C</m:t>
            </m:r>
          </m:e>
          <m:sub>
            <m:r>
              <w:rPr>
                <w:rFonts w:ascii="Cambria Math" w:eastAsia="Cambria Math" w:hAnsi="Cambria Math" w:cs="Cambria Math"/>
                <w:sz w:val="20"/>
                <w:szCs w:val="20"/>
              </w:rPr>
              <m:t>1</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C</m:t>
            </m:r>
          </m:e>
          <m:sub>
            <m:r>
              <w:rPr>
                <w:rFonts w:ascii="Cambria Math" w:eastAsia="Cambria Math" w:hAnsi="Cambria Math" w:cs="Cambria Math"/>
                <w:sz w:val="20"/>
                <w:szCs w:val="20"/>
              </w:rPr>
              <m:t>2</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C</m:t>
            </m:r>
          </m:e>
          <m:sub>
            <m:r>
              <w:rPr>
                <w:rFonts w:ascii="Cambria Math" w:eastAsia="Cambria Math" w:hAnsi="Cambria Math" w:cs="Cambria Math"/>
                <w:sz w:val="20"/>
                <w:szCs w:val="20"/>
              </w:rPr>
              <m:t>n</m:t>
            </m:r>
          </m:sub>
        </m:sSub>
        <m:r>
          <w:rPr>
            <w:rFonts w:ascii="Cambria Math" w:eastAsia="Cambria Math" w:hAnsi="Cambria Math" w:cs="Cambria Math"/>
            <w:sz w:val="20"/>
            <w:szCs w:val="20"/>
          </w:rPr>
          <m:t>}</m:t>
        </m:r>
      </m:oMath>
      <w:r>
        <w:rPr>
          <w:sz w:val="20"/>
          <w:szCs w:val="20"/>
        </w:rPr>
        <w:t>the set of criteria. The decision matrix is defined as:</w:t>
      </w:r>
    </w:p>
    <w:tbl>
      <w:tblPr>
        <w:tblStyle w:val="a"/>
        <w:tblW w:w="9350" w:type="dxa"/>
        <w:tblBorders>
          <w:top w:val="nil"/>
          <w:left w:val="nil"/>
          <w:bottom w:val="nil"/>
          <w:right w:val="nil"/>
          <w:insideH w:val="nil"/>
          <w:insideV w:val="nil"/>
        </w:tblBorders>
        <w:tblLayout w:type="fixed"/>
        <w:tblLook w:val="0400" w:firstRow="0" w:lastRow="0" w:firstColumn="0" w:lastColumn="0" w:noHBand="0" w:noVBand="1"/>
      </w:tblPr>
      <w:tblGrid>
        <w:gridCol w:w="8075"/>
        <w:gridCol w:w="1275"/>
      </w:tblGrid>
      <w:tr w:rsidR="006971F4" w14:paraId="61BCB42E" w14:textId="77777777">
        <w:tc>
          <w:tcPr>
            <w:tcW w:w="8075" w:type="dxa"/>
          </w:tcPr>
          <w:p w14:paraId="527E658A" w14:textId="77777777" w:rsidR="006971F4" w:rsidRDefault="007065EF">
            <w:pPr>
              <w:jc w:val="center"/>
              <w:rPr>
                <w:rFonts w:ascii="Cambria Math" w:eastAsia="Cambria Math" w:hAnsi="Cambria Math" w:cs="Cambria Math"/>
                <w:sz w:val="20"/>
                <w:szCs w:val="20"/>
              </w:rPr>
            </w:pPr>
            <m:oMathPara>
              <m:oMath>
                <m:r>
                  <w:rPr>
                    <w:rFonts w:ascii="Cambria Math" w:eastAsia="Cambria Math" w:hAnsi="Cambria Math" w:cs="Cambria Math"/>
                    <w:sz w:val="20"/>
                    <w:szCs w:val="20"/>
                  </w:rPr>
                  <m:t>R</m:t>
                </m:r>
                <m:r>
                  <w:rPr>
                    <w:rFonts w:ascii="Cambria Math" w:eastAsia="Cambria Math" w:hAnsi="Cambria Math" w:cs="Cambria Math"/>
                    <w:sz w:val="20"/>
                    <w:szCs w:val="20"/>
                  </w:rPr>
                  <m:t>=</m:t>
                </m:r>
                <m:d>
                  <m:dPr>
                    <m:begChr m:val="["/>
                    <m:endChr m:val="]"/>
                    <m:ctrlPr>
                      <w:rPr>
                        <w:rFonts w:ascii="Cambria Math" w:eastAsia="Cambria Math" w:hAnsi="Cambria Math" w:cs="Cambria Math"/>
                        <w:sz w:val="20"/>
                        <w:szCs w:val="20"/>
                      </w:rPr>
                    </m:ctrlPr>
                  </m:dPr>
                  <m:e>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r</m:t>
                        </m:r>
                      </m:e>
                      <m:sub>
                        <m:r>
                          <w:rPr>
                            <w:rFonts w:ascii="Cambria Math" w:eastAsia="Cambria Math" w:hAnsi="Cambria Math" w:cs="Cambria Math"/>
                            <w:sz w:val="20"/>
                            <w:szCs w:val="20"/>
                          </w:rPr>
                          <m:t>ij</m:t>
                        </m:r>
                      </m:sub>
                    </m:sSub>
                  </m:e>
                </m:d>
                <m:r>
                  <w:rPr>
                    <w:rFonts w:ascii="Cambria Math" w:eastAsia="Cambria Math" w:hAnsi="Cambria Math" w:cs="Cambria Math"/>
                    <w:sz w:val="20"/>
                    <w:szCs w:val="20"/>
                  </w:rPr>
                  <m:t xml:space="preserve">, </m:t>
                </m:r>
                <m:r>
                  <w:rPr>
                    <w:rFonts w:ascii="Cambria Math" w:eastAsia="Cambria Math" w:hAnsi="Cambria Math" w:cs="Cambria Math"/>
                    <w:sz w:val="20"/>
                    <w:szCs w:val="20"/>
                  </w:rPr>
                  <m:t>i</m:t>
                </m:r>
                <m:r>
                  <w:rPr>
                    <w:rFonts w:ascii="Cambria Math" w:eastAsia="Cambria Math" w:hAnsi="Cambria Math" w:cs="Cambria Math"/>
                    <w:sz w:val="20"/>
                    <w:szCs w:val="20"/>
                  </w:rPr>
                  <m:t>=1, … ,</m:t>
                </m:r>
                <m:r>
                  <w:rPr>
                    <w:rFonts w:ascii="Cambria Math" w:eastAsia="Cambria Math" w:hAnsi="Cambria Math" w:cs="Cambria Math"/>
                    <w:sz w:val="20"/>
                    <w:szCs w:val="20"/>
                  </w:rPr>
                  <m:t>n</m:t>
                </m:r>
              </m:oMath>
            </m:oMathPara>
          </w:p>
        </w:tc>
        <w:tc>
          <w:tcPr>
            <w:tcW w:w="1275" w:type="dxa"/>
          </w:tcPr>
          <w:p w14:paraId="560A3C6B" w14:textId="77777777" w:rsidR="006971F4" w:rsidRDefault="007065EF">
            <w:pPr>
              <w:jc w:val="right"/>
              <w:rPr>
                <w:sz w:val="20"/>
                <w:szCs w:val="20"/>
              </w:rPr>
            </w:pPr>
            <w:r>
              <w:rPr>
                <w:sz w:val="20"/>
                <w:szCs w:val="20"/>
              </w:rPr>
              <w:t>(1)</w:t>
            </w:r>
          </w:p>
        </w:tc>
      </w:tr>
    </w:tbl>
    <w:p w14:paraId="1F59245A" w14:textId="77777777" w:rsidR="006971F4" w:rsidRDefault="007065EF">
      <w:pPr>
        <w:spacing w:after="280"/>
        <w:jc w:val="both"/>
        <w:rPr>
          <w:sz w:val="20"/>
          <w:szCs w:val="20"/>
        </w:rPr>
      </w:pPr>
      <w:r>
        <w:rPr>
          <w:sz w:val="20"/>
          <w:szCs w:val="20"/>
        </w:rPr>
        <w:t xml:space="preserve">where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r</m:t>
            </m:r>
          </m:e>
          <m:sub>
            <m:r>
              <w:rPr>
                <w:rFonts w:ascii="Cambria Math" w:eastAsia="Cambria Math" w:hAnsi="Cambria Math" w:cs="Cambria Math"/>
                <w:sz w:val="20"/>
                <w:szCs w:val="20"/>
              </w:rPr>
              <m:t>ij</m:t>
            </m:r>
          </m:sub>
        </m:sSub>
      </m:oMath>
      <w:r>
        <w:rPr>
          <w:sz w:val="20"/>
          <w:szCs w:val="20"/>
        </w:rPr>
        <w:t xml:space="preserve">​ represents the fuzzy rating of alternative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m:t>
            </m:r>
          </m:e>
          <m:sub>
            <m:r>
              <w:rPr>
                <w:rFonts w:ascii="Cambria Math" w:eastAsia="Cambria Math" w:hAnsi="Cambria Math" w:cs="Cambria Math"/>
                <w:sz w:val="20"/>
                <w:szCs w:val="20"/>
              </w:rPr>
              <m:t>i</m:t>
            </m:r>
          </m:sub>
        </m:sSub>
      </m:oMath>
      <w:r>
        <w:rPr>
          <w:sz w:val="20"/>
          <w:szCs w:val="20"/>
        </w:rPr>
        <w:t xml:space="preserve">​ with respect to criterion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C</m:t>
            </m:r>
          </m:e>
          <m:sub>
            <m:r>
              <w:rPr>
                <w:rFonts w:ascii="Cambria Math" w:eastAsia="Cambria Math" w:hAnsi="Cambria Math" w:cs="Cambria Math"/>
                <w:sz w:val="20"/>
                <w:szCs w:val="20"/>
              </w:rPr>
              <m:t>j</m:t>
            </m:r>
          </m:sub>
        </m:sSub>
      </m:oMath>
      <w:r>
        <w:rPr>
          <w:sz w:val="20"/>
          <w:szCs w:val="20"/>
        </w:rPr>
        <w:t xml:space="preserve">​, based on the linguistic terms in Table 1. </w:t>
      </w:r>
    </w:p>
    <w:p w14:paraId="39D449CB" w14:textId="77777777" w:rsidR="006971F4" w:rsidRDefault="006971F4">
      <w:pPr>
        <w:spacing w:after="280"/>
        <w:jc w:val="both"/>
        <w:rPr>
          <w:sz w:val="20"/>
          <w:szCs w:val="20"/>
        </w:rPr>
      </w:pPr>
    </w:p>
    <w:p w14:paraId="201FB3F6" w14:textId="77777777" w:rsidR="006971F4" w:rsidRDefault="006971F4">
      <w:pPr>
        <w:spacing w:after="280"/>
        <w:jc w:val="both"/>
        <w:rPr>
          <w:sz w:val="20"/>
          <w:szCs w:val="20"/>
        </w:rPr>
      </w:pPr>
    </w:p>
    <w:p w14:paraId="7B479538" w14:textId="77777777" w:rsidR="006971F4" w:rsidRDefault="007065EF">
      <w:pPr>
        <w:pBdr>
          <w:top w:val="nil"/>
          <w:left w:val="nil"/>
          <w:bottom w:val="nil"/>
          <w:right w:val="nil"/>
          <w:between w:val="nil"/>
        </w:pBdr>
        <w:spacing w:before="120"/>
        <w:jc w:val="center"/>
        <w:rPr>
          <w:color w:val="000000"/>
          <w:sz w:val="18"/>
          <w:szCs w:val="18"/>
        </w:rPr>
      </w:pPr>
      <w:r>
        <w:rPr>
          <w:b/>
          <w:bCs/>
          <w:color w:val="000000"/>
          <w:sz w:val="18"/>
          <w:szCs w:val="18"/>
        </w:rPr>
        <w:t>TABLE 1.</w:t>
      </w:r>
      <w:r>
        <w:rPr>
          <w:color w:val="000000"/>
          <w:sz w:val="18"/>
          <w:szCs w:val="18"/>
        </w:rPr>
        <w:t xml:space="preserve"> Linguistic terms and their corresponding intuitionistic fuzzy numbers (IFNs).</w:t>
      </w:r>
    </w:p>
    <w:tbl>
      <w:tblPr>
        <w:tblStyle w:val="a0"/>
        <w:tblW w:w="3952" w:type="dxa"/>
        <w:jc w:val="center"/>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976"/>
        <w:gridCol w:w="1976"/>
      </w:tblGrid>
      <w:tr w:rsidR="006971F4" w14:paraId="00CFDB99" w14:textId="77777777">
        <w:trPr>
          <w:jc w:val="center"/>
        </w:trPr>
        <w:tc>
          <w:tcPr>
            <w:tcW w:w="1976" w:type="dxa"/>
            <w:tcBorders>
              <w:top w:val="single" w:sz="4" w:space="0" w:color="000000"/>
              <w:bottom w:val="single" w:sz="4" w:space="0" w:color="000000"/>
            </w:tcBorders>
          </w:tcPr>
          <w:p w14:paraId="04346FAC" w14:textId="77777777" w:rsidR="006971F4" w:rsidRDefault="007065EF">
            <w:pPr>
              <w:spacing w:line="276" w:lineRule="auto"/>
              <w:jc w:val="both"/>
              <w:rPr>
                <w:b/>
                <w:bCs/>
                <w:sz w:val="18"/>
                <w:szCs w:val="18"/>
              </w:rPr>
            </w:pPr>
            <w:bookmarkStart w:id="1" w:name="_heading=h.itk2ugwmj9jq" w:colFirst="0" w:colLast="0"/>
            <w:bookmarkEnd w:id="1"/>
            <w:r>
              <w:rPr>
                <w:b/>
                <w:bCs/>
                <w:sz w:val="18"/>
                <w:szCs w:val="18"/>
              </w:rPr>
              <w:t>Linguistic term</w:t>
            </w:r>
          </w:p>
        </w:tc>
        <w:tc>
          <w:tcPr>
            <w:tcW w:w="1977" w:type="dxa"/>
            <w:tcBorders>
              <w:top w:val="single" w:sz="4" w:space="0" w:color="000000"/>
              <w:bottom w:val="single" w:sz="4" w:space="0" w:color="000000"/>
            </w:tcBorders>
          </w:tcPr>
          <w:p w14:paraId="6AACC35E" w14:textId="77777777" w:rsidR="006971F4" w:rsidRDefault="007065EF">
            <w:pPr>
              <w:spacing w:line="276" w:lineRule="auto"/>
              <w:jc w:val="both"/>
              <w:rPr>
                <w:b/>
                <w:bCs/>
                <w:sz w:val="18"/>
                <w:szCs w:val="18"/>
              </w:rPr>
            </w:pPr>
            <w:r>
              <w:rPr>
                <w:b/>
                <w:bCs/>
                <w:sz w:val="18"/>
                <w:szCs w:val="18"/>
              </w:rPr>
              <w:t>IFNs</w:t>
            </w:r>
          </w:p>
        </w:tc>
      </w:tr>
      <w:tr w:rsidR="006971F4" w14:paraId="1732F9C5" w14:textId="77777777">
        <w:trPr>
          <w:jc w:val="center"/>
        </w:trPr>
        <w:tc>
          <w:tcPr>
            <w:tcW w:w="1976" w:type="dxa"/>
            <w:tcBorders>
              <w:top w:val="nil"/>
              <w:left w:val="nil"/>
              <w:bottom w:val="nil"/>
              <w:right w:val="nil"/>
            </w:tcBorders>
            <w:vAlign w:val="bottom"/>
          </w:tcPr>
          <w:p w14:paraId="41282605" w14:textId="77777777" w:rsidR="006971F4" w:rsidRDefault="007065EF">
            <w:pPr>
              <w:spacing w:line="276" w:lineRule="auto"/>
              <w:jc w:val="both"/>
              <w:rPr>
                <w:sz w:val="20"/>
                <w:szCs w:val="20"/>
              </w:rPr>
            </w:pPr>
            <w:r>
              <w:rPr>
                <w:color w:val="000000"/>
                <w:sz w:val="20"/>
                <w:szCs w:val="20"/>
              </w:rPr>
              <w:t xml:space="preserve">Very poor </w:t>
            </w:r>
          </w:p>
        </w:tc>
        <w:tc>
          <w:tcPr>
            <w:tcW w:w="1977" w:type="dxa"/>
            <w:tcBorders>
              <w:top w:val="single" w:sz="4" w:space="0" w:color="000000"/>
            </w:tcBorders>
          </w:tcPr>
          <w:p w14:paraId="3C475274" w14:textId="77777777" w:rsidR="006971F4" w:rsidRDefault="007065EF">
            <w:pPr>
              <w:spacing w:line="276" w:lineRule="auto"/>
              <w:jc w:val="both"/>
              <w:rPr>
                <w:sz w:val="20"/>
                <w:szCs w:val="20"/>
              </w:rPr>
            </w:pPr>
            <w:r>
              <w:rPr>
                <w:sz w:val="20"/>
                <w:szCs w:val="20"/>
              </w:rPr>
              <w:t>(0.1,0.9,0.0)</w:t>
            </w:r>
          </w:p>
        </w:tc>
      </w:tr>
      <w:tr w:rsidR="006971F4" w14:paraId="3F226074" w14:textId="77777777">
        <w:trPr>
          <w:jc w:val="center"/>
        </w:trPr>
        <w:tc>
          <w:tcPr>
            <w:tcW w:w="1976" w:type="dxa"/>
            <w:tcBorders>
              <w:top w:val="nil"/>
              <w:left w:val="nil"/>
              <w:bottom w:val="nil"/>
              <w:right w:val="nil"/>
            </w:tcBorders>
            <w:vAlign w:val="bottom"/>
          </w:tcPr>
          <w:p w14:paraId="19A4B4F0" w14:textId="77777777" w:rsidR="006971F4" w:rsidRDefault="007065EF">
            <w:pPr>
              <w:spacing w:line="276" w:lineRule="auto"/>
              <w:jc w:val="both"/>
              <w:rPr>
                <w:sz w:val="20"/>
                <w:szCs w:val="20"/>
              </w:rPr>
            </w:pPr>
            <w:r>
              <w:rPr>
                <w:color w:val="000000"/>
                <w:sz w:val="20"/>
                <w:szCs w:val="20"/>
              </w:rPr>
              <w:t xml:space="preserve">Poor </w:t>
            </w:r>
          </w:p>
        </w:tc>
        <w:tc>
          <w:tcPr>
            <w:tcW w:w="1977" w:type="dxa"/>
          </w:tcPr>
          <w:p w14:paraId="5EBE21C5" w14:textId="77777777" w:rsidR="006971F4" w:rsidRDefault="007065EF">
            <w:pPr>
              <w:spacing w:line="276" w:lineRule="auto"/>
              <w:jc w:val="both"/>
              <w:rPr>
                <w:sz w:val="20"/>
                <w:szCs w:val="20"/>
              </w:rPr>
            </w:pPr>
            <w:r>
              <w:rPr>
                <w:sz w:val="20"/>
                <w:szCs w:val="20"/>
              </w:rPr>
              <w:t>(0.15,0.75,0.1)</w:t>
            </w:r>
          </w:p>
        </w:tc>
      </w:tr>
      <w:tr w:rsidR="006971F4" w14:paraId="25DB3495" w14:textId="77777777">
        <w:trPr>
          <w:jc w:val="center"/>
        </w:trPr>
        <w:tc>
          <w:tcPr>
            <w:tcW w:w="1976" w:type="dxa"/>
            <w:tcBorders>
              <w:top w:val="nil"/>
              <w:left w:val="nil"/>
              <w:bottom w:val="nil"/>
              <w:right w:val="nil"/>
            </w:tcBorders>
            <w:vAlign w:val="bottom"/>
          </w:tcPr>
          <w:p w14:paraId="24DB0C79" w14:textId="77777777" w:rsidR="006971F4" w:rsidRDefault="007065EF">
            <w:pPr>
              <w:spacing w:line="276" w:lineRule="auto"/>
              <w:jc w:val="both"/>
              <w:rPr>
                <w:sz w:val="20"/>
                <w:szCs w:val="20"/>
              </w:rPr>
            </w:pPr>
            <w:r>
              <w:rPr>
                <w:color w:val="000000"/>
                <w:sz w:val="20"/>
                <w:szCs w:val="20"/>
              </w:rPr>
              <w:t>Below Average</w:t>
            </w:r>
          </w:p>
        </w:tc>
        <w:tc>
          <w:tcPr>
            <w:tcW w:w="1977" w:type="dxa"/>
          </w:tcPr>
          <w:p w14:paraId="027A38A1" w14:textId="77777777" w:rsidR="006971F4" w:rsidRDefault="007065EF">
            <w:pPr>
              <w:spacing w:line="276" w:lineRule="auto"/>
              <w:jc w:val="both"/>
              <w:rPr>
                <w:sz w:val="20"/>
                <w:szCs w:val="20"/>
              </w:rPr>
            </w:pPr>
            <w:r>
              <w:rPr>
                <w:sz w:val="20"/>
                <w:szCs w:val="20"/>
              </w:rPr>
              <w:t>(0.3,0.6,0.1)</w:t>
            </w:r>
          </w:p>
        </w:tc>
      </w:tr>
      <w:tr w:rsidR="006971F4" w14:paraId="1D1D8F0B" w14:textId="77777777">
        <w:trPr>
          <w:jc w:val="center"/>
        </w:trPr>
        <w:tc>
          <w:tcPr>
            <w:tcW w:w="1976" w:type="dxa"/>
            <w:tcBorders>
              <w:top w:val="nil"/>
              <w:left w:val="nil"/>
              <w:bottom w:val="nil"/>
              <w:right w:val="nil"/>
            </w:tcBorders>
            <w:vAlign w:val="bottom"/>
          </w:tcPr>
          <w:p w14:paraId="657D0588" w14:textId="77777777" w:rsidR="006971F4" w:rsidRDefault="007065EF">
            <w:pPr>
              <w:spacing w:line="276" w:lineRule="auto"/>
              <w:jc w:val="both"/>
              <w:rPr>
                <w:sz w:val="20"/>
                <w:szCs w:val="20"/>
              </w:rPr>
            </w:pPr>
            <w:r>
              <w:rPr>
                <w:color w:val="000000"/>
                <w:sz w:val="20"/>
                <w:szCs w:val="20"/>
              </w:rPr>
              <w:t>Average</w:t>
            </w:r>
          </w:p>
        </w:tc>
        <w:tc>
          <w:tcPr>
            <w:tcW w:w="1977" w:type="dxa"/>
          </w:tcPr>
          <w:p w14:paraId="084A153E" w14:textId="77777777" w:rsidR="006971F4" w:rsidRDefault="007065EF">
            <w:pPr>
              <w:spacing w:line="276" w:lineRule="auto"/>
              <w:jc w:val="both"/>
              <w:rPr>
                <w:sz w:val="20"/>
                <w:szCs w:val="20"/>
              </w:rPr>
            </w:pPr>
            <w:r>
              <w:rPr>
                <w:sz w:val="20"/>
                <w:szCs w:val="20"/>
              </w:rPr>
              <w:t>(0.5,0.4,0.1)</w:t>
            </w:r>
          </w:p>
        </w:tc>
      </w:tr>
      <w:tr w:rsidR="006971F4" w14:paraId="5A7A9B69" w14:textId="77777777">
        <w:trPr>
          <w:jc w:val="center"/>
        </w:trPr>
        <w:tc>
          <w:tcPr>
            <w:tcW w:w="1976" w:type="dxa"/>
            <w:tcBorders>
              <w:top w:val="nil"/>
              <w:left w:val="nil"/>
              <w:bottom w:val="nil"/>
              <w:right w:val="nil"/>
            </w:tcBorders>
            <w:vAlign w:val="bottom"/>
          </w:tcPr>
          <w:p w14:paraId="12055039" w14:textId="77777777" w:rsidR="006971F4" w:rsidRDefault="007065EF">
            <w:pPr>
              <w:spacing w:line="276" w:lineRule="auto"/>
              <w:jc w:val="both"/>
              <w:rPr>
                <w:sz w:val="20"/>
                <w:szCs w:val="20"/>
              </w:rPr>
            </w:pPr>
            <w:r>
              <w:rPr>
                <w:color w:val="000000"/>
                <w:sz w:val="20"/>
                <w:szCs w:val="20"/>
              </w:rPr>
              <w:t>Good</w:t>
            </w:r>
          </w:p>
        </w:tc>
        <w:tc>
          <w:tcPr>
            <w:tcW w:w="1977" w:type="dxa"/>
          </w:tcPr>
          <w:p w14:paraId="70E34929" w14:textId="77777777" w:rsidR="006971F4" w:rsidRDefault="007065EF">
            <w:pPr>
              <w:spacing w:line="276" w:lineRule="auto"/>
              <w:jc w:val="both"/>
              <w:rPr>
                <w:sz w:val="20"/>
                <w:szCs w:val="20"/>
              </w:rPr>
            </w:pPr>
            <w:r>
              <w:rPr>
                <w:sz w:val="20"/>
                <w:szCs w:val="20"/>
              </w:rPr>
              <w:t>(0.6,0.3,0.1)</w:t>
            </w:r>
          </w:p>
        </w:tc>
      </w:tr>
      <w:tr w:rsidR="006971F4" w14:paraId="35EA183D" w14:textId="77777777">
        <w:trPr>
          <w:jc w:val="center"/>
        </w:trPr>
        <w:tc>
          <w:tcPr>
            <w:tcW w:w="1976" w:type="dxa"/>
            <w:tcBorders>
              <w:top w:val="nil"/>
              <w:left w:val="nil"/>
              <w:bottom w:val="nil"/>
              <w:right w:val="nil"/>
            </w:tcBorders>
            <w:vAlign w:val="bottom"/>
          </w:tcPr>
          <w:p w14:paraId="2CA8EC2E" w14:textId="77777777" w:rsidR="006971F4" w:rsidRDefault="007065EF">
            <w:pPr>
              <w:spacing w:line="276" w:lineRule="auto"/>
              <w:jc w:val="both"/>
              <w:rPr>
                <w:sz w:val="20"/>
                <w:szCs w:val="20"/>
              </w:rPr>
            </w:pPr>
            <w:r>
              <w:rPr>
                <w:color w:val="000000"/>
                <w:sz w:val="20"/>
                <w:szCs w:val="20"/>
              </w:rPr>
              <w:t>Very Good</w:t>
            </w:r>
          </w:p>
        </w:tc>
        <w:tc>
          <w:tcPr>
            <w:tcW w:w="1977" w:type="dxa"/>
            <w:tcBorders>
              <w:bottom w:val="nil"/>
            </w:tcBorders>
          </w:tcPr>
          <w:p w14:paraId="67795CCD" w14:textId="77777777" w:rsidR="006971F4" w:rsidRDefault="007065EF">
            <w:pPr>
              <w:spacing w:line="276" w:lineRule="auto"/>
              <w:jc w:val="both"/>
              <w:rPr>
                <w:sz w:val="20"/>
                <w:szCs w:val="20"/>
              </w:rPr>
            </w:pPr>
            <w:r>
              <w:rPr>
                <w:sz w:val="20"/>
                <w:szCs w:val="20"/>
              </w:rPr>
              <w:t>(0.75,0.15,0.1)</w:t>
            </w:r>
          </w:p>
        </w:tc>
      </w:tr>
      <w:tr w:rsidR="006971F4" w14:paraId="03821966" w14:textId="77777777">
        <w:trPr>
          <w:jc w:val="center"/>
        </w:trPr>
        <w:tc>
          <w:tcPr>
            <w:tcW w:w="1976" w:type="dxa"/>
            <w:tcBorders>
              <w:top w:val="nil"/>
              <w:left w:val="nil"/>
              <w:bottom w:val="single" w:sz="4" w:space="0" w:color="000000"/>
              <w:right w:val="nil"/>
            </w:tcBorders>
            <w:vAlign w:val="bottom"/>
          </w:tcPr>
          <w:p w14:paraId="70B0A7FC" w14:textId="77777777" w:rsidR="006971F4" w:rsidRDefault="007065EF">
            <w:pPr>
              <w:spacing w:line="276" w:lineRule="auto"/>
              <w:jc w:val="both"/>
              <w:rPr>
                <w:sz w:val="20"/>
                <w:szCs w:val="20"/>
              </w:rPr>
            </w:pPr>
            <w:r>
              <w:rPr>
                <w:color w:val="000000"/>
                <w:sz w:val="20"/>
                <w:szCs w:val="20"/>
              </w:rPr>
              <w:t xml:space="preserve">Excellent </w:t>
            </w:r>
          </w:p>
        </w:tc>
        <w:tc>
          <w:tcPr>
            <w:tcW w:w="1977" w:type="dxa"/>
            <w:tcBorders>
              <w:top w:val="nil"/>
              <w:bottom w:val="single" w:sz="4" w:space="0" w:color="000000"/>
            </w:tcBorders>
          </w:tcPr>
          <w:p w14:paraId="442967DB" w14:textId="77777777" w:rsidR="006971F4" w:rsidRDefault="007065EF">
            <w:pPr>
              <w:spacing w:line="276" w:lineRule="auto"/>
              <w:jc w:val="both"/>
              <w:rPr>
                <w:sz w:val="20"/>
                <w:szCs w:val="20"/>
              </w:rPr>
            </w:pPr>
            <w:r>
              <w:rPr>
                <w:sz w:val="20"/>
                <w:szCs w:val="20"/>
              </w:rPr>
              <w:t>(09,0.1,0.0)</w:t>
            </w:r>
          </w:p>
        </w:tc>
      </w:tr>
    </w:tbl>
    <w:p w14:paraId="3115138E" w14:textId="77777777" w:rsidR="006971F4" w:rsidRDefault="006971F4">
      <w:pPr>
        <w:jc w:val="both"/>
        <w:rPr>
          <w:i/>
          <w:iCs/>
          <w:sz w:val="20"/>
          <w:szCs w:val="20"/>
        </w:rPr>
      </w:pPr>
    </w:p>
    <w:p w14:paraId="109BFC97" w14:textId="77777777" w:rsidR="006971F4" w:rsidRDefault="007065EF">
      <w:pPr>
        <w:jc w:val="both"/>
        <w:rPr>
          <w:i/>
          <w:iCs/>
          <w:sz w:val="20"/>
          <w:szCs w:val="20"/>
        </w:rPr>
      </w:pPr>
      <w:r>
        <w:rPr>
          <w:i/>
          <w:iCs/>
          <w:sz w:val="20"/>
          <w:szCs w:val="20"/>
        </w:rPr>
        <w:t>Step 2: Calculate expert and criterion weights</w:t>
      </w:r>
    </w:p>
    <w:p w14:paraId="4B35E3B4" w14:textId="77777777" w:rsidR="006971F4" w:rsidRDefault="006971F4">
      <w:pPr>
        <w:jc w:val="both"/>
        <w:rPr>
          <w:sz w:val="20"/>
          <w:szCs w:val="20"/>
        </w:rPr>
      </w:pPr>
    </w:p>
    <w:p w14:paraId="6D6D48BB" w14:textId="77777777" w:rsidR="006971F4" w:rsidRDefault="007065EF">
      <w:pPr>
        <w:ind w:firstLine="284"/>
        <w:jc w:val="both"/>
        <w:rPr>
          <w:sz w:val="20"/>
          <w:szCs w:val="20"/>
        </w:rPr>
      </w:pPr>
      <w:r>
        <w:rPr>
          <w:sz w:val="20"/>
          <w:szCs w:val="20"/>
        </w:rPr>
        <w:t xml:space="preserve">Expert evaluations and criterion significance are rarely uniform; therefore, weighting is necessary. Experts are assigned weights reflecting their reliability or importance in the decision-making process. These weights are expressed linguistically and transformed into </w:t>
      </w:r>
      <w:r>
        <w:rPr>
          <w:sz w:val="20"/>
          <w:szCs w:val="20"/>
        </w:rPr>
        <w:t>intuitionistic fuzzy numbers (IFNs)</w:t>
      </w:r>
      <w:r>
        <w:rPr>
          <w:sz w:val="20"/>
          <w:szCs w:val="20"/>
        </w:rPr>
        <w:t>.</w:t>
      </w:r>
    </w:p>
    <w:p w14:paraId="148C0DB2" w14:textId="77777777" w:rsidR="006971F4" w:rsidRDefault="007065EF">
      <w:pPr>
        <w:jc w:val="both"/>
        <w:rPr>
          <w:sz w:val="20"/>
          <w:szCs w:val="20"/>
        </w:rPr>
      </w:pPr>
      <m:oMath>
        <m:r>
          <w:rPr>
            <w:rFonts w:ascii="Cambria Math" w:eastAsia="Cambria Math" w:hAnsi="Cambria Math" w:cs="Cambria Math"/>
            <w:sz w:val="20"/>
            <w:szCs w:val="20"/>
          </w:rPr>
          <m:t>El</m:t>
        </m:r>
        <m:r>
          <w:rPr>
            <w:rFonts w:ascii="Cambria Math" w:eastAsia="Cambria Math" w:hAnsi="Cambria Math" w:cs="Cambria Math"/>
            <w:sz w:val="20"/>
            <w:szCs w:val="20"/>
          </w:rPr>
          <m:t>=</m:t>
        </m:r>
        <m:d>
          <m:dPr>
            <m:begChr m:val="["/>
            <m:endChr m:val="]"/>
            <m:ctrlPr>
              <w:rPr>
                <w:rFonts w:ascii="Cambria Math" w:eastAsia="Cambria Math" w:hAnsi="Cambria Math" w:cs="Cambria Math"/>
                <w:sz w:val="20"/>
                <w:szCs w:val="20"/>
              </w:rPr>
            </m:ctrlPr>
          </m:dPr>
          <m:e>
            <m:r>
              <w:rPr>
                <w:rFonts w:ascii="Cambria Math" w:eastAsia="Cambria Math" w:hAnsi="Cambria Math" w:cs="Cambria Math"/>
                <w:sz w:val="20"/>
                <w:szCs w:val="20"/>
              </w:rPr>
              <m:t>μl</m:t>
            </m:r>
            <m:r>
              <w:rPr>
                <w:rFonts w:ascii="Cambria Math" w:eastAsia="Cambria Math" w:hAnsi="Cambria Math" w:cs="Cambria Math"/>
                <w:sz w:val="20"/>
                <w:szCs w:val="20"/>
              </w:rPr>
              <m:t>,</m:t>
            </m:r>
            <m:r>
              <w:rPr>
                <w:rFonts w:ascii="Cambria Math" w:eastAsia="Cambria Math" w:hAnsi="Cambria Math" w:cs="Cambria Math"/>
                <w:sz w:val="20"/>
                <w:szCs w:val="20"/>
              </w:rPr>
              <m:t>νl</m:t>
            </m:r>
            <m:r>
              <w:rPr>
                <w:rFonts w:ascii="Cambria Math" w:eastAsia="Cambria Math" w:hAnsi="Cambria Math" w:cs="Cambria Math"/>
                <w:sz w:val="20"/>
                <w:szCs w:val="20"/>
              </w:rPr>
              <m:t>,</m:t>
            </m:r>
            <m:r>
              <w:rPr>
                <w:rFonts w:ascii="Cambria Math" w:eastAsia="Cambria Math" w:hAnsi="Cambria Math" w:cs="Cambria Math"/>
                <w:sz w:val="20"/>
                <w:szCs w:val="20"/>
              </w:rPr>
              <m:t>πl</m:t>
            </m:r>
          </m:e>
        </m:d>
      </m:oMath>
      <w:r>
        <w:rPr>
          <w:sz w:val="20"/>
          <w:szCs w:val="20"/>
        </w:rPr>
        <w:t xml:space="preserve"> is the intuitionistic fuzzy number for </w:t>
      </w:r>
      <m:oMath>
        <m:r>
          <w:rPr>
            <w:rFonts w:ascii="Cambria Math" w:eastAsia="Cambria Math" w:hAnsi="Cambria Math" w:cs="Cambria Math"/>
            <w:sz w:val="20"/>
            <w:szCs w:val="20"/>
          </w:rPr>
          <m:t>l</m:t>
        </m:r>
      </m:oMath>
      <w:r>
        <w:rPr>
          <w:sz w:val="20"/>
          <w:szCs w:val="20"/>
        </w:rPr>
        <w:t>th decision makers rating.</w:t>
      </w:r>
    </w:p>
    <w:p w14:paraId="5BF61E89" w14:textId="77777777" w:rsidR="006971F4" w:rsidRDefault="007065EF">
      <w:pPr>
        <w:jc w:val="both"/>
        <w:rPr>
          <w:sz w:val="20"/>
          <w:szCs w:val="20"/>
        </w:rPr>
      </w:pPr>
      <w:r>
        <w:rPr>
          <w:sz w:val="20"/>
          <w:szCs w:val="20"/>
        </w:rPr>
        <w:t xml:space="preserve">The weight of </w:t>
      </w:r>
      <m:oMath>
        <m:r>
          <w:rPr>
            <w:rFonts w:ascii="Cambria Math" w:eastAsia="Cambria Math" w:hAnsi="Cambria Math" w:cs="Cambria Math"/>
            <w:sz w:val="20"/>
            <w:szCs w:val="20"/>
          </w:rPr>
          <m:t>El</m:t>
        </m:r>
      </m:oMath>
      <w:r>
        <w:rPr>
          <w:sz w:val="20"/>
          <w:szCs w:val="20"/>
        </w:rPr>
        <w:t xml:space="preserve"> is determined by formula:</w:t>
      </w:r>
    </w:p>
    <w:tbl>
      <w:tblPr>
        <w:tblStyle w:val="a1"/>
        <w:tblW w:w="9350" w:type="dxa"/>
        <w:tblBorders>
          <w:top w:val="nil"/>
          <w:left w:val="nil"/>
          <w:bottom w:val="nil"/>
          <w:right w:val="nil"/>
          <w:insideH w:val="nil"/>
          <w:insideV w:val="nil"/>
        </w:tblBorders>
        <w:tblLayout w:type="fixed"/>
        <w:tblLook w:val="0400" w:firstRow="0" w:lastRow="0" w:firstColumn="0" w:lastColumn="0" w:noHBand="0" w:noVBand="1"/>
      </w:tblPr>
      <w:tblGrid>
        <w:gridCol w:w="8075"/>
        <w:gridCol w:w="1275"/>
      </w:tblGrid>
      <w:tr w:rsidR="006971F4" w14:paraId="3BC267E7" w14:textId="77777777">
        <w:tc>
          <w:tcPr>
            <w:tcW w:w="8075" w:type="dxa"/>
          </w:tcPr>
          <w:p w14:paraId="0BFE4271" w14:textId="77777777" w:rsidR="006971F4" w:rsidRDefault="007065EF">
            <w:pPr>
              <w:jc w:val="center"/>
              <w:rPr>
                <w:rFonts w:ascii="Cambria Math" w:eastAsia="Cambria Math" w:hAnsi="Cambria Math" w:cs="Cambria Math"/>
                <w:sz w:val="20"/>
                <w:szCs w:val="20"/>
              </w:rPr>
            </w:pPr>
            <m:oMathPara>
              <m:oMath>
                <m:r>
                  <w:rPr>
                    <w:rFonts w:ascii="Cambria Math" w:eastAsia="Cambria Math" w:hAnsi="Cambria Math" w:cs="Cambria Math"/>
                    <w:sz w:val="20"/>
                    <w:szCs w:val="20"/>
                  </w:rPr>
                  <m:t>δl</m:t>
                </m:r>
                <m:r>
                  <w:rPr>
                    <w:rFonts w:ascii="Cambria Math" w:eastAsia="Cambria Math" w:hAnsi="Cambria Math" w:cs="Cambria Math"/>
                    <w:sz w:val="20"/>
                    <w:szCs w:val="20"/>
                  </w:rPr>
                  <m:t>=</m:t>
                </m:r>
                <m:f>
                  <m:fPr>
                    <m:ctrlPr>
                      <w:rPr>
                        <w:rFonts w:ascii="Cambria Math" w:eastAsia="Cambria Math" w:hAnsi="Cambria Math" w:cs="Cambria Math"/>
                        <w:sz w:val="20"/>
                        <w:szCs w:val="20"/>
                      </w:rPr>
                    </m:ctrlPr>
                  </m:fPr>
                  <m:num>
                    <m:d>
                      <m:dPr>
                        <m:begChr m:val="["/>
                        <m:endChr m:val="]"/>
                        <m:ctrlPr>
                          <w:rPr>
                            <w:rFonts w:ascii="Cambria Math" w:eastAsia="Cambria Math" w:hAnsi="Cambria Math" w:cs="Cambria Math"/>
                            <w:sz w:val="20"/>
                            <w:szCs w:val="20"/>
                          </w:rPr>
                        </m:ctrlPr>
                      </m:dPr>
                      <m:e>
                        <m:r>
                          <w:rPr>
                            <w:rFonts w:ascii="Cambria Math" w:eastAsia="Cambria Math" w:hAnsi="Cambria Math" w:cs="Cambria Math"/>
                            <w:sz w:val="20"/>
                            <w:szCs w:val="20"/>
                          </w:rPr>
                          <m:t>μl</m:t>
                        </m:r>
                        <m:r>
                          <w:rPr>
                            <w:rFonts w:ascii="Cambria Math" w:eastAsia="Cambria Math" w:hAnsi="Cambria Math" w:cs="Cambria Math"/>
                            <w:sz w:val="20"/>
                            <w:szCs w:val="20"/>
                          </w:rPr>
                          <m:t>+</m:t>
                        </m:r>
                        <m:r>
                          <w:rPr>
                            <w:rFonts w:ascii="Cambria Math" w:eastAsia="Cambria Math" w:hAnsi="Cambria Math" w:cs="Cambria Math"/>
                            <w:sz w:val="20"/>
                            <w:szCs w:val="20"/>
                          </w:rPr>
                          <m:t>πl</m:t>
                        </m:r>
                        <m:d>
                          <m:dPr>
                            <m:ctrlPr>
                              <w:rPr>
                                <w:rFonts w:ascii="Cambria Math" w:eastAsia="Cambria Math" w:hAnsi="Cambria Math" w:cs="Cambria Math"/>
                                <w:sz w:val="20"/>
                                <w:szCs w:val="20"/>
                              </w:rPr>
                            </m:ctrlPr>
                          </m:dPr>
                          <m:e>
                            <m:f>
                              <m:fPr>
                                <m:ctrlPr>
                                  <w:rPr>
                                    <w:rFonts w:ascii="Cambria Math" w:eastAsia="Cambria Math" w:hAnsi="Cambria Math" w:cs="Cambria Math"/>
                                    <w:sz w:val="20"/>
                                    <w:szCs w:val="20"/>
                                  </w:rPr>
                                </m:ctrlPr>
                              </m:fPr>
                              <m:num>
                                <m:r>
                                  <w:rPr>
                                    <w:rFonts w:ascii="Cambria Math" w:eastAsia="Cambria Math" w:hAnsi="Cambria Math" w:cs="Cambria Math"/>
                                    <w:sz w:val="20"/>
                                    <w:szCs w:val="20"/>
                                  </w:rPr>
                                  <m:t>μl</m:t>
                                </m:r>
                              </m:num>
                              <m:den>
                                <m:r>
                                  <w:rPr>
                                    <w:rFonts w:ascii="Cambria Math" w:eastAsia="Cambria Math" w:hAnsi="Cambria Math" w:cs="Cambria Math"/>
                                    <w:sz w:val="20"/>
                                    <w:szCs w:val="20"/>
                                  </w:rPr>
                                  <m:t>μl</m:t>
                                </m:r>
                                <m:r>
                                  <w:rPr>
                                    <w:rFonts w:ascii="Cambria Math" w:eastAsia="Cambria Math" w:hAnsi="Cambria Math" w:cs="Cambria Math"/>
                                    <w:sz w:val="20"/>
                                    <w:szCs w:val="20"/>
                                  </w:rPr>
                                  <m:t>+</m:t>
                                </m:r>
                                <m:r>
                                  <w:rPr>
                                    <w:rFonts w:ascii="Cambria Math" w:eastAsia="Cambria Math" w:hAnsi="Cambria Math" w:cs="Cambria Math"/>
                                    <w:sz w:val="20"/>
                                    <w:szCs w:val="20"/>
                                  </w:rPr>
                                  <m:t>νl</m:t>
                                </m:r>
                              </m:den>
                            </m:f>
                          </m:e>
                        </m:d>
                      </m:e>
                    </m:d>
                  </m:num>
                  <m:den>
                    <m:nary>
                      <m:naryPr>
                        <m:chr m:val="∑"/>
                        <m:ctrlPr>
                          <w:rPr>
                            <w:rFonts w:ascii="Cambria Math" w:eastAsia="Cambria Math" w:hAnsi="Cambria Math" w:cs="Cambria Math"/>
                            <w:sz w:val="20"/>
                            <w:szCs w:val="20"/>
                          </w:rPr>
                        </m:ctrlPr>
                      </m:naryPr>
                      <m:sub>
                        <m:r>
                          <w:rPr>
                            <w:rFonts w:ascii="Cambria Math" w:eastAsia="Cambria Math" w:hAnsi="Cambria Math" w:cs="Cambria Math"/>
                            <w:sz w:val="20"/>
                            <w:szCs w:val="20"/>
                          </w:rPr>
                          <m:t>l</m:t>
                        </m:r>
                        <m:r>
                          <w:rPr>
                            <w:rFonts w:ascii="Cambria Math" w:eastAsia="Cambria Math" w:hAnsi="Cambria Math" w:cs="Cambria Math"/>
                            <w:sz w:val="20"/>
                            <w:szCs w:val="20"/>
                          </w:rPr>
                          <m:t>=1</m:t>
                        </m:r>
                      </m:sub>
                      <m:sup>
                        <m:r>
                          <w:rPr>
                            <w:rFonts w:ascii="Cambria Math" w:eastAsia="Cambria Math" w:hAnsi="Cambria Math" w:cs="Cambria Math"/>
                            <w:sz w:val="20"/>
                            <w:szCs w:val="20"/>
                          </w:rPr>
                          <m:t>n</m:t>
                        </m:r>
                      </m:sup>
                      <m:e/>
                    </m:nary>
                    <m:r>
                      <w:rPr>
                        <w:rFonts w:ascii="Cambria Math" w:eastAsia="Cambria Math" w:hAnsi="Cambria Math" w:cs="Cambria Math"/>
                        <w:sz w:val="20"/>
                        <w:szCs w:val="20"/>
                      </w:rPr>
                      <m:t>[</m:t>
                    </m:r>
                    <m:r>
                      <w:rPr>
                        <w:rFonts w:ascii="Cambria Math" w:eastAsia="Cambria Math" w:hAnsi="Cambria Math" w:cs="Cambria Math"/>
                        <w:sz w:val="20"/>
                        <w:szCs w:val="20"/>
                      </w:rPr>
                      <m:t>μl</m:t>
                    </m:r>
                    <m:r>
                      <w:rPr>
                        <w:rFonts w:ascii="Cambria Math" w:eastAsia="Cambria Math" w:hAnsi="Cambria Math" w:cs="Cambria Math"/>
                        <w:sz w:val="20"/>
                        <w:szCs w:val="20"/>
                      </w:rPr>
                      <m:t>+</m:t>
                    </m:r>
                    <m:r>
                      <w:rPr>
                        <w:rFonts w:ascii="Cambria Math" w:eastAsia="Cambria Math" w:hAnsi="Cambria Math" w:cs="Cambria Math"/>
                        <w:sz w:val="20"/>
                        <w:szCs w:val="20"/>
                      </w:rPr>
                      <m:t>πl</m:t>
                    </m:r>
                    <m:d>
                      <m:dPr>
                        <m:ctrlPr>
                          <w:rPr>
                            <w:rFonts w:ascii="Cambria Math" w:eastAsia="Cambria Math" w:hAnsi="Cambria Math" w:cs="Cambria Math"/>
                            <w:sz w:val="20"/>
                            <w:szCs w:val="20"/>
                          </w:rPr>
                        </m:ctrlPr>
                      </m:dPr>
                      <m:e>
                        <m:f>
                          <m:fPr>
                            <m:ctrlPr>
                              <w:rPr>
                                <w:rFonts w:ascii="Cambria Math" w:eastAsia="Cambria Math" w:hAnsi="Cambria Math" w:cs="Cambria Math"/>
                                <w:sz w:val="20"/>
                                <w:szCs w:val="20"/>
                              </w:rPr>
                            </m:ctrlPr>
                          </m:fPr>
                          <m:num>
                            <m:r>
                              <w:rPr>
                                <w:rFonts w:ascii="Cambria Math" w:eastAsia="Cambria Math" w:hAnsi="Cambria Math" w:cs="Cambria Math"/>
                                <w:sz w:val="20"/>
                                <w:szCs w:val="20"/>
                              </w:rPr>
                              <m:t>μl</m:t>
                            </m:r>
                          </m:num>
                          <m:den>
                            <m:r>
                              <w:rPr>
                                <w:rFonts w:ascii="Cambria Math" w:eastAsia="Cambria Math" w:hAnsi="Cambria Math" w:cs="Cambria Math"/>
                                <w:sz w:val="20"/>
                                <w:szCs w:val="20"/>
                              </w:rPr>
                              <m:t>μl</m:t>
                            </m:r>
                            <m:r>
                              <w:rPr>
                                <w:rFonts w:ascii="Cambria Math" w:eastAsia="Cambria Math" w:hAnsi="Cambria Math" w:cs="Cambria Math"/>
                                <w:sz w:val="20"/>
                                <w:szCs w:val="20"/>
                              </w:rPr>
                              <m:t>+</m:t>
                            </m:r>
                            <m:r>
                              <w:rPr>
                                <w:rFonts w:ascii="Cambria Math" w:eastAsia="Cambria Math" w:hAnsi="Cambria Math" w:cs="Cambria Math"/>
                                <w:sz w:val="20"/>
                                <w:szCs w:val="20"/>
                              </w:rPr>
                              <m:t>νl</m:t>
                            </m:r>
                          </m:den>
                        </m:f>
                      </m:e>
                    </m:d>
                    <m:r>
                      <w:rPr>
                        <w:rFonts w:ascii="Cambria Math" w:eastAsia="Cambria Math" w:hAnsi="Cambria Math" w:cs="Cambria Math"/>
                        <w:sz w:val="20"/>
                        <w:szCs w:val="20"/>
                      </w:rPr>
                      <m:t>]</m:t>
                    </m:r>
                  </m:den>
                </m:f>
              </m:oMath>
            </m:oMathPara>
          </w:p>
        </w:tc>
        <w:tc>
          <w:tcPr>
            <w:tcW w:w="1275" w:type="dxa"/>
          </w:tcPr>
          <w:p w14:paraId="3447A645" w14:textId="77777777" w:rsidR="006971F4" w:rsidRDefault="007065EF">
            <w:pPr>
              <w:jc w:val="right"/>
              <w:rPr>
                <w:sz w:val="20"/>
                <w:szCs w:val="20"/>
              </w:rPr>
            </w:pPr>
            <w:r>
              <w:rPr>
                <w:sz w:val="20"/>
                <w:szCs w:val="20"/>
              </w:rPr>
              <w:t>(2)</w:t>
            </w:r>
          </w:p>
        </w:tc>
      </w:tr>
    </w:tbl>
    <w:p w14:paraId="2C18E3A8" w14:textId="77777777" w:rsidR="006971F4" w:rsidRDefault="007065EF">
      <w:pPr>
        <w:jc w:val="both"/>
        <w:rPr>
          <w:sz w:val="20"/>
          <w:szCs w:val="20"/>
        </w:rPr>
      </w:pPr>
      <w:r>
        <w:rPr>
          <w:sz w:val="20"/>
          <w:szCs w:val="20"/>
        </w:rPr>
        <w:t>where,</w:t>
      </w:r>
    </w:p>
    <w:p w14:paraId="51E27C99" w14:textId="77777777" w:rsidR="006971F4" w:rsidRDefault="007065EF">
      <w:pPr>
        <w:jc w:val="center"/>
        <w:rPr>
          <w:rFonts w:ascii="Cambria Math" w:eastAsia="Cambria Math" w:hAnsi="Cambria Math" w:cs="Cambria Math"/>
          <w:sz w:val="20"/>
          <w:szCs w:val="20"/>
        </w:rPr>
      </w:pPr>
      <m:oMathPara>
        <m:oMath>
          <m:nary>
            <m:naryPr>
              <m:chr m:val="∑"/>
              <m:ctrlPr>
                <w:rPr>
                  <w:rFonts w:ascii="Cambria Math" w:eastAsia="Cambria Math" w:hAnsi="Cambria Math" w:cs="Cambria Math"/>
                  <w:sz w:val="20"/>
                  <w:szCs w:val="20"/>
                </w:rPr>
              </m:ctrlPr>
            </m:naryPr>
            <m:sub>
              <m:r>
                <w:rPr>
                  <w:rFonts w:ascii="Cambria Math" w:eastAsia="Cambria Math" w:hAnsi="Cambria Math" w:cs="Cambria Math"/>
                  <w:sz w:val="20"/>
                  <w:szCs w:val="20"/>
                </w:rPr>
                <m:t>l</m:t>
              </m:r>
              <m:r>
                <w:rPr>
                  <w:rFonts w:ascii="Cambria Math" w:eastAsia="Cambria Math" w:hAnsi="Cambria Math" w:cs="Cambria Math"/>
                  <w:sz w:val="20"/>
                  <w:szCs w:val="20"/>
                </w:rPr>
                <m:t>=1</m:t>
              </m:r>
            </m:sub>
            <m:sup>
              <m:r>
                <w:rPr>
                  <w:rFonts w:ascii="Cambria Math" w:eastAsia="Cambria Math" w:hAnsi="Cambria Math" w:cs="Cambria Math"/>
                  <w:sz w:val="20"/>
                  <w:szCs w:val="20"/>
                </w:rPr>
                <m:t>n</m:t>
              </m:r>
            </m:sup>
            <m:e/>
          </m:nary>
          <m:r>
            <w:rPr>
              <w:rFonts w:ascii="Cambria Math" w:eastAsia="Cambria Math" w:hAnsi="Cambria Math" w:cs="Cambria Math"/>
              <w:sz w:val="20"/>
              <w:szCs w:val="20"/>
            </w:rPr>
            <m:t>δl</m:t>
          </m:r>
          <m:r>
            <w:rPr>
              <w:rFonts w:ascii="Cambria Math" w:eastAsia="Cambria Math" w:hAnsi="Cambria Math" w:cs="Cambria Math"/>
              <w:sz w:val="20"/>
              <w:szCs w:val="20"/>
            </w:rPr>
            <m:t>=1</m:t>
          </m:r>
        </m:oMath>
      </m:oMathPara>
    </w:p>
    <w:p w14:paraId="78D2C7E1" w14:textId="77777777" w:rsidR="006971F4" w:rsidRDefault="007065EF">
      <w:pPr>
        <w:jc w:val="both"/>
        <w:rPr>
          <w:sz w:val="20"/>
          <w:szCs w:val="20"/>
        </w:rPr>
      </w:pPr>
      <m:oMath>
        <m:r>
          <w:rPr>
            <w:rFonts w:ascii="Cambria Math" w:eastAsia="Cambria Math" w:hAnsi="Cambria Math" w:cs="Cambria Math"/>
            <w:sz w:val="20"/>
            <w:szCs w:val="20"/>
          </w:rPr>
          <m:t>δl</m:t>
        </m:r>
      </m:oMath>
      <w:r>
        <w:rPr>
          <w:sz w:val="20"/>
          <w:szCs w:val="20"/>
        </w:rPr>
        <w:t xml:space="preserve"> denote the weights assigned to </w:t>
      </w:r>
      <w:r>
        <w:rPr>
          <w:i/>
          <w:iCs/>
          <w:sz w:val="20"/>
          <w:szCs w:val="20"/>
        </w:rPr>
        <w:t>l</w:t>
      </w:r>
      <w:r>
        <w:rPr>
          <w:sz w:val="20"/>
          <w:szCs w:val="20"/>
        </w:rPr>
        <w:t>th experts, reflecting their reliability or importance in the decision-making process.</w:t>
      </w:r>
    </w:p>
    <w:p w14:paraId="494AFBD2" w14:textId="77777777" w:rsidR="006971F4" w:rsidRDefault="007065EF">
      <w:pPr>
        <w:jc w:val="both"/>
        <w:rPr>
          <w:sz w:val="20"/>
          <w:szCs w:val="20"/>
        </w:rPr>
      </w:pPr>
      <w:r>
        <w:rPr>
          <w:sz w:val="20"/>
          <w:szCs w:val="20"/>
        </w:rPr>
        <w:t xml:space="preserve">While for criterion weights, each criterion’s relative importance is also determined through expert assessments in IFN form. The Intuitionistic Fuzzy Weighted Averaging (IFWA) operator [11] aggregates these individual judgments into a single set of criterion weights. Let </w:t>
      </w:r>
      <m:oMath>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r</m:t>
            </m:r>
          </m:e>
          <m:sub>
            <m:r>
              <w:rPr>
                <w:rFonts w:ascii="Cambria Math" w:eastAsia="Cambria Math" w:hAnsi="Cambria Math" w:cs="Cambria Math"/>
                <w:sz w:val="20"/>
                <w:szCs w:val="20"/>
              </w:rPr>
              <m:t>j</m:t>
            </m:r>
          </m:sub>
          <m:sup>
            <m:r>
              <w:rPr>
                <w:rFonts w:ascii="Cambria Math" w:eastAsia="Cambria Math" w:hAnsi="Cambria Math" w:cs="Cambria Math"/>
                <w:sz w:val="20"/>
                <w:szCs w:val="20"/>
              </w:rPr>
              <m:t>k</m:t>
            </m:r>
          </m:sup>
        </m:sSubSup>
        <m:r>
          <w:rPr>
            <w:rFonts w:ascii="Cambria Math" w:eastAsia="Cambria Math" w:hAnsi="Cambria Math" w:cs="Cambria Math"/>
            <w:sz w:val="20"/>
            <w:szCs w:val="20"/>
          </w:rPr>
          <m:t>=</m:t>
        </m:r>
        <m:d>
          <m:dPr>
            <m:ctrlPr>
              <w:rPr>
                <w:rFonts w:ascii="Cambria Math" w:eastAsia="Cambria Math" w:hAnsi="Cambria Math" w:cs="Cambria Math"/>
                <w:sz w:val="20"/>
                <w:szCs w:val="20"/>
              </w:rPr>
            </m:ctrlPr>
          </m:dPr>
          <m:e>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μ</m:t>
                </m:r>
              </m:e>
              <m:sub>
                <m:r>
                  <w:rPr>
                    <w:rFonts w:ascii="Cambria Math" w:eastAsia="Cambria Math" w:hAnsi="Cambria Math" w:cs="Cambria Math"/>
                    <w:sz w:val="20"/>
                    <w:szCs w:val="20"/>
                  </w:rPr>
                  <m:t>j</m:t>
                </m:r>
              </m:sub>
              <m:sup>
                <m:r>
                  <w:rPr>
                    <w:rFonts w:ascii="Cambria Math" w:eastAsia="Cambria Math" w:hAnsi="Cambria Math" w:cs="Cambria Math"/>
                    <w:sz w:val="20"/>
                    <w:szCs w:val="20"/>
                  </w:rPr>
                  <m:t>k</m:t>
                </m:r>
              </m:sup>
            </m:sSubSup>
            <m:r>
              <w:rPr>
                <w:rFonts w:ascii="Cambria Math" w:eastAsia="Cambria Math" w:hAnsi="Cambria Math" w:cs="Cambria Math"/>
                <w:sz w:val="20"/>
                <w:szCs w:val="20"/>
              </w:rPr>
              <m:t>,</m:t>
            </m:r>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ν</m:t>
                </m:r>
              </m:e>
              <m:sub>
                <m:r>
                  <w:rPr>
                    <w:rFonts w:ascii="Cambria Math" w:eastAsia="Cambria Math" w:hAnsi="Cambria Math" w:cs="Cambria Math"/>
                    <w:sz w:val="20"/>
                    <w:szCs w:val="20"/>
                  </w:rPr>
                  <m:t>j</m:t>
                </m:r>
              </m:sub>
              <m:sup>
                <m:r>
                  <w:rPr>
                    <w:rFonts w:ascii="Cambria Math" w:eastAsia="Cambria Math" w:hAnsi="Cambria Math" w:cs="Cambria Math"/>
                    <w:sz w:val="20"/>
                    <w:szCs w:val="20"/>
                  </w:rPr>
                  <m:t>k</m:t>
                </m:r>
              </m:sup>
            </m:sSubSup>
            <m:r>
              <w:rPr>
                <w:rFonts w:ascii="Cambria Math" w:eastAsia="Cambria Math" w:hAnsi="Cambria Math" w:cs="Cambria Math"/>
                <w:sz w:val="20"/>
                <w:szCs w:val="20"/>
              </w:rPr>
              <m:t>,</m:t>
            </m:r>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π</m:t>
                </m:r>
              </m:e>
              <m:sub>
                <m:r>
                  <w:rPr>
                    <w:rFonts w:ascii="Cambria Math" w:eastAsia="Cambria Math" w:hAnsi="Cambria Math" w:cs="Cambria Math"/>
                    <w:sz w:val="20"/>
                    <w:szCs w:val="20"/>
                  </w:rPr>
                  <m:t>j</m:t>
                </m:r>
              </m:sub>
              <m:sup>
                <m:r>
                  <w:rPr>
                    <w:rFonts w:ascii="Cambria Math" w:eastAsia="Cambria Math" w:hAnsi="Cambria Math" w:cs="Cambria Math"/>
                    <w:sz w:val="20"/>
                    <w:szCs w:val="20"/>
                  </w:rPr>
                  <m:t>k</m:t>
                </m:r>
              </m:sup>
            </m:sSubSup>
          </m:e>
        </m:d>
      </m:oMath>
      <w:r>
        <w:rPr>
          <w:sz w:val="20"/>
          <w:szCs w:val="20"/>
        </w:rPr>
        <w:t xml:space="preserve"> represent an IFN of the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C</m:t>
            </m:r>
          </m:e>
          <m:sub>
            <m:r>
              <w:rPr>
                <w:rFonts w:ascii="Cambria Math" w:eastAsia="Cambria Math" w:hAnsi="Cambria Math" w:cs="Cambria Math"/>
                <w:sz w:val="20"/>
                <w:szCs w:val="20"/>
              </w:rPr>
              <m:t>j</m:t>
            </m:r>
          </m:sub>
        </m:sSub>
      </m:oMath>
      <w:r>
        <w:rPr>
          <w:sz w:val="20"/>
          <w:szCs w:val="20"/>
        </w:rPr>
        <w:t xml:space="preserve"> criterion of the </w:t>
      </w:r>
      <m:oMath>
        <m:r>
          <w:rPr>
            <w:rFonts w:ascii="Cambria Math" w:eastAsia="Cambria Math" w:hAnsi="Cambria Math" w:cs="Cambria Math"/>
            <w:sz w:val="20"/>
            <w:szCs w:val="20"/>
          </w:rPr>
          <m:t>l</m:t>
        </m:r>
      </m:oMath>
      <w:r>
        <w:rPr>
          <w:sz w:val="20"/>
          <w:szCs w:val="20"/>
        </w:rPr>
        <w:t>th expert.</w:t>
      </w:r>
    </w:p>
    <w:tbl>
      <w:tblPr>
        <w:tblStyle w:val="a2"/>
        <w:tblW w:w="9350" w:type="dxa"/>
        <w:tblBorders>
          <w:top w:val="nil"/>
          <w:left w:val="nil"/>
          <w:bottom w:val="nil"/>
          <w:right w:val="nil"/>
          <w:insideH w:val="nil"/>
          <w:insideV w:val="nil"/>
        </w:tblBorders>
        <w:tblLayout w:type="fixed"/>
        <w:tblLook w:val="0400" w:firstRow="0" w:lastRow="0" w:firstColumn="0" w:lastColumn="0" w:noHBand="0" w:noVBand="1"/>
      </w:tblPr>
      <w:tblGrid>
        <w:gridCol w:w="8075"/>
        <w:gridCol w:w="1275"/>
      </w:tblGrid>
      <w:tr w:rsidR="006971F4" w14:paraId="20D1D602" w14:textId="77777777">
        <w:tc>
          <w:tcPr>
            <w:tcW w:w="8075" w:type="dxa"/>
          </w:tcPr>
          <w:p w14:paraId="5CAB9582" w14:textId="77777777" w:rsidR="006971F4" w:rsidRDefault="007065EF">
            <w:pPr>
              <w:ind w:left="720" w:firstLine="720"/>
              <w:jc w:val="both"/>
              <w:rPr>
                <w:sz w:val="20"/>
                <w:szCs w:val="20"/>
              </w:rPr>
            </w:pP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r</m:t>
                  </m:r>
                </m:e>
                <m:sub>
                  <m:r>
                    <w:rPr>
                      <w:rFonts w:ascii="Cambria Math" w:eastAsia="Cambria Math" w:hAnsi="Cambria Math" w:cs="Cambria Math"/>
                      <w:sz w:val="20"/>
                      <w:szCs w:val="20"/>
                    </w:rPr>
                    <m:t>j</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IFWAr</m:t>
                  </m:r>
                </m:e>
                <m:sub>
                  <m:r>
                    <w:rPr>
                      <w:rFonts w:ascii="Cambria Math" w:eastAsia="Cambria Math" w:hAnsi="Cambria Math" w:cs="Cambria Math"/>
                      <w:sz w:val="20"/>
                      <w:szCs w:val="20"/>
                    </w:rPr>
                    <m:t>δ</m:t>
                  </m:r>
                </m:sub>
              </m:sSub>
              <m:d>
                <m:dPr>
                  <m:ctrlPr>
                    <w:rPr>
                      <w:rFonts w:ascii="Cambria Math" w:eastAsia="Cambria Math" w:hAnsi="Cambria Math" w:cs="Cambria Math"/>
                      <w:sz w:val="20"/>
                      <w:szCs w:val="20"/>
                    </w:rPr>
                  </m:ctrlPr>
                </m:dPr>
                <m:e>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r</m:t>
                      </m:r>
                    </m:e>
                    <m:sub>
                      <m:r>
                        <w:rPr>
                          <w:rFonts w:ascii="Cambria Math" w:eastAsia="Cambria Math" w:hAnsi="Cambria Math" w:cs="Cambria Math"/>
                          <w:sz w:val="20"/>
                          <w:szCs w:val="20"/>
                        </w:rPr>
                        <m:t>j</m:t>
                      </m:r>
                    </m:sub>
                    <m:sup>
                      <m:d>
                        <m:dPr>
                          <m:ctrlPr>
                            <w:rPr>
                              <w:rFonts w:ascii="Cambria Math" w:eastAsia="Cambria Math" w:hAnsi="Cambria Math" w:cs="Cambria Math"/>
                              <w:sz w:val="20"/>
                              <w:szCs w:val="20"/>
                            </w:rPr>
                          </m:ctrlPr>
                        </m:dPr>
                        <m:e>
                          <m:r>
                            <w:rPr>
                              <w:rFonts w:ascii="Cambria Math" w:eastAsia="Cambria Math" w:hAnsi="Cambria Math" w:cs="Cambria Math"/>
                              <w:sz w:val="20"/>
                              <w:szCs w:val="20"/>
                            </w:rPr>
                            <m:t>1</m:t>
                          </m:r>
                        </m:e>
                      </m:d>
                    </m:sup>
                  </m:sSubSup>
                  <m:r>
                    <w:rPr>
                      <w:rFonts w:ascii="Cambria Math" w:eastAsia="Cambria Math" w:hAnsi="Cambria Math" w:cs="Cambria Math"/>
                      <w:sz w:val="20"/>
                      <w:szCs w:val="20"/>
                    </w:rPr>
                    <m:t>,</m:t>
                  </m:r>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r</m:t>
                      </m:r>
                    </m:e>
                    <m:sub>
                      <m:r>
                        <w:rPr>
                          <w:rFonts w:ascii="Cambria Math" w:eastAsia="Cambria Math" w:hAnsi="Cambria Math" w:cs="Cambria Math"/>
                          <w:sz w:val="20"/>
                          <w:szCs w:val="20"/>
                        </w:rPr>
                        <m:t>j</m:t>
                      </m:r>
                    </m:sub>
                    <m:sup>
                      <m:d>
                        <m:dPr>
                          <m:ctrlPr>
                            <w:rPr>
                              <w:rFonts w:ascii="Cambria Math" w:eastAsia="Cambria Math" w:hAnsi="Cambria Math" w:cs="Cambria Math"/>
                              <w:sz w:val="20"/>
                              <w:szCs w:val="20"/>
                            </w:rPr>
                          </m:ctrlPr>
                        </m:dPr>
                        <m:e>
                          <m:r>
                            <w:rPr>
                              <w:rFonts w:ascii="Cambria Math" w:eastAsia="Cambria Math" w:hAnsi="Cambria Math" w:cs="Cambria Math"/>
                              <w:sz w:val="20"/>
                              <w:szCs w:val="20"/>
                            </w:rPr>
                            <m:t>2</m:t>
                          </m:r>
                        </m:e>
                      </m:d>
                    </m:sup>
                  </m:sSubSup>
                  <m:r>
                    <w:rPr>
                      <w:rFonts w:ascii="Cambria Math" w:eastAsia="Cambria Math" w:hAnsi="Cambria Math" w:cs="Cambria Math"/>
                      <w:sz w:val="20"/>
                      <w:szCs w:val="20"/>
                    </w:rPr>
                    <m:t>,…</m:t>
                  </m:r>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r</m:t>
                      </m:r>
                    </m:e>
                    <m:sub>
                      <m:r>
                        <w:rPr>
                          <w:rFonts w:ascii="Cambria Math" w:eastAsia="Cambria Math" w:hAnsi="Cambria Math" w:cs="Cambria Math"/>
                          <w:sz w:val="20"/>
                          <w:szCs w:val="20"/>
                        </w:rPr>
                        <m:t>j</m:t>
                      </m:r>
                    </m:sub>
                    <m:sup>
                      <m:d>
                        <m:dPr>
                          <m:ctrlPr>
                            <w:rPr>
                              <w:rFonts w:ascii="Cambria Math" w:eastAsia="Cambria Math" w:hAnsi="Cambria Math" w:cs="Cambria Math"/>
                              <w:sz w:val="20"/>
                              <w:szCs w:val="20"/>
                            </w:rPr>
                          </m:ctrlPr>
                        </m:dPr>
                        <m:e>
                          <m:r>
                            <w:rPr>
                              <w:rFonts w:ascii="Cambria Math" w:eastAsia="Cambria Math" w:hAnsi="Cambria Math" w:cs="Cambria Math"/>
                              <w:sz w:val="20"/>
                              <w:szCs w:val="20"/>
                            </w:rPr>
                            <m:t>3</m:t>
                          </m:r>
                        </m:e>
                      </m:d>
                    </m:sup>
                  </m:sSubSup>
                </m:e>
              </m:d>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δ</m:t>
                  </m:r>
                </m:e>
                <m:sub>
                  <m:r>
                    <w:rPr>
                      <w:rFonts w:ascii="Cambria Math" w:eastAsia="Cambria Math" w:hAnsi="Cambria Math" w:cs="Cambria Math"/>
                      <w:sz w:val="20"/>
                      <w:szCs w:val="20"/>
                    </w:rPr>
                    <m:t>1</m:t>
                  </m:r>
                </m:sub>
              </m:sSub>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r</m:t>
                  </m:r>
                </m:e>
                <m:sub>
                  <m:r>
                    <w:rPr>
                      <w:rFonts w:ascii="Cambria Math" w:eastAsia="Cambria Math" w:hAnsi="Cambria Math" w:cs="Cambria Math"/>
                      <w:sz w:val="20"/>
                      <w:szCs w:val="20"/>
                    </w:rPr>
                    <m:t>j</m:t>
                  </m:r>
                </m:sub>
                <m:sup>
                  <m:d>
                    <m:dPr>
                      <m:ctrlPr>
                        <w:rPr>
                          <w:rFonts w:ascii="Cambria Math" w:eastAsia="Cambria Math" w:hAnsi="Cambria Math" w:cs="Cambria Math"/>
                          <w:sz w:val="20"/>
                          <w:szCs w:val="20"/>
                        </w:rPr>
                      </m:ctrlPr>
                    </m:dPr>
                    <m:e>
                      <m:r>
                        <w:rPr>
                          <w:rFonts w:ascii="Cambria Math" w:eastAsia="Cambria Math" w:hAnsi="Cambria Math" w:cs="Cambria Math"/>
                          <w:sz w:val="20"/>
                          <w:szCs w:val="20"/>
                        </w:rPr>
                        <m:t>1</m:t>
                      </m:r>
                    </m:e>
                  </m:d>
                </m:sup>
              </m:sSubSup>
              <m:sSubSup>
                <m:sSubSupPr>
                  <m:ctrlPr>
                    <w:rPr>
                      <w:rFonts w:ascii="Cambria Math" w:hAnsi="Cambria Math"/>
                    </w:rPr>
                  </m:ctrlPr>
                </m:sSubSupPr>
                <m:e>
                  <m:r>
                    <w:rPr>
                      <w:rFonts w:ascii="Cambria Math" w:hAnsi="Cambria Math"/>
                    </w:rPr>
                    <m:t>⨁</m:t>
                  </m:r>
                </m:e>
                <m:sub/>
                <m:sup/>
              </m:sSubSup>
              <m:sSub>
                <m:sSubPr>
                  <m:ctrlPr>
                    <w:rPr>
                      <w:rFonts w:ascii="Cambria Math" w:eastAsia="Cambria Math" w:hAnsi="Cambria Math" w:cs="Cambria Math"/>
                      <w:sz w:val="20"/>
                      <w:szCs w:val="20"/>
                    </w:rPr>
                  </m:ctrlPr>
                </m:sSubPr>
                <m:e>
                  <m:r>
                    <w:rPr>
                      <w:rFonts w:ascii="Cambria Math" w:hAnsi="Cambria Math"/>
                    </w:rPr>
                    <m:t>δ</m:t>
                  </m:r>
                </m:e>
                <m:sub>
                  <m:r>
                    <w:rPr>
                      <w:rFonts w:ascii="Cambria Math" w:eastAsia="Cambria Math" w:hAnsi="Cambria Math" w:cs="Cambria Math"/>
                      <w:sz w:val="20"/>
                      <w:szCs w:val="20"/>
                    </w:rPr>
                    <m:t>2</m:t>
                  </m:r>
                </m:sub>
              </m:sSub>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r</m:t>
                  </m:r>
                </m:e>
                <m:sub>
                  <m:r>
                    <w:rPr>
                      <w:rFonts w:ascii="Cambria Math" w:eastAsia="Cambria Math" w:hAnsi="Cambria Math" w:cs="Cambria Math"/>
                      <w:sz w:val="20"/>
                      <w:szCs w:val="20"/>
                    </w:rPr>
                    <m:t>j</m:t>
                  </m:r>
                </m:sub>
                <m:sup>
                  <m:d>
                    <m:dPr>
                      <m:ctrlPr>
                        <w:rPr>
                          <w:rFonts w:ascii="Cambria Math" w:eastAsia="Cambria Math" w:hAnsi="Cambria Math" w:cs="Cambria Math"/>
                          <w:sz w:val="20"/>
                          <w:szCs w:val="20"/>
                        </w:rPr>
                      </m:ctrlPr>
                    </m:dPr>
                    <m:e>
                      <m:r>
                        <w:rPr>
                          <w:rFonts w:ascii="Cambria Math" w:eastAsia="Cambria Math" w:hAnsi="Cambria Math" w:cs="Cambria Math"/>
                          <w:sz w:val="20"/>
                          <w:szCs w:val="20"/>
                        </w:rPr>
                        <m:t>2</m:t>
                      </m:r>
                    </m:e>
                  </m:d>
                </m:sup>
              </m:sSubSup>
              <m:sSubSup>
                <m:sSubSupPr>
                  <m:ctrlPr>
                    <w:rPr>
                      <w:rFonts w:ascii="Cambria Math" w:hAnsi="Cambria Math"/>
                    </w:rPr>
                  </m:ctrlPr>
                </m:sSubSupPr>
                <m:e>
                  <m:r>
                    <w:rPr>
                      <w:rFonts w:ascii="Cambria Math" w:hAnsi="Cambria Math"/>
                    </w:rPr>
                    <m:t>⨁</m:t>
                  </m:r>
                </m:e>
                <m:sub/>
                <m:sup/>
              </m:sSubSup>
              <m:r>
                <w:rPr>
                  <w:rFonts w:ascii="Cambria Math" w:eastAsia="Cambria Math" w:hAnsi="Cambria Math" w:cs="Cambria Math"/>
                  <w:sz w:val="20"/>
                  <w:szCs w:val="20"/>
                </w:rPr>
                <m:t>,…,</m:t>
              </m:r>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δ</m:t>
                  </m:r>
                </m:e>
                <m:sub>
                  <m:r>
                    <w:rPr>
                      <w:rFonts w:ascii="Cambria Math" w:eastAsia="Cambria Math" w:hAnsi="Cambria Math" w:cs="Cambria Math"/>
                      <w:sz w:val="20"/>
                      <w:szCs w:val="20"/>
                    </w:rPr>
                    <m:t>k</m:t>
                  </m:r>
                </m:sub>
              </m:sSub>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r</m:t>
                  </m:r>
                </m:e>
                <m:sub>
                  <m:r>
                    <w:rPr>
                      <w:rFonts w:ascii="Cambria Math" w:eastAsia="Cambria Math" w:hAnsi="Cambria Math" w:cs="Cambria Math"/>
                      <w:sz w:val="20"/>
                      <w:szCs w:val="20"/>
                    </w:rPr>
                    <m:t>j</m:t>
                  </m:r>
                </m:sub>
                <m:sup>
                  <m:d>
                    <m:dPr>
                      <m:ctrlPr>
                        <w:rPr>
                          <w:rFonts w:ascii="Cambria Math" w:eastAsia="Cambria Math" w:hAnsi="Cambria Math" w:cs="Cambria Math"/>
                          <w:sz w:val="20"/>
                          <w:szCs w:val="20"/>
                        </w:rPr>
                      </m:ctrlPr>
                    </m:dPr>
                    <m:e>
                      <m:r>
                        <w:rPr>
                          <w:rFonts w:ascii="Cambria Math" w:eastAsia="Cambria Math" w:hAnsi="Cambria Math" w:cs="Cambria Math"/>
                          <w:sz w:val="20"/>
                          <w:szCs w:val="20"/>
                        </w:rPr>
                        <m:t>l</m:t>
                      </m:r>
                    </m:e>
                  </m:d>
                </m:sup>
              </m:sSubSup>
            </m:oMath>
            <w:r>
              <w:rPr>
                <w:sz w:val="20"/>
                <w:szCs w:val="20"/>
              </w:rPr>
              <w:t xml:space="preserve">,                 </w:t>
            </w:r>
          </w:p>
          <w:p w14:paraId="3D937D7C" w14:textId="77777777" w:rsidR="006971F4" w:rsidRDefault="007065EF">
            <w:pPr>
              <w:jc w:val="center"/>
              <w:rPr>
                <w:rFonts w:ascii="Cambria Math" w:eastAsia="Cambria Math" w:hAnsi="Cambria Math" w:cs="Cambria Math"/>
                <w:sz w:val="20"/>
                <w:szCs w:val="20"/>
              </w:rPr>
            </w:pPr>
            <m:oMathPara>
              <m:oMath>
                <m:r>
                  <w:rPr>
                    <w:rFonts w:ascii="Cambria Math" w:eastAsia="Cambria Math" w:hAnsi="Cambria Math" w:cs="Cambria Math"/>
                    <w:sz w:val="20"/>
                    <w:szCs w:val="20"/>
                  </w:rPr>
                  <m:t>=</m:t>
                </m:r>
                <m:d>
                  <m:dPr>
                    <m:begChr m:val="["/>
                    <m:endChr m:val="]"/>
                    <m:ctrlPr>
                      <w:rPr>
                        <w:rFonts w:ascii="Cambria Math" w:eastAsia="Cambria Math" w:hAnsi="Cambria Math" w:cs="Cambria Math"/>
                        <w:sz w:val="20"/>
                        <w:szCs w:val="20"/>
                      </w:rPr>
                    </m:ctrlPr>
                  </m:dPr>
                  <m:e>
                    <m:r>
                      <w:rPr>
                        <w:rFonts w:ascii="Cambria Math" w:eastAsia="Cambria Math" w:hAnsi="Cambria Math" w:cs="Cambria Math"/>
                        <w:sz w:val="20"/>
                        <w:szCs w:val="20"/>
                      </w:rPr>
                      <m:t>1-</m:t>
                    </m:r>
                    <m:nary>
                      <m:naryPr>
                        <m:chr m:val="∏"/>
                        <m:ctrlPr>
                          <w:rPr>
                            <w:rFonts w:ascii="Cambria Math" w:eastAsia="Cambria Math" w:hAnsi="Cambria Math" w:cs="Cambria Math"/>
                            <w:sz w:val="20"/>
                            <w:szCs w:val="20"/>
                          </w:rPr>
                        </m:ctrlPr>
                      </m:naryPr>
                      <m:sub>
                        <m:r>
                          <w:rPr>
                            <w:rFonts w:ascii="Cambria Math" w:eastAsia="Cambria Math" w:hAnsi="Cambria Math" w:cs="Cambria Math"/>
                            <w:sz w:val="20"/>
                            <w:szCs w:val="20"/>
                          </w:rPr>
                          <m:t>l</m:t>
                        </m:r>
                        <m:r>
                          <w:rPr>
                            <w:rFonts w:ascii="Cambria Math" w:eastAsia="Cambria Math" w:hAnsi="Cambria Math" w:cs="Cambria Math"/>
                            <w:sz w:val="20"/>
                            <w:szCs w:val="20"/>
                          </w:rPr>
                          <m:t>=1</m:t>
                        </m:r>
                      </m:sub>
                      <m:sup>
                        <m:r>
                          <w:rPr>
                            <w:rFonts w:ascii="Cambria Math" w:eastAsia="Cambria Math" w:hAnsi="Cambria Math" w:cs="Cambria Math"/>
                            <w:sz w:val="20"/>
                            <w:szCs w:val="20"/>
                          </w:rPr>
                          <m:t>k</m:t>
                        </m:r>
                      </m:sup>
                      <m:e/>
                    </m:nary>
                    <m:sSup>
                      <m:sSupPr>
                        <m:ctrlPr>
                          <w:rPr>
                            <w:rFonts w:ascii="Cambria Math" w:eastAsia="Cambria Math" w:hAnsi="Cambria Math" w:cs="Cambria Math"/>
                            <w:sz w:val="20"/>
                            <w:szCs w:val="20"/>
                          </w:rPr>
                        </m:ctrlPr>
                      </m:sSupPr>
                      <m:e>
                        <m:d>
                          <m:dPr>
                            <m:ctrlPr>
                              <w:rPr>
                                <w:rFonts w:ascii="Cambria Math" w:eastAsia="Cambria Math" w:hAnsi="Cambria Math" w:cs="Cambria Math"/>
                                <w:sz w:val="20"/>
                                <w:szCs w:val="20"/>
                              </w:rPr>
                            </m:ctrlPr>
                          </m:dPr>
                          <m:e>
                            <m:r>
                              <w:rPr>
                                <w:rFonts w:ascii="Cambria Math" w:eastAsia="Cambria Math" w:hAnsi="Cambria Math" w:cs="Cambria Math"/>
                                <w:sz w:val="20"/>
                                <w:szCs w:val="20"/>
                              </w:rPr>
                              <m:t>1-</m:t>
                            </m:r>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μ</m:t>
                                </m:r>
                              </m:e>
                              <m:sub>
                                <m:r>
                                  <w:rPr>
                                    <w:rFonts w:ascii="Cambria Math" w:eastAsia="Cambria Math" w:hAnsi="Cambria Math" w:cs="Cambria Math"/>
                                    <w:sz w:val="20"/>
                                    <w:szCs w:val="20"/>
                                  </w:rPr>
                                  <m:t>ij</m:t>
                                </m:r>
                              </m:sub>
                              <m:sup>
                                <m:d>
                                  <m:dPr>
                                    <m:ctrlPr>
                                      <w:rPr>
                                        <w:rFonts w:ascii="Cambria Math" w:eastAsia="Cambria Math" w:hAnsi="Cambria Math" w:cs="Cambria Math"/>
                                        <w:sz w:val="20"/>
                                        <w:szCs w:val="20"/>
                                      </w:rPr>
                                    </m:ctrlPr>
                                  </m:dPr>
                                  <m:e>
                                    <m:r>
                                      <w:rPr>
                                        <w:rFonts w:ascii="Cambria Math" w:eastAsia="Cambria Math" w:hAnsi="Cambria Math" w:cs="Cambria Math"/>
                                        <w:sz w:val="20"/>
                                        <w:szCs w:val="20"/>
                                      </w:rPr>
                                      <m:t>l</m:t>
                                    </m:r>
                                  </m:e>
                                </m:d>
                              </m:sup>
                            </m:sSubSup>
                          </m:e>
                        </m:d>
                      </m:e>
                      <m:sup>
                        <m:r>
                          <w:rPr>
                            <w:rFonts w:ascii="Cambria Math" w:eastAsia="Cambria Math" w:hAnsi="Cambria Math" w:cs="Cambria Math"/>
                            <w:sz w:val="20"/>
                            <w:szCs w:val="20"/>
                          </w:rPr>
                          <m:t>δl</m:t>
                        </m:r>
                      </m:sup>
                    </m:sSup>
                    <m:r>
                      <w:rPr>
                        <w:rFonts w:ascii="Cambria Math" w:eastAsia="Cambria Math" w:hAnsi="Cambria Math" w:cs="Cambria Math"/>
                        <w:sz w:val="20"/>
                        <w:szCs w:val="20"/>
                      </w:rPr>
                      <m:t>,</m:t>
                    </m:r>
                    <m:nary>
                      <m:naryPr>
                        <m:chr m:val="∏"/>
                        <m:ctrlPr>
                          <w:rPr>
                            <w:rFonts w:ascii="Cambria Math" w:eastAsia="Cambria Math" w:hAnsi="Cambria Math" w:cs="Cambria Math"/>
                            <w:sz w:val="20"/>
                            <w:szCs w:val="20"/>
                          </w:rPr>
                        </m:ctrlPr>
                      </m:naryPr>
                      <m:sub>
                        <m:r>
                          <w:rPr>
                            <w:rFonts w:ascii="Cambria Math" w:eastAsia="Cambria Math" w:hAnsi="Cambria Math" w:cs="Cambria Math"/>
                            <w:sz w:val="20"/>
                            <w:szCs w:val="20"/>
                          </w:rPr>
                          <m:t>l</m:t>
                        </m:r>
                        <m:r>
                          <w:rPr>
                            <w:rFonts w:ascii="Cambria Math" w:eastAsia="Cambria Math" w:hAnsi="Cambria Math" w:cs="Cambria Math"/>
                            <w:sz w:val="20"/>
                            <w:szCs w:val="20"/>
                          </w:rPr>
                          <m:t>=1</m:t>
                        </m:r>
                      </m:sub>
                      <m:sup>
                        <m:r>
                          <w:rPr>
                            <w:rFonts w:ascii="Cambria Math" w:eastAsia="Cambria Math" w:hAnsi="Cambria Math" w:cs="Cambria Math"/>
                            <w:sz w:val="20"/>
                            <w:szCs w:val="20"/>
                          </w:rPr>
                          <m:t>k</m:t>
                        </m:r>
                      </m:sup>
                      <m:e/>
                    </m:nary>
                    <m:sSup>
                      <m:sSupPr>
                        <m:ctrlPr>
                          <w:rPr>
                            <w:rFonts w:ascii="Cambria Math" w:eastAsia="Cambria Math" w:hAnsi="Cambria Math" w:cs="Cambria Math"/>
                            <w:sz w:val="20"/>
                            <w:szCs w:val="20"/>
                          </w:rPr>
                        </m:ctrlPr>
                      </m:sSupPr>
                      <m:e>
                        <m:d>
                          <m:dPr>
                            <m:ctrlPr>
                              <w:rPr>
                                <w:rFonts w:ascii="Cambria Math" w:eastAsia="Cambria Math" w:hAnsi="Cambria Math" w:cs="Cambria Math"/>
                                <w:sz w:val="20"/>
                                <w:szCs w:val="20"/>
                              </w:rPr>
                            </m:ctrlPr>
                          </m:dPr>
                          <m:e>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v</m:t>
                                </m:r>
                              </m:e>
                              <m:sub>
                                <m:r>
                                  <w:rPr>
                                    <w:rFonts w:ascii="Cambria Math" w:eastAsia="Cambria Math" w:hAnsi="Cambria Math" w:cs="Cambria Math"/>
                                    <w:sz w:val="20"/>
                                    <w:szCs w:val="20"/>
                                  </w:rPr>
                                  <m:t>ij</m:t>
                                </m:r>
                              </m:sub>
                              <m:sup>
                                <m:d>
                                  <m:dPr>
                                    <m:ctrlPr>
                                      <w:rPr>
                                        <w:rFonts w:ascii="Cambria Math" w:eastAsia="Cambria Math" w:hAnsi="Cambria Math" w:cs="Cambria Math"/>
                                        <w:sz w:val="20"/>
                                        <w:szCs w:val="20"/>
                                      </w:rPr>
                                    </m:ctrlPr>
                                  </m:dPr>
                                  <m:e>
                                    <m:r>
                                      <w:rPr>
                                        <w:rFonts w:ascii="Cambria Math" w:eastAsia="Cambria Math" w:hAnsi="Cambria Math" w:cs="Cambria Math"/>
                                        <w:sz w:val="20"/>
                                        <w:szCs w:val="20"/>
                                      </w:rPr>
                                      <m:t>l</m:t>
                                    </m:r>
                                  </m:e>
                                </m:d>
                              </m:sup>
                            </m:sSubSup>
                          </m:e>
                        </m:d>
                      </m:e>
                      <m:sup>
                        <m:r>
                          <w:rPr>
                            <w:rFonts w:ascii="Cambria Math" w:eastAsia="Cambria Math" w:hAnsi="Cambria Math" w:cs="Cambria Math"/>
                            <w:sz w:val="20"/>
                            <w:szCs w:val="20"/>
                          </w:rPr>
                          <m:t>δl</m:t>
                        </m:r>
                      </m:sup>
                    </m:sSup>
                    <m:r>
                      <w:rPr>
                        <w:rFonts w:ascii="Cambria Math" w:eastAsia="Cambria Math" w:hAnsi="Cambria Math" w:cs="Cambria Math"/>
                        <w:sz w:val="20"/>
                        <w:szCs w:val="20"/>
                      </w:rPr>
                      <m:t>,</m:t>
                    </m:r>
                    <m:nary>
                      <m:naryPr>
                        <m:chr m:val="∏"/>
                        <m:ctrlPr>
                          <w:rPr>
                            <w:rFonts w:ascii="Cambria Math" w:eastAsia="Cambria Math" w:hAnsi="Cambria Math" w:cs="Cambria Math"/>
                            <w:sz w:val="20"/>
                            <w:szCs w:val="20"/>
                          </w:rPr>
                        </m:ctrlPr>
                      </m:naryPr>
                      <m:sub>
                        <m:r>
                          <w:rPr>
                            <w:rFonts w:ascii="Cambria Math" w:eastAsia="Cambria Math" w:hAnsi="Cambria Math" w:cs="Cambria Math"/>
                            <w:sz w:val="20"/>
                            <w:szCs w:val="20"/>
                          </w:rPr>
                          <m:t>l</m:t>
                        </m:r>
                        <m:r>
                          <w:rPr>
                            <w:rFonts w:ascii="Cambria Math" w:eastAsia="Cambria Math" w:hAnsi="Cambria Math" w:cs="Cambria Math"/>
                            <w:sz w:val="20"/>
                            <w:szCs w:val="20"/>
                          </w:rPr>
                          <m:t>=1</m:t>
                        </m:r>
                      </m:sub>
                      <m:sup>
                        <m:r>
                          <w:rPr>
                            <w:rFonts w:ascii="Cambria Math" w:eastAsia="Cambria Math" w:hAnsi="Cambria Math" w:cs="Cambria Math"/>
                            <w:sz w:val="20"/>
                            <w:szCs w:val="20"/>
                          </w:rPr>
                          <m:t>k</m:t>
                        </m:r>
                      </m:sup>
                      <m:e/>
                    </m:nary>
                    <m:sSup>
                      <m:sSupPr>
                        <m:ctrlPr>
                          <w:rPr>
                            <w:rFonts w:ascii="Cambria Math" w:eastAsia="Cambria Math" w:hAnsi="Cambria Math" w:cs="Cambria Math"/>
                            <w:sz w:val="20"/>
                            <w:szCs w:val="20"/>
                          </w:rPr>
                        </m:ctrlPr>
                      </m:sSupPr>
                      <m:e>
                        <m:d>
                          <m:dPr>
                            <m:ctrlPr>
                              <w:rPr>
                                <w:rFonts w:ascii="Cambria Math" w:eastAsia="Cambria Math" w:hAnsi="Cambria Math" w:cs="Cambria Math"/>
                                <w:sz w:val="20"/>
                                <w:szCs w:val="20"/>
                              </w:rPr>
                            </m:ctrlPr>
                          </m:dPr>
                          <m:e>
                            <m:r>
                              <w:rPr>
                                <w:rFonts w:ascii="Cambria Math" w:eastAsia="Cambria Math" w:hAnsi="Cambria Math" w:cs="Cambria Math"/>
                                <w:sz w:val="20"/>
                                <w:szCs w:val="20"/>
                              </w:rPr>
                              <m:t>1-</m:t>
                            </m:r>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μ</m:t>
                                </m:r>
                              </m:e>
                              <m:sub>
                                <m:r>
                                  <w:rPr>
                                    <w:rFonts w:ascii="Cambria Math" w:eastAsia="Cambria Math" w:hAnsi="Cambria Math" w:cs="Cambria Math"/>
                                    <w:sz w:val="20"/>
                                    <w:szCs w:val="20"/>
                                  </w:rPr>
                                  <m:t>ij</m:t>
                                </m:r>
                              </m:sub>
                              <m:sup>
                                <m:d>
                                  <m:dPr>
                                    <m:ctrlPr>
                                      <w:rPr>
                                        <w:rFonts w:ascii="Cambria Math" w:eastAsia="Cambria Math" w:hAnsi="Cambria Math" w:cs="Cambria Math"/>
                                        <w:sz w:val="20"/>
                                        <w:szCs w:val="20"/>
                                      </w:rPr>
                                    </m:ctrlPr>
                                  </m:dPr>
                                  <m:e>
                                    <m:r>
                                      <w:rPr>
                                        <w:rFonts w:ascii="Cambria Math" w:eastAsia="Cambria Math" w:hAnsi="Cambria Math" w:cs="Cambria Math"/>
                                        <w:sz w:val="20"/>
                                        <w:szCs w:val="20"/>
                                      </w:rPr>
                                      <m:t>l</m:t>
                                    </m:r>
                                  </m:e>
                                </m:d>
                              </m:sup>
                            </m:sSubSup>
                          </m:e>
                        </m:d>
                      </m:e>
                      <m:sup>
                        <m:r>
                          <w:rPr>
                            <w:rFonts w:ascii="Cambria Math" w:eastAsia="Cambria Math" w:hAnsi="Cambria Math" w:cs="Cambria Math"/>
                            <w:sz w:val="20"/>
                            <w:szCs w:val="20"/>
                          </w:rPr>
                          <m:t>δl</m:t>
                        </m:r>
                      </m:sup>
                    </m:sSup>
                    <m:r>
                      <w:rPr>
                        <w:rFonts w:ascii="Cambria Math" w:eastAsia="Cambria Math" w:hAnsi="Cambria Math" w:cs="Cambria Math"/>
                        <w:sz w:val="20"/>
                        <w:szCs w:val="20"/>
                      </w:rPr>
                      <m:t>-</m:t>
                    </m:r>
                    <m:nary>
                      <m:naryPr>
                        <m:chr m:val="∏"/>
                        <m:ctrlPr>
                          <w:rPr>
                            <w:rFonts w:ascii="Cambria Math" w:eastAsia="Cambria Math" w:hAnsi="Cambria Math" w:cs="Cambria Math"/>
                            <w:sz w:val="20"/>
                            <w:szCs w:val="20"/>
                          </w:rPr>
                        </m:ctrlPr>
                      </m:naryPr>
                      <m:sub>
                        <m:r>
                          <w:rPr>
                            <w:rFonts w:ascii="Cambria Math" w:eastAsia="Cambria Math" w:hAnsi="Cambria Math" w:cs="Cambria Math"/>
                            <w:sz w:val="20"/>
                            <w:szCs w:val="20"/>
                          </w:rPr>
                          <m:t>l</m:t>
                        </m:r>
                        <m:r>
                          <w:rPr>
                            <w:rFonts w:ascii="Cambria Math" w:eastAsia="Cambria Math" w:hAnsi="Cambria Math" w:cs="Cambria Math"/>
                            <w:sz w:val="20"/>
                            <w:szCs w:val="20"/>
                          </w:rPr>
                          <m:t>=1</m:t>
                        </m:r>
                      </m:sub>
                      <m:sup>
                        <m:r>
                          <w:rPr>
                            <w:rFonts w:ascii="Cambria Math" w:eastAsia="Cambria Math" w:hAnsi="Cambria Math" w:cs="Cambria Math"/>
                            <w:sz w:val="20"/>
                            <w:szCs w:val="20"/>
                          </w:rPr>
                          <m:t>k</m:t>
                        </m:r>
                      </m:sup>
                      <m:e/>
                    </m:nary>
                    <m:sSup>
                      <m:sSupPr>
                        <m:ctrlPr>
                          <w:rPr>
                            <w:rFonts w:ascii="Cambria Math" w:eastAsia="Cambria Math" w:hAnsi="Cambria Math" w:cs="Cambria Math"/>
                            <w:sz w:val="20"/>
                            <w:szCs w:val="20"/>
                          </w:rPr>
                        </m:ctrlPr>
                      </m:sSupPr>
                      <m:e>
                        <m:d>
                          <m:dPr>
                            <m:ctrlPr>
                              <w:rPr>
                                <w:rFonts w:ascii="Cambria Math" w:eastAsia="Cambria Math" w:hAnsi="Cambria Math" w:cs="Cambria Math"/>
                                <w:sz w:val="20"/>
                                <w:szCs w:val="20"/>
                              </w:rPr>
                            </m:ctrlPr>
                          </m:dPr>
                          <m:e>
                            <m:r>
                              <w:rPr>
                                <w:rFonts w:ascii="Cambria Math" w:eastAsia="Cambria Math" w:hAnsi="Cambria Math" w:cs="Cambria Math"/>
                                <w:sz w:val="20"/>
                                <w:szCs w:val="20"/>
                              </w:rPr>
                              <m:t>1-</m:t>
                            </m:r>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v</m:t>
                                </m:r>
                              </m:e>
                              <m:sub>
                                <m:r>
                                  <w:rPr>
                                    <w:rFonts w:ascii="Cambria Math" w:eastAsia="Cambria Math" w:hAnsi="Cambria Math" w:cs="Cambria Math"/>
                                    <w:sz w:val="20"/>
                                    <w:szCs w:val="20"/>
                                  </w:rPr>
                                  <m:t>ij</m:t>
                                </m:r>
                              </m:sub>
                              <m:sup>
                                <m:d>
                                  <m:dPr>
                                    <m:ctrlPr>
                                      <w:rPr>
                                        <w:rFonts w:ascii="Cambria Math" w:eastAsia="Cambria Math" w:hAnsi="Cambria Math" w:cs="Cambria Math"/>
                                        <w:sz w:val="20"/>
                                        <w:szCs w:val="20"/>
                                      </w:rPr>
                                    </m:ctrlPr>
                                  </m:dPr>
                                  <m:e>
                                    <m:r>
                                      <w:rPr>
                                        <w:rFonts w:ascii="Cambria Math" w:eastAsia="Cambria Math" w:hAnsi="Cambria Math" w:cs="Cambria Math"/>
                                        <w:sz w:val="20"/>
                                        <w:szCs w:val="20"/>
                                      </w:rPr>
                                      <m:t>l</m:t>
                                    </m:r>
                                  </m:e>
                                </m:d>
                              </m:sup>
                            </m:sSubSup>
                          </m:e>
                        </m:d>
                      </m:e>
                      <m:sup>
                        <m:r>
                          <w:rPr>
                            <w:rFonts w:ascii="Cambria Math" w:eastAsia="Cambria Math" w:hAnsi="Cambria Math" w:cs="Cambria Math"/>
                            <w:sz w:val="20"/>
                            <w:szCs w:val="20"/>
                          </w:rPr>
                          <m:t>δl</m:t>
                        </m:r>
                      </m:sup>
                    </m:sSup>
                  </m:e>
                </m:d>
              </m:oMath>
            </m:oMathPara>
          </w:p>
          <w:p w14:paraId="5E41CF0B" w14:textId="77777777" w:rsidR="006971F4" w:rsidRDefault="006971F4">
            <w:pPr>
              <w:jc w:val="both"/>
              <w:rPr>
                <w:sz w:val="20"/>
                <w:szCs w:val="20"/>
              </w:rPr>
            </w:pPr>
          </w:p>
        </w:tc>
        <w:tc>
          <w:tcPr>
            <w:tcW w:w="1275" w:type="dxa"/>
          </w:tcPr>
          <w:p w14:paraId="1DB0C066" w14:textId="77777777" w:rsidR="006971F4" w:rsidRDefault="007065EF">
            <w:pPr>
              <w:jc w:val="right"/>
              <w:rPr>
                <w:sz w:val="20"/>
                <w:szCs w:val="20"/>
              </w:rPr>
            </w:pPr>
            <w:r>
              <w:rPr>
                <w:sz w:val="20"/>
                <w:szCs w:val="20"/>
              </w:rPr>
              <w:t>(3)</w:t>
            </w:r>
          </w:p>
        </w:tc>
      </w:tr>
    </w:tbl>
    <w:p w14:paraId="2D0BD31C" w14:textId="77777777" w:rsidR="006971F4" w:rsidRDefault="007065EF">
      <w:pPr>
        <w:jc w:val="both"/>
        <w:rPr>
          <w:i/>
          <w:iCs/>
          <w:sz w:val="20"/>
          <w:szCs w:val="20"/>
        </w:rPr>
      </w:pPr>
      <w:r>
        <w:rPr>
          <w:i/>
          <w:iCs/>
          <w:sz w:val="20"/>
          <w:szCs w:val="20"/>
        </w:rPr>
        <w:t>Step 3: Construct the Intuitionistic Fuzzy Decision Matrix (IFDM)</w:t>
      </w:r>
    </w:p>
    <w:p w14:paraId="39AE9E7B" w14:textId="77777777" w:rsidR="006971F4" w:rsidRDefault="006971F4">
      <w:pPr>
        <w:jc w:val="both"/>
        <w:rPr>
          <w:sz w:val="20"/>
          <w:szCs w:val="20"/>
        </w:rPr>
      </w:pPr>
    </w:p>
    <w:p w14:paraId="7B02AF32" w14:textId="77777777" w:rsidR="006971F4" w:rsidRDefault="007065EF">
      <w:pPr>
        <w:ind w:firstLine="284"/>
        <w:jc w:val="both"/>
        <w:rPr>
          <w:sz w:val="20"/>
          <w:szCs w:val="20"/>
        </w:rPr>
      </w:pPr>
      <w:r>
        <w:rPr>
          <w:sz w:val="20"/>
          <w:szCs w:val="20"/>
        </w:rPr>
        <w:t>In this phase, the qualitative evaluations provided by experts are translated into a decision matrix in IFN format based on predefined linguistic terms. Each expert’s judgment is represented independently, resulting in multiple IFDMs, one for each decision-maker. These matrices encode not only membership and non-membership degrees but also the degree of hesitation, capturing a fuller spectrum of uncertainty.</w:t>
      </w:r>
    </w:p>
    <w:p w14:paraId="3107FB30" w14:textId="77777777" w:rsidR="006971F4" w:rsidRDefault="007065EF">
      <w:pPr>
        <w:jc w:val="both"/>
        <w:rPr>
          <w:sz w:val="20"/>
          <w:szCs w:val="20"/>
        </w:rPr>
      </w:pPr>
      <w:r>
        <w:rPr>
          <w:sz w:val="20"/>
          <w:szCs w:val="20"/>
        </w:rPr>
        <w:t xml:space="preserve">Let </w:t>
      </w:r>
      <m:oMath>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R</m:t>
            </m:r>
          </m:e>
          <m:sup>
            <m:d>
              <m:dPr>
                <m:ctrlPr>
                  <w:rPr>
                    <w:rFonts w:ascii="Cambria Math" w:eastAsia="Cambria Math" w:hAnsi="Cambria Math" w:cs="Cambria Math"/>
                    <w:sz w:val="20"/>
                    <w:szCs w:val="20"/>
                  </w:rPr>
                </m:ctrlPr>
              </m:dPr>
              <m:e>
                <m:r>
                  <w:rPr>
                    <w:rFonts w:ascii="Cambria Math" w:eastAsia="Cambria Math" w:hAnsi="Cambria Math" w:cs="Cambria Math"/>
                    <w:sz w:val="20"/>
                    <w:szCs w:val="20"/>
                  </w:rPr>
                  <m:t>l</m:t>
                </m:r>
              </m:e>
            </m:d>
          </m:sup>
        </m:sSup>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d>
              <m:dPr>
                <m:ctrlPr>
                  <w:rPr>
                    <w:rFonts w:ascii="Cambria Math" w:eastAsia="Cambria Math" w:hAnsi="Cambria Math" w:cs="Cambria Math"/>
                    <w:sz w:val="20"/>
                    <w:szCs w:val="20"/>
                  </w:rPr>
                </m:ctrlPr>
              </m:dPr>
              <m:e>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r</m:t>
                    </m:r>
                  </m:e>
                  <m:sub>
                    <m:r>
                      <w:rPr>
                        <w:rFonts w:ascii="Cambria Math" w:eastAsia="Cambria Math" w:hAnsi="Cambria Math" w:cs="Cambria Math"/>
                        <w:sz w:val="20"/>
                        <w:szCs w:val="20"/>
                      </w:rPr>
                      <m:t>ij</m:t>
                    </m:r>
                  </m:sub>
                  <m:sup>
                    <m:d>
                      <m:dPr>
                        <m:ctrlPr>
                          <w:rPr>
                            <w:rFonts w:ascii="Cambria Math" w:eastAsia="Cambria Math" w:hAnsi="Cambria Math" w:cs="Cambria Math"/>
                            <w:sz w:val="20"/>
                            <w:szCs w:val="20"/>
                          </w:rPr>
                        </m:ctrlPr>
                      </m:dPr>
                      <m:e>
                        <m:r>
                          <w:rPr>
                            <w:rFonts w:ascii="Cambria Math" w:eastAsia="Cambria Math" w:hAnsi="Cambria Math" w:cs="Cambria Math"/>
                            <w:sz w:val="20"/>
                            <w:szCs w:val="20"/>
                          </w:rPr>
                          <m:t>l</m:t>
                        </m:r>
                      </m:e>
                    </m:d>
                  </m:sup>
                </m:sSubSup>
              </m:e>
            </m:d>
          </m:e>
          <m:sub>
            <m:r>
              <w:rPr>
                <w:rFonts w:ascii="Cambria Math" w:eastAsia="Cambria Math" w:hAnsi="Cambria Math" w:cs="Cambria Math"/>
                <w:sz w:val="20"/>
                <w:szCs w:val="20"/>
              </w:rPr>
              <m:t>m</m:t>
            </m:r>
            <m:r>
              <w:rPr>
                <w:rFonts w:ascii="Cambria Math" w:eastAsia="Cambria Math" w:hAnsi="Cambria Math" w:cs="Cambria Math"/>
                <w:sz w:val="20"/>
                <w:szCs w:val="20"/>
              </w:rPr>
              <m:t>*</m:t>
            </m:r>
            <m:r>
              <w:rPr>
                <w:rFonts w:ascii="Cambria Math" w:eastAsia="Cambria Math" w:hAnsi="Cambria Math" w:cs="Cambria Math"/>
                <w:sz w:val="20"/>
                <w:szCs w:val="20"/>
              </w:rPr>
              <m:t>n</m:t>
            </m:r>
          </m:sub>
        </m:sSub>
      </m:oMath>
      <w:r>
        <w:rPr>
          <w:sz w:val="20"/>
          <w:szCs w:val="20"/>
        </w:rPr>
        <w:t xml:space="preserve"> be the IFDM of each DM.</w:t>
      </w:r>
    </w:p>
    <w:tbl>
      <w:tblPr>
        <w:tblStyle w:val="a3"/>
        <w:tblW w:w="9350" w:type="dxa"/>
        <w:tblBorders>
          <w:top w:val="nil"/>
          <w:left w:val="nil"/>
          <w:bottom w:val="nil"/>
          <w:right w:val="nil"/>
          <w:insideH w:val="nil"/>
          <w:insideV w:val="nil"/>
        </w:tblBorders>
        <w:tblLayout w:type="fixed"/>
        <w:tblLook w:val="0400" w:firstRow="0" w:lastRow="0" w:firstColumn="0" w:lastColumn="0" w:noHBand="0" w:noVBand="1"/>
      </w:tblPr>
      <w:tblGrid>
        <w:gridCol w:w="8075"/>
        <w:gridCol w:w="1275"/>
      </w:tblGrid>
      <w:tr w:rsidR="006971F4" w14:paraId="6AFA996B" w14:textId="77777777">
        <w:tc>
          <w:tcPr>
            <w:tcW w:w="8075" w:type="dxa"/>
          </w:tcPr>
          <w:p w14:paraId="1A3C3B2E" w14:textId="77777777" w:rsidR="006971F4" w:rsidRDefault="007065EF">
            <w:pPr>
              <w:jc w:val="center"/>
              <w:rPr>
                <w:rFonts w:ascii="Cambria Math" w:eastAsia="Cambria Math" w:hAnsi="Cambria Math" w:cs="Cambria Math"/>
                <w:sz w:val="20"/>
                <w:szCs w:val="20"/>
              </w:rPr>
            </w:pPr>
            <m:oMathPara>
              <m:oMath>
                <m:r>
                  <w:rPr>
                    <w:rFonts w:ascii="Cambria Math" w:eastAsia="Cambria Math" w:hAnsi="Cambria Math" w:cs="Cambria Math"/>
                    <w:sz w:val="20"/>
                    <w:szCs w:val="20"/>
                  </w:rPr>
                  <m:t>R</m:t>
                </m:r>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d>
                      <m:dPr>
                        <m:ctrlPr>
                          <w:rPr>
                            <w:rFonts w:ascii="Cambria Math" w:eastAsia="Cambria Math" w:hAnsi="Cambria Math" w:cs="Cambria Math"/>
                            <w:sz w:val="20"/>
                            <w:szCs w:val="20"/>
                          </w:rPr>
                        </m:ctrlPr>
                      </m:dPr>
                      <m:e>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r</m:t>
                            </m:r>
                          </m:e>
                          <m:sub>
                            <m:r>
                              <w:rPr>
                                <w:rFonts w:ascii="Cambria Math" w:eastAsia="Cambria Math" w:hAnsi="Cambria Math" w:cs="Cambria Math"/>
                                <w:sz w:val="20"/>
                                <w:szCs w:val="20"/>
                              </w:rPr>
                              <m:t>ij</m:t>
                            </m:r>
                          </m:sub>
                        </m:sSub>
                      </m:e>
                    </m:d>
                  </m:e>
                  <m:sub>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m</m:t>
                        </m:r>
                      </m:e>
                      <m:sup>
                        <m:r>
                          <w:rPr>
                            <w:rFonts w:ascii="Cambria Math" w:eastAsia="Cambria Math" w:hAnsi="Cambria Math" w:cs="Cambria Math"/>
                            <w:sz w:val="20"/>
                            <w:szCs w:val="20"/>
                          </w:rPr>
                          <m:t>'</m:t>
                        </m:r>
                      </m:sup>
                    </m:sSup>
                    <m:r>
                      <w:rPr>
                        <w:rFonts w:ascii="Cambria Math" w:eastAsia="Cambria Math" w:hAnsi="Cambria Math" w:cs="Cambria Math"/>
                        <w:sz w:val="20"/>
                        <w:szCs w:val="20"/>
                      </w:rPr>
                      <m:t>*</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n</m:t>
                        </m:r>
                      </m:e>
                      <m:sup>
                        <m:r>
                          <w:rPr>
                            <w:rFonts w:ascii="Cambria Math" w:eastAsia="Cambria Math" w:hAnsi="Cambria Math" w:cs="Cambria Math"/>
                            <w:sz w:val="20"/>
                            <w:szCs w:val="20"/>
                          </w:rPr>
                          <m:t>'</m:t>
                        </m:r>
                      </m:sup>
                    </m:sSup>
                  </m:sub>
                </m:sSub>
              </m:oMath>
            </m:oMathPara>
          </w:p>
          <w:p w14:paraId="13B705EA" w14:textId="77777777" w:rsidR="006971F4" w:rsidRDefault="006971F4">
            <w:pPr>
              <w:ind w:left="720" w:firstLine="720"/>
              <w:jc w:val="both"/>
              <w:rPr>
                <w:sz w:val="20"/>
                <w:szCs w:val="20"/>
              </w:rPr>
            </w:pPr>
          </w:p>
        </w:tc>
        <w:tc>
          <w:tcPr>
            <w:tcW w:w="1275" w:type="dxa"/>
          </w:tcPr>
          <w:p w14:paraId="6F6AB04E" w14:textId="77777777" w:rsidR="006971F4" w:rsidRDefault="007065EF">
            <w:pPr>
              <w:jc w:val="right"/>
              <w:rPr>
                <w:sz w:val="20"/>
                <w:szCs w:val="20"/>
              </w:rPr>
            </w:pPr>
            <w:r>
              <w:rPr>
                <w:sz w:val="20"/>
                <w:szCs w:val="20"/>
              </w:rPr>
              <w:t>(4)</w:t>
            </w:r>
          </w:p>
        </w:tc>
      </w:tr>
    </w:tbl>
    <w:p w14:paraId="2ADC8C18" w14:textId="77777777" w:rsidR="006971F4" w:rsidRDefault="007065EF">
      <w:pPr>
        <w:jc w:val="both"/>
        <w:rPr>
          <w:i/>
          <w:iCs/>
          <w:sz w:val="20"/>
          <w:szCs w:val="20"/>
        </w:rPr>
      </w:pPr>
      <w:r>
        <w:rPr>
          <w:i/>
          <w:iCs/>
          <w:sz w:val="20"/>
          <w:szCs w:val="20"/>
        </w:rPr>
        <w:t>Step 4: Computation of the Weighted IFDM (WIFDM)</w:t>
      </w:r>
    </w:p>
    <w:p w14:paraId="69F72FAF" w14:textId="77777777" w:rsidR="006971F4" w:rsidRDefault="006971F4">
      <w:pPr>
        <w:ind w:firstLine="284"/>
        <w:jc w:val="both"/>
        <w:rPr>
          <w:sz w:val="20"/>
          <w:szCs w:val="20"/>
        </w:rPr>
      </w:pPr>
    </w:p>
    <w:p w14:paraId="4AED4AE7" w14:textId="77777777" w:rsidR="006971F4" w:rsidRDefault="007065EF">
      <w:pPr>
        <w:ind w:firstLine="284"/>
        <w:jc w:val="both"/>
        <w:rPr>
          <w:sz w:val="20"/>
          <w:szCs w:val="20"/>
        </w:rPr>
      </w:pPr>
      <w:r>
        <w:rPr>
          <w:sz w:val="20"/>
          <w:szCs w:val="20"/>
        </w:rPr>
        <w:t xml:space="preserve">The WIFDM is obtained by multiplying the IFDM by the corresponding criterion weights. This transformation integrates both performance scores and the relative importance of each criterion into a unified representation. The WIFDM, </w:t>
      </w:r>
      <m:oMath>
        <m:r>
          <w:rPr>
            <w:rFonts w:ascii="Cambria Math" w:eastAsia="Cambria Math" w:hAnsi="Cambria Math" w:cs="Cambria Math"/>
            <w:sz w:val="20"/>
            <w:szCs w:val="20"/>
          </w:rPr>
          <m:t>F</m:t>
        </m:r>
      </m:oMath>
      <w:r>
        <w:rPr>
          <w:sz w:val="20"/>
          <w:szCs w:val="20"/>
        </w:rPr>
        <w:t xml:space="preserve"> is the product of </w:t>
      </w:r>
      <w:r>
        <w:rPr>
          <w:i/>
          <w:iCs/>
          <w:sz w:val="20"/>
          <w:szCs w:val="20"/>
        </w:rPr>
        <w:t>W</w:t>
      </w:r>
      <w:r>
        <w:rPr>
          <w:sz w:val="20"/>
          <w:szCs w:val="20"/>
        </w:rPr>
        <w:t xml:space="preserve"> and </w:t>
      </w:r>
      <w:r>
        <w:rPr>
          <w:i/>
          <w:iCs/>
          <w:sz w:val="20"/>
          <w:szCs w:val="20"/>
        </w:rPr>
        <w:t>R</w:t>
      </w:r>
      <w:r>
        <w:rPr>
          <w:sz w:val="20"/>
          <w:szCs w:val="20"/>
        </w:rPr>
        <w:t>:</w:t>
      </w:r>
    </w:p>
    <w:p w14:paraId="0C5F6334" w14:textId="77777777" w:rsidR="006971F4" w:rsidRDefault="006971F4">
      <w:pPr>
        <w:ind w:firstLine="284"/>
        <w:jc w:val="both"/>
        <w:rPr>
          <w:sz w:val="20"/>
          <w:szCs w:val="20"/>
        </w:rPr>
      </w:pPr>
    </w:p>
    <w:tbl>
      <w:tblPr>
        <w:tblStyle w:val="a4"/>
        <w:tblW w:w="9350" w:type="dxa"/>
        <w:tblBorders>
          <w:top w:val="nil"/>
          <w:left w:val="nil"/>
          <w:bottom w:val="nil"/>
          <w:right w:val="nil"/>
          <w:insideH w:val="nil"/>
          <w:insideV w:val="nil"/>
        </w:tblBorders>
        <w:tblLayout w:type="fixed"/>
        <w:tblLook w:val="0400" w:firstRow="0" w:lastRow="0" w:firstColumn="0" w:lastColumn="0" w:noHBand="0" w:noVBand="1"/>
      </w:tblPr>
      <w:tblGrid>
        <w:gridCol w:w="8075"/>
        <w:gridCol w:w="1275"/>
      </w:tblGrid>
      <w:tr w:rsidR="006971F4" w14:paraId="23B3A4BA" w14:textId="77777777">
        <w:tc>
          <w:tcPr>
            <w:tcW w:w="8075" w:type="dxa"/>
          </w:tcPr>
          <w:p w14:paraId="426D68DB" w14:textId="77777777" w:rsidR="006971F4" w:rsidRDefault="007065EF">
            <w:pPr>
              <w:ind w:left="720"/>
              <w:jc w:val="both"/>
              <w:rPr>
                <w:sz w:val="20"/>
                <w:szCs w:val="20"/>
              </w:rPr>
            </w:pPr>
            <m:oMath>
              <m:r>
                <w:rPr>
                  <w:rFonts w:ascii="Cambria Math" w:eastAsia="Cambria Math" w:hAnsi="Cambria Math" w:cs="Cambria Math"/>
                  <w:sz w:val="20"/>
                  <w:szCs w:val="20"/>
                </w:rPr>
                <m:t>R</m:t>
              </m:r>
              <m:sSubSup>
                <m:sSubSupPr>
                  <m:ctrlPr>
                    <w:rPr>
                      <w:rFonts w:ascii="Cambria Math" w:hAnsi="Cambria Math"/>
                    </w:rPr>
                  </m:ctrlPr>
                </m:sSubSupPr>
                <m:e>
                  <m:r>
                    <w:rPr>
                      <w:rFonts w:ascii="Cambria Math" w:hAnsi="Cambria Math"/>
                    </w:rPr>
                    <m:t>⨁</m:t>
                  </m:r>
                </m:e>
                <m:sub/>
                <m:sup/>
              </m:sSubSup>
              <m:r>
                <w:rPr>
                  <w:rFonts w:ascii="Cambria Math" w:eastAsia="Cambria Math" w:hAnsi="Cambria Math" w:cs="Cambria Math"/>
                  <w:sz w:val="20"/>
                  <w:szCs w:val="20"/>
                </w:rPr>
                <m:t>W</m:t>
              </m:r>
            </m:oMath>
            <w:r>
              <w:rPr>
                <w:sz w:val="20"/>
                <w:szCs w:val="20"/>
              </w:rPr>
              <w:t xml:space="preserve"> </w:t>
            </w:r>
            <m:oMath>
              <m:r>
                <w:rPr>
                  <w:rFonts w:ascii="Cambria Math" w:eastAsia="Cambria Math" w:hAnsi="Cambria Math" w:cs="Cambria Math"/>
                  <w:sz w:val="20"/>
                  <w:szCs w:val="20"/>
                </w:rPr>
                <m:t>=</m:t>
              </m:r>
              <m:d>
                <m:dPr>
                  <m:ctrlPr>
                    <w:rPr>
                      <w:rFonts w:ascii="Cambria Math" w:eastAsia="Cambria Math" w:hAnsi="Cambria Math" w:cs="Cambria Math"/>
                      <w:sz w:val="20"/>
                      <w:szCs w:val="20"/>
                    </w:rPr>
                  </m:ctrlPr>
                </m:dPr>
                <m:e>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μ</m:t>
                      </m:r>
                    </m:e>
                    <m:sub>
                      <m:r>
                        <w:rPr>
                          <w:rFonts w:ascii="Cambria Math" w:eastAsia="Cambria Math" w:hAnsi="Cambria Math" w:cs="Cambria Math"/>
                          <w:sz w:val="20"/>
                          <w:szCs w:val="20"/>
                        </w:rPr>
                        <m:t>ij</m:t>
                      </m:r>
                    </m:sub>
                    <m:sup>
                      <m:r>
                        <w:rPr>
                          <w:rFonts w:ascii="Cambria Math" w:eastAsia="Cambria Math" w:hAnsi="Cambria Math" w:cs="Cambria Math"/>
                          <w:sz w:val="20"/>
                          <w:szCs w:val="20"/>
                        </w:rPr>
                        <m:t>'</m:t>
                      </m:r>
                    </m:sup>
                  </m:sSubSup>
                  <m:r>
                    <w:rPr>
                      <w:rFonts w:ascii="Cambria Math" w:eastAsia="Cambria Math" w:hAnsi="Cambria Math" w:cs="Cambria Math"/>
                      <w:sz w:val="20"/>
                      <w:szCs w:val="20"/>
                    </w:rPr>
                    <m:t xml:space="preserve"> ,  </m:t>
                  </m:r>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v</m:t>
                      </m:r>
                    </m:e>
                    <m:sub>
                      <m:r>
                        <w:rPr>
                          <w:rFonts w:ascii="Cambria Math" w:eastAsia="Cambria Math" w:hAnsi="Cambria Math" w:cs="Cambria Math"/>
                          <w:sz w:val="20"/>
                          <w:szCs w:val="20"/>
                        </w:rPr>
                        <m:t>ij</m:t>
                      </m:r>
                    </m:sub>
                    <m:sup>
                      <m:r>
                        <w:rPr>
                          <w:rFonts w:ascii="Cambria Math" w:eastAsia="Cambria Math" w:hAnsi="Cambria Math" w:cs="Cambria Math"/>
                          <w:sz w:val="20"/>
                          <w:szCs w:val="20"/>
                        </w:rPr>
                        <m:t>'</m:t>
                      </m:r>
                    </m:sup>
                  </m:sSubSup>
                  <m:r>
                    <w:rPr>
                      <w:rFonts w:ascii="Cambria Math" w:eastAsia="Cambria Math" w:hAnsi="Cambria Math" w:cs="Cambria Math"/>
                      <w:sz w:val="20"/>
                      <w:szCs w:val="20"/>
                    </w:rPr>
                    <m:t xml:space="preserve"> ,  </m:t>
                  </m:r>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π</m:t>
                      </m:r>
                    </m:e>
                    <m:sub>
                      <m:r>
                        <w:rPr>
                          <w:rFonts w:ascii="Cambria Math" w:eastAsia="Cambria Math" w:hAnsi="Cambria Math" w:cs="Cambria Math"/>
                          <w:sz w:val="20"/>
                          <w:szCs w:val="20"/>
                        </w:rPr>
                        <m:t>ij</m:t>
                      </m:r>
                    </m:sub>
                    <m:sup>
                      <m:r>
                        <w:rPr>
                          <w:rFonts w:ascii="Cambria Math" w:eastAsia="Cambria Math" w:hAnsi="Cambria Math" w:cs="Cambria Math"/>
                          <w:sz w:val="20"/>
                          <w:szCs w:val="20"/>
                        </w:rPr>
                        <m:t>'</m:t>
                      </m:r>
                    </m:sup>
                  </m:sSubSup>
                  <m:r>
                    <w:rPr>
                      <w:rFonts w:ascii="Cambria Math" w:eastAsia="Cambria Math" w:hAnsi="Cambria Math" w:cs="Cambria Math"/>
                      <w:sz w:val="20"/>
                      <w:szCs w:val="20"/>
                    </w:rPr>
                    <m:t xml:space="preserve">  </m:t>
                  </m:r>
                </m:e>
              </m:d>
            </m:oMath>
          </w:p>
          <w:p w14:paraId="7A5C5E6A" w14:textId="77777777" w:rsidR="006971F4" w:rsidRDefault="007065EF">
            <w:pPr>
              <w:jc w:val="center"/>
            </w:pPr>
            <m:oMathPara>
              <m:oMath>
                <m:r>
                  <w:rPr>
                    <w:rFonts w:ascii="Cambria Math" w:eastAsia="Cambria Math" w:hAnsi="Cambria Math" w:cs="Cambria Math"/>
                    <w:sz w:val="20"/>
                    <w:szCs w:val="20"/>
                  </w:rPr>
                  <w:lastRenderedPageBreak/>
                  <m:t>=</m:t>
                </m:r>
                <m:d>
                  <m:dPr>
                    <m:begChr m:val="{"/>
                    <m:endChr m:val="}"/>
                    <m:ctrlPr>
                      <w:rPr>
                        <w:rFonts w:ascii="Cambria Math" w:hAnsi="Cambria Math"/>
                      </w:rPr>
                    </m:ctrlPr>
                  </m:dPr>
                  <m:e>
                    <m:r>
                      <w:rPr>
                        <w:rFonts w:ascii="Cambria Math" w:hAnsi="Cambria Math"/>
                      </w:rPr>
                      <m:t>〈</m:t>
                    </m:r>
                    <m:r>
                      <w:rPr>
                        <w:rFonts w:ascii="Cambria Math" w:eastAsia="Cambria Math" w:hAnsi="Cambria Math" w:cs="Cambria Math"/>
                        <w:sz w:val="20"/>
                        <w:szCs w:val="20"/>
                      </w:rPr>
                      <m:t>x</m:t>
                    </m:r>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μ</m:t>
                        </m:r>
                      </m:e>
                      <m:sub>
                        <m:r>
                          <w:rPr>
                            <w:rFonts w:ascii="Cambria Math" w:eastAsia="Cambria Math" w:hAnsi="Cambria Math" w:cs="Cambria Math"/>
                            <w:sz w:val="20"/>
                            <w:szCs w:val="20"/>
                          </w:rPr>
                          <m:t>ij</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μ</m:t>
                        </m:r>
                      </m:e>
                      <m:sub>
                        <m:r>
                          <w:rPr>
                            <w:rFonts w:ascii="Cambria Math" w:eastAsia="Cambria Math" w:hAnsi="Cambria Math" w:cs="Cambria Math"/>
                            <w:sz w:val="20"/>
                            <w:szCs w:val="20"/>
                          </w:rPr>
                          <m:t>j</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 xml:space="preserve"> </m:t>
                        </m:r>
                        <m:r>
                          <w:rPr>
                            <w:rFonts w:ascii="Cambria Math" w:eastAsia="Cambria Math" w:hAnsi="Cambria Math" w:cs="Cambria Math"/>
                            <w:sz w:val="20"/>
                            <w:szCs w:val="20"/>
                          </w:rPr>
                          <m:t>v</m:t>
                        </m:r>
                      </m:e>
                      <m:sub>
                        <m:r>
                          <w:rPr>
                            <w:rFonts w:ascii="Cambria Math" w:eastAsia="Cambria Math" w:hAnsi="Cambria Math" w:cs="Cambria Math"/>
                            <w:sz w:val="20"/>
                            <w:szCs w:val="20"/>
                          </w:rPr>
                          <m:t>ij</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v</m:t>
                        </m:r>
                      </m:e>
                      <m:sub>
                        <m:r>
                          <w:rPr>
                            <w:rFonts w:ascii="Cambria Math" w:eastAsia="Cambria Math" w:hAnsi="Cambria Math" w:cs="Cambria Math"/>
                            <w:sz w:val="20"/>
                            <w:szCs w:val="20"/>
                          </w:rPr>
                          <m:t>j</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v</m:t>
                        </m:r>
                      </m:e>
                      <m:sub>
                        <m:r>
                          <w:rPr>
                            <w:rFonts w:ascii="Cambria Math" w:eastAsia="Cambria Math" w:hAnsi="Cambria Math" w:cs="Cambria Math"/>
                            <w:sz w:val="20"/>
                            <w:szCs w:val="20"/>
                          </w:rPr>
                          <m:t>ij</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v</m:t>
                        </m:r>
                      </m:e>
                      <m:sub>
                        <m:r>
                          <w:rPr>
                            <w:rFonts w:ascii="Cambria Math" w:eastAsia="Cambria Math" w:hAnsi="Cambria Math" w:cs="Cambria Math"/>
                            <w:sz w:val="20"/>
                            <w:szCs w:val="20"/>
                          </w:rPr>
                          <m:t>j</m:t>
                        </m:r>
                      </m:sub>
                    </m:sSub>
                    <m:r>
                      <w:rPr>
                        <w:rFonts w:ascii="Cambria Math" w:eastAsia="Cambria Math" w:hAnsi="Cambria Math" w:cs="Cambria Math"/>
                        <w:sz w:val="20"/>
                        <w:szCs w:val="20"/>
                      </w:rPr>
                      <m:t>, 1-</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μ</m:t>
                        </m:r>
                      </m:e>
                      <m:sub>
                        <m:r>
                          <w:rPr>
                            <w:rFonts w:ascii="Cambria Math" w:eastAsia="Cambria Math" w:hAnsi="Cambria Math" w:cs="Cambria Math"/>
                            <w:sz w:val="20"/>
                            <w:szCs w:val="20"/>
                          </w:rPr>
                          <m:t>ij</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v</m:t>
                        </m:r>
                      </m:e>
                      <m:sub>
                        <m:r>
                          <w:rPr>
                            <w:rFonts w:ascii="Cambria Math" w:eastAsia="Cambria Math" w:hAnsi="Cambria Math" w:cs="Cambria Math"/>
                            <w:sz w:val="20"/>
                            <w:szCs w:val="20"/>
                          </w:rPr>
                          <m:t>ij</m:t>
                        </m:r>
                      </m:sub>
                    </m:sSub>
                    <m:r>
                      <w:rPr>
                        <w:rFonts w:ascii="Cambria Math" w:hAnsi="Cambria Math"/>
                      </w:rPr>
                      <m:t>〉</m:t>
                    </m:r>
                  </m:e>
                </m:d>
              </m:oMath>
            </m:oMathPara>
          </w:p>
        </w:tc>
        <w:tc>
          <w:tcPr>
            <w:tcW w:w="1275" w:type="dxa"/>
          </w:tcPr>
          <w:p w14:paraId="449F05F0" w14:textId="77777777" w:rsidR="006971F4" w:rsidRDefault="007065EF">
            <w:pPr>
              <w:jc w:val="right"/>
              <w:rPr>
                <w:sz w:val="20"/>
                <w:szCs w:val="20"/>
              </w:rPr>
            </w:pPr>
            <w:r>
              <w:rPr>
                <w:sz w:val="20"/>
                <w:szCs w:val="20"/>
              </w:rPr>
              <w:lastRenderedPageBreak/>
              <w:t>(5)</w:t>
            </w:r>
          </w:p>
        </w:tc>
      </w:tr>
    </w:tbl>
    <w:p w14:paraId="3DC3338F" w14:textId="77777777" w:rsidR="006971F4" w:rsidRDefault="006971F4">
      <w:pPr>
        <w:jc w:val="both"/>
        <w:rPr>
          <w:i/>
          <w:iCs/>
          <w:sz w:val="20"/>
          <w:szCs w:val="20"/>
        </w:rPr>
      </w:pPr>
    </w:p>
    <w:p w14:paraId="049DD370" w14:textId="77777777" w:rsidR="006971F4" w:rsidRDefault="006971F4">
      <w:pPr>
        <w:jc w:val="both"/>
        <w:rPr>
          <w:i/>
          <w:iCs/>
          <w:sz w:val="20"/>
          <w:szCs w:val="20"/>
        </w:rPr>
      </w:pPr>
    </w:p>
    <w:p w14:paraId="35C5250A" w14:textId="77777777" w:rsidR="006971F4" w:rsidRDefault="007065EF">
      <w:pPr>
        <w:jc w:val="both"/>
        <w:rPr>
          <w:i/>
          <w:iCs/>
          <w:sz w:val="20"/>
          <w:szCs w:val="20"/>
        </w:rPr>
      </w:pPr>
      <w:r>
        <w:rPr>
          <w:i/>
          <w:iCs/>
          <w:sz w:val="20"/>
          <w:szCs w:val="20"/>
        </w:rPr>
        <w:t>Step 5: Calculation of Final Fuzzy Evaluation Values for Benefit and Cost Systems</w:t>
      </w:r>
    </w:p>
    <w:p w14:paraId="672AB0B2" w14:textId="77777777" w:rsidR="006971F4" w:rsidRDefault="006971F4">
      <w:pPr>
        <w:jc w:val="both"/>
        <w:rPr>
          <w:i/>
          <w:iCs/>
          <w:sz w:val="20"/>
          <w:szCs w:val="20"/>
        </w:rPr>
      </w:pPr>
    </w:p>
    <w:p w14:paraId="6BC9821D" w14:textId="77777777" w:rsidR="006971F4" w:rsidRDefault="007065EF">
      <w:pPr>
        <w:ind w:firstLine="284"/>
        <w:jc w:val="both"/>
        <w:rPr>
          <w:i/>
          <w:iCs/>
          <w:sz w:val="20"/>
          <w:szCs w:val="20"/>
        </w:rPr>
      </w:pPr>
      <w:r>
        <w:rPr>
          <w:sz w:val="20"/>
          <w:szCs w:val="20"/>
        </w:rPr>
        <w:t>A significant enhancement of the NIFPR model is its fuzzy network integration, which distinguishes explicitly between benefit criteria (where higher scores indicate better performance) and cost criteria (where lower scores are preferable). For benefit criteria, evaluations are computed such that higher values correspond to superior alternatives. For cost criteria, evaluations are computed inversely, ensuring that higher cost-related values yield lower performance scores.</w:t>
      </w:r>
      <w:r>
        <w:rPr>
          <w:i/>
          <w:iCs/>
          <w:sz w:val="20"/>
          <w:szCs w:val="20"/>
        </w:rPr>
        <w:t xml:space="preserve"> </w:t>
      </w:r>
      <w:r>
        <w:rPr>
          <w:sz w:val="20"/>
          <w:szCs w:val="20"/>
        </w:rPr>
        <w:t>The results from both systems are then combined to generate the Final Fuzzy Evaluation (</w:t>
      </w:r>
      <w:r>
        <w:rPr>
          <w:i/>
          <w:iCs/>
          <w:sz w:val="20"/>
          <w:szCs w:val="20"/>
        </w:rPr>
        <w:t>FF</w:t>
      </w:r>
      <w:r>
        <w:rPr>
          <w:sz w:val="20"/>
          <w:szCs w:val="20"/>
        </w:rPr>
        <w:t>) for each alternative, allowing a balanced consideration of benefit and cost criteria. The FF value is calculated as:</w:t>
      </w:r>
    </w:p>
    <w:tbl>
      <w:tblPr>
        <w:tblStyle w:val="a5"/>
        <w:tblW w:w="9350" w:type="dxa"/>
        <w:tblBorders>
          <w:top w:val="nil"/>
          <w:left w:val="nil"/>
          <w:bottom w:val="nil"/>
          <w:right w:val="nil"/>
          <w:insideH w:val="nil"/>
          <w:insideV w:val="nil"/>
        </w:tblBorders>
        <w:tblLayout w:type="fixed"/>
        <w:tblLook w:val="0400" w:firstRow="0" w:lastRow="0" w:firstColumn="0" w:lastColumn="0" w:noHBand="0" w:noVBand="1"/>
      </w:tblPr>
      <w:tblGrid>
        <w:gridCol w:w="8075"/>
        <w:gridCol w:w="1275"/>
      </w:tblGrid>
      <w:tr w:rsidR="006971F4" w14:paraId="0D3BC36C" w14:textId="77777777">
        <w:tc>
          <w:tcPr>
            <w:tcW w:w="8075" w:type="dxa"/>
          </w:tcPr>
          <w:p w14:paraId="2C91907E" w14:textId="77777777" w:rsidR="006971F4" w:rsidRDefault="007065EF">
            <w:pPr>
              <w:jc w:val="center"/>
              <w:rPr>
                <w:rFonts w:ascii="Cambria Math" w:eastAsia="Cambria Math" w:hAnsi="Cambria Math" w:cs="Cambria Math"/>
                <w:sz w:val="20"/>
                <w:szCs w:val="20"/>
              </w:rPr>
            </w:pPr>
            <m:oMathPara>
              <m:oMath>
                <m:r>
                  <w:rPr>
                    <w:rFonts w:ascii="Cambria Math" w:eastAsia="Cambria Math" w:hAnsi="Cambria Math" w:cs="Cambria Math"/>
                    <w:sz w:val="20"/>
                    <w:szCs w:val="20"/>
                  </w:rPr>
                  <m:t>FF</m:t>
                </m:r>
                <m:r>
                  <w:rPr>
                    <w:rFonts w:ascii="Cambria Math" w:eastAsia="Cambria Math" w:hAnsi="Cambria Math" w:cs="Cambria Math"/>
                    <w:sz w:val="20"/>
                    <w:szCs w:val="20"/>
                  </w:rPr>
                  <m:t xml:space="preserve">= </m:t>
                </m:r>
                <m:f>
                  <m:fPr>
                    <m:ctrlPr>
                      <w:rPr>
                        <w:rFonts w:ascii="Cambria Math" w:eastAsia="Cambria Math" w:hAnsi="Cambria Math" w:cs="Cambria Math"/>
                        <w:sz w:val="20"/>
                        <w:szCs w:val="20"/>
                      </w:rPr>
                    </m:ctrlPr>
                  </m:fPr>
                  <m:num>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μ</m:t>
                        </m:r>
                      </m:e>
                      <m:sub>
                        <m:r>
                          <w:rPr>
                            <w:rFonts w:ascii="Cambria Math" w:eastAsia="Cambria Math" w:hAnsi="Cambria Math" w:cs="Cambria Math"/>
                            <w:sz w:val="20"/>
                            <w:szCs w:val="20"/>
                          </w:rPr>
                          <m:t>a</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μ</m:t>
                        </m:r>
                      </m:e>
                      <m:sub>
                        <m:r>
                          <w:rPr>
                            <w:rFonts w:ascii="Cambria Math" w:eastAsia="Cambria Math" w:hAnsi="Cambria Math" w:cs="Cambria Math"/>
                            <w:sz w:val="20"/>
                            <w:szCs w:val="20"/>
                          </w:rPr>
                          <m:t>b</m:t>
                        </m:r>
                      </m:sub>
                    </m:sSub>
                    <m:r>
                      <w:rPr>
                        <w:rFonts w:ascii="Cambria Math" w:eastAsia="Cambria Math" w:hAnsi="Cambria Math" w:cs="Cambria Math"/>
                        <w:sz w:val="20"/>
                        <w:szCs w:val="20"/>
                      </w:rPr>
                      <m:t>+</m:t>
                    </m:r>
                    <m:d>
                      <m:dPr>
                        <m:ctrlPr>
                          <w:rPr>
                            <w:rFonts w:ascii="Cambria Math" w:eastAsia="Cambria Math" w:hAnsi="Cambria Math" w:cs="Cambria Math"/>
                            <w:sz w:val="20"/>
                            <w:szCs w:val="20"/>
                          </w:rPr>
                        </m:ctrlPr>
                      </m:dPr>
                      <m:e>
                        <m:r>
                          <w:rPr>
                            <w:rFonts w:ascii="Cambria Math" w:eastAsia="Cambria Math" w:hAnsi="Cambria Math" w:cs="Cambria Math"/>
                            <w:sz w:val="20"/>
                            <w:szCs w:val="20"/>
                          </w:rPr>
                          <m:t>1-</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 xml:space="preserve"> </m:t>
                            </m:r>
                            <m:r>
                              <w:rPr>
                                <w:rFonts w:ascii="Cambria Math" w:eastAsia="Cambria Math" w:hAnsi="Cambria Math" w:cs="Cambria Math"/>
                                <w:sz w:val="20"/>
                                <w:szCs w:val="20"/>
                              </w:rPr>
                              <m:t>v</m:t>
                            </m:r>
                          </m:e>
                          <m:sub>
                            <m:r>
                              <w:rPr>
                                <w:rFonts w:ascii="Cambria Math" w:eastAsia="Cambria Math" w:hAnsi="Cambria Math" w:cs="Cambria Math"/>
                                <w:sz w:val="20"/>
                                <w:szCs w:val="20"/>
                              </w:rPr>
                              <m:t>a</m:t>
                            </m:r>
                          </m:sub>
                        </m:sSub>
                      </m:e>
                    </m:d>
                    <m:r>
                      <w:rPr>
                        <w:rFonts w:ascii="Cambria Math" w:eastAsia="Cambria Math" w:hAnsi="Cambria Math" w:cs="Cambria Math"/>
                        <w:sz w:val="20"/>
                        <w:szCs w:val="20"/>
                      </w:rPr>
                      <m:t>+</m:t>
                    </m:r>
                    <m:d>
                      <m:dPr>
                        <m:ctrlPr>
                          <w:rPr>
                            <w:rFonts w:ascii="Cambria Math" w:eastAsia="Cambria Math" w:hAnsi="Cambria Math" w:cs="Cambria Math"/>
                            <w:sz w:val="20"/>
                            <w:szCs w:val="20"/>
                          </w:rPr>
                        </m:ctrlPr>
                      </m:dPr>
                      <m:e>
                        <m:r>
                          <w:rPr>
                            <w:rFonts w:ascii="Cambria Math" w:eastAsia="Cambria Math" w:hAnsi="Cambria Math" w:cs="Cambria Math"/>
                            <w:sz w:val="20"/>
                            <w:szCs w:val="20"/>
                          </w:rPr>
                          <m:t>1-</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 xml:space="preserve"> </m:t>
                            </m:r>
                            <m:r>
                              <w:rPr>
                                <w:rFonts w:ascii="Cambria Math" w:eastAsia="Cambria Math" w:hAnsi="Cambria Math" w:cs="Cambria Math"/>
                                <w:sz w:val="20"/>
                                <w:szCs w:val="20"/>
                              </w:rPr>
                              <m:t>v</m:t>
                            </m:r>
                          </m:e>
                          <m:sub>
                            <m:r>
                              <w:rPr>
                                <w:rFonts w:ascii="Cambria Math" w:eastAsia="Cambria Math" w:hAnsi="Cambria Math" w:cs="Cambria Math"/>
                                <w:sz w:val="20"/>
                                <w:szCs w:val="20"/>
                              </w:rPr>
                              <m:t>b</m:t>
                            </m:r>
                          </m:sub>
                        </m:sSub>
                      </m:e>
                    </m:d>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μ</m:t>
                        </m:r>
                      </m:e>
                      <m:sub>
                        <m:r>
                          <w:rPr>
                            <w:rFonts w:ascii="Cambria Math" w:eastAsia="Cambria Math" w:hAnsi="Cambria Math" w:cs="Cambria Math"/>
                            <w:sz w:val="20"/>
                            <w:szCs w:val="20"/>
                          </w:rPr>
                          <m:t>a</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μ</m:t>
                        </m:r>
                      </m:e>
                      <m:sub>
                        <m:r>
                          <w:rPr>
                            <w:rFonts w:ascii="Cambria Math" w:eastAsia="Cambria Math" w:hAnsi="Cambria Math" w:cs="Cambria Math"/>
                            <w:sz w:val="20"/>
                            <w:szCs w:val="20"/>
                          </w:rPr>
                          <m:t>b</m:t>
                        </m:r>
                      </m:sub>
                    </m:sSub>
                    <m:r>
                      <w:rPr>
                        <w:rFonts w:ascii="Cambria Math" w:eastAsia="Cambria Math" w:hAnsi="Cambria Math" w:cs="Cambria Math"/>
                        <w:sz w:val="20"/>
                        <w:szCs w:val="20"/>
                      </w:rPr>
                      <m:t>-</m:t>
                    </m:r>
                    <m:rad>
                      <m:radPr>
                        <m:degHide m:val="1"/>
                        <m:ctrlPr>
                          <w:rPr>
                            <w:rFonts w:ascii="Cambria Math" w:eastAsia="Cambria Math" w:hAnsi="Cambria Math" w:cs="Cambria Math"/>
                            <w:sz w:val="20"/>
                            <w:szCs w:val="20"/>
                          </w:rPr>
                        </m:ctrlPr>
                      </m:radPr>
                      <m:deg/>
                      <m:e>
                        <m:r>
                          <w:rPr>
                            <w:rFonts w:ascii="Cambria Math" w:eastAsia="Cambria Math" w:hAnsi="Cambria Math" w:cs="Cambria Math"/>
                            <w:sz w:val="20"/>
                            <w:szCs w:val="20"/>
                          </w:rPr>
                          <m:t>(1-</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 xml:space="preserve"> </m:t>
                            </m:r>
                            <m:r>
                              <w:rPr>
                                <w:rFonts w:ascii="Cambria Math" w:eastAsia="Cambria Math" w:hAnsi="Cambria Math" w:cs="Cambria Math"/>
                                <w:sz w:val="20"/>
                                <w:szCs w:val="20"/>
                              </w:rPr>
                              <m:t>v</m:t>
                            </m:r>
                          </m:e>
                          <m:sub>
                            <m:r>
                              <w:rPr>
                                <w:rFonts w:ascii="Cambria Math" w:eastAsia="Cambria Math" w:hAnsi="Cambria Math" w:cs="Cambria Math"/>
                                <w:sz w:val="20"/>
                                <w:szCs w:val="20"/>
                              </w:rPr>
                              <m:t>a</m:t>
                            </m:r>
                          </m:sub>
                        </m:sSub>
                        <m:r>
                          <w:rPr>
                            <w:rFonts w:ascii="Cambria Math" w:eastAsia="Cambria Math" w:hAnsi="Cambria Math" w:cs="Cambria Math"/>
                            <w:sz w:val="20"/>
                            <w:szCs w:val="20"/>
                          </w:rPr>
                          <m:t>)(1-</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 xml:space="preserve"> </m:t>
                            </m:r>
                            <m:r>
                              <w:rPr>
                                <w:rFonts w:ascii="Cambria Math" w:eastAsia="Cambria Math" w:hAnsi="Cambria Math" w:cs="Cambria Math"/>
                                <w:sz w:val="20"/>
                                <w:szCs w:val="20"/>
                              </w:rPr>
                              <m:t>v</m:t>
                            </m:r>
                          </m:e>
                          <m:sub>
                            <m:r>
                              <w:rPr>
                                <w:rFonts w:ascii="Cambria Math" w:eastAsia="Cambria Math" w:hAnsi="Cambria Math" w:cs="Cambria Math"/>
                                <w:sz w:val="20"/>
                                <w:szCs w:val="20"/>
                              </w:rPr>
                              <m:t>b</m:t>
                            </m:r>
                          </m:sub>
                        </m:sSub>
                        <m:r>
                          <w:rPr>
                            <w:rFonts w:ascii="Cambria Math" w:eastAsia="Cambria Math" w:hAnsi="Cambria Math" w:cs="Cambria Math"/>
                            <w:sz w:val="20"/>
                            <w:szCs w:val="20"/>
                          </w:rPr>
                          <m:t>)</m:t>
                        </m:r>
                      </m:e>
                    </m:rad>
                  </m:num>
                  <m:den>
                    <m:r>
                      <w:rPr>
                        <w:rFonts w:ascii="Cambria Math" w:eastAsia="Cambria Math" w:hAnsi="Cambria Math" w:cs="Cambria Math"/>
                        <w:sz w:val="20"/>
                        <w:szCs w:val="20"/>
                      </w:rPr>
                      <m:t>4</m:t>
                    </m:r>
                  </m:den>
                </m:f>
              </m:oMath>
            </m:oMathPara>
          </w:p>
        </w:tc>
        <w:tc>
          <w:tcPr>
            <w:tcW w:w="1275" w:type="dxa"/>
          </w:tcPr>
          <w:p w14:paraId="6760F249" w14:textId="77777777" w:rsidR="006971F4" w:rsidRDefault="007065EF">
            <w:pPr>
              <w:jc w:val="right"/>
              <w:rPr>
                <w:sz w:val="20"/>
                <w:szCs w:val="20"/>
              </w:rPr>
            </w:pPr>
            <w:r>
              <w:rPr>
                <w:sz w:val="20"/>
                <w:szCs w:val="20"/>
              </w:rPr>
              <w:t>(6)</w:t>
            </w:r>
          </w:p>
        </w:tc>
      </w:tr>
    </w:tbl>
    <w:p w14:paraId="48C4C519" w14:textId="77777777" w:rsidR="006971F4" w:rsidRDefault="006971F4">
      <w:pPr>
        <w:jc w:val="both"/>
        <w:rPr>
          <w:sz w:val="20"/>
          <w:szCs w:val="20"/>
        </w:rPr>
      </w:pPr>
    </w:p>
    <w:p w14:paraId="3FCA3922" w14:textId="77777777" w:rsidR="006971F4" w:rsidRDefault="007065EF">
      <w:pPr>
        <w:jc w:val="both"/>
        <w:rPr>
          <w:i/>
          <w:iCs/>
          <w:sz w:val="20"/>
          <w:szCs w:val="20"/>
        </w:rPr>
      </w:pPr>
      <w:r>
        <w:rPr>
          <w:i/>
          <w:iCs/>
          <w:sz w:val="20"/>
          <w:szCs w:val="20"/>
        </w:rPr>
        <w:t>Step 6: Robust Aggregation of Pairwise Evaluation Values</w:t>
      </w:r>
    </w:p>
    <w:p w14:paraId="4BFE9A27" w14:textId="77777777" w:rsidR="006971F4" w:rsidRDefault="006971F4">
      <w:pPr>
        <w:jc w:val="both"/>
        <w:rPr>
          <w:sz w:val="20"/>
          <w:szCs w:val="20"/>
        </w:rPr>
      </w:pPr>
    </w:p>
    <w:p w14:paraId="016CAAFB" w14:textId="77777777" w:rsidR="006971F4" w:rsidRDefault="007065EF">
      <w:pPr>
        <w:ind w:firstLine="284"/>
        <w:jc w:val="both"/>
        <w:rPr>
          <w:sz w:val="20"/>
          <w:szCs w:val="20"/>
        </w:rPr>
      </w:pPr>
      <w:r>
        <w:rPr>
          <w:sz w:val="20"/>
          <w:szCs w:val="20"/>
        </w:rPr>
        <w:t xml:space="preserve">Before constructing the preference relation, the membership and non-membership degrees of each pair of alternatives </w:t>
      </w:r>
      <m:oMath>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A</m:t>
            </m:r>
          </m:e>
          <m:sub>
            <m:r>
              <w:rPr>
                <w:rFonts w:ascii="Cambria Math" w:eastAsia="Cambria Math" w:hAnsi="Cambria Math" w:cs="Cambria Math"/>
                <w:sz w:val="20"/>
                <w:szCs w:val="20"/>
              </w:rPr>
              <m:t>i</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A</m:t>
            </m:r>
          </m:e>
          <m:sub>
            <m:r>
              <w:rPr>
                <w:rFonts w:ascii="Cambria Math" w:eastAsia="Cambria Math" w:hAnsi="Cambria Math" w:cs="Cambria Math"/>
                <w:sz w:val="20"/>
                <w:szCs w:val="20"/>
              </w:rPr>
              <m:t>j</m:t>
            </m:r>
          </m:sub>
        </m:sSub>
        <m:r>
          <w:rPr>
            <w:rFonts w:ascii="Cambria Math" w:eastAsia="Cambria Math" w:hAnsi="Cambria Math" w:cs="Cambria Math"/>
            <w:sz w:val="20"/>
            <w:szCs w:val="20"/>
          </w:rPr>
          <m:t>)</m:t>
        </m:r>
      </m:oMath>
      <w:r>
        <w:rPr>
          <w:sz w:val="20"/>
          <w:szCs w:val="20"/>
        </w:rPr>
        <w:t xml:space="preserve"> are aggregated to produce a robust representative value. The aggregated membership degree μ̃ij is computed as:</w:t>
      </w:r>
    </w:p>
    <w:tbl>
      <w:tblPr>
        <w:tblStyle w:val="a6"/>
        <w:tblW w:w="9350" w:type="dxa"/>
        <w:tblBorders>
          <w:top w:val="nil"/>
          <w:left w:val="nil"/>
          <w:bottom w:val="nil"/>
          <w:right w:val="nil"/>
          <w:insideH w:val="nil"/>
          <w:insideV w:val="nil"/>
        </w:tblBorders>
        <w:tblLayout w:type="fixed"/>
        <w:tblLook w:val="0400" w:firstRow="0" w:lastRow="0" w:firstColumn="0" w:lastColumn="0" w:noHBand="0" w:noVBand="1"/>
      </w:tblPr>
      <w:tblGrid>
        <w:gridCol w:w="8075"/>
        <w:gridCol w:w="1275"/>
      </w:tblGrid>
      <w:tr w:rsidR="006971F4" w14:paraId="35CD2DF6" w14:textId="77777777">
        <w:tc>
          <w:tcPr>
            <w:tcW w:w="8075" w:type="dxa"/>
          </w:tcPr>
          <w:p w14:paraId="40E8065F" w14:textId="77777777" w:rsidR="006971F4" w:rsidRDefault="007065EF">
            <w:pPr>
              <w:jc w:val="center"/>
              <w:rPr>
                <w:rFonts w:ascii="Cambria Math" w:eastAsia="Cambria Math" w:hAnsi="Cambria Math" w:cs="Cambria Math"/>
                <w:sz w:val="20"/>
                <w:szCs w:val="20"/>
              </w:rPr>
            </w:pPr>
            <m:oMathPara>
              <m:oMath>
                <m:sSub>
                  <m:sSubPr>
                    <m:ctrlPr>
                      <w:rPr>
                        <w:rFonts w:ascii="Cambria Math" w:eastAsia="Cambria Math" w:hAnsi="Cambria Math" w:cs="Cambria Math"/>
                        <w:sz w:val="20"/>
                        <w:szCs w:val="20"/>
                      </w:rPr>
                    </m:ctrlPr>
                  </m:sSubPr>
                  <m:e>
                    <m:acc>
                      <m:accPr>
                        <m:chr m:val="̃"/>
                        <m:ctrlPr>
                          <w:rPr>
                            <w:rFonts w:ascii="Cambria Math" w:eastAsia="Cambria Math" w:hAnsi="Cambria Math" w:cs="Cambria Math"/>
                            <w:sz w:val="20"/>
                            <w:szCs w:val="20"/>
                          </w:rPr>
                        </m:ctrlPr>
                      </m:accPr>
                      <m:e>
                        <m:r>
                          <w:rPr>
                            <w:rFonts w:ascii="Cambria Math" w:eastAsia="Cambria Math" w:hAnsi="Cambria Math" w:cs="Cambria Math"/>
                            <w:sz w:val="20"/>
                            <w:szCs w:val="20"/>
                          </w:rPr>
                          <m:t>FF</m:t>
                        </m:r>
                      </m:e>
                    </m:acc>
                  </m:e>
                  <m:sub>
                    <m:r>
                      <w:rPr>
                        <w:rFonts w:ascii="Cambria Math" w:eastAsia="Cambria Math" w:hAnsi="Cambria Math" w:cs="Cambria Math"/>
                        <w:sz w:val="20"/>
                        <w:szCs w:val="20"/>
                      </w:rPr>
                      <m:t>ij</m:t>
                    </m:r>
                  </m:sub>
                </m:sSub>
                <m:r>
                  <w:rPr>
                    <w:rFonts w:ascii="Cambria Math" w:eastAsia="Cambria Math" w:hAnsi="Cambria Math" w:cs="Cambria Math"/>
                    <w:sz w:val="20"/>
                    <w:szCs w:val="20"/>
                  </w:rPr>
                  <m:t xml:space="preserve">= </m:t>
                </m:r>
                <m:r>
                  <w:rPr>
                    <w:rFonts w:ascii="Cambria Math" w:eastAsia="Cambria Math" w:hAnsi="Cambria Math" w:cs="Cambria Math"/>
                    <w:sz w:val="20"/>
                    <w:szCs w:val="20"/>
                  </w:rPr>
                  <m:t>median</m:t>
                </m:r>
                <m:r>
                  <w:rPr>
                    <w:rFonts w:ascii="Cambria Math" w:eastAsia="Cambria Math" w:hAnsi="Cambria Math" w:cs="Cambria Math"/>
                    <w:sz w:val="20"/>
                    <w:szCs w:val="20"/>
                  </w:rPr>
                  <m:t xml:space="preserve"> {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μ</m:t>
                    </m:r>
                  </m:e>
                  <m:sub>
                    <m:r>
                      <w:rPr>
                        <w:rFonts w:ascii="Cambria Math" w:eastAsia="Cambria Math" w:hAnsi="Cambria Math" w:cs="Cambria Math"/>
                        <w:sz w:val="20"/>
                        <w:szCs w:val="20"/>
                      </w:rPr>
                      <m:t>i</m:t>
                    </m:r>
                  </m:sub>
                </m:sSub>
                <m:r>
                  <w:rPr>
                    <w:rFonts w:ascii="Cambria Math" w:eastAsia="Cambria Math" w:hAnsi="Cambria Math" w:cs="Cambria Math"/>
                    <w:sz w:val="20"/>
                    <w:szCs w:val="20"/>
                  </w:rPr>
                  <m:t xml:space="preserve">,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μ</m:t>
                    </m:r>
                  </m:e>
                  <m:sub>
                    <m:r>
                      <w:rPr>
                        <w:rFonts w:ascii="Cambria Math" w:eastAsia="Cambria Math" w:hAnsi="Cambria Math" w:cs="Cambria Math"/>
                        <w:sz w:val="20"/>
                        <w:szCs w:val="20"/>
                      </w:rPr>
                      <m:t>j</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μ</m:t>
                    </m:r>
                  </m:e>
                  <m:sub>
                    <m:r>
                      <w:rPr>
                        <w:rFonts w:ascii="Cambria Math" w:eastAsia="Cambria Math" w:hAnsi="Cambria Math" w:cs="Cambria Math"/>
                        <w:sz w:val="20"/>
                        <w:szCs w:val="20"/>
                      </w:rPr>
                      <m:t>i</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μ</m:t>
                    </m:r>
                  </m:e>
                  <m:sub>
                    <m:r>
                      <w:rPr>
                        <w:rFonts w:ascii="Cambria Math" w:eastAsia="Cambria Math" w:hAnsi="Cambria Math" w:cs="Cambria Math"/>
                        <w:sz w:val="20"/>
                        <w:szCs w:val="20"/>
                      </w:rPr>
                      <m:t>j</m:t>
                    </m:r>
                  </m:sub>
                </m:sSub>
                <m:r>
                  <w:rPr>
                    <w:rFonts w:ascii="Cambria Math" w:eastAsia="Cambria Math" w:hAnsi="Cambria Math" w:cs="Cambria Math"/>
                    <w:sz w:val="20"/>
                    <w:szCs w:val="20"/>
                  </w:rPr>
                  <m:t>, 2-</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ν</m:t>
                    </m:r>
                  </m:e>
                  <m:sub>
                    <m:r>
                      <w:rPr>
                        <w:rFonts w:ascii="Cambria Math" w:eastAsia="Cambria Math" w:hAnsi="Cambria Math" w:cs="Cambria Math"/>
                        <w:sz w:val="20"/>
                        <w:szCs w:val="20"/>
                      </w:rPr>
                      <m:t>i</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ν</m:t>
                    </m:r>
                  </m:e>
                  <m:sub>
                    <m:r>
                      <w:rPr>
                        <w:rFonts w:ascii="Cambria Math" w:eastAsia="Cambria Math" w:hAnsi="Cambria Math" w:cs="Cambria Math"/>
                        <w:sz w:val="20"/>
                        <w:szCs w:val="20"/>
                      </w:rPr>
                      <m:t>j</m:t>
                    </m:r>
                  </m:sub>
                </m:sSub>
                <m:r>
                  <w:rPr>
                    <w:rFonts w:ascii="Cambria Math" w:eastAsia="Cambria Math" w:hAnsi="Cambria Math" w:cs="Cambria Math"/>
                    <w:sz w:val="20"/>
                    <w:szCs w:val="20"/>
                  </w:rPr>
                  <m:t>-</m:t>
                </m:r>
                <m:r>
                  <w:rPr>
                    <w:rFonts w:ascii="Cambria Math" w:eastAsia="Cambria Math" w:hAnsi="Cambria Math" w:cs="Cambria Math"/>
                    <w:sz w:val="20"/>
                    <w:szCs w:val="20"/>
                  </w:rPr>
                  <m:t xml:space="preserve"> </m:t>
                </m:r>
                <m:rad>
                  <m:radPr>
                    <m:degHide m:val="1"/>
                    <m:ctrlPr>
                      <w:rPr>
                        <w:rFonts w:ascii="Cambria Math" w:eastAsia="Cambria Math" w:hAnsi="Cambria Math" w:cs="Cambria Math"/>
                        <w:sz w:val="20"/>
                        <w:szCs w:val="20"/>
                      </w:rPr>
                    </m:ctrlPr>
                  </m:radPr>
                  <m:deg/>
                  <m:e>
                    <m:r>
                      <w:rPr>
                        <w:rFonts w:ascii="Cambria Math" w:eastAsia="Cambria Math" w:hAnsi="Cambria Math" w:cs="Cambria Math"/>
                        <w:sz w:val="20"/>
                        <w:szCs w:val="20"/>
                      </w:rPr>
                      <m:t xml:space="preserve">(1 -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ν</m:t>
                        </m:r>
                      </m:e>
                      <m:sub>
                        <m:r>
                          <w:rPr>
                            <w:rFonts w:ascii="Cambria Math" w:eastAsia="Cambria Math" w:hAnsi="Cambria Math" w:cs="Cambria Math"/>
                            <w:sz w:val="20"/>
                            <w:szCs w:val="20"/>
                          </w:rPr>
                          <m:t>i</m:t>
                        </m:r>
                      </m:sub>
                    </m:sSub>
                    <m:r>
                      <w:rPr>
                        <w:rFonts w:ascii="Cambria Math" w:eastAsia="Cambria Math" w:hAnsi="Cambria Math" w:cs="Cambria Math"/>
                        <w:sz w:val="20"/>
                        <w:szCs w:val="20"/>
                      </w:rPr>
                      <m:t xml:space="preserve">)(1 -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ν</m:t>
                        </m:r>
                      </m:e>
                      <m:sub>
                        <m:r>
                          <w:rPr>
                            <w:rFonts w:ascii="Cambria Math" w:eastAsia="Cambria Math" w:hAnsi="Cambria Math" w:cs="Cambria Math"/>
                            <w:sz w:val="20"/>
                            <w:szCs w:val="20"/>
                          </w:rPr>
                          <m:t>j</m:t>
                        </m:r>
                      </m:sub>
                    </m:sSub>
                    <m:r>
                      <w:rPr>
                        <w:rFonts w:ascii="Cambria Math" w:eastAsia="Cambria Math" w:hAnsi="Cambria Math" w:cs="Cambria Math"/>
                        <w:sz w:val="20"/>
                        <w:szCs w:val="20"/>
                      </w:rPr>
                      <m:t>)</m:t>
                    </m:r>
                  </m:e>
                </m:rad>
                <m:r>
                  <w:rPr>
                    <w:rFonts w:ascii="Cambria Math" w:eastAsia="Cambria Math" w:hAnsi="Cambria Math" w:cs="Cambria Math"/>
                    <w:sz w:val="20"/>
                    <w:szCs w:val="20"/>
                  </w:rPr>
                  <m:t xml:space="preserve"> }   </m:t>
                </m:r>
              </m:oMath>
            </m:oMathPara>
          </w:p>
        </w:tc>
        <w:tc>
          <w:tcPr>
            <w:tcW w:w="1275" w:type="dxa"/>
          </w:tcPr>
          <w:p w14:paraId="20494447" w14:textId="77777777" w:rsidR="006971F4" w:rsidRDefault="007065EF">
            <w:pPr>
              <w:jc w:val="right"/>
              <w:rPr>
                <w:sz w:val="20"/>
                <w:szCs w:val="20"/>
              </w:rPr>
            </w:pPr>
            <w:r>
              <w:rPr>
                <w:sz w:val="20"/>
                <w:szCs w:val="20"/>
              </w:rPr>
              <w:t>(7)</w:t>
            </w:r>
          </w:p>
        </w:tc>
      </w:tr>
    </w:tbl>
    <w:p w14:paraId="1B690BDD" w14:textId="77777777" w:rsidR="006971F4" w:rsidRDefault="006971F4">
      <w:pPr>
        <w:ind w:firstLine="284"/>
        <w:jc w:val="both"/>
        <w:rPr>
          <w:sz w:val="20"/>
          <w:szCs w:val="20"/>
        </w:rPr>
      </w:pPr>
    </w:p>
    <w:p w14:paraId="27F8DA6E" w14:textId="77777777" w:rsidR="006971F4" w:rsidRDefault="007065EF">
      <w:pPr>
        <w:jc w:val="both"/>
        <w:rPr>
          <w:sz w:val="20"/>
          <w:szCs w:val="20"/>
        </w:rPr>
      </w:pPr>
      <w:r>
        <w:rPr>
          <w:sz w:val="20"/>
          <w:szCs w:val="20"/>
        </w:rPr>
        <w:t>where,</w:t>
      </w:r>
    </w:p>
    <w:p w14:paraId="10E069D5" w14:textId="77777777" w:rsidR="006971F4" w:rsidRDefault="006971F4">
      <w:pPr>
        <w:jc w:val="both"/>
        <w:rPr>
          <w:sz w:val="20"/>
          <w:szCs w:val="20"/>
        </w:rPr>
      </w:pPr>
    </w:p>
    <w:p w14:paraId="0C48C8E1" w14:textId="77777777" w:rsidR="006971F4" w:rsidRDefault="007065EF">
      <w:pPr>
        <w:jc w:val="both"/>
        <w:rPr>
          <w:i/>
          <w:iCs/>
          <w:sz w:val="20"/>
          <w:szCs w:val="20"/>
        </w:rPr>
      </w:pPr>
      <m:oMath>
        <m:sSub>
          <m:sSubPr>
            <m:ctrlPr>
              <w:rPr>
                <w:rFonts w:ascii="Cambria Math" w:eastAsia="Cambria Math" w:hAnsi="Cambria Math" w:cs="Cambria Math"/>
                <w:sz w:val="20"/>
                <w:szCs w:val="20"/>
              </w:rPr>
            </m:ctrlPr>
          </m:sSubPr>
          <m:e>
            <m:r>
              <w:rPr>
                <w:rFonts w:ascii="Cambria Math" w:hAnsi="Cambria Math"/>
              </w:rPr>
              <m:t>μ</m:t>
            </m:r>
          </m:e>
          <m:sub>
            <m:r>
              <w:rPr>
                <w:rFonts w:ascii="Cambria Math" w:eastAsia="Cambria Math" w:hAnsi="Cambria Math" w:cs="Cambria Math"/>
                <w:sz w:val="20"/>
                <w:szCs w:val="20"/>
              </w:rPr>
              <m:t>i</m:t>
            </m:r>
          </m:sub>
        </m:sSub>
      </m:oMath>
      <w:r>
        <w:rPr>
          <w:sz w:val="20"/>
          <w:szCs w:val="20"/>
        </w:rPr>
        <w:t xml:space="preserve"> and </w:t>
      </w:r>
      <m:oMath>
        <m:sSub>
          <m:sSubPr>
            <m:ctrlPr>
              <w:rPr>
                <w:rFonts w:ascii="Cambria Math" w:eastAsia="Cambria Math" w:hAnsi="Cambria Math" w:cs="Cambria Math"/>
                <w:sz w:val="20"/>
                <w:szCs w:val="20"/>
              </w:rPr>
            </m:ctrlPr>
          </m:sSubPr>
          <m:e>
            <m:r>
              <w:rPr>
                <w:rFonts w:ascii="Cambria Math" w:hAnsi="Cambria Math"/>
              </w:rPr>
              <m:t>μ</m:t>
            </m:r>
          </m:e>
          <m:sub>
            <m:r>
              <w:rPr>
                <w:rFonts w:ascii="Cambria Math" w:eastAsia="Cambria Math" w:hAnsi="Cambria Math" w:cs="Cambria Math"/>
                <w:sz w:val="20"/>
                <w:szCs w:val="20"/>
              </w:rPr>
              <m:t>j</m:t>
            </m:r>
          </m:sub>
        </m:sSub>
      </m:oMath>
      <w:r>
        <w:rPr>
          <w:sz w:val="20"/>
          <w:szCs w:val="20"/>
        </w:rPr>
        <w:t xml:space="preserve"> represent the direct membership evaluations of alternatives </w:t>
      </w:r>
      <w:r>
        <w:rPr>
          <w:i/>
          <w:iCs/>
          <w:sz w:val="20"/>
          <w:szCs w:val="20"/>
        </w:rPr>
        <w:t xml:space="preserve">i </w:t>
      </w:r>
      <w:r>
        <w:rPr>
          <w:sz w:val="20"/>
          <w:szCs w:val="20"/>
        </w:rPr>
        <w:t>and</w:t>
      </w:r>
      <w:r>
        <w:rPr>
          <w:i/>
          <w:iCs/>
          <w:sz w:val="20"/>
          <w:szCs w:val="20"/>
        </w:rPr>
        <w:t xml:space="preserve"> j</w:t>
      </w:r>
      <w:r>
        <w:rPr>
          <w:sz w:val="20"/>
          <w:szCs w:val="20"/>
        </w:rPr>
        <w:t>,</w:t>
      </w:r>
    </w:p>
    <w:p w14:paraId="5F4F1190" w14:textId="77777777" w:rsidR="006971F4" w:rsidRDefault="007065EF">
      <w:pPr>
        <w:jc w:val="both"/>
        <w:rPr>
          <w:sz w:val="20"/>
          <w:szCs w:val="20"/>
        </w:rPr>
      </w:pPr>
      <m:oMath>
        <m:sSub>
          <m:sSubPr>
            <m:ctrlPr>
              <w:rPr>
                <w:rFonts w:ascii="Cambria Math" w:eastAsia="Cambria Math" w:hAnsi="Cambria Math" w:cs="Cambria Math"/>
                <w:sz w:val="20"/>
                <w:szCs w:val="20"/>
              </w:rPr>
            </m:ctrlPr>
          </m:sSubPr>
          <m:e>
            <m:r>
              <w:rPr>
                <w:rFonts w:ascii="Cambria Math" w:hAnsi="Cambria Math"/>
              </w:rPr>
              <m:t>ν</m:t>
            </m:r>
          </m:e>
          <m:sub>
            <m:r>
              <w:rPr>
                <w:rFonts w:ascii="Cambria Math" w:eastAsia="Cambria Math" w:hAnsi="Cambria Math" w:cs="Cambria Math"/>
                <w:sz w:val="20"/>
                <w:szCs w:val="20"/>
              </w:rPr>
              <m:t>i</m:t>
            </m:r>
          </m:sub>
        </m:sSub>
      </m:oMath>
      <w:r>
        <w:rPr>
          <w:sz w:val="20"/>
          <w:szCs w:val="20"/>
        </w:rPr>
        <w:t xml:space="preserve"> and </w:t>
      </w:r>
      <m:oMath>
        <m:sSub>
          <m:sSubPr>
            <m:ctrlPr>
              <w:rPr>
                <w:rFonts w:ascii="Cambria Math" w:eastAsia="Cambria Math" w:hAnsi="Cambria Math" w:cs="Cambria Math"/>
                <w:sz w:val="20"/>
                <w:szCs w:val="20"/>
              </w:rPr>
            </m:ctrlPr>
          </m:sSubPr>
          <m:e>
            <m:r>
              <w:rPr>
                <w:rFonts w:ascii="Cambria Math" w:hAnsi="Cambria Math"/>
              </w:rPr>
              <m:t>ν</m:t>
            </m:r>
          </m:e>
          <m:sub>
            <m:r>
              <w:rPr>
                <w:rFonts w:ascii="Cambria Math" w:eastAsia="Cambria Math" w:hAnsi="Cambria Math" w:cs="Cambria Math"/>
                <w:sz w:val="20"/>
                <w:szCs w:val="20"/>
              </w:rPr>
              <m:t>j</m:t>
            </m:r>
          </m:sub>
        </m:sSub>
      </m:oMath>
      <w:r>
        <w:rPr>
          <w:sz w:val="20"/>
          <w:szCs w:val="20"/>
        </w:rPr>
        <w:t xml:space="preserve"> represent the direct non-membership evaluations of alternatives </w:t>
      </w:r>
      <w:r>
        <w:rPr>
          <w:i/>
          <w:iCs/>
          <w:sz w:val="20"/>
          <w:szCs w:val="20"/>
        </w:rPr>
        <w:t xml:space="preserve">i </w:t>
      </w:r>
      <w:r>
        <w:rPr>
          <w:sz w:val="20"/>
          <w:szCs w:val="20"/>
        </w:rPr>
        <w:t>and</w:t>
      </w:r>
      <w:r>
        <w:rPr>
          <w:i/>
          <w:iCs/>
          <w:sz w:val="20"/>
          <w:szCs w:val="20"/>
        </w:rPr>
        <w:t xml:space="preserve"> j</w:t>
      </w:r>
      <w:r>
        <w:rPr>
          <w:sz w:val="20"/>
          <w:szCs w:val="20"/>
        </w:rPr>
        <w:t>.</w:t>
      </w:r>
    </w:p>
    <w:p w14:paraId="7761B97F" w14:textId="77777777" w:rsidR="006971F4" w:rsidRDefault="006971F4">
      <w:pPr>
        <w:jc w:val="both"/>
        <w:rPr>
          <w:sz w:val="20"/>
          <w:szCs w:val="20"/>
        </w:rPr>
      </w:pPr>
    </w:p>
    <w:p w14:paraId="7B162476" w14:textId="77777777" w:rsidR="006971F4" w:rsidRDefault="007065EF">
      <w:pPr>
        <w:ind w:firstLine="284"/>
        <w:jc w:val="both"/>
        <w:rPr>
          <w:sz w:val="20"/>
          <w:szCs w:val="20"/>
        </w:rPr>
      </w:pPr>
      <w:r>
        <w:rPr>
          <w:sz w:val="20"/>
          <w:szCs w:val="20"/>
        </w:rPr>
        <w:t xml:space="preserve">The median operator ensures robustness by reducing the effect of extreme values or inconsistencies in expert judgments. The resulting </w:t>
      </w:r>
      <m:oMath>
        <m:sSub>
          <m:sSubPr>
            <m:ctrlPr>
              <w:rPr>
                <w:rFonts w:ascii="Cambria Math" w:eastAsia="Cambria Math" w:hAnsi="Cambria Math" w:cs="Cambria Math"/>
                <w:sz w:val="20"/>
                <w:szCs w:val="20"/>
              </w:rPr>
            </m:ctrlPr>
          </m:sSubPr>
          <m:e>
            <m:acc>
              <m:accPr>
                <m:chr m:val="̃"/>
                <m:ctrlPr>
                  <w:rPr>
                    <w:rFonts w:ascii="Cambria Math" w:eastAsia="Cambria Math" w:hAnsi="Cambria Math" w:cs="Cambria Math"/>
                    <w:sz w:val="20"/>
                    <w:szCs w:val="20"/>
                  </w:rPr>
                </m:ctrlPr>
              </m:accPr>
              <m:e>
                <m:r>
                  <w:rPr>
                    <w:rFonts w:ascii="Cambria Math" w:eastAsia="Cambria Math" w:hAnsi="Cambria Math" w:cs="Cambria Math"/>
                    <w:sz w:val="20"/>
                    <w:szCs w:val="20"/>
                  </w:rPr>
                  <m:t>u</m:t>
                </m:r>
              </m:e>
            </m:acc>
          </m:e>
          <m:sub>
            <m:r>
              <w:rPr>
                <w:rFonts w:ascii="Cambria Math" w:eastAsia="Cambria Math" w:hAnsi="Cambria Math" w:cs="Cambria Math"/>
                <w:sz w:val="20"/>
                <w:szCs w:val="20"/>
              </w:rPr>
              <m:t>ij</m:t>
            </m:r>
          </m:sub>
        </m:sSub>
      </m:oMath>
      <w:r>
        <w:rPr>
          <w:sz w:val="20"/>
          <w:szCs w:val="20"/>
        </w:rPr>
        <w:t xml:space="preserve"> will be used as the input to the preference relation construction in the following step.</w:t>
      </w:r>
    </w:p>
    <w:p w14:paraId="1B81AF4A" w14:textId="77777777" w:rsidR="006971F4" w:rsidRDefault="006971F4">
      <w:pPr>
        <w:jc w:val="both"/>
        <w:rPr>
          <w:i/>
          <w:iCs/>
          <w:sz w:val="20"/>
          <w:szCs w:val="20"/>
        </w:rPr>
      </w:pPr>
    </w:p>
    <w:p w14:paraId="592E7D6D" w14:textId="77777777" w:rsidR="006971F4" w:rsidRDefault="007065EF">
      <w:pPr>
        <w:jc w:val="both"/>
        <w:rPr>
          <w:i/>
          <w:iCs/>
          <w:sz w:val="20"/>
          <w:szCs w:val="20"/>
        </w:rPr>
      </w:pPr>
      <w:r>
        <w:rPr>
          <w:i/>
          <w:iCs/>
          <w:sz w:val="20"/>
          <w:szCs w:val="20"/>
        </w:rPr>
        <w:t>Step 7: Construction of the Preference Relation</w:t>
      </w:r>
    </w:p>
    <w:p w14:paraId="678EACBD" w14:textId="77777777" w:rsidR="006971F4" w:rsidRDefault="006971F4">
      <w:pPr>
        <w:jc w:val="both"/>
        <w:rPr>
          <w:sz w:val="20"/>
          <w:szCs w:val="20"/>
        </w:rPr>
      </w:pPr>
    </w:p>
    <w:p w14:paraId="6785CF4F" w14:textId="77777777" w:rsidR="006971F4" w:rsidRDefault="007065EF">
      <w:pPr>
        <w:ind w:firstLine="284"/>
        <w:jc w:val="both"/>
        <w:rPr>
          <w:sz w:val="20"/>
          <w:szCs w:val="20"/>
        </w:rPr>
      </w:pPr>
      <w:r>
        <w:rPr>
          <w:sz w:val="20"/>
          <w:szCs w:val="20"/>
        </w:rPr>
        <w:t xml:space="preserve">The fuzzy preference relation matrix is derived from the FF values through pairwise comparisons between alternatives. Given two (2) alternatives,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A</m:t>
            </m:r>
          </m:e>
          <m:sub>
            <m:r>
              <w:rPr>
                <w:rFonts w:ascii="Cambria Math" w:eastAsia="Cambria Math" w:hAnsi="Cambria Math" w:cs="Cambria Math"/>
                <w:sz w:val="20"/>
                <w:szCs w:val="20"/>
              </w:rPr>
              <m:t>j</m:t>
            </m:r>
          </m:sub>
        </m:sSub>
      </m:oMath>
      <w:r>
        <w:rPr>
          <w:sz w:val="20"/>
          <w:szCs w:val="20"/>
        </w:rPr>
        <w:t xml:space="preserve"> and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A</m:t>
            </m:r>
          </m:e>
          <m:sub>
            <m:r>
              <w:rPr>
                <w:rFonts w:ascii="Cambria Math" w:eastAsia="Cambria Math" w:hAnsi="Cambria Math" w:cs="Cambria Math"/>
                <w:sz w:val="20"/>
                <w:szCs w:val="20"/>
              </w:rPr>
              <m:t>k</m:t>
            </m:r>
          </m:sub>
        </m:sSub>
      </m:oMath>
      <w:r>
        <w:rPr>
          <w:sz w:val="20"/>
          <w:szCs w:val="20"/>
        </w:rPr>
        <w:t xml:space="preserve">, the degree of preference of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A</m:t>
            </m:r>
          </m:e>
          <m:sub>
            <m:r>
              <w:rPr>
                <w:rFonts w:ascii="Cambria Math" w:eastAsia="Cambria Math" w:hAnsi="Cambria Math" w:cs="Cambria Math"/>
                <w:sz w:val="20"/>
                <w:szCs w:val="20"/>
              </w:rPr>
              <m:t>j</m:t>
            </m:r>
          </m:sub>
        </m:sSub>
      </m:oMath>
      <w:r>
        <w:rPr>
          <w:sz w:val="20"/>
          <w:szCs w:val="20"/>
        </w:rPr>
        <w:t xml:space="preserve"> over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A</m:t>
            </m:r>
          </m:e>
          <m:sub>
            <m:r>
              <w:rPr>
                <w:rFonts w:ascii="Cambria Math" w:eastAsia="Cambria Math" w:hAnsi="Cambria Math" w:cs="Cambria Math"/>
                <w:sz w:val="20"/>
                <w:szCs w:val="20"/>
              </w:rPr>
              <m:t>k</m:t>
            </m:r>
          </m:sub>
        </m:sSub>
      </m:oMath>
      <w:r>
        <w:rPr>
          <w:sz w:val="20"/>
          <w:szCs w:val="20"/>
        </w:rPr>
        <w:t xml:space="preserve"> denoted by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p</m:t>
            </m:r>
          </m:e>
          <m:sub>
            <m:r>
              <w:rPr>
                <w:rFonts w:ascii="Cambria Math" w:eastAsia="Cambria Math" w:hAnsi="Cambria Math" w:cs="Cambria Math"/>
                <w:sz w:val="20"/>
                <w:szCs w:val="20"/>
              </w:rPr>
              <m:t>jk</m:t>
            </m:r>
          </m:sub>
        </m:sSub>
      </m:oMath>
      <w:r>
        <w:rPr>
          <w:sz w:val="20"/>
          <w:szCs w:val="20"/>
        </w:rPr>
        <w:t>.</w:t>
      </w:r>
    </w:p>
    <w:tbl>
      <w:tblPr>
        <w:tblStyle w:val="a7"/>
        <w:tblW w:w="9350" w:type="dxa"/>
        <w:tblBorders>
          <w:top w:val="nil"/>
          <w:left w:val="nil"/>
          <w:bottom w:val="nil"/>
          <w:right w:val="nil"/>
          <w:insideH w:val="nil"/>
          <w:insideV w:val="nil"/>
        </w:tblBorders>
        <w:tblLayout w:type="fixed"/>
        <w:tblLook w:val="0400" w:firstRow="0" w:lastRow="0" w:firstColumn="0" w:lastColumn="0" w:noHBand="0" w:noVBand="1"/>
      </w:tblPr>
      <w:tblGrid>
        <w:gridCol w:w="8075"/>
        <w:gridCol w:w="1275"/>
      </w:tblGrid>
      <w:tr w:rsidR="006971F4" w14:paraId="5557CF22" w14:textId="77777777">
        <w:tc>
          <w:tcPr>
            <w:tcW w:w="8075" w:type="dxa"/>
          </w:tcPr>
          <w:p w14:paraId="136F052F" w14:textId="77777777" w:rsidR="006971F4" w:rsidRDefault="007065EF">
            <w:pPr>
              <w:jc w:val="center"/>
              <w:rPr>
                <w:rFonts w:ascii="Cambria Math" w:eastAsia="Cambria Math" w:hAnsi="Cambria Math" w:cs="Cambria Math"/>
                <w:sz w:val="20"/>
                <w:szCs w:val="20"/>
              </w:rPr>
            </w:pPr>
            <m:oMathPara>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p</m:t>
                    </m:r>
                  </m:e>
                  <m:sub>
                    <m:r>
                      <w:rPr>
                        <w:rFonts w:ascii="Cambria Math" w:eastAsia="Cambria Math" w:hAnsi="Cambria Math" w:cs="Cambria Math"/>
                        <w:sz w:val="20"/>
                        <w:szCs w:val="20"/>
                      </w:rPr>
                      <m:t>jk</m:t>
                    </m:r>
                  </m:sub>
                </m:sSub>
                <m:r>
                  <w:rPr>
                    <w:rFonts w:ascii="Cambria Math" w:eastAsia="Cambria Math" w:hAnsi="Cambria Math" w:cs="Cambria Math"/>
                    <w:sz w:val="20"/>
                    <w:szCs w:val="20"/>
                  </w:rPr>
                  <m:t xml:space="preserve">= </m:t>
                </m:r>
                <m:f>
                  <m:fPr>
                    <m:ctrlPr>
                      <w:rPr>
                        <w:rFonts w:ascii="Cambria Math" w:eastAsia="Cambria Math" w:hAnsi="Cambria Math" w:cs="Cambria Math"/>
                        <w:sz w:val="20"/>
                        <w:szCs w:val="20"/>
                      </w:rPr>
                    </m:ctrlPr>
                  </m:fPr>
                  <m:num>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FF</m:t>
                        </m:r>
                      </m:e>
                      <m:sub>
                        <m:r>
                          <w:rPr>
                            <w:rFonts w:ascii="Cambria Math" w:eastAsia="Cambria Math" w:hAnsi="Cambria Math" w:cs="Cambria Math"/>
                            <w:sz w:val="20"/>
                            <w:szCs w:val="20"/>
                          </w:rPr>
                          <m:t xml:space="preserve">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A</m:t>
                            </m:r>
                          </m:e>
                          <m:sub>
                            <m:r>
                              <w:rPr>
                                <w:rFonts w:ascii="Cambria Math" w:eastAsia="Cambria Math" w:hAnsi="Cambria Math" w:cs="Cambria Math"/>
                                <w:sz w:val="20"/>
                                <w:szCs w:val="20"/>
                              </w:rPr>
                              <m:t>j</m:t>
                            </m:r>
                          </m:sub>
                        </m:sSub>
                      </m:sub>
                    </m:sSub>
                  </m:num>
                  <m:den>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FF</m:t>
                        </m:r>
                      </m:e>
                      <m:sub>
                        <m:r>
                          <w:rPr>
                            <w:rFonts w:ascii="Cambria Math" w:eastAsia="Cambria Math" w:hAnsi="Cambria Math" w:cs="Cambria Math"/>
                            <w:sz w:val="20"/>
                            <w:szCs w:val="20"/>
                          </w:rPr>
                          <m:t xml:space="preserve">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A</m:t>
                            </m:r>
                          </m:e>
                          <m:sub>
                            <m:r>
                              <w:rPr>
                                <w:rFonts w:ascii="Cambria Math" w:eastAsia="Cambria Math" w:hAnsi="Cambria Math" w:cs="Cambria Math"/>
                                <w:sz w:val="20"/>
                                <w:szCs w:val="20"/>
                              </w:rPr>
                              <m:t>j</m:t>
                            </m:r>
                          </m:sub>
                        </m:sSub>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FF</m:t>
                        </m:r>
                      </m:e>
                      <m:sub>
                        <m:r>
                          <w:rPr>
                            <w:rFonts w:ascii="Cambria Math" w:eastAsia="Cambria Math" w:hAnsi="Cambria Math" w:cs="Cambria Math"/>
                            <w:sz w:val="20"/>
                            <w:szCs w:val="20"/>
                          </w:rPr>
                          <m:t xml:space="preserve">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A</m:t>
                            </m:r>
                          </m:e>
                          <m:sub>
                            <m:r>
                              <w:rPr>
                                <w:rFonts w:ascii="Cambria Math" w:eastAsia="Cambria Math" w:hAnsi="Cambria Math" w:cs="Cambria Math"/>
                                <w:sz w:val="20"/>
                                <w:szCs w:val="20"/>
                              </w:rPr>
                              <m:t>k</m:t>
                            </m:r>
                          </m:sub>
                        </m:sSub>
                      </m:sub>
                    </m:sSub>
                  </m:den>
                </m:f>
                <m:r>
                  <w:rPr>
                    <w:rFonts w:ascii="Cambria Math" w:eastAsia="Cambria Math" w:hAnsi="Cambria Math" w:cs="Cambria Math"/>
                    <w:sz w:val="20"/>
                    <w:szCs w:val="20"/>
                  </w:rPr>
                  <m:t xml:space="preserve"> </m:t>
                </m:r>
              </m:oMath>
            </m:oMathPara>
          </w:p>
        </w:tc>
        <w:tc>
          <w:tcPr>
            <w:tcW w:w="1275" w:type="dxa"/>
          </w:tcPr>
          <w:p w14:paraId="25269CBD" w14:textId="77777777" w:rsidR="006971F4" w:rsidRDefault="007065EF">
            <w:pPr>
              <w:jc w:val="right"/>
              <w:rPr>
                <w:sz w:val="20"/>
                <w:szCs w:val="20"/>
              </w:rPr>
            </w:pPr>
            <w:r>
              <w:rPr>
                <w:sz w:val="20"/>
                <w:szCs w:val="20"/>
              </w:rPr>
              <w:t>(8)</w:t>
            </w:r>
          </w:p>
        </w:tc>
      </w:tr>
    </w:tbl>
    <w:p w14:paraId="24B22857" w14:textId="77777777" w:rsidR="006971F4" w:rsidRDefault="006971F4">
      <w:pPr>
        <w:ind w:firstLine="284"/>
        <w:jc w:val="both"/>
        <w:rPr>
          <w:sz w:val="20"/>
          <w:szCs w:val="20"/>
        </w:rPr>
      </w:pPr>
    </w:p>
    <w:p w14:paraId="61C2550A" w14:textId="77777777" w:rsidR="006971F4" w:rsidRDefault="007065EF">
      <w:pPr>
        <w:ind w:firstLine="284"/>
        <w:jc w:val="both"/>
        <w:rPr>
          <w:sz w:val="20"/>
          <w:szCs w:val="20"/>
        </w:rPr>
      </w:pPr>
      <w:r>
        <w:rPr>
          <w:sz w:val="20"/>
          <w:szCs w:val="20"/>
        </w:rPr>
        <w:t>Each pairwise represents the degree to which one alternative is preferred over another on a [0,1] scale:</w:t>
      </w:r>
    </w:p>
    <w:p w14:paraId="77454CC0" w14:textId="77777777" w:rsidR="006971F4" w:rsidRDefault="006971F4">
      <w:pPr>
        <w:jc w:val="both"/>
        <w:rPr>
          <w:sz w:val="20"/>
          <w:szCs w:val="20"/>
        </w:rPr>
      </w:pPr>
    </w:p>
    <w:p w14:paraId="389E6613" w14:textId="77777777" w:rsidR="006971F4" w:rsidRDefault="007065EF">
      <w:pPr>
        <w:jc w:val="both"/>
        <w:rPr>
          <w:sz w:val="20"/>
          <w:szCs w:val="20"/>
        </w:rPr>
      </w:pPr>
      <w:r>
        <w:rPr>
          <w:sz w:val="20"/>
          <w:szCs w:val="20"/>
        </w:rPr>
        <w:t>Values &gt; 0.5 indicate preference,</w:t>
      </w:r>
    </w:p>
    <w:p w14:paraId="2FBEB85A" w14:textId="77777777" w:rsidR="006971F4" w:rsidRDefault="007065EF">
      <w:pPr>
        <w:jc w:val="both"/>
        <w:rPr>
          <w:sz w:val="20"/>
          <w:szCs w:val="20"/>
        </w:rPr>
      </w:pPr>
      <w:r>
        <w:rPr>
          <w:sz w:val="20"/>
          <w:szCs w:val="20"/>
        </w:rPr>
        <w:t>Values &lt; 0.5 indicate the opposite,</w:t>
      </w:r>
    </w:p>
    <w:p w14:paraId="42B3192E" w14:textId="77777777" w:rsidR="006971F4" w:rsidRDefault="007065EF">
      <w:pPr>
        <w:jc w:val="both"/>
        <w:rPr>
          <w:sz w:val="20"/>
          <w:szCs w:val="20"/>
        </w:rPr>
      </w:pPr>
      <w:r>
        <w:rPr>
          <w:sz w:val="20"/>
          <w:szCs w:val="20"/>
        </w:rPr>
        <w:t>Values = 0.5 indicate indifference.</w:t>
      </w:r>
    </w:p>
    <w:p w14:paraId="6BD9D44C" w14:textId="77777777" w:rsidR="006971F4" w:rsidRDefault="006971F4">
      <w:pPr>
        <w:jc w:val="both"/>
        <w:rPr>
          <w:i/>
          <w:iCs/>
          <w:sz w:val="20"/>
          <w:szCs w:val="20"/>
        </w:rPr>
      </w:pPr>
    </w:p>
    <w:p w14:paraId="1EB2589B" w14:textId="77777777" w:rsidR="006971F4" w:rsidRDefault="007065EF">
      <w:pPr>
        <w:jc w:val="both"/>
        <w:rPr>
          <w:i/>
          <w:iCs/>
          <w:sz w:val="20"/>
          <w:szCs w:val="20"/>
        </w:rPr>
      </w:pPr>
      <w:r>
        <w:rPr>
          <w:i/>
          <w:iCs/>
          <w:sz w:val="20"/>
          <w:szCs w:val="20"/>
        </w:rPr>
        <w:t>Step 8: Derivation of the Fuzzy Strict Preference Relation</w:t>
      </w:r>
    </w:p>
    <w:p w14:paraId="3AFDE27D" w14:textId="77777777" w:rsidR="006971F4" w:rsidRDefault="006971F4">
      <w:pPr>
        <w:pBdr>
          <w:top w:val="nil"/>
          <w:left w:val="nil"/>
          <w:bottom w:val="nil"/>
          <w:right w:val="nil"/>
          <w:between w:val="nil"/>
        </w:pBdr>
        <w:jc w:val="both"/>
        <w:rPr>
          <w:color w:val="000000"/>
          <w:sz w:val="20"/>
          <w:szCs w:val="20"/>
        </w:rPr>
      </w:pPr>
    </w:p>
    <w:p w14:paraId="38E6A762" w14:textId="77777777" w:rsidR="006971F4" w:rsidRDefault="007065EF">
      <w:pPr>
        <w:pBdr>
          <w:top w:val="nil"/>
          <w:left w:val="nil"/>
          <w:bottom w:val="nil"/>
          <w:right w:val="nil"/>
          <w:between w:val="nil"/>
        </w:pBdr>
        <w:ind w:firstLine="284"/>
        <w:jc w:val="both"/>
        <w:rPr>
          <w:color w:val="000000"/>
          <w:sz w:val="20"/>
          <w:szCs w:val="20"/>
        </w:rPr>
      </w:pPr>
      <w:bookmarkStart w:id="2" w:name="_heading=h.4la3qqqxtvje" w:colFirst="0" w:colLast="0"/>
      <w:bookmarkEnd w:id="2"/>
      <w:r>
        <w:rPr>
          <w:color w:val="000000"/>
          <w:sz w:val="20"/>
          <w:szCs w:val="20"/>
        </w:rPr>
        <w:t xml:space="preserve">The fuzzy preference relation is then converted into a fuzzy strict preference relation, which isolates the degree of strict dominance of one alternative over another by eliminating cases of indifference. This step refines the comparative analysis by focusing on decisive preferences only. Fuzzy preference relation denoted as </w:t>
      </w:r>
      <m:oMath>
        <m:r>
          <w:rPr>
            <w:rFonts w:ascii="Cambria Math" w:eastAsia="Cambria Math" w:hAnsi="Cambria Math" w:cs="Cambria Math"/>
            <w:color w:val="000000"/>
            <w:sz w:val="20"/>
            <w:szCs w:val="20"/>
          </w:rPr>
          <m:t>P</m:t>
        </m:r>
        <m:r>
          <w:rPr>
            <w:rFonts w:ascii="Cambria Math" w:eastAsia="Cambria Math" w:hAnsi="Cambria Math" w:cs="Cambria Math"/>
            <w:color w:val="000000"/>
            <w:sz w:val="20"/>
            <w:szCs w:val="20"/>
          </w:rPr>
          <m:t>=</m:t>
        </m:r>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m:t>
            </m:r>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p</m:t>
                </m:r>
              </m:e>
              <m:sub>
                <m:r>
                  <w:rPr>
                    <w:rFonts w:ascii="Cambria Math" w:eastAsia="Cambria Math" w:hAnsi="Cambria Math" w:cs="Cambria Math"/>
                    <w:color w:val="000000"/>
                    <w:sz w:val="20"/>
                    <w:szCs w:val="20"/>
                  </w:rPr>
                  <m:t>jk</m:t>
                </m:r>
              </m:sub>
            </m:sSub>
            <m:r>
              <w:rPr>
                <w:rFonts w:ascii="Cambria Math" w:eastAsia="Cambria Math" w:hAnsi="Cambria Math" w:cs="Cambria Math"/>
                <w:color w:val="000000"/>
                <w:sz w:val="20"/>
                <w:szCs w:val="20"/>
              </w:rPr>
              <m:t>)</m:t>
            </m:r>
          </m:e>
          <m:sub>
            <m:r>
              <w:rPr>
                <w:rFonts w:ascii="Cambria Math" w:eastAsia="Cambria Math" w:hAnsi="Cambria Math" w:cs="Cambria Math"/>
                <w:color w:val="000000"/>
                <w:sz w:val="20"/>
                <w:szCs w:val="20"/>
              </w:rPr>
              <m:t>m</m:t>
            </m:r>
            <m:r>
              <w:rPr>
                <w:rFonts w:ascii="Cambria Math" w:eastAsia="Cambria Math" w:hAnsi="Cambria Math" w:cs="Cambria Math"/>
                <w:color w:val="000000"/>
                <w:sz w:val="20"/>
                <w:szCs w:val="20"/>
              </w:rPr>
              <m:t>×</m:t>
            </m:r>
            <m:r>
              <w:rPr>
                <w:rFonts w:ascii="Cambria Math" w:eastAsia="Cambria Math" w:hAnsi="Cambria Math" w:cs="Cambria Math"/>
                <w:color w:val="000000"/>
                <w:sz w:val="20"/>
                <w:szCs w:val="20"/>
              </w:rPr>
              <m:t>n</m:t>
            </m:r>
          </m:sub>
        </m:sSub>
      </m:oMath>
      <w:r>
        <w:rPr>
          <w:color w:val="000000"/>
          <w:sz w:val="20"/>
          <w:szCs w:val="20"/>
        </w:rPr>
        <w:t xml:space="preserve">. According to </w:t>
      </w:r>
      <m:oMath>
        <m:r>
          <w:rPr>
            <w:rFonts w:ascii="Cambria Math" w:eastAsia="Cambria Math" w:hAnsi="Cambria Math" w:cs="Cambria Math"/>
            <w:color w:val="000000"/>
            <w:sz w:val="20"/>
            <w:szCs w:val="20"/>
          </w:rPr>
          <m:t>P</m:t>
        </m:r>
      </m:oMath>
      <w:r>
        <w:rPr>
          <w:color w:val="000000"/>
          <w:sz w:val="20"/>
          <w:szCs w:val="20"/>
        </w:rPr>
        <w:t xml:space="preserve">, the fuzzy strict preference relation is defined as </w:t>
      </w:r>
      <m:oMath>
        <m:sSup>
          <m:sSupPr>
            <m:ctrlPr>
              <w:rPr>
                <w:rFonts w:ascii="Cambria Math" w:eastAsia="Cambria Math" w:hAnsi="Cambria Math" w:cs="Cambria Math"/>
                <w:color w:val="000000"/>
                <w:sz w:val="20"/>
                <w:szCs w:val="20"/>
              </w:rPr>
            </m:ctrlPr>
          </m:sSupPr>
          <m:e>
            <m:r>
              <w:rPr>
                <w:rFonts w:ascii="Cambria Math" w:eastAsia="Cambria Math" w:hAnsi="Cambria Math" w:cs="Cambria Math"/>
                <w:color w:val="000000"/>
                <w:sz w:val="20"/>
                <w:szCs w:val="20"/>
              </w:rPr>
              <m:t>P</m:t>
            </m:r>
          </m:e>
          <m:sup>
            <m:r>
              <w:rPr>
                <w:rFonts w:ascii="Cambria Math" w:eastAsia="Cambria Math" w:hAnsi="Cambria Math" w:cs="Cambria Math"/>
                <w:color w:val="000000"/>
                <w:sz w:val="20"/>
                <w:szCs w:val="20"/>
              </w:rPr>
              <m:t>s</m:t>
            </m:r>
          </m:sup>
        </m:sSup>
        <m:r>
          <w:rPr>
            <w:rFonts w:ascii="Cambria Math" w:eastAsia="Cambria Math" w:hAnsi="Cambria Math" w:cs="Cambria Math"/>
            <w:color w:val="000000"/>
            <w:sz w:val="20"/>
            <w:szCs w:val="20"/>
          </w:rPr>
          <m:t>=</m:t>
        </m:r>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m:t>
            </m:r>
            <m:sSubSup>
              <m:sSubSupPr>
                <m:ctrlPr>
                  <w:rPr>
                    <w:rFonts w:ascii="Cambria Math" w:eastAsia="Cambria Math" w:hAnsi="Cambria Math" w:cs="Cambria Math"/>
                    <w:color w:val="000000"/>
                    <w:sz w:val="20"/>
                    <w:szCs w:val="20"/>
                  </w:rPr>
                </m:ctrlPr>
              </m:sSubSupPr>
              <m:e>
                <m:r>
                  <w:rPr>
                    <w:rFonts w:ascii="Cambria Math" w:eastAsia="Cambria Math" w:hAnsi="Cambria Math" w:cs="Cambria Math"/>
                    <w:color w:val="000000"/>
                    <w:sz w:val="20"/>
                    <w:szCs w:val="20"/>
                  </w:rPr>
                  <m:t>p</m:t>
                </m:r>
              </m:e>
              <m:sub>
                <m:r>
                  <w:rPr>
                    <w:rFonts w:ascii="Cambria Math" w:eastAsia="Cambria Math" w:hAnsi="Cambria Math" w:cs="Cambria Math"/>
                    <w:color w:val="000000"/>
                    <w:sz w:val="20"/>
                    <w:szCs w:val="20"/>
                  </w:rPr>
                  <m:t>jk</m:t>
                </m:r>
              </m:sub>
              <m:sup>
                <m:r>
                  <w:rPr>
                    <w:rFonts w:ascii="Cambria Math" w:eastAsia="Cambria Math" w:hAnsi="Cambria Math" w:cs="Cambria Math"/>
                    <w:color w:val="000000"/>
                    <w:sz w:val="20"/>
                    <w:szCs w:val="20"/>
                  </w:rPr>
                  <m:t>s</m:t>
                </m:r>
              </m:sup>
            </m:sSubSup>
            <m:r>
              <w:rPr>
                <w:rFonts w:ascii="Cambria Math" w:eastAsia="Cambria Math" w:hAnsi="Cambria Math" w:cs="Cambria Math"/>
                <w:color w:val="000000"/>
                <w:sz w:val="20"/>
                <w:szCs w:val="20"/>
              </w:rPr>
              <m:t>)</m:t>
            </m:r>
          </m:e>
          <m:sub>
            <m:r>
              <w:rPr>
                <w:rFonts w:ascii="Cambria Math" w:eastAsia="Cambria Math" w:hAnsi="Cambria Math" w:cs="Cambria Math"/>
                <w:color w:val="000000"/>
                <w:sz w:val="20"/>
                <w:szCs w:val="20"/>
              </w:rPr>
              <m:t>m</m:t>
            </m:r>
            <m:r>
              <w:rPr>
                <w:rFonts w:ascii="Cambria Math" w:eastAsia="Cambria Math" w:hAnsi="Cambria Math" w:cs="Cambria Math"/>
                <w:color w:val="000000"/>
                <w:sz w:val="20"/>
                <w:szCs w:val="20"/>
              </w:rPr>
              <m:t>×</m:t>
            </m:r>
            <m:r>
              <w:rPr>
                <w:rFonts w:ascii="Cambria Math" w:eastAsia="Cambria Math" w:hAnsi="Cambria Math" w:cs="Cambria Math"/>
                <w:color w:val="000000"/>
                <w:sz w:val="20"/>
                <w:szCs w:val="20"/>
              </w:rPr>
              <m:t>n</m:t>
            </m:r>
          </m:sub>
        </m:sSub>
      </m:oMath>
      <w:r>
        <w:rPr>
          <w:color w:val="000000"/>
          <w:sz w:val="20"/>
          <w:szCs w:val="20"/>
        </w:rPr>
        <w:t xml:space="preserve">, </w:t>
      </w:r>
    </w:p>
    <w:p w14:paraId="03B02981" w14:textId="77777777" w:rsidR="006971F4" w:rsidRDefault="007065EF">
      <w:pPr>
        <w:pBdr>
          <w:top w:val="nil"/>
          <w:left w:val="nil"/>
          <w:bottom w:val="nil"/>
          <w:right w:val="nil"/>
          <w:between w:val="nil"/>
        </w:pBdr>
        <w:jc w:val="both"/>
        <w:rPr>
          <w:color w:val="000000"/>
          <w:sz w:val="20"/>
          <w:szCs w:val="20"/>
        </w:rPr>
      </w:pPr>
      <w:r>
        <w:rPr>
          <w:color w:val="000000"/>
          <w:sz w:val="20"/>
          <w:szCs w:val="20"/>
        </w:rPr>
        <w:t>where</w:t>
      </w:r>
    </w:p>
    <w:p w14:paraId="1834F79B" w14:textId="77777777" w:rsidR="006971F4" w:rsidRDefault="006971F4">
      <w:pPr>
        <w:pBdr>
          <w:top w:val="nil"/>
          <w:left w:val="nil"/>
          <w:bottom w:val="nil"/>
          <w:right w:val="nil"/>
          <w:between w:val="nil"/>
        </w:pBdr>
        <w:jc w:val="both"/>
        <w:rPr>
          <w:color w:val="000000"/>
          <w:sz w:val="20"/>
          <w:szCs w:val="20"/>
        </w:rPr>
      </w:pPr>
    </w:p>
    <w:tbl>
      <w:tblPr>
        <w:tblStyle w:val="a8"/>
        <w:tblW w:w="9350" w:type="dxa"/>
        <w:tblBorders>
          <w:top w:val="nil"/>
          <w:left w:val="nil"/>
          <w:bottom w:val="nil"/>
          <w:right w:val="nil"/>
          <w:insideH w:val="nil"/>
          <w:insideV w:val="nil"/>
        </w:tblBorders>
        <w:tblLayout w:type="fixed"/>
        <w:tblLook w:val="0400" w:firstRow="0" w:lastRow="0" w:firstColumn="0" w:lastColumn="0" w:noHBand="0" w:noVBand="1"/>
      </w:tblPr>
      <w:tblGrid>
        <w:gridCol w:w="8075"/>
        <w:gridCol w:w="1275"/>
      </w:tblGrid>
      <w:tr w:rsidR="006971F4" w14:paraId="1F2DC215" w14:textId="77777777">
        <w:tc>
          <w:tcPr>
            <w:tcW w:w="8075" w:type="dxa"/>
          </w:tcPr>
          <w:p w14:paraId="430BC28F" w14:textId="77777777" w:rsidR="006971F4" w:rsidRDefault="007065EF">
            <w:pPr>
              <w:jc w:val="center"/>
              <w:rPr>
                <w:color w:val="000000"/>
              </w:rPr>
            </w:pPr>
            <m:oMathPara>
              <m:oMath>
                <m:sSubSup>
                  <m:sSubSupPr>
                    <m:ctrlPr>
                      <w:rPr>
                        <w:rFonts w:ascii="Cambria Math" w:eastAsia="Cambria Math" w:hAnsi="Cambria Math" w:cs="Cambria Math"/>
                        <w:color w:val="000000"/>
                        <w:sz w:val="20"/>
                        <w:szCs w:val="20"/>
                      </w:rPr>
                    </m:ctrlPr>
                  </m:sSubSupPr>
                  <m:e>
                    <m:r>
                      <w:rPr>
                        <w:rFonts w:ascii="Cambria Math" w:eastAsia="Cambria Math" w:hAnsi="Cambria Math" w:cs="Cambria Math"/>
                        <w:color w:val="000000"/>
                        <w:sz w:val="20"/>
                        <w:szCs w:val="20"/>
                      </w:rPr>
                      <m:t>p</m:t>
                    </m:r>
                  </m:e>
                  <m:sub>
                    <m:r>
                      <w:rPr>
                        <w:rFonts w:ascii="Cambria Math" w:eastAsia="Cambria Math" w:hAnsi="Cambria Math" w:cs="Cambria Math"/>
                        <w:color w:val="000000"/>
                        <w:sz w:val="20"/>
                        <w:szCs w:val="20"/>
                      </w:rPr>
                      <m:t>jk</m:t>
                    </m:r>
                  </m:sub>
                  <m:sup>
                    <m:r>
                      <w:rPr>
                        <w:rFonts w:ascii="Cambria Math" w:eastAsia="Cambria Math" w:hAnsi="Cambria Math" w:cs="Cambria Math"/>
                        <w:color w:val="000000"/>
                        <w:sz w:val="20"/>
                        <w:szCs w:val="20"/>
                      </w:rPr>
                      <m:t>s</m:t>
                    </m:r>
                  </m:sup>
                </m:sSubSup>
                <m:r>
                  <w:rPr>
                    <w:rFonts w:ascii="Cambria Math" w:eastAsia="Cambria Math" w:hAnsi="Cambria Math" w:cs="Cambria Math"/>
                    <w:color w:val="000000"/>
                    <w:sz w:val="20"/>
                    <w:szCs w:val="20"/>
                  </w:rPr>
                  <m:t xml:space="preserve">=  </m:t>
                </m:r>
                <m:r>
                  <w:rPr>
                    <w:color w:val="000000"/>
                  </w:rPr>
                  <m:t>{</m:t>
                </m:r>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p</m:t>
                    </m:r>
                  </m:e>
                  <m:sub>
                    <m:r>
                      <w:rPr>
                        <w:rFonts w:ascii="Cambria Math" w:eastAsia="Cambria Math" w:hAnsi="Cambria Math" w:cs="Cambria Math"/>
                        <w:color w:val="000000"/>
                        <w:sz w:val="20"/>
                        <w:szCs w:val="20"/>
                      </w:rPr>
                      <m:t>jk</m:t>
                    </m:r>
                  </m:sub>
                </m:sSub>
                <m:r>
                  <w:rPr>
                    <w:rFonts w:ascii="Cambria Math" w:eastAsia="Cambria Math" w:hAnsi="Cambria Math" w:cs="Cambria Math"/>
                    <w:color w:val="000000"/>
                    <w:sz w:val="20"/>
                    <w:szCs w:val="20"/>
                  </w:rPr>
                  <m:t>-</m:t>
                </m:r>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p</m:t>
                    </m:r>
                  </m:e>
                  <m:sub>
                    <m:r>
                      <w:rPr>
                        <w:rFonts w:ascii="Cambria Math" w:eastAsia="Cambria Math" w:hAnsi="Cambria Math" w:cs="Cambria Math"/>
                        <w:color w:val="000000"/>
                        <w:sz w:val="20"/>
                        <w:szCs w:val="20"/>
                      </w:rPr>
                      <m:t>kj</m:t>
                    </m:r>
                  </m:sub>
                </m:sSub>
                <m:r>
                  <w:rPr>
                    <w:rFonts w:ascii="Cambria Math" w:eastAsia="Cambria Math" w:hAnsi="Cambria Math" w:cs="Cambria Math"/>
                    <w:color w:val="000000"/>
                    <w:sz w:val="20"/>
                    <w:szCs w:val="20"/>
                  </w:rPr>
                  <m:t xml:space="preserve"> ,           </m:t>
                </m:r>
                <m:r>
                  <w:rPr>
                    <w:rFonts w:ascii="Cambria Math" w:eastAsia="Cambria Math" w:hAnsi="Cambria Math" w:cs="Cambria Math"/>
                    <w:color w:val="000000"/>
                    <w:sz w:val="20"/>
                    <w:szCs w:val="20"/>
                  </w:rPr>
                  <m:t>w</m:t>
                </m:r>
                <m:r>
                  <w:rPr>
                    <w:rFonts w:ascii="Cambria Math" w:eastAsia="Cambria Math" w:hAnsi="Cambria Math" w:cs="Cambria Math"/>
                    <w:color w:val="000000"/>
                    <w:sz w:val="20"/>
                    <w:szCs w:val="20"/>
                  </w:rPr>
                  <m:t>h</m:t>
                </m:r>
                <m:r>
                  <w:rPr>
                    <w:rFonts w:ascii="Cambria Math" w:eastAsia="Cambria Math" w:hAnsi="Cambria Math" w:cs="Cambria Math"/>
                    <w:color w:val="000000"/>
                    <w:sz w:val="20"/>
                    <w:szCs w:val="20"/>
                  </w:rPr>
                  <m:t>en</m:t>
                </m:r>
                <m:r>
                  <w:rPr>
                    <w:rFonts w:ascii="Cambria Math" w:eastAsia="Cambria Math" w:hAnsi="Cambria Math" w:cs="Cambria Math"/>
                    <w:color w:val="000000"/>
                    <w:sz w:val="20"/>
                    <w:szCs w:val="20"/>
                  </w:rPr>
                  <m:t xml:space="preserve">      </m:t>
                </m:r>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p</m:t>
                    </m:r>
                  </m:e>
                  <m:sub>
                    <m:r>
                      <w:rPr>
                        <w:rFonts w:ascii="Cambria Math" w:eastAsia="Cambria Math" w:hAnsi="Cambria Math" w:cs="Cambria Math"/>
                        <w:color w:val="000000"/>
                        <w:sz w:val="20"/>
                        <w:szCs w:val="20"/>
                      </w:rPr>
                      <m:t>jk</m:t>
                    </m:r>
                  </m:sub>
                </m:sSub>
                <m:r>
                  <w:rPr>
                    <w:rFonts w:ascii="Cambria Math" w:eastAsia="Cambria Math" w:hAnsi="Cambria Math" w:cs="Cambria Math"/>
                    <w:color w:val="000000"/>
                    <w:sz w:val="20"/>
                    <w:szCs w:val="20"/>
                  </w:rPr>
                  <m:t xml:space="preserve">≥ </m:t>
                </m:r>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p</m:t>
                    </m:r>
                  </m:e>
                  <m:sub>
                    <m:r>
                      <w:rPr>
                        <w:rFonts w:ascii="Cambria Math" w:eastAsia="Cambria Math" w:hAnsi="Cambria Math" w:cs="Cambria Math"/>
                        <w:color w:val="000000"/>
                        <w:sz w:val="20"/>
                        <w:szCs w:val="20"/>
                      </w:rPr>
                      <m:t>kj</m:t>
                    </m:r>
                  </m:sub>
                </m:sSub>
                <m:r>
                  <w:rPr>
                    <w:rFonts w:ascii="Cambria Math" w:eastAsia="Cambria Math" w:hAnsi="Cambria Math" w:cs="Cambria Math"/>
                    <w:color w:val="000000"/>
                    <w:sz w:val="20"/>
                    <w:szCs w:val="20"/>
                  </w:rPr>
                  <m:t xml:space="preserve"> </m:t>
                </m:r>
                <m:r>
                  <w:rPr>
                    <w:color w:val="000000"/>
                  </w:rPr>
                  <m:t xml:space="preserve"> </m:t>
                </m:r>
                <m:r>
                  <w:rPr>
                    <w:rFonts w:ascii="Cambria Math" w:eastAsia="Cambria Math" w:hAnsi="Cambria Math" w:cs="Cambria Math"/>
                    <w:color w:val="000000"/>
                    <w:sz w:val="20"/>
                    <w:szCs w:val="20"/>
                  </w:rPr>
                  <m:t xml:space="preserve">0 ,            </m:t>
                </m:r>
                <m:r>
                  <w:rPr>
                    <w:rFonts w:ascii="Cambria Math" w:eastAsia="Cambria Math" w:hAnsi="Cambria Math" w:cs="Cambria Math"/>
                    <w:color w:val="000000"/>
                    <w:sz w:val="20"/>
                    <w:szCs w:val="20"/>
                  </w:rPr>
                  <m:t>ot</m:t>
                </m:r>
                <m:r>
                  <w:rPr>
                    <w:rFonts w:ascii="Cambria Math" w:eastAsia="Cambria Math" w:hAnsi="Cambria Math" w:cs="Cambria Math"/>
                    <w:color w:val="000000"/>
                    <w:sz w:val="20"/>
                    <w:szCs w:val="20"/>
                  </w:rPr>
                  <m:t>h</m:t>
                </m:r>
                <m:r>
                  <w:rPr>
                    <w:rFonts w:ascii="Cambria Math" w:eastAsia="Cambria Math" w:hAnsi="Cambria Math" w:cs="Cambria Math"/>
                    <w:color w:val="000000"/>
                    <w:sz w:val="20"/>
                    <w:szCs w:val="20"/>
                  </w:rPr>
                  <m:t>erwise</m:t>
                </m:r>
                <m:r>
                  <w:rPr>
                    <w:rFonts w:ascii="Cambria Math" w:eastAsia="Cambria Math" w:hAnsi="Cambria Math" w:cs="Cambria Math"/>
                    <w:color w:val="000000"/>
                    <w:sz w:val="20"/>
                    <w:szCs w:val="20"/>
                  </w:rPr>
                  <m:t>.</m:t>
                </m:r>
                <m:r>
                  <w:rPr>
                    <w:color w:val="000000"/>
                  </w:rPr>
                  <m:t xml:space="preserve"> </m:t>
                </m:r>
              </m:oMath>
            </m:oMathPara>
          </w:p>
        </w:tc>
        <w:tc>
          <w:tcPr>
            <w:tcW w:w="1275" w:type="dxa"/>
          </w:tcPr>
          <w:p w14:paraId="3533CC34" w14:textId="77777777" w:rsidR="006971F4" w:rsidRDefault="007065EF">
            <w:pPr>
              <w:jc w:val="right"/>
              <w:rPr>
                <w:sz w:val="20"/>
                <w:szCs w:val="20"/>
              </w:rPr>
            </w:pPr>
            <w:r>
              <w:rPr>
                <w:sz w:val="20"/>
                <w:szCs w:val="20"/>
              </w:rPr>
              <w:t>(9)</w:t>
            </w:r>
          </w:p>
        </w:tc>
      </w:tr>
    </w:tbl>
    <w:p w14:paraId="397B5547" w14:textId="77777777" w:rsidR="006971F4" w:rsidRDefault="006971F4">
      <w:pPr>
        <w:jc w:val="both"/>
        <w:rPr>
          <w:i/>
          <w:iCs/>
          <w:sz w:val="20"/>
          <w:szCs w:val="20"/>
        </w:rPr>
      </w:pPr>
    </w:p>
    <w:p w14:paraId="4B8360BB" w14:textId="77777777" w:rsidR="006971F4" w:rsidRDefault="007065EF">
      <w:pPr>
        <w:jc w:val="both"/>
        <w:rPr>
          <w:i/>
          <w:iCs/>
          <w:sz w:val="20"/>
          <w:szCs w:val="20"/>
        </w:rPr>
      </w:pPr>
      <w:r>
        <w:rPr>
          <w:i/>
          <w:iCs/>
          <w:sz w:val="20"/>
          <w:szCs w:val="20"/>
        </w:rPr>
        <w:t>Step 9: Ranking via Non-Dominated Degree</w:t>
      </w:r>
    </w:p>
    <w:p w14:paraId="0A22BAE8" w14:textId="77777777" w:rsidR="006971F4" w:rsidRDefault="006971F4">
      <w:pPr>
        <w:jc w:val="both"/>
        <w:rPr>
          <w:sz w:val="20"/>
          <w:szCs w:val="20"/>
        </w:rPr>
      </w:pPr>
    </w:p>
    <w:p w14:paraId="71690901" w14:textId="77777777" w:rsidR="006971F4" w:rsidRDefault="007065EF">
      <w:pPr>
        <w:ind w:firstLine="284"/>
        <w:jc w:val="both"/>
        <w:rPr>
          <w:sz w:val="20"/>
          <w:szCs w:val="20"/>
        </w:rPr>
      </w:pPr>
      <w:r>
        <w:rPr>
          <w:sz w:val="20"/>
          <w:szCs w:val="20"/>
        </w:rPr>
        <w:t>In the final stage, the non-dominated degree of each alternative is calculated to measure the extent to which it is not outperformed by others. The ranking procedure is carried out iteratively. First, the alternative with the highest non-dominated degree is identified and assigned the top rank. Next, this alternative is removed from the preference matrix, and the non-dominated degrees of the remaining alternatives are recalculated. The process is repeated until all alternatives are ranked. The alternative s</w:t>
      </w:r>
      <w:r>
        <w:rPr>
          <w:sz w:val="20"/>
          <w:szCs w:val="20"/>
        </w:rPr>
        <w:t>elected in the first iteration, with the highest non-dominated degree, is considered the optimal choice.</w:t>
      </w:r>
    </w:p>
    <w:p w14:paraId="658B6A71" w14:textId="77777777" w:rsidR="006971F4" w:rsidRDefault="006971F4">
      <w:pPr>
        <w:ind w:firstLine="284"/>
        <w:jc w:val="both"/>
        <w:rPr>
          <w:sz w:val="20"/>
          <w:szCs w:val="20"/>
        </w:rPr>
      </w:pPr>
    </w:p>
    <w:p w14:paraId="307F4D4A" w14:textId="77777777" w:rsidR="006971F4" w:rsidRDefault="007065EF">
      <w:pPr>
        <w:jc w:val="both"/>
        <w:rPr>
          <w:i/>
          <w:iCs/>
          <w:sz w:val="20"/>
          <w:szCs w:val="20"/>
        </w:rPr>
      </w:pPr>
      <w:r>
        <w:rPr>
          <w:i/>
          <w:iCs/>
          <w:sz w:val="20"/>
          <w:szCs w:val="20"/>
        </w:rPr>
        <w:t>Root Mean Square Error (RMSE) Calculation</w:t>
      </w:r>
    </w:p>
    <w:p w14:paraId="1EC4DA5D" w14:textId="77777777" w:rsidR="006971F4" w:rsidRDefault="007065EF">
      <w:pPr>
        <w:jc w:val="center"/>
        <w:rPr>
          <w:rFonts w:ascii="Cambria Math" w:eastAsia="Cambria Math" w:hAnsi="Cambria Math" w:cs="Cambria Math"/>
          <w:sz w:val="20"/>
          <w:szCs w:val="20"/>
        </w:rPr>
      </w:pPr>
      <m:oMathPara>
        <m:oMath>
          <m:r>
            <w:rPr>
              <w:rFonts w:ascii="Cambria Math" w:eastAsia="Cambria Math" w:hAnsi="Cambria Math" w:cs="Cambria Math"/>
              <w:sz w:val="20"/>
              <w:szCs w:val="20"/>
            </w:rPr>
            <m:t>RMSE</m:t>
          </m:r>
          <m:r>
            <w:rPr>
              <w:rFonts w:ascii="Cambria Math" w:eastAsia="Cambria Math" w:hAnsi="Cambria Math" w:cs="Cambria Math"/>
              <w:sz w:val="20"/>
              <w:szCs w:val="20"/>
            </w:rPr>
            <m:t>=</m:t>
          </m:r>
          <m:rad>
            <m:radPr>
              <m:degHide m:val="1"/>
              <m:ctrlPr>
                <w:rPr>
                  <w:rFonts w:ascii="Cambria Math" w:eastAsia="Cambria Math" w:hAnsi="Cambria Math" w:cs="Cambria Math"/>
                  <w:sz w:val="20"/>
                  <w:szCs w:val="20"/>
                </w:rPr>
              </m:ctrlPr>
            </m:radPr>
            <m:deg/>
            <m:e>
              <m:f>
                <m:fPr>
                  <m:ctrlPr>
                    <w:rPr>
                      <w:rFonts w:ascii="Cambria Math" w:eastAsia="Cambria Math" w:hAnsi="Cambria Math" w:cs="Cambria Math"/>
                      <w:sz w:val="20"/>
                      <w:szCs w:val="20"/>
                    </w:rPr>
                  </m:ctrlPr>
                </m:fPr>
                <m:num>
                  <m:r>
                    <w:rPr>
                      <w:rFonts w:ascii="Cambria Math" w:eastAsia="Cambria Math" w:hAnsi="Cambria Math" w:cs="Cambria Math"/>
                      <w:sz w:val="20"/>
                      <w:szCs w:val="20"/>
                    </w:rPr>
                    <m:t>1</m:t>
                  </m:r>
                </m:num>
                <m:den>
                  <m:r>
                    <w:rPr>
                      <w:rFonts w:ascii="Cambria Math" w:eastAsia="Cambria Math" w:hAnsi="Cambria Math" w:cs="Cambria Math"/>
                      <w:sz w:val="20"/>
                      <w:szCs w:val="20"/>
                    </w:rPr>
                    <m:t>n</m:t>
                  </m:r>
                </m:den>
              </m:f>
              <m:nary>
                <m:naryPr>
                  <m:chr m:val="∑"/>
                  <m:ctrlPr>
                    <w:rPr>
                      <w:rFonts w:ascii="Cambria Math" w:eastAsia="Cambria Math" w:hAnsi="Cambria Math" w:cs="Cambria Math"/>
                      <w:sz w:val="20"/>
                      <w:szCs w:val="20"/>
                    </w:rPr>
                  </m:ctrlPr>
                </m:naryPr>
                <m:sub>
                  <m:r>
                    <w:rPr>
                      <w:rFonts w:ascii="Cambria Math" w:eastAsia="Cambria Math" w:hAnsi="Cambria Math" w:cs="Cambria Math"/>
                      <w:sz w:val="20"/>
                      <w:szCs w:val="20"/>
                    </w:rPr>
                    <m:t>i</m:t>
                  </m:r>
                  <m:r>
                    <w:rPr>
                      <w:rFonts w:ascii="Cambria Math" w:eastAsia="Cambria Math" w:hAnsi="Cambria Math" w:cs="Cambria Math"/>
                      <w:sz w:val="20"/>
                      <w:szCs w:val="20"/>
                    </w:rPr>
                    <m:t>=1</m:t>
                  </m:r>
                </m:sub>
                <m:sup>
                  <m:r>
                    <w:rPr>
                      <w:rFonts w:ascii="Cambria Math" w:eastAsia="Cambria Math" w:hAnsi="Cambria Math" w:cs="Cambria Math"/>
                      <w:sz w:val="20"/>
                      <w:szCs w:val="20"/>
                    </w:rPr>
                    <m:t>n</m:t>
                  </m:r>
                </m:sup>
                <m:e/>
              </m:nary>
              <m:sSup>
                <m:sSupPr>
                  <m:ctrlPr>
                    <w:rPr>
                      <w:rFonts w:ascii="Cambria Math" w:eastAsia="Cambria Math" w:hAnsi="Cambria Math" w:cs="Cambria Math"/>
                      <w:sz w:val="20"/>
                      <w:szCs w:val="20"/>
                    </w:rPr>
                  </m:ctrlPr>
                </m:sSupPr>
                <m:e>
                  <m:d>
                    <m:dPr>
                      <m:ctrlPr>
                        <w:rPr>
                          <w:rFonts w:ascii="Cambria Math" w:eastAsia="Cambria Math" w:hAnsi="Cambria Math" w:cs="Cambria Math"/>
                          <w:sz w:val="20"/>
                          <w:szCs w:val="20"/>
                        </w:rPr>
                      </m:ctrlPr>
                    </m:dPr>
                    <m:e>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R</m:t>
                          </m:r>
                        </m:e>
                        <m:sub>
                          <m:r>
                            <w:rPr>
                              <w:rFonts w:ascii="Cambria Math" w:eastAsia="Cambria Math" w:hAnsi="Cambria Math" w:cs="Cambria Math"/>
                              <w:sz w:val="20"/>
                              <w:szCs w:val="20"/>
                            </w:rPr>
                            <m:t>i</m:t>
                          </m:r>
                        </m:sub>
                        <m:sup>
                          <m:r>
                            <w:rPr>
                              <w:rFonts w:ascii="Cambria Math" w:eastAsia="Cambria Math" w:hAnsi="Cambria Math" w:cs="Cambria Math"/>
                              <w:sz w:val="20"/>
                              <w:szCs w:val="20"/>
                            </w:rPr>
                            <m:t>pred</m:t>
                          </m:r>
                        </m:sup>
                      </m:sSubSup>
                      <m:r>
                        <w:rPr>
                          <w:rFonts w:ascii="Cambria Math" w:eastAsia="Cambria Math" w:hAnsi="Cambria Math" w:cs="Cambria Math"/>
                          <w:sz w:val="20"/>
                          <w:szCs w:val="20"/>
                        </w:rPr>
                        <m:t>-</m:t>
                      </m:r>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R</m:t>
                          </m:r>
                        </m:e>
                        <m:sub>
                          <m:r>
                            <w:rPr>
                              <w:rFonts w:ascii="Cambria Math" w:eastAsia="Cambria Math" w:hAnsi="Cambria Math" w:cs="Cambria Math"/>
                              <w:sz w:val="20"/>
                              <w:szCs w:val="20"/>
                            </w:rPr>
                            <m:t>i</m:t>
                          </m:r>
                        </m:sub>
                        <m:sup>
                          <m:r>
                            <w:rPr>
                              <w:rFonts w:ascii="Cambria Math" w:eastAsia="Cambria Math" w:hAnsi="Cambria Math" w:cs="Cambria Math"/>
                              <w:sz w:val="20"/>
                              <w:szCs w:val="20"/>
                            </w:rPr>
                            <m:t>actual</m:t>
                          </m:r>
                        </m:sup>
                      </m:sSubSup>
                    </m:e>
                  </m:d>
                </m:e>
                <m:sup>
                  <m:r>
                    <w:rPr>
                      <w:rFonts w:ascii="Cambria Math" w:eastAsia="Cambria Math" w:hAnsi="Cambria Math" w:cs="Cambria Math"/>
                      <w:sz w:val="20"/>
                      <w:szCs w:val="20"/>
                    </w:rPr>
                    <m:t>2</m:t>
                  </m:r>
                </m:sup>
              </m:sSup>
            </m:e>
          </m:rad>
        </m:oMath>
      </m:oMathPara>
    </w:p>
    <w:p w14:paraId="00F9EA65" w14:textId="77777777" w:rsidR="006971F4" w:rsidRDefault="007065EF">
      <w:pPr>
        <w:jc w:val="both"/>
        <w:rPr>
          <w:sz w:val="20"/>
          <w:szCs w:val="20"/>
        </w:rPr>
      </w:pPr>
      <w:r>
        <w:rPr>
          <w:sz w:val="20"/>
          <w:szCs w:val="20"/>
        </w:rPr>
        <w:t xml:space="preserve">Where </w:t>
      </w:r>
      <m:oMath>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R</m:t>
            </m:r>
          </m:e>
          <m:sub>
            <m:r>
              <w:rPr>
                <w:rFonts w:ascii="Cambria Math" w:eastAsia="Cambria Math" w:hAnsi="Cambria Math" w:cs="Cambria Math"/>
                <w:sz w:val="20"/>
                <w:szCs w:val="20"/>
              </w:rPr>
              <m:t>i</m:t>
            </m:r>
          </m:sub>
          <m:sup>
            <m:r>
              <w:rPr>
                <w:rFonts w:ascii="Cambria Math" w:eastAsia="Cambria Math" w:hAnsi="Cambria Math" w:cs="Cambria Math"/>
                <w:sz w:val="20"/>
                <w:szCs w:val="20"/>
              </w:rPr>
              <m:t>pred</m:t>
            </m:r>
          </m:sup>
        </m:sSubSup>
      </m:oMath>
      <w:r>
        <w:rPr>
          <w:sz w:val="20"/>
          <w:szCs w:val="20"/>
        </w:rPr>
        <w:t xml:space="preserve"> and </w:t>
      </w:r>
      <m:oMath>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R</m:t>
            </m:r>
          </m:e>
          <m:sub>
            <m:r>
              <w:rPr>
                <w:rFonts w:ascii="Cambria Math" w:eastAsia="Cambria Math" w:hAnsi="Cambria Math" w:cs="Cambria Math"/>
                <w:sz w:val="20"/>
                <w:szCs w:val="20"/>
              </w:rPr>
              <m:t>i</m:t>
            </m:r>
          </m:sub>
          <m:sup>
            <m:r>
              <w:rPr>
                <w:rFonts w:ascii="Cambria Math" w:eastAsia="Cambria Math" w:hAnsi="Cambria Math" w:cs="Cambria Math"/>
                <w:sz w:val="20"/>
                <w:szCs w:val="20"/>
              </w:rPr>
              <m:t>actual</m:t>
            </m:r>
          </m:sup>
        </m:sSubSup>
      </m:oMath>
      <w:r>
        <w:rPr>
          <w:sz w:val="20"/>
          <w:szCs w:val="20"/>
        </w:rPr>
        <w:t xml:space="preserve"> are the predicted and actual return-on-investment (ROI) rankings of fund </w:t>
      </w:r>
      <m:oMath>
        <m:r>
          <w:rPr>
            <w:rFonts w:ascii="Cambria Math" w:eastAsia="Cambria Math" w:hAnsi="Cambria Math" w:cs="Cambria Math"/>
            <w:sz w:val="20"/>
            <w:szCs w:val="20"/>
          </w:rPr>
          <m:t>i</m:t>
        </m:r>
      </m:oMath>
      <w:r>
        <w:rPr>
          <w:sz w:val="20"/>
          <w:szCs w:val="20"/>
        </w:rPr>
        <w:t xml:space="preserve">, and </w:t>
      </w:r>
      <m:oMath>
        <m:r>
          <w:rPr>
            <w:rFonts w:ascii="Cambria Math" w:eastAsia="Cambria Math" w:hAnsi="Cambria Math" w:cs="Cambria Math"/>
            <w:sz w:val="20"/>
            <w:szCs w:val="20"/>
          </w:rPr>
          <m:t>n</m:t>
        </m:r>
      </m:oMath>
      <w:r>
        <w:rPr>
          <w:sz w:val="20"/>
          <w:szCs w:val="20"/>
        </w:rPr>
        <w:t xml:space="preserve"> is the number of funds. </w:t>
      </w:r>
    </w:p>
    <w:p w14:paraId="0EA1D88C" w14:textId="77777777" w:rsidR="006971F4" w:rsidRDefault="007065EF">
      <w:pPr>
        <w:pStyle w:val="Heading1"/>
      </w:pPr>
      <w:r>
        <w:t>RESULTS AND DISCUSSION</w:t>
      </w:r>
    </w:p>
    <w:p w14:paraId="71FD1AA5" w14:textId="77777777" w:rsidR="006971F4" w:rsidRDefault="007065EF">
      <w:pPr>
        <w:ind w:firstLine="284"/>
        <w:jc w:val="both"/>
        <w:rPr>
          <w:sz w:val="20"/>
          <w:szCs w:val="20"/>
        </w:rPr>
      </w:pPr>
      <w:r>
        <w:rPr>
          <w:sz w:val="20"/>
          <w:szCs w:val="20"/>
        </w:rPr>
        <w:t xml:space="preserve">To validate the proposed NIFPR model, a case study was conducted on the performance evaluation of 15 asset funds listed on the EPF </w:t>
      </w:r>
      <w:r>
        <w:rPr>
          <w:i/>
          <w:iCs/>
          <w:sz w:val="20"/>
          <w:szCs w:val="20"/>
        </w:rPr>
        <w:t>i</w:t>
      </w:r>
      <w:r>
        <w:rPr>
          <w:sz w:val="20"/>
          <w:szCs w:val="20"/>
        </w:rPr>
        <w:t>-Invest platform. The selected funds are Shariah-compliant fixed-income instruments, which play an increasingly important role in Islamic portfolio diversification. The evaluation was carried out by three domain experts using six (6) interdependent financial criteria identified from the literature and industry consultation: fund size (RM million), leverage ratio (debt-to-asset ratio), tenor (years), sales growth (%), return on assets (ROA, %), and cash flow (RM million).</w:t>
      </w:r>
    </w:p>
    <w:p w14:paraId="15F42298" w14:textId="77777777" w:rsidR="006971F4" w:rsidRDefault="006971F4">
      <w:pPr>
        <w:ind w:firstLine="284"/>
        <w:jc w:val="both"/>
        <w:rPr>
          <w:sz w:val="20"/>
          <w:szCs w:val="20"/>
        </w:rPr>
      </w:pPr>
    </w:p>
    <w:p w14:paraId="51DFD9A4" w14:textId="77777777" w:rsidR="006971F4" w:rsidRDefault="007065EF">
      <w:pPr>
        <w:ind w:firstLine="284"/>
        <w:jc w:val="both"/>
        <w:rPr>
          <w:sz w:val="20"/>
          <w:szCs w:val="20"/>
        </w:rPr>
      </w:pPr>
      <w:r>
        <w:rPr>
          <w:sz w:val="20"/>
          <w:szCs w:val="20"/>
        </w:rPr>
        <w:t>The ranking results of the IFPR, NIFPR, and Robust NIFPR models in comparison with the actual ROI rankings of the 15 funds are presented in Table 2. Among the models, the Robust NIFPR showed the closest alignment with actual ROI, as indicated by its smallest RMSE value (5.05), compared with NIFPR (5.20) and IFPR (6.46), as reported in Table 3. Lower RMSE values indicate closer alignment with actual rankings, reflecting the robustness and reliability of each model in portfolio evaluation.</w:t>
      </w:r>
    </w:p>
    <w:p w14:paraId="13AD39CE" w14:textId="77777777" w:rsidR="006971F4" w:rsidRDefault="006971F4">
      <w:pPr>
        <w:ind w:firstLine="284"/>
        <w:jc w:val="both"/>
        <w:rPr>
          <w:sz w:val="20"/>
          <w:szCs w:val="20"/>
        </w:rPr>
      </w:pPr>
    </w:p>
    <w:p w14:paraId="778F436A" w14:textId="77777777" w:rsidR="006971F4" w:rsidRDefault="007065EF">
      <w:pPr>
        <w:ind w:firstLine="284"/>
        <w:jc w:val="both"/>
        <w:rPr>
          <w:sz w:val="20"/>
          <w:szCs w:val="20"/>
        </w:rPr>
      </w:pPr>
      <w:r>
        <w:rPr>
          <w:sz w:val="20"/>
          <w:szCs w:val="20"/>
        </w:rPr>
        <w:t>These findings indicate that the threefold advantage of the proposed model. Networked criteria modelling improved the realism of evaluations by capturing the interdependence among financial factors, while intuitionistic fuzzy logic enhanced the ability to represent uncertainty and hesitation in expert assessments. Furthermore, median-based normalization reduced sensitivity to extreme values, resulting in stable rankings even in the presence of outlier funds. From an investment decision-making perspective, t</w:t>
      </w:r>
      <w:r>
        <w:rPr>
          <w:sz w:val="20"/>
          <w:szCs w:val="20"/>
        </w:rPr>
        <w:t>he model not only achieved higher statistical agreement with actual ROI but also generated interpretable rankings that can guide fund managers in portfolio allocation decisions.</w:t>
      </w:r>
    </w:p>
    <w:p w14:paraId="4E1A2075" w14:textId="77777777" w:rsidR="006971F4" w:rsidRDefault="007065EF">
      <w:pPr>
        <w:pBdr>
          <w:top w:val="nil"/>
          <w:left w:val="nil"/>
          <w:bottom w:val="nil"/>
          <w:right w:val="nil"/>
          <w:between w:val="nil"/>
        </w:pBdr>
        <w:spacing w:before="120"/>
        <w:jc w:val="center"/>
        <w:rPr>
          <w:color w:val="000000"/>
          <w:sz w:val="18"/>
          <w:szCs w:val="18"/>
        </w:rPr>
      </w:pPr>
      <w:r>
        <w:rPr>
          <w:b/>
          <w:bCs/>
          <w:color w:val="000000"/>
          <w:sz w:val="18"/>
          <w:szCs w:val="18"/>
        </w:rPr>
        <w:t>TABLE 2.</w:t>
      </w:r>
      <w:r>
        <w:rPr>
          <w:color w:val="000000"/>
          <w:sz w:val="18"/>
          <w:szCs w:val="18"/>
        </w:rPr>
        <w:t xml:space="preserve"> Rankings of 15 Shariah-compliant asset funds by actual ROI, IFPR, NIFPR, and Robust NIFPR models.</w:t>
      </w:r>
    </w:p>
    <w:tbl>
      <w:tblPr>
        <w:tblStyle w:val="a9"/>
        <w:tblW w:w="7035" w:type="dxa"/>
        <w:jc w:val="center"/>
        <w:tblLayout w:type="fixed"/>
        <w:tblLook w:val="0400" w:firstRow="0" w:lastRow="0" w:firstColumn="0" w:lastColumn="0" w:noHBand="0" w:noVBand="1"/>
      </w:tblPr>
      <w:tblGrid>
        <w:gridCol w:w="1396"/>
        <w:gridCol w:w="1581"/>
        <w:gridCol w:w="1211"/>
        <w:gridCol w:w="1211"/>
        <w:gridCol w:w="1636"/>
      </w:tblGrid>
      <w:tr w:rsidR="006971F4" w14:paraId="1799668B" w14:textId="77777777">
        <w:trPr>
          <w:trHeight w:val="210"/>
          <w:jc w:val="center"/>
        </w:trPr>
        <w:tc>
          <w:tcPr>
            <w:tcW w:w="1396" w:type="dxa"/>
            <w:tcBorders>
              <w:top w:val="single" w:sz="4" w:space="0" w:color="000000"/>
              <w:left w:val="nil"/>
              <w:bottom w:val="single" w:sz="4" w:space="0" w:color="000000"/>
              <w:right w:val="nil"/>
            </w:tcBorders>
            <w:vAlign w:val="center"/>
          </w:tcPr>
          <w:p w14:paraId="5B5C1885" w14:textId="77777777" w:rsidR="006971F4" w:rsidRDefault="007065EF">
            <w:pPr>
              <w:jc w:val="center"/>
              <w:rPr>
                <w:b/>
                <w:bCs/>
                <w:color w:val="000000"/>
                <w:sz w:val="18"/>
                <w:szCs w:val="18"/>
              </w:rPr>
            </w:pPr>
            <w:r>
              <w:rPr>
                <w:b/>
                <w:bCs/>
                <w:color w:val="000000"/>
                <w:sz w:val="18"/>
                <w:szCs w:val="18"/>
              </w:rPr>
              <w:t>Alternative</w:t>
            </w:r>
          </w:p>
        </w:tc>
        <w:tc>
          <w:tcPr>
            <w:tcW w:w="1581" w:type="dxa"/>
            <w:tcBorders>
              <w:top w:val="single" w:sz="4" w:space="0" w:color="000000"/>
              <w:left w:val="nil"/>
              <w:bottom w:val="single" w:sz="4" w:space="0" w:color="000000"/>
              <w:right w:val="nil"/>
            </w:tcBorders>
            <w:vAlign w:val="bottom"/>
          </w:tcPr>
          <w:p w14:paraId="7725955B" w14:textId="77777777" w:rsidR="006971F4" w:rsidRDefault="007065EF">
            <w:pPr>
              <w:jc w:val="center"/>
              <w:rPr>
                <w:b/>
                <w:bCs/>
                <w:color w:val="000000"/>
                <w:sz w:val="18"/>
                <w:szCs w:val="18"/>
              </w:rPr>
            </w:pPr>
            <w:r>
              <w:rPr>
                <w:b/>
                <w:bCs/>
                <w:color w:val="000000"/>
                <w:sz w:val="18"/>
                <w:szCs w:val="18"/>
              </w:rPr>
              <w:t>Actual ROI Ranking</w:t>
            </w:r>
          </w:p>
        </w:tc>
        <w:tc>
          <w:tcPr>
            <w:tcW w:w="1211" w:type="dxa"/>
            <w:tcBorders>
              <w:top w:val="single" w:sz="4" w:space="0" w:color="000000"/>
              <w:left w:val="nil"/>
              <w:bottom w:val="single" w:sz="4" w:space="0" w:color="000000"/>
              <w:right w:val="nil"/>
            </w:tcBorders>
          </w:tcPr>
          <w:p w14:paraId="77DFCB9A" w14:textId="77777777" w:rsidR="006971F4" w:rsidRDefault="007065EF">
            <w:pPr>
              <w:jc w:val="center"/>
              <w:rPr>
                <w:b/>
                <w:bCs/>
                <w:color w:val="000000"/>
                <w:sz w:val="18"/>
                <w:szCs w:val="18"/>
              </w:rPr>
            </w:pPr>
            <w:r>
              <w:rPr>
                <w:b/>
                <w:bCs/>
                <w:color w:val="000000"/>
                <w:sz w:val="18"/>
                <w:szCs w:val="18"/>
              </w:rPr>
              <w:t>IFPR Ranking</w:t>
            </w:r>
          </w:p>
        </w:tc>
        <w:tc>
          <w:tcPr>
            <w:tcW w:w="1211" w:type="dxa"/>
            <w:tcBorders>
              <w:top w:val="single" w:sz="4" w:space="0" w:color="000000"/>
              <w:left w:val="nil"/>
              <w:bottom w:val="single" w:sz="4" w:space="0" w:color="000000"/>
              <w:right w:val="nil"/>
            </w:tcBorders>
            <w:vAlign w:val="bottom"/>
          </w:tcPr>
          <w:p w14:paraId="5F92C369" w14:textId="77777777" w:rsidR="006971F4" w:rsidRDefault="007065EF">
            <w:pPr>
              <w:jc w:val="center"/>
              <w:rPr>
                <w:b/>
                <w:bCs/>
                <w:color w:val="000000"/>
                <w:sz w:val="18"/>
                <w:szCs w:val="18"/>
              </w:rPr>
            </w:pPr>
            <w:r>
              <w:rPr>
                <w:b/>
                <w:bCs/>
                <w:color w:val="000000"/>
                <w:sz w:val="18"/>
                <w:szCs w:val="18"/>
              </w:rPr>
              <w:t>NIFPR Ranking</w:t>
            </w:r>
          </w:p>
        </w:tc>
        <w:tc>
          <w:tcPr>
            <w:tcW w:w="1636" w:type="dxa"/>
            <w:tcBorders>
              <w:top w:val="single" w:sz="4" w:space="0" w:color="000000"/>
              <w:left w:val="nil"/>
              <w:bottom w:val="single" w:sz="4" w:space="0" w:color="000000"/>
              <w:right w:val="nil"/>
            </w:tcBorders>
            <w:vAlign w:val="bottom"/>
          </w:tcPr>
          <w:p w14:paraId="1C5F85B6" w14:textId="77777777" w:rsidR="006971F4" w:rsidRDefault="007065EF">
            <w:pPr>
              <w:jc w:val="center"/>
              <w:rPr>
                <w:b/>
                <w:bCs/>
                <w:color w:val="000000"/>
                <w:sz w:val="18"/>
                <w:szCs w:val="18"/>
              </w:rPr>
            </w:pPr>
            <w:r>
              <w:rPr>
                <w:b/>
                <w:bCs/>
                <w:color w:val="000000"/>
                <w:sz w:val="18"/>
                <w:szCs w:val="18"/>
              </w:rPr>
              <w:t>Robust NIFPR Ranking</w:t>
            </w:r>
          </w:p>
        </w:tc>
      </w:tr>
      <w:tr w:rsidR="006971F4" w14:paraId="43392AD9" w14:textId="77777777">
        <w:trPr>
          <w:trHeight w:val="210"/>
          <w:jc w:val="center"/>
        </w:trPr>
        <w:tc>
          <w:tcPr>
            <w:tcW w:w="1396" w:type="dxa"/>
            <w:tcBorders>
              <w:top w:val="nil"/>
              <w:left w:val="nil"/>
              <w:bottom w:val="nil"/>
              <w:right w:val="nil"/>
            </w:tcBorders>
            <w:vAlign w:val="bottom"/>
          </w:tcPr>
          <w:p w14:paraId="72FFAAA6" w14:textId="77777777" w:rsidR="006971F4" w:rsidRDefault="007065EF">
            <w:pPr>
              <w:jc w:val="center"/>
              <w:rPr>
                <w:color w:val="000000"/>
                <w:sz w:val="20"/>
                <w:szCs w:val="20"/>
              </w:rPr>
            </w:pPr>
            <w:r>
              <w:rPr>
                <w:color w:val="000000"/>
                <w:sz w:val="20"/>
                <w:szCs w:val="20"/>
              </w:rPr>
              <w:t>S1</w:t>
            </w:r>
          </w:p>
        </w:tc>
        <w:tc>
          <w:tcPr>
            <w:tcW w:w="1581" w:type="dxa"/>
            <w:tcBorders>
              <w:top w:val="nil"/>
              <w:left w:val="nil"/>
              <w:bottom w:val="nil"/>
              <w:right w:val="nil"/>
            </w:tcBorders>
            <w:vAlign w:val="bottom"/>
          </w:tcPr>
          <w:p w14:paraId="55429F6F" w14:textId="77777777" w:rsidR="006971F4" w:rsidRDefault="007065EF">
            <w:pPr>
              <w:jc w:val="center"/>
              <w:rPr>
                <w:color w:val="000000"/>
                <w:sz w:val="20"/>
                <w:szCs w:val="20"/>
              </w:rPr>
            </w:pPr>
            <w:r>
              <w:rPr>
                <w:color w:val="000000"/>
                <w:sz w:val="20"/>
                <w:szCs w:val="20"/>
              </w:rPr>
              <w:t>3</w:t>
            </w:r>
          </w:p>
        </w:tc>
        <w:tc>
          <w:tcPr>
            <w:tcW w:w="1211" w:type="dxa"/>
            <w:tcBorders>
              <w:top w:val="nil"/>
              <w:left w:val="nil"/>
              <w:bottom w:val="nil"/>
              <w:right w:val="nil"/>
            </w:tcBorders>
            <w:vAlign w:val="bottom"/>
          </w:tcPr>
          <w:p w14:paraId="77EB4C59" w14:textId="77777777" w:rsidR="006971F4" w:rsidRDefault="007065EF">
            <w:pPr>
              <w:jc w:val="center"/>
              <w:rPr>
                <w:color w:val="000000"/>
                <w:sz w:val="20"/>
                <w:szCs w:val="20"/>
              </w:rPr>
            </w:pPr>
            <w:r>
              <w:rPr>
                <w:color w:val="000000"/>
                <w:sz w:val="20"/>
                <w:szCs w:val="20"/>
              </w:rPr>
              <w:t>11</w:t>
            </w:r>
          </w:p>
        </w:tc>
        <w:tc>
          <w:tcPr>
            <w:tcW w:w="1211" w:type="dxa"/>
            <w:tcBorders>
              <w:top w:val="nil"/>
              <w:left w:val="nil"/>
              <w:bottom w:val="nil"/>
              <w:right w:val="nil"/>
            </w:tcBorders>
            <w:vAlign w:val="bottom"/>
          </w:tcPr>
          <w:p w14:paraId="18DCE92C" w14:textId="77777777" w:rsidR="006971F4" w:rsidRDefault="007065EF">
            <w:pPr>
              <w:jc w:val="center"/>
              <w:rPr>
                <w:color w:val="000000"/>
                <w:sz w:val="20"/>
                <w:szCs w:val="20"/>
              </w:rPr>
            </w:pPr>
            <w:r>
              <w:rPr>
                <w:color w:val="000000"/>
                <w:sz w:val="20"/>
                <w:szCs w:val="20"/>
              </w:rPr>
              <w:t>9</w:t>
            </w:r>
          </w:p>
        </w:tc>
        <w:tc>
          <w:tcPr>
            <w:tcW w:w="1636" w:type="dxa"/>
            <w:tcBorders>
              <w:top w:val="nil"/>
              <w:left w:val="nil"/>
              <w:bottom w:val="nil"/>
              <w:right w:val="nil"/>
            </w:tcBorders>
            <w:vAlign w:val="bottom"/>
          </w:tcPr>
          <w:p w14:paraId="6DE9F3C1" w14:textId="77777777" w:rsidR="006971F4" w:rsidRDefault="007065EF">
            <w:pPr>
              <w:jc w:val="center"/>
              <w:rPr>
                <w:color w:val="000000"/>
                <w:sz w:val="20"/>
                <w:szCs w:val="20"/>
              </w:rPr>
            </w:pPr>
            <w:r>
              <w:rPr>
                <w:color w:val="000000"/>
                <w:sz w:val="20"/>
                <w:szCs w:val="20"/>
              </w:rPr>
              <w:t>5</w:t>
            </w:r>
          </w:p>
        </w:tc>
      </w:tr>
      <w:tr w:rsidR="006971F4" w14:paraId="587AAAC2" w14:textId="77777777">
        <w:trPr>
          <w:trHeight w:val="210"/>
          <w:jc w:val="center"/>
        </w:trPr>
        <w:tc>
          <w:tcPr>
            <w:tcW w:w="1396" w:type="dxa"/>
            <w:tcBorders>
              <w:top w:val="nil"/>
              <w:left w:val="nil"/>
              <w:bottom w:val="nil"/>
              <w:right w:val="nil"/>
            </w:tcBorders>
            <w:vAlign w:val="bottom"/>
          </w:tcPr>
          <w:p w14:paraId="032DAADE" w14:textId="77777777" w:rsidR="006971F4" w:rsidRDefault="007065EF">
            <w:pPr>
              <w:jc w:val="center"/>
              <w:rPr>
                <w:color w:val="000000"/>
                <w:sz w:val="20"/>
                <w:szCs w:val="20"/>
              </w:rPr>
            </w:pPr>
            <w:r>
              <w:rPr>
                <w:color w:val="000000"/>
                <w:sz w:val="20"/>
                <w:szCs w:val="20"/>
              </w:rPr>
              <w:t>S2</w:t>
            </w:r>
          </w:p>
        </w:tc>
        <w:tc>
          <w:tcPr>
            <w:tcW w:w="1581" w:type="dxa"/>
            <w:tcBorders>
              <w:top w:val="nil"/>
              <w:left w:val="nil"/>
              <w:bottom w:val="nil"/>
              <w:right w:val="nil"/>
            </w:tcBorders>
            <w:vAlign w:val="bottom"/>
          </w:tcPr>
          <w:p w14:paraId="0A00A692" w14:textId="77777777" w:rsidR="006971F4" w:rsidRDefault="007065EF">
            <w:pPr>
              <w:jc w:val="center"/>
              <w:rPr>
                <w:color w:val="000000"/>
                <w:sz w:val="20"/>
                <w:szCs w:val="20"/>
              </w:rPr>
            </w:pPr>
            <w:r>
              <w:rPr>
                <w:color w:val="000000"/>
                <w:sz w:val="20"/>
                <w:szCs w:val="20"/>
              </w:rPr>
              <w:t>15</w:t>
            </w:r>
          </w:p>
        </w:tc>
        <w:tc>
          <w:tcPr>
            <w:tcW w:w="1211" w:type="dxa"/>
            <w:tcBorders>
              <w:top w:val="nil"/>
              <w:left w:val="nil"/>
              <w:bottom w:val="nil"/>
              <w:right w:val="nil"/>
            </w:tcBorders>
            <w:vAlign w:val="bottom"/>
          </w:tcPr>
          <w:p w14:paraId="5602F10D" w14:textId="77777777" w:rsidR="006971F4" w:rsidRDefault="007065EF">
            <w:pPr>
              <w:jc w:val="center"/>
              <w:rPr>
                <w:color w:val="000000"/>
                <w:sz w:val="20"/>
                <w:szCs w:val="20"/>
              </w:rPr>
            </w:pPr>
            <w:r>
              <w:rPr>
                <w:color w:val="000000"/>
                <w:sz w:val="20"/>
                <w:szCs w:val="20"/>
              </w:rPr>
              <w:t>15</w:t>
            </w:r>
          </w:p>
        </w:tc>
        <w:tc>
          <w:tcPr>
            <w:tcW w:w="1211" w:type="dxa"/>
            <w:tcBorders>
              <w:top w:val="nil"/>
              <w:left w:val="nil"/>
              <w:bottom w:val="nil"/>
              <w:right w:val="nil"/>
            </w:tcBorders>
            <w:vAlign w:val="bottom"/>
          </w:tcPr>
          <w:p w14:paraId="49E67187" w14:textId="77777777" w:rsidR="006971F4" w:rsidRDefault="007065EF">
            <w:pPr>
              <w:jc w:val="center"/>
              <w:rPr>
                <w:color w:val="000000"/>
                <w:sz w:val="20"/>
                <w:szCs w:val="20"/>
              </w:rPr>
            </w:pPr>
            <w:r>
              <w:rPr>
                <w:color w:val="000000"/>
                <w:sz w:val="20"/>
                <w:szCs w:val="20"/>
              </w:rPr>
              <w:t>8</w:t>
            </w:r>
          </w:p>
        </w:tc>
        <w:tc>
          <w:tcPr>
            <w:tcW w:w="1636" w:type="dxa"/>
            <w:tcBorders>
              <w:top w:val="nil"/>
              <w:left w:val="nil"/>
              <w:bottom w:val="nil"/>
              <w:right w:val="nil"/>
            </w:tcBorders>
            <w:vAlign w:val="bottom"/>
          </w:tcPr>
          <w:p w14:paraId="289E3597" w14:textId="77777777" w:rsidR="006971F4" w:rsidRDefault="007065EF">
            <w:pPr>
              <w:jc w:val="center"/>
              <w:rPr>
                <w:color w:val="000000"/>
                <w:sz w:val="20"/>
                <w:szCs w:val="20"/>
              </w:rPr>
            </w:pPr>
            <w:r>
              <w:rPr>
                <w:color w:val="000000"/>
                <w:sz w:val="20"/>
                <w:szCs w:val="20"/>
              </w:rPr>
              <w:t>15</w:t>
            </w:r>
          </w:p>
        </w:tc>
      </w:tr>
      <w:tr w:rsidR="006971F4" w14:paraId="3EC4A9ED" w14:textId="77777777">
        <w:trPr>
          <w:trHeight w:val="210"/>
          <w:jc w:val="center"/>
        </w:trPr>
        <w:tc>
          <w:tcPr>
            <w:tcW w:w="1396" w:type="dxa"/>
            <w:tcBorders>
              <w:top w:val="nil"/>
              <w:left w:val="nil"/>
              <w:bottom w:val="nil"/>
              <w:right w:val="nil"/>
            </w:tcBorders>
            <w:vAlign w:val="bottom"/>
          </w:tcPr>
          <w:p w14:paraId="74F5CA90" w14:textId="77777777" w:rsidR="006971F4" w:rsidRDefault="007065EF">
            <w:pPr>
              <w:jc w:val="center"/>
              <w:rPr>
                <w:color w:val="000000"/>
                <w:sz w:val="20"/>
                <w:szCs w:val="20"/>
              </w:rPr>
            </w:pPr>
            <w:r>
              <w:rPr>
                <w:color w:val="000000"/>
                <w:sz w:val="20"/>
                <w:szCs w:val="20"/>
              </w:rPr>
              <w:t>S3</w:t>
            </w:r>
          </w:p>
        </w:tc>
        <w:tc>
          <w:tcPr>
            <w:tcW w:w="1581" w:type="dxa"/>
            <w:tcBorders>
              <w:top w:val="nil"/>
              <w:left w:val="nil"/>
              <w:bottom w:val="nil"/>
              <w:right w:val="nil"/>
            </w:tcBorders>
            <w:vAlign w:val="bottom"/>
          </w:tcPr>
          <w:p w14:paraId="1468DA58" w14:textId="77777777" w:rsidR="006971F4" w:rsidRDefault="007065EF">
            <w:pPr>
              <w:jc w:val="center"/>
              <w:rPr>
                <w:color w:val="000000"/>
                <w:sz w:val="20"/>
                <w:szCs w:val="20"/>
              </w:rPr>
            </w:pPr>
            <w:r>
              <w:rPr>
                <w:color w:val="000000"/>
                <w:sz w:val="20"/>
                <w:szCs w:val="20"/>
              </w:rPr>
              <w:t>5</w:t>
            </w:r>
          </w:p>
        </w:tc>
        <w:tc>
          <w:tcPr>
            <w:tcW w:w="1211" w:type="dxa"/>
            <w:tcBorders>
              <w:top w:val="nil"/>
              <w:left w:val="nil"/>
              <w:bottom w:val="nil"/>
              <w:right w:val="nil"/>
            </w:tcBorders>
            <w:vAlign w:val="bottom"/>
          </w:tcPr>
          <w:p w14:paraId="158D2854" w14:textId="77777777" w:rsidR="006971F4" w:rsidRDefault="007065EF">
            <w:pPr>
              <w:jc w:val="center"/>
              <w:rPr>
                <w:color w:val="000000"/>
                <w:sz w:val="20"/>
                <w:szCs w:val="20"/>
              </w:rPr>
            </w:pPr>
            <w:r>
              <w:rPr>
                <w:color w:val="000000"/>
                <w:sz w:val="20"/>
                <w:szCs w:val="20"/>
              </w:rPr>
              <w:t>5</w:t>
            </w:r>
          </w:p>
        </w:tc>
        <w:tc>
          <w:tcPr>
            <w:tcW w:w="1211" w:type="dxa"/>
            <w:tcBorders>
              <w:top w:val="nil"/>
              <w:left w:val="nil"/>
              <w:bottom w:val="nil"/>
              <w:right w:val="nil"/>
            </w:tcBorders>
            <w:vAlign w:val="bottom"/>
          </w:tcPr>
          <w:p w14:paraId="6350E77E" w14:textId="77777777" w:rsidR="006971F4" w:rsidRDefault="007065EF">
            <w:pPr>
              <w:jc w:val="center"/>
              <w:rPr>
                <w:color w:val="000000"/>
                <w:sz w:val="20"/>
                <w:szCs w:val="20"/>
              </w:rPr>
            </w:pPr>
            <w:r>
              <w:rPr>
                <w:color w:val="000000"/>
                <w:sz w:val="20"/>
                <w:szCs w:val="20"/>
              </w:rPr>
              <w:t>10</w:t>
            </w:r>
          </w:p>
        </w:tc>
        <w:tc>
          <w:tcPr>
            <w:tcW w:w="1636" w:type="dxa"/>
            <w:tcBorders>
              <w:top w:val="nil"/>
              <w:left w:val="nil"/>
              <w:bottom w:val="nil"/>
              <w:right w:val="nil"/>
            </w:tcBorders>
            <w:vAlign w:val="bottom"/>
          </w:tcPr>
          <w:p w14:paraId="31CDC9D4" w14:textId="77777777" w:rsidR="006971F4" w:rsidRDefault="007065EF">
            <w:pPr>
              <w:jc w:val="center"/>
              <w:rPr>
                <w:color w:val="000000"/>
                <w:sz w:val="20"/>
                <w:szCs w:val="20"/>
              </w:rPr>
            </w:pPr>
            <w:r>
              <w:rPr>
                <w:color w:val="000000"/>
                <w:sz w:val="20"/>
                <w:szCs w:val="20"/>
              </w:rPr>
              <w:t>12</w:t>
            </w:r>
          </w:p>
        </w:tc>
      </w:tr>
      <w:tr w:rsidR="006971F4" w14:paraId="2880C525" w14:textId="77777777">
        <w:trPr>
          <w:trHeight w:val="210"/>
          <w:jc w:val="center"/>
        </w:trPr>
        <w:tc>
          <w:tcPr>
            <w:tcW w:w="1396" w:type="dxa"/>
            <w:tcBorders>
              <w:top w:val="nil"/>
              <w:left w:val="nil"/>
              <w:bottom w:val="nil"/>
              <w:right w:val="nil"/>
            </w:tcBorders>
            <w:vAlign w:val="bottom"/>
          </w:tcPr>
          <w:p w14:paraId="19B7AFC2" w14:textId="77777777" w:rsidR="006971F4" w:rsidRDefault="007065EF">
            <w:pPr>
              <w:jc w:val="center"/>
              <w:rPr>
                <w:color w:val="000000"/>
                <w:sz w:val="20"/>
                <w:szCs w:val="20"/>
              </w:rPr>
            </w:pPr>
            <w:r>
              <w:rPr>
                <w:color w:val="000000"/>
                <w:sz w:val="20"/>
                <w:szCs w:val="20"/>
              </w:rPr>
              <w:t>S4</w:t>
            </w:r>
          </w:p>
        </w:tc>
        <w:tc>
          <w:tcPr>
            <w:tcW w:w="1581" w:type="dxa"/>
            <w:tcBorders>
              <w:top w:val="nil"/>
              <w:left w:val="nil"/>
              <w:bottom w:val="nil"/>
              <w:right w:val="nil"/>
            </w:tcBorders>
            <w:vAlign w:val="bottom"/>
          </w:tcPr>
          <w:p w14:paraId="36DE63F8" w14:textId="77777777" w:rsidR="006971F4" w:rsidRDefault="007065EF">
            <w:pPr>
              <w:jc w:val="center"/>
              <w:rPr>
                <w:color w:val="000000"/>
                <w:sz w:val="20"/>
                <w:szCs w:val="20"/>
              </w:rPr>
            </w:pPr>
            <w:r>
              <w:rPr>
                <w:color w:val="000000"/>
                <w:sz w:val="20"/>
                <w:szCs w:val="20"/>
              </w:rPr>
              <w:t>1</w:t>
            </w:r>
          </w:p>
        </w:tc>
        <w:tc>
          <w:tcPr>
            <w:tcW w:w="1211" w:type="dxa"/>
            <w:tcBorders>
              <w:top w:val="nil"/>
              <w:left w:val="nil"/>
              <w:bottom w:val="nil"/>
              <w:right w:val="nil"/>
            </w:tcBorders>
            <w:vAlign w:val="bottom"/>
          </w:tcPr>
          <w:p w14:paraId="0CADE74E" w14:textId="77777777" w:rsidR="006971F4" w:rsidRDefault="007065EF">
            <w:pPr>
              <w:jc w:val="center"/>
              <w:rPr>
                <w:color w:val="000000"/>
                <w:sz w:val="20"/>
                <w:szCs w:val="20"/>
              </w:rPr>
            </w:pPr>
            <w:r>
              <w:rPr>
                <w:color w:val="000000"/>
                <w:sz w:val="20"/>
                <w:szCs w:val="20"/>
              </w:rPr>
              <w:t>4</w:t>
            </w:r>
          </w:p>
        </w:tc>
        <w:tc>
          <w:tcPr>
            <w:tcW w:w="1211" w:type="dxa"/>
            <w:tcBorders>
              <w:top w:val="nil"/>
              <w:left w:val="nil"/>
              <w:bottom w:val="nil"/>
              <w:right w:val="nil"/>
            </w:tcBorders>
            <w:vAlign w:val="bottom"/>
          </w:tcPr>
          <w:p w14:paraId="068F5662" w14:textId="77777777" w:rsidR="006971F4" w:rsidRDefault="007065EF">
            <w:pPr>
              <w:jc w:val="center"/>
              <w:rPr>
                <w:color w:val="000000"/>
                <w:sz w:val="20"/>
                <w:szCs w:val="20"/>
              </w:rPr>
            </w:pPr>
            <w:r>
              <w:rPr>
                <w:color w:val="000000"/>
                <w:sz w:val="20"/>
                <w:szCs w:val="20"/>
              </w:rPr>
              <w:t>7</w:t>
            </w:r>
          </w:p>
        </w:tc>
        <w:tc>
          <w:tcPr>
            <w:tcW w:w="1636" w:type="dxa"/>
            <w:tcBorders>
              <w:top w:val="nil"/>
              <w:left w:val="nil"/>
              <w:bottom w:val="nil"/>
              <w:right w:val="nil"/>
            </w:tcBorders>
            <w:vAlign w:val="bottom"/>
          </w:tcPr>
          <w:p w14:paraId="43F1A62C" w14:textId="77777777" w:rsidR="006971F4" w:rsidRDefault="007065EF">
            <w:pPr>
              <w:jc w:val="center"/>
              <w:rPr>
                <w:color w:val="000000"/>
                <w:sz w:val="20"/>
                <w:szCs w:val="20"/>
              </w:rPr>
            </w:pPr>
            <w:r>
              <w:rPr>
                <w:color w:val="000000"/>
                <w:sz w:val="20"/>
                <w:szCs w:val="20"/>
              </w:rPr>
              <w:t>8</w:t>
            </w:r>
          </w:p>
        </w:tc>
      </w:tr>
      <w:tr w:rsidR="006971F4" w14:paraId="2BA17ED2" w14:textId="77777777">
        <w:trPr>
          <w:trHeight w:val="210"/>
          <w:jc w:val="center"/>
        </w:trPr>
        <w:tc>
          <w:tcPr>
            <w:tcW w:w="1396" w:type="dxa"/>
            <w:tcBorders>
              <w:top w:val="nil"/>
              <w:left w:val="nil"/>
              <w:bottom w:val="nil"/>
              <w:right w:val="nil"/>
            </w:tcBorders>
            <w:vAlign w:val="bottom"/>
          </w:tcPr>
          <w:p w14:paraId="6F17EA24" w14:textId="77777777" w:rsidR="006971F4" w:rsidRDefault="007065EF">
            <w:pPr>
              <w:jc w:val="center"/>
              <w:rPr>
                <w:color w:val="000000"/>
                <w:sz w:val="20"/>
                <w:szCs w:val="20"/>
              </w:rPr>
            </w:pPr>
            <w:r>
              <w:rPr>
                <w:color w:val="000000"/>
                <w:sz w:val="20"/>
                <w:szCs w:val="20"/>
              </w:rPr>
              <w:t>S5</w:t>
            </w:r>
          </w:p>
        </w:tc>
        <w:tc>
          <w:tcPr>
            <w:tcW w:w="1581" w:type="dxa"/>
            <w:tcBorders>
              <w:top w:val="nil"/>
              <w:left w:val="nil"/>
              <w:bottom w:val="nil"/>
              <w:right w:val="nil"/>
            </w:tcBorders>
            <w:vAlign w:val="bottom"/>
          </w:tcPr>
          <w:p w14:paraId="037E4EC8" w14:textId="77777777" w:rsidR="006971F4" w:rsidRDefault="007065EF">
            <w:pPr>
              <w:jc w:val="center"/>
              <w:rPr>
                <w:color w:val="000000"/>
                <w:sz w:val="20"/>
                <w:szCs w:val="20"/>
              </w:rPr>
            </w:pPr>
            <w:r>
              <w:rPr>
                <w:color w:val="000000"/>
                <w:sz w:val="20"/>
                <w:szCs w:val="20"/>
              </w:rPr>
              <w:t>6</w:t>
            </w:r>
          </w:p>
        </w:tc>
        <w:tc>
          <w:tcPr>
            <w:tcW w:w="1211" w:type="dxa"/>
            <w:tcBorders>
              <w:top w:val="nil"/>
              <w:left w:val="nil"/>
              <w:bottom w:val="nil"/>
              <w:right w:val="nil"/>
            </w:tcBorders>
            <w:vAlign w:val="bottom"/>
          </w:tcPr>
          <w:p w14:paraId="1FA1111F" w14:textId="77777777" w:rsidR="006971F4" w:rsidRDefault="007065EF">
            <w:pPr>
              <w:jc w:val="center"/>
              <w:rPr>
                <w:color w:val="000000"/>
                <w:sz w:val="20"/>
                <w:szCs w:val="20"/>
              </w:rPr>
            </w:pPr>
            <w:r>
              <w:rPr>
                <w:color w:val="000000"/>
                <w:sz w:val="20"/>
                <w:szCs w:val="20"/>
              </w:rPr>
              <w:t>12</w:t>
            </w:r>
          </w:p>
        </w:tc>
        <w:tc>
          <w:tcPr>
            <w:tcW w:w="1211" w:type="dxa"/>
            <w:tcBorders>
              <w:top w:val="nil"/>
              <w:left w:val="nil"/>
              <w:bottom w:val="nil"/>
              <w:right w:val="nil"/>
            </w:tcBorders>
            <w:vAlign w:val="bottom"/>
          </w:tcPr>
          <w:p w14:paraId="011A8A2A" w14:textId="77777777" w:rsidR="006971F4" w:rsidRDefault="007065EF">
            <w:pPr>
              <w:jc w:val="center"/>
              <w:rPr>
                <w:color w:val="000000"/>
                <w:sz w:val="20"/>
                <w:szCs w:val="20"/>
              </w:rPr>
            </w:pPr>
            <w:r>
              <w:rPr>
                <w:color w:val="000000"/>
                <w:sz w:val="20"/>
                <w:szCs w:val="20"/>
              </w:rPr>
              <w:t>11</w:t>
            </w:r>
          </w:p>
        </w:tc>
        <w:tc>
          <w:tcPr>
            <w:tcW w:w="1636" w:type="dxa"/>
            <w:tcBorders>
              <w:top w:val="nil"/>
              <w:left w:val="nil"/>
              <w:bottom w:val="nil"/>
              <w:right w:val="nil"/>
            </w:tcBorders>
            <w:vAlign w:val="bottom"/>
          </w:tcPr>
          <w:p w14:paraId="72330DB3" w14:textId="77777777" w:rsidR="006971F4" w:rsidRDefault="007065EF">
            <w:pPr>
              <w:jc w:val="center"/>
              <w:rPr>
                <w:color w:val="000000"/>
                <w:sz w:val="20"/>
                <w:szCs w:val="20"/>
              </w:rPr>
            </w:pPr>
            <w:r>
              <w:rPr>
                <w:color w:val="000000"/>
                <w:sz w:val="20"/>
                <w:szCs w:val="20"/>
              </w:rPr>
              <w:t>14</w:t>
            </w:r>
          </w:p>
        </w:tc>
      </w:tr>
      <w:tr w:rsidR="006971F4" w14:paraId="0D328DF4" w14:textId="77777777">
        <w:trPr>
          <w:trHeight w:val="210"/>
          <w:jc w:val="center"/>
        </w:trPr>
        <w:tc>
          <w:tcPr>
            <w:tcW w:w="1396" w:type="dxa"/>
            <w:tcBorders>
              <w:top w:val="nil"/>
              <w:left w:val="nil"/>
              <w:bottom w:val="nil"/>
              <w:right w:val="nil"/>
            </w:tcBorders>
            <w:vAlign w:val="bottom"/>
          </w:tcPr>
          <w:p w14:paraId="6D8B07CB" w14:textId="77777777" w:rsidR="006971F4" w:rsidRDefault="007065EF">
            <w:pPr>
              <w:jc w:val="center"/>
              <w:rPr>
                <w:color w:val="000000"/>
                <w:sz w:val="20"/>
                <w:szCs w:val="20"/>
              </w:rPr>
            </w:pPr>
            <w:r>
              <w:rPr>
                <w:color w:val="000000"/>
                <w:sz w:val="20"/>
                <w:szCs w:val="20"/>
              </w:rPr>
              <w:t>S6</w:t>
            </w:r>
          </w:p>
        </w:tc>
        <w:tc>
          <w:tcPr>
            <w:tcW w:w="1581" w:type="dxa"/>
            <w:tcBorders>
              <w:top w:val="nil"/>
              <w:left w:val="nil"/>
              <w:bottom w:val="nil"/>
              <w:right w:val="nil"/>
            </w:tcBorders>
            <w:vAlign w:val="bottom"/>
          </w:tcPr>
          <w:p w14:paraId="09B6D7DB" w14:textId="77777777" w:rsidR="006971F4" w:rsidRDefault="007065EF">
            <w:pPr>
              <w:jc w:val="center"/>
              <w:rPr>
                <w:color w:val="000000"/>
                <w:sz w:val="20"/>
                <w:szCs w:val="20"/>
              </w:rPr>
            </w:pPr>
            <w:r>
              <w:rPr>
                <w:color w:val="000000"/>
                <w:sz w:val="20"/>
                <w:szCs w:val="20"/>
              </w:rPr>
              <w:t>7</w:t>
            </w:r>
          </w:p>
        </w:tc>
        <w:tc>
          <w:tcPr>
            <w:tcW w:w="1211" w:type="dxa"/>
            <w:tcBorders>
              <w:top w:val="nil"/>
              <w:left w:val="nil"/>
              <w:bottom w:val="nil"/>
              <w:right w:val="nil"/>
            </w:tcBorders>
            <w:vAlign w:val="bottom"/>
          </w:tcPr>
          <w:p w14:paraId="4683AF9F" w14:textId="77777777" w:rsidR="006971F4" w:rsidRDefault="007065EF">
            <w:pPr>
              <w:jc w:val="center"/>
              <w:rPr>
                <w:color w:val="000000"/>
                <w:sz w:val="20"/>
                <w:szCs w:val="20"/>
              </w:rPr>
            </w:pPr>
            <w:r>
              <w:rPr>
                <w:color w:val="000000"/>
                <w:sz w:val="20"/>
                <w:szCs w:val="20"/>
              </w:rPr>
              <w:t>1</w:t>
            </w:r>
          </w:p>
        </w:tc>
        <w:tc>
          <w:tcPr>
            <w:tcW w:w="1211" w:type="dxa"/>
            <w:tcBorders>
              <w:top w:val="nil"/>
              <w:left w:val="nil"/>
              <w:bottom w:val="nil"/>
              <w:right w:val="nil"/>
            </w:tcBorders>
            <w:vAlign w:val="bottom"/>
          </w:tcPr>
          <w:p w14:paraId="44F5300B" w14:textId="77777777" w:rsidR="006971F4" w:rsidRDefault="007065EF">
            <w:pPr>
              <w:jc w:val="center"/>
              <w:rPr>
                <w:color w:val="000000"/>
                <w:sz w:val="20"/>
                <w:szCs w:val="20"/>
              </w:rPr>
            </w:pPr>
            <w:r>
              <w:rPr>
                <w:color w:val="000000"/>
                <w:sz w:val="20"/>
                <w:szCs w:val="20"/>
              </w:rPr>
              <w:t>12</w:t>
            </w:r>
          </w:p>
        </w:tc>
        <w:tc>
          <w:tcPr>
            <w:tcW w:w="1636" w:type="dxa"/>
            <w:tcBorders>
              <w:top w:val="nil"/>
              <w:left w:val="nil"/>
              <w:bottom w:val="nil"/>
              <w:right w:val="nil"/>
            </w:tcBorders>
            <w:vAlign w:val="bottom"/>
          </w:tcPr>
          <w:p w14:paraId="0D40E234" w14:textId="77777777" w:rsidR="006971F4" w:rsidRDefault="007065EF">
            <w:pPr>
              <w:jc w:val="center"/>
              <w:rPr>
                <w:color w:val="000000"/>
                <w:sz w:val="20"/>
                <w:szCs w:val="20"/>
              </w:rPr>
            </w:pPr>
            <w:r>
              <w:rPr>
                <w:color w:val="000000"/>
                <w:sz w:val="20"/>
                <w:szCs w:val="20"/>
              </w:rPr>
              <w:t>13</w:t>
            </w:r>
          </w:p>
        </w:tc>
      </w:tr>
      <w:tr w:rsidR="006971F4" w14:paraId="4E21F3F5" w14:textId="77777777">
        <w:trPr>
          <w:trHeight w:val="210"/>
          <w:jc w:val="center"/>
        </w:trPr>
        <w:tc>
          <w:tcPr>
            <w:tcW w:w="1396" w:type="dxa"/>
            <w:tcBorders>
              <w:top w:val="nil"/>
              <w:left w:val="nil"/>
              <w:bottom w:val="nil"/>
              <w:right w:val="nil"/>
            </w:tcBorders>
            <w:vAlign w:val="bottom"/>
          </w:tcPr>
          <w:p w14:paraId="677C91CB" w14:textId="77777777" w:rsidR="006971F4" w:rsidRDefault="007065EF">
            <w:pPr>
              <w:jc w:val="center"/>
              <w:rPr>
                <w:color w:val="000000"/>
                <w:sz w:val="20"/>
                <w:szCs w:val="20"/>
              </w:rPr>
            </w:pPr>
            <w:r>
              <w:rPr>
                <w:color w:val="000000"/>
                <w:sz w:val="20"/>
                <w:szCs w:val="20"/>
              </w:rPr>
              <w:t>S7</w:t>
            </w:r>
          </w:p>
        </w:tc>
        <w:tc>
          <w:tcPr>
            <w:tcW w:w="1581" w:type="dxa"/>
            <w:tcBorders>
              <w:top w:val="nil"/>
              <w:left w:val="nil"/>
              <w:bottom w:val="nil"/>
              <w:right w:val="nil"/>
            </w:tcBorders>
            <w:vAlign w:val="bottom"/>
          </w:tcPr>
          <w:p w14:paraId="30F215E1" w14:textId="77777777" w:rsidR="006971F4" w:rsidRDefault="007065EF">
            <w:pPr>
              <w:jc w:val="center"/>
              <w:rPr>
                <w:color w:val="000000"/>
                <w:sz w:val="20"/>
                <w:szCs w:val="20"/>
              </w:rPr>
            </w:pPr>
            <w:r>
              <w:rPr>
                <w:color w:val="000000"/>
                <w:sz w:val="20"/>
                <w:szCs w:val="20"/>
              </w:rPr>
              <w:t>2</w:t>
            </w:r>
          </w:p>
        </w:tc>
        <w:tc>
          <w:tcPr>
            <w:tcW w:w="1211" w:type="dxa"/>
            <w:tcBorders>
              <w:top w:val="nil"/>
              <w:left w:val="nil"/>
              <w:bottom w:val="nil"/>
              <w:right w:val="nil"/>
            </w:tcBorders>
            <w:vAlign w:val="bottom"/>
          </w:tcPr>
          <w:p w14:paraId="523E1940" w14:textId="77777777" w:rsidR="006971F4" w:rsidRDefault="007065EF">
            <w:pPr>
              <w:jc w:val="center"/>
              <w:rPr>
                <w:color w:val="000000"/>
                <w:sz w:val="20"/>
                <w:szCs w:val="20"/>
              </w:rPr>
            </w:pPr>
            <w:r>
              <w:rPr>
                <w:color w:val="000000"/>
                <w:sz w:val="20"/>
                <w:szCs w:val="20"/>
              </w:rPr>
              <w:t>8</w:t>
            </w:r>
          </w:p>
        </w:tc>
        <w:tc>
          <w:tcPr>
            <w:tcW w:w="1211" w:type="dxa"/>
            <w:tcBorders>
              <w:top w:val="nil"/>
              <w:left w:val="nil"/>
              <w:bottom w:val="nil"/>
              <w:right w:val="nil"/>
            </w:tcBorders>
            <w:vAlign w:val="bottom"/>
          </w:tcPr>
          <w:p w14:paraId="335B9527" w14:textId="77777777" w:rsidR="006971F4" w:rsidRDefault="007065EF">
            <w:pPr>
              <w:jc w:val="center"/>
              <w:rPr>
                <w:color w:val="000000"/>
                <w:sz w:val="20"/>
                <w:szCs w:val="20"/>
              </w:rPr>
            </w:pPr>
            <w:r>
              <w:rPr>
                <w:color w:val="000000"/>
                <w:sz w:val="20"/>
                <w:szCs w:val="20"/>
              </w:rPr>
              <w:t>13</w:t>
            </w:r>
          </w:p>
        </w:tc>
        <w:tc>
          <w:tcPr>
            <w:tcW w:w="1636" w:type="dxa"/>
            <w:tcBorders>
              <w:top w:val="nil"/>
              <w:left w:val="nil"/>
              <w:bottom w:val="nil"/>
              <w:right w:val="nil"/>
            </w:tcBorders>
            <w:vAlign w:val="bottom"/>
          </w:tcPr>
          <w:p w14:paraId="5B75B808" w14:textId="77777777" w:rsidR="006971F4" w:rsidRDefault="007065EF">
            <w:pPr>
              <w:jc w:val="center"/>
              <w:rPr>
                <w:color w:val="000000"/>
                <w:sz w:val="20"/>
                <w:szCs w:val="20"/>
              </w:rPr>
            </w:pPr>
            <w:r>
              <w:rPr>
                <w:color w:val="000000"/>
                <w:sz w:val="20"/>
                <w:szCs w:val="20"/>
              </w:rPr>
              <w:t>3</w:t>
            </w:r>
          </w:p>
        </w:tc>
      </w:tr>
      <w:tr w:rsidR="006971F4" w14:paraId="7BB2ADFE" w14:textId="77777777">
        <w:trPr>
          <w:trHeight w:val="210"/>
          <w:jc w:val="center"/>
        </w:trPr>
        <w:tc>
          <w:tcPr>
            <w:tcW w:w="1396" w:type="dxa"/>
            <w:tcBorders>
              <w:top w:val="nil"/>
              <w:left w:val="nil"/>
              <w:bottom w:val="nil"/>
              <w:right w:val="nil"/>
            </w:tcBorders>
            <w:vAlign w:val="bottom"/>
          </w:tcPr>
          <w:p w14:paraId="0798CACF" w14:textId="77777777" w:rsidR="006971F4" w:rsidRDefault="007065EF">
            <w:pPr>
              <w:jc w:val="center"/>
              <w:rPr>
                <w:color w:val="000000"/>
                <w:sz w:val="20"/>
                <w:szCs w:val="20"/>
              </w:rPr>
            </w:pPr>
            <w:r>
              <w:rPr>
                <w:color w:val="000000"/>
                <w:sz w:val="20"/>
                <w:szCs w:val="20"/>
              </w:rPr>
              <w:t>S8</w:t>
            </w:r>
          </w:p>
        </w:tc>
        <w:tc>
          <w:tcPr>
            <w:tcW w:w="1581" w:type="dxa"/>
            <w:tcBorders>
              <w:top w:val="nil"/>
              <w:left w:val="nil"/>
              <w:bottom w:val="nil"/>
              <w:right w:val="nil"/>
            </w:tcBorders>
            <w:vAlign w:val="bottom"/>
          </w:tcPr>
          <w:p w14:paraId="0BA921A6" w14:textId="77777777" w:rsidR="006971F4" w:rsidRDefault="007065EF">
            <w:pPr>
              <w:jc w:val="center"/>
              <w:rPr>
                <w:color w:val="000000"/>
                <w:sz w:val="20"/>
                <w:szCs w:val="20"/>
              </w:rPr>
            </w:pPr>
            <w:r>
              <w:rPr>
                <w:color w:val="000000"/>
                <w:sz w:val="20"/>
                <w:szCs w:val="20"/>
              </w:rPr>
              <w:t>12</w:t>
            </w:r>
          </w:p>
        </w:tc>
        <w:tc>
          <w:tcPr>
            <w:tcW w:w="1211" w:type="dxa"/>
            <w:tcBorders>
              <w:top w:val="nil"/>
              <w:left w:val="nil"/>
              <w:bottom w:val="nil"/>
              <w:right w:val="nil"/>
            </w:tcBorders>
            <w:vAlign w:val="bottom"/>
          </w:tcPr>
          <w:p w14:paraId="727C847D" w14:textId="77777777" w:rsidR="006971F4" w:rsidRDefault="007065EF">
            <w:pPr>
              <w:jc w:val="center"/>
              <w:rPr>
                <w:color w:val="000000"/>
                <w:sz w:val="20"/>
                <w:szCs w:val="20"/>
              </w:rPr>
            </w:pPr>
            <w:r>
              <w:rPr>
                <w:color w:val="000000"/>
                <w:sz w:val="20"/>
                <w:szCs w:val="20"/>
              </w:rPr>
              <w:t>13</w:t>
            </w:r>
          </w:p>
        </w:tc>
        <w:tc>
          <w:tcPr>
            <w:tcW w:w="1211" w:type="dxa"/>
            <w:tcBorders>
              <w:top w:val="nil"/>
              <w:left w:val="nil"/>
              <w:bottom w:val="nil"/>
              <w:right w:val="nil"/>
            </w:tcBorders>
            <w:vAlign w:val="bottom"/>
          </w:tcPr>
          <w:p w14:paraId="2DF3AF8A" w14:textId="77777777" w:rsidR="006971F4" w:rsidRDefault="007065EF">
            <w:pPr>
              <w:jc w:val="center"/>
              <w:rPr>
                <w:color w:val="000000"/>
                <w:sz w:val="20"/>
                <w:szCs w:val="20"/>
              </w:rPr>
            </w:pPr>
            <w:r>
              <w:rPr>
                <w:color w:val="000000"/>
                <w:sz w:val="20"/>
                <w:szCs w:val="20"/>
              </w:rPr>
              <w:t>4</w:t>
            </w:r>
          </w:p>
        </w:tc>
        <w:tc>
          <w:tcPr>
            <w:tcW w:w="1636" w:type="dxa"/>
            <w:tcBorders>
              <w:top w:val="nil"/>
              <w:left w:val="nil"/>
              <w:bottom w:val="nil"/>
              <w:right w:val="nil"/>
            </w:tcBorders>
            <w:vAlign w:val="bottom"/>
          </w:tcPr>
          <w:p w14:paraId="78A20BFC" w14:textId="77777777" w:rsidR="006971F4" w:rsidRDefault="007065EF">
            <w:pPr>
              <w:jc w:val="center"/>
              <w:rPr>
                <w:color w:val="000000"/>
                <w:sz w:val="20"/>
                <w:szCs w:val="20"/>
              </w:rPr>
            </w:pPr>
            <w:r>
              <w:rPr>
                <w:color w:val="000000"/>
                <w:sz w:val="20"/>
                <w:szCs w:val="20"/>
              </w:rPr>
              <w:t>9</w:t>
            </w:r>
          </w:p>
        </w:tc>
      </w:tr>
      <w:tr w:rsidR="006971F4" w14:paraId="163D7F65" w14:textId="77777777">
        <w:trPr>
          <w:trHeight w:val="210"/>
          <w:jc w:val="center"/>
        </w:trPr>
        <w:tc>
          <w:tcPr>
            <w:tcW w:w="1396" w:type="dxa"/>
            <w:tcBorders>
              <w:top w:val="nil"/>
              <w:left w:val="nil"/>
              <w:bottom w:val="nil"/>
              <w:right w:val="nil"/>
            </w:tcBorders>
            <w:vAlign w:val="bottom"/>
          </w:tcPr>
          <w:p w14:paraId="10C9D566" w14:textId="77777777" w:rsidR="006971F4" w:rsidRDefault="007065EF">
            <w:pPr>
              <w:jc w:val="center"/>
              <w:rPr>
                <w:color w:val="000000"/>
                <w:sz w:val="20"/>
                <w:szCs w:val="20"/>
              </w:rPr>
            </w:pPr>
            <w:r>
              <w:rPr>
                <w:color w:val="000000"/>
                <w:sz w:val="20"/>
                <w:szCs w:val="20"/>
              </w:rPr>
              <w:t>S9</w:t>
            </w:r>
          </w:p>
        </w:tc>
        <w:tc>
          <w:tcPr>
            <w:tcW w:w="1581" w:type="dxa"/>
            <w:tcBorders>
              <w:top w:val="nil"/>
              <w:left w:val="nil"/>
              <w:bottom w:val="nil"/>
              <w:right w:val="nil"/>
            </w:tcBorders>
            <w:vAlign w:val="bottom"/>
          </w:tcPr>
          <w:p w14:paraId="2A0C61BA" w14:textId="77777777" w:rsidR="006971F4" w:rsidRDefault="007065EF">
            <w:pPr>
              <w:jc w:val="center"/>
              <w:rPr>
                <w:color w:val="000000"/>
                <w:sz w:val="20"/>
                <w:szCs w:val="20"/>
              </w:rPr>
            </w:pPr>
            <w:r>
              <w:rPr>
                <w:color w:val="000000"/>
                <w:sz w:val="20"/>
                <w:szCs w:val="20"/>
              </w:rPr>
              <w:t>13</w:t>
            </w:r>
          </w:p>
        </w:tc>
        <w:tc>
          <w:tcPr>
            <w:tcW w:w="1211" w:type="dxa"/>
            <w:tcBorders>
              <w:top w:val="nil"/>
              <w:left w:val="nil"/>
              <w:bottom w:val="nil"/>
              <w:right w:val="nil"/>
            </w:tcBorders>
            <w:vAlign w:val="bottom"/>
          </w:tcPr>
          <w:p w14:paraId="380DF4D6" w14:textId="77777777" w:rsidR="006971F4" w:rsidRDefault="007065EF">
            <w:pPr>
              <w:jc w:val="center"/>
              <w:rPr>
                <w:color w:val="000000"/>
                <w:sz w:val="20"/>
                <w:szCs w:val="20"/>
              </w:rPr>
            </w:pPr>
            <w:r>
              <w:rPr>
                <w:color w:val="000000"/>
                <w:sz w:val="20"/>
                <w:szCs w:val="20"/>
              </w:rPr>
              <w:t>14</w:t>
            </w:r>
          </w:p>
        </w:tc>
        <w:tc>
          <w:tcPr>
            <w:tcW w:w="1211" w:type="dxa"/>
            <w:tcBorders>
              <w:top w:val="nil"/>
              <w:left w:val="nil"/>
              <w:bottom w:val="nil"/>
              <w:right w:val="nil"/>
            </w:tcBorders>
            <w:vAlign w:val="bottom"/>
          </w:tcPr>
          <w:p w14:paraId="0A768E89" w14:textId="77777777" w:rsidR="006971F4" w:rsidRDefault="007065EF">
            <w:pPr>
              <w:jc w:val="center"/>
              <w:rPr>
                <w:color w:val="000000"/>
                <w:sz w:val="20"/>
                <w:szCs w:val="20"/>
              </w:rPr>
            </w:pPr>
            <w:r>
              <w:rPr>
                <w:color w:val="000000"/>
                <w:sz w:val="20"/>
                <w:szCs w:val="20"/>
              </w:rPr>
              <w:t>8</w:t>
            </w:r>
          </w:p>
        </w:tc>
        <w:tc>
          <w:tcPr>
            <w:tcW w:w="1636" w:type="dxa"/>
            <w:tcBorders>
              <w:top w:val="nil"/>
              <w:left w:val="nil"/>
              <w:bottom w:val="nil"/>
              <w:right w:val="nil"/>
            </w:tcBorders>
            <w:vAlign w:val="bottom"/>
          </w:tcPr>
          <w:p w14:paraId="0146DA9E" w14:textId="77777777" w:rsidR="006971F4" w:rsidRDefault="007065EF">
            <w:pPr>
              <w:jc w:val="center"/>
              <w:rPr>
                <w:color w:val="000000"/>
                <w:sz w:val="20"/>
                <w:szCs w:val="20"/>
              </w:rPr>
            </w:pPr>
            <w:r>
              <w:rPr>
                <w:color w:val="000000"/>
                <w:sz w:val="20"/>
                <w:szCs w:val="20"/>
              </w:rPr>
              <w:t>10</w:t>
            </w:r>
          </w:p>
        </w:tc>
      </w:tr>
      <w:tr w:rsidR="006971F4" w14:paraId="67908334" w14:textId="77777777">
        <w:trPr>
          <w:trHeight w:val="210"/>
          <w:jc w:val="center"/>
        </w:trPr>
        <w:tc>
          <w:tcPr>
            <w:tcW w:w="1396" w:type="dxa"/>
            <w:tcBorders>
              <w:top w:val="nil"/>
              <w:left w:val="nil"/>
              <w:bottom w:val="nil"/>
              <w:right w:val="nil"/>
            </w:tcBorders>
            <w:vAlign w:val="bottom"/>
          </w:tcPr>
          <w:p w14:paraId="504D0EAC" w14:textId="77777777" w:rsidR="006971F4" w:rsidRDefault="007065EF">
            <w:pPr>
              <w:jc w:val="center"/>
              <w:rPr>
                <w:color w:val="000000"/>
                <w:sz w:val="20"/>
                <w:szCs w:val="20"/>
              </w:rPr>
            </w:pPr>
            <w:r>
              <w:rPr>
                <w:color w:val="000000"/>
                <w:sz w:val="20"/>
                <w:szCs w:val="20"/>
              </w:rPr>
              <w:t>S10</w:t>
            </w:r>
          </w:p>
        </w:tc>
        <w:tc>
          <w:tcPr>
            <w:tcW w:w="1581" w:type="dxa"/>
            <w:tcBorders>
              <w:top w:val="nil"/>
              <w:left w:val="nil"/>
              <w:bottom w:val="nil"/>
              <w:right w:val="nil"/>
            </w:tcBorders>
            <w:vAlign w:val="bottom"/>
          </w:tcPr>
          <w:p w14:paraId="3738BEAE" w14:textId="77777777" w:rsidR="006971F4" w:rsidRDefault="007065EF">
            <w:pPr>
              <w:jc w:val="center"/>
              <w:rPr>
                <w:color w:val="000000"/>
                <w:sz w:val="20"/>
                <w:szCs w:val="20"/>
              </w:rPr>
            </w:pPr>
            <w:r>
              <w:rPr>
                <w:color w:val="000000"/>
                <w:sz w:val="20"/>
                <w:szCs w:val="20"/>
              </w:rPr>
              <w:t>10</w:t>
            </w:r>
          </w:p>
        </w:tc>
        <w:tc>
          <w:tcPr>
            <w:tcW w:w="1211" w:type="dxa"/>
            <w:tcBorders>
              <w:top w:val="nil"/>
              <w:left w:val="nil"/>
              <w:bottom w:val="nil"/>
              <w:right w:val="nil"/>
            </w:tcBorders>
            <w:vAlign w:val="bottom"/>
          </w:tcPr>
          <w:p w14:paraId="16F7E172" w14:textId="77777777" w:rsidR="006971F4" w:rsidRDefault="007065EF">
            <w:pPr>
              <w:jc w:val="center"/>
              <w:rPr>
                <w:color w:val="000000"/>
                <w:sz w:val="20"/>
                <w:szCs w:val="20"/>
              </w:rPr>
            </w:pPr>
            <w:r>
              <w:rPr>
                <w:color w:val="000000"/>
                <w:sz w:val="20"/>
                <w:szCs w:val="20"/>
              </w:rPr>
              <w:t>2</w:t>
            </w:r>
          </w:p>
        </w:tc>
        <w:tc>
          <w:tcPr>
            <w:tcW w:w="1211" w:type="dxa"/>
            <w:tcBorders>
              <w:top w:val="nil"/>
              <w:left w:val="nil"/>
              <w:bottom w:val="nil"/>
              <w:right w:val="nil"/>
            </w:tcBorders>
            <w:vAlign w:val="bottom"/>
          </w:tcPr>
          <w:p w14:paraId="3E9089C9" w14:textId="77777777" w:rsidR="006971F4" w:rsidRDefault="007065EF">
            <w:pPr>
              <w:jc w:val="center"/>
              <w:rPr>
                <w:color w:val="000000"/>
                <w:sz w:val="20"/>
                <w:szCs w:val="20"/>
              </w:rPr>
            </w:pPr>
            <w:r>
              <w:rPr>
                <w:color w:val="000000"/>
                <w:sz w:val="20"/>
                <w:szCs w:val="20"/>
              </w:rPr>
              <w:t>9</w:t>
            </w:r>
          </w:p>
        </w:tc>
        <w:tc>
          <w:tcPr>
            <w:tcW w:w="1636" w:type="dxa"/>
            <w:tcBorders>
              <w:top w:val="nil"/>
              <w:left w:val="nil"/>
              <w:bottom w:val="nil"/>
              <w:right w:val="nil"/>
            </w:tcBorders>
            <w:vAlign w:val="bottom"/>
          </w:tcPr>
          <w:p w14:paraId="4A02C6C6" w14:textId="77777777" w:rsidR="006971F4" w:rsidRDefault="007065EF">
            <w:pPr>
              <w:jc w:val="center"/>
              <w:rPr>
                <w:color w:val="000000"/>
                <w:sz w:val="20"/>
                <w:szCs w:val="20"/>
              </w:rPr>
            </w:pPr>
            <w:r>
              <w:rPr>
                <w:color w:val="000000"/>
                <w:sz w:val="20"/>
                <w:szCs w:val="20"/>
              </w:rPr>
              <w:t>1</w:t>
            </w:r>
          </w:p>
        </w:tc>
      </w:tr>
      <w:tr w:rsidR="006971F4" w14:paraId="530A064D" w14:textId="77777777">
        <w:trPr>
          <w:trHeight w:val="210"/>
          <w:jc w:val="center"/>
        </w:trPr>
        <w:tc>
          <w:tcPr>
            <w:tcW w:w="1396" w:type="dxa"/>
            <w:tcBorders>
              <w:top w:val="nil"/>
              <w:left w:val="nil"/>
              <w:bottom w:val="nil"/>
              <w:right w:val="nil"/>
            </w:tcBorders>
            <w:vAlign w:val="bottom"/>
          </w:tcPr>
          <w:p w14:paraId="2E064399" w14:textId="77777777" w:rsidR="006971F4" w:rsidRDefault="007065EF">
            <w:pPr>
              <w:jc w:val="center"/>
              <w:rPr>
                <w:color w:val="000000"/>
                <w:sz w:val="20"/>
                <w:szCs w:val="20"/>
              </w:rPr>
            </w:pPr>
            <w:r>
              <w:rPr>
                <w:color w:val="000000"/>
                <w:sz w:val="20"/>
                <w:szCs w:val="20"/>
              </w:rPr>
              <w:t>S11</w:t>
            </w:r>
          </w:p>
        </w:tc>
        <w:tc>
          <w:tcPr>
            <w:tcW w:w="1581" w:type="dxa"/>
            <w:tcBorders>
              <w:top w:val="nil"/>
              <w:left w:val="nil"/>
              <w:bottom w:val="nil"/>
              <w:right w:val="nil"/>
            </w:tcBorders>
            <w:vAlign w:val="bottom"/>
          </w:tcPr>
          <w:p w14:paraId="415C1907" w14:textId="77777777" w:rsidR="006971F4" w:rsidRDefault="007065EF">
            <w:pPr>
              <w:jc w:val="center"/>
              <w:rPr>
                <w:color w:val="000000"/>
                <w:sz w:val="20"/>
                <w:szCs w:val="20"/>
              </w:rPr>
            </w:pPr>
            <w:r>
              <w:rPr>
                <w:color w:val="000000"/>
                <w:sz w:val="20"/>
                <w:szCs w:val="20"/>
              </w:rPr>
              <w:t>9</w:t>
            </w:r>
          </w:p>
        </w:tc>
        <w:tc>
          <w:tcPr>
            <w:tcW w:w="1211" w:type="dxa"/>
            <w:tcBorders>
              <w:top w:val="nil"/>
              <w:left w:val="nil"/>
              <w:bottom w:val="nil"/>
              <w:right w:val="nil"/>
            </w:tcBorders>
            <w:vAlign w:val="bottom"/>
          </w:tcPr>
          <w:p w14:paraId="0538F039" w14:textId="77777777" w:rsidR="006971F4" w:rsidRDefault="007065EF">
            <w:pPr>
              <w:jc w:val="center"/>
              <w:rPr>
                <w:color w:val="000000"/>
                <w:sz w:val="20"/>
                <w:szCs w:val="20"/>
              </w:rPr>
            </w:pPr>
            <w:r>
              <w:rPr>
                <w:color w:val="000000"/>
                <w:sz w:val="20"/>
                <w:szCs w:val="20"/>
              </w:rPr>
              <w:t>9</w:t>
            </w:r>
          </w:p>
        </w:tc>
        <w:tc>
          <w:tcPr>
            <w:tcW w:w="1211" w:type="dxa"/>
            <w:tcBorders>
              <w:top w:val="nil"/>
              <w:left w:val="nil"/>
              <w:bottom w:val="nil"/>
              <w:right w:val="nil"/>
            </w:tcBorders>
            <w:vAlign w:val="bottom"/>
          </w:tcPr>
          <w:p w14:paraId="7464638A" w14:textId="77777777" w:rsidR="006971F4" w:rsidRDefault="007065EF">
            <w:pPr>
              <w:jc w:val="center"/>
              <w:rPr>
                <w:color w:val="000000"/>
                <w:sz w:val="20"/>
                <w:szCs w:val="20"/>
              </w:rPr>
            </w:pPr>
            <w:r>
              <w:rPr>
                <w:color w:val="000000"/>
                <w:sz w:val="20"/>
                <w:szCs w:val="20"/>
              </w:rPr>
              <w:t>14</w:t>
            </w:r>
          </w:p>
        </w:tc>
        <w:tc>
          <w:tcPr>
            <w:tcW w:w="1636" w:type="dxa"/>
            <w:tcBorders>
              <w:top w:val="nil"/>
              <w:left w:val="nil"/>
              <w:bottom w:val="nil"/>
              <w:right w:val="nil"/>
            </w:tcBorders>
            <w:vAlign w:val="bottom"/>
          </w:tcPr>
          <w:p w14:paraId="4A4BA51C" w14:textId="77777777" w:rsidR="006971F4" w:rsidRDefault="007065EF">
            <w:pPr>
              <w:jc w:val="center"/>
              <w:rPr>
                <w:color w:val="000000"/>
                <w:sz w:val="20"/>
                <w:szCs w:val="20"/>
              </w:rPr>
            </w:pPr>
            <w:r>
              <w:rPr>
                <w:color w:val="000000"/>
                <w:sz w:val="20"/>
                <w:szCs w:val="20"/>
              </w:rPr>
              <w:t>4</w:t>
            </w:r>
          </w:p>
        </w:tc>
      </w:tr>
      <w:tr w:rsidR="006971F4" w14:paraId="59FB40B1" w14:textId="77777777">
        <w:trPr>
          <w:trHeight w:val="210"/>
          <w:jc w:val="center"/>
        </w:trPr>
        <w:tc>
          <w:tcPr>
            <w:tcW w:w="1396" w:type="dxa"/>
            <w:tcBorders>
              <w:top w:val="nil"/>
              <w:left w:val="nil"/>
              <w:bottom w:val="nil"/>
              <w:right w:val="nil"/>
            </w:tcBorders>
            <w:vAlign w:val="bottom"/>
          </w:tcPr>
          <w:p w14:paraId="42A09DBA" w14:textId="77777777" w:rsidR="006971F4" w:rsidRDefault="007065EF">
            <w:pPr>
              <w:jc w:val="center"/>
              <w:rPr>
                <w:color w:val="000000"/>
                <w:sz w:val="20"/>
                <w:szCs w:val="20"/>
              </w:rPr>
            </w:pPr>
            <w:r>
              <w:rPr>
                <w:color w:val="000000"/>
                <w:sz w:val="20"/>
                <w:szCs w:val="20"/>
              </w:rPr>
              <w:t>S12</w:t>
            </w:r>
          </w:p>
        </w:tc>
        <w:tc>
          <w:tcPr>
            <w:tcW w:w="1581" w:type="dxa"/>
            <w:tcBorders>
              <w:top w:val="nil"/>
              <w:left w:val="nil"/>
              <w:bottom w:val="nil"/>
              <w:right w:val="nil"/>
            </w:tcBorders>
            <w:vAlign w:val="bottom"/>
          </w:tcPr>
          <w:p w14:paraId="26CFB5AC" w14:textId="77777777" w:rsidR="006971F4" w:rsidRDefault="007065EF">
            <w:pPr>
              <w:jc w:val="center"/>
              <w:rPr>
                <w:color w:val="000000"/>
                <w:sz w:val="20"/>
                <w:szCs w:val="20"/>
              </w:rPr>
            </w:pPr>
            <w:r>
              <w:rPr>
                <w:color w:val="000000"/>
                <w:sz w:val="20"/>
                <w:szCs w:val="20"/>
              </w:rPr>
              <w:t>8</w:t>
            </w:r>
          </w:p>
        </w:tc>
        <w:tc>
          <w:tcPr>
            <w:tcW w:w="1211" w:type="dxa"/>
            <w:tcBorders>
              <w:top w:val="nil"/>
              <w:left w:val="nil"/>
              <w:bottom w:val="nil"/>
              <w:right w:val="nil"/>
            </w:tcBorders>
            <w:vAlign w:val="bottom"/>
          </w:tcPr>
          <w:p w14:paraId="09795DCE" w14:textId="77777777" w:rsidR="006971F4" w:rsidRDefault="007065EF">
            <w:pPr>
              <w:jc w:val="center"/>
              <w:rPr>
                <w:color w:val="000000"/>
                <w:sz w:val="20"/>
                <w:szCs w:val="20"/>
              </w:rPr>
            </w:pPr>
            <w:r>
              <w:rPr>
                <w:color w:val="000000"/>
                <w:sz w:val="20"/>
                <w:szCs w:val="20"/>
              </w:rPr>
              <w:t>10</w:t>
            </w:r>
          </w:p>
        </w:tc>
        <w:tc>
          <w:tcPr>
            <w:tcW w:w="1211" w:type="dxa"/>
            <w:tcBorders>
              <w:top w:val="nil"/>
              <w:left w:val="nil"/>
              <w:bottom w:val="nil"/>
              <w:right w:val="nil"/>
            </w:tcBorders>
            <w:vAlign w:val="bottom"/>
          </w:tcPr>
          <w:p w14:paraId="101064E8" w14:textId="77777777" w:rsidR="006971F4" w:rsidRDefault="007065EF">
            <w:pPr>
              <w:jc w:val="center"/>
              <w:rPr>
                <w:color w:val="000000"/>
                <w:sz w:val="20"/>
                <w:szCs w:val="20"/>
              </w:rPr>
            </w:pPr>
            <w:r>
              <w:rPr>
                <w:color w:val="000000"/>
                <w:sz w:val="20"/>
                <w:szCs w:val="20"/>
              </w:rPr>
              <w:t>3</w:t>
            </w:r>
          </w:p>
        </w:tc>
        <w:tc>
          <w:tcPr>
            <w:tcW w:w="1636" w:type="dxa"/>
            <w:tcBorders>
              <w:top w:val="nil"/>
              <w:left w:val="nil"/>
              <w:bottom w:val="nil"/>
              <w:right w:val="nil"/>
            </w:tcBorders>
            <w:vAlign w:val="bottom"/>
          </w:tcPr>
          <w:p w14:paraId="5FFBCD2E" w14:textId="77777777" w:rsidR="006971F4" w:rsidRDefault="007065EF">
            <w:pPr>
              <w:jc w:val="center"/>
              <w:rPr>
                <w:color w:val="000000"/>
                <w:sz w:val="20"/>
                <w:szCs w:val="20"/>
              </w:rPr>
            </w:pPr>
            <w:r>
              <w:rPr>
                <w:color w:val="000000"/>
                <w:sz w:val="20"/>
                <w:szCs w:val="20"/>
              </w:rPr>
              <w:t>6</w:t>
            </w:r>
          </w:p>
        </w:tc>
      </w:tr>
      <w:tr w:rsidR="006971F4" w14:paraId="72A297DB" w14:textId="77777777">
        <w:trPr>
          <w:trHeight w:val="210"/>
          <w:jc w:val="center"/>
        </w:trPr>
        <w:tc>
          <w:tcPr>
            <w:tcW w:w="1396" w:type="dxa"/>
            <w:tcBorders>
              <w:top w:val="nil"/>
              <w:left w:val="nil"/>
              <w:bottom w:val="nil"/>
              <w:right w:val="nil"/>
            </w:tcBorders>
            <w:vAlign w:val="bottom"/>
          </w:tcPr>
          <w:p w14:paraId="16ED9E1F" w14:textId="77777777" w:rsidR="006971F4" w:rsidRDefault="007065EF">
            <w:pPr>
              <w:jc w:val="center"/>
              <w:rPr>
                <w:color w:val="000000"/>
                <w:sz w:val="20"/>
                <w:szCs w:val="20"/>
              </w:rPr>
            </w:pPr>
            <w:r>
              <w:rPr>
                <w:color w:val="000000"/>
                <w:sz w:val="20"/>
                <w:szCs w:val="20"/>
              </w:rPr>
              <w:t>S13</w:t>
            </w:r>
          </w:p>
        </w:tc>
        <w:tc>
          <w:tcPr>
            <w:tcW w:w="1581" w:type="dxa"/>
            <w:tcBorders>
              <w:top w:val="nil"/>
              <w:left w:val="nil"/>
              <w:bottom w:val="nil"/>
              <w:right w:val="nil"/>
            </w:tcBorders>
            <w:vAlign w:val="bottom"/>
          </w:tcPr>
          <w:p w14:paraId="34D7BA3E" w14:textId="77777777" w:rsidR="006971F4" w:rsidRDefault="007065EF">
            <w:pPr>
              <w:jc w:val="center"/>
              <w:rPr>
                <w:color w:val="000000"/>
                <w:sz w:val="20"/>
                <w:szCs w:val="20"/>
              </w:rPr>
            </w:pPr>
            <w:r>
              <w:rPr>
                <w:color w:val="000000"/>
                <w:sz w:val="20"/>
                <w:szCs w:val="20"/>
              </w:rPr>
              <w:t>14</w:t>
            </w:r>
          </w:p>
        </w:tc>
        <w:tc>
          <w:tcPr>
            <w:tcW w:w="1211" w:type="dxa"/>
            <w:tcBorders>
              <w:top w:val="nil"/>
              <w:left w:val="nil"/>
              <w:bottom w:val="nil"/>
              <w:right w:val="nil"/>
            </w:tcBorders>
            <w:vAlign w:val="bottom"/>
          </w:tcPr>
          <w:p w14:paraId="5310B217" w14:textId="77777777" w:rsidR="006971F4" w:rsidRDefault="007065EF">
            <w:pPr>
              <w:jc w:val="center"/>
              <w:rPr>
                <w:color w:val="000000"/>
                <w:sz w:val="20"/>
                <w:szCs w:val="20"/>
              </w:rPr>
            </w:pPr>
            <w:r>
              <w:rPr>
                <w:color w:val="000000"/>
                <w:sz w:val="20"/>
                <w:szCs w:val="20"/>
              </w:rPr>
              <w:t>3</w:t>
            </w:r>
          </w:p>
        </w:tc>
        <w:tc>
          <w:tcPr>
            <w:tcW w:w="1211" w:type="dxa"/>
            <w:tcBorders>
              <w:top w:val="nil"/>
              <w:left w:val="nil"/>
              <w:bottom w:val="nil"/>
              <w:right w:val="nil"/>
            </w:tcBorders>
            <w:vAlign w:val="bottom"/>
          </w:tcPr>
          <w:p w14:paraId="428D06D4" w14:textId="77777777" w:rsidR="006971F4" w:rsidRDefault="007065EF">
            <w:pPr>
              <w:jc w:val="center"/>
              <w:rPr>
                <w:color w:val="000000"/>
                <w:sz w:val="20"/>
                <w:szCs w:val="20"/>
              </w:rPr>
            </w:pPr>
            <w:r>
              <w:rPr>
                <w:color w:val="000000"/>
                <w:sz w:val="20"/>
                <w:szCs w:val="20"/>
              </w:rPr>
              <w:t>2</w:t>
            </w:r>
          </w:p>
        </w:tc>
        <w:tc>
          <w:tcPr>
            <w:tcW w:w="1636" w:type="dxa"/>
            <w:tcBorders>
              <w:top w:val="nil"/>
              <w:left w:val="nil"/>
              <w:bottom w:val="nil"/>
              <w:right w:val="nil"/>
            </w:tcBorders>
            <w:vAlign w:val="bottom"/>
          </w:tcPr>
          <w:p w14:paraId="374BD120" w14:textId="77777777" w:rsidR="006971F4" w:rsidRDefault="007065EF">
            <w:pPr>
              <w:jc w:val="center"/>
              <w:rPr>
                <w:color w:val="000000"/>
                <w:sz w:val="20"/>
                <w:szCs w:val="20"/>
              </w:rPr>
            </w:pPr>
            <w:r>
              <w:rPr>
                <w:color w:val="000000"/>
                <w:sz w:val="20"/>
                <w:szCs w:val="20"/>
              </w:rPr>
              <w:t>7</w:t>
            </w:r>
          </w:p>
        </w:tc>
      </w:tr>
      <w:tr w:rsidR="006971F4" w14:paraId="682B9381" w14:textId="77777777">
        <w:trPr>
          <w:trHeight w:val="210"/>
          <w:jc w:val="center"/>
        </w:trPr>
        <w:tc>
          <w:tcPr>
            <w:tcW w:w="1396" w:type="dxa"/>
            <w:tcBorders>
              <w:top w:val="nil"/>
              <w:left w:val="nil"/>
              <w:bottom w:val="nil"/>
              <w:right w:val="nil"/>
            </w:tcBorders>
            <w:vAlign w:val="bottom"/>
          </w:tcPr>
          <w:p w14:paraId="62A8A797" w14:textId="77777777" w:rsidR="006971F4" w:rsidRDefault="007065EF">
            <w:pPr>
              <w:jc w:val="center"/>
              <w:rPr>
                <w:color w:val="000000"/>
                <w:sz w:val="20"/>
                <w:szCs w:val="20"/>
              </w:rPr>
            </w:pPr>
            <w:r>
              <w:rPr>
                <w:color w:val="000000"/>
                <w:sz w:val="20"/>
                <w:szCs w:val="20"/>
              </w:rPr>
              <w:t>S14</w:t>
            </w:r>
          </w:p>
        </w:tc>
        <w:tc>
          <w:tcPr>
            <w:tcW w:w="1581" w:type="dxa"/>
            <w:tcBorders>
              <w:top w:val="nil"/>
              <w:left w:val="nil"/>
              <w:bottom w:val="nil"/>
              <w:right w:val="nil"/>
            </w:tcBorders>
            <w:vAlign w:val="bottom"/>
          </w:tcPr>
          <w:p w14:paraId="7B322F95" w14:textId="77777777" w:rsidR="006971F4" w:rsidRDefault="007065EF">
            <w:pPr>
              <w:jc w:val="center"/>
              <w:rPr>
                <w:color w:val="000000"/>
                <w:sz w:val="20"/>
                <w:szCs w:val="20"/>
              </w:rPr>
            </w:pPr>
            <w:r>
              <w:rPr>
                <w:color w:val="000000"/>
                <w:sz w:val="20"/>
                <w:szCs w:val="20"/>
              </w:rPr>
              <w:t>11</w:t>
            </w:r>
          </w:p>
        </w:tc>
        <w:tc>
          <w:tcPr>
            <w:tcW w:w="1211" w:type="dxa"/>
            <w:tcBorders>
              <w:top w:val="nil"/>
              <w:left w:val="nil"/>
              <w:bottom w:val="nil"/>
              <w:right w:val="nil"/>
            </w:tcBorders>
            <w:vAlign w:val="bottom"/>
          </w:tcPr>
          <w:p w14:paraId="4F585E44" w14:textId="77777777" w:rsidR="006971F4" w:rsidRDefault="007065EF">
            <w:pPr>
              <w:jc w:val="center"/>
              <w:rPr>
                <w:color w:val="000000"/>
                <w:sz w:val="20"/>
                <w:szCs w:val="20"/>
              </w:rPr>
            </w:pPr>
            <w:r>
              <w:rPr>
                <w:color w:val="000000"/>
                <w:sz w:val="20"/>
                <w:szCs w:val="20"/>
              </w:rPr>
              <w:t>6</w:t>
            </w:r>
          </w:p>
        </w:tc>
        <w:tc>
          <w:tcPr>
            <w:tcW w:w="1211" w:type="dxa"/>
            <w:tcBorders>
              <w:top w:val="nil"/>
              <w:left w:val="nil"/>
              <w:bottom w:val="nil"/>
              <w:right w:val="nil"/>
            </w:tcBorders>
            <w:vAlign w:val="bottom"/>
          </w:tcPr>
          <w:p w14:paraId="0C25295A" w14:textId="77777777" w:rsidR="006971F4" w:rsidRDefault="007065EF">
            <w:pPr>
              <w:jc w:val="center"/>
              <w:rPr>
                <w:color w:val="000000"/>
                <w:sz w:val="20"/>
                <w:szCs w:val="20"/>
              </w:rPr>
            </w:pPr>
            <w:r>
              <w:rPr>
                <w:color w:val="000000"/>
                <w:sz w:val="20"/>
                <w:szCs w:val="20"/>
              </w:rPr>
              <w:t>6</w:t>
            </w:r>
          </w:p>
        </w:tc>
        <w:tc>
          <w:tcPr>
            <w:tcW w:w="1636" w:type="dxa"/>
            <w:tcBorders>
              <w:top w:val="nil"/>
              <w:left w:val="nil"/>
              <w:bottom w:val="nil"/>
              <w:right w:val="nil"/>
            </w:tcBorders>
            <w:vAlign w:val="bottom"/>
          </w:tcPr>
          <w:p w14:paraId="08B02296" w14:textId="77777777" w:rsidR="006971F4" w:rsidRDefault="007065EF">
            <w:pPr>
              <w:jc w:val="center"/>
              <w:rPr>
                <w:color w:val="000000"/>
                <w:sz w:val="20"/>
                <w:szCs w:val="20"/>
              </w:rPr>
            </w:pPr>
            <w:r>
              <w:rPr>
                <w:color w:val="000000"/>
                <w:sz w:val="20"/>
                <w:szCs w:val="20"/>
              </w:rPr>
              <w:t>11</w:t>
            </w:r>
          </w:p>
        </w:tc>
      </w:tr>
      <w:tr w:rsidR="006971F4" w14:paraId="082CB775" w14:textId="77777777">
        <w:trPr>
          <w:trHeight w:val="210"/>
          <w:jc w:val="center"/>
        </w:trPr>
        <w:tc>
          <w:tcPr>
            <w:tcW w:w="1396" w:type="dxa"/>
            <w:tcBorders>
              <w:top w:val="nil"/>
              <w:left w:val="nil"/>
              <w:bottom w:val="single" w:sz="4" w:space="0" w:color="000000"/>
              <w:right w:val="nil"/>
            </w:tcBorders>
            <w:vAlign w:val="bottom"/>
          </w:tcPr>
          <w:p w14:paraId="6AC6B2D9" w14:textId="77777777" w:rsidR="006971F4" w:rsidRDefault="007065EF">
            <w:pPr>
              <w:jc w:val="center"/>
              <w:rPr>
                <w:color w:val="000000"/>
                <w:sz w:val="20"/>
                <w:szCs w:val="20"/>
              </w:rPr>
            </w:pPr>
            <w:r>
              <w:rPr>
                <w:color w:val="000000"/>
                <w:sz w:val="20"/>
                <w:szCs w:val="20"/>
              </w:rPr>
              <w:lastRenderedPageBreak/>
              <w:t>S15</w:t>
            </w:r>
          </w:p>
        </w:tc>
        <w:tc>
          <w:tcPr>
            <w:tcW w:w="1581" w:type="dxa"/>
            <w:tcBorders>
              <w:top w:val="nil"/>
              <w:left w:val="nil"/>
              <w:bottom w:val="single" w:sz="4" w:space="0" w:color="000000"/>
              <w:right w:val="nil"/>
            </w:tcBorders>
            <w:vAlign w:val="bottom"/>
          </w:tcPr>
          <w:p w14:paraId="63C819C1" w14:textId="77777777" w:rsidR="006971F4" w:rsidRDefault="007065EF">
            <w:pPr>
              <w:jc w:val="center"/>
              <w:rPr>
                <w:color w:val="000000"/>
                <w:sz w:val="20"/>
                <w:szCs w:val="20"/>
              </w:rPr>
            </w:pPr>
            <w:r>
              <w:rPr>
                <w:color w:val="000000"/>
                <w:sz w:val="20"/>
                <w:szCs w:val="20"/>
              </w:rPr>
              <w:t>4</w:t>
            </w:r>
          </w:p>
        </w:tc>
        <w:tc>
          <w:tcPr>
            <w:tcW w:w="1211" w:type="dxa"/>
            <w:tcBorders>
              <w:top w:val="nil"/>
              <w:left w:val="nil"/>
              <w:bottom w:val="single" w:sz="4" w:space="0" w:color="000000"/>
              <w:right w:val="nil"/>
            </w:tcBorders>
            <w:vAlign w:val="bottom"/>
          </w:tcPr>
          <w:p w14:paraId="0E90E2C0" w14:textId="77777777" w:rsidR="006971F4" w:rsidRDefault="007065EF">
            <w:pPr>
              <w:jc w:val="center"/>
              <w:rPr>
                <w:color w:val="000000"/>
                <w:sz w:val="20"/>
                <w:szCs w:val="20"/>
              </w:rPr>
            </w:pPr>
            <w:r>
              <w:rPr>
                <w:color w:val="000000"/>
                <w:sz w:val="20"/>
                <w:szCs w:val="20"/>
              </w:rPr>
              <w:t>7</w:t>
            </w:r>
          </w:p>
        </w:tc>
        <w:tc>
          <w:tcPr>
            <w:tcW w:w="1211" w:type="dxa"/>
            <w:tcBorders>
              <w:top w:val="nil"/>
              <w:left w:val="nil"/>
              <w:bottom w:val="single" w:sz="4" w:space="0" w:color="000000"/>
              <w:right w:val="nil"/>
            </w:tcBorders>
            <w:vAlign w:val="bottom"/>
          </w:tcPr>
          <w:p w14:paraId="675786DC" w14:textId="77777777" w:rsidR="006971F4" w:rsidRDefault="007065EF">
            <w:pPr>
              <w:jc w:val="center"/>
              <w:rPr>
                <w:color w:val="000000"/>
                <w:sz w:val="20"/>
                <w:szCs w:val="20"/>
              </w:rPr>
            </w:pPr>
            <w:r>
              <w:rPr>
                <w:color w:val="000000"/>
                <w:sz w:val="20"/>
                <w:szCs w:val="20"/>
              </w:rPr>
              <w:t>5</w:t>
            </w:r>
          </w:p>
        </w:tc>
        <w:tc>
          <w:tcPr>
            <w:tcW w:w="1636" w:type="dxa"/>
            <w:tcBorders>
              <w:top w:val="nil"/>
              <w:left w:val="nil"/>
              <w:bottom w:val="single" w:sz="4" w:space="0" w:color="000000"/>
              <w:right w:val="nil"/>
            </w:tcBorders>
            <w:vAlign w:val="bottom"/>
          </w:tcPr>
          <w:p w14:paraId="23DD9F15" w14:textId="77777777" w:rsidR="006971F4" w:rsidRDefault="007065EF">
            <w:pPr>
              <w:jc w:val="center"/>
              <w:rPr>
                <w:color w:val="000000"/>
                <w:sz w:val="20"/>
                <w:szCs w:val="20"/>
              </w:rPr>
            </w:pPr>
            <w:r>
              <w:rPr>
                <w:color w:val="000000"/>
                <w:sz w:val="20"/>
                <w:szCs w:val="20"/>
              </w:rPr>
              <w:t>2</w:t>
            </w:r>
          </w:p>
        </w:tc>
      </w:tr>
    </w:tbl>
    <w:p w14:paraId="3686BA47" w14:textId="77777777" w:rsidR="006971F4" w:rsidRDefault="006971F4">
      <w:pPr>
        <w:pBdr>
          <w:top w:val="nil"/>
          <w:left w:val="nil"/>
          <w:bottom w:val="nil"/>
          <w:right w:val="nil"/>
          <w:between w:val="nil"/>
        </w:pBdr>
        <w:spacing w:before="120"/>
        <w:jc w:val="center"/>
        <w:rPr>
          <w:b/>
          <w:bCs/>
          <w:color w:val="000000"/>
          <w:sz w:val="18"/>
          <w:szCs w:val="18"/>
        </w:rPr>
      </w:pPr>
    </w:p>
    <w:p w14:paraId="69A5072A" w14:textId="77777777" w:rsidR="006971F4" w:rsidRDefault="007065EF">
      <w:pPr>
        <w:pBdr>
          <w:top w:val="nil"/>
          <w:left w:val="nil"/>
          <w:bottom w:val="nil"/>
          <w:right w:val="nil"/>
          <w:between w:val="nil"/>
        </w:pBdr>
        <w:spacing w:before="120"/>
        <w:jc w:val="center"/>
        <w:rPr>
          <w:color w:val="000000"/>
          <w:sz w:val="18"/>
          <w:szCs w:val="18"/>
        </w:rPr>
      </w:pPr>
      <w:r>
        <w:rPr>
          <w:b/>
          <w:bCs/>
          <w:color w:val="000000"/>
          <w:sz w:val="18"/>
          <w:szCs w:val="18"/>
        </w:rPr>
        <w:t>TABLE 3.</w:t>
      </w:r>
      <w:r>
        <w:rPr>
          <w:color w:val="000000"/>
          <w:sz w:val="18"/>
          <w:szCs w:val="18"/>
        </w:rPr>
        <w:t xml:space="preserve"> RMSE values for IFPR, NIFPR, and Robust NIFPR models in comparison with actual ROI rankings.</w:t>
      </w:r>
    </w:p>
    <w:tbl>
      <w:tblPr>
        <w:tblStyle w:val="aa"/>
        <w:tblW w:w="3671" w:type="dxa"/>
        <w:jc w:val="center"/>
        <w:tblLayout w:type="fixed"/>
        <w:tblLook w:val="0400" w:firstRow="0" w:lastRow="0" w:firstColumn="0" w:lastColumn="0" w:noHBand="0" w:noVBand="1"/>
      </w:tblPr>
      <w:tblGrid>
        <w:gridCol w:w="2273"/>
        <w:gridCol w:w="1398"/>
      </w:tblGrid>
      <w:tr w:rsidR="006971F4" w14:paraId="6073B2DA" w14:textId="77777777">
        <w:trPr>
          <w:trHeight w:val="270"/>
          <w:jc w:val="center"/>
        </w:trPr>
        <w:tc>
          <w:tcPr>
            <w:tcW w:w="2273" w:type="dxa"/>
            <w:tcBorders>
              <w:top w:val="single" w:sz="4" w:space="0" w:color="000000"/>
              <w:left w:val="nil"/>
              <w:bottom w:val="single" w:sz="4" w:space="0" w:color="000000"/>
              <w:right w:val="nil"/>
            </w:tcBorders>
            <w:vAlign w:val="center"/>
          </w:tcPr>
          <w:p w14:paraId="7B10BA22" w14:textId="77777777" w:rsidR="006971F4" w:rsidRDefault="007065EF">
            <w:pPr>
              <w:jc w:val="both"/>
              <w:rPr>
                <w:b/>
                <w:bCs/>
                <w:color w:val="000000"/>
                <w:sz w:val="20"/>
                <w:szCs w:val="20"/>
              </w:rPr>
            </w:pPr>
            <w:r>
              <w:rPr>
                <w:b/>
                <w:bCs/>
                <w:color w:val="000000"/>
                <w:sz w:val="20"/>
                <w:szCs w:val="20"/>
              </w:rPr>
              <w:t>Model</w:t>
            </w:r>
          </w:p>
        </w:tc>
        <w:tc>
          <w:tcPr>
            <w:tcW w:w="1398" w:type="dxa"/>
            <w:tcBorders>
              <w:top w:val="single" w:sz="4" w:space="0" w:color="000000"/>
              <w:left w:val="nil"/>
              <w:bottom w:val="single" w:sz="4" w:space="0" w:color="000000"/>
              <w:right w:val="nil"/>
            </w:tcBorders>
            <w:vAlign w:val="bottom"/>
          </w:tcPr>
          <w:p w14:paraId="4BC1AF6C" w14:textId="77777777" w:rsidR="006971F4" w:rsidRDefault="007065EF">
            <w:pPr>
              <w:jc w:val="both"/>
              <w:rPr>
                <w:b/>
                <w:bCs/>
                <w:color w:val="000000"/>
                <w:sz w:val="20"/>
                <w:szCs w:val="20"/>
              </w:rPr>
            </w:pPr>
            <w:r>
              <w:rPr>
                <w:b/>
                <w:bCs/>
                <w:color w:val="000000"/>
                <w:sz w:val="20"/>
                <w:szCs w:val="20"/>
              </w:rPr>
              <w:t>RMSE Value</w:t>
            </w:r>
          </w:p>
        </w:tc>
      </w:tr>
      <w:tr w:rsidR="006971F4" w14:paraId="7CA65D9C" w14:textId="77777777">
        <w:trPr>
          <w:trHeight w:val="270"/>
          <w:jc w:val="center"/>
        </w:trPr>
        <w:tc>
          <w:tcPr>
            <w:tcW w:w="2273" w:type="dxa"/>
            <w:tcBorders>
              <w:top w:val="nil"/>
              <w:left w:val="nil"/>
              <w:bottom w:val="nil"/>
              <w:right w:val="nil"/>
            </w:tcBorders>
            <w:vAlign w:val="bottom"/>
          </w:tcPr>
          <w:p w14:paraId="51A12F42" w14:textId="77777777" w:rsidR="006971F4" w:rsidRDefault="007065EF">
            <w:pPr>
              <w:jc w:val="both"/>
              <w:rPr>
                <w:color w:val="000000"/>
                <w:sz w:val="20"/>
                <w:szCs w:val="20"/>
              </w:rPr>
            </w:pPr>
            <w:r>
              <w:rPr>
                <w:color w:val="000000"/>
                <w:sz w:val="20"/>
                <w:szCs w:val="20"/>
              </w:rPr>
              <w:t>IFPR</w:t>
            </w:r>
          </w:p>
        </w:tc>
        <w:tc>
          <w:tcPr>
            <w:tcW w:w="1398" w:type="dxa"/>
            <w:tcBorders>
              <w:top w:val="nil"/>
              <w:left w:val="nil"/>
              <w:bottom w:val="nil"/>
              <w:right w:val="nil"/>
            </w:tcBorders>
            <w:vAlign w:val="bottom"/>
          </w:tcPr>
          <w:p w14:paraId="2F9EDD8E" w14:textId="77777777" w:rsidR="006971F4" w:rsidRDefault="007065EF">
            <w:pPr>
              <w:jc w:val="both"/>
              <w:rPr>
                <w:color w:val="000000"/>
                <w:sz w:val="20"/>
                <w:szCs w:val="20"/>
              </w:rPr>
            </w:pPr>
            <w:r>
              <w:rPr>
                <w:color w:val="000000"/>
                <w:sz w:val="20"/>
                <w:szCs w:val="20"/>
              </w:rPr>
              <w:t>6.46</w:t>
            </w:r>
          </w:p>
        </w:tc>
      </w:tr>
      <w:tr w:rsidR="006971F4" w14:paraId="6872C4ED" w14:textId="77777777">
        <w:trPr>
          <w:trHeight w:val="270"/>
          <w:jc w:val="center"/>
        </w:trPr>
        <w:tc>
          <w:tcPr>
            <w:tcW w:w="2273" w:type="dxa"/>
            <w:tcBorders>
              <w:top w:val="nil"/>
              <w:left w:val="nil"/>
              <w:bottom w:val="nil"/>
              <w:right w:val="nil"/>
            </w:tcBorders>
            <w:vAlign w:val="bottom"/>
          </w:tcPr>
          <w:p w14:paraId="15621F63" w14:textId="77777777" w:rsidR="006971F4" w:rsidRDefault="007065EF">
            <w:pPr>
              <w:jc w:val="both"/>
              <w:rPr>
                <w:color w:val="000000"/>
                <w:sz w:val="20"/>
                <w:szCs w:val="20"/>
              </w:rPr>
            </w:pPr>
            <w:r>
              <w:rPr>
                <w:color w:val="000000"/>
                <w:sz w:val="20"/>
                <w:szCs w:val="20"/>
              </w:rPr>
              <w:t>NIFPR</w:t>
            </w:r>
          </w:p>
        </w:tc>
        <w:tc>
          <w:tcPr>
            <w:tcW w:w="1398" w:type="dxa"/>
            <w:tcBorders>
              <w:top w:val="nil"/>
              <w:left w:val="nil"/>
              <w:bottom w:val="nil"/>
              <w:right w:val="nil"/>
            </w:tcBorders>
            <w:vAlign w:val="bottom"/>
          </w:tcPr>
          <w:p w14:paraId="705ADA3A" w14:textId="77777777" w:rsidR="006971F4" w:rsidRDefault="007065EF">
            <w:pPr>
              <w:jc w:val="both"/>
              <w:rPr>
                <w:color w:val="000000"/>
                <w:sz w:val="20"/>
                <w:szCs w:val="20"/>
              </w:rPr>
            </w:pPr>
            <w:r>
              <w:rPr>
                <w:color w:val="000000"/>
                <w:sz w:val="20"/>
                <w:szCs w:val="20"/>
              </w:rPr>
              <w:t>5.20</w:t>
            </w:r>
          </w:p>
        </w:tc>
      </w:tr>
      <w:tr w:rsidR="006971F4" w14:paraId="617E4DA0" w14:textId="77777777">
        <w:trPr>
          <w:trHeight w:val="270"/>
          <w:jc w:val="center"/>
        </w:trPr>
        <w:tc>
          <w:tcPr>
            <w:tcW w:w="2273" w:type="dxa"/>
            <w:tcBorders>
              <w:top w:val="nil"/>
              <w:left w:val="nil"/>
              <w:bottom w:val="single" w:sz="4" w:space="0" w:color="000000"/>
              <w:right w:val="nil"/>
            </w:tcBorders>
            <w:vAlign w:val="bottom"/>
          </w:tcPr>
          <w:p w14:paraId="15F99AA2" w14:textId="77777777" w:rsidR="006971F4" w:rsidRDefault="007065EF">
            <w:pPr>
              <w:jc w:val="both"/>
              <w:rPr>
                <w:color w:val="000000"/>
                <w:sz w:val="20"/>
                <w:szCs w:val="20"/>
              </w:rPr>
            </w:pPr>
            <w:r>
              <w:rPr>
                <w:color w:val="000000"/>
                <w:sz w:val="20"/>
                <w:szCs w:val="20"/>
              </w:rPr>
              <w:t>Robust NIFPR</w:t>
            </w:r>
          </w:p>
        </w:tc>
        <w:tc>
          <w:tcPr>
            <w:tcW w:w="1398" w:type="dxa"/>
            <w:tcBorders>
              <w:top w:val="nil"/>
              <w:left w:val="nil"/>
              <w:bottom w:val="single" w:sz="4" w:space="0" w:color="000000"/>
              <w:right w:val="nil"/>
            </w:tcBorders>
            <w:vAlign w:val="bottom"/>
          </w:tcPr>
          <w:p w14:paraId="23ADE6DC" w14:textId="77777777" w:rsidR="006971F4" w:rsidRDefault="007065EF">
            <w:pPr>
              <w:jc w:val="both"/>
              <w:rPr>
                <w:color w:val="000000"/>
                <w:sz w:val="20"/>
                <w:szCs w:val="20"/>
              </w:rPr>
            </w:pPr>
            <w:r>
              <w:rPr>
                <w:color w:val="000000"/>
                <w:sz w:val="20"/>
                <w:szCs w:val="20"/>
              </w:rPr>
              <w:t>5.05</w:t>
            </w:r>
          </w:p>
        </w:tc>
      </w:tr>
    </w:tbl>
    <w:p w14:paraId="4574ECCF" w14:textId="77777777" w:rsidR="006971F4" w:rsidRDefault="007065EF">
      <w:pPr>
        <w:pStyle w:val="Heading1"/>
      </w:pPr>
      <w:r>
        <w:t>Conclusion</w:t>
      </w:r>
    </w:p>
    <w:p w14:paraId="31AD9A71" w14:textId="77777777" w:rsidR="006971F4" w:rsidRDefault="007065EF">
      <w:pPr>
        <w:ind w:firstLine="284"/>
        <w:jc w:val="both"/>
        <w:rPr>
          <w:sz w:val="20"/>
          <w:szCs w:val="20"/>
        </w:rPr>
      </w:pPr>
      <w:r>
        <w:rPr>
          <w:sz w:val="20"/>
          <w:szCs w:val="20"/>
        </w:rPr>
        <w:t>The</w:t>
      </w:r>
      <w:r>
        <w:rPr>
          <w:sz w:val="20"/>
          <w:szCs w:val="20"/>
        </w:rPr>
        <w:t xml:space="preserve"> results demonstrate that the NIFPR model with robust median-based normalization outperforms earlier approaches in portfolio decision-making. By integrating intuitionistic fuzzy theory, the model captures membership, non-membership, and hesitation degrees, while network-based modelling ensures transparency by representing interdependencies among criteria. The inclusion of median-based normalization further enhances robustness by reducing the influence of extreme values. Furthermore, these elements provide a</w:t>
      </w:r>
      <w:r>
        <w:rPr>
          <w:sz w:val="20"/>
          <w:szCs w:val="20"/>
        </w:rPr>
        <w:t xml:space="preserve"> more realistic, interpretable, and stable decision-making process. The analysis indicates that the proposed model’s effectiveness in producing rankings that are both statistically reliable and managerially meaningful. Future research may extend this model by exploring additional constraints, applying it to broader datasets, or incorporating machine learning techniques to enhance automation and adaptability in financial decision-making.</w:t>
      </w:r>
    </w:p>
    <w:p w14:paraId="6C0AA156" w14:textId="77777777" w:rsidR="006971F4" w:rsidRDefault="007065EF">
      <w:pPr>
        <w:pBdr>
          <w:top w:val="nil"/>
          <w:left w:val="nil"/>
          <w:bottom w:val="nil"/>
          <w:right w:val="nil"/>
          <w:between w:val="nil"/>
        </w:pBdr>
        <w:ind w:firstLine="284"/>
        <w:jc w:val="both"/>
        <w:rPr>
          <w:color w:val="000000"/>
          <w:sz w:val="20"/>
          <w:szCs w:val="20"/>
        </w:rPr>
      </w:pPr>
      <w:r>
        <w:rPr>
          <w:color w:val="000000"/>
          <w:sz w:val="20"/>
          <w:szCs w:val="20"/>
        </w:rPr>
        <w:t xml:space="preserve"> </w:t>
      </w:r>
    </w:p>
    <w:p w14:paraId="6EDC5A99" w14:textId="77777777" w:rsidR="006971F4" w:rsidRDefault="007065EF">
      <w:pPr>
        <w:pStyle w:val="Heading1"/>
      </w:pPr>
      <w:r>
        <w:t>Acknowledgments</w:t>
      </w:r>
    </w:p>
    <w:p w14:paraId="168C9140" w14:textId="77777777" w:rsidR="006971F4" w:rsidRDefault="007065EF">
      <w:pPr>
        <w:pBdr>
          <w:top w:val="nil"/>
          <w:left w:val="nil"/>
          <w:bottom w:val="nil"/>
          <w:right w:val="nil"/>
          <w:between w:val="nil"/>
        </w:pBdr>
        <w:ind w:firstLine="284"/>
        <w:jc w:val="both"/>
        <w:rPr>
          <w:color w:val="000000"/>
          <w:sz w:val="20"/>
          <w:szCs w:val="20"/>
        </w:rPr>
      </w:pPr>
      <w:r>
        <w:rPr>
          <w:color w:val="000000"/>
          <w:sz w:val="20"/>
          <w:szCs w:val="20"/>
        </w:rPr>
        <w:t>The authors declare no funding was received for this research.</w:t>
      </w:r>
    </w:p>
    <w:p w14:paraId="29AD0CDB" w14:textId="77777777" w:rsidR="006971F4" w:rsidRDefault="006971F4">
      <w:pPr>
        <w:pBdr>
          <w:top w:val="nil"/>
          <w:left w:val="nil"/>
          <w:bottom w:val="nil"/>
          <w:right w:val="nil"/>
          <w:between w:val="nil"/>
        </w:pBdr>
        <w:ind w:firstLine="284"/>
        <w:jc w:val="both"/>
        <w:rPr>
          <w:color w:val="000000"/>
          <w:sz w:val="20"/>
          <w:szCs w:val="20"/>
        </w:rPr>
      </w:pPr>
    </w:p>
    <w:p w14:paraId="6ED307C5" w14:textId="77777777" w:rsidR="006971F4" w:rsidRDefault="007065EF">
      <w:pPr>
        <w:pStyle w:val="Heading1"/>
      </w:pPr>
      <w:r>
        <w:t>References</w:t>
      </w:r>
    </w:p>
    <w:p w14:paraId="30DE0515" w14:textId="77777777" w:rsidR="006971F4" w:rsidRDefault="007065EF">
      <w:pPr>
        <w:numPr>
          <w:ilvl w:val="0"/>
          <w:numId w:val="1"/>
        </w:numPr>
        <w:pBdr>
          <w:top w:val="nil"/>
          <w:left w:val="nil"/>
          <w:bottom w:val="nil"/>
          <w:right w:val="nil"/>
          <w:between w:val="nil"/>
        </w:pBdr>
        <w:jc w:val="both"/>
        <w:rPr>
          <w:color w:val="000000"/>
          <w:sz w:val="20"/>
          <w:szCs w:val="20"/>
        </w:rPr>
      </w:pPr>
      <w:r>
        <w:rPr>
          <w:color w:val="000000"/>
          <w:sz w:val="20"/>
          <w:szCs w:val="20"/>
        </w:rPr>
        <w:t xml:space="preserve">ROAE. Roszkowska, M. Kusterka-Jefmańska, and B. Jefmański, Entropy </w:t>
      </w:r>
      <w:r>
        <w:rPr>
          <w:b/>
          <w:bCs/>
          <w:color w:val="000000"/>
          <w:sz w:val="20"/>
          <w:szCs w:val="20"/>
        </w:rPr>
        <w:t>23</w:t>
      </w:r>
      <w:r>
        <w:rPr>
          <w:color w:val="000000"/>
          <w:sz w:val="20"/>
          <w:szCs w:val="20"/>
        </w:rPr>
        <w:t>, 563 (2021).</w:t>
      </w:r>
    </w:p>
    <w:p w14:paraId="5075BB7D" w14:textId="77777777" w:rsidR="006971F4" w:rsidRDefault="007065EF">
      <w:pPr>
        <w:numPr>
          <w:ilvl w:val="0"/>
          <w:numId w:val="1"/>
        </w:numPr>
        <w:pBdr>
          <w:top w:val="nil"/>
          <w:left w:val="nil"/>
          <w:bottom w:val="nil"/>
          <w:right w:val="nil"/>
          <w:between w:val="nil"/>
        </w:pBdr>
        <w:jc w:val="both"/>
        <w:rPr>
          <w:color w:val="000000"/>
          <w:sz w:val="20"/>
          <w:szCs w:val="20"/>
        </w:rPr>
      </w:pPr>
      <w:r>
        <w:rPr>
          <w:color w:val="000000"/>
          <w:sz w:val="20"/>
          <w:szCs w:val="20"/>
        </w:rPr>
        <w:t xml:space="preserve">X. Wang, Y. Chen, J. Jin, and L. Zhang, </w:t>
      </w:r>
      <w:r>
        <w:rPr>
          <w:i/>
          <w:iCs/>
          <w:color w:val="000000"/>
          <w:sz w:val="20"/>
          <w:szCs w:val="20"/>
        </w:rPr>
        <w:t>Sci. Rep</w:t>
      </w:r>
      <w:r>
        <w:rPr>
          <w:color w:val="000000"/>
          <w:sz w:val="20"/>
          <w:szCs w:val="20"/>
        </w:rPr>
        <w:t xml:space="preserve">. </w:t>
      </w:r>
      <w:r>
        <w:rPr>
          <w:b/>
          <w:bCs/>
          <w:color w:val="000000"/>
          <w:sz w:val="20"/>
          <w:szCs w:val="20"/>
        </w:rPr>
        <w:t>12</w:t>
      </w:r>
      <w:r>
        <w:rPr>
          <w:color w:val="000000"/>
          <w:sz w:val="20"/>
          <w:szCs w:val="20"/>
        </w:rPr>
        <w:t>, 16279 (2022).</w:t>
      </w:r>
    </w:p>
    <w:p w14:paraId="4FA6817A" w14:textId="77777777" w:rsidR="006971F4" w:rsidRDefault="007065EF">
      <w:pPr>
        <w:numPr>
          <w:ilvl w:val="0"/>
          <w:numId w:val="1"/>
        </w:numPr>
        <w:pBdr>
          <w:top w:val="nil"/>
          <w:left w:val="nil"/>
          <w:bottom w:val="nil"/>
          <w:right w:val="nil"/>
          <w:between w:val="nil"/>
        </w:pBdr>
        <w:jc w:val="both"/>
        <w:rPr>
          <w:color w:val="000000"/>
          <w:sz w:val="20"/>
          <w:szCs w:val="20"/>
        </w:rPr>
      </w:pPr>
      <w:r>
        <w:rPr>
          <w:color w:val="000000"/>
          <w:sz w:val="20"/>
          <w:szCs w:val="20"/>
        </w:rPr>
        <w:t xml:space="preserve">A. Asemi, M. S. Baba, A. Asemi, R. B. H. Abdullah, and N. Idris, Fuzzy Multi Criteria Decision Making Applications: A Review Study, </w:t>
      </w:r>
      <w:r>
        <w:rPr>
          <w:i/>
          <w:iCs/>
          <w:color w:val="000000"/>
          <w:sz w:val="20"/>
          <w:szCs w:val="20"/>
        </w:rPr>
        <w:t>Proceedings of the 3rd International Conference on Computer Engineering and Mathematical Sciences (ICCEMS 2014)</w:t>
      </w:r>
      <w:r>
        <w:rPr>
          <w:color w:val="000000"/>
          <w:sz w:val="20"/>
          <w:szCs w:val="20"/>
        </w:rPr>
        <w:t> (AIP Publishing, 2014), pp. 344–351.</w:t>
      </w:r>
    </w:p>
    <w:p w14:paraId="41C201B5" w14:textId="77777777" w:rsidR="006971F4" w:rsidRDefault="007065EF">
      <w:pPr>
        <w:numPr>
          <w:ilvl w:val="0"/>
          <w:numId w:val="1"/>
        </w:numPr>
        <w:pBdr>
          <w:top w:val="nil"/>
          <w:left w:val="nil"/>
          <w:bottom w:val="nil"/>
          <w:right w:val="nil"/>
          <w:between w:val="nil"/>
        </w:pBdr>
        <w:jc w:val="both"/>
        <w:rPr>
          <w:color w:val="000000"/>
          <w:sz w:val="20"/>
          <w:szCs w:val="20"/>
        </w:rPr>
      </w:pPr>
      <w:r>
        <w:rPr>
          <w:color w:val="000000"/>
          <w:sz w:val="20"/>
          <w:szCs w:val="20"/>
        </w:rPr>
        <w:t xml:space="preserve">J. P. Devi, S. Sripriya, D. Amutha, and M. Selvaraj, Int. J. Res. Appl. Sci. Eng. Technol. </w:t>
      </w:r>
      <w:r>
        <w:rPr>
          <w:b/>
          <w:bCs/>
          <w:color w:val="000000"/>
          <w:sz w:val="20"/>
          <w:szCs w:val="20"/>
        </w:rPr>
        <w:t>13</w:t>
      </w:r>
      <w:r>
        <w:rPr>
          <w:color w:val="000000"/>
          <w:sz w:val="20"/>
          <w:szCs w:val="20"/>
        </w:rPr>
        <w:t>, (2025).</w:t>
      </w:r>
    </w:p>
    <w:p w14:paraId="4AC8552B" w14:textId="77777777" w:rsidR="006971F4" w:rsidRDefault="007065EF">
      <w:pPr>
        <w:numPr>
          <w:ilvl w:val="0"/>
          <w:numId w:val="1"/>
        </w:numPr>
        <w:pBdr>
          <w:top w:val="nil"/>
          <w:left w:val="nil"/>
          <w:bottom w:val="nil"/>
          <w:right w:val="nil"/>
          <w:between w:val="nil"/>
        </w:pBdr>
        <w:jc w:val="both"/>
        <w:rPr>
          <w:color w:val="000000"/>
          <w:sz w:val="20"/>
          <w:szCs w:val="20"/>
        </w:rPr>
      </w:pPr>
      <w:r>
        <w:rPr>
          <w:color w:val="000000"/>
          <w:sz w:val="20"/>
          <w:szCs w:val="20"/>
        </w:rPr>
        <w:t>S. P. Baral, P. K. Parida, and D. Sahoo, </w:t>
      </w:r>
      <w:r>
        <w:rPr>
          <w:i/>
          <w:iCs/>
          <w:color w:val="000000"/>
          <w:sz w:val="20"/>
          <w:szCs w:val="20"/>
        </w:rPr>
        <w:t>Procedia Computer Science</w:t>
      </w:r>
      <w:r>
        <w:rPr>
          <w:color w:val="000000"/>
          <w:sz w:val="20"/>
          <w:szCs w:val="20"/>
        </w:rPr>
        <w:t> </w:t>
      </w:r>
      <w:r>
        <w:rPr>
          <w:b/>
          <w:bCs/>
          <w:color w:val="000000"/>
          <w:sz w:val="20"/>
          <w:szCs w:val="20"/>
        </w:rPr>
        <w:t>218</w:t>
      </w:r>
      <w:r>
        <w:rPr>
          <w:color w:val="000000"/>
          <w:sz w:val="20"/>
          <w:szCs w:val="20"/>
        </w:rPr>
        <w:t>, 2304–2314 (2023).</w:t>
      </w:r>
    </w:p>
    <w:p w14:paraId="0278395A" w14:textId="77777777" w:rsidR="006971F4" w:rsidRDefault="007065EF">
      <w:pPr>
        <w:numPr>
          <w:ilvl w:val="0"/>
          <w:numId w:val="1"/>
        </w:numPr>
        <w:pBdr>
          <w:top w:val="nil"/>
          <w:left w:val="nil"/>
          <w:bottom w:val="nil"/>
          <w:right w:val="nil"/>
          <w:between w:val="nil"/>
        </w:pBdr>
        <w:jc w:val="both"/>
        <w:rPr>
          <w:color w:val="000000"/>
          <w:sz w:val="20"/>
          <w:szCs w:val="20"/>
        </w:rPr>
      </w:pPr>
      <w:r>
        <w:rPr>
          <w:color w:val="000000"/>
          <w:sz w:val="20"/>
          <w:szCs w:val="20"/>
        </w:rPr>
        <w:t xml:space="preserve">J. Li, L. Niu, Q. Chen, Z. X. Wang, and W. Li, </w:t>
      </w:r>
      <w:r>
        <w:rPr>
          <w:i/>
          <w:iCs/>
          <w:color w:val="000000"/>
          <w:sz w:val="20"/>
          <w:szCs w:val="20"/>
        </w:rPr>
        <w:t>Complex &amp; Intelligent Systems</w:t>
      </w:r>
      <w:r>
        <w:rPr>
          <w:color w:val="000000"/>
          <w:sz w:val="20"/>
          <w:szCs w:val="20"/>
        </w:rPr>
        <w:t> </w:t>
      </w:r>
      <w:r>
        <w:rPr>
          <w:b/>
          <w:bCs/>
          <w:color w:val="000000"/>
          <w:sz w:val="20"/>
          <w:szCs w:val="20"/>
        </w:rPr>
        <w:t>8</w:t>
      </w:r>
      <w:r>
        <w:rPr>
          <w:color w:val="000000"/>
          <w:sz w:val="20"/>
          <w:szCs w:val="20"/>
        </w:rPr>
        <w:t>, 2203–2225 (2022).</w:t>
      </w:r>
    </w:p>
    <w:p w14:paraId="593CE64B" w14:textId="77777777" w:rsidR="006971F4" w:rsidRDefault="007065EF">
      <w:pPr>
        <w:numPr>
          <w:ilvl w:val="0"/>
          <w:numId w:val="1"/>
        </w:numPr>
        <w:pBdr>
          <w:top w:val="nil"/>
          <w:left w:val="nil"/>
          <w:bottom w:val="nil"/>
          <w:right w:val="nil"/>
          <w:between w:val="nil"/>
        </w:pBdr>
        <w:jc w:val="both"/>
        <w:rPr>
          <w:color w:val="000000"/>
          <w:sz w:val="20"/>
          <w:szCs w:val="20"/>
        </w:rPr>
      </w:pPr>
      <w:r>
        <w:rPr>
          <w:color w:val="000000"/>
          <w:sz w:val="20"/>
          <w:szCs w:val="20"/>
        </w:rPr>
        <w:t>T.C. Wang and S.L. Huang, Soft Computing </w:t>
      </w:r>
      <w:r>
        <w:rPr>
          <w:b/>
          <w:bCs/>
          <w:color w:val="000000"/>
          <w:sz w:val="20"/>
          <w:szCs w:val="20"/>
        </w:rPr>
        <w:t>27</w:t>
      </w:r>
      <w:r>
        <w:rPr>
          <w:color w:val="000000"/>
          <w:sz w:val="20"/>
          <w:szCs w:val="20"/>
        </w:rPr>
        <w:t>, 2299–2323 (2023).</w:t>
      </w:r>
    </w:p>
    <w:p w14:paraId="105BB8B9" w14:textId="77777777" w:rsidR="006971F4" w:rsidRDefault="007065EF">
      <w:pPr>
        <w:numPr>
          <w:ilvl w:val="0"/>
          <w:numId w:val="1"/>
        </w:numPr>
        <w:pBdr>
          <w:top w:val="nil"/>
          <w:left w:val="nil"/>
          <w:bottom w:val="nil"/>
          <w:right w:val="nil"/>
          <w:between w:val="nil"/>
        </w:pBdr>
        <w:jc w:val="both"/>
        <w:rPr>
          <w:color w:val="000000"/>
          <w:sz w:val="20"/>
          <w:szCs w:val="20"/>
        </w:rPr>
      </w:pPr>
      <w:r>
        <w:rPr>
          <w:color w:val="000000"/>
          <w:sz w:val="20"/>
          <w:szCs w:val="20"/>
        </w:rPr>
        <w:t>K. T. Atanassov, Fuzzy Sets and Systems </w:t>
      </w:r>
      <w:r>
        <w:rPr>
          <w:b/>
          <w:bCs/>
          <w:color w:val="000000"/>
          <w:sz w:val="20"/>
          <w:szCs w:val="20"/>
        </w:rPr>
        <w:t>20</w:t>
      </w:r>
      <w:r>
        <w:rPr>
          <w:color w:val="000000"/>
          <w:sz w:val="20"/>
          <w:szCs w:val="20"/>
        </w:rPr>
        <w:t>, 87–96 (1986).</w:t>
      </w:r>
    </w:p>
    <w:p w14:paraId="29CA43C9" w14:textId="77777777" w:rsidR="006971F4" w:rsidRDefault="007065EF">
      <w:pPr>
        <w:numPr>
          <w:ilvl w:val="0"/>
          <w:numId w:val="1"/>
        </w:numPr>
        <w:pBdr>
          <w:top w:val="nil"/>
          <w:left w:val="nil"/>
          <w:bottom w:val="nil"/>
          <w:right w:val="nil"/>
          <w:between w:val="nil"/>
        </w:pBdr>
        <w:jc w:val="both"/>
        <w:rPr>
          <w:color w:val="000000"/>
          <w:sz w:val="20"/>
          <w:szCs w:val="20"/>
        </w:rPr>
      </w:pPr>
      <w:r>
        <w:rPr>
          <w:color w:val="000000"/>
          <w:sz w:val="20"/>
          <w:szCs w:val="20"/>
        </w:rPr>
        <w:t>N. K. Akula et al., Scientific Reports </w:t>
      </w:r>
      <w:r>
        <w:rPr>
          <w:b/>
          <w:bCs/>
          <w:color w:val="000000"/>
          <w:sz w:val="20"/>
          <w:szCs w:val="20"/>
        </w:rPr>
        <w:t>14</w:t>
      </w:r>
      <w:r>
        <w:rPr>
          <w:color w:val="000000"/>
          <w:sz w:val="20"/>
          <w:szCs w:val="20"/>
        </w:rPr>
        <w:t>, 18000 (2024).</w:t>
      </w:r>
    </w:p>
    <w:p w14:paraId="4F9740CC" w14:textId="77777777" w:rsidR="006971F4" w:rsidRDefault="007065EF">
      <w:pPr>
        <w:numPr>
          <w:ilvl w:val="0"/>
          <w:numId w:val="1"/>
        </w:numPr>
        <w:pBdr>
          <w:top w:val="nil"/>
          <w:left w:val="nil"/>
          <w:bottom w:val="nil"/>
          <w:right w:val="nil"/>
          <w:between w:val="nil"/>
        </w:pBdr>
        <w:jc w:val="both"/>
        <w:rPr>
          <w:color w:val="000000"/>
          <w:sz w:val="20"/>
          <w:szCs w:val="20"/>
        </w:rPr>
      </w:pPr>
      <w:r>
        <w:rPr>
          <w:color w:val="000000"/>
          <w:sz w:val="20"/>
          <w:szCs w:val="20"/>
        </w:rPr>
        <w:t xml:space="preserve">S. Kappal, London Journal of Research in Science: Natural and Formal, </w:t>
      </w:r>
      <w:r>
        <w:rPr>
          <w:b/>
          <w:bCs/>
          <w:color w:val="000000"/>
          <w:sz w:val="20"/>
          <w:szCs w:val="20"/>
        </w:rPr>
        <w:t>19</w:t>
      </w:r>
      <w:r>
        <w:rPr>
          <w:color w:val="000000"/>
          <w:sz w:val="20"/>
          <w:szCs w:val="20"/>
        </w:rPr>
        <w:t>(4), 39-44 (2019), doi:10.13140/RG.2.2.32799.82088.</w:t>
      </w:r>
    </w:p>
    <w:p w14:paraId="789DB696" w14:textId="77777777" w:rsidR="006971F4" w:rsidRDefault="007065EF">
      <w:pPr>
        <w:numPr>
          <w:ilvl w:val="0"/>
          <w:numId w:val="1"/>
        </w:numPr>
        <w:pBdr>
          <w:top w:val="nil"/>
          <w:left w:val="nil"/>
          <w:bottom w:val="nil"/>
          <w:right w:val="nil"/>
          <w:between w:val="nil"/>
        </w:pBdr>
        <w:jc w:val="both"/>
        <w:rPr>
          <w:color w:val="000000"/>
          <w:sz w:val="20"/>
          <w:szCs w:val="20"/>
        </w:rPr>
      </w:pPr>
      <w:r>
        <w:rPr>
          <w:color w:val="000000"/>
          <w:sz w:val="20"/>
          <w:szCs w:val="20"/>
        </w:rPr>
        <w:t>Z. S. Xu, IEEE Transactions on Fuzzy Systems </w:t>
      </w:r>
      <w:r>
        <w:rPr>
          <w:b/>
          <w:bCs/>
          <w:color w:val="000000"/>
          <w:sz w:val="20"/>
          <w:szCs w:val="20"/>
        </w:rPr>
        <w:t>15</w:t>
      </w:r>
      <w:r>
        <w:rPr>
          <w:color w:val="000000"/>
          <w:sz w:val="20"/>
          <w:szCs w:val="20"/>
        </w:rPr>
        <w:t>, 1179–1187 (2007).</w:t>
      </w:r>
    </w:p>
    <w:sectPr w:rsidR="006971F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0000000000000000000"/>
    <w:charset w:val="00"/>
    <w:family w:val="roman"/>
    <w:notTrueType/>
    <w:pitch w:val="default"/>
    <w:embedRegular r:id="rId1" w:fontKey="{C72AACF6-9051-4D0D-882E-780CA56D1405}"/>
  </w:font>
  <w:font w:name="Georgia">
    <w:panose1 w:val="02040502050405020303"/>
    <w:charset w:val="00"/>
    <w:family w:val="auto"/>
    <w:pitch w:val="default"/>
    <w:embedItalic r:id="rId2" w:fontKey="{E3F10EF0-2377-434C-9B50-8F4AFFC9D76D}"/>
  </w:font>
  <w:font w:name="Cambria Math">
    <w:panose1 w:val="02040503050406030204"/>
    <w:charset w:val="00"/>
    <w:family w:val="roman"/>
    <w:pitch w:val="variable"/>
    <w:sig w:usb0="E00006FF" w:usb1="420024FF" w:usb2="02000000" w:usb3="00000000" w:csb0="0000019F" w:csb1="00000000"/>
    <w:embedRegular r:id="rId3" w:fontKey="{BD1A7DD2-952D-493D-804A-F13742951F9B}"/>
    <w:embedItalic r:id="rId4" w:fontKey="{FE79A425-7F1A-458A-819C-256F917F3C03}"/>
  </w:font>
  <w:font w:name="Cambria">
    <w:panose1 w:val="02040503050406030204"/>
    <w:charset w:val="00"/>
    <w:family w:val="roman"/>
    <w:pitch w:val="variable"/>
    <w:sig w:usb0="E00006FF" w:usb1="420024FF" w:usb2="02000000" w:usb3="00000000" w:csb0="0000019F" w:csb1="00000000"/>
    <w:embedRegular r:id="rId5" w:fontKey="{1E36F277-E1D8-4CDC-90A3-F4A7602766F0}"/>
  </w:font>
  <w:font w:name="Calibri">
    <w:panose1 w:val="020F0502020204030204"/>
    <w:charset w:val="00"/>
    <w:family w:val="swiss"/>
    <w:pitch w:val="variable"/>
    <w:sig w:usb0="E4002EFF" w:usb1="C000247B" w:usb2="00000009" w:usb3="00000000" w:csb0="000001FF" w:csb1="00000000"/>
    <w:embedRegular r:id="rId6" w:fontKey="{F0380C0A-6976-458F-9603-A981EA7253C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75AB5"/>
    <w:multiLevelType w:val="multilevel"/>
    <w:tmpl w:val="4E3E0AF8"/>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8530AB3"/>
    <w:multiLevelType w:val="multilevel"/>
    <w:tmpl w:val="8782E5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2680773">
    <w:abstractNumId w:val="1"/>
  </w:num>
  <w:num w:numId="2" w16cid:durableId="453601976">
    <w:abstractNumId w:val="0"/>
  </w:num>
  <w:num w:numId="3" w16cid:durableId="18372576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930459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1F4"/>
    <w:rsid w:val="00321A88"/>
    <w:rsid w:val="006971F4"/>
    <w:rsid w:val="007065E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3EB7B"/>
  <w15:docId w15:val="{D8E97A88-A0DF-4ADE-88CC-6FFFDB811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240"/>
      <w:jc w:val="center"/>
      <w:outlineLvl w:val="0"/>
    </w:pPr>
    <w:rPr>
      <w:b/>
      <w:bCs/>
      <w:smallCaps/>
    </w:rPr>
  </w:style>
  <w:style w:type="paragraph" w:styleId="Heading2">
    <w:name w:val="heading 2"/>
    <w:basedOn w:val="Normal"/>
    <w:next w:val="Normal"/>
    <w:uiPriority w:val="9"/>
    <w:unhideWhenUsed/>
    <w:qFormat/>
    <w:pPr>
      <w:keepNext/>
      <w:spacing w:before="240" w:after="240"/>
      <w:jc w:val="center"/>
      <w:outlineLvl w:val="1"/>
    </w:pPr>
    <w:rPr>
      <w:b/>
      <w:bCs/>
    </w:rPr>
  </w:style>
  <w:style w:type="paragraph" w:styleId="Heading3">
    <w:name w:val="heading 3"/>
    <w:basedOn w:val="Normal"/>
    <w:next w:val="Normal"/>
    <w:uiPriority w:val="9"/>
    <w:semiHidden/>
    <w:unhideWhenUsed/>
    <w:qFormat/>
    <w:pPr>
      <w:keepNext/>
      <w:spacing w:before="240" w:after="240"/>
      <w:jc w:val="center"/>
      <w:outlineLvl w:val="2"/>
    </w:pPr>
    <w:rPr>
      <w:i/>
      <w:iCs/>
      <w:sz w:val="20"/>
      <w:szCs w:val="20"/>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2"/>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uiPriority w:val="39"/>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tabs>
        <w:tab w:val="num" w:pos="720"/>
      </w:tabs>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lang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tabs>
        <w:tab w:val="num" w:pos="720"/>
      </w:tabs>
      <w:ind w:left="720" w:hanging="720"/>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qFormat/>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character" w:styleId="PlaceholderText">
    <w:name w:val="Placeholder Text"/>
    <w:basedOn w:val="DefaultParagraphFont"/>
    <w:uiPriority w:val="99"/>
    <w:semiHidden/>
    <w:rsid w:val="00961D08"/>
    <w:rPr>
      <w:color w:val="666666"/>
    </w:rPr>
  </w:style>
  <w:style w:type="paragraph" w:styleId="BodyText">
    <w:name w:val="Body Text"/>
    <w:basedOn w:val="Normal"/>
    <w:link w:val="BodyTextChar"/>
    <w:unhideWhenUsed/>
    <w:rsid w:val="002B7F82"/>
    <w:pPr>
      <w:spacing w:after="360" w:line="480" w:lineRule="auto"/>
      <w:jc w:val="both"/>
    </w:pPr>
  </w:style>
  <w:style w:type="character" w:customStyle="1" w:styleId="BodyTextChar">
    <w:name w:val="Body Text Char"/>
    <w:basedOn w:val="DefaultParagraphFont"/>
    <w:link w:val="BodyText"/>
    <w:rsid w:val="002B7F82"/>
    <w:rPr>
      <w:sz w:val="24"/>
      <w:lang w:val="en-US" w:eastAsia="en-US"/>
    </w:rPr>
  </w:style>
  <w:style w:type="character" w:customStyle="1" w:styleId="apple-converted-space">
    <w:name w:val="apple-converted-space"/>
    <w:basedOn w:val="DefaultParagraphFont"/>
    <w:rsid w:val="00077CC1"/>
  </w:style>
  <w:style w:type="paragraph" w:styleId="Header">
    <w:name w:val="header"/>
    <w:basedOn w:val="Normal"/>
    <w:link w:val="HeaderChar"/>
    <w:unhideWhenUsed/>
    <w:rsid w:val="00FB769F"/>
    <w:pPr>
      <w:tabs>
        <w:tab w:val="center" w:pos="4513"/>
        <w:tab w:val="right" w:pos="9026"/>
      </w:tabs>
    </w:pPr>
  </w:style>
  <w:style w:type="character" w:customStyle="1" w:styleId="HeaderChar">
    <w:name w:val="Header Char"/>
    <w:basedOn w:val="DefaultParagraphFont"/>
    <w:link w:val="Header"/>
    <w:rsid w:val="00FB769F"/>
    <w:rPr>
      <w:sz w:val="24"/>
      <w:lang w:val="en-US" w:eastAsia="en-US"/>
    </w:rPr>
  </w:style>
  <w:style w:type="paragraph" w:styleId="Footer">
    <w:name w:val="footer"/>
    <w:basedOn w:val="Normal"/>
    <w:link w:val="FooterChar"/>
    <w:unhideWhenUsed/>
    <w:rsid w:val="00FB769F"/>
    <w:pPr>
      <w:tabs>
        <w:tab w:val="center" w:pos="4513"/>
        <w:tab w:val="right" w:pos="9026"/>
      </w:tabs>
    </w:pPr>
  </w:style>
  <w:style w:type="character" w:customStyle="1" w:styleId="FooterChar">
    <w:name w:val="Footer Char"/>
    <w:basedOn w:val="DefaultParagraphFont"/>
    <w:link w:val="Footer"/>
    <w:rsid w:val="00FB769F"/>
    <w:rPr>
      <w:sz w:val="24"/>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idayuwati@uum.edu.my"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n186xomflyNjDfQhvM/g6KKchQ==">CgMxLjAyDmguMTM0Mmowb3NjZTdoMg5oLml0azJ1Z3dtajlqcTIOaC40bGEzcXFxeHR2amU4AHIhMS1nT2hDOVdiTXJnVllWd0lVSmdoaGtydkJ6Nmhsc0R4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2874</Words>
  <Characters>16385</Characters>
  <Application>Microsoft Office Word</Application>
  <DocSecurity>0</DocSecurity>
  <Lines>136</Lines>
  <Paragraphs>38</Paragraphs>
  <ScaleCrop>false</ScaleCrop>
  <Company/>
  <LinksUpToDate>false</LinksUpToDate>
  <CharactersWithSpaces>19221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Levins</dc:creator>
  <cp:lastModifiedBy>Dr. Nurul Nazihah binti Hawari</cp:lastModifiedBy>
  <cp:revision>2</cp:revision>
  <dcterms:created xsi:type="dcterms:W3CDTF">2026-01-15T12:38:00Z</dcterms:created>
  <dcterms:modified xsi:type="dcterms:W3CDTF">2026-01-15T12:38:00Z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