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DE3D39" w14:textId="77777777" w:rsidR="003967C8" w:rsidRDefault="006C1AAF">
      <w:pPr>
        <w:spacing w:after="0" w:line="24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A Robust Alternative to OLS: Leveraging LMedS in Backpropagation Neural Networks for Stock Prediction</w:t>
      </w:r>
    </w:p>
    <w:p w14:paraId="4CDF86E1" w14:textId="77777777" w:rsidR="003967C8" w:rsidRDefault="006C1AAF">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Tengku Nurul Aimi Balqis binti Tengku Malim Busu</w:t>
      </w:r>
      <w:r>
        <w:rPr>
          <w:rFonts w:ascii="Times New Roman" w:eastAsia="Times New Roman" w:hAnsi="Times New Roman" w:cs="Times New Roman"/>
          <w:sz w:val="28"/>
          <w:szCs w:val="28"/>
          <w:vertAlign w:val="superscript"/>
        </w:rPr>
        <w:t>1, a)</w:t>
      </w:r>
      <w:r>
        <w:rPr>
          <w:rFonts w:ascii="Times New Roman" w:eastAsia="Times New Roman" w:hAnsi="Times New Roman" w:cs="Times New Roman"/>
          <w:sz w:val="28"/>
          <w:szCs w:val="28"/>
        </w:rPr>
        <w:t>, Saadi bin Ahmad Kamaruddin</w:t>
      </w:r>
      <w:r>
        <w:rPr>
          <w:rFonts w:ascii="Times New Roman" w:eastAsia="Times New Roman" w:hAnsi="Times New Roman" w:cs="Times New Roman"/>
          <w:sz w:val="28"/>
          <w:szCs w:val="28"/>
          <w:vertAlign w:val="superscript"/>
        </w:rPr>
        <w:t>1, b)</w:t>
      </w:r>
      <w:r>
        <w:rPr>
          <w:rFonts w:ascii="Times New Roman" w:eastAsia="Times New Roman" w:hAnsi="Times New Roman" w:cs="Times New Roman"/>
          <w:sz w:val="28"/>
          <w:szCs w:val="28"/>
        </w:rPr>
        <w:t>, Hashibah Hamid</w:t>
      </w:r>
      <w:r>
        <w:rPr>
          <w:rFonts w:ascii="Times New Roman" w:eastAsia="Times New Roman" w:hAnsi="Times New Roman" w:cs="Times New Roman"/>
          <w:sz w:val="28"/>
          <w:szCs w:val="28"/>
          <w:vertAlign w:val="superscript"/>
        </w:rPr>
        <w:t>2, c)</w:t>
      </w:r>
      <w:r>
        <w:rPr>
          <w:rFonts w:ascii="Times New Roman" w:eastAsia="Times New Roman" w:hAnsi="Times New Roman" w:cs="Times New Roman"/>
          <w:sz w:val="28"/>
          <w:szCs w:val="28"/>
        </w:rPr>
        <w:t>, Nor Aishah Ahad</w:t>
      </w:r>
      <w:r>
        <w:rPr>
          <w:rFonts w:ascii="Times New Roman" w:eastAsia="Times New Roman" w:hAnsi="Times New Roman" w:cs="Times New Roman"/>
          <w:sz w:val="28"/>
          <w:szCs w:val="28"/>
          <w:vertAlign w:val="superscript"/>
        </w:rPr>
        <w:t>2, d)</w:t>
      </w:r>
      <w:r>
        <w:rPr>
          <w:rFonts w:ascii="Times New Roman" w:eastAsia="Times New Roman" w:hAnsi="Times New Roman" w:cs="Times New Roman"/>
          <w:sz w:val="28"/>
          <w:szCs w:val="28"/>
        </w:rPr>
        <w:t>, Ibrahim Mohammed Sulaiman</w:t>
      </w:r>
      <w:r>
        <w:rPr>
          <w:rFonts w:ascii="Times New Roman" w:eastAsia="Times New Roman" w:hAnsi="Times New Roman" w:cs="Times New Roman"/>
          <w:sz w:val="28"/>
          <w:szCs w:val="28"/>
          <w:vertAlign w:val="superscript"/>
        </w:rPr>
        <w:t>2, e)</w:t>
      </w:r>
    </w:p>
    <w:p w14:paraId="3646310B" w14:textId="77777777" w:rsidR="00497913" w:rsidRPr="00497913" w:rsidRDefault="006C1AAF" w:rsidP="00497913">
      <w:pPr>
        <w:spacing w:after="0"/>
        <w:jc w:val="center"/>
        <w:rPr>
          <w:rFonts w:ascii="Times New Roman" w:eastAsia="Times New Roman" w:hAnsi="Times New Roman" w:cs="Times New Roman"/>
          <w:i/>
          <w:sz w:val="20"/>
          <w:szCs w:val="20"/>
        </w:rPr>
      </w:pPr>
      <w:r w:rsidRPr="00497913">
        <w:rPr>
          <w:rFonts w:ascii="Times New Roman" w:eastAsia="Times New Roman" w:hAnsi="Times New Roman" w:cs="Times New Roman"/>
          <w:i/>
          <w:sz w:val="20"/>
          <w:szCs w:val="20"/>
          <w:vertAlign w:val="superscript"/>
        </w:rPr>
        <w:t>1</w:t>
      </w:r>
      <w:r w:rsidRPr="00497913">
        <w:rPr>
          <w:rFonts w:ascii="Times New Roman" w:eastAsia="Times New Roman" w:hAnsi="Times New Roman" w:cs="Times New Roman"/>
          <w:i/>
          <w:sz w:val="20"/>
          <w:szCs w:val="20"/>
        </w:rPr>
        <w:t>School of Quantitative Sciences, College of Arts and Sciences, Universiti Utara Malaysia, 06010 Sintok Kedah, Malaysia</w:t>
      </w:r>
      <w:r w:rsidR="00497913" w:rsidRPr="00497913">
        <w:rPr>
          <w:rFonts w:ascii="Times New Roman" w:eastAsia="Times New Roman" w:hAnsi="Times New Roman" w:cs="Times New Roman"/>
          <w:i/>
          <w:sz w:val="20"/>
          <w:szCs w:val="20"/>
        </w:rPr>
        <w:t>.</w:t>
      </w:r>
    </w:p>
    <w:p w14:paraId="3DD43B87" w14:textId="77777777" w:rsidR="003967C8" w:rsidRDefault="006C1AAF">
      <w:pPr>
        <w:pBdr>
          <w:top w:val="nil"/>
          <w:left w:val="nil"/>
          <w:bottom w:val="nil"/>
          <w:right w:val="nil"/>
          <w:between w:val="nil"/>
        </w:pBdr>
        <w:spacing w:after="0" w:line="240" w:lineRule="auto"/>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vertAlign w:val="superscript"/>
        </w:rPr>
        <w:t>2</w:t>
      </w:r>
      <w:r>
        <w:rPr>
          <w:rFonts w:ascii="Times New Roman" w:eastAsia="Times New Roman" w:hAnsi="Times New Roman" w:cs="Times New Roman"/>
          <w:i/>
          <w:iCs/>
          <w:color w:val="000000"/>
          <w:sz w:val="20"/>
          <w:szCs w:val="20"/>
        </w:rPr>
        <w:t>Institute of Strategic Industrial Decision Modelling (ISIDM), School of Quantitative Sciences (SQS), Universiti Utara Malaysia (UUM), O6010 UUM Sintok, Kedah, Malaysia. affiliation here.</w:t>
      </w:r>
    </w:p>
    <w:p w14:paraId="11FC7D4B" w14:textId="77777777" w:rsidR="003967C8" w:rsidRDefault="003967C8">
      <w:pPr>
        <w:pBdr>
          <w:top w:val="nil"/>
          <w:left w:val="nil"/>
          <w:bottom w:val="nil"/>
          <w:right w:val="nil"/>
          <w:between w:val="nil"/>
        </w:pBdr>
        <w:spacing w:after="0" w:line="240" w:lineRule="auto"/>
        <w:jc w:val="center"/>
        <w:rPr>
          <w:rFonts w:ascii="Times New Roman" w:eastAsia="Times New Roman" w:hAnsi="Times New Roman" w:cs="Times New Roman"/>
          <w:i/>
          <w:iCs/>
          <w:color w:val="000000"/>
          <w:sz w:val="20"/>
          <w:szCs w:val="20"/>
        </w:rPr>
      </w:pPr>
    </w:p>
    <w:p w14:paraId="1E5F5228" w14:textId="77777777" w:rsidR="00497913" w:rsidRDefault="00497913">
      <w:pPr>
        <w:pBdr>
          <w:top w:val="nil"/>
          <w:left w:val="nil"/>
          <w:bottom w:val="nil"/>
          <w:right w:val="nil"/>
          <w:between w:val="nil"/>
        </w:pBdr>
        <w:spacing w:after="0" w:line="240" w:lineRule="auto"/>
        <w:jc w:val="center"/>
        <w:rPr>
          <w:rFonts w:ascii="Times New Roman" w:eastAsia="Times New Roman" w:hAnsi="Times New Roman" w:cs="Times New Roman"/>
          <w:i/>
          <w:iCs/>
          <w:color w:val="000000"/>
          <w:sz w:val="20"/>
          <w:szCs w:val="20"/>
        </w:rPr>
      </w:pPr>
    </w:p>
    <w:p w14:paraId="49DF8CF1" w14:textId="77777777" w:rsidR="003967C8" w:rsidRDefault="006C1AAF">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vertAlign w:val="superscript"/>
        </w:rPr>
        <w:t>a)</w:t>
      </w:r>
      <w:r>
        <w:rPr>
          <w:rFonts w:ascii="Times New Roman" w:eastAsia="Times New Roman" w:hAnsi="Times New Roman" w:cs="Times New Roman"/>
          <w:sz w:val="20"/>
          <w:szCs w:val="20"/>
        </w:rPr>
        <w:t xml:space="preserve"> Corresponding author: tengkuaimi98@gmail.com</w:t>
      </w:r>
      <w:r>
        <w:rPr>
          <w:rFonts w:ascii="Times New Roman" w:eastAsia="Times New Roman" w:hAnsi="Times New Roman" w:cs="Times New Roman"/>
          <w:i/>
          <w:iCs/>
          <w:sz w:val="20"/>
          <w:szCs w:val="20"/>
        </w:rPr>
        <w:br/>
      </w:r>
      <w:r>
        <w:rPr>
          <w:rFonts w:ascii="Times New Roman" w:eastAsia="Times New Roman" w:hAnsi="Times New Roman" w:cs="Times New Roman"/>
          <w:sz w:val="20"/>
          <w:szCs w:val="20"/>
          <w:vertAlign w:val="superscript"/>
        </w:rPr>
        <w:t xml:space="preserve">b) </w:t>
      </w:r>
      <w:r>
        <w:rPr>
          <w:rFonts w:ascii="Times New Roman" w:eastAsia="Times New Roman" w:hAnsi="Times New Roman" w:cs="Times New Roman"/>
          <w:sz w:val="20"/>
          <w:szCs w:val="20"/>
        </w:rPr>
        <w:t>s.ahmad.kamaruddin@uum.edu.my</w:t>
      </w:r>
      <w:r>
        <w:rPr>
          <w:rFonts w:ascii="Times New Roman" w:eastAsia="Times New Roman" w:hAnsi="Times New Roman" w:cs="Times New Roman"/>
          <w:i/>
          <w:iCs/>
          <w:sz w:val="20"/>
          <w:szCs w:val="20"/>
        </w:rPr>
        <w:t xml:space="preserve"> </w:t>
      </w:r>
      <w:r>
        <w:rPr>
          <w:rFonts w:ascii="Times New Roman" w:eastAsia="Times New Roman" w:hAnsi="Times New Roman" w:cs="Times New Roman"/>
          <w:i/>
          <w:iCs/>
          <w:sz w:val="20"/>
          <w:szCs w:val="20"/>
        </w:rPr>
        <w:br/>
      </w:r>
      <w:r>
        <w:rPr>
          <w:rFonts w:ascii="Times New Roman" w:eastAsia="Times New Roman" w:hAnsi="Times New Roman" w:cs="Times New Roman"/>
          <w:sz w:val="20"/>
          <w:szCs w:val="20"/>
          <w:vertAlign w:val="superscript"/>
        </w:rPr>
        <w:t>b)</w:t>
      </w:r>
      <w:r>
        <w:rPr>
          <w:rFonts w:ascii="Times New Roman" w:eastAsia="Times New Roman" w:hAnsi="Times New Roman" w:cs="Times New Roman"/>
          <w:sz w:val="20"/>
          <w:szCs w:val="20"/>
        </w:rPr>
        <w:t xml:space="preserve"> hashibah@uum.edu.my</w:t>
      </w:r>
      <w:r>
        <w:rPr>
          <w:rFonts w:ascii="Times New Roman" w:eastAsia="Times New Roman" w:hAnsi="Times New Roman" w:cs="Times New Roman"/>
          <w:i/>
          <w:iCs/>
          <w:sz w:val="20"/>
          <w:szCs w:val="20"/>
        </w:rPr>
        <w:t xml:space="preserve"> </w:t>
      </w:r>
      <w:r>
        <w:rPr>
          <w:rFonts w:ascii="Times New Roman" w:eastAsia="Times New Roman" w:hAnsi="Times New Roman" w:cs="Times New Roman"/>
          <w:i/>
          <w:iCs/>
          <w:sz w:val="20"/>
          <w:szCs w:val="20"/>
        </w:rPr>
        <w:br/>
      </w:r>
      <w:r>
        <w:rPr>
          <w:rFonts w:ascii="Times New Roman" w:eastAsia="Times New Roman" w:hAnsi="Times New Roman" w:cs="Times New Roman"/>
          <w:sz w:val="20"/>
          <w:szCs w:val="20"/>
          <w:vertAlign w:val="superscript"/>
        </w:rPr>
        <w:t xml:space="preserve">b) </w:t>
      </w:r>
      <w:r>
        <w:rPr>
          <w:rFonts w:ascii="Times New Roman" w:eastAsia="Times New Roman" w:hAnsi="Times New Roman" w:cs="Times New Roman"/>
          <w:sz w:val="20"/>
          <w:szCs w:val="20"/>
        </w:rPr>
        <w:t>aishah@uum.edu.my</w:t>
      </w:r>
      <w:r>
        <w:rPr>
          <w:rFonts w:ascii="Times New Roman" w:eastAsia="Times New Roman" w:hAnsi="Times New Roman" w:cs="Times New Roman"/>
          <w:i/>
          <w:iCs/>
          <w:sz w:val="20"/>
          <w:szCs w:val="20"/>
        </w:rPr>
        <w:t xml:space="preserve"> </w:t>
      </w:r>
      <w:r>
        <w:rPr>
          <w:rFonts w:ascii="Times New Roman" w:eastAsia="Times New Roman" w:hAnsi="Times New Roman" w:cs="Times New Roman"/>
          <w:i/>
          <w:iCs/>
          <w:sz w:val="20"/>
          <w:szCs w:val="20"/>
        </w:rPr>
        <w:br/>
      </w:r>
      <w:r>
        <w:rPr>
          <w:rFonts w:ascii="Times New Roman" w:eastAsia="Times New Roman" w:hAnsi="Times New Roman" w:cs="Times New Roman"/>
          <w:sz w:val="20"/>
          <w:szCs w:val="20"/>
          <w:vertAlign w:val="superscript"/>
        </w:rPr>
        <w:t xml:space="preserve">b) </w:t>
      </w:r>
      <w:r>
        <w:rPr>
          <w:rFonts w:ascii="Times New Roman" w:eastAsia="Times New Roman" w:hAnsi="Times New Roman" w:cs="Times New Roman"/>
          <w:sz w:val="20"/>
          <w:szCs w:val="20"/>
        </w:rPr>
        <w:t>i.mohammed.sulaiman@uum.edu.my</w:t>
      </w:r>
    </w:p>
    <w:p w14:paraId="202ECD2C" w14:textId="77777777" w:rsidR="003967C8" w:rsidRDefault="006C1AAF">
      <w:pPr>
        <w:spacing w:before="240" w:line="240" w:lineRule="auto"/>
        <w:jc w:val="both"/>
        <w:rPr>
          <w:rFonts w:ascii="Times New Roman" w:eastAsia="Times New Roman" w:hAnsi="Times New Roman" w:cs="Times New Roman"/>
          <w:sz w:val="18"/>
          <w:szCs w:val="18"/>
        </w:rPr>
      </w:pPr>
      <w:bookmarkStart w:id="0" w:name="_heading=h.jfl4w4vrb403" w:colFirst="0" w:colLast="0"/>
      <w:bookmarkEnd w:id="0"/>
      <w:r>
        <w:rPr>
          <w:rFonts w:ascii="Times New Roman" w:eastAsia="Times New Roman" w:hAnsi="Times New Roman" w:cs="Times New Roman"/>
          <w:b/>
          <w:bCs/>
          <w:sz w:val="18"/>
          <w:szCs w:val="18"/>
        </w:rPr>
        <w:t>Abstract.</w:t>
      </w:r>
      <w:r>
        <w:rPr>
          <w:rFonts w:ascii="Times New Roman" w:eastAsia="Times New Roman" w:hAnsi="Times New Roman" w:cs="Times New Roman"/>
          <w:sz w:val="18"/>
          <w:szCs w:val="18"/>
        </w:rPr>
        <w:t xml:space="preserve"> Ordinary Least Squares (OLS) has long been the predominant error minimization technique in Backpropagation Neural Networks (BPNN). While effective in many applications, OLS is highly sensitive to outliers and non-normal error distributions, which can significantly degrade predictive performance. This limitation becomes critical in volatile and noisy environments such as stock market prediction, where data often exhibit extreme fluctuations, structural breaks, and irregular patterns. To overcome these challenges, this paper introduces the integration of the Least Median of Squares (LMedS) as an alternative error minimization approach in BPNN training. Unlike OLS, LMedS minimizes the median of squared residuals rather than the mean, thereby offering enhanced resistance to the influence of outliers and heavy-tailed error distributions. The proposed LMedS-enhanced BPNN provides a more robust learning framework, leading to improved stability and reliability in modelling complex financial time series. Experimental evaluations using historical stock market data demonstrate that the LMedS-based BPNN achieves higher accuracy and more consistent predictive performance compared to traditional OLS-based models. These results highlight the potential of robust error minimization techniques in advancing neural network applications for financial forecasting, particularly in domains characterized by volatility and uncertainty.</w:t>
      </w:r>
    </w:p>
    <w:p w14:paraId="3E81DFBC" w14:textId="77777777" w:rsidR="003967C8" w:rsidRDefault="006C1AAF">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14:paraId="17710578" w14:textId="77777777" w:rsidR="003967C8" w:rsidRDefault="006C1AA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Stock market prediction is a complex and dynamic task influenced by a multitude of unpredictable factors, including macroeconomic indicators, investor sentiment, geopolitical events, and company-specific news. In recent years, artificial neural networks (ANNs), particularly Backpropagation Neural Network (BPNN), have demonstrated strong potential in capturing nonlinear patterns and temporal dependencies within financial datasets [1]. These models are increasingly favoured over traditional statistical approaches due to their flexibility and ability to learn from historical data without requiring strict assumptions about data distribution [2].</w:t>
      </w:r>
    </w:p>
    <w:p w14:paraId="65EB7BB9" w14:textId="77777777" w:rsidR="003967C8" w:rsidRDefault="006C1AA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Traditionally, BPNNs are trained to minimise the Mean Squared Error (MSE), a loss function that aligns with the principles of Ordinary Least Squares (OLS) regression. Although it is effective under ideal conditions, OLS is notoriously sensitive to outliers, an issue which is always pronounced in stock market data, where sudden market shocks, speculative bubbles, and anomalous trading behaviours frequently occur [3]. This sensitivity can lead to biased predictions and reduced model robustness, prompting researchers to explore alternative loss functions and robust training strategies.</w:t>
      </w:r>
    </w:p>
    <w:p w14:paraId="15F64BB7" w14:textId="77777777" w:rsidR="003967C8" w:rsidRDefault="006C1AA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 the Malaysian context, the FTSE Bursa Malaysia KLCI (FBM KLCI) serves as the benchmark index, tracking the performance of the 30 largest companies listed on the Main Market of Bursa Malaysia [4]. It is a capitalisation-weighted index adjusted for free float and liquidity, making it a representative barometer of the Malaysian equity market. The FBM KLCI has undergone significant structural enhancements since its transition from the Kuala Lumpur Composite Index in 2009, aligning with global standards for index calculation and review [5].</w:t>
      </w:r>
    </w:p>
    <w:p w14:paraId="24C3675A" w14:textId="77777777" w:rsidR="003967C8" w:rsidRDefault="006C1AAF">
      <w:pPr>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Recent trends have demonstrated that the FBM KLCI experienced both volatility and resilience, with notable gains in 2024 driven by foreign direct investments, data centre expansions, and policy reforms [6]. These developments underscore the importance of accurate and robust forecasting models, especially as investors seek to navigate increasingly complex market environments. Incorporating FBM KLCI data into predictive modelling </w:t>
      </w:r>
      <w:r>
        <w:rPr>
          <w:rFonts w:ascii="Times New Roman" w:eastAsia="Times New Roman" w:hAnsi="Times New Roman" w:cs="Times New Roman"/>
          <w:sz w:val="20"/>
          <w:szCs w:val="20"/>
        </w:rPr>
        <w:lastRenderedPageBreak/>
        <w:t>not only provides localised insights but also allows for the evaluation of model performance in emerging market conditions.</w:t>
      </w:r>
    </w:p>
    <w:p w14:paraId="7760A030" w14:textId="77777777" w:rsidR="003967C8" w:rsidRDefault="006C1AAF">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LITERATURE REVIEW</w:t>
      </w:r>
    </w:p>
    <w:p w14:paraId="50EE4FFE" w14:textId="77777777" w:rsidR="003967C8" w:rsidRDefault="006C1AA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Backpropagation is a fundamental tool in machine learning for efficient training (deep) neural networks [7]. Backpropagation operates through two main processes, i.e., forward propagation and backward propagation. BPNN has been utilised in various studies, such as image recognition [8], game development [9], and healthcare [10]. Recent works have extended neural forecasting methods using robust optimization techniques, including median-based, quantile-based, and trimmed loss functions [11],[12],[13]. These studies emphasize robustness against heavy-tailed financial noise, aligning with the motivation for LMedS integration.</w:t>
      </w:r>
    </w:p>
    <w:p w14:paraId="617F952B" w14:textId="77777777" w:rsidR="003967C8" w:rsidRDefault="006C1AA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 the context of the stock market, the BPNN model was used to predict stock market analysis. BPNN performs well in time series forecasting of stock price time series data [14]. Prior knowledge about the systems of interest is not needed. Due to their universal capacity as a function approximator, BPNNs have successfully captured the attention of many practitioners in various fields. However, in the presence of outliers that may cause errors in the data training process, the backpropagation learning algorithm based on the minimisation of the mean square error (MSE) cost function is not completely robust.</w:t>
      </w:r>
    </w:p>
    <w:p w14:paraId="768A80EA" w14:textId="77777777" w:rsidR="003967C8" w:rsidRDefault="006C1AA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 highly volatile financial markets, stock returns often exhibit heavy-tailed distributions, abrupt structural breaks, and sudden price jumps, causing extreme errors that disproportionately influence MSE-based training. Therefore, a more robust loss function is essential to ensure stable learning by reducing the impact of these anomalous observations and preserving the model’s predictive reliability under noisy conditions.</w:t>
      </w:r>
    </w:p>
    <w:p w14:paraId="3A80793C" w14:textId="77777777" w:rsidR="003967C8" w:rsidRDefault="006C1AA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limitations of BPNN in handling outliers have been discussed in previous studies. Research by [15] suggested that BPNN can be highly sensitive to outliers, which can negatively impact prediction accuracy, making it less suitable for data with extreme variations. </w:t>
      </w:r>
    </w:p>
    <w:p w14:paraId="6DB7BFBF" w14:textId="77777777" w:rsidR="003967C8" w:rsidRDefault="006C1AA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 addressing this issue, the selection of an appropriate loss function plays a critical role, as it applies to individual data points to quantify the prediction error. Traditional loss functions, such as Mean Squared Error (MSE), often amplify the influence of outliers due to squared error penalisation. Alternatives to loss functions, such as Mean Absolute Error (MAE) and Huber Loss, offer more robust solutions by reducing the disproportionate impact of extreme values.</w:t>
      </w:r>
    </w:p>
    <w:p w14:paraId="3D43F122" w14:textId="77777777" w:rsidR="003967C8" w:rsidRDefault="006C1AA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least median squares (LMedS) method is a robust regression method, which implies that it is not sensitive to outliers or other violations of assumptions of the usual normal model [16]. According to [17], LMedS is a robust estimator in the presence of outliers and has a high breakdown value, which exhibited better results compared to the OLS in stock market prediction. Moreover, other research has also confirmed that LMedS is better than the OLS method in predicting regression parameters on data with up to 3% outliers [18].</w:t>
      </w:r>
    </w:p>
    <w:p w14:paraId="72866ACF" w14:textId="77777777" w:rsidR="003967C8" w:rsidRDefault="006C1AA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According to [19], their study predicts the Iran stock market closing price using the enhanced model, Least Squares Generative Adversarial Network (LSGAN). The results disclosed that the LSGAN outperformed the ordinary model, Generative Adversarial Network (GANs), in predicting the stock market through the least squares loss function and the </w:t>
      </w:r>
      <w:r>
        <w:rPr>
          <w:rFonts w:ascii="Times New Roman" w:eastAsia="Times New Roman" w:hAnsi="Times New Roman" w:cs="Times New Roman"/>
          <w:i/>
          <w:iCs/>
          <w:sz w:val="20"/>
          <w:szCs w:val="20"/>
        </w:rPr>
        <w:t>z</w:t>
      </w:r>
      <w:r>
        <w:rPr>
          <w:rFonts w:ascii="Times New Roman" w:eastAsia="Times New Roman" w:hAnsi="Times New Roman" w:cs="Times New Roman"/>
          <w:sz w:val="20"/>
          <w:szCs w:val="20"/>
        </w:rPr>
        <w:t>-score methods to remove outliers.</w:t>
      </w:r>
    </w:p>
    <w:p w14:paraId="29BC6FA7" w14:textId="77777777" w:rsidR="003967C8" w:rsidRDefault="006C1AAF">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METHODOLOGY</w:t>
      </w:r>
    </w:p>
    <w:p w14:paraId="3D14153D" w14:textId="77777777" w:rsidR="003967C8" w:rsidRDefault="006C1AA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methodology of this study is to enhance the Backpropagation Neural Network (BPNN) by replacing Ordinary Least Squares (OLS) with the LMedS.  </w:t>
      </w:r>
    </w:p>
    <w:p w14:paraId="467F8825" w14:textId="77777777" w:rsidR="003967C8" w:rsidRDefault="006C1AAF">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Data Collection</w:t>
      </w:r>
    </w:p>
    <w:p w14:paraId="2596DC1E" w14:textId="77777777" w:rsidR="003967C8" w:rsidRDefault="006C1AA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paper used the daily closing prices from the FBM KLCI stock market. Yahoo Finance served as the primary data source for this study. Secondary data was utilised, as the Yahoo Finance website contained 1,222 daily closing price data points, as suggested by [20], covering the period from 2nd January 2018 to 30th December 2022 for stock market prediction. Primary data collection was deemed unnecessary, as the Yahoo Finance data met the study requirements and provided a sufficiently large dataset for forecasting purposes. The data was analysed using both BPNN and enhanced BPNN models, which were developed in Spyder software by executing Python code. </w:t>
      </w:r>
    </w:p>
    <w:p w14:paraId="27873B39" w14:textId="77777777" w:rsidR="003967C8" w:rsidRDefault="006C1AAF">
      <w:pPr>
        <w:pStyle w:val="Heading3"/>
        <w:spacing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Data Preprocessing</w:t>
      </w:r>
    </w:p>
    <w:p w14:paraId="09F7C8C3" w14:textId="77777777" w:rsidR="003967C8" w:rsidRDefault="006C1AAF">
      <w:pPr>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To ensure data quality and improve model performance, several preprocessing steps were applied to the FBM KLCI daily closing prices. First, the dataset was checked for missing values, which were handled using linear interpolation to preserve continuity in the time series. Log-returns were computed to stabilize variance, followed by Min–Max normalization to scale input features between 0 and 1, allowing faster and more stable neural-network training. Several technical indicators commonly used in stock forecasting such as moving averages (MA), the Relative Strength Index (RSI), and the Moving Average Convergence Divergence (MACD) were computed and appended as additional input features. These steps ensured that the dataset was cleaned, normalized, and enriched with informative patterns prior to model development.</w:t>
      </w:r>
    </w:p>
    <w:p w14:paraId="01DD8629" w14:textId="77777777" w:rsidR="003967C8" w:rsidRDefault="006C1AAF">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Network Architecture</w:t>
      </w:r>
    </w:p>
    <w:p w14:paraId="2A70718B" w14:textId="77777777" w:rsidR="003967C8" w:rsidRDefault="006C1AA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 standard feedforward BPNN is constructed with the following conditions:</w:t>
      </w:r>
    </w:p>
    <w:p w14:paraId="36C0A024" w14:textId="77777777" w:rsidR="003967C8" w:rsidRDefault="006C1AAF">
      <w:pPr>
        <w:ind w:firstLine="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Input layer: 5-10 features</w:t>
      </w:r>
    </w:p>
    <w:p w14:paraId="16CC49DD" w14:textId="77777777" w:rsidR="003967C8" w:rsidRDefault="006C1AAF">
      <w:pPr>
        <w:ind w:firstLine="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Hidden layers: 1-2 layers with ReLU activation</w:t>
      </w:r>
    </w:p>
    <w:p w14:paraId="363A7362" w14:textId="77777777" w:rsidR="003967C8" w:rsidRDefault="006C1AAF">
      <w:pPr>
        <w:ind w:firstLine="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Output layer: Single neuron for price prediction</w:t>
      </w:r>
    </w:p>
    <w:p w14:paraId="7B69571B" w14:textId="77777777" w:rsidR="003967C8" w:rsidRDefault="006C1AAF">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Error Function Modification</w:t>
      </w:r>
    </w:p>
    <w:p w14:paraId="133FA537" w14:textId="77777777" w:rsidR="003967C8" w:rsidRDefault="006C1AA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Instead of minimising MSE, which is</w:t>
      </w:r>
    </w:p>
    <w:p w14:paraId="0BB1F2F2" w14:textId="77777777" w:rsidR="003967C8" w:rsidRDefault="006C1AAF">
      <w:pPr>
        <w:ind w:left="720" w:firstLine="698"/>
        <w:jc w:val="right"/>
        <w:rPr>
          <w:rFonts w:ascii="Times New Roman" w:eastAsia="Times New Roman" w:hAnsi="Times New Roman" w:cs="Times New Roman"/>
          <w:sz w:val="20"/>
          <w:szCs w:val="20"/>
        </w:rPr>
      </w:pPr>
      <m:oMath>
        <m:r>
          <w:rPr>
            <w:rFonts w:ascii="Cambria Math" w:eastAsia="Cambria Math" w:hAnsi="Cambria Math" w:cs="Cambria Math"/>
            <w:sz w:val="20"/>
            <w:szCs w:val="20"/>
          </w:rPr>
          <m:t>MSE=</m:t>
        </m:r>
        <m:f>
          <m:fPr>
            <m:ctrlPr>
              <w:rPr>
                <w:rFonts w:ascii="Cambria Math" w:eastAsia="Cambria Math" w:hAnsi="Cambria Math" w:cs="Cambria Math"/>
                <w:sz w:val="20"/>
                <w:szCs w:val="20"/>
              </w:rPr>
            </m:ctrlPr>
          </m:fPr>
          <m:num>
            <m:r>
              <w:rPr>
                <w:rFonts w:ascii="Cambria Math" w:eastAsia="Cambria Math" w:hAnsi="Cambria Math" w:cs="Cambria Math"/>
                <w:sz w:val="20"/>
                <w:szCs w:val="20"/>
              </w:rPr>
              <m:t>1</m:t>
            </m:r>
          </m:num>
          <m:den>
            <m:r>
              <w:rPr>
                <w:rFonts w:ascii="Cambria Math" w:eastAsia="Cambria Math" w:hAnsi="Cambria Math" w:cs="Cambria Math"/>
                <w:sz w:val="20"/>
                <w:szCs w:val="20"/>
              </w:rPr>
              <m:t>n</m:t>
            </m:r>
          </m:den>
        </m:f>
        <m:sSup>
          <m:sSupPr>
            <m:ctrlPr>
              <w:rPr>
                <w:rFonts w:ascii="Cambria Math" w:eastAsia="Cambria Math" w:hAnsi="Cambria Math" w:cs="Cambria Math"/>
                <w:sz w:val="20"/>
                <w:szCs w:val="20"/>
              </w:rPr>
            </m:ctrlPr>
          </m:sSupPr>
          <m:e>
            <m:nary>
              <m:naryPr>
                <m:chr m:val="∑"/>
                <m:ctrlPr>
                  <w:rPr>
                    <w:rFonts w:ascii="Cambria Math" w:eastAsia="Cambria Math" w:hAnsi="Cambria Math" w:cs="Cambria Math"/>
                    <w:sz w:val="20"/>
                    <w:szCs w:val="20"/>
                  </w:rPr>
                </m:ctrlPr>
              </m:naryPr>
              <m:sub>
                <m:r>
                  <w:rPr>
                    <w:rFonts w:ascii="Cambria Math" w:eastAsia="Cambria Math" w:hAnsi="Cambria Math" w:cs="Cambria Math"/>
                    <w:sz w:val="20"/>
                    <w:szCs w:val="20"/>
                  </w:rPr>
                  <m:t>i=1</m:t>
                </m:r>
              </m:sub>
              <m:sup>
                <m:r>
                  <w:rPr>
                    <w:rFonts w:ascii="Cambria Math" w:eastAsia="Cambria Math" w:hAnsi="Cambria Math" w:cs="Cambria Math"/>
                    <w:sz w:val="20"/>
                    <w:szCs w:val="20"/>
                  </w:rPr>
                  <m:t>n</m:t>
                </m:r>
              </m:sup>
              <m:e>
                <m:d>
                  <m:dPr>
                    <m:begChr m:val="["/>
                    <m:endChr m:val="]"/>
                    <m:ctrlPr>
                      <w:rPr>
                        <w:rFonts w:ascii="Cambria Math" w:eastAsia="Cambria Math" w:hAnsi="Cambria Math" w:cs="Cambria Math"/>
                        <w:sz w:val="20"/>
                        <w:szCs w:val="20"/>
                      </w:rPr>
                    </m:ctrlPr>
                  </m:dPr>
                  <m:e>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y</m:t>
                        </m:r>
                      </m:e>
                      <m:sub>
                        <m:r>
                          <w:rPr>
                            <w:rFonts w:ascii="Cambria Math" w:eastAsia="Cambria Math" w:hAnsi="Cambria Math" w:cs="Cambria Math"/>
                            <w:sz w:val="20"/>
                            <w:szCs w:val="20"/>
                          </w:rPr>
                          <m:t>i</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acc>
                          <m:accPr>
                            <m:ctrlPr>
                              <w:rPr>
                                <w:rFonts w:ascii="Cambria Math" w:eastAsia="Cambria Math" w:hAnsi="Cambria Math" w:cs="Cambria Math"/>
                                <w:sz w:val="20"/>
                                <w:szCs w:val="20"/>
                              </w:rPr>
                            </m:ctrlPr>
                          </m:accPr>
                          <m:e>
                            <m:r>
                              <w:rPr>
                                <w:rFonts w:ascii="Cambria Math" w:eastAsia="Cambria Math" w:hAnsi="Cambria Math" w:cs="Cambria Math"/>
                                <w:sz w:val="20"/>
                                <w:szCs w:val="20"/>
                              </w:rPr>
                              <m:t>y</m:t>
                            </m:r>
                          </m:e>
                        </m:acc>
                      </m:e>
                      <m:sub>
                        <m:r>
                          <w:rPr>
                            <w:rFonts w:ascii="Cambria Math" w:eastAsia="Cambria Math" w:hAnsi="Cambria Math" w:cs="Cambria Math"/>
                            <w:sz w:val="20"/>
                            <w:szCs w:val="20"/>
                          </w:rPr>
                          <m:t>i</m:t>
                        </m:r>
                      </m:sub>
                    </m:sSub>
                  </m:e>
                </m:d>
              </m:e>
            </m:nary>
          </m:e>
          <m:sup>
            <m:r>
              <w:rPr>
                <w:rFonts w:ascii="Cambria Math" w:eastAsia="Cambria Math" w:hAnsi="Cambria Math" w:cs="Cambria Math"/>
                <w:sz w:val="20"/>
                <w:szCs w:val="20"/>
              </w:rPr>
              <m:t>2</m:t>
            </m:r>
          </m:sup>
        </m:sSup>
      </m:oMath>
      <w:r>
        <w:rPr>
          <w:sz w:val="20"/>
          <w:szCs w:val="20"/>
        </w:rPr>
        <w:t xml:space="preserve">                                                                                   </w:t>
      </w:r>
      <w:r>
        <w:rPr>
          <w:rFonts w:ascii="Times New Roman" w:eastAsia="Times New Roman" w:hAnsi="Times New Roman" w:cs="Times New Roman"/>
          <w:sz w:val="20"/>
          <w:szCs w:val="20"/>
        </w:rPr>
        <w:t>(1)</w:t>
      </w:r>
    </w:p>
    <w:p w14:paraId="44C1D7B9" w14:textId="77777777" w:rsidR="003967C8" w:rsidRDefault="003967C8">
      <w:pPr>
        <w:jc w:val="both"/>
        <w:rPr>
          <w:rFonts w:ascii="Times New Roman" w:eastAsia="Times New Roman" w:hAnsi="Times New Roman" w:cs="Times New Roman"/>
          <w:sz w:val="20"/>
          <w:szCs w:val="20"/>
        </w:rPr>
      </w:pPr>
    </w:p>
    <w:p w14:paraId="5B7DBBAF" w14:textId="77777777" w:rsidR="003967C8" w:rsidRDefault="006C1AA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where</w:t>
      </w:r>
    </w:p>
    <w:p w14:paraId="0195FC7F" w14:textId="77777777" w:rsidR="003967C8" w:rsidRDefault="00ED13D0">
      <w:pPr>
        <w:rPr>
          <w:rFonts w:ascii="Cambria Math" w:eastAsia="Cambria Math" w:hAnsi="Cambria Math" w:cs="Cambria Math"/>
          <w:sz w:val="20"/>
          <w:szCs w:val="20"/>
        </w:rPr>
      </w:pP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y</m:t>
            </m:r>
          </m:e>
          <m:sub>
            <m:r>
              <w:rPr>
                <w:rFonts w:ascii="Cambria Math" w:eastAsia="Cambria Math" w:hAnsi="Cambria Math" w:cs="Cambria Math"/>
                <w:sz w:val="20"/>
                <w:szCs w:val="20"/>
              </w:rPr>
              <m:t>i</m:t>
            </m:r>
          </m:sub>
        </m:sSub>
      </m:oMath>
      <w:r w:rsidR="006C1AAF">
        <w:rPr>
          <w:rFonts w:ascii="Cambria Math" w:eastAsia="Cambria Math" w:hAnsi="Cambria Math" w:cs="Cambria Math"/>
          <w:sz w:val="20"/>
          <w:szCs w:val="20"/>
        </w:rPr>
        <w:t xml:space="preserve"> is the actual real stock market value at time </w:t>
      </w:r>
      <w:r w:rsidR="006C1AAF">
        <w:rPr>
          <w:rFonts w:ascii="Cambria Math" w:eastAsia="Cambria Math" w:hAnsi="Cambria Math" w:cs="Cambria Math"/>
          <w:i/>
          <w:iCs/>
          <w:sz w:val="20"/>
          <w:szCs w:val="20"/>
        </w:rPr>
        <w:t>I</w:t>
      </w:r>
      <w:r w:rsidR="006C1AAF">
        <w:rPr>
          <w:rFonts w:ascii="Cambria Math" w:eastAsia="Cambria Math" w:hAnsi="Cambria Math" w:cs="Cambria Math"/>
          <w:sz w:val="20"/>
          <w:szCs w:val="20"/>
        </w:rPr>
        <w:t>, and</w:t>
      </w:r>
    </w:p>
    <w:p w14:paraId="72045865" w14:textId="77777777" w:rsidR="003967C8" w:rsidRDefault="00ED13D0">
      <w:pPr>
        <w:rPr>
          <w:rFonts w:ascii="Cambria Math" w:eastAsia="Cambria Math" w:hAnsi="Cambria Math" w:cs="Cambria Math"/>
          <w:sz w:val="20"/>
          <w:szCs w:val="20"/>
        </w:rPr>
      </w:pPr>
      <m:oMath>
        <m:sSub>
          <m:sSubPr>
            <m:ctrlPr>
              <w:rPr>
                <w:rFonts w:ascii="Cambria Math" w:eastAsia="Cambria Math" w:hAnsi="Cambria Math" w:cs="Cambria Math"/>
                <w:sz w:val="20"/>
                <w:szCs w:val="20"/>
              </w:rPr>
            </m:ctrlPr>
          </m:sSubPr>
          <m:e>
            <m:acc>
              <m:accPr>
                <m:ctrlPr>
                  <w:rPr>
                    <w:rFonts w:ascii="Cambria Math" w:eastAsia="Cambria Math" w:hAnsi="Cambria Math" w:cs="Cambria Math"/>
                    <w:sz w:val="20"/>
                    <w:szCs w:val="20"/>
                  </w:rPr>
                </m:ctrlPr>
              </m:accPr>
              <m:e>
                <m:r>
                  <w:rPr>
                    <w:rFonts w:ascii="Cambria Math" w:eastAsia="Cambria Math" w:hAnsi="Cambria Math" w:cs="Cambria Math"/>
                    <w:sz w:val="20"/>
                    <w:szCs w:val="20"/>
                  </w:rPr>
                  <m:t>y</m:t>
                </m:r>
              </m:e>
            </m:acc>
          </m:e>
          <m:sub>
            <m:r>
              <w:rPr>
                <w:rFonts w:ascii="Cambria Math" w:eastAsia="Cambria Math" w:hAnsi="Cambria Math" w:cs="Cambria Math"/>
                <w:sz w:val="20"/>
                <w:szCs w:val="20"/>
              </w:rPr>
              <m:t>i</m:t>
            </m:r>
          </m:sub>
        </m:sSub>
      </m:oMath>
      <w:r w:rsidR="006C1AAF">
        <w:rPr>
          <w:rFonts w:ascii="Cambria Math" w:eastAsia="Cambria Math" w:hAnsi="Cambria Math" w:cs="Cambria Math"/>
          <w:sz w:val="20"/>
          <w:szCs w:val="20"/>
        </w:rPr>
        <w:t xml:space="preserve"> is the predicted value at data point </w:t>
      </w:r>
      <w:r w:rsidR="006C1AAF">
        <w:rPr>
          <w:rFonts w:ascii="Cambria Math" w:eastAsia="Cambria Math" w:hAnsi="Cambria Math" w:cs="Cambria Math"/>
          <w:i/>
          <w:iCs/>
          <w:sz w:val="20"/>
          <w:szCs w:val="20"/>
        </w:rPr>
        <w:t>i</w:t>
      </w:r>
      <w:r w:rsidR="006C1AAF">
        <w:rPr>
          <w:rFonts w:ascii="Cambria Math" w:eastAsia="Cambria Math" w:hAnsi="Cambria Math" w:cs="Cambria Math"/>
          <w:sz w:val="20"/>
          <w:szCs w:val="20"/>
        </w:rPr>
        <w:t>.</w:t>
      </w:r>
    </w:p>
    <w:p w14:paraId="2BC006BE" w14:textId="77777777" w:rsidR="003967C8" w:rsidRDefault="006C1AA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paper minimised the Median Squared Error through</w:t>
      </w:r>
    </w:p>
    <w:p w14:paraId="00CF6332" w14:textId="77777777" w:rsidR="003967C8" w:rsidRDefault="006C1AAF">
      <w:pPr>
        <w:ind w:left="720" w:firstLine="698"/>
        <w:jc w:val="right"/>
        <w:rPr>
          <w:rFonts w:ascii="Times New Roman" w:eastAsia="Times New Roman" w:hAnsi="Times New Roman" w:cs="Times New Roman"/>
          <w:sz w:val="20"/>
          <w:szCs w:val="20"/>
        </w:rPr>
      </w:pPr>
      <m:oMath>
        <m:r>
          <w:rPr>
            <w:rFonts w:ascii="Cambria Math" w:eastAsia="Cambria Math" w:hAnsi="Cambria Math" w:cs="Cambria Math"/>
            <w:sz w:val="20"/>
            <w:szCs w:val="20"/>
          </w:rPr>
          <m:t>LMedS=median</m:t>
        </m:r>
        <m:d>
          <m:dPr>
            <m:ctrlPr>
              <w:rPr>
                <w:rFonts w:ascii="Cambria Math" w:eastAsia="Cambria Math" w:hAnsi="Cambria Math" w:cs="Cambria Math"/>
                <w:sz w:val="20"/>
                <w:szCs w:val="20"/>
              </w:rPr>
            </m:ctrlPr>
          </m:dPr>
          <m:e>
            <m:sSup>
              <m:sSupPr>
                <m:ctrlPr>
                  <w:rPr>
                    <w:rFonts w:ascii="Cambria Math" w:eastAsia="Cambria Math" w:hAnsi="Cambria Math" w:cs="Cambria Math"/>
                    <w:sz w:val="20"/>
                    <w:szCs w:val="20"/>
                  </w:rPr>
                </m:ctrlPr>
              </m:sSupPr>
              <m:e>
                <m:d>
                  <m:dPr>
                    <m:ctrlPr>
                      <w:rPr>
                        <w:rFonts w:ascii="Cambria Math" w:eastAsia="Cambria Math" w:hAnsi="Cambria Math" w:cs="Cambria Math"/>
                        <w:sz w:val="20"/>
                        <w:szCs w:val="20"/>
                      </w:rPr>
                    </m:ctrlPr>
                  </m:dPr>
                  <m:e>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y</m:t>
                        </m:r>
                      </m:e>
                      <m:sub>
                        <m:r>
                          <w:rPr>
                            <w:rFonts w:ascii="Cambria Math" w:eastAsia="Cambria Math" w:hAnsi="Cambria Math" w:cs="Cambria Math"/>
                            <w:sz w:val="20"/>
                            <w:szCs w:val="20"/>
                          </w:rPr>
                          <m:t>i</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acc>
                          <m:accPr>
                            <m:ctrlPr>
                              <w:rPr>
                                <w:rFonts w:ascii="Cambria Math" w:eastAsia="Cambria Math" w:hAnsi="Cambria Math" w:cs="Cambria Math"/>
                                <w:sz w:val="20"/>
                                <w:szCs w:val="20"/>
                              </w:rPr>
                            </m:ctrlPr>
                          </m:accPr>
                          <m:e>
                            <m:r>
                              <w:rPr>
                                <w:rFonts w:ascii="Cambria Math" w:eastAsia="Cambria Math" w:hAnsi="Cambria Math" w:cs="Cambria Math"/>
                                <w:sz w:val="20"/>
                                <w:szCs w:val="20"/>
                              </w:rPr>
                              <m:t>y</m:t>
                            </m:r>
                          </m:e>
                        </m:acc>
                      </m:e>
                      <m:sub>
                        <m:r>
                          <w:rPr>
                            <w:rFonts w:ascii="Cambria Math" w:eastAsia="Cambria Math" w:hAnsi="Cambria Math" w:cs="Cambria Math"/>
                            <w:sz w:val="20"/>
                            <w:szCs w:val="20"/>
                          </w:rPr>
                          <m:t>i</m:t>
                        </m:r>
                      </m:sub>
                    </m:sSub>
                  </m:e>
                </m:d>
              </m:e>
              <m:sup>
                <m:r>
                  <w:rPr>
                    <w:rFonts w:ascii="Cambria Math" w:eastAsia="Cambria Math" w:hAnsi="Cambria Math" w:cs="Cambria Math"/>
                    <w:sz w:val="20"/>
                    <w:szCs w:val="20"/>
                  </w:rPr>
                  <m:t>2</m:t>
                </m:r>
              </m:sup>
            </m:sSup>
          </m:e>
        </m:d>
      </m:oMath>
      <w:r>
        <w:rPr>
          <w:sz w:val="20"/>
          <w:szCs w:val="20"/>
        </w:rPr>
        <w:t xml:space="preserve">                                                                           </w:t>
      </w:r>
      <w:r>
        <w:rPr>
          <w:rFonts w:ascii="Times New Roman" w:eastAsia="Times New Roman" w:hAnsi="Times New Roman" w:cs="Times New Roman"/>
          <w:sz w:val="20"/>
          <w:szCs w:val="20"/>
        </w:rPr>
        <w:t>(2)</w:t>
      </w:r>
    </w:p>
    <w:p w14:paraId="2F1D232C" w14:textId="77777777" w:rsidR="003967C8" w:rsidRDefault="006C1AA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requires modifying the gradient descent algorithm to accommodate the non-differentiable median function. This paper utilised a robust approximation via iterative reweighting and sub-gradient methods.</w:t>
      </w:r>
    </w:p>
    <w:p w14:paraId="0BDB16B2" w14:textId="77777777" w:rsidR="003967C8" w:rsidRDefault="006C1AAF">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Evaluation of Prediction Model using Error Measure</w:t>
      </w:r>
    </w:p>
    <w:p w14:paraId="6F02631F" w14:textId="77777777" w:rsidR="003967C8" w:rsidRDefault="006C1AAF">
      <w:pPr>
        <w:pBdr>
          <w:top w:val="nil"/>
          <w:left w:val="nil"/>
          <w:bottom w:val="nil"/>
          <w:right w:val="nil"/>
          <w:between w:val="nil"/>
        </w:pBdr>
        <w:spacing w:after="36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The models were evaluated using two types of error measurements, i.e., Root Mean Square Error (RMSE) and Geometric Root Mean Square Error (GRMSE). The details of the function and formula of both error measures were explained in the following section.</w:t>
      </w:r>
    </w:p>
    <w:p w14:paraId="49A18426" w14:textId="77777777" w:rsidR="003967C8" w:rsidRDefault="006C1AAF">
      <w:pPr>
        <w:pStyle w:val="Heading3"/>
        <w:spacing w:line="360" w:lineRule="auto"/>
        <w:jc w:val="center"/>
        <w:rPr>
          <w:rFonts w:ascii="Times New Roman" w:eastAsia="Times New Roman" w:hAnsi="Times New Roman" w:cs="Times New Roman"/>
          <w:i/>
          <w:iCs/>
          <w:color w:val="000000"/>
          <w:sz w:val="20"/>
          <w:szCs w:val="20"/>
        </w:rPr>
      </w:pPr>
      <w:bookmarkStart w:id="1" w:name="_heading=h.avn28qpdm7dj" w:colFirst="0" w:colLast="0"/>
      <w:bookmarkEnd w:id="1"/>
      <w:r>
        <w:rPr>
          <w:rFonts w:ascii="Times New Roman" w:eastAsia="Times New Roman" w:hAnsi="Times New Roman" w:cs="Times New Roman"/>
          <w:i/>
          <w:iCs/>
          <w:color w:val="000000"/>
          <w:sz w:val="20"/>
          <w:szCs w:val="20"/>
        </w:rPr>
        <w:t>Root Mean Square Error</w:t>
      </w:r>
    </w:p>
    <w:p w14:paraId="54578CFB" w14:textId="77777777" w:rsidR="003967C8" w:rsidRDefault="006C1AA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Root Mean Square Error (RMSE) is used to explain how tightly the data is clustered around the line of best fit [21]. The error measurement known as RMSE is used by experts, who frequently compare the model's projected performance and assess the model's applicability [22]. The RMSE can be determined via Equation (3).</w:t>
      </w:r>
    </w:p>
    <w:p w14:paraId="3DC85798" w14:textId="77777777" w:rsidR="003967C8" w:rsidRDefault="003967C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D536F6" w14:textId="77777777" w:rsidR="003967C8" w:rsidRDefault="006C1AAF">
      <w:pPr>
        <w:spacing w:line="240" w:lineRule="auto"/>
        <w:ind w:left="1080" w:firstLine="338"/>
        <w:jc w:val="right"/>
        <w:rPr>
          <w:rFonts w:ascii="Times New Roman" w:eastAsia="Times New Roman" w:hAnsi="Times New Roman" w:cs="Times New Roman"/>
          <w:sz w:val="20"/>
          <w:szCs w:val="20"/>
        </w:rPr>
      </w:pPr>
      <w:bookmarkStart w:id="2" w:name="_heading=h.b5i1e2r0s87f" w:colFirst="0" w:colLast="0"/>
      <w:bookmarkEnd w:id="2"/>
      <m:oMath>
        <m:r>
          <w:rPr>
            <w:rFonts w:ascii="Cambria Math" w:eastAsia="Cambria Math" w:hAnsi="Cambria Math" w:cs="Cambria Math"/>
            <w:sz w:val="20"/>
            <w:szCs w:val="20"/>
          </w:rPr>
          <m:t>RMSE=</m:t>
        </m:r>
        <m:rad>
          <m:radPr>
            <m:degHide m:val="1"/>
            <m:ctrlPr>
              <w:rPr>
                <w:rFonts w:ascii="Cambria Math" w:eastAsia="Cambria Math" w:hAnsi="Cambria Math" w:cs="Cambria Math"/>
                <w:sz w:val="20"/>
                <w:szCs w:val="20"/>
              </w:rPr>
            </m:ctrlPr>
          </m:radPr>
          <m:deg/>
          <m:e>
            <m:f>
              <m:fPr>
                <m:ctrlPr>
                  <w:rPr>
                    <w:rFonts w:ascii="Cambria Math" w:eastAsia="Cambria Math" w:hAnsi="Cambria Math" w:cs="Cambria Math"/>
                    <w:sz w:val="20"/>
                    <w:szCs w:val="20"/>
                  </w:rPr>
                </m:ctrlPr>
              </m:fPr>
              <m:num>
                <m:r>
                  <w:rPr>
                    <w:rFonts w:ascii="Cambria Math" w:eastAsia="Cambria Math" w:hAnsi="Cambria Math" w:cs="Cambria Math"/>
                    <w:sz w:val="20"/>
                    <w:szCs w:val="20"/>
                  </w:rPr>
                  <m:t>1</m:t>
                </m:r>
              </m:num>
              <m:den>
                <m:r>
                  <w:rPr>
                    <w:rFonts w:ascii="Cambria Math" w:eastAsia="Cambria Math" w:hAnsi="Cambria Math" w:cs="Cambria Math"/>
                    <w:sz w:val="20"/>
                    <w:szCs w:val="20"/>
                  </w:rPr>
                  <m:t>n</m:t>
                </m:r>
              </m:den>
            </m:f>
            <m:nary>
              <m:naryPr>
                <m:chr m:val="∑"/>
                <m:ctrlPr>
                  <w:rPr>
                    <w:rFonts w:ascii="Cambria Math" w:eastAsia="Cambria Math" w:hAnsi="Cambria Math" w:cs="Cambria Math"/>
                    <w:sz w:val="20"/>
                    <w:szCs w:val="20"/>
                  </w:rPr>
                </m:ctrlPr>
              </m:naryPr>
              <m:sub>
                <m:r>
                  <w:rPr>
                    <w:rFonts w:ascii="Cambria Math" w:eastAsia="Cambria Math" w:hAnsi="Cambria Math" w:cs="Cambria Math"/>
                    <w:sz w:val="20"/>
                    <w:szCs w:val="20"/>
                  </w:rPr>
                  <m:t>t-1</m:t>
                </m:r>
              </m:sub>
              <m:sup>
                <m:r>
                  <w:rPr>
                    <w:rFonts w:ascii="Cambria Math" w:eastAsia="Cambria Math" w:hAnsi="Cambria Math" w:cs="Cambria Math"/>
                    <w:sz w:val="20"/>
                    <w:szCs w:val="20"/>
                  </w:rPr>
                  <m:t>n</m:t>
                </m:r>
              </m:sup>
              <m:e>
                <m:sSup>
                  <m:sSupPr>
                    <m:ctrlPr>
                      <w:rPr>
                        <w:rFonts w:ascii="Cambria Math" w:eastAsia="Cambria Math" w:hAnsi="Cambria Math" w:cs="Cambria Math"/>
                        <w:sz w:val="20"/>
                        <w:szCs w:val="20"/>
                      </w:rPr>
                    </m:ctrlPr>
                  </m:sSupPr>
                  <m:e>
                    <m:d>
                      <m:dPr>
                        <m:ctrlPr>
                          <w:rPr>
                            <w:rFonts w:ascii="Cambria Math" w:eastAsia="Cambria Math" w:hAnsi="Cambria Math" w:cs="Cambria Math"/>
                            <w:sz w:val="20"/>
                            <w:szCs w:val="20"/>
                          </w:rPr>
                        </m:ctrlPr>
                      </m:dPr>
                      <m:e>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Y</m:t>
                            </m:r>
                          </m:e>
                          <m:sub>
                            <m:r>
                              <w:rPr>
                                <w:rFonts w:ascii="Cambria Math" w:eastAsia="Cambria Math" w:hAnsi="Cambria Math" w:cs="Cambria Math"/>
                                <w:sz w:val="20"/>
                                <w:szCs w:val="20"/>
                              </w:rPr>
                              <m:t>t</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acc>
                              <m:accPr>
                                <m:ctrlPr>
                                  <w:rPr>
                                    <w:rFonts w:ascii="Cambria Math" w:eastAsia="Cambria Math" w:hAnsi="Cambria Math" w:cs="Cambria Math"/>
                                    <w:sz w:val="20"/>
                                    <w:szCs w:val="20"/>
                                  </w:rPr>
                                </m:ctrlPr>
                              </m:accPr>
                              <m:e>
                                <m:r>
                                  <w:rPr>
                                    <w:rFonts w:ascii="Cambria Math" w:eastAsia="Cambria Math" w:hAnsi="Cambria Math" w:cs="Cambria Math"/>
                                    <w:sz w:val="20"/>
                                    <w:szCs w:val="20"/>
                                  </w:rPr>
                                  <m:t>Y</m:t>
                                </m:r>
                              </m:e>
                            </m:acc>
                          </m:e>
                          <m:sub>
                            <m:r>
                              <w:rPr>
                                <w:rFonts w:ascii="Cambria Math" w:eastAsia="Cambria Math" w:hAnsi="Cambria Math" w:cs="Cambria Math"/>
                                <w:sz w:val="20"/>
                                <w:szCs w:val="20"/>
                              </w:rPr>
                              <m:t>t</m:t>
                            </m:r>
                          </m:sub>
                        </m:sSub>
                      </m:e>
                    </m:d>
                  </m:e>
                  <m:sup>
                    <m:r>
                      <w:rPr>
                        <w:rFonts w:ascii="Cambria Math" w:eastAsia="Cambria Math" w:hAnsi="Cambria Math" w:cs="Cambria Math"/>
                        <w:sz w:val="20"/>
                        <w:szCs w:val="20"/>
                      </w:rPr>
                      <m:t>2</m:t>
                    </m:r>
                  </m:sup>
                </m:sSup>
              </m:e>
            </m:nary>
          </m:e>
        </m:rad>
      </m:oMath>
      <w:r>
        <w:rPr>
          <w:sz w:val="20"/>
          <w:szCs w:val="20"/>
        </w:rPr>
        <w:t xml:space="preserve">                                                                                      </w:t>
      </w:r>
      <w:r>
        <w:rPr>
          <w:rFonts w:ascii="Times New Roman" w:eastAsia="Times New Roman" w:hAnsi="Times New Roman" w:cs="Times New Roman"/>
          <w:sz w:val="20"/>
          <w:szCs w:val="20"/>
        </w:rPr>
        <w:t>(3)</w:t>
      </w:r>
    </w:p>
    <w:p w14:paraId="13AA65EB" w14:textId="77777777" w:rsidR="003967C8" w:rsidRDefault="006C1AA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where</w:t>
      </w:r>
    </w:p>
    <w:p w14:paraId="0B14A717" w14:textId="77777777" w:rsidR="003967C8" w:rsidRDefault="006C1AA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i/>
          <w:iCs/>
          <w:color w:val="000000"/>
          <w:sz w:val="20"/>
          <w:szCs w:val="20"/>
        </w:rPr>
        <w:t>n</w:t>
      </w:r>
      <w:r>
        <w:rPr>
          <w:rFonts w:ascii="Times New Roman" w:eastAsia="Times New Roman" w:hAnsi="Times New Roman" w:cs="Times New Roman"/>
          <w:color w:val="000000"/>
          <w:sz w:val="20"/>
          <w:szCs w:val="20"/>
        </w:rPr>
        <w:t xml:space="preserve"> = the number of predictions</w:t>
      </w:r>
    </w:p>
    <w:p w14:paraId="325AD21B" w14:textId="77777777" w:rsidR="003967C8" w:rsidRDefault="00ED13D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Cambria Math"/>
                <w:color w:val="000000"/>
                <w:sz w:val="20"/>
                <w:szCs w:val="20"/>
              </w:rPr>
            </m:ctrlPr>
          </m:sSubPr>
          <m:e>
            <m:acc>
              <m:accPr>
                <m:ctrlPr>
                  <w:rPr>
                    <w:rFonts w:ascii="Cambria Math" w:eastAsia="Cambria Math" w:hAnsi="Cambria Math" w:cs="Cambria Math"/>
                    <w:color w:val="000000"/>
                    <w:sz w:val="20"/>
                    <w:szCs w:val="20"/>
                  </w:rPr>
                </m:ctrlPr>
              </m:accPr>
              <m:e>
                <m:r>
                  <w:rPr>
                    <w:rFonts w:ascii="Cambria Math" w:eastAsia="Cambria Math" w:hAnsi="Cambria Math" w:cs="Cambria Math"/>
                    <w:color w:val="000000"/>
                    <w:sz w:val="20"/>
                    <w:szCs w:val="20"/>
                  </w:rPr>
                  <m:t>Y</m:t>
                </m:r>
              </m:e>
            </m:acc>
          </m:e>
          <m:sub>
            <m:r>
              <w:rPr>
                <w:rFonts w:ascii="Cambria Math" w:eastAsia="Cambria Math" w:hAnsi="Cambria Math" w:cs="Cambria Math"/>
                <w:color w:val="000000"/>
                <w:sz w:val="20"/>
                <w:szCs w:val="20"/>
              </w:rPr>
              <m:t>t</m:t>
            </m:r>
          </m:sub>
        </m:sSub>
      </m:oMath>
      <w:r w:rsidR="006C1AAF">
        <w:rPr>
          <w:rFonts w:ascii="Times New Roman" w:eastAsia="Times New Roman" w:hAnsi="Times New Roman" w:cs="Times New Roman"/>
          <w:color w:val="000000"/>
          <w:sz w:val="20"/>
          <w:szCs w:val="20"/>
        </w:rPr>
        <w:t xml:space="preserve"> = the forecasted value at interval </w:t>
      </w:r>
      <w:r w:rsidR="006C1AAF">
        <w:rPr>
          <w:rFonts w:ascii="Times New Roman" w:eastAsia="Times New Roman" w:hAnsi="Times New Roman" w:cs="Times New Roman"/>
          <w:i/>
          <w:iCs/>
          <w:color w:val="000000"/>
          <w:sz w:val="20"/>
          <w:szCs w:val="20"/>
        </w:rPr>
        <w:t>t</w:t>
      </w:r>
    </w:p>
    <w:p w14:paraId="613B2ADA" w14:textId="77777777" w:rsidR="003967C8" w:rsidRDefault="00ED13D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m:oMath>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Y</m:t>
            </m:r>
          </m:e>
          <m:sub>
            <m:r>
              <w:rPr>
                <w:rFonts w:ascii="Cambria Math" w:eastAsia="Cambria Math" w:hAnsi="Cambria Math" w:cs="Cambria Math"/>
                <w:color w:val="000000"/>
                <w:sz w:val="20"/>
                <w:szCs w:val="20"/>
              </w:rPr>
              <m:t>t</m:t>
            </m:r>
          </m:sub>
        </m:sSub>
      </m:oMath>
      <w:r w:rsidR="006C1AAF">
        <w:rPr>
          <w:rFonts w:ascii="Times New Roman" w:eastAsia="Times New Roman" w:hAnsi="Times New Roman" w:cs="Times New Roman"/>
          <w:color w:val="000000"/>
          <w:sz w:val="20"/>
          <w:szCs w:val="20"/>
        </w:rPr>
        <w:t xml:space="preserve"> = the actual value at interval </w:t>
      </w:r>
      <w:r w:rsidR="006C1AAF">
        <w:rPr>
          <w:rFonts w:ascii="Times New Roman" w:eastAsia="Times New Roman" w:hAnsi="Times New Roman" w:cs="Times New Roman"/>
          <w:i/>
          <w:iCs/>
          <w:color w:val="000000"/>
          <w:sz w:val="20"/>
          <w:szCs w:val="20"/>
        </w:rPr>
        <w:t>t</w:t>
      </w:r>
      <w:r w:rsidR="006C1AAF">
        <w:rPr>
          <w:rFonts w:ascii="Times New Roman" w:eastAsia="Times New Roman" w:hAnsi="Times New Roman" w:cs="Times New Roman"/>
          <w:color w:val="000000"/>
          <w:sz w:val="20"/>
          <w:szCs w:val="20"/>
        </w:rPr>
        <w:t xml:space="preserve"> </w:t>
      </w:r>
    </w:p>
    <w:p w14:paraId="35E7CD41" w14:textId="77777777" w:rsidR="003967C8" w:rsidRDefault="003967C8">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14:paraId="18BA0B36" w14:textId="77777777" w:rsidR="003967C8" w:rsidRDefault="006C1AA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The model that gives the smallest value of RMSE is the best fit to perform forecasting.</w:t>
      </w:r>
    </w:p>
    <w:p w14:paraId="344CCCDE" w14:textId="77777777" w:rsidR="003967C8" w:rsidRDefault="006C1AAF">
      <w:pPr>
        <w:pStyle w:val="Heading3"/>
        <w:spacing w:line="360" w:lineRule="auto"/>
        <w:jc w:val="center"/>
        <w:rPr>
          <w:rFonts w:ascii="Times New Roman" w:eastAsia="Times New Roman" w:hAnsi="Times New Roman" w:cs="Times New Roman"/>
          <w:i/>
          <w:iCs/>
          <w:color w:val="000000"/>
          <w:sz w:val="20"/>
          <w:szCs w:val="20"/>
        </w:rPr>
      </w:pPr>
      <w:bookmarkStart w:id="3" w:name="_heading=h.gje6oihzy68f" w:colFirst="0" w:colLast="0"/>
      <w:bookmarkEnd w:id="3"/>
      <w:r>
        <w:rPr>
          <w:rFonts w:ascii="Times New Roman" w:eastAsia="Times New Roman" w:hAnsi="Times New Roman" w:cs="Times New Roman"/>
          <w:i/>
          <w:iCs/>
          <w:color w:val="000000"/>
          <w:sz w:val="20"/>
          <w:szCs w:val="20"/>
        </w:rPr>
        <w:t>Geometric Root Mean Square Error</w:t>
      </w:r>
    </w:p>
    <w:p w14:paraId="015C279C" w14:textId="77777777" w:rsidR="003967C8" w:rsidRDefault="006C1AA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Geometric Root Mean Square Error (GRMSE) serves as a method for addressing the issue of outliers, which often impacts the precision of error measurements, especially when dealing with notably large errors resulting from inaccurate forecasts [23], [24]. The GRMSE can be defined as   </w:t>
      </w:r>
    </w:p>
    <w:p w14:paraId="47683FAC" w14:textId="77777777" w:rsidR="003967C8" w:rsidRDefault="006C1AAF">
      <w:pPr>
        <w:spacing w:line="240" w:lineRule="auto"/>
        <w:ind w:left="1080" w:firstLine="338"/>
        <w:jc w:val="right"/>
        <w:rPr>
          <w:sz w:val="20"/>
          <w:szCs w:val="20"/>
        </w:rPr>
      </w:pPr>
      <w:bookmarkStart w:id="4" w:name="_heading=h.3o8jeg29qfem" w:colFirst="0" w:colLast="0"/>
      <w:bookmarkEnd w:id="4"/>
      <m:oMath>
        <m:r>
          <w:rPr>
            <w:rFonts w:ascii="Cambria Math" w:eastAsia="Cambria Math" w:hAnsi="Cambria Math" w:cs="Cambria Math"/>
            <w:sz w:val="20"/>
            <w:szCs w:val="20"/>
          </w:rPr>
          <m:t>GRMSE=</m:t>
        </m:r>
        <m:sSup>
          <m:sSupPr>
            <m:ctrlPr>
              <w:rPr>
                <w:rFonts w:ascii="Cambria Math" w:eastAsia="Cambria Math" w:hAnsi="Cambria Math" w:cs="Cambria Math"/>
                <w:sz w:val="20"/>
                <w:szCs w:val="20"/>
              </w:rPr>
            </m:ctrlPr>
          </m:sSupPr>
          <m:e>
            <m:d>
              <m:dPr>
                <m:ctrlPr>
                  <w:rPr>
                    <w:rFonts w:ascii="Cambria Math" w:eastAsia="Cambria Math" w:hAnsi="Cambria Math" w:cs="Cambria Math"/>
                    <w:sz w:val="20"/>
                    <w:szCs w:val="20"/>
                  </w:rPr>
                </m:ctrlPr>
              </m:dPr>
              <m:e>
                <m:nary>
                  <m:naryPr>
                    <m:chr m:val="∏"/>
                    <m:ctrlPr>
                      <w:rPr>
                        <w:rFonts w:ascii="Cambria Math" w:eastAsia="Cambria Math" w:hAnsi="Cambria Math" w:cs="Cambria Math"/>
                        <w:sz w:val="20"/>
                        <w:szCs w:val="20"/>
                      </w:rPr>
                    </m:ctrlPr>
                  </m:naryPr>
                  <m:sub>
                    <m:r>
                      <w:rPr>
                        <w:rFonts w:ascii="Cambria Math" w:eastAsia="Cambria Math" w:hAnsi="Cambria Math" w:cs="Cambria Math"/>
                        <w:sz w:val="20"/>
                        <w:szCs w:val="20"/>
                      </w:rPr>
                      <m:t>t</m:t>
                    </m:r>
                  </m:sub>
                  <m:sup>
                    <m:r>
                      <w:rPr>
                        <w:rFonts w:ascii="Cambria Math" w:eastAsia="Cambria Math" w:hAnsi="Cambria Math" w:cs="Cambria Math"/>
                        <w:sz w:val="20"/>
                        <w:szCs w:val="20"/>
                      </w:rPr>
                      <m:t>n</m:t>
                    </m:r>
                  </m:sup>
                  <m:e>
                    <m:sSup>
                      <m:sSupPr>
                        <m:ctrlPr>
                          <w:rPr>
                            <w:rFonts w:ascii="Cambria Math" w:eastAsia="Cambria Math" w:hAnsi="Cambria Math" w:cs="Cambria Math"/>
                            <w:sz w:val="20"/>
                            <w:szCs w:val="20"/>
                          </w:rPr>
                        </m:ctrlPr>
                      </m:sSupPr>
                      <m:e>
                        <m:d>
                          <m:dPr>
                            <m:begChr m:val="["/>
                            <m:endChr m:val="]"/>
                            <m:ctrlPr>
                              <w:rPr>
                                <w:rFonts w:ascii="Cambria Math" w:eastAsia="Cambria Math" w:hAnsi="Cambria Math" w:cs="Cambria Math"/>
                                <w:sz w:val="20"/>
                                <w:szCs w:val="20"/>
                              </w:rPr>
                            </m:ctrlPr>
                          </m:dPr>
                          <m:e>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Y</m:t>
                                </m:r>
                              </m:e>
                              <m:sub>
                                <m:r>
                                  <w:rPr>
                                    <w:rFonts w:ascii="Cambria Math" w:eastAsia="Cambria Math" w:hAnsi="Cambria Math" w:cs="Cambria Math"/>
                                    <w:sz w:val="20"/>
                                    <w:szCs w:val="20"/>
                                  </w:rPr>
                                  <m:t>t</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acc>
                                  <m:accPr>
                                    <m:ctrlPr>
                                      <w:rPr>
                                        <w:rFonts w:ascii="Cambria Math" w:eastAsia="Cambria Math" w:hAnsi="Cambria Math" w:cs="Cambria Math"/>
                                        <w:sz w:val="20"/>
                                        <w:szCs w:val="20"/>
                                      </w:rPr>
                                    </m:ctrlPr>
                                  </m:accPr>
                                  <m:e>
                                    <m:r>
                                      <w:rPr>
                                        <w:rFonts w:ascii="Cambria Math" w:eastAsia="Cambria Math" w:hAnsi="Cambria Math" w:cs="Cambria Math"/>
                                        <w:sz w:val="20"/>
                                        <w:szCs w:val="20"/>
                                      </w:rPr>
                                      <m:t>Y</m:t>
                                    </m:r>
                                  </m:e>
                                </m:acc>
                              </m:e>
                              <m:sub>
                                <m:r>
                                  <w:rPr>
                                    <w:rFonts w:ascii="Cambria Math" w:eastAsia="Cambria Math" w:hAnsi="Cambria Math" w:cs="Cambria Math"/>
                                    <w:sz w:val="20"/>
                                    <w:szCs w:val="20"/>
                                  </w:rPr>
                                  <m:t>t</m:t>
                                </m:r>
                              </m:sub>
                            </m:sSub>
                          </m:e>
                        </m:d>
                      </m:e>
                      <m:sup>
                        <m:r>
                          <w:rPr>
                            <w:rFonts w:ascii="Cambria Math" w:eastAsia="Cambria Math" w:hAnsi="Cambria Math" w:cs="Cambria Math"/>
                            <w:sz w:val="20"/>
                            <w:szCs w:val="20"/>
                          </w:rPr>
                          <m:t>2</m:t>
                        </m:r>
                      </m:sup>
                    </m:sSup>
                  </m:e>
                </m:nary>
              </m:e>
            </m:d>
          </m:e>
          <m:sup>
            <m:f>
              <m:fPr>
                <m:ctrlPr>
                  <w:rPr>
                    <w:rFonts w:ascii="Cambria Math" w:eastAsia="Cambria Math" w:hAnsi="Cambria Math" w:cs="Cambria Math"/>
                    <w:sz w:val="20"/>
                    <w:szCs w:val="20"/>
                  </w:rPr>
                </m:ctrlPr>
              </m:fPr>
              <m:num>
                <m:r>
                  <w:rPr>
                    <w:rFonts w:ascii="Cambria Math" w:eastAsia="Cambria Math" w:hAnsi="Cambria Math" w:cs="Cambria Math"/>
                    <w:sz w:val="20"/>
                    <w:szCs w:val="20"/>
                  </w:rPr>
                  <m:t>1</m:t>
                </m:r>
              </m:num>
              <m:den>
                <m:r>
                  <w:rPr>
                    <w:rFonts w:ascii="Cambria Math" w:eastAsia="Cambria Math" w:hAnsi="Cambria Math" w:cs="Cambria Math"/>
                    <w:sz w:val="20"/>
                    <w:szCs w:val="20"/>
                  </w:rPr>
                  <m:t>2n</m:t>
                </m:r>
              </m:den>
            </m:f>
          </m:sup>
        </m:sSup>
      </m:oMath>
      <w:r>
        <w:rPr>
          <w:sz w:val="20"/>
          <w:szCs w:val="20"/>
        </w:rPr>
        <w:t xml:space="preserve">                                                                               </w:t>
      </w:r>
      <w:r>
        <w:rPr>
          <w:rFonts w:ascii="Times New Roman" w:eastAsia="Times New Roman" w:hAnsi="Times New Roman" w:cs="Times New Roman"/>
          <w:sz w:val="20"/>
          <w:szCs w:val="20"/>
        </w:rPr>
        <w:t>(4)</w:t>
      </w:r>
    </w:p>
    <w:p w14:paraId="055F8594" w14:textId="77777777" w:rsidR="003967C8" w:rsidRDefault="006C1AAF">
      <w:pPr>
        <w:pBdr>
          <w:top w:val="nil"/>
          <w:left w:val="nil"/>
          <w:bottom w:val="nil"/>
          <w:right w:val="nil"/>
          <w:between w:val="nil"/>
        </w:pBdr>
        <w:spacing w:after="36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It is common for the forecasters to utilise multiple error measures to ensure consistency and accuracy of the results in evaluation. We will present a summary of the error measures that are used to assess the performance of each model in order the determine the best one. </w:t>
      </w:r>
    </w:p>
    <w:p w14:paraId="3C942069" w14:textId="77777777" w:rsidR="003967C8" w:rsidRDefault="006C1AAF">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FINDINGS</w:t>
      </w:r>
    </w:p>
    <w:p w14:paraId="19AC24FA" w14:textId="77777777" w:rsidR="003967C8" w:rsidRDefault="006C1AA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proposed models were evaluated to determine the accuracy of the results in comparison to the actual value of the FBM KLCI stock market. The results in Table 1 demonstrate that the proposed LMedS-BPNN model provides more accurate forecasts compared to the conventional BPNN. For all three forecasting horizons, the predicted values generated by the LMedS-BPNN are consistently closer to the actual market values, reflecting its enhanced ability to minimize the impact of outliers and noise in financial data.</w:t>
      </w:r>
    </w:p>
    <w:p w14:paraId="7C135393" w14:textId="77777777" w:rsidR="003967C8" w:rsidRDefault="006C1AA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Specifically, the 1-step ahead prediction of the LMedS-BPNN (1495.06) is nearer to the actual value (1487.26) than the conventional BPNN (1496.66). A similar pattern can be observed for the 2-step and 3-step ahead forecasts, where the LMedS-BPNN predictions show smaller deviations from the real values. These improvements suggest that replacing OLS with LMedS as the error minimization technique strengthens the predictive performance of BPNN, particularly in volatile environments such as stock market forecasting.</w:t>
      </w:r>
    </w:p>
    <w:p w14:paraId="0C7A168E" w14:textId="77777777" w:rsidR="003967C8" w:rsidRDefault="006C1AAF">
      <w:pPr>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Overall, the findings confirm that the integration of robust estimation methods such as LMedS can enhance the resilience of neural networks against data irregularities, ultimately leading to more reliable forecasting outcomes.</w:t>
      </w:r>
    </w:p>
    <w:p w14:paraId="42C00BA5" w14:textId="77777777" w:rsidR="003967C8" w:rsidRDefault="006C1AAF">
      <w:pPr>
        <w:pBdr>
          <w:top w:val="nil"/>
          <w:left w:val="nil"/>
          <w:bottom w:val="nil"/>
          <w:right w:val="nil"/>
          <w:between w:val="nil"/>
        </w:pBdr>
        <w:spacing w:before="240" w:after="0" w:line="360" w:lineRule="auto"/>
        <w:jc w:val="center"/>
        <w:rPr>
          <w:rFonts w:ascii="Times New Roman" w:eastAsia="Times New Roman" w:hAnsi="Times New Roman" w:cs="Times New Roman"/>
          <w:i/>
          <w:iCs/>
          <w:color w:val="000000"/>
          <w:sz w:val="18"/>
          <w:szCs w:val="18"/>
        </w:rPr>
      </w:pPr>
      <w:bookmarkStart w:id="5" w:name="_heading=h.14c2qzjjh2xs" w:colFirst="0" w:colLast="0"/>
      <w:bookmarkEnd w:id="5"/>
      <w:r>
        <w:rPr>
          <w:rFonts w:ascii="Times New Roman" w:eastAsia="Times New Roman" w:hAnsi="Times New Roman" w:cs="Times New Roman"/>
          <w:b/>
          <w:bCs/>
          <w:color w:val="000000"/>
          <w:sz w:val="18"/>
          <w:szCs w:val="18"/>
        </w:rPr>
        <w:t>TABLE 1.</w:t>
      </w:r>
      <w:r>
        <w:rPr>
          <w:rFonts w:ascii="Times New Roman" w:eastAsia="Times New Roman" w:hAnsi="Times New Roman" w:cs="Times New Roman"/>
          <w:color w:val="000000"/>
          <w:sz w:val="18"/>
          <w:szCs w:val="18"/>
        </w:rPr>
        <w:t xml:space="preserve"> Prediction 1-step ahead, 2-step ahead, and 3-step ahead</w:t>
      </w:r>
    </w:p>
    <w:tbl>
      <w:tblPr>
        <w:tblStyle w:val="a0"/>
        <w:tblW w:w="8840" w:type="dxa"/>
        <w:tblLayout w:type="fixed"/>
        <w:tblLook w:val="0400" w:firstRow="0" w:lastRow="0" w:firstColumn="0" w:lastColumn="0" w:noHBand="0" w:noVBand="1"/>
      </w:tblPr>
      <w:tblGrid>
        <w:gridCol w:w="2250"/>
        <w:gridCol w:w="2250"/>
        <w:gridCol w:w="2250"/>
        <w:gridCol w:w="2090"/>
      </w:tblGrid>
      <w:tr w:rsidR="003967C8" w14:paraId="1FEE199E" w14:textId="77777777">
        <w:trPr>
          <w:trHeight w:val="330"/>
        </w:trPr>
        <w:tc>
          <w:tcPr>
            <w:tcW w:w="2250" w:type="dxa"/>
            <w:tcBorders>
              <w:top w:val="single" w:sz="8" w:space="0" w:color="000000"/>
              <w:left w:val="nil"/>
              <w:bottom w:val="single" w:sz="8" w:space="0" w:color="000000"/>
              <w:right w:val="nil"/>
            </w:tcBorders>
            <w:vAlign w:val="center"/>
          </w:tcPr>
          <w:p w14:paraId="5C8B8C69" w14:textId="77777777" w:rsidR="003967C8" w:rsidRDefault="006C1AAF">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Model</w:t>
            </w:r>
          </w:p>
        </w:tc>
        <w:tc>
          <w:tcPr>
            <w:tcW w:w="2250" w:type="dxa"/>
            <w:tcBorders>
              <w:top w:val="single" w:sz="8" w:space="0" w:color="000000"/>
              <w:left w:val="nil"/>
              <w:bottom w:val="single" w:sz="8" w:space="0" w:color="000000"/>
              <w:right w:val="nil"/>
            </w:tcBorders>
            <w:vAlign w:val="center"/>
          </w:tcPr>
          <w:p w14:paraId="70967F51" w14:textId="77777777" w:rsidR="003967C8" w:rsidRDefault="006C1AAF">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1-step ahead</w:t>
            </w:r>
          </w:p>
        </w:tc>
        <w:tc>
          <w:tcPr>
            <w:tcW w:w="2250" w:type="dxa"/>
            <w:tcBorders>
              <w:top w:val="single" w:sz="8" w:space="0" w:color="000000"/>
              <w:left w:val="nil"/>
              <w:bottom w:val="single" w:sz="8" w:space="0" w:color="000000"/>
              <w:right w:val="nil"/>
            </w:tcBorders>
            <w:vAlign w:val="center"/>
          </w:tcPr>
          <w:p w14:paraId="589F4B33" w14:textId="77777777" w:rsidR="003967C8" w:rsidRDefault="006C1AAF">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2-step ahead</w:t>
            </w:r>
          </w:p>
        </w:tc>
        <w:tc>
          <w:tcPr>
            <w:tcW w:w="2090" w:type="dxa"/>
            <w:tcBorders>
              <w:top w:val="single" w:sz="8" w:space="0" w:color="000000"/>
              <w:left w:val="nil"/>
              <w:bottom w:val="single" w:sz="8" w:space="0" w:color="000000"/>
              <w:right w:val="nil"/>
            </w:tcBorders>
            <w:vAlign w:val="center"/>
          </w:tcPr>
          <w:p w14:paraId="7214B845" w14:textId="77777777" w:rsidR="003967C8" w:rsidRDefault="006C1AAF">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3-step ahead</w:t>
            </w:r>
          </w:p>
        </w:tc>
      </w:tr>
      <w:tr w:rsidR="003967C8" w14:paraId="4F4A8AA9" w14:textId="77777777">
        <w:trPr>
          <w:trHeight w:val="315"/>
        </w:trPr>
        <w:tc>
          <w:tcPr>
            <w:tcW w:w="2250" w:type="dxa"/>
            <w:tcBorders>
              <w:top w:val="nil"/>
              <w:left w:val="nil"/>
              <w:bottom w:val="nil"/>
              <w:right w:val="nil"/>
            </w:tcBorders>
            <w:vAlign w:val="center"/>
          </w:tcPr>
          <w:p w14:paraId="0C598144" w14:textId="77777777" w:rsidR="003967C8" w:rsidRDefault="006C1AA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BPNN</w:t>
            </w:r>
          </w:p>
        </w:tc>
        <w:tc>
          <w:tcPr>
            <w:tcW w:w="2250" w:type="dxa"/>
            <w:tcBorders>
              <w:top w:val="nil"/>
              <w:left w:val="nil"/>
              <w:bottom w:val="nil"/>
              <w:right w:val="nil"/>
            </w:tcBorders>
            <w:vAlign w:val="center"/>
          </w:tcPr>
          <w:p w14:paraId="60C0D063" w14:textId="77777777" w:rsidR="003967C8" w:rsidRDefault="006C1AA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1496.66</w:t>
            </w:r>
          </w:p>
        </w:tc>
        <w:tc>
          <w:tcPr>
            <w:tcW w:w="2250" w:type="dxa"/>
            <w:tcBorders>
              <w:top w:val="nil"/>
              <w:left w:val="nil"/>
              <w:bottom w:val="nil"/>
              <w:right w:val="nil"/>
            </w:tcBorders>
            <w:vAlign w:val="center"/>
          </w:tcPr>
          <w:p w14:paraId="60075921" w14:textId="77777777" w:rsidR="003967C8" w:rsidRDefault="006C1AA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1496.42</w:t>
            </w:r>
          </w:p>
        </w:tc>
        <w:tc>
          <w:tcPr>
            <w:tcW w:w="2090" w:type="dxa"/>
            <w:tcBorders>
              <w:top w:val="nil"/>
              <w:left w:val="nil"/>
              <w:bottom w:val="nil"/>
              <w:right w:val="nil"/>
            </w:tcBorders>
            <w:vAlign w:val="center"/>
          </w:tcPr>
          <w:p w14:paraId="14F327CC" w14:textId="77777777" w:rsidR="003967C8" w:rsidRDefault="006C1AA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1497.92</w:t>
            </w:r>
          </w:p>
        </w:tc>
      </w:tr>
      <w:tr w:rsidR="003967C8" w14:paraId="6531B534" w14:textId="77777777">
        <w:trPr>
          <w:trHeight w:val="315"/>
        </w:trPr>
        <w:tc>
          <w:tcPr>
            <w:tcW w:w="2250" w:type="dxa"/>
            <w:tcBorders>
              <w:top w:val="nil"/>
              <w:left w:val="nil"/>
              <w:bottom w:val="nil"/>
              <w:right w:val="nil"/>
            </w:tcBorders>
            <w:vAlign w:val="center"/>
          </w:tcPr>
          <w:p w14:paraId="79B64F28" w14:textId="77777777" w:rsidR="003967C8" w:rsidRDefault="006C1AA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BPNN with LMedS</w:t>
            </w:r>
          </w:p>
        </w:tc>
        <w:tc>
          <w:tcPr>
            <w:tcW w:w="2250" w:type="dxa"/>
            <w:tcBorders>
              <w:top w:val="nil"/>
              <w:left w:val="nil"/>
              <w:bottom w:val="nil"/>
              <w:right w:val="nil"/>
            </w:tcBorders>
            <w:vAlign w:val="center"/>
          </w:tcPr>
          <w:p w14:paraId="6207A299" w14:textId="77777777" w:rsidR="003967C8" w:rsidRDefault="006C1AAF">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1495.06</w:t>
            </w:r>
          </w:p>
        </w:tc>
        <w:tc>
          <w:tcPr>
            <w:tcW w:w="2250" w:type="dxa"/>
            <w:tcBorders>
              <w:top w:val="nil"/>
              <w:left w:val="nil"/>
              <w:bottom w:val="nil"/>
              <w:right w:val="nil"/>
            </w:tcBorders>
            <w:vAlign w:val="center"/>
          </w:tcPr>
          <w:p w14:paraId="59F5A52B" w14:textId="77777777" w:rsidR="003967C8" w:rsidRDefault="006C1AAF">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1495.67</w:t>
            </w:r>
          </w:p>
        </w:tc>
        <w:tc>
          <w:tcPr>
            <w:tcW w:w="2090" w:type="dxa"/>
            <w:tcBorders>
              <w:top w:val="nil"/>
              <w:left w:val="nil"/>
              <w:bottom w:val="nil"/>
              <w:right w:val="nil"/>
            </w:tcBorders>
            <w:vAlign w:val="center"/>
          </w:tcPr>
          <w:p w14:paraId="3FCE3771" w14:textId="77777777" w:rsidR="003967C8" w:rsidRDefault="006C1AAF">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1497.69</w:t>
            </w:r>
          </w:p>
        </w:tc>
      </w:tr>
      <w:tr w:rsidR="003967C8" w14:paraId="32F6856C" w14:textId="77777777">
        <w:trPr>
          <w:trHeight w:val="330"/>
        </w:trPr>
        <w:tc>
          <w:tcPr>
            <w:tcW w:w="2250" w:type="dxa"/>
            <w:tcBorders>
              <w:top w:val="nil"/>
              <w:left w:val="nil"/>
              <w:bottom w:val="single" w:sz="12" w:space="0" w:color="000000"/>
              <w:right w:val="nil"/>
            </w:tcBorders>
            <w:vAlign w:val="center"/>
          </w:tcPr>
          <w:p w14:paraId="3F016CD9" w14:textId="77777777" w:rsidR="003967C8" w:rsidRDefault="006C1AA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Real Value</w:t>
            </w:r>
          </w:p>
        </w:tc>
        <w:tc>
          <w:tcPr>
            <w:tcW w:w="2250" w:type="dxa"/>
            <w:tcBorders>
              <w:top w:val="nil"/>
              <w:left w:val="nil"/>
              <w:bottom w:val="single" w:sz="12" w:space="0" w:color="000000"/>
              <w:right w:val="nil"/>
            </w:tcBorders>
            <w:vAlign w:val="center"/>
          </w:tcPr>
          <w:p w14:paraId="34B99C52" w14:textId="77777777" w:rsidR="003967C8" w:rsidRDefault="006C1AA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1487.26</w:t>
            </w:r>
          </w:p>
        </w:tc>
        <w:tc>
          <w:tcPr>
            <w:tcW w:w="2250" w:type="dxa"/>
            <w:tcBorders>
              <w:top w:val="nil"/>
              <w:left w:val="nil"/>
              <w:bottom w:val="single" w:sz="12" w:space="0" w:color="000000"/>
              <w:right w:val="nil"/>
            </w:tcBorders>
            <w:vAlign w:val="center"/>
          </w:tcPr>
          <w:p w14:paraId="4FAEC74F" w14:textId="77777777" w:rsidR="003967C8" w:rsidRDefault="006C1AA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1483.38</w:t>
            </w:r>
          </w:p>
        </w:tc>
        <w:tc>
          <w:tcPr>
            <w:tcW w:w="2090" w:type="dxa"/>
            <w:tcBorders>
              <w:top w:val="nil"/>
              <w:left w:val="nil"/>
              <w:bottom w:val="single" w:sz="12" w:space="0" w:color="000000"/>
              <w:right w:val="nil"/>
            </w:tcBorders>
            <w:vAlign w:val="center"/>
          </w:tcPr>
          <w:p w14:paraId="7F211383" w14:textId="77777777" w:rsidR="003967C8" w:rsidRDefault="006C1AA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1473.91</w:t>
            </w:r>
          </w:p>
        </w:tc>
      </w:tr>
    </w:tbl>
    <w:p w14:paraId="36694B63" w14:textId="77777777" w:rsidR="003967C8" w:rsidRDefault="003967C8">
      <w:pPr>
        <w:jc w:val="both"/>
        <w:rPr>
          <w:rFonts w:ascii="Times New Roman" w:eastAsia="Times New Roman" w:hAnsi="Times New Roman" w:cs="Times New Roman"/>
          <w:sz w:val="24"/>
          <w:szCs w:val="24"/>
        </w:rPr>
      </w:pPr>
    </w:p>
    <w:p w14:paraId="007DF5ED" w14:textId="77777777" w:rsidR="003967C8" w:rsidRDefault="006C1AAF">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7B503A38" w14:textId="77777777" w:rsidR="003967C8" w:rsidRDefault="006C1AA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study successfully demonstrates that replacing the Ordinary Least Squares (OLS) criterion with the Least Median of Squares (LMedS) in Backpropagation Neural Network (BPNN) enhances robustness and prediction accuracy in stock market forecasting tasks. By incorporating the LMedS loss function, the revised BPNN model becomes less sensitive to outliers and anomalous data points, common traits in financial time series, thereby yielding more stable and reliable forecasts.</w:t>
      </w:r>
    </w:p>
    <w:p w14:paraId="4FD66E3B" w14:textId="77777777" w:rsidR="003967C8" w:rsidRDefault="006C1AA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Empirical results based on FBM KLCI daily closing prices revealed that the LMedS-BPNN consistently produces lower RMSE and GRMSE values across 1-step, 2-step, and 3-step ahead predictions compared to the conventional BPNN. This validates the effectiveness of the LMedS approach in mitigating the influence of noise and extreme values inherent in stock market data.</w:t>
      </w:r>
    </w:p>
    <w:p w14:paraId="704FA46C" w14:textId="77777777" w:rsidR="003967C8" w:rsidRDefault="006C1AA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While implementing LMedS involves greater computational complexity due to its non-differentiable nature, the benefits in predictive stability and model resilience justify its application, particularly in volatile environments like financial markets. Moving forward, future research could extend this research framework: (i) by integrating the hybrid loss functions or ensemble technique, or (ii) by exploring broader applications within emerging market indices and high-frequency trading data.</w:t>
      </w:r>
    </w:p>
    <w:p w14:paraId="3A63BF04" w14:textId="77777777" w:rsidR="003967C8" w:rsidRDefault="006C1AA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Despite its advantages, the LMedS approach introduces higher computational complexity due to iterative reweighting and sub-gradient optimization. Additionally, the current framework only incorporates historical price and technical indicators, without integrating external macroeconomic or sentiment-based variables. Future research could explore hybrid robust loss functions, ensemble methods combining LMedS with deep learning models, and applications in high-frequency or cross-market datasets. Integrating news-driven sentiment variables or testing the model in real-time trading environments would further strengthen its practical relevance.</w:t>
      </w:r>
    </w:p>
    <w:p w14:paraId="1FA3D8FE" w14:textId="77777777" w:rsidR="003967C8" w:rsidRDefault="006C1AAF">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ACKNOWLEDGEMENTS</w:t>
      </w:r>
    </w:p>
    <w:p w14:paraId="6BC84843" w14:textId="77777777" w:rsidR="003967C8" w:rsidRDefault="006C1AA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paper is supported by Ministry of Higher Education (MoHE) of Malaysia through Fundamental Research Grant Scheme (FRGS/1/2021/STG06/UUM/02/4) with S/O code 20123.</w:t>
      </w:r>
    </w:p>
    <w:p w14:paraId="7D8910D2" w14:textId="77777777" w:rsidR="003967C8" w:rsidRDefault="003967C8">
      <w:pPr>
        <w:jc w:val="both"/>
        <w:rPr>
          <w:rFonts w:ascii="Times New Roman" w:eastAsia="Times New Roman" w:hAnsi="Times New Roman" w:cs="Times New Roman"/>
          <w:sz w:val="24"/>
          <w:szCs w:val="24"/>
        </w:rPr>
      </w:pPr>
    </w:p>
    <w:p w14:paraId="0E574A71" w14:textId="77777777" w:rsidR="003967C8" w:rsidRDefault="006C1AAF">
      <w:pPr>
        <w:jc w:val="center"/>
        <w:rPr>
          <w:rFonts w:ascii="Times New Roman" w:eastAsia="Times New Roman" w:hAnsi="Times New Roman" w:cs="Times New Roman"/>
          <w:b/>
          <w:bCs/>
          <w:sz w:val="24"/>
          <w:szCs w:val="24"/>
        </w:rPr>
      </w:pPr>
      <w:r w:rsidRPr="00A31C27">
        <w:rPr>
          <w:rFonts w:ascii="Times New Roman" w:eastAsia="Times New Roman" w:hAnsi="Times New Roman" w:cs="Times New Roman"/>
          <w:b/>
          <w:bCs/>
          <w:sz w:val="24"/>
          <w:szCs w:val="24"/>
        </w:rPr>
        <w:t>REFERENCES</w:t>
      </w:r>
    </w:p>
    <w:p w14:paraId="260758DB" w14:textId="139327FE" w:rsidR="001E55BF" w:rsidRDefault="00A31C27" w:rsidP="001E55BF">
      <w:pPr>
        <w:numPr>
          <w:ilvl w:val="0"/>
          <w:numId w:val="1"/>
        </w:numPr>
        <w:pBdr>
          <w:top w:val="nil"/>
          <w:left w:val="nil"/>
          <w:bottom w:val="nil"/>
          <w:right w:val="nil"/>
          <w:between w:val="nil"/>
        </w:pBdr>
        <w:spacing w:before="240" w:after="0" w:line="240" w:lineRule="auto"/>
        <w:ind w:left="426" w:hanging="426"/>
        <w:jc w:val="both"/>
        <w:rPr>
          <w:rFonts w:ascii="Times New Roman" w:eastAsia="Times New Roman" w:hAnsi="Times New Roman" w:cs="Times New Roman"/>
          <w:color w:val="000000"/>
          <w:sz w:val="18"/>
          <w:szCs w:val="18"/>
        </w:rPr>
      </w:pPr>
      <w:r w:rsidRPr="009B51E8">
        <w:rPr>
          <w:rFonts w:ascii="Times New Roman" w:hAnsi="Times New Roman" w:cs="Times New Roman"/>
          <w:sz w:val="20"/>
          <w:szCs w:val="20"/>
        </w:rPr>
        <w:t xml:space="preserve">K.K. Varma, C. Kanumuri, S.S. Devi, and T. Sontenam, </w:t>
      </w:r>
      <w:r w:rsidR="003441BD">
        <w:rPr>
          <w:rFonts w:ascii="Times New Roman" w:hAnsi="Times New Roman" w:cs="Times New Roman"/>
          <w:sz w:val="20"/>
          <w:szCs w:val="20"/>
        </w:rPr>
        <w:t>“</w:t>
      </w:r>
      <w:r w:rsidRPr="003441BD">
        <w:rPr>
          <w:rStyle w:val="Emphasis"/>
          <w:rFonts w:ascii="Times New Roman" w:hAnsi="Times New Roman" w:cs="Times New Roman"/>
          <w:i w:val="0"/>
          <w:sz w:val="20"/>
          <w:szCs w:val="20"/>
        </w:rPr>
        <w:t>Pervasive Technology in Artificial Intelligence and Communication</w:t>
      </w:r>
      <w:r w:rsidR="003441BD">
        <w:rPr>
          <w:rStyle w:val="Emphasis"/>
          <w:rFonts w:ascii="Times New Roman" w:hAnsi="Times New Roman" w:cs="Times New Roman"/>
          <w:i w:val="0"/>
          <w:sz w:val="20"/>
          <w:szCs w:val="20"/>
        </w:rPr>
        <w:t xml:space="preserve">” in </w:t>
      </w:r>
      <w:r w:rsidR="003441BD" w:rsidRPr="003441BD">
        <w:rPr>
          <w:rStyle w:val="Emphasis"/>
          <w:rFonts w:ascii="Times New Roman" w:hAnsi="Times New Roman" w:cs="Times New Roman"/>
          <w:sz w:val="20"/>
          <w:szCs w:val="20"/>
        </w:rPr>
        <w:t>International Conference on Ubiquitous Technologies in Communication and Artificial Intelligence</w:t>
      </w:r>
      <w:r w:rsidRPr="003441BD">
        <w:rPr>
          <w:rFonts w:ascii="Times New Roman" w:hAnsi="Times New Roman" w:cs="Times New Roman"/>
          <w:i/>
          <w:sz w:val="20"/>
          <w:szCs w:val="20"/>
        </w:rPr>
        <w:t xml:space="preserve"> </w:t>
      </w:r>
      <w:r w:rsidRPr="009B51E8">
        <w:rPr>
          <w:rFonts w:ascii="Times New Roman" w:hAnsi="Times New Roman" w:cs="Times New Roman"/>
          <w:sz w:val="20"/>
          <w:szCs w:val="20"/>
        </w:rPr>
        <w:t>(</w:t>
      </w:r>
      <w:r w:rsidR="003441BD">
        <w:rPr>
          <w:rFonts w:ascii="Times New Roman" w:hAnsi="Times New Roman" w:cs="Times New Roman"/>
          <w:sz w:val="20"/>
          <w:szCs w:val="20"/>
        </w:rPr>
        <w:t xml:space="preserve">AIP Publishing, Melville, NY, </w:t>
      </w:r>
      <w:r w:rsidRPr="009B51E8">
        <w:rPr>
          <w:rFonts w:ascii="Times New Roman" w:hAnsi="Times New Roman" w:cs="Times New Roman"/>
          <w:sz w:val="20"/>
          <w:szCs w:val="20"/>
        </w:rPr>
        <w:t>2024).</w:t>
      </w:r>
    </w:p>
    <w:p w14:paraId="480D1ED5" w14:textId="19088298" w:rsidR="003967C8" w:rsidRPr="001E55BF" w:rsidRDefault="00A31C27" w:rsidP="001E55BF">
      <w:pPr>
        <w:numPr>
          <w:ilvl w:val="0"/>
          <w:numId w:val="1"/>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18"/>
          <w:szCs w:val="18"/>
        </w:rPr>
      </w:pPr>
      <w:r w:rsidRPr="001E55BF">
        <w:rPr>
          <w:rFonts w:ascii="Times New Roman" w:hAnsi="Times New Roman" w:cs="Times New Roman"/>
          <w:sz w:val="20"/>
          <w:szCs w:val="20"/>
        </w:rPr>
        <w:t xml:space="preserve">A. Verma, L.C. Routhu, R. Chigrupaatii, A. Choubey, R. Misra, and T.N. Singh, </w:t>
      </w:r>
      <w:r w:rsidR="001E55BF" w:rsidRPr="001E55BF">
        <w:rPr>
          <w:rFonts w:ascii="Times New Roman" w:eastAsia="Times New Roman" w:hAnsi="Times New Roman" w:cs="Times New Roman"/>
          <w:color w:val="000000"/>
          <w:sz w:val="20"/>
          <w:szCs w:val="20"/>
        </w:rPr>
        <w:t xml:space="preserve">“Big Data-Driven Long Term Accurate CO 2 Emission Forecasting Using Advanced Recurrent Neural Networks,” in </w:t>
      </w:r>
      <w:r w:rsidR="001E55BF" w:rsidRPr="003441BD">
        <w:rPr>
          <w:rFonts w:ascii="Times New Roman" w:eastAsia="Times New Roman" w:hAnsi="Times New Roman" w:cs="Times New Roman"/>
          <w:i/>
          <w:color w:val="000000"/>
          <w:sz w:val="20"/>
          <w:szCs w:val="20"/>
        </w:rPr>
        <w:t xml:space="preserve">2024 IEEE </w:t>
      </w:r>
      <w:r w:rsidR="001E55BF" w:rsidRPr="001E55BF">
        <w:rPr>
          <w:rFonts w:ascii="Times New Roman" w:eastAsia="Times New Roman" w:hAnsi="Times New Roman" w:cs="Times New Roman"/>
          <w:i/>
          <w:color w:val="000000"/>
          <w:sz w:val="20"/>
          <w:szCs w:val="20"/>
        </w:rPr>
        <w:t>International Conference on Big Data (BigDat</w:t>
      </w:r>
      <w:r w:rsidR="001E55BF" w:rsidRPr="001E55BF">
        <w:rPr>
          <w:rFonts w:ascii="Times New Roman" w:eastAsia="Times New Roman" w:hAnsi="Times New Roman" w:cs="Times New Roman"/>
          <w:color w:val="000000"/>
          <w:sz w:val="20"/>
          <w:szCs w:val="20"/>
        </w:rPr>
        <w:t>a)</w:t>
      </w:r>
      <w:r w:rsidR="001E55BF" w:rsidRPr="003441BD">
        <w:rPr>
          <w:rFonts w:ascii="Times New Roman" w:eastAsia="Times New Roman" w:hAnsi="Times New Roman" w:cs="Times New Roman"/>
          <w:color w:val="000000"/>
          <w:sz w:val="20"/>
          <w:szCs w:val="20"/>
        </w:rPr>
        <w:t>,</w:t>
      </w:r>
      <w:r w:rsidRPr="001E55BF">
        <w:rPr>
          <w:rFonts w:ascii="Times New Roman" w:hAnsi="Times New Roman" w:cs="Times New Roman"/>
          <w:sz w:val="20"/>
          <w:szCs w:val="20"/>
        </w:rPr>
        <w:t xml:space="preserve"> (IEEE, 2024), p</w:t>
      </w:r>
      <w:r w:rsidR="001E55BF">
        <w:rPr>
          <w:rFonts w:ascii="Times New Roman" w:hAnsi="Times New Roman" w:cs="Times New Roman"/>
          <w:sz w:val="20"/>
          <w:szCs w:val="20"/>
        </w:rPr>
        <w:t>p</w:t>
      </w:r>
      <w:r w:rsidRPr="001E55BF">
        <w:rPr>
          <w:rFonts w:ascii="Times New Roman" w:hAnsi="Times New Roman" w:cs="Times New Roman"/>
          <w:sz w:val="20"/>
          <w:szCs w:val="20"/>
        </w:rPr>
        <w:t>. 4438</w:t>
      </w:r>
      <w:r w:rsidR="001E55BF">
        <w:rPr>
          <w:rFonts w:ascii="Times New Roman" w:hAnsi="Times New Roman" w:cs="Times New Roman"/>
          <w:sz w:val="20"/>
          <w:szCs w:val="20"/>
        </w:rPr>
        <w:t xml:space="preserve"> - 4447</w:t>
      </w:r>
      <w:r w:rsidRPr="001E55BF">
        <w:rPr>
          <w:rFonts w:ascii="Times New Roman" w:hAnsi="Times New Roman" w:cs="Times New Roman"/>
          <w:sz w:val="20"/>
          <w:szCs w:val="20"/>
        </w:rPr>
        <w:t>.</w:t>
      </w:r>
    </w:p>
    <w:p w14:paraId="3A64A539" w14:textId="34C1EDF0" w:rsidR="003967C8" w:rsidRPr="009B51E8" w:rsidRDefault="00A31C27">
      <w:pPr>
        <w:numPr>
          <w:ilvl w:val="0"/>
          <w:numId w:val="1"/>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18"/>
          <w:szCs w:val="18"/>
        </w:rPr>
      </w:pPr>
      <w:r w:rsidRPr="009B51E8">
        <w:rPr>
          <w:rFonts w:ascii="Times New Roman" w:hAnsi="Times New Roman" w:cs="Times New Roman"/>
          <w:sz w:val="20"/>
          <w:szCs w:val="20"/>
        </w:rPr>
        <w:t xml:space="preserve">R. Chandra and Y. He, PLoS One </w:t>
      </w:r>
      <w:r w:rsidRPr="001E55BF">
        <w:rPr>
          <w:rFonts w:ascii="Times New Roman" w:hAnsi="Times New Roman" w:cs="Times New Roman"/>
          <w:b/>
          <w:sz w:val="20"/>
          <w:szCs w:val="20"/>
        </w:rPr>
        <w:t>16</w:t>
      </w:r>
      <w:r w:rsidRPr="009B51E8">
        <w:rPr>
          <w:rFonts w:ascii="Times New Roman" w:hAnsi="Times New Roman" w:cs="Times New Roman"/>
          <w:sz w:val="20"/>
          <w:szCs w:val="20"/>
        </w:rPr>
        <w:t>(7), e0253217 (2021).</w:t>
      </w:r>
    </w:p>
    <w:p w14:paraId="42235F5D" w14:textId="201F1372" w:rsidR="003967C8" w:rsidRPr="009B51E8" w:rsidRDefault="00A31C27">
      <w:pPr>
        <w:numPr>
          <w:ilvl w:val="0"/>
          <w:numId w:val="1"/>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18"/>
          <w:szCs w:val="18"/>
        </w:rPr>
      </w:pPr>
      <w:r w:rsidRPr="009B51E8">
        <w:rPr>
          <w:rFonts w:ascii="Times New Roman" w:hAnsi="Times New Roman" w:cs="Times New Roman"/>
          <w:sz w:val="20"/>
          <w:szCs w:val="20"/>
        </w:rPr>
        <w:t>Trading Economics, Malaysia Stock Market (FTSE KLCI), WWW document, (https://tradingeconomics.com).</w:t>
      </w:r>
    </w:p>
    <w:p w14:paraId="620E3C96" w14:textId="19815E5B" w:rsidR="003967C8" w:rsidRPr="009B51E8" w:rsidRDefault="009B51E8">
      <w:pPr>
        <w:numPr>
          <w:ilvl w:val="0"/>
          <w:numId w:val="1"/>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18"/>
          <w:szCs w:val="18"/>
        </w:rPr>
      </w:pPr>
      <w:r w:rsidRPr="009B51E8">
        <w:rPr>
          <w:rFonts w:ascii="Times New Roman" w:hAnsi="Times New Roman" w:cs="Times New Roman"/>
          <w:sz w:val="20"/>
          <w:szCs w:val="20"/>
        </w:rPr>
        <w:t xml:space="preserve">Bursa Malaysia, </w:t>
      </w:r>
      <w:r w:rsidRPr="00EB77E4">
        <w:rPr>
          <w:rFonts w:ascii="Times New Roman" w:hAnsi="Times New Roman" w:cs="Times New Roman"/>
          <w:i/>
          <w:sz w:val="20"/>
          <w:szCs w:val="20"/>
        </w:rPr>
        <w:t>FTSE Bursa Malaysia KLCI</w:t>
      </w:r>
      <w:r w:rsidRPr="009B51E8">
        <w:rPr>
          <w:rFonts w:ascii="Times New Roman" w:hAnsi="Times New Roman" w:cs="Times New Roman"/>
          <w:sz w:val="20"/>
          <w:szCs w:val="20"/>
        </w:rPr>
        <w:t>, WWW document, (https://www.bursamalaysia.com).</w:t>
      </w:r>
    </w:p>
    <w:p w14:paraId="57374379" w14:textId="5CACD74F" w:rsidR="003967C8" w:rsidRPr="009B51E8" w:rsidRDefault="009B51E8">
      <w:pPr>
        <w:numPr>
          <w:ilvl w:val="0"/>
          <w:numId w:val="1"/>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18"/>
          <w:szCs w:val="18"/>
        </w:rPr>
      </w:pPr>
      <w:r w:rsidRPr="009B51E8">
        <w:rPr>
          <w:rFonts w:ascii="Times New Roman" w:hAnsi="Times New Roman" w:cs="Times New Roman"/>
          <w:sz w:val="20"/>
          <w:szCs w:val="20"/>
        </w:rPr>
        <w:t xml:space="preserve">W.K. Lee, </w:t>
      </w:r>
      <w:r w:rsidRPr="00EB77E4">
        <w:rPr>
          <w:rFonts w:ascii="Times New Roman" w:hAnsi="Times New Roman" w:cs="Times New Roman"/>
          <w:i/>
          <w:sz w:val="20"/>
          <w:szCs w:val="20"/>
        </w:rPr>
        <w:t>The Edge Malaysia</w:t>
      </w:r>
      <w:r w:rsidRPr="009B51E8">
        <w:rPr>
          <w:rFonts w:ascii="Times New Roman" w:hAnsi="Times New Roman" w:cs="Times New Roman"/>
          <w:sz w:val="20"/>
          <w:szCs w:val="20"/>
        </w:rPr>
        <w:t>,</w:t>
      </w:r>
      <w:r w:rsidR="00EB77E4">
        <w:rPr>
          <w:rFonts w:ascii="Times New Roman" w:hAnsi="Times New Roman" w:cs="Times New Roman"/>
          <w:sz w:val="20"/>
          <w:szCs w:val="20"/>
        </w:rPr>
        <w:t xml:space="preserve"> WWW document, (</w:t>
      </w:r>
      <w:r w:rsidR="00EB77E4" w:rsidRPr="00EB77E4">
        <w:rPr>
          <w:rFonts w:ascii="Times New Roman" w:hAnsi="Times New Roman" w:cs="Times New Roman"/>
          <w:sz w:val="20"/>
          <w:szCs w:val="20"/>
        </w:rPr>
        <w:t>https://theedgemalaysia.com/node/739440</w:t>
      </w:r>
      <w:r w:rsidR="00EB77E4">
        <w:rPr>
          <w:rFonts w:ascii="Times New Roman" w:hAnsi="Times New Roman" w:cs="Times New Roman"/>
          <w:sz w:val="20"/>
          <w:szCs w:val="20"/>
        </w:rPr>
        <w:t>).</w:t>
      </w:r>
    </w:p>
    <w:p w14:paraId="7E2451E5" w14:textId="4E014F2D" w:rsidR="003967C8" w:rsidRPr="009B51E8" w:rsidRDefault="009B51E8">
      <w:pPr>
        <w:numPr>
          <w:ilvl w:val="0"/>
          <w:numId w:val="1"/>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18"/>
          <w:szCs w:val="18"/>
        </w:rPr>
      </w:pPr>
      <w:r w:rsidRPr="009B51E8">
        <w:rPr>
          <w:rFonts w:ascii="Times New Roman" w:hAnsi="Times New Roman" w:cs="Times New Roman"/>
          <w:sz w:val="20"/>
          <w:szCs w:val="20"/>
        </w:rPr>
        <w:t xml:space="preserve">A. Brunel, D. Mazza, and M. Pagani, Proc. ACM Program. Lang. </w:t>
      </w:r>
      <w:r w:rsidRPr="005047DC">
        <w:rPr>
          <w:rFonts w:ascii="Times New Roman" w:hAnsi="Times New Roman" w:cs="Times New Roman"/>
          <w:b/>
          <w:sz w:val="20"/>
          <w:szCs w:val="20"/>
        </w:rPr>
        <w:t xml:space="preserve">4 </w:t>
      </w:r>
      <w:r w:rsidRPr="009B51E8">
        <w:rPr>
          <w:rFonts w:ascii="Times New Roman" w:hAnsi="Times New Roman" w:cs="Times New Roman"/>
          <w:sz w:val="20"/>
          <w:szCs w:val="20"/>
        </w:rPr>
        <w:t>(POPL), 1 (2019).</w:t>
      </w:r>
    </w:p>
    <w:p w14:paraId="5266AF55" w14:textId="3265C413" w:rsidR="003967C8" w:rsidRPr="009B51E8" w:rsidRDefault="009B51E8">
      <w:pPr>
        <w:numPr>
          <w:ilvl w:val="0"/>
          <w:numId w:val="1"/>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18"/>
          <w:szCs w:val="18"/>
        </w:rPr>
      </w:pPr>
      <w:r w:rsidRPr="009B51E8">
        <w:rPr>
          <w:rFonts w:ascii="Times New Roman" w:hAnsi="Times New Roman" w:cs="Times New Roman"/>
          <w:sz w:val="20"/>
          <w:szCs w:val="20"/>
        </w:rPr>
        <w:t xml:space="preserve">X. Du, M. Liu, and Y. Sun, Contrast Media Mol. Imaging </w:t>
      </w:r>
      <w:r w:rsidRPr="003441BD">
        <w:rPr>
          <w:rFonts w:ascii="Times New Roman" w:hAnsi="Times New Roman" w:cs="Times New Roman"/>
          <w:b/>
          <w:sz w:val="20"/>
          <w:szCs w:val="20"/>
        </w:rPr>
        <w:t>1</w:t>
      </w:r>
      <w:r w:rsidR="003441BD">
        <w:rPr>
          <w:rFonts w:ascii="Times New Roman" w:hAnsi="Times New Roman" w:cs="Times New Roman"/>
          <w:sz w:val="20"/>
          <w:szCs w:val="20"/>
        </w:rPr>
        <w:t>,</w:t>
      </w:r>
      <w:r w:rsidRPr="009B51E8">
        <w:rPr>
          <w:rFonts w:ascii="Times New Roman" w:hAnsi="Times New Roman" w:cs="Times New Roman"/>
          <w:sz w:val="20"/>
          <w:szCs w:val="20"/>
        </w:rPr>
        <w:t xml:space="preserve"> (2022).</w:t>
      </w:r>
    </w:p>
    <w:p w14:paraId="48613482" w14:textId="051FDE94" w:rsidR="003967C8" w:rsidRPr="009B51E8" w:rsidRDefault="009B51E8">
      <w:pPr>
        <w:numPr>
          <w:ilvl w:val="0"/>
          <w:numId w:val="1"/>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18"/>
          <w:szCs w:val="18"/>
        </w:rPr>
      </w:pPr>
      <w:r w:rsidRPr="009B51E8">
        <w:rPr>
          <w:rFonts w:ascii="Times New Roman" w:hAnsi="Times New Roman" w:cs="Times New Roman"/>
          <w:sz w:val="20"/>
          <w:szCs w:val="20"/>
        </w:rPr>
        <w:t xml:space="preserve">P. Bhasin and F. Vaishali, Int. J. Eng. Res. Technol. </w:t>
      </w:r>
      <w:r w:rsidRPr="003441BD">
        <w:rPr>
          <w:rFonts w:ascii="Times New Roman" w:hAnsi="Times New Roman" w:cs="Times New Roman"/>
          <w:b/>
          <w:sz w:val="20"/>
          <w:szCs w:val="20"/>
        </w:rPr>
        <w:t>5</w:t>
      </w:r>
      <w:r w:rsidRPr="009B51E8">
        <w:rPr>
          <w:rFonts w:ascii="Times New Roman" w:hAnsi="Times New Roman" w:cs="Times New Roman"/>
          <w:sz w:val="20"/>
          <w:szCs w:val="20"/>
        </w:rPr>
        <w:t>(10)</w:t>
      </w:r>
      <w:r w:rsidR="003441BD">
        <w:rPr>
          <w:rFonts w:ascii="Times New Roman" w:hAnsi="Times New Roman" w:cs="Times New Roman"/>
          <w:sz w:val="20"/>
          <w:szCs w:val="20"/>
        </w:rPr>
        <w:t>,</w:t>
      </w:r>
      <w:r w:rsidRPr="009B51E8">
        <w:rPr>
          <w:rFonts w:ascii="Times New Roman" w:hAnsi="Times New Roman" w:cs="Times New Roman"/>
          <w:sz w:val="20"/>
          <w:szCs w:val="20"/>
        </w:rPr>
        <w:t xml:space="preserve"> (2017).</w:t>
      </w:r>
    </w:p>
    <w:p w14:paraId="542836E4" w14:textId="0E529124" w:rsidR="003967C8" w:rsidRPr="009B51E8" w:rsidRDefault="009B51E8">
      <w:pPr>
        <w:numPr>
          <w:ilvl w:val="0"/>
          <w:numId w:val="1"/>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18"/>
          <w:szCs w:val="18"/>
        </w:rPr>
      </w:pPr>
      <w:r w:rsidRPr="009B51E8">
        <w:rPr>
          <w:rFonts w:ascii="Times New Roman" w:hAnsi="Times New Roman" w:cs="Times New Roman"/>
          <w:sz w:val="20"/>
          <w:szCs w:val="20"/>
        </w:rPr>
        <w:t xml:space="preserve">J.A.O. Torres et al., </w:t>
      </w:r>
      <w:r w:rsidR="005266F3">
        <w:rPr>
          <w:rFonts w:ascii="Times New Roman" w:hAnsi="Times New Roman" w:cs="Times New Roman"/>
          <w:sz w:val="20"/>
          <w:szCs w:val="20"/>
        </w:rPr>
        <w:t>Publi</w:t>
      </w:r>
      <w:r w:rsidR="006628A1">
        <w:rPr>
          <w:rFonts w:ascii="Times New Roman" w:hAnsi="Times New Roman" w:cs="Times New Roman"/>
          <w:sz w:val="20"/>
          <w:szCs w:val="20"/>
        </w:rPr>
        <w:t xml:space="preserve">c Health </w:t>
      </w:r>
      <w:r w:rsidRPr="009B51E8">
        <w:rPr>
          <w:rFonts w:ascii="Times New Roman" w:hAnsi="Times New Roman" w:cs="Times New Roman"/>
          <w:sz w:val="20"/>
          <w:szCs w:val="20"/>
        </w:rPr>
        <w:t>Sensors</w:t>
      </w:r>
      <w:r w:rsidRPr="00EB77E4">
        <w:rPr>
          <w:rFonts w:ascii="Times New Roman" w:hAnsi="Times New Roman" w:cs="Times New Roman"/>
          <w:b/>
          <w:sz w:val="20"/>
          <w:szCs w:val="20"/>
        </w:rPr>
        <w:t xml:space="preserve"> 22</w:t>
      </w:r>
      <w:r w:rsidRPr="009B51E8">
        <w:rPr>
          <w:rFonts w:ascii="Times New Roman" w:hAnsi="Times New Roman" w:cs="Times New Roman"/>
          <w:sz w:val="20"/>
          <w:szCs w:val="20"/>
        </w:rPr>
        <w:t>, 5272 (2022).</w:t>
      </w:r>
    </w:p>
    <w:p w14:paraId="25CEB69A" w14:textId="13960EC0" w:rsidR="003967C8" w:rsidRPr="009B51E8" w:rsidRDefault="009B51E8">
      <w:pPr>
        <w:numPr>
          <w:ilvl w:val="0"/>
          <w:numId w:val="1"/>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18"/>
          <w:szCs w:val="18"/>
        </w:rPr>
      </w:pPr>
      <w:r w:rsidRPr="009B51E8">
        <w:rPr>
          <w:rFonts w:ascii="Times New Roman" w:hAnsi="Times New Roman" w:cs="Times New Roman"/>
          <w:sz w:val="20"/>
          <w:szCs w:val="20"/>
        </w:rPr>
        <w:t xml:space="preserve">H. Zhang, S. Zhu, and Y. Liu, Expert Syst. Appl. </w:t>
      </w:r>
      <w:r w:rsidRPr="003441BD">
        <w:rPr>
          <w:rFonts w:ascii="Times New Roman" w:hAnsi="Times New Roman" w:cs="Times New Roman"/>
          <w:b/>
          <w:sz w:val="20"/>
          <w:szCs w:val="20"/>
        </w:rPr>
        <w:t>216</w:t>
      </w:r>
      <w:r w:rsidRPr="009B51E8">
        <w:rPr>
          <w:rFonts w:ascii="Times New Roman" w:hAnsi="Times New Roman" w:cs="Times New Roman"/>
          <w:sz w:val="20"/>
          <w:szCs w:val="20"/>
        </w:rPr>
        <w:t>, 119525 (2023), https://doi.org/10.1016/j.eswa.2022.119525</w:t>
      </w:r>
    </w:p>
    <w:p w14:paraId="063FE965" w14:textId="6D84AB59" w:rsidR="003967C8" w:rsidRPr="009B51E8" w:rsidRDefault="009B51E8">
      <w:pPr>
        <w:numPr>
          <w:ilvl w:val="0"/>
          <w:numId w:val="1"/>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18"/>
          <w:szCs w:val="18"/>
        </w:rPr>
      </w:pPr>
      <w:r w:rsidRPr="009B51E8">
        <w:rPr>
          <w:rFonts w:ascii="Times New Roman" w:hAnsi="Times New Roman" w:cs="Times New Roman"/>
          <w:sz w:val="20"/>
          <w:szCs w:val="20"/>
        </w:rPr>
        <w:t xml:space="preserve">J. Liu and Y. Wang, Appl. Intell. </w:t>
      </w:r>
      <w:r w:rsidRPr="003441BD">
        <w:rPr>
          <w:rFonts w:ascii="Times New Roman" w:hAnsi="Times New Roman" w:cs="Times New Roman"/>
          <w:b/>
          <w:sz w:val="20"/>
          <w:szCs w:val="20"/>
        </w:rPr>
        <w:t>54</w:t>
      </w:r>
      <w:r w:rsidRPr="009B51E8">
        <w:rPr>
          <w:rFonts w:ascii="Times New Roman" w:hAnsi="Times New Roman" w:cs="Times New Roman"/>
          <w:sz w:val="20"/>
          <w:szCs w:val="20"/>
        </w:rPr>
        <w:t>(1), 112 (2024).</w:t>
      </w:r>
    </w:p>
    <w:p w14:paraId="5CE98B0D" w14:textId="06D241A4" w:rsidR="003967C8" w:rsidRPr="009B51E8" w:rsidRDefault="009B51E8">
      <w:pPr>
        <w:numPr>
          <w:ilvl w:val="0"/>
          <w:numId w:val="1"/>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18"/>
          <w:szCs w:val="18"/>
        </w:rPr>
      </w:pPr>
      <w:r w:rsidRPr="009B51E8">
        <w:rPr>
          <w:rFonts w:ascii="Times New Roman" w:hAnsi="Times New Roman" w:cs="Times New Roman"/>
          <w:sz w:val="20"/>
          <w:szCs w:val="20"/>
        </w:rPr>
        <w:t>R. Ghosh, S. Banerjee, and A. Pradhan, Neural Comput. Appl. (2025).</w:t>
      </w:r>
    </w:p>
    <w:p w14:paraId="068856E1" w14:textId="3FEB938E" w:rsidR="003967C8" w:rsidRPr="009B51E8" w:rsidRDefault="009B51E8">
      <w:pPr>
        <w:numPr>
          <w:ilvl w:val="0"/>
          <w:numId w:val="1"/>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18"/>
          <w:szCs w:val="18"/>
        </w:rPr>
      </w:pPr>
      <w:r w:rsidRPr="009B51E8">
        <w:rPr>
          <w:rFonts w:ascii="Times New Roman" w:hAnsi="Times New Roman" w:cs="Times New Roman"/>
          <w:sz w:val="20"/>
          <w:szCs w:val="20"/>
        </w:rPr>
        <w:t xml:space="preserve">R. Ghasemiyeh, R. Moghdani, and S.S. Sana, Cybern. Syst. </w:t>
      </w:r>
      <w:r w:rsidRPr="003441BD">
        <w:rPr>
          <w:rFonts w:ascii="Times New Roman" w:hAnsi="Times New Roman" w:cs="Times New Roman"/>
          <w:b/>
          <w:sz w:val="20"/>
          <w:szCs w:val="20"/>
        </w:rPr>
        <w:t>48</w:t>
      </w:r>
      <w:r w:rsidRPr="009B51E8">
        <w:rPr>
          <w:rFonts w:ascii="Times New Roman" w:hAnsi="Times New Roman" w:cs="Times New Roman"/>
          <w:sz w:val="20"/>
          <w:szCs w:val="20"/>
        </w:rPr>
        <w:t>(4), 365 (2017).</w:t>
      </w:r>
    </w:p>
    <w:p w14:paraId="3779B175" w14:textId="7E290BE5" w:rsidR="003967C8" w:rsidRPr="009B51E8" w:rsidRDefault="009B51E8">
      <w:pPr>
        <w:numPr>
          <w:ilvl w:val="0"/>
          <w:numId w:val="1"/>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18"/>
          <w:szCs w:val="18"/>
        </w:rPr>
      </w:pPr>
      <w:r w:rsidRPr="009B51E8">
        <w:rPr>
          <w:rFonts w:ascii="Times New Roman" w:hAnsi="Times New Roman" w:cs="Times New Roman"/>
          <w:sz w:val="20"/>
          <w:szCs w:val="20"/>
        </w:rPr>
        <w:t>J.Y.-L.S.M.H. Chan et al., Mathematics</w:t>
      </w:r>
      <w:r w:rsidRPr="003441BD">
        <w:rPr>
          <w:rFonts w:ascii="Times New Roman" w:hAnsi="Times New Roman" w:cs="Times New Roman"/>
          <w:b/>
          <w:sz w:val="20"/>
          <w:szCs w:val="20"/>
        </w:rPr>
        <w:t xml:space="preserve"> 10</w:t>
      </w:r>
      <w:r w:rsidRPr="009B51E8">
        <w:rPr>
          <w:rFonts w:ascii="Times New Roman" w:hAnsi="Times New Roman" w:cs="Times New Roman"/>
          <w:sz w:val="20"/>
          <w:szCs w:val="20"/>
        </w:rPr>
        <w:t>(8), 1283 (2022).</w:t>
      </w:r>
    </w:p>
    <w:p w14:paraId="5299A66D" w14:textId="4767A272" w:rsidR="003967C8" w:rsidRPr="009B51E8" w:rsidRDefault="009B51E8">
      <w:pPr>
        <w:numPr>
          <w:ilvl w:val="0"/>
          <w:numId w:val="1"/>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18"/>
          <w:szCs w:val="18"/>
        </w:rPr>
      </w:pPr>
      <w:r w:rsidRPr="009B51E8">
        <w:rPr>
          <w:rFonts w:ascii="Times New Roman" w:hAnsi="Times New Roman" w:cs="Times New Roman"/>
          <w:sz w:val="20"/>
          <w:szCs w:val="20"/>
        </w:rPr>
        <w:t>D.L. Massart, L. Kaufman, P.J. Rousseeuw, and A. Leroy, Anal. Chim. Acta</w:t>
      </w:r>
      <w:r w:rsidRPr="003441BD">
        <w:rPr>
          <w:rFonts w:ascii="Times New Roman" w:hAnsi="Times New Roman" w:cs="Times New Roman"/>
          <w:b/>
          <w:sz w:val="20"/>
          <w:szCs w:val="20"/>
        </w:rPr>
        <w:t xml:space="preserve"> 187</w:t>
      </w:r>
      <w:r w:rsidRPr="009B51E8">
        <w:rPr>
          <w:rFonts w:ascii="Times New Roman" w:hAnsi="Times New Roman" w:cs="Times New Roman"/>
          <w:sz w:val="20"/>
          <w:szCs w:val="20"/>
        </w:rPr>
        <w:t>, 171 (1986).</w:t>
      </w:r>
    </w:p>
    <w:p w14:paraId="6B928407" w14:textId="7C5ECEC4" w:rsidR="003967C8" w:rsidRPr="009B51E8" w:rsidRDefault="009B51E8">
      <w:pPr>
        <w:numPr>
          <w:ilvl w:val="0"/>
          <w:numId w:val="1"/>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18"/>
          <w:szCs w:val="18"/>
        </w:rPr>
      </w:pPr>
      <w:r w:rsidRPr="009B51E8">
        <w:rPr>
          <w:rFonts w:ascii="Times New Roman" w:hAnsi="Times New Roman" w:cs="Times New Roman"/>
          <w:sz w:val="20"/>
          <w:szCs w:val="20"/>
        </w:rPr>
        <w:t>F. Daniel, Barekeng J. Ilmu Mat. Terap.</w:t>
      </w:r>
      <w:r w:rsidRPr="003441BD">
        <w:rPr>
          <w:rFonts w:ascii="Times New Roman" w:hAnsi="Times New Roman" w:cs="Times New Roman"/>
          <w:b/>
          <w:sz w:val="20"/>
          <w:szCs w:val="20"/>
        </w:rPr>
        <w:t xml:space="preserve"> 13</w:t>
      </w:r>
      <w:r w:rsidRPr="009B51E8">
        <w:rPr>
          <w:rFonts w:ascii="Times New Roman" w:hAnsi="Times New Roman" w:cs="Times New Roman"/>
          <w:sz w:val="20"/>
          <w:szCs w:val="20"/>
        </w:rPr>
        <w:t>(3), 145 (2019).</w:t>
      </w:r>
    </w:p>
    <w:p w14:paraId="6EDFF7FA" w14:textId="7465F2FC" w:rsidR="003967C8" w:rsidRPr="009B51E8" w:rsidRDefault="009B51E8">
      <w:pPr>
        <w:numPr>
          <w:ilvl w:val="0"/>
          <w:numId w:val="1"/>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18"/>
          <w:szCs w:val="18"/>
        </w:rPr>
      </w:pPr>
      <w:r w:rsidRPr="009B51E8">
        <w:rPr>
          <w:rFonts w:ascii="Times New Roman" w:hAnsi="Times New Roman" w:cs="Times New Roman"/>
          <w:sz w:val="20"/>
          <w:szCs w:val="20"/>
        </w:rPr>
        <w:t>T. Foss, I. Myrtveit, and E. Stensrud,</w:t>
      </w:r>
      <w:r w:rsidR="006628A1">
        <w:rPr>
          <w:rFonts w:ascii="Times New Roman" w:hAnsi="Times New Roman" w:cs="Times New Roman"/>
          <w:sz w:val="20"/>
          <w:szCs w:val="20"/>
        </w:rPr>
        <w:t xml:space="preserve"> “</w:t>
      </w:r>
      <w:r w:rsidR="006628A1" w:rsidRPr="006628A1">
        <w:rPr>
          <w:rFonts w:ascii="Times New Roman" w:eastAsia="Times New Roman" w:hAnsi="Times New Roman" w:cs="Times New Roman"/>
          <w:sz w:val="20"/>
          <w:szCs w:val="20"/>
        </w:rPr>
        <w:t>A comparison of LAD and OLS regression for effort prediction of software projects</w:t>
      </w:r>
      <w:r w:rsidR="006628A1">
        <w:rPr>
          <w:rFonts w:ascii="Times New Roman" w:eastAsia="Times New Roman" w:hAnsi="Times New Roman" w:cs="Times New Roman"/>
          <w:sz w:val="20"/>
          <w:szCs w:val="20"/>
        </w:rPr>
        <w:t>” in</w:t>
      </w:r>
      <w:r w:rsidR="006628A1" w:rsidRPr="006628A1">
        <w:rPr>
          <w:rFonts w:ascii="Times New Roman" w:eastAsia="Times New Roman" w:hAnsi="Times New Roman" w:cs="Times New Roman"/>
          <w:sz w:val="20"/>
          <w:szCs w:val="20"/>
        </w:rPr>
        <w:t xml:space="preserve"> </w:t>
      </w:r>
      <w:r w:rsidR="006628A1" w:rsidRPr="006628A1">
        <w:rPr>
          <w:rFonts w:ascii="Times New Roman" w:eastAsia="Times New Roman" w:hAnsi="Times New Roman" w:cs="Times New Roman"/>
          <w:i/>
          <w:sz w:val="20"/>
          <w:szCs w:val="20"/>
        </w:rPr>
        <w:t>Proc</w:t>
      </w:r>
      <w:r w:rsidR="006628A1">
        <w:rPr>
          <w:rFonts w:ascii="Times New Roman" w:eastAsia="Times New Roman" w:hAnsi="Times New Roman" w:cs="Times New Roman"/>
          <w:i/>
          <w:sz w:val="20"/>
          <w:szCs w:val="20"/>
        </w:rPr>
        <w:t>eeding</w:t>
      </w:r>
      <w:r w:rsidR="006628A1" w:rsidRPr="006628A1">
        <w:rPr>
          <w:rFonts w:ascii="Times New Roman" w:eastAsia="Times New Roman" w:hAnsi="Times New Roman" w:cs="Times New Roman"/>
          <w:i/>
          <w:sz w:val="20"/>
          <w:szCs w:val="20"/>
        </w:rPr>
        <w:t xml:space="preserve"> 12th European Software Control and Metrics Conference (ESCOM 2001)</w:t>
      </w:r>
      <w:r w:rsidR="006628A1" w:rsidRPr="006628A1">
        <w:rPr>
          <w:rFonts w:ascii="Times New Roman" w:eastAsia="Times New Roman" w:hAnsi="Times New Roman" w:cs="Times New Roman"/>
          <w:sz w:val="20"/>
          <w:szCs w:val="20"/>
        </w:rPr>
        <w:t>, (</w:t>
      </w:r>
      <w:r w:rsidR="006628A1" w:rsidRPr="006628A1">
        <w:rPr>
          <w:rFonts w:ascii="Times New Roman" w:hAnsi="Times New Roman" w:cs="Times New Roman"/>
          <w:sz w:val="20"/>
          <w:szCs w:val="20"/>
        </w:rPr>
        <w:t>Sandvika: BI Norwegian School of Economic</w:t>
      </w:r>
      <w:r w:rsidR="006628A1">
        <w:rPr>
          <w:rFonts w:ascii="Times New Roman" w:hAnsi="Times New Roman" w:cs="Times New Roman"/>
          <w:sz w:val="20"/>
          <w:szCs w:val="20"/>
        </w:rPr>
        <w:t xml:space="preserve">, 2001), pp. </w:t>
      </w:r>
      <w:r w:rsidR="006628A1" w:rsidRPr="006628A1">
        <w:rPr>
          <w:rFonts w:ascii="Times New Roman" w:eastAsia="Times New Roman" w:hAnsi="Times New Roman" w:cs="Times New Roman"/>
          <w:sz w:val="20"/>
          <w:szCs w:val="20"/>
        </w:rPr>
        <w:t>9-15.</w:t>
      </w:r>
    </w:p>
    <w:p w14:paraId="21392057" w14:textId="0125FEFF" w:rsidR="003967C8" w:rsidRPr="009B51E8" w:rsidRDefault="009B51E8">
      <w:pPr>
        <w:numPr>
          <w:ilvl w:val="0"/>
          <w:numId w:val="1"/>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18"/>
          <w:szCs w:val="18"/>
        </w:rPr>
      </w:pPr>
      <w:r w:rsidRPr="009B51E8">
        <w:rPr>
          <w:rFonts w:ascii="Times New Roman" w:hAnsi="Times New Roman" w:cs="Times New Roman"/>
          <w:sz w:val="20"/>
          <w:szCs w:val="20"/>
        </w:rPr>
        <w:t xml:space="preserve">M. Faraz and M. Khaloozadeh, </w:t>
      </w:r>
      <w:r w:rsidR="006628A1">
        <w:rPr>
          <w:rFonts w:ascii="Times New Roman" w:hAnsi="Times New Roman" w:cs="Times New Roman"/>
          <w:sz w:val="20"/>
          <w:szCs w:val="20"/>
        </w:rPr>
        <w:t xml:space="preserve">“Multi-Step-Ahead Stock Market Pre4diction Based on Least Squares Generative Adversarial Network” in </w:t>
      </w:r>
      <w:r w:rsidRPr="006628A1">
        <w:rPr>
          <w:rFonts w:ascii="Times New Roman" w:hAnsi="Times New Roman" w:cs="Times New Roman"/>
          <w:i/>
          <w:sz w:val="20"/>
          <w:szCs w:val="20"/>
        </w:rPr>
        <w:t>Proc</w:t>
      </w:r>
      <w:r w:rsidR="006628A1" w:rsidRPr="006628A1">
        <w:rPr>
          <w:rFonts w:ascii="Times New Roman" w:hAnsi="Times New Roman" w:cs="Times New Roman"/>
          <w:i/>
          <w:sz w:val="20"/>
          <w:szCs w:val="20"/>
        </w:rPr>
        <w:t>eeding</w:t>
      </w:r>
      <w:r w:rsidRPr="006628A1">
        <w:rPr>
          <w:rFonts w:ascii="Times New Roman" w:hAnsi="Times New Roman" w:cs="Times New Roman"/>
          <w:i/>
          <w:sz w:val="20"/>
          <w:szCs w:val="20"/>
        </w:rPr>
        <w:t xml:space="preserve"> 28th Iranian Conference on Electrical Engineering (ICEE)</w:t>
      </w:r>
      <w:r w:rsidR="006628A1">
        <w:rPr>
          <w:rFonts w:ascii="Times New Roman" w:hAnsi="Times New Roman" w:cs="Times New Roman"/>
          <w:i/>
          <w:sz w:val="20"/>
          <w:szCs w:val="20"/>
        </w:rPr>
        <w:t>,</w:t>
      </w:r>
      <w:r w:rsidRPr="009B51E8">
        <w:rPr>
          <w:rFonts w:ascii="Times New Roman" w:hAnsi="Times New Roman" w:cs="Times New Roman"/>
          <w:sz w:val="20"/>
          <w:szCs w:val="20"/>
        </w:rPr>
        <w:t xml:space="preserve"> (IEEE, 2020).</w:t>
      </w:r>
    </w:p>
    <w:p w14:paraId="279A8073" w14:textId="640CF2E2" w:rsidR="003967C8" w:rsidRPr="009B51E8" w:rsidRDefault="009B51E8">
      <w:pPr>
        <w:numPr>
          <w:ilvl w:val="0"/>
          <w:numId w:val="1"/>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18"/>
          <w:szCs w:val="18"/>
        </w:rPr>
      </w:pPr>
      <w:r w:rsidRPr="009B51E8">
        <w:rPr>
          <w:rFonts w:ascii="Times New Roman" w:hAnsi="Times New Roman" w:cs="Times New Roman"/>
          <w:sz w:val="20"/>
          <w:szCs w:val="20"/>
        </w:rPr>
        <w:t xml:space="preserve">M. Vijh, D. Chandola, V.A. Tikkiwal, and A. Kumar, Procedia Comput. Sci. </w:t>
      </w:r>
      <w:r w:rsidRPr="003441BD">
        <w:rPr>
          <w:rFonts w:ascii="Times New Roman" w:hAnsi="Times New Roman" w:cs="Times New Roman"/>
          <w:b/>
          <w:sz w:val="20"/>
          <w:szCs w:val="20"/>
        </w:rPr>
        <w:t>167</w:t>
      </w:r>
      <w:r w:rsidRPr="009B51E8">
        <w:rPr>
          <w:rFonts w:ascii="Times New Roman" w:hAnsi="Times New Roman" w:cs="Times New Roman"/>
          <w:sz w:val="20"/>
          <w:szCs w:val="20"/>
        </w:rPr>
        <w:t>, 599 (2020).</w:t>
      </w:r>
    </w:p>
    <w:p w14:paraId="6D3E8342" w14:textId="769A1A33" w:rsidR="003967C8" w:rsidRPr="009B51E8" w:rsidRDefault="009B51E8">
      <w:pPr>
        <w:numPr>
          <w:ilvl w:val="0"/>
          <w:numId w:val="1"/>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18"/>
          <w:szCs w:val="18"/>
        </w:rPr>
      </w:pPr>
      <w:r w:rsidRPr="009B51E8">
        <w:rPr>
          <w:rFonts w:ascii="Times New Roman" w:hAnsi="Times New Roman" w:cs="Times New Roman"/>
          <w:sz w:val="20"/>
          <w:szCs w:val="20"/>
        </w:rPr>
        <w:t>T.S. Chinembiri, O. Mutanga, and T. Dube, Ecol. Inform.</w:t>
      </w:r>
      <w:r w:rsidRPr="003441BD">
        <w:rPr>
          <w:rFonts w:ascii="Times New Roman" w:hAnsi="Times New Roman" w:cs="Times New Roman"/>
          <w:b/>
          <w:sz w:val="20"/>
          <w:szCs w:val="20"/>
        </w:rPr>
        <w:t xml:space="preserve"> 73</w:t>
      </w:r>
      <w:r w:rsidRPr="009B51E8">
        <w:rPr>
          <w:rFonts w:ascii="Times New Roman" w:hAnsi="Times New Roman" w:cs="Times New Roman"/>
          <w:sz w:val="20"/>
          <w:szCs w:val="20"/>
        </w:rPr>
        <w:t>, 101934 (2023).</w:t>
      </w:r>
    </w:p>
    <w:p w14:paraId="123E5FC2" w14:textId="79C5E122" w:rsidR="003967C8" w:rsidRPr="009B51E8" w:rsidRDefault="009B51E8">
      <w:pPr>
        <w:numPr>
          <w:ilvl w:val="0"/>
          <w:numId w:val="1"/>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18"/>
          <w:szCs w:val="18"/>
        </w:rPr>
      </w:pPr>
      <w:r w:rsidRPr="009B51E8">
        <w:rPr>
          <w:rFonts w:ascii="Times New Roman" w:hAnsi="Times New Roman" w:cs="Times New Roman"/>
          <w:sz w:val="20"/>
          <w:szCs w:val="20"/>
        </w:rPr>
        <w:t xml:space="preserve">H. Kantz and T. Schreiber, </w:t>
      </w:r>
      <w:r w:rsidRPr="009B51E8">
        <w:rPr>
          <w:rStyle w:val="Emphasis"/>
          <w:rFonts w:ascii="Times New Roman" w:hAnsi="Times New Roman" w:cs="Times New Roman"/>
          <w:sz w:val="20"/>
          <w:szCs w:val="20"/>
        </w:rPr>
        <w:t>Nonlinear Time Series Analysis</w:t>
      </w:r>
      <w:r w:rsidRPr="009B51E8">
        <w:rPr>
          <w:rFonts w:ascii="Times New Roman" w:hAnsi="Times New Roman" w:cs="Times New Roman"/>
          <w:sz w:val="20"/>
          <w:szCs w:val="20"/>
        </w:rPr>
        <w:t xml:space="preserve"> (Cambridge University Press, Cambridge, 2015).</w:t>
      </w:r>
    </w:p>
    <w:p w14:paraId="7DEC54CA" w14:textId="2CEA4605" w:rsidR="003967C8" w:rsidRPr="009B51E8" w:rsidRDefault="009B51E8">
      <w:pPr>
        <w:numPr>
          <w:ilvl w:val="0"/>
          <w:numId w:val="1"/>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18"/>
          <w:szCs w:val="18"/>
        </w:rPr>
      </w:pPr>
      <w:r w:rsidRPr="009B51E8">
        <w:rPr>
          <w:rFonts w:ascii="Times New Roman" w:hAnsi="Times New Roman" w:cs="Times New Roman"/>
          <w:sz w:val="20"/>
          <w:szCs w:val="20"/>
        </w:rPr>
        <w:t xml:space="preserve">P.D. Domanski and M. Wieclawski, </w:t>
      </w:r>
      <w:r w:rsidRPr="009B51E8">
        <w:rPr>
          <w:rStyle w:val="Emphasis"/>
          <w:rFonts w:ascii="Times New Roman" w:hAnsi="Times New Roman" w:cs="Times New Roman"/>
          <w:sz w:val="20"/>
          <w:szCs w:val="20"/>
        </w:rPr>
        <w:t>Progress in Automation, Robotics and Measuring Techniques: Control and Automation</w:t>
      </w:r>
      <w:r w:rsidRPr="009B51E8">
        <w:rPr>
          <w:rFonts w:ascii="Times New Roman" w:hAnsi="Times New Roman" w:cs="Times New Roman"/>
          <w:sz w:val="20"/>
          <w:szCs w:val="20"/>
        </w:rPr>
        <w:t xml:space="preserve"> (2015).</w:t>
      </w:r>
    </w:p>
    <w:p w14:paraId="6E7DB5E0" w14:textId="03446175" w:rsidR="003967C8" w:rsidRDefault="009B51E8">
      <w:pPr>
        <w:numPr>
          <w:ilvl w:val="0"/>
          <w:numId w:val="1"/>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sz w:val="20"/>
          <w:szCs w:val="20"/>
        </w:rPr>
      </w:pPr>
      <w:r w:rsidRPr="009B51E8">
        <w:rPr>
          <w:rFonts w:ascii="Times New Roman" w:hAnsi="Times New Roman" w:cs="Times New Roman"/>
          <w:sz w:val="20"/>
          <w:szCs w:val="20"/>
        </w:rPr>
        <w:t xml:space="preserve">S. Kolassa, Int. J. Forecast. </w:t>
      </w:r>
      <w:r w:rsidRPr="001E55BF">
        <w:rPr>
          <w:rFonts w:ascii="Times New Roman" w:hAnsi="Times New Roman" w:cs="Times New Roman"/>
          <w:b/>
          <w:sz w:val="20"/>
          <w:szCs w:val="20"/>
        </w:rPr>
        <w:t>32</w:t>
      </w:r>
      <w:r w:rsidRPr="009B51E8">
        <w:rPr>
          <w:rFonts w:ascii="Times New Roman" w:hAnsi="Times New Roman" w:cs="Times New Roman"/>
          <w:sz w:val="20"/>
          <w:szCs w:val="20"/>
        </w:rPr>
        <w:t>(3), 788 (2016).</w:t>
      </w:r>
    </w:p>
    <w:p w14:paraId="67B7532D" w14:textId="6553F57C" w:rsidR="003967C8" w:rsidRPr="001E55BF" w:rsidRDefault="003967C8">
      <w:pPr>
        <w:widowControl w:val="0"/>
        <w:spacing w:line="240" w:lineRule="auto"/>
        <w:ind w:left="426" w:hanging="426"/>
        <w:jc w:val="both"/>
        <w:rPr>
          <w:rFonts w:ascii="Times New Roman" w:eastAsia="Times New Roman" w:hAnsi="Times New Roman" w:cs="Times New Roman"/>
          <w:sz w:val="20"/>
          <w:szCs w:val="20"/>
        </w:rPr>
      </w:pPr>
    </w:p>
    <w:p w14:paraId="60FD8444" w14:textId="77777777" w:rsidR="001E55BF" w:rsidRPr="001E55BF" w:rsidRDefault="001E55BF">
      <w:pPr>
        <w:widowControl w:val="0"/>
        <w:spacing w:line="240" w:lineRule="auto"/>
        <w:ind w:left="426" w:hanging="426"/>
        <w:jc w:val="both"/>
        <w:rPr>
          <w:rFonts w:ascii="Times New Roman" w:eastAsia="Times New Roman" w:hAnsi="Times New Roman" w:cs="Times New Roman"/>
          <w:sz w:val="24"/>
          <w:szCs w:val="24"/>
        </w:rPr>
      </w:pPr>
    </w:p>
    <w:sectPr w:rsidR="001E55BF" w:rsidRPr="001E55BF">
      <w:footerReference w:type="default" r:id="rId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C967CD" w14:textId="77777777" w:rsidR="00CD604A" w:rsidRDefault="00CD604A">
      <w:pPr>
        <w:spacing w:after="0" w:line="240" w:lineRule="auto"/>
      </w:pPr>
      <w:r>
        <w:separator/>
      </w:r>
    </w:p>
  </w:endnote>
  <w:endnote w:type="continuationSeparator" w:id="0">
    <w:p w14:paraId="5A945767" w14:textId="77777777" w:rsidR="00CD604A" w:rsidRDefault="00CD60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altName w:val="Calibri"/>
    <w:charset w:val="00"/>
    <w:family w:val="swiss"/>
    <w:pitch w:val="variable"/>
    <w:sig w:usb0="20000287" w:usb1="00000003" w:usb2="00000000" w:usb3="00000000" w:csb0="0000019F" w:csb1="00000000"/>
    <w:embedRegular r:id="rId1" w:fontKey="{C65AD6CC-92AC-4478-8337-A470035AC444}"/>
    <w:embedBold r:id="rId2" w:fontKey="{C96D1C10-885A-447B-B381-3D11C27B52DE}"/>
    <w:embedItalic r:id="rId3" w:fontKey="{FC4E57AF-A84C-4CC5-A5C0-FB1987509161}"/>
  </w:font>
  <w:font w:name="Times New Roman">
    <w:panose1 w:val="02020603050405020304"/>
    <w:charset w:val="00"/>
    <w:family w:val="roman"/>
    <w:pitch w:val="variable"/>
    <w:sig w:usb0="E0002EFF" w:usb1="C000785B" w:usb2="00000009" w:usb3="00000000" w:csb0="000001FF" w:csb1="00000000"/>
    <w:embedRegular r:id="rId4" w:fontKey="{6188E136-1E82-4C16-A846-83C65C354FB1}"/>
    <w:embedBold r:id="rId5" w:fontKey="{5A819DFF-98FF-4C30-9C1F-7337AE4D4705}"/>
    <w:embedItalic r:id="rId6" w:fontKey="{02C9C01D-0995-4519-89F7-582AD3323750}"/>
  </w:font>
  <w:font w:name="Play">
    <w:altName w:val="Segoe Print"/>
    <w:charset w:val="00"/>
    <w:family w:val="auto"/>
    <w:pitch w:val="default"/>
    <w:embedRegular r:id="rId7" w:fontKey="{0E9F2D5B-1F28-4156-B1B3-C1B835CE1097}"/>
  </w:font>
  <w:font w:name="Aptos Display">
    <w:charset w:val="00"/>
    <w:family w:val="swiss"/>
    <w:pitch w:val="variable"/>
    <w:sig w:usb0="20000287" w:usb1="00000003" w:usb2="00000000" w:usb3="00000000" w:csb0="0000019F" w:csb1="00000000"/>
    <w:embedRegular r:id="rId8" w:fontKey="{3EA82B72-02B8-40FD-A493-E73A394E2E2A}"/>
  </w:font>
  <w:font w:name="Segoe UI">
    <w:panose1 w:val="020B0502040204020203"/>
    <w:charset w:val="00"/>
    <w:family w:val="swiss"/>
    <w:pitch w:val="variable"/>
    <w:sig w:usb0="E4002EFF" w:usb1="C000E47F" w:usb2="00000009" w:usb3="00000000" w:csb0="000001FF" w:csb1="00000000"/>
    <w:embedRegular r:id="rId9" w:fontKey="{E8949D3E-CBAA-4E72-B58E-850CCFF0964E}"/>
  </w:font>
  <w:font w:name="Cambria Math">
    <w:panose1 w:val="02040503050406030204"/>
    <w:charset w:val="00"/>
    <w:family w:val="roman"/>
    <w:pitch w:val="variable"/>
    <w:sig w:usb0="E00006FF" w:usb1="420024FF" w:usb2="02000000" w:usb3="00000000" w:csb0="0000019F" w:csb1="00000000"/>
    <w:embedRegular r:id="rId10" w:fontKey="{D7BA1D0E-8289-4D1D-BFB1-2E33569A2B3C}"/>
    <w:embedItalic r:id="rId11" w:fontKey="{9CE325CA-2E2A-4CE4-ABE3-70E0D74AE4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25FD8" w14:textId="77777777" w:rsidR="003967C8" w:rsidRDefault="006C1AAF">
    <w:pP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497913">
      <w:rPr>
        <w:noProof/>
        <w:color w:val="000000"/>
      </w:rPr>
      <w:t>1</w:t>
    </w:r>
    <w:r>
      <w:rPr>
        <w:color w:val="000000"/>
      </w:rPr>
      <w:fldChar w:fldCharType="end"/>
    </w:r>
  </w:p>
  <w:p w14:paraId="05B3A3A2" w14:textId="77777777" w:rsidR="003967C8" w:rsidRDefault="003967C8">
    <w:pP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84D7CC" w14:textId="77777777" w:rsidR="00CD604A" w:rsidRDefault="00CD604A">
      <w:pPr>
        <w:spacing w:after="0" w:line="240" w:lineRule="auto"/>
      </w:pPr>
      <w:r>
        <w:separator/>
      </w:r>
    </w:p>
  </w:footnote>
  <w:footnote w:type="continuationSeparator" w:id="0">
    <w:p w14:paraId="59BB349C" w14:textId="77777777" w:rsidR="00CD604A" w:rsidRDefault="00CD60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C8C680C"/>
    <w:multiLevelType w:val="multilevel"/>
    <w:tmpl w:val="D27EE94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3695718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A1tjCyMLY0tjQ1MzJS0lEKTi0uzszPAykwrAUA+oU0UCwAAAA="/>
  </w:docVars>
  <w:rsids>
    <w:rsidRoot w:val="003967C8"/>
    <w:rsid w:val="001E55BF"/>
    <w:rsid w:val="00321689"/>
    <w:rsid w:val="00321A88"/>
    <w:rsid w:val="003441BD"/>
    <w:rsid w:val="003967C8"/>
    <w:rsid w:val="00497913"/>
    <w:rsid w:val="005047DC"/>
    <w:rsid w:val="005266F3"/>
    <w:rsid w:val="006628A1"/>
    <w:rsid w:val="006C1AAF"/>
    <w:rsid w:val="00926244"/>
    <w:rsid w:val="00934EAE"/>
    <w:rsid w:val="009B51E8"/>
    <w:rsid w:val="00A31C27"/>
    <w:rsid w:val="00CD604A"/>
    <w:rsid w:val="00DA5697"/>
    <w:rsid w:val="00EB77E4"/>
    <w:rsid w:val="00EC11D3"/>
    <w:rsid w:val="00ED13D0"/>
    <w:rsid w:val="00F2099D"/>
    <w:rsid w:val="00F51E67"/>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32A97"/>
  <w15:docId w15:val="{EDA8C06C-2637-47CC-9991-82E3582D8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MY" w:eastAsia="en-M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unhideWhenUsed/>
    <w:qFormat/>
    <w:pPr>
      <w:keepNext/>
      <w:keepLines/>
      <w:jc w:val="both"/>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paragraph" w:styleId="BodyText">
    <w:name w:val="Body Text"/>
    <w:basedOn w:val="Normal"/>
    <w:link w:val="BodyTextChar"/>
    <w:qFormat/>
    <w:pPr>
      <w:spacing w:after="360" w:line="480" w:lineRule="auto"/>
      <w:jc w:val="both"/>
    </w:pPr>
    <w:rPr>
      <w:rFonts w:ascii="Times New Roman" w:eastAsia="Times New Roman" w:hAnsi="Times New Roman" w:cs="Times New Roman"/>
      <w:sz w:val="24"/>
      <w:szCs w:val="20"/>
      <w:lang w:val="en-U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467886"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table" w:customStyle="1" w:styleId="TableNormal2">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qFormat/>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Pr>
      <w:i/>
      <w:iCs/>
      <w:color w:val="0F4761" w:themeColor="accent1" w:themeShade="BF"/>
    </w:rPr>
  </w:style>
  <w:style w:type="character" w:customStyle="1" w:styleId="IntenseReference1">
    <w:name w:val="Intense Reference1"/>
    <w:basedOn w:val="DefaultParagraphFont"/>
    <w:uiPriority w:val="32"/>
    <w:qFormat/>
    <w:rPr>
      <w:b/>
      <w:bCs/>
      <w:smallCaps/>
      <w:color w:val="0F4761" w:themeColor="accent1" w:themeShade="BF"/>
      <w:spacing w:val="5"/>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qFormat/>
  </w:style>
  <w:style w:type="table" w:customStyle="1" w:styleId="PlainTable21">
    <w:name w:val="Plain Table 21"/>
    <w:basedOn w:val="TableNormal"/>
    <w:uiPriority w:val="42"/>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39">
    <w:name w:val="_Style 39"/>
    <w:basedOn w:val="TableNormal"/>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Style40">
    <w:name w:val="_Style 40"/>
    <w:basedOn w:val="TableNormal"/>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BodyTextChar">
    <w:name w:val="Body Text Char"/>
    <w:basedOn w:val="DefaultParagraphFont"/>
    <w:link w:val="BodyText"/>
    <w:qFormat/>
    <w:rPr>
      <w:rFonts w:ascii="Times New Roman" w:eastAsia="Times New Roman" w:hAnsi="Times New Roman" w:cs="Times New Roman"/>
      <w:sz w:val="24"/>
      <w:szCs w:val="20"/>
      <w:lang w:val="en-US" w:eastAsia="en-US" w:bidi="ar-SA"/>
    </w:rPr>
  </w:style>
  <w:style w:type="paragraph" w:customStyle="1" w:styleId="TableTitle">
    <w:name w:val="Table Title"/>
    <w:basedOn w:val="Normal"/>
    <w:qFormat/>
    <w:pPr>
      <w:spacing w:before="240" w:after="240" w:line="360" w:lineRule="auto"/>
    </w:pPr>
    <w:rPr>
      <w:rFonts w:ascii="Times New Roman" w:eastAsiaTheme="minorHAnsi" w:hAnsi="Times New Roman" w:cstheme="majorBidi"/>
      <w:bCs/>
      <w:sz w:val="24"/>
      <w:szCs w:val="24"/>
      <w:lang w:val="en-GB"/>
    </w:rPr>
  </w:style>
  <w:style w:type="character" w:customStyle="1" w:styleId="CommentTextChar">
    <w:name w:val="Comment Text Char"/>
    <w:basedOn w:val="DefaultParagraphFont"/>
    <w:link w:val="CommentText"/>
    <w:uiPriority w:val="99"/>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rsid w:val="0033019D"/>
    <w:rPr>
      <w:lang w:bidi="ta-IN"/>
    </w:rPr>
  </w:style>
  <w:style w:type="table" w:customStyle="1" w:styleId="a">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FA09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0954"/>
    <w:rPr>
      <w:rFonts w:ascii="Segoe UI" w:hAnsi="Segoe UI" w:cs="Segoe UI"/>
      <w:sz w:val="18"/>
      <w:szCs w:val="18"/>
    </w:rPr>
  </w:style>
  <w:style w:type="paragraph" w:customStyle="1" w:styleId="AuthorName">
    <w:name w:val="Author Name"/>
    <w:basedOn w:val="Normal"/>
    <w:next w:val="Normal"/>
    <w:rsid w:val="002E2BAC"/>
    <w:pPr>
      <w:spacing w:before="360" w:after="360" w:line="240" w:lineRule="auto"/>
      <w:jc w:val="center"/>
    </w:pPr>
    <w:rPr>
      <w:rFonts w:ascii="Times New Roman" w:eastAsia="Times New Roman" w:hAnsi="Times New Roman" w:cs="Times New Roman"/>
      <w:sz w:val="28"/>
      <w:szCs w:val="20"/>
      <w:lang w:val="en-US"/>
    </w:rPr>
  </w:style>
  <w:style w:type="paragraph" w:customStyle="1" w:styleId="AuthorAffiliation">
    <w:name w:val="Author Affiliation"/>
    <w:basedOn w:val="Normal"/>
    <w:rsid w:val="002E2BAC"/>
    <w:pPr>
      <w:spacing w:after="0" w:line="240" w:lineRule="auto"/>
      <w:jc w:val="center"/>
    </w:pPr>
    <w:rPr>
      <w:rFonts w:ascii="Times New Roman" w:eastAsia="Times New Roman" w:hAnsi="Times New Roman" w:cs="Times New Roman"/>
      <w:i/>
      <w:sz w:val="20"/>
      <w:szCs w:val="20"/>
      <w:lang w:val="en-US"/>
    </w:rPr>
  </w:style>
  <w:style w:type="character" w:styleId="UnresolvedMention">
    <w:name w:val="Unresolved Mention"/>
    <w:basedOn w:val="DefaultParagraphFont"/>
    <w:uiPriority w:val="99"/>
    <w:semiHidden/>
    <w:unhideWhenUsed/>
    <w:rsid w:val="009B5457"/>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 w:type="table" w:customStyle="1" w:styleId="a0">
    <w:basedOn w:val="TableNormal"/>
    <w:tblPr>
      <w:tblStyleRowBandSize w:val="1"/>
      <w:tblStyleColBandSize w:val="1"/>
      <w:tblCellMar>
        <w:left w:w="115" w:type="dxa"/>
        <w:right w:w="115" w:type="dxa"/>
      </w:tblCellMar>
    </w:tblPr>
  </w:style>
  <w:style w:type="character" w:styleId="Emphasis">
    <w:name w:val="Emphasis"/>
    <w:basedOn w:val="DefaultParagraphFont"/>
    <w:uiPriority w:val="20"/>
    <w:qFormat/>
    <w:rsid w:val="00A31C27"/>
    <w:rPr>
      <w:i/>
      <w:iCs/>
    </w:rPr>
  </w:style>
  <w:style w:type="character" w:customStyle="1" w:styleId="ff3">
    <w:name w:val="ff3"/>
    <w:basedOn w:val="DefaultParagraphFont"/>
    <w:rsid w:val="001E55BF"/>
  </w:style>
  <w:style w:type="character" w:customStyle="1" w:styleId="ff5">
    <w:name w:val="ff5"/>
    <w:basedOn w:val="DefaultParagraphFont"/>
    <w:rsid w:val="001E55BF"/>
  </w:style>
  <w:style w:type="character" w:customStyle="1" w:styleId="ff6">
    <w:name w:val="ff6"/>
    <w:basedOn w:val="DefaultParagraphFont"/>
    <w:rsid w:val="001E55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78711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Y4jnpUHD9+M5F9Lr3YSU/s47Mw==">CgMxLjAyDmguamZsNHc0dnJiNDAzMg5oLmF2bjI4cXBkbTdkajIOaC5iNWkxZTJyMHM4N2YyDmguZ2plNm9paHp5NjhmMg5oLjNvOGplZzI5cWZlbTIOaC4xNGMycXpqamgyeHM4AHIhMWZ1SGw4c3dCM2Qtb2lqdHlDbFduc2MyOEN4WktOdEdv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2754</Words>
  <Characters>15698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Masnita binti Misiran @ Bakun</dc:creator>
  <cp:lastModifiedBy>Dr. Nurul Nazihah binti Hawari</cp:lastModifiedBy>
  <cp:revision>2</cp:revision>
  <dcterms:created xsi:type="dcterms:W3CDTF">2026-01-15T14:18:00Z</dcterms:created>
  <dcterms:modified xsi:type="dcterms:W3CDTF">2026-01-15T14:18:00Z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4c3840c2-f82b-4567-b180-ab2e4d923828</vt:lpwstr>
  </property>
  <property fmtid="{D5CDD505-2E9C-101B-9397-08002B2CF9AE}" pid="3" name="KSOProductBuildVer">
    <vt:lpwstr>1033-12.2.0.21931</vt:lpwstr>
  </property>
  <property fmtid="{D5CDD505-2E9C-101B-9397-08002B2CF9AE}" pid="4" name="ICV">
    <vt:lpwstr>0FD6DE7A35AA4CCD8BC3787242EBE9E3_13</vt:lpwstr>
  </property>
</Properties>
</file>