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ED477" w14:textId="3A22E0DF" w:rsidR="00575EE1" w:rsidRDefault="00575EE1" w:rsidP="00575EE1">
      <w:pPr>
        <w:jc w:val="center"/>
        <w:rPr>
          <w:b/>
          <w:sz w:val="36"/>
        </w:rPr>
      </w:pPr>
      <w:r w:rsidRPr="00575EE1">
        <w:rPr>
          <w:b/>
          <w:sz w:val="36"/>
        </w:rPr>
        <w:t xml:space="preserve">A Data Analytics Approach to Examining Board Gender Diversity, ESG Scores, and Carbon </w:t>
      </w:r>
      <w:r w:rsidR="00397E77" w:rsidRPr="00575EE1">
        <w:rPr>
          <w:b/>
          <w:sz w:val="36"/>
        </w:rPr>
        <w:t>Em</w:t>
      </w:r>
      <w:r w:rsidR="003B75EF">
        <w:rPr>
          <w:b/>
          <w:sz w:val="36"/>
        </w:rPr>
        <w:t>ission</w:t>
      </w:r>
      <w:r w:rsidR="00397E77" w:rsidRPr="00575EE1">
        <w:rPr>
          <w:b/>
          <w:sz w:val="36"/>
        </w:rPr>
        <w:t>s</w:t>
      </w:r>
      <w:r w:rsidRPr="00575EE1">
        <w:rPr>
          <w:b/>
          <w:sz w:val="36"/>
        </w:rPr>
        <w:t>: The Moderating Role of Women Directors in Malaysia and Indonesia</w:t>
      </w:r>
    </w:p>
    <w:p w14:paraId="26624FBF" w14:textId="77777777" w:rsidR="00F00669" w:rsidRDefault="00F00669" w:rsidP="00575EE1">
      <w:pPr>
        <w:jc w:val="center"/>
        <w:rPr>
          <w:b/>
          <w:sz w:val="36"/>
        </w:rPr>
      </w:pPr>
    </w:p>
    <w:p w14:paraId="7B30474B" w14:textId="77777777" w:rsidR="00F00669" w:rsidRDefault="00F00669" w:rsidP="00F00669">
      <w:pPr>
        <w:pStyle w:val="AuthorName"/>
        <w:spacing w:before="0" w:after="0"/>
        <w:rPr>
          <w:sz w:val="20"/>
          <w:lang w:val="en-GB" w:eastAsia="en-GB"/>
        </w:rPr>
      </w:pPr>
      <w:r>
        <w:t>Nurul Nazlia Jamil</w:t>
      </w:r>
      <w:r w:rsidRPr="2F830975">
        <w:rPr>
          <w:vertAlign w:val="superscript"/>
        </w:rPr>
        <w:t>1, a)</w:t>
      </w:r>
      <w:r>
        <w:t xml:space="preserve"> , Ersa Tri Wahyuni</w:t>
      </w:r>
      <w:r>
        <w:rPr>
          <w:vertAlign w:val="superscript"/>
        </w:rPr>
        <w:t>2,b)</w:t>
      </w:r>
      <w:r>
        <w:t xml:space="preserve"> and Peni Nugraheni</w:t>
      </w:r>
      <w:r w:rsidRPr="2F830975">
        <w:rPr>
          <w:vertAlign w:val="superscript"/>
        </w:rPr>
        <w:t xml:space="preserve"> 3, </w:t>
      </w:r>
      <w:r>
        <w:rPr>
          <w:vertAlign w:val="superscript"/>
        </w:rPr>
        <w:t>c</w:t>
      </w:r>
      <w:r w:rsidRPr="2F830975">
        <w:rPr>
          <w:vertAlign w:val="superscript"/>
        </w:rPr>
        <w:t>)</w:t>
      </w:r>
      <w:r>
        <w:br/>
      </w:r>
    </w:p>
    <w:p w14:paraId="062BFE90" w14:textId="7AE7C8E3" w:rsidR="00F00669" w:rsidRDefault="00F00669" w:rsidP="00F00669">
      <w:pPr>
        <w:pStyle w:val="AuthorAffiliation"/>
      </w:pPr>
      <w:r w:rsidRPr="00075EA6">
        <w:rPr>
          <w:i w:val="0"/>
          <w:iCs/>
          <w:vertAlign w:val="superscript"/>
        </w:rPr>
        <w:t>1</w:t>
      </w:r>
      <w:r>
        <w:t>Faculty of Economics and Muamalat, Universiti Sains Islam Malaysia,71800 Nilai, Negeri Sembilan, Malaysia</w:t>
      </w:r>
      <w:r w:rsidRPr="00075EA6">
        <w:t xml:space="preserve"> </w:t>
      </w:r>
      <w:r w:rsidRPr="00075EA6">
        <w:br/>
        <w:t xml:space="preserve"> </w:t>
      </w:r>
      <w:r>
        <w:rPr>
          <w:i w:val="0"/>
          <w:iCs/>
          <w:vertAlign w:val="superscript"/>
        </w:rPr>
        <w:t xml:space="preserve">2 </w:t>
      </w:r>
      <w:r>
        <w:t>Department of Accounting, Faculty of Economics and Business, Universitas Padjajaran,Bandung, 40132,</w:t>
      </w:r>
      <w:r w:rsidR="00844153">
        <w:t xml:space="preserve"> </w:t>
      </w:r>
      <w:r>
        <w:t>Indonesia</w:t>
      </w:r>
      <w:r w:rsidRPr="00075EA6">
        <w:br/>
      </w:r>
      <w:r w:rsidRPr="00075EA6">
        <w:rPr>
          <w:i w:val="0"/>
          <w:iCs/>
          <w:vertAlign w:val="superscript"/>
        </w:rPr>
        <w:t>3</w:t>
      </w:r>
      <w:r>
        <w:t>Department of Accounting,Universitas Muhammadiyah Yogyakarta,</w:t>
      </w:r>
      <w:r w:rsidRPr="00E66CDB">
        <w:t>JL. Brawijaya, Kasihan, Bantul,</w:t>
      </w:r>
      <w:r w:rsidRPr="00E66CDB">
        <w:br/>
        <w:t>Yogyakarta 55183</w:t>
      </w:r>
      <w:r>
        <w:t>,</w:t>
      </w:r>
      <w:r w:rsidR="00844153">
        <w:t xml:space="preserve"> </w:t>
      </w:r>
      <w:r>
        <w:t>Indonesia</w:t>
      </w:r>
    </w:p>
    <w:p w14:paraId="60D18698" w14:textId="2912A89F" w:rsidR="00F00669" w:rsidRPr="00B05708" w:rsidRDefault="00F00669" w:rsidP="00F00669">
      <w:pPr>
        <w:pStyle w:val="AuthorAffiliation"/>
      </w:pPr>
      <w:r w:rsidRPr="00075EA6">
        <w:br/>
      </w:r>
    </w:p>
    <w:p w14:paraId="61255C78" w14:textId="77777777" w:rsidR="00F00669" w:rsidRPr="003F56A0" w:rsidRDefault="00F00669" w:rsidP="00F00669">
      <w:pPr>
        <w:ind w:left="360"/>
        <w:jc w:val="center"/>
        <w:rPr>
          <w:i/>
          <w:iCs/>
          <w:color w:val="000000" w:themeColor="text1"/>
          <w:sz w:val="20"/>
        </w:rPr>
      </w:pPr>
      <w:r w:rsidRPr="003F56A0">
        <w:rPr>
          <w:i/>
          <w:iCs/>
          <w:color w:val="000000" w:themeColor="text1"/>
          <w:sz w:val="20"/>
          <w:vertAlign w:val="superscript"/>
        </w:rPr>
        <w:t xml:space="preserve">a) </w:t>
      </w:r>
      <w:r w:rsidRPr="003F56A0">
        <w:rPr>
          <w:i/>
          <w:iCs/>
          <w:color w:val="000000" w:themeColor="text1"/>
          <w:sz w:val="20"/>
        </w:rPr>
        <w:t>Corresponding author: nurulnazlia@usim.edu.my</w:t>
      </w:r>
      <w:r w:rsidRPr="003F56A0">
        <w:rPr>
          <w:i/>
          <w:iCs/>
          <w:color w:val="000000" w:themeColor="text1"/>
          <w:sz w:val="20"/>
        </w:rPr>
        <w:br/>
      </w:r>
      <w:r w:rsidRPr="003F56A0">
        <w:rPr>
          <w:i/>
          <w:iCs/>
          <w:color w:val="000000" w:themeColor="text1"/>
          <w:sz w:val="20"/>
          <w:vertAlign w:val="superscript"/>
        </w:rPr>
        <w:t>b)</w:t>
      </w:r>
      <w:hyperlink r:id="rId11" w:history="1">
        <w:r w:rsidRPr="003F56A0">
          <w:rPr>
            <w:rStyle w:val="Hyperlink"/>
            <w:i/>
            <w:iCs/>
            <w:color w:val="000000" w:themeColor="text1"/>
            <w:sz w:val="20"/>
            <w:u w:val="none"/>
          </w:rPr>
          <w:t>ersa@unpad.ac.id</w:t>
        </w:r>
      </w:hyperlink>
    </w:p>
    <w:p w14:paraId="71594CF8" w14:textId="77777777" w:rsidR="00F00669" w:rsidRPr="00B05708" w:rsidRDefault="00F00669" w:rsidP="00F00669">
      <w:pPr>
        <w:ind w:left="720"/>
        <w:jc w:val="center"/>
        <w:rPr>
          <w:i/>
          <w:iCs/>
          <w:color w:val="000000" w:themeColor="text1"/>
          <w:sz w:val="20"/>
        </w:rPr>
      </w:pPr>
      <w:r w:rsidRPr="00B05708">
        <w:rPr>
          <w:i/>
          <w:iCs/>
          <w:color w:val="000000" w:themeColor="text1"/>
          <w:sz w:val="20"/>
          <w:vertAlign w:val="superscript"/>
        </w:rPr>
        <w:t xml:space="preserve">c) </w:t>
      </w:r>
      <w:hyperlink r:id="rId12" w:history="1">
        <w:r w:rsidRPr="00B05708">
          <w:rPr>
            <w:rStyle w:val="Hyperlink"/>
            <w:i/>
            <w:iCs/>
            <w:color w:val="000000" w:themeColor="text1"/>
            <w:sz w:val="20"/>
            <w:u w:val="none"/>
          </w:rPr>
          <w:t>peninugraheni@umy.ac.id</w:t>
        </w:r>
      </w:hyperlink>
    </w:p>
    <w:p w14:paraId="2E1D26CC" w14:textId="77777777" w:rsidR="00A062CC" w:rsidRPr="00575EE1" w:rsidRDefault="00A062CC" w:rsidP="00575EE1">
      <w:pPr>
        <w:jc w:val="center"/>
        <w:rPr>
          <w:b/>
          <w:sz w:val="36"/>
        </w:rPr>
      </w:pPr>
    </w:p>
    <w:p w14:paraId="22C3F2A8" w14:textId="2C4FD89E" w:rsidR="0016385D" w:rsidRPr="00075EA6" w:rsidRDefault="0016385D" w:rsidP="00206ED9">
      <w:pPr>
        <w:pStyle w:val="Abstract"/>
        <w:spacing w:before="0" w:after="0"/>
      </w:pPr>
      <w:r w:rsidRPr="00075EA6">
        <w:rPr>
          <w:b/>
          <w:bCs/>
        </w:rPr>
        <w:t>Abstract.</w:t>
      </w:r>
      <w:r w:rsidRPr="00075EA6">
        <w:t xml:space="preserve"> </w:t>
      </w:r>
      <w:r w:rsidR="00575EE1" w:rsidRPr="00575EE1">
        <w:t>With an emphasis on the moderating influence</w:t>
      </w:r>
      <w:r w:rsidR="00397E77">
        <w:t xml:space="preserve"> of women in the boardroom, such research</w:t>
      </w:r>
      <w:r w:rsidR="00575EE1" w:rsidRPr="00575EE1">
        <w:t xml:space="preserve"> </w:t>
      </w:r>
      <w:r w:rsidR="00397E77" w:rsidRPr="00575EE1">
        <w:t>observes</w:t>
      </w:r>
      <w:r w:rsidR="00397E77">
        <w:t xml:space="preserve"> </w:t>
      </w:r>
      <w:r w:rsidR="00397E77" w:rsidRPr="00575EE1">
        <w:t>properties</w:t>
      </w:r>
      <w:r w:rsidR="00397E77">
        <w:t xml:space="preserve"> of carbon emissions or</w:t>
      </w:r>
      <w:r w:rsidR="00575EE1" w:rsidRPr="00575EE1">
        <w:t xml:space="preserve"> ESG scores in </w:t>
      </w:r>
      <w:r w:rsidR="00397E77" w:rsidRPr="00575EE1">
        <w:t>corporations</w:t>
      </w:r>
      <w:r w:rsidR="00575EE1" w:rsidRPr="00575EE1">
        <w:t xml:space="preserve"> listed on</w:t>
      </w:r>
      <w:r w:rsidR="00397E77">
        <w:t>to</w:t>
      </w:r>
      <w:r w:rsidR="00575EE1" w:rsidRPr="00575EE1">
        <w:t xml:space="preserve"> the Malaysian and </w:t>
      </w:r>
      <w:r w:rsidR="00CF3A1A">
        <w:t>Indonesian stock exchanges.  This</w:t>
      </w:r>
      <w:r w:rsidR="00575EE1" w:rsidRPr="00575EE1">
        <w:t xml:space="preserve"> study looks at how ESG scores, carbon emissions and gender diversity on boards relate to each other </w:t>
      </w:r>
      <w:r w:rsidR="00CF3A1A">
        <w:t>by using information</w:t>
      </w:r>
      <w:r w:rsidR="00575EE1" w:rsidRPr="00575EE1">
        <w:t xml:space="preserve"> from non-financial </w:t>
      </w:r>
      <w:r w:rsidR="00CF3A1A" w:rsidRPr="00575EE1">
        <w:t>corporations</w:t>
      </w:r>
      <w:r w:rsidR="00575EE1" w:rsidRPr="00575EE1">
        <w:t xml:space="preserve">. Using a data analytics approach, we analyze panel data from publicly listed firms in Malaysia and Indonesia between 2018 and 2023.  According to the results, reduced carbon emissions in relation to revenue are linked to higher ESG rankings.  Furthermore, </w:t>
      </w:r>
      <w:r w:rsidR="00CF3A1A" w:rsidRPr="00575EE1">
        <w:t>here</w:t>
      </w:r>
      <w:r w:rsidR="00CF3A1A">
        <w:t xml:space="preserve"> is </w:t>
      </w:r>
      <w:r w:rsidR="00575EE1" w:rsidRPr="00575EE1">
        <w:t xml:space="preserve">negative </w:t>
      </w:r>
      <w:r w:rsidR="00CF3A1A" w:rsidRPr="00575EE1">
        <w:t>connection</w:t>
      </w:r>
      <w:r w:rsidR="00CF3A1A">
        <w:t xml:space="preserve"> among quantity</w:t>
      </w:r>
      <w:r w:rsidR="00575EE1" w:rsidRPr="00575EE1">
        <w:t xml:space="preserve"> of women on </w:t>
      </w:r>
      <w:r w:rsidR="00CF3A1A" w:rsidRPr="00575EE1">
        <w:t>rations</w:t>
      </w:r>
      <w:r w:rsidR="00575EE1" w:rsidRPr="00575EE1">
        <w:t xml:space="preserve"> and carbon emissions as well as ESG scores, indicating that gender-diverse boards may promote better environmental policies.  The study also emphasizes how well Malaysian and Indonesian ESG reporting and disclosure laws work to cut carbon emissions.   Although the study makes the case that gender quotas in boardrooms could improve the adoption of ESG even further, it is only applicable to Malaysia and Indonesia and might not accurately represent patterns in other developing countries.</w:t>
      </w:r>
    </w:p>
    <w:p w14:paraId="39708B84" w14:textId="77777777" w:rsidR="00206ED9" w:rsidRDefault="00206ED9" w:rsidP="00206ED9">
      <w:pPr>
        <w:pStyle w:val="Heading1"/>
        <w:spacing w:before="0" w:after="0"/>
      </w:pPr>
      <w:bookmarkStart w:id="0" w:name="_Hlk203654855"/>
    </w:p>
    <w:p w14:paraId="5240E3FB" w14:textId="3902BF45" w:rsidR="003A287B" w:rsidRPr="00075EA6" w:rsidRDefault="00575EE1" w:rsidP="00206ED9">
      <w:pPr>
        <w:pStyle w:val="Heading1"/>
        <w:spacing w:before="0" w:after="0"/>
        <w:rPr>
          <w:b w:val="0"/>
          <w:caps w:val="0"/>
          <w:sz w:val="20"/>
        </w:rPr>
      </w:pPr>
      <w:r w:rsidRPr="00575EE1">
        <w:t>Introductio</w:t>
      </w:r>
      <w:r>
        <w:t>n</w:t>
      </w:r>
      <w:r w:rsidR="00616F3B" w:rsidRPr="00075EA6">
        <w:br/>
      </w:r>
    </w:p>
    <w:bookmarkEnd w:id="0"/>
    <w:p w14:paraId="6DBA910C" w14:textId="7D653C65" w:rsidR="00575EE1" w:rsidRDefault="00575EE1" w:rsidP="00A9071B">
      <w:pPr>
        <w:pStyle w:val="Paragraph"/>
      </w:pPr>
      <w:r>
        <w:t xml:space="preserve">The </w:t>
      </w:r>
      <w:r w:rsidR="00316C88">
        <w:t>whole</w:t>
      </w:r>
      <w:r>
        <w:t xml:space="preserve"> </w:t>
      </w:r>
      <w:r w:rsidR="00316C88">
        <w:t>volume</w:t>
      </w:r>
      <w:r>
        <w:t xml:space="preserve"> of greenhouse gases, especially carbon dioxide (CO₂), </w:t>
      </w:r>
      <w:r w:rsidR="00C1252F" w:rsidRPr="00C1252F">
        <w:t xml:space="preserve">emissions that are either directly or indirectly caused by human actions are known as the </w:t>
      </w:r>
      <w:r>
        <w:t xml:space="preserve">"carbon footprint" </w:t>
      </w:r>
      <w:r w:rsidR="00066BCE">
        <w:t>[1]</w:t>
      </w:r>
      <w:r>
        <w:t xml:space="preserve">.  Assuring that economic growth does not negatively impact the environment or future generations, lowering carbon footprints is consistent with sustainable development goals </w:t>
      </w:r>
      <w:r w:rsidR="00066BCE">
        <w:t>[2]</w:t>
      </w:r>
      <w:r>
        <w:t>.   Carbon neutrality has emerged as a key objective as the need to combat climate change grows, with the drive for lower emissions being driven by ethical, financial, and environmental considerations.</w:t>
      </w:r>
    </w:p>
    <w:p w14:paraId="3B5DD82C" w14:textId="77777777" w:rsidR="006016DA" w:rsidRDefault="006016DA" w:rsidP="00575EE1">
      <w:pPr>
        <w:pStyle w:val="Paragraph"/>
      </w:pPr>
    </w:p>
    <w:p w14:paraId="3439A7BC" w14:textId="2F02AA97" w:rsidR="00575EE1" w:rsidRDefault="00575EE1" w:rsidP="00575EE1">
      <w:pPr>
        <w:pStyle w:val="Paragraph"/>
      </w:pPr>
      <w:r>
        <w:t xml:space="preserve">The </w:t>
      </w:r>
      <w:r w:rsidR="00D64BC1">
        <w:t>E</w:t>
      </w:r>
      <w:r w:rsidR="00BD4F52">
        <w:t>nvironmental</w:t>
      </w:r>
      <w:r>
        <w:t xml:space="preserve">, </w:t>
      </w:r>
      <w:r w:rsidR="00D64BC1">
        <w:t>Social</w:t>
      </w:r>
      <w:r>
        <w:t xml:space="preserve">, and Governance (ESG) framework is critical </w:t>
      </w:r>
      <w:r w:rsidR="00D64BC1">
        <w:t>aimed at businesses seeking or enhancing</w:t>
      </w:r>
      <w:r>
        <w:t xml:space="preserve"> their impact and value. A key aspect of Corporate Social Responsibility (CSR) is minimizing carbon footprints, which can improve brand image and meet consumer expectations for sustainability </w:t>
      </w:r>
      <w:r w:rsidR="00066BCE">
        <w:t>[3]</w:t>
      </w:r>
      <w:r>
        <w:t xml:space="preserve">. Carbon emissions are not only an environmental issue but also an ethical and financial one, as reducing them can mitigate the risks of carbon taxes and penalties </w:t>
      </w:r>
      <w:r w:rsidR="00066BCE">
        <w:t>[4].</w:t>
      </w:r>
      <w:r>
        <w:t xml:space="preserve"> Despite the challenges, the road to sustainability presents significant opportunities for companies to improve stakeholder relations and strengthen their corporate image.</w:t>
      </w:r>
    </w:p>
    <w:p w14:paraId="5D690084" w14:textId="77777777" w:rsidR="006016DA" w:rsidRDefault="006016DA" w:rsidP="00575EE1">
      <w:pPr>
        <w:pStyle w:val="Paragraph"/>
      </w:pPr>
    </w:p>
    <w:p w14:paraId="22E4A586" w14:textId="4DA6B50D" w:rsidR="00575EE1" w:rsidRDefault="00575EE1" w:rsidP="00575EE1">
      <w:pPr>
        <w:pStyle w:val="Paragraph"/>
      </w:pPr>
      <w:r>
        <w:t>Recen</w:t>
      </w:r>
      <w:r w:rsidR="00D64BC1">
        <w:t>t studies have also explored</w:t>
      </w:r>
      <w:r>
        <w:t xml:space="preserve"> </w:t>
      </w:r>
      <w:r w:rsidR="00D64BC1">
        <w:t>connection</w:t>
      </w:r>
      <w:r>
        <w:t xml:space="preserve"> </w:t>
      </w:r>
      <w:r w:rsidR="00D64BC1">
        <w:t>among</w:t>
      </w:r>
      <w:r>
        <w:t xml:space="preserve"> gender </w:t>
      </w:r>
      <w:r w:rsidR="00D64BC1">
        <w:t>assortment</w:t>
      </w:r>
      <w:r>
        <w:t xml:space="preserve"> on </w:t>
      </w:r>
      <w:r w:rsidR="00D64BC1">
        <w:t>commercial boards or</w:t>
      </w:r>
      <w:r>
        <w:t xml:space="preserve"> ESG </w:t>
      </w:r>
      <w:r w:rsidR="00D64BC1">
        <w:t>enactment</w:t>
      </w:r>
      <w:r>
        <w:t xml:space="preserve">, </w:t>
      </w:r>
      <w:r w:rsidR="00D64BC1">
        <w:t>particularly</w:t>
      </w:r>
      <w:r>
        <w:t xml:space="preserve"> regarding carbon </w:t>
      </w:r>
      <w:r w:rsidR="00D64BC1">
        <w:t>discharges</w:t>
      </w:r>
      <w:r>
        <w:t xml:space="preserve"> </w:t>
      </w:r>
      <w:r w:rsidR="00066BCE">
        <w:t>[5,</w:t>
      </w:r>
      <w:r w:rsidR="00A45C16">
        <w:t>6]</w:t>
      </w:r>
      <w:r>
        <w:t xml:space="preserve">. Research indicates that female on boards tend to improve ESG scores, as diverse teams often make more balanced and informed decisions </w:t>
      </w:r>
      <w:r w:rsidR="00A45C16">
        <w:t>[7]</w:t>
      </w:r>
      <w:r>
        <w:t xml:space="preserve">. Companies with greater gender diversity have been found to implement more proactive environmental policies, reducing carbon emissions </w:t>
      </w:r>
      <w:r w:rsidR="00A45C16">
        <w:t>[8]</w:t>
      </w:r>
      <w:r>
        <w:t xml:space="preserve">. Furthermore, </w:t>
      </w:r>
      <w:r w:rsidR="00D64BC1">
        <w:t>firms having great</w:t>
      </w:r>
      <w:r>
        <w:t xml:space="preserve"> ESG scores att</w:t>
      </w:r>
      <w:r w:rsidR="00D64BC1">
        <w:t>ract more investor attention or</w:t>
      </w:r>
      <w:r>
        <w:t xml:space="preserve"> benefit from enhanced reputations </w:t>
      </w:r>
      <w:r w:rsidR="00A45C16">
        <w:t>[9].</w:t>
      </w:r>
    </w:p>
    <w:p w14:paraId="38AED16F" w14:textId="77777777" w:rsidR="00575EE1" w:rsidRDefault="00575EE1" w:rsidP="00575EE1">
      <w:pPr>
        <w:pStyle w:val="Paragraph"/>
      </w:pPr>
    </w:p>
    <w:p w14:paraId="1E7702EE" w14:textId="6322570B" w:rsidR="00B1000D" w:rsidRDefault="00D64BC1" w:rsidP="00575EE1">
      <w:pPr>
        <w:pStyle w:val="Paragraph"/>
      </w:pPr>
      <w:r>
        <w:lastRenderedPageBreak/>
        <w:t>By investigating</w:t>
      </w:r>
      <w:r w:rsidR="00575EE1">
        <w:t xml:space="preserve"> </w:t>
      </w:r>
      <w:r>
        <w:t>consequence</w:t>
      </w:r>
      <w:r w:rsidR="00575EE1">
        <w:t xml:space="preserve"> of </w:t>
      </w:r>
      <w:r>
        <w:t>feminine</w:t>
      </w:r>
      <w:r w:rsidR="00575EE1">
        <w:t xml:space="preserve"> </w:t>
      </w:r>
      <w:r>
        <w:t>managements</w:t>
      </w:r>
      <w:r w:rsidR="00575EE1">
        <w:t xml:space="preserve"> on carbon emissions and other ESG aspects in Malaysian and Indonesian </w:t>
      </w:r>
      <w:r>
        <w:t>enterprises, such research seeks for closing</w:t>
      </w:r>
      <w:r w:rsidR="00575EE1">
        <w:t xml:space="preserve"> this </w:t>
      </w:r>
      <w:r>
        <w:t>fissure.  According to study's hypothesis,</w:t>
      </w:r>
      <w:r w:rsidR="00575EE1">
        <w:t xml:space="preserve"> </w:t>
      </w:r>
      <w:r>
        <w:t>connotation</w:t>
      </w:r>
      <w:r w:rsidR="00575EE1">
        <w:t xml:space="preserve"> </w:t>
      </w:r>
      <w:r>
        <w:t>amongst</w:t>
      </w:r>
      <w:r w:rsidR="00575EE1">
        <w:t xml:space="preserve"> carbon </w:t>
      </w:r>
      <w:r>
        <w:t>emanations</w:t>
      </w:r>
      <w:r w:rsidR="00575EE1">
        <w:t xml:space="preserve"> and ESG scores may be </w:t>
      </w:r>
      <w:r w:rsidR="00AC5877">
        <w:t>qualified</w:t>
      </w:r>
      <w:r w:rsidR="00BF3BA5">
        <w:t xml:space="preserve"> via</w:t>
      </w:r>
      <w:r w:rsidR="00AC5877">
        <w:t xml:space="preserve"> existence</w:t>
      </w:r>
      <w:r w:rsidR="00575EE1">
        <w:t xml:space="preserve"> of </w:t>
      </w:r>
      <w:r w:rsidR="00BF3BA5">
        <w:t xml:space="preserve">females on boards.  The study have goals for </w:t>
      </w:r>
      <w:r w:rsidR="00575EE1">
        <w:t>add</w:t>
      </w:r>
      <w:r w:rsidR="00BF3BA5">
        <w:t>ing to</w:t>
      </w:r>
      <w:r w:rsidR="00575EE1">
        <w:t xml:space="preserve"> continuing discussion on</w:t>
      </w:r>
      <w:r w:rsidR="00BF3BA5">
        <w:t>to</w:t>
      </w:r>
      <w:r w:rsidR="00575EE1">
        <w:t xml:space="preserve"> how </w:t>
      </w:r>
      <w:r w:rsidR="00BF3BA5">
        <w:t>gender</w:t>
      </w:r>
      <w:r w:rsidR="00575EE1">
        <w:t xml:space="preserve"> </w:t>
      </w:r>
      <w:r w:rsidR="00BF3BA5">
        <w:t>assortment</w:t>
      </w:r>
      <w:r w:rsidR="00575EE1">
        <w:t xml:space="preserve"> might improve company sustainability and governance by examining this link.</w:t>
      </w:r>
    </w:p>
    <w:p w14:paraId="32AA44B9" w14:textId="08CB24D7" w:rsidR="00575EE1" w:rsidRDefault="00575EE1" w:rsidP="00575EE1">
      <w:pPr>
        <w:jc w:val="center"/>
        <w:rPr>
          <w:b/>
          <w:bCs/>
          <w:szCs w:val="24"/>
        </w:rPr>
      </w:pPr>
      <w:r>
        <w:rPr>
          <w:b/>
          <w:bCs/>
          <w:szCs w:val="24"/>
        </w:rPr>
        <w:t>LITERATURE REVIEW</w:t>
      </w:r>
    </w:p>
    <w:p w14:paraId="63893BDE" w14:textId="77777777" w:rsidR="00575EE1" w:rsidRDefault="00575EE1" w:rsidP="00575EE1">
      <w:pPr>
        <w:jc w:val="center"/>
        <w:rPr>
          <w:b/>
          <w:bCs/>
          <w:szCs w:val="24"/>
        </w:rPr>
      </w:pPr>
    </w:p>
    <w:p w14:paraId="4960CEFE" w14:textId="032078DD" w:rsidR="006609FB" w:rsidRPr="006609FB" w:rsidRDefault="006609FB" w:rsidP="00A9071B">
      <w:pPr>
        <w:tabs>
          <w:tab w:val="left" w:pos="284"/>
        </w:tabs>
        <w:ind w:firstLine="284"/>
        <w:jc w:val="both"/>
        <w:rPr>
          <w:sz w:val="20"/>
          <w:szCs w:val="24"/>
        </w:rPr>
      </w:pPr>
      <w:r w:rsidRPr="006609FB">
        <w:rPr>
          <w:sz w:val="20"/>
          <w:szCs w:val="24"/>
        </w:rPr>
        <w:t xml:space="preserve">The study on correlation between ESG scores as well as cumulative carbon discharges is pertinent to scholars or practitioners because of increasing demand on businesses to show that they are involved in environmentally friendly procedures [10]. Among numerous CSR metrics which are employed in conjunction with an ESG </w:t>
      </w:r>
      <w:r w:rsidR="00CD2002">
        <w:rPr>
          <w:sz w:val="20"/>
          <w:szCs w:val="24"/>
        </w:rPr>
        <w:t>score</w:t>
      </w:r>
      <w:r w:rsidRPr="006609FB">
        <w:rPr>
          <w:sz w:val="20"/>
          <w:szCs w:val="24"/>
        </w:rPr>
        <w:t xml:space="preserve"> for assessing a business's administration, cultural and ecological sustainability is its handling of carbon [11]. Additionally, data shows that a company's ESG scores are positively correlated with its exceptionally large actions to address ecological problems, such as lowering greenhouse gas emissions or engaging in sustainable practices.</w:t>
      </w:r>
      <w:r>
        <w:rPr>
          <w:sz w:val="20"/>
          <w:szCs w:val="24"/>
        </w:rPr>
        <w:t xml:space="preserve"> </w:t>
      </w:r>
      <w:r w:rsidRPr="006609FB">
        <w:rPr>
          <w:sz w:val="20"/>
          <w:szCs w:val="24"/>
        </w:rPr>
        <w:t>It appears that establishing strong ESG rules in place encourages businesses to use improved carbon management strategies, which lowers overall discharges [12, 13, 14]. This connection is</w:t>
      </w:r>
      <w:r w:rsidR="00CD2002">
        <w:rPr>
          <w:sz w:val="20"/>
          <w:szCs w:val="24"/>
        </w:rPr>
        <w:t xml:space="preserve"> not</w:t>
      </w:r>
      <w:r w:rsidRPr="006609FB">
        <w:rPr>
          <w:sz w:val="20"/>
          <w:szCs w:val="24"/>
        </w:rPr>
        <w:t xml:space="preserve"> so straightforward, though, which is an important point: while numerous enterprises succeed in this industry, several also face difficulties. Numerous factors, including the company's dedication to environmentally friendly goals and accessibility of tangible assets, might be blamed for this discrepancy</w:t>
      </w:r>
      <w:r w:rsidRPr="006609FB">
        <w:rPr>
          <w:szCs w:val="24"/>
        </w:rPr>
        <w:t>.</w:t>
      </w:r>
    </w:p>
    <w:p w14:paraId="7DA0CF28" w14:textId="77777777" w:rsidR="00725861" w:rsidRPr="00575EE1" w:rsidRDefault="00725861" w:rsidP="00575EE1">
      <w:pPr>
        <w:pStyle w:val="Paragraph"/>
      </w:pPr>
    </w:p>
    <w:p w14:paraId="4024EC21" w14:textId="0F7C2E81" w:rsidR="00155B67" w:rsidRPr="00075EA6" w:rsidRDefault="006016DA" w:rsidP="00C1181B">
      <w:pPr>
        <w:pStyle w:val="Heading2"/>
        <w:spacing w:before="0" w:after="0"/>
      </w:pPr>
      <w:r w:rsidRPr="006016DA">
        <w:t>ESG Scores and Corporate Sustainability</w:t>
      </w:r>
      <w:r w:rsidR="0073393A" w:rsidRPr="00075EA6">
        <w:br/>
      </w:r>
    </w:p>
    <w:p w14:paraId="1B683184" w14:textId="1C6ED94D" w:rsidR="006016DA" w:rsidRDefault="006016DA" w:rsidP="006016DA">
      <w:pPr>
        <w:pStyle w:val="Paragraph"/>
      </w:pPr>
      <w:r>
        <w:t xml:space="preserve">The </w:t>
      </w:r>
      <w:r w:rsidR="000B3131">
        <w:t>connection</w:t>
      </w:r>
      <w:r>
        <w:t xml:space="preserve"> </w:t>
      </w:r>
      <w:r w:rsidR="000B3131">
        <w:t>amongst</w:t>
      </w:r>
      <w:r>
        <w:t xml:space="preserve"> </w:t>
      </w:r>
      <w:r w:rsidR="000B3131">
        <w:t>commercial sustainability or</w:t>
      </w:r>
      <w:r>
        <w:t xml:space="preserve"> ESG </w:t>
      </w:r>
      <w:r w:rsidR="000B3131">
        <w:t>enactment</w:t>
      </w:r>
      <w:r>
        <w:t>, particularly in</w:t>
      </w:r>
      <w:r w:rsidR="000B3131">
        <w:t>to</w:t>
      </w:r>
      <w:r>
        <w:t xml:space="preserve"> relation </w:t>
      </w:r>
      <w:r w:rsidR="000B3131">
        <w:t>to carbon emissions became</w:t>
      </w:r>
      <w:r>
        <w:t xml:space="preserve"> </w:t>
      </w:r>
      <w:r w:rsidR="000B3131">
        <w:t>topic</w:t>
      </w:r>
      <w:r>
        <w:t xml:space="preserve"> of </w:t>
      </w:r>
      <w:r w:rsidR="000B3131">
        <w:t xml:space="preserve">various recent </w:t>
      </w:r>
      <w:r w:rsidR="00E94592">
        <w:t>articles</w:t>
      </w:r>
      <w:r>
        <w:t>.  Better environmental performance, especially in lowering carbon footprints, has been a</w:t>
      </w:r>
      <w:r w:rsidR="00E94592">
        <w:t>ssociated with ESG scores that evaluate</w:t>
      </w:r>
      <w:r>
        <w:t xml:space="preserve"> </w:t>
      </w:r>
      <w:r w:rsidR="00E94592">
        <w:t>firm's</w:t>
      </w:r>
      <w:r>
        <w:t xml:space="preserve"> </w:t>
      </w:r>
      <w:r w:rsidR="00E94592">
        <w:t>ecological</w:t>
      </w:r>
      <w:r>
        <w:t xml:space="preserve">, </w:t>
      </w:r>
      <w:r w:rsidR="00E94592">
        <w:t>communal</w:t>
      </w:r>
      <w:r>
        <w:t xml:space="preserve">, and </w:t>
      </w:r>
      <w:r w:rsidR="00E94592">
        <w:t>supremacy</w:t>
      </w:r>
      <w:r>
        <w:t xml:space="preserve"> standards.  Businesses with higher ESG scores exhibit more </w:t>
      </w:r>
      <w:r w:rsidR="00E94592">
        <w:t>operative</w:t>
      </w:r>
      <w:r>
        <w:t xml:space="preserve"> </w:t>
      </w:r>
      <w:r w:rsidR="00E94592">
        <w:t>tactics for reducing</w:t>
      </w:r>
      <w:r>
        <w:t xml:space="preserve"> greenhouse gas </w:t>
      </w:r>
      <w:r w:rsidR="00E94592">
        <w:t>emanations</w:t>
      </w:r>
      <w:r>
        <w:t xml:space="preserve">, </w:t>
      </w:r>
      <w:r w:rsidR="00E94592">
        <w:t>rendering</w:t>
      </w:r>
      <w:r>
        <w:t xml:space="preserve"> to </w:t>
      </w:r>
      <w:r w:rsidR="00A45C16">
        <w:t>[15]</w:t>
      </w:r>
      <w:r>
        <w:t>.  This research indicates that gains in environmental outcomes are positively correlated with corporate governance that prioritizes sustainability.</w:t>
      </w:r>
    </w:p>
    <w:p w14:paraId="07404882" w14:textId="77777777" w:rsidR="006016DA" w:rsidRDefault="006016DA" w:rsidP="006016DA">
      <w:pPr>
        <w:pStyle w:val="Paragraph"/>
      </w:pPr>
    </w:p>
    <w:p w14:paraId="482A5581" w14:textId="7C0D7C6C" w:rsidR="006016DA" w:rsidRDefault="006016DA" w:rsidP="006016DA">
      <w:pPr>
        <w:pStyle w:val="Paragraph"/>
      </w:pPr>
      <w:r>
        <w:t xml:space="preserve">The idea that companies with better ESG scores typically have fewer carbon emissions is supported by a number of research.  In line with investor expectations for ecologically conscious enterprises, these firms generally implement more comprehensive and successful sustainability initiatives </w:t>
      </w:r>
      <w:r w:rsidR="00A45C16">
        <w:t>[16]</w:t>
      </w:r>
      <w:r>
        <w:t>.  But there are still certain difficulties.  According to</w:t>
      </w:r>
      <w:r w:rsidR="00A45C16">
        <w:t xml:space="preserve"> [17]</w:t>
      </w:r>
      <w:r>
        <w:t xml:space="preserve">, disparities in ESG </w:t>
      </w:r>
      <w:r w:rsidR="006B4F14">
        <w:t>score</w:t>
      </w:r>
      <w:r>
        <w:t xml:space="preserve"> amongst agencies can damage the legitimacy of ESG scores and make meaningful comparisons more difficult.  The phenomenon of “greenwashing,” where companies mislead stakeholders about their environmental impact, also complicates the picture </w:t>
      </w:r>
      <w:r w:rsidR="00A45C16">
        <w:t>[18]</w:t>
      </w:r>
      <w:r>
        <w:t>.  These issues underscore the need for standardized reporting frameworks and better measurement systems to assess ESG and carbon emission performance.</w:t>
      </w:r>
      <w:r w:rsidR="00A45C16">
        <w:t xml:space="preserve"> </w:t>
      </w:r>
      <w:r>
        <w:t xml:space="preserve">The literature </w:t>
      </w:r>
      <w:r w:rsidR="00E94592">
        <w:t>recommends</w:t>
      </w:r>
      <w:r>
        <w:t xml:space="preserve"> </w:t>
      </w:r>
      <w:r w:rsidR="00E94592">
        <w:t>robust</w:t>
      </w:r>
      <w:r>
        <w:t xml:space="preserve"> </w:t>
      </w:r>
      <w:r w:rsidR="00E94592">
        <w:t>connection</w:t>
      </w:r>
      <w:r>
        <w:t xml:space="preserve"> </w:t>
      </w:r>
      <w:r w:rsidR="00E94592">
        <w:t>amongst</w:t>
      </w:r>
      <w:r>
        <w:t xml:space="preserve"> higher ESG scores and reduced carbon emissions. However, challenges related to measurement inconsistency and greenwashing highlight the compl</w:t>
      </w:r>
      <w:r w:rsidR="00E94592">
        <w:t>exity of this relationship. It tends forward for</w:t>
      </w:r>
      <w:r>
        <w:t xml:space="preserve"> formulation of the first hypothesis:</w:t>
      </w:r>
    </w:p>
    <w:p w14:paraId="1B1F0B22" w14:textId="77777777" w:rsidR="006016DA" w:rsidRDefault="006016DA" w:rsidP="006016DA">
      <w:pPr>
        <w:pStyle w:val="Paragraph"/>
      </w:pPr>
    </w:p>
    <w:p w14:paraId="6383771E" w14:textId="1049B77F" w:rsidR="00155B67" w:rsidRPr="006016DA" w:rsidRDefault="006016DA" w:rsidP="006016DA">
      <w:pPr>
        <w:pStyle w:val="Paragraph"/>
        <w:ind w:firstLine="0"/>
        <w:rPr>
          <w:i/>
          <w:iCs/>
        </w:rPr>
      </w:pPr>
      <w:r w:rsidRPr="006016DA">
        <w:rPr>
          <w:i/>
          <w:iCs/>
        </w:rPr>
        <w:t xml:space="preserve">Hypothesis 1: Higher ESG </w:t>
      </w:r>
      <w:r w:rsidR="00AA45EA">
        <w:rPr>
          <w:i/>
          <w:iCs/>
        </w:rPr>
        <w:t>scores</w:t>
      </w:r>
      <w:r w:rsidRPr="006016DA">
        <w:rPr>
          <w:i/>
          <w:iCs/>
        </w:rPr>
        <w:t xml:space="preserve"> are </w:t>
      </w:r>
      <w:r w:rsidR="00212A0B" w:rsidRPr="006016DA">
        <w:rPr>
          <w:i/>
          <w:iCs/>
        </w:rPr>
        <w:t>linked</w:t>
      </w:r>
      <w:r w:rsidRPr="006016DA">
        <w:rPr>
          <w:i/>
          <w:iCs/>
        </w:rPr>
        <w:t xml:space="preserve"> with a </w:t>
      </w:r>
      <w:r w:rsidR="00212A0B" w:rsidRPr="006016DA">
        <w:rPr>
          <w:i/>
          <w:iCs/>
        </w:rPr>
        <w:t>markdown</w:t>
      </w:r>
      <w:r w:rsidRPr="006016DA">
        <w:rPr>
          <w:i/>
          <w:iCs/>
        </w:rPr>
        <w:t xml:space="preserve"> in carbon emissions.</w:t>
      </w:r>
      <w:r w:rsidR="00155B67" w:rsidRPr="006016DA">
        <w:rPr>
          <w:i/>
          <w:iCs/>
        </w:rPr>
        <w:t xml:space="preserve"> </w:t>
      </w:r>
    </w:p>
    <w:p w14:paraId="70E930F7" w14:textId="3700FD8B" w:rsidR="006016DA" w:rsidRDefault="006016DA" w:rsidP="003A287B">
      <w:pPr>
        <w:pStyle w:val="Heading2"/>
      </w:pPr>
      <w:r w:rsidRPr="006016DA">
        <w:t xml:space="preserve">Gender </w:t>
      </w:r>
      <w:r w:rsidR="00212A0B" w:rsidRPr="006016DA">
        <w:t>Assortment</w:t>
      </w:r>
      <w:r w:rsidRPr="006016DA">
        <w:t xml:space="preserve"> on Boards and ESG </w:t>
      </w:r>
      <w:r w:rsidR="00212A0B" w:rsidRPr="006016DA">
        <w:t>Enactment</w:t>
      </w:r>
    </w:p>
    <w:p w14:paraId="5C7DC9C2" w14:textId="1183982B" w:rsidR="006016DA" w:rsidRDefault="00212A0B" w:rsidP="006016DA">
      <w:pPr>
        <w:pStyle w:val="Paragraph"/>
      </w:pPr>
      <w:r>
        <w:t xml:space="preserve">Various </w:t>
      </w:r>
      <w:r w:rsidR="005C777F">
        <w:t>researchers</w:t>
      </w:r>
      <w:r>
        <w:t xml:space="preserve"> </w:t>
      </w:r>
      <w:r w:rsidR="006016DA">
        <w:t xml:space="preserve">found that boards with more women tend to make better decisions regarding environmental sustainability. </w:t>
      </w:r>
      <w:r w:rsidR="00A45C16">
        <w:t>[</w:t>
      </w:r>
      <w:r w:rsidR="00B4637A">
        <w:t>7</w:t>
      </w:r>
      <w:r w:rsidR="00A45C16">
        <w:t>]</w:t>
      </w:r>
      <w:r w:rsidR="006016DA">
        <w:t xml:space="preserve"> shows that companies with more female representation on boards achieve better ESG scores, particularly in environmental dimensions. This can be attributed to women’s leadership styles, which often prioritize lo</w:t>
      </w:r>
      <w:r>
        <w:t>ng-term sustainability goals or</w:t>
      </w:r>
      <w:r w:rsidR="006016DA">
        <w:t xml:space="preserve"> </w:t>
      </w:r>
      <w:r>
        <w:t>moral</w:t>
      </w:r>
      <w:r w:rsidR="006016DA">
        <w:t xml:space="preserve"> decision-making, including reducing carbon emissions. Moreover, </w:t>
      </w:r>
      <w:r w:rsidR="00A45C16">
        <w:t>[16]</w:t>
      </w:r>
      <w:r w:rsidR="006016DA">
        <w:t xml:space="preserve"> argues that firms with female b</w:t>
      </w:r>
      <w:r w:rsidR="00D21810">
        <w:t xml:space="preserve">oard members going for </w:t>
      </w:r>
      <w:r w:rsidR="006016DA">
        <w:t>implement</w:t>
      </w:r>
      <w:r w:rsidR="00D21810">
        <w:t>ing</w:t>
      </w:r>
      <w:r w:rsidR="006016DA">
        <w:t xml:space="preserve"> </w:t>
      </w:r>
      <w:r w:rsidR="00D21810">
        <w:t>practical</w:t>
      </w:r>
      <w:r w:rsidR="006016DA">
        <w:t xml:space="preserve"> </w:t>
      </w:r>
      <w:r w:rsidR="00D21810">
        <w:t>ecological policies which</w:t>
      </w:r>
      <w:r w:rsidR="006016DA">
        <w:t xml:space="preserve"> </w:t>
      </w:r>
      <w:r w:rsidR="00D21810">
        <w:t>lessen carbon footprints. It aligns with</w:t>
      </w:r>
      <w:r w:rsidR="006016DA">
        <w:t xml:space="preserve"> broader trend that gender-diverse </w:t>
      </w:r>
      <w:r w:rsidR="00D21810">
        <w:t>rations</w:t>
      </w:r>
      <w:r w:rsidR="006016DA">
        <w:t xml:space="preserve"> </w:t>
      </w:r>
      <w:r w:rsidR="00D21810">
        <w:t>have a tendency to</w:t>
      </w:r>
      <w:r w:rsidR="006016DA">
        <w:t xml:space="preserve"> to foster more responsible environmental practices. The </w:t>
      </w:r>
      <w:r w:rsidR="00CC1E0F">
        <w:t>existence</w:t>
      </w:r>
      <w:r w:rsidR="006016DA">
        <w:t xml:space="preserve"> of </w:t>
      </w:r>
      <w:r w:rsidR="00CC1E0F">
        <w:t>females</w:t>
      </w:r>
      <w:r w:rsidR="006016DA">
        <w:t xml:space="preserve"> on</w:t>
      </w:r>
      <w:r w:rsidR="00CC1E0F">
        <w:t>to</w:t>
      </w:r>
      <w:r w:rsidR="006016DA">
        <w:t xml:space="preserve"> </w:t>
      </w:r>
      <w:r w:rsidR="00CC1E0F">
        <w:t>commercial</w:t>
      </w:r>
      <w:r w:rsidR="006016DA">
        <w:t xml:space="preserve"> </w:t>
      </w:r>
      <w:r w:rsidR="00CC1E0F">
        <w:t>rations</w:t>
      </w:r>
      <w:r w:rsidR="006016DA">
        <w:t xml:space="preserve"> is also </w:t>
      </w:r>
      <w:r w:rsidR="00CC1E0F">
        <w:t>connected</w:t>
      </w:r>
      <w:r w:rsidR="006016DA">
        <w:t xml:space="preserve"> with a more robust commitment to sustaina</w:t>
      </w:r>
      <w:r w:rsidR="00CC1E0F">
        <w:t>bility, as women are going</w:t>
      </w:r>
      <w:r w:rsidR="006016DA">
        <w:t xml:space="preserve"> to challenge traditional decision-making patterns and push for policies that align with sustainable business practices.</w:t>
      </w:r>
    </w:p>
    <w:p w14:paraId="60B1F0CA" w14:textId="77777777" w:rsidR="006016DA" w:rsidRDefault="006016DA" w:rsidP="006016DA">
      <w:pPr>
        <w:pStyle w:val="Paragraph"/>
      </w:pPr>
    </w:p>
    <w:p w14:paraId="256F6301" w14:textId="09B164AC" w:rsidR="006016DA" w:rsidRDefault="006016DA" w:rsidP="006016DA">
      <w:pPr>
        <w:pStyle w:val="Paragraph"/>
      </w:pPr>
      <w:r>
        <w:lastRenderedPageBreak/>
        <w:t xml:space="preserve">The literature </w:t>
      </w:r>
      <w:r w:rsidR="00AE10F0">
        <w:t>designates</w:t>
      </w:r>
      <w:r>
        <w:t xml:space="preserve"> that gender </w:t>
      </w:r>
      <w:r w:rsidR="00AE10F0">
        <w:t>assortment</w:t>
      </w:r>
      <w:r>
        <w:t xml:space="preserve"> on </w:t>
      </w:r>
      <w:r w:rsidR="00AE10F0">
        <w:t>rations</w:t>
      </w:r>
      <w:r>
        <w:t xml:space="preserve"> can positively impact ESG scores and environmental outcomes, particularly carbon emissions. However, the strength of this relationship is influenced by </w:t>
      </w:r>
      <w:r w:rsidR="00AE10F0">
        <w:t>appropriate</w:t>
      </w:r>
      <w:r>
        <w:t xml:space="preserve"> </w:t>
      </w:r>
      <w:r w:rsidR="00AE10F0">
        <w:t>features including</w:t>
      </w:r>
      <w:r>
        <w:t xml:space="preserve"> industry </w:t>
      </w:r>
      <w:r w:rsidR="00AE10F0">
        <w:t>standards or</w:t>
      </w:r>
      <w:r>
        <w:t xml:space="preserve"> regional </w:t>
      </w:r>
      <w:r w:rsidR="00AE10F0">
        <w:t>guidelines</w:t>
      </w:r>
      <w:r>
        <w:t xml:space="preserve">. </w:t>
      </w:r>
      <w:r w:rsidR="00AE10F0">
        <w:t>Based on such</w:t>
      </w:r>
      <w:r>
        <w:t xml:space="preserve"> findings, the second </w:t>
      </w:r>
      <w:r w:rsidR="00AE10F0">
        <w:t>theory</w:t>
      </w:r>
      <w:r>
        <w:t xml:space="preserve"> is </w:t>
      </w:r>
      <w:r w:rsidR="00AE10F0">
        <w:t>projected</w:t>
      </w:r>
      <w:r>
        <w:t>:</w:t>
      </w:r>
    </w:p>
    <w:p w14:paraId="3D35ED3D" w14:textId="77777777" w:rsidR="006016DA" w:rsidRDefault="006016DA" w:rsidP="006016DA">
      <w:pPr>
        <w:pStyle w:val="Paragraph"/>
      </w:pPr>
    </w:p>
    <w:p w14:paraId="58DB08C3" w14:textId="177898AD" w:rsidR="006016DA" w:rsidRDefault="006016DA" w:rsidP="006016DA">
      <w:pPr>
        <w:pStyle w:val="Paragraph"/>
        <w:ind w:firstLine="0"/>
      </w:pPr>
      <w:r w:rsidRPr="006016DA">
        <w:rPr>
          <w:i/>
          <w:iCs/>
        </w:rPr>
        <w:t xml:space="preserve">Hypothesis 2: A larger negative </w:t>
      </w:r>
      <w:r w:rsidR="00AE10F0" w:rsidRPr="006016DA">
        <w:rPr>
          <w:i/>
          <w:iCs/>
        </w:rPr>
        <w:t>association</w:t>
      </w:r>
      <w:r w:rsidRPr="006016DA">
        <w:rPr>
          <w:i/>
          <w:iCs/>
        </w:rPr>
        <w:t xml:space="preserve"> </w:t>
      </w:r>
      <w:r w:rsidR="00AE10F0" w:rsidRPr="006016DA">
        <w:rPr>
          <w:i/>
          <w:iCs/>
        </w:rPr>
        <w:t>among</w:t>
      </w:r>
      <w:r w:rsidR="00AE10F0">
        <w:rPr>
          <w:i/>
          <w:iCs/>
        </w:rPr>
        <w:t xml:space="preserve"> ESG performance or </w:t>
      </w:r>
      <w:r w:rsidRPr="006016DA">
        <w:rPr>
          <w:i/>
          <w:iCs/>
        </w:rPr>
        <w:t xml:space="preserve">carbon emissions results from the inclusion of </w:t>
      </w:r>
      <w:r w:rsidR="00AE10F0" w:rsidRPr="006016DA">
        <w:rPr>
          <w:i/>
          <w:iCs/>
        </w:rPr>
        <w:t>females</w:t>
      </w:r>
      <w:r w:rsidRPr="006016DA">
        <w:rPr>
          <w:i/>
          <w:iCs/>
        </w:rPr>
        <w:t xml:space="preserve"> on</w:t>
      </w:r>
      <w:r w:rsidR="00AE10F0">
        <w:rPr>
          <w:i/>
          <w:iCs/>
        </w:rPr>
        <w:t>to</w:t>
      </w:r>
      <w:r w:rsidRPr="006016DA">
        <w:rPr>
          <w:i/>
          <w:iCs/>
        </w:rPr>
        <w:t xml:space="preserve"> corporate </w:t>
      </w:r>
      <w:r w:rsidR="00AE10F0" w:rsidRPr="006016DA">
        <w:rPr>
          <w:i/>
          <w:iCs/>
        </w:rPr>
        <w:t>panels</w:t>
      </w:r>
      <w:r w:rsidR="00AE10F0">
        <w:rPr>
          <w:i/>
          <w:iCs/>
        </w:rPr>
        <w:t>, which moderates</w:t>
      </w:r>
      <w:r w:rsidRPr="006016DA">
        <w:rPr>
          <w:i/>
          <w:iCs/>
        </w:rPr>
        <w:t xml:space="preserve"> association </w:t>
      </w:r>
      <w:r w:rsidR="00AE10F0" w:rsidRPr="006016DA">
        <w:rPr>
          <w:i/>
          <w:iCs/>
        </w:rPr>
        <w:t>among</w:t>
      </w:r>
      <w:r w:rsidRPr="006016DA">
        <w:rPr>
          <w:i/>
          <w:iCs/>
        </w:rPr>
        <w:t xml:space="preserve"> ESG </w:t>
      </w:r>
      <w:r w:rsidR="006B4F14">
        <w:rPr>
          <w:i/>
          <w:iCs/>
        </w:rPr>
        <w:t>score</w:t>
      </w:r>
      <w:r w:rsidR="00AE10F0">
        <w:rPr>
          <w:i/>
          <w:iCs/>
        </w:rPr>
        <w:t xml:space="preserve"> or</w:t>
      </w:r>
      <w:r w:rsidRPr="006016DA">
        <w:rPr>
          <w:i/>
          <w:iCs/>
        </w:rPr>
        <w:t xml:space="preserve"> carbon emissions</w:t>
      </w:r>
      <w:r>
        <w:t>.</w:t>
      </w:r>
    </w:p>
    <w:p w14:paraId="5F1C4496" w14:textId="475EDC45" w:rsidR="004C4595" w:rsidRDefault="004C4595" w:rsidP="00A646B3">
      <w:pPr>
        <w:pStyle w:val="Heading1"/>
      </w:pPr>
      <w:r w:rsidRPr="004C4595">
        <w:rPr>
          <w:caps w:val="0"/>
        </w:rPr>
        <w:t xml:space="preserve">Data Analytics </w:t>
      </w:r>
      <w:r>
        <w:rPr>
          <w:caps w:val="0"/>
        </w:rPr>
        <w:t>i</w:t>
      </w:r>
      <w:r w:rsidRPr="004C4595">
        <w:rPr>
          <w:caps w:val="0"/>
        </w:rPr>
        <w:t>n E</w:t>
      </w:r>
      <w:r>
        <w:rPr>
          <w:caps w:val="0"/>
        </w:rPr>
        <w:t>SG</w:t>
      </w:r>
      <w:r w:rsidRPr="004C4595">
        <w:rPr>
          <w:caps w:val="0"/>
        </w:rPr>
        <w:t xml:space="preserve"> Research</w:t>
      </w:r>
    </w:p>
    <w:p w14:paraId="35E65C4B" w14:textId="4EFAAD62" w:rsidR="004C4595" w:rsidRDefault="004C4595" w:rsidP="004C4595">
      <w:pPr>
        <w:pStyle w:val="Paragraph"/>
      </w:pPr>
      <w:r>
        <w:t xml:space="preserve">Recent advances in data analytics particularly in the domains of machine </w:t>
      </w:r>
      <w:r w:rsidR="002C15FC">
        <w:t>knowledge</w:t>
      </w:r>
      <w:r>
        <w:t xml:space="preserve"> (ML), </w:t>
      </w:r>
      <w:r w:rsidR="002C15FC">
        <w:t>normal</w:t>
      </w:r>
      <w:r>
        <w:t xml:space="preserve"> </w:t>
      </w:r>
      <w:r w:rsidR="002C15FC">
        <w:t>linguistic</w:t>
      </w:r>
      <w:r>
        <w:t xml:space="preserve"> processing (NLP), and </w:t>
      </w:r>
      <w:r w:rsidR="002C15FC">
        <w:t>prognostic</w:t>
      </w:r>
      <w:r>
        <w:t xml:space="preserve"> </w:t>
      </w:r>
      <w:r w:rsidR="002C15FC">
        <w:t>demonstrating</w:t>
      </w:r>
      <w:r>
        <w:t xml:space="preserve"> </w:t>
      </w:r>
      <w:r w:rsidR="002C15FC">
        <w:t xml:space="preserve">have significantly expanded </w:t>
      </w:r>
      <w:r>
        <w:t>capabilities of ESG (Environmental, Social, and Governance) research. These advanced techniques en</w:t>
      </w:r>
      <w:r w:rsidR="002C15FC">
        <w:t>able researchers and analysts for</w:t>
      </w:r>
      <w:r>
        <w:t xml:space="preserve"> process</w:t>
      </w:r>
      <w:r w:rsidR="002C15FC">
        <w:t>ing high</w:t>
      </w:r>
      <w:r>
        <w:t xml:space="preserve"> </w:t>
      </w:r>
      <w:r w:rsidR="002C15FC">
        <w:t>dimensions</w:t>
      </w:r>
      <w:r>
        <w:t xml:space="preserve"> of structured and unstructured ESG-related </w:t>
      </w:r>
      <w:r w:rsidR="002C15FC">
        <w:t>records</w:t>
      </w:r>
      <w:r>
        <w:t>, such as sustainability reports, social media content, and financial disclosures, to uncover latent patterns, trends, and correlations that were previously difficult to detect using traditional statistical approaches.</w:t>
      </w:r>
    </w:p>
    <w:p w14:paraId="616F7CA4" w14:textId="77777777" w:rsidR="004C4595" w:rsidRDefault="004C4595" w:rsidP="004C4595">
      <w:pPr>
        <w:pStyle w:val="Paragraph"/>
      </w:pPr>
    </w:p>
    <w:p w14:paraId="1B45A0D4" w14:textId="51EA111B" w:rsidR="004C4595" w:rsidRDefault="004C4595" w:rsidP="004C4595">
      <w:pPr>
        <w:pStyle w:val="Paragraph"/>
      </w:pPr>
      <w:r>
        <w:t xml:space="preserve">Machine learning </w:t>
      </w:r>
      <w:r w:rsidR="002C15FC">
        <w:t>prototypes, including arbitrary</w:t>
      </w:r>
      <w:r>
        <w:t xml:space="preserve"> forests, </w:t>
      </w:r>
      <w:r w:rsidR="002C15FC">
        <w:t>sustenance</w:t>
      </w:r>
      <w:r>
        <w:t xml:space="preserve"> </w:t>
      </w:r>
      <w:r w:rsidR="002C15FC">
        <w:t>trajectory</w:t>
      </w:r>
      <w:r>
        <w:t xml:space="preserve"> </w:t>
      </w:r>
      <w:r w:rsidR="002C15FC">
        <w:t>apparatuses</w:t>
      </w:r>
      <w:r>
        <w:t xml:space="preserve">, and deep learning neural </w:t>
      </w:r>
      <w:r w:rsidR="002C15FC">
        <w:t>setups</w:t>
      </w:r>
      <w:r>
        <w:t>, are no</w:t>
      </w:r>
      <w:r w:rsidR="002C15FC">
        <w:t>w being utilized for</w:t>
      </w:r>
      <w:r>
        <w:t xml:space="preserve"> classify ESG performance, predict ESG scores, or flag potential instances of greenwashing. Predictive modeling, in particular, enables the forecasting of ESG risks or performance outcomes based on historical and real-time indicators, facilitating forward-looking investment strategies and risk management </w:t>
      </w:r>
      <w:r w:rsidR="00A45C16">
        <w:t>[</w:t>
      </w:r>
      <w:r w:rsidR="008E6F01">
        <w:t>19</w:t>
      </w:r>
      <w:r w:rsidR="00A45C16">
        <w:t>]</w:t>
      </w:r>
      <w:r>
        <w:t xml:space="preserve">. Furthermore, NLP techniques are being used to extract sentiment and evaluate the transparency and tone of sustainability disclosures, offering qualitative depth to ESG assessments </w:t>
      </w:r>
      <w:r w:rsidR="00A45C16">
        <w:t>[2</w:t>
      </w:r>
      <w:r w:rsidR="008E6F01">
        <w:t>0</w:t>
      </w:r>
      <w:r w:rsidR="00A45C16">
        <w:t>].</w:t>
      </w:r>
      <w:r>
        <w:t xml:space="preserve"> These analytical tools provide a more granular and dynamic understanding of ESG factors, especially when dealing with complex, high-dimensional, or time-variant datasets, as commonly encountered in ESG reporting across different sectors and regions. In summary, the integration of advanced data analytics into ESG research has shifted the paradigm from static, backward-looking evaluations to dynamic, real-time, and predictive analytics, thereby enhancing the decision-making capacity of investors, regulators, and corporate strategists.</w:t>
      </w:r>
    </w:p>
    <w:p w14:paraId="4401B588" w14:textId="77777777" w:rsidR="004C4595" w:rsidRDefault="004C4595" w:rsidP="004C4595">
      <w:pPr>
        <w:pStyle w:val="Paragraph"/>
      </w:pPr>
    </w:p>
    <w:p w14:paraId="530E6BD2" w14:textId="30FF7E63" w:rsidR="00BA3B3D" w:rsidRPr="00075EA6" w:rsidRDefault="004C4595" w:rsidP="00C1181B">
      <w:pPr>
        <w:pStyle w:val="Heading2"/>
        <w:spacing w:before="0" w:after="0"/>
      </w:pPr>
      <w:r w:rsidRPr="004C4595">
        <w:t>RESEARCH DESIGN</w:t>
      </w:r>
      <w:r w:rsidR="001146DC" w:rsidRPr="00075EA6">
        <w:br/>
      </w:r>
    </w:p>
    <w:p w14:paraId="6B4B485B" w14:textId="522446F8" w:rsidR="00BA3B3D" w:rsidRPr="00075EA6" w:rsidRDefault="004C4595" w:rsidP="00BA3B3D">
      <w:pPr>
        <w:pStyle w:val="Paragraph"/>
      </w:pPr>
      <w:r w:rsidRPr="004C4595">
        <w:t>Data was collected from 150 publicly listed companies in Malaysia and Indonesia (75 from each) over a five-year period (2018–2023).</w:t>
      </w:r>
      <w:r w:rsidR="00EF6BE8">
        <w:t xml:space="preserve"> </w:t>
      </w:r>
      <w:r w:rsidRPr="004C4595">
        <w:t>Non-financial firms are more relevant for this investigation because they engage in carbon-</w:t>
      </w:r>
      <w:r w:rsidR="002C15FC">
        <w:t>intensive activities, allowing</w:t>
      </w:r>
      <w:r w:rsidRPr="004C4595">
        <w:t xml:space="preserve"> </w:t>
      </w:r>
      <w:r w:rsidR="002C15FC" w:rsidRPr="004C4595">
        <w:t>purer</w:t>
      </w:r>
      <w:r w:rsidR="002C15FC">
        <w:t xml:space="preserve"> analysis of</w:t>
      </w:r>
      <w:r w:rsidRPr="004C4595">
        <w:t xml:space="preserve"> </w:t>
      </w:r>
      <w:r w:rsidR="002C15FC" w:rsidRPr="004C4595">
        <w:t>associations</w:t>
      </w:r>
      <w:r w:rsidRPr="004C4595">
        <w:t xml:space="preserve"> </w:t>
      </w:r>
      <w:r w:rsidR="002C15FC" w:rsidRPr="004C4595">
        <w:t>among</w:t>
      </w:r>
      <w:r w:rsidRPr="004C4595">
        <w:t xml:space="preserve"> E</w:t>
      </w:r>
      <w:r w:rsidR="002C15FC">
        <w:t>SG scores, carbon emissions, or</w:t>
      </w:r>
      <w:r w:rsidRPr="004C4595">
        <w:t xml:space="preserve"> women’s moderating role on boards. </w:t>
      </w:r>
    </w:p>
    <w:p w14:paraId="5BD6CB3C" w14:textId="77777777" w:rsidR="004C4595" w:rsidRDefault="004C4595" w:rsidP="00BA3B3D">
      <w:pPr>
        <w:pStyle w:val="Paragraph"/>
      </w:pPr>
    </w:p>
    <w:p w14:paraId="4223A892" w14:textId="5CB661E7" w:rsidR="00BA3B3D" w:rsidRPr="004C4595" w:rsidRDefault="004C4595" w:rsidP="004C4595">
      <w:pPr>
        <w:pStyle w:val="Paragraph"/>
        <w:jc w:val="center"/>
        <w:rPr>
          <w:b/>
          <w:bCs/>
          <w:sz w:val="24"/>
          <w:szCs w:val="24"/>
        </w:rPr>
      </w:pPr>
      <w:r w:rsidRPr="004C4595">
        <w:rPr>
          <w:b/>
          <w:bCs/>
          <w:sz w:val="24"/>
          <w:szCs w:val="24"/>
        </w:rPr>
        <w:t>Analytical Technique</w:t>
      </w:r>
    </w:p>
    <w:p w14:paraId="4CE07E2D" w14:textId="77777777" w:rsidR="00BA3B3D" w:rsidRPr="004C4595" w:rsidRDefault="00BA3B3D" w:rsidP="004C4595">
      <w:pPr>
        <w:pStyle w:val="Paragraph"/>
        <w:jc w:val="center"/>
        <w:rPr>
          <w:b/>
          <w:bCs/>
          <w:sz w:val="24"/>
          <w:szCs w:val="24"/>
        </w:rPr>
      </w:pPr>
    </w:p>
    <w:p w14:paraId="65F67575" w14:textId="22A4A316" w:rsidR="004C4595" w:rsidRDefault="002C15FC" w:rsidP="00075EA6">
      <w:pPr>
        <w:pStyle w:val="Paragraph"/>
      </w:pPr>
      <w:r>
        <w:t>To explore</w:t>
      </w:r>
      <w:r w:rsidR="004C4595" w:rsidRPr="004C4595">
        <w:t xml:space="preserve"> </w:t>
      </w:r>
      <w:r w:rsidRPr="004C4595">
        <w:t>association</w:t>
      </w:r>
      <w:r w:rsidR="004C4595" w:rsidRPr="004C4595">
        <w:t xml:space="preserve"> </w:t>
      </w:r>
      <w:r w:rsidRPr="004C4595">
        <w:t>amongst</w:t>
      </w:r>
      <w:r w:rsidR="004C4595" w:rsidRPr="004C4595">
        <w:t xml:space="preserve"> gender diversity, ESG </w:t>
      </w:r>
      <w:r w:rsidRPr="004C4595">
        <w:t>notches</w:t>
      </w:r>
      <w:r>
        <w:t xml:space="preserve">, or </w:t>
      </w:r>
      <w:r w:rsidR="004C4595" w:rsidRPr="004C4595">
        <w:t xml:space="preserve">carbon </w:t>
      </w:r>
      <w:r w:rsidRPr="004C4595">
        <w:t>productions</w:t>
      </w:r>
      <w:r w:rsidR="004C4595" w:rsidRPr="004C4595">
        <w:t xml:space="preserve">, a range of analytical techniques are employed to derive both descriptive and inferential insights. Descriptive analytics, such as the calculation of mean, median, and </w:t>
      </w:r>
      <w:r w:rsidRPr="004C4595">
        <w:t>normal</w:t>
      </w:r>
      <w:r w:rsidR="004C4595" w:rsidRPr="004C4595">
        <w:t xml:space="preserve"> </w:t>
      </w:r>
      <w:r w:rsidRPr="004C4595">
        <w:t>eccentricity</w:t>
      </w:r>
      <w:r w:rsidR="004C4595" w:rsidRPr="004C4595">
        <w:t xml:space="preserve">, are used to </w:t>
      </w:r>
      <w:r w:rsidRPr="004C4595">
        <w:t>recapitulate</w:t>
      </w:r>
      <w:r w:rsidR="004C4595" w:rsidRPr="004C4595">
        <w:t xml:space="preserve"> the </w:t>
      </w:r>
      <w:r w:rsidRPr="004C4595">
        <w:t>essential</w:t>
      </w:r>
      <w:r w:rsidR="004C4595" w:rsidRPr="004C4595">
        <w:t xml:space="preserve"> </w:t>
      </w:r>
      <w:r w:rsidRPr="004C4595">
        <w:t>propensities</w:t>
      </w:r>
      <w:r w:rsidR="004C4595" w:rsidRPr="004C4595">
        <w:t xml:space="preserve"> and </w:t>
      </w:r>
      <w:r w:rsidRPr="004C4595">
        <w:t>erraticism</w:t>
      </w:r>
      <w:r w:rsidR="004C4595" w:rsidRPr="004C4595">
        <w:t xml:space="preserve"> of </w:t>
      </w:r>
      <w:r w:rsidRPr="004C4595">
        <w:t>important</w:t>
      </w:r>
      <w:r>
        <w:t xml:space="preserve"> number</w:t>
      </w:r>
      <w:r w:rsidR="004C4595" w:rsidRPr="004C4595">
        <w:t xml:space="preserve">s, </w:t>
      </w:r>
      <w:r w:rsidRPr="004C4595">
        <w:t>counting</w:t>
      </w:r>
      <w:r w:rsidR="004C4595" w:rsidRPr="004C4595">
        <w:t xml:space="preserve"> ESG scores, board gender composition, and carbon emissions across the sample. To complement traditional regression techniques, predictive modeling approaches such as Random Forest </w:t>
      </w:r>
      <w:r w:rsidR="00383875">
        <w:t xml:space="preserve">is </w:t>
      </w:r>
      <w:r w:rsidR="004C4595" w:rsidRPr="004C4595">
        <w:t>employed to forecast carbon emission levels based on a range of ESG indicators and board composition metrics. These ensemble methods are well-suited for handling complex, non-linear relationships and large datasets. Additionally, clustering techniques, particularly K-means clustering, are</w:t>
      </w:r>
      <w:r w:rsidR="00EF6BE8">
        <w:t xml:space="preserve"> </w:t>
      </w:r>
      <w:r w:rsidR="004C4595" w:rsidRPr="004C4595">
        <w:t>used to segment companies into distinct groups based on their ESG performance and gender diversity profiles, facilitating a deeper understanding of underlying patterns. The analyses were conducted using advanced statistical and data visualization tools, including Python, R, and Tableau, which provide robust support for machine learning, regression modeling, and interactive dashboards, respectively.</w:t>
      </w:r>
    </w:p>
    <w:p w14:paraId="4769E36E" w14:textId="77777777" w:rsidR="004C4595" w:rsidRDefault="004C4595" w:rsidP="00075EA6">
      <w:pPr>
        <w:pStyle w:val="Paragraph"/>
      </w:pPr>
    </w:p>
    <w:p w14:paraId="42D9B5D8" w14:textId="77B50A73" w:rsidR="004C4595" w:rsidRPr="004C4595" w:rsidRDefault="004C4595" w:rsidP="004C4595">
      <w:pPr>
        <w:pStyle w:val="Paragraph"/>
        <w:jc w:val="center"/>
        <w:rPr>
          <w:b/>
          <w:bCs/>
          <w:sz w:val="24"/>
          <w:szCs w:val="24"/>
        </w:rPr>
      </w:pPr>
      <w:r w:rsidRPr="004C4595">
        <w:rPr>
          <w:b/>
          <w:bCs/>
          <w:sz w:val="24"/>
          <w:szCs w:val="24"/>
        </w:rPr>
        <w:t xml:space="preserve">Model </w:t>
      </w:r>
      <w:r w:rsidR="00585258" w:rsidRPr="004C4595">
        <w:rPr>
          <w:b/>
          <w:bCs/>
          <w:sz w:val="24"/>
          <w:szCs w:val="24"/>
        </w:rPr>
        <w:t>Measurement</w:t>
      </w:r>
    </w:p>
    <w:p w14:paraId="0790D87E" w14:textId="5DA81CB7" w:rsidR="000B0661" w:rsidRDefault="0071131D" w:rsidP="0042697D">
      <w:pPr>
        <w:spacing w:after="240"/>
        <w:jc w:val="both"/>
        <w:rPr>
          <w:sz w:val="20"/>
          <w:szCs w:val="24"/>
        </w:rPr>
      </w:pPr>
      <w:r w:rsidRPr="0071131D">
        <w:rPr>
          <w:sz w:val="20"/>
          <w:szCs w:val="24"/>
        </w:rPr>
        <w:t>The purpose of this study is to examine how ESG scores affect corporate carbon emissions. Following the procedures used in similar studies [2</w:t>
      </w:r>
      <w:r w:rsidR="008E6F01">
        <w:rPr>
          <w:sz w:val="20"/>
          <w:szCs w:val="24"/>
        </w:rPr>
        <w:t>1</w:t>
      </w:r>
      <w:r w:rsidRPr="0071131D">
        <w:rPr>
          <w:sz w:val="20"/>
          <w:szCs w:val="24"/>
        </w:rPr>
        <w:t xml:space="preserve">], we developed the following basic regression model: </w:t>
      </w:r>
    </w:p>
    <w:p w14:paraId="466EF866" w14:textId="4BDBB4DA" w:rsidR="004C4595" w:rsidRPr="0042697D" w:rsidRDefault="004C4595" w:rsidP="0042697D">
      <w:pPr>
        <w:spacing w:after="240"/>
        <w:jc w:val="both"/>
        <w:rPr>
          <w:sz w:val="20"/>
        </w:rPr>
      </w:pPr>
      <w:r w:rsidRPr="0042697D">
        <w:rPr>
          <w:sz w:val="20"/>
        </w:rPr>
        <w:t>CARBONi,t = α</w:t>
      </w:r>
      <w:r w:rsidRPr="0042697D">
        <w:rPr>
          <w:rFonts w:ascii="Cambria Math" w:hAnsi="Cambria Math" w:cs="Cambria Math"/>
          <w:sz w:val="20"/>
        </w:rPr>
        <w:t>𝑖</w:t>
      </w:r>
      <w:r w:rsidRPr="0042697D">
        <w:rPr>
          <w:sz w:val="20"/>
        </w:rPr>
        <w:t xml:space="preserve"> + β1ESGSCOREi,t + β2SIZE i,t + β3LEVERAGEi,t + </w:t>
      </w:r>
      <w:r w:rsidRPr="0042697D">
        <w:rPr>
          <w:rFonts w:ascii="Cambria Math" w:hAnsi="Cambria Math" w:cs="Cambria Math"/>
          <w:sz w:val="20"/>
        </w:rPr>
        <w:t>𝜀𝑖</w:t>
      </w:r>
      <w:r w:rsidRPr="0042697D">
        <w:rPr>
          <w:sz w:val="20"/>
        </w:rPr>
        <w:t>,t  (1)</w:t>
      </w:r>
    </w:p>
    <w:p w14:paraId="200D6020" w14:textId="77777777" w:rsidR="0050417F" w:rsidRDefault="0050417F" w:rsidP="004C4595">
      <w:pPr>
        <w:pStyle w:val="Paragraph"/>
      </w:pPr>
    </w:p>
    <w:p w14:paraId="150D9DA7" w14:textId="44218B9F" w:rsidR="0050417F" w:rsidRPr="0050417F" w:rsidRDefault="0050417F" w:rsidP="004462F2">
      <w:pPr>
        <w:jc w:val="both"/>
        <w:rPr>
          <w:sz w:val="20"/>
          <w:szCs w:val="24"/>
        </w:rPr>
      </w:pPr>
      <w:r w:rsidRPr="0050417F">
        <w:rPr>
          <w:sz w:val="20"/>
        </w:rPr>
        <w:t>Where</w:t>
      </w:r>
      <w:r w:rsidRPr="0050417F">
        <w:rPr>
          <w:sz w:val="20"/>
          <w:szCs w:val="24"/>
        </w:rPr>
        <w:t xml:space="preserve"> the amount of carbon output is indicated by CARBONi,t. According to personal information in communal, economical, and governance pillars, company's overall score is known as ESGSCOREi (Refinitiv Eikon database). LEVERAGEi,t represents total debt divided by sum of all assets, and SIZEi,t is business size as determined by logarithmic conversion of total assets. However, the error term is </w:t>
      </w:r>
      <w:r w:rsidRPr="0050417F">
        <w:rPr>
          <w:rFonts w:ascii="Cambria Math" w:hAnsi="Cambria Math" w:cs="Cambria Math"/>
          <w:sz w:val="20"/>
          <w:szCs w:val="24"/>
        </w:rPr>
        <w:t>𝜀𝑖</w:t>
      </w:r>
      <w:r w:rsidRPr="0050417F">
        <w:rPr>
          <w:sz w:val="20"/>
          <w:szCs w:val="24"/>
        </w:rPr>
        <w:t>.</w:t>
      </w:r>
    </w:p>
    <w:p w14:paraId="2A3C4BE7" w14:textId="3C2D7462" w:rsidR="004C4595" w:rsidRDefault="004C4595" w:rsidP="004C4595">
      <w:pPr>
        <w:pStyle w:val="Paragraph"/>
      </w:pPr>
    </w:p>
    <w:p w14:paraId="6AC76819" w14:textId="77777777" w:rsidR="004C4595" w:rsidRDefault="004C4595" w:rsidP="004C4595">
      <w:pPr>
        <w:pStyle w:val="Paragraph"/>
      </w:pPr>
      <w:r>
        <w:t xml:space="preserve">To test second hypothesis (H2), this study employs a moderation effect of women on board. The model to test H2 is as follows: </w:t>
      </w:r>
    </w:p>
    <w:p w14:paraId="7EF17F6A" w14:textId="77777777" w:rsidR="004C4595" w:rsidRDefault="004C4595" w:rsidP="004C4595">
      <w:pPr>
        <w:pStyle w:val="Paragraph"/>
      </w:pPr>
    </w:p>
    <w:p w14:paraId="11B1FAEC" w14:textId="77777777" w:rsidR="004C4595" w:rsidRDefault="004C4595" w:rsidP="004C4595">
      <w:pPr>
        <w:pStyle w:val="Paragraph"/>
      </w:pPr>
      <w:r>
        <w:t>CARBONi,t = α</w:t>
      </w:r>
      <w:r>
        <w:rPr>
          <w:rFonts w:ascii="Cambria Math" w:hAnsi="Cambria Math" w:cs="Cambria Math"/>
        </w:rPr>
        <w:t>𝑖</w:t>
      </w:r>
      <w:r>
        <w:t xml:space="preserve"> + β1ESGSCOREi,t + β2ESGSCOREi,t x WOMENei,t + β3SIZEi,t + β4LEVERAGEi,t + </w:t>
      </w:r>
      <w:r>
        <w:rPr>
          <w:rFonts w:ascii="Cambria Math" w:hAnsi="Cambria Math" w:cs="Cambria Math"/>
        </w:rPr>
        <w:t>𝜀𝑖</w:t>
      </w:r>
      <w:r>
        <w:t>,</w:t>
      </w:r>
      <w:r>
        <w:rPr>
          <w:rFonts w:ascii="Cambria Math" w:hAnsi="Cambria Math" w:cs="Cambria Math"/>
        </w:rPr>
        <w:t>𝑡</w:t>
      </w:r>
      <w:r>
        <w:t xml:space="preserve"> (2)</w:t>
      </w:r>
    </w:p>
    <w:p w14:paraId="73F3FB7C" w14:textId="77777777" w:rsidR="004C4595" w:rsidRDefault="004C4595" w:rsidP="004C4595">
      <w:pPr>
        <w:pStyle w:val="Paragraph"/>
      </w:pPr>
    </w:p>
    <w:p w14:paraId="7203B662" w14:textId="0DC42449" w:rsidR="004C4595" w:rsidRPr="0025267E" w:rsidRDefault="0025267E" w:rsidP="0042697D">
      <w:pPr>
        <w:jc w:val="both"/>
        <w:rPr>
          <w:sz w:val="20"/>
        </w:rPr>
      </w:pPr>
      <w:r w:rsidRPr="0025267E">
        <w:rPr>
          <w:sz w:val="20"/>
        </w:rPr>
        <w:t>ESGSCOREi,t x WOMEN i,t is connection factor between ESG score or proportion of females onto same plane, where ESGSCOREi,t is general business score calculated using personal information in ecological, economical, and governance component (Refinitiv Eikon database). The other components are iden</w:t>
      </w:r>
      <w:r>
        <w:rPr>
          <w:sz w:val="20"/>
        </w:rPr>
        <w:t>tical to those in formula itself</w:t>
      </w:r>
      <w:r>
        <w:t xml:space="preserve"> </w:t>
      </w:r>
      <w:r w:rsidR="004C4595" w:rsidRPr="0025267E">
        <w:rPr>
          <w:sz w:val="20"/>
        </w:rPr>
        <w:t>(1).</w:t>
      </w:r>
    </w:p>
    <w:p w14:paraId="5BF0918C" w14:textId="77777777" w:rsidR="004C4595" w:rsidRDefault="004C4595" w:rsidP="004C4595">
      <w:pPr>
        <w:pStyle w:val="Heading2"/>
        <w:spacing w:before="0" w:after="0"/>
      </w:pPr>
    </w:p>
    <w:p w14:paraId="6E94334D" w14:textId="0EE9872D" w:rsidR="004C4595" w:rsidRDefault="004C4595" w:rsidP="004C4595">
      <w:pPr>
        <w:pStyle w:val="Heading2"/>
        <w:spacing w:before="0" w:after="0"/>
      </w:pPr>
      <w:r w:rsidRPr="004C4595">
        <w:t xml:space="preserve">Variable </w:t>
      </w:r>
      <w:r w:rsidR="00585258" w:rsidRPr="004C4595">
        <w:t>Dimension</w:t>
      </w:r>
    </w:p>
    <w:p w14:paraId="77E82821" w14:textId="370C7C3B" w:rsidR="00BA3B3D" w:rsidRDefault="00BA3B3D" w:rsidP="004C4595">
      <w:pPr>
        <w:pStyle w:val="Heading2"/>
        <w:spacing w:before="0" w:after="0"/>
      </w:pPr>
    </w:p>
    <w:p w14:paraId="6626FD61" w14:textId="1A83BA1D" w:rsidR="004C4595" w:rsidRPr="0042697D" w:rsidRDefault="00585258" w:rsidP="0042697D">
      <w:pPr>
        <w:jc w:val="both"/>
        <w:rPr>
          <w:sz w:val="20"/>
        </w:rPr>
      </w:pPr>
      <w:r w:rsidRPr="00585258">
        <w:rPr>
          <w:sz w:val="20"/>
          <w:szCs w:val="24"/>
        </w:rPr>
        <w:t xml:space="preserve">In reference to earlier research, the present research includes two factors: pressure and company size (SIZE). </w:t>
      </w:r>
      <w:r w:rsidR="004C4595" w:rsidRPr="0042697D">
        <w:rPr>
          <w:sz w:val="20"/>
        </w:rPr>
        <w:t xml:space="preserve">Table 1 presents the variable definitions and measurements. The ESG score, sourced from Refinitiv Eikon, aggregates environmental, social, and governance performance on a 0–100 scale, normalized using Refinitiv’s methodologies. Carbon emissions are reported as total CO₂ equivalent emissions to revenues (USD in millions), allowing for size-adjusted comparisons across firms. The </w:t>
      </w:r>
      <w:r w:rsidR="0050328B" w:rsidRPr="0042697D">
        <w:rPr>
          <w:sz w:val="20"/>
        </w:rPr>
        <w:t>proportion of female</w:t>
      </w:r>
      <w:r w:rsidR="004C4595" w:rsidRPr="0042697D">
        <w:rPr>
          <w:sz w:val="20"/>
        </w:rPr>
        <w:t xml:space="preserve"> on boards reflects the ratio of female board members to total board members. While the data rely on company disclosures, Refinitiv Eikon’s verification processes ensure a consistent and standardized dataset for analysis. </w:t>
      </w:r>
    </w:p>
    <w:p w14:paraId="102CCCE4" w14:textId="77777777" w:rsidR="004C4595" w:rsidRDefault="004C4595" w:rsidP="009B7671">
      <w:pPr>
        <w:pStyle w:val="Paragraph"/>
      </w:pPr>
    </w:p>
    <w:p w14:paraId="3106A3C3" w14:textId="4E392C8E" w:rsidR="004C4595" w:rsidRPr="00844153" w:rsidRDefault="004C4595" w:rsidP="004C4595">
      <w:pPr>
        <w:jc w:val="center"/>
        <w:rPr>
          <w:b/>
          <w:bCs/>
          <w:sz w:val="18"/>
          <w:szCs w:val="18"/>
        </w:rPr>
      </w:pPr>
      <w:r w:rsidRPr="00844153">
        <w:rPr>
          <w:b/>
          <w:bCs/>
          <w:sz w:val="18"/>
          <w:szCs w:val="18"/>
        </w:rPr>
        <w:t>Table 1</w:t>
      </w:r>
      <w:r w:rsidR="001E0ED9" w:rsidRPr="00844153">
        <w:rPr>
          <w:b/>
          <w:bCs/>
          <w:sz w:val="18"/>
          <w:szCs w:val="18"/>
        </w:rPr>
        <w:t xml:space="preserve">. </w:t>
      </w:r>
      <w:r w:rsidRPr="00844153">
        <w:rPr>
          <w:sz w:val="18"/>
          <w:szCs w:val="18"/>
        </w:rPr>
        <w:t>Variable Measurement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4C4595" w:rsidRPr="004C4595" w14:paraId="5D420BD0" w14:textId="77777777" w:rsidTr="008231EE">
        <w:tc>
          <w:tcPr>
            <w:tcW w:w="3005" w:type="dxa"/>
            <w:tcBorders>
              <w:top w:val="single" w:sz="4" w:space="0" w:color="auto"/>
              <w:bottom w:val="single" w:sz="4" w:space="0" w:color="auto"/>
            </w:tcBorders>
          </w:tcPr>
          <w:p w14:paraId="66C54F85" w14:textId="77777777" w:rsidR="004C4595" w:rsidRPr="004C4595" w:rsidRDefault="004C4595" w:rsidP="00686131">
            <w:pPr>
              <w:jc w:val="both"/>
              <w:rPr>
                <w:b/>
                <w:bCs/>
                <w:sz w:val="20"/>
              </w:rPr>
            </w:pPr>
            <w:r w:rsidRPr="004C4595">
              <w:rPr>
                <w:b/>
                <w:bCs/>
                <w:sz w:val="20"/>
              </w:rPr>
              <w:t>Variables</w:t>
            </w:r>
          </w:p>
        </w:tc>
        <w:tc>
          <w:tcPr>
            <w:tcW w:w="3005" w:type="dxa"/>
            <w:tcBorders>
              <w:top w:val="single" w:sz="4" w:space="0" w:color="auto"/>
              <w:bottom w:val="single" w:sz="4" w:space="0" w:color="auto"/>
            </w:tcBorders>
          </w:tcPr>
          <w:p w14:paraId="3A889FCC" w14:textId="77777777" w:rsidR="004C4595" w:rsidRPr="004C4595" w:rsidRDefault="004C4595" w:rsidP="00686131">
            <w:pPr>
              <w:jc w:val="both"/>
              <w:rPr>
                <w:b/>
                <w:bCs/>
                <w:sz w:val="20"/>
              </w:rPr>
            </w:pPr>
            <w:r w:rsidRPr="004C4595">
              <w:rPr>
                <w:b/>
                <w:bCs/>
                <w:sz w:val="20"/>
              </w:rPr>
              <w:t>Symbol</w:t>
            </w:r>
          </w:p>
        </w:tc>
        <w:tc>
          <w:tcPr>
            <w:tcW w:w="3006" w:type="dxa"/>
            <w:tcBorders>
              <w:top w:val="single" w:sz="4" w:space="0" w:color="auto"/>
              <w:bottom w:val="single" w:sz="4" w:space="0" w:color="auto"/>
            </w:tcBorders>
          </w:tcPr>
          <w:p w14:paraId="26671FF7" w14:textId="77777777" w:rsidR="004C4595" w:rsidRPr="004C4595" w:rsidRDefault="004C4595" w:rsidP="00686131">
            <w:pPr>
              <w:jc w:val="both"/>
              <w:rPr>
                <w:b/>
                <w:bCs/>
                <w:sz w:val="20"/>
              </w:rPr>
            </w:pPr>
            <w:r w:rsidRPr="004C4595">
              <w:rPr>
                <w:b/>
                <w:bCs/>
                <w:sz w:val="20"/>
              </w:rPr>
              <w:t>Measurement</w:t>
            </w:r>
          </w:p>
        </w:tc>
      </w:tr>
      <w:tr w:rsidR="004C4595" w:rsidRPr="004C4595" w14:paraId="2214EF3D" w14:textId="77777777" w:rsidTr="008231EE">
        <w:tc>
          <w:tcPr>
            <w:tcW w:w="3005" w:type="dxa"/>
            <w:tcBorders>
              <w:top w:val="single" w:sz="4" w:space="0" w:color="auto"/>
            </w:tcBorders>
          </w:tcPr>
          <w:p w14:paraId="49CC1689" w14:textId="77777777" w:rsidR="004C4595" w:rsidRPr="004C4595" w:rsidRDefault="004C4595" w:rsidP="00686131">
            <w:pPr>
              <w:jc w:val="both"/>
              <w:rPr>
                <w:sz w:val="20"/>
              </w:rPr>
            </w:pPr>
            <w:r w:rsidRPr="004C4595">
              <w:rPr>
                <w:sz w:val="20"/>
              </w:rPr>
              <w:t>Carbon Emission</w:t>
            </w:r>
          </w:p>
        </w:tc>
        <w:tc>
          <w:tcPr>
            <w:tcW w:w="3005" w:type="dxa"/>
            <w:tcBorders>
              <w:top w:val="single" w:sz="4" w:space="0" w:color="auto"/>
            </w:tcBorders>
          </w:tcPr>
          <w:p w14:paraId="358955CB" w14:textId="77777777" w:rsidR="004C4595" w:rsidRPr="004C4595" w:rsidRDefault="004C4595" w:rsidP="00686131">
            <w:pPr>
              <w:jc w:val="both"/>
              <w:rPr>
                <w:sz w:val="20"/>
              </w:rPr>
            </w:pPr>
            <w:r w:rsidRPr="004C4595">
              <w:rPr>
                <w:sz w:val="20"/>
              </w:rPr>
              <w:t>CARBON</w:t>
            </w:r>
          </w:p>
        </w:tc>
        <w:tc>
          <w:tcPr>
            <w:tcW w:w="3006" w:type="dxa"/>
            <w:tcBorders>
              <w:top w:val="single" w:sz="4" w:space="0" w:color="auto"/>
            </w:tcBorders>
          </w:tcPr>
          <w:p w14:paraId="70AD2648" w14:textId="7442643A" w:rsidR="004C4595" w:rsidRPr="004C4595" w:rsidRDefault="004C4595" w:rsidP="00686131">
            <w:pPr>
              <w:jc w:val="both"/>
              <w:rPr>
                <w:sz w:val="20"/>
              </w:rPr>
            </w:pPr>
            <w:bookmarkStart w:id="1" w:name="_Hlk180754212"/>
            <w:r>
              <w:rPr>
                <w:sz w:val="20"/>
              </w:rPr>
              <w:t xml:space="preserve">Log </w:t>
            </w:r>
            <w:r w:rsidRPr="004C4595">
              <w:rPr>
                <w:sz w:val="20"/>
              </w:rPr>
              <w:t xml:space="preserve">Total CO₂ Equivalent Emissions to Revenues USD in million </w:t>
            </w:r>
            <w:bookmarkEnd w:id="1"/>
            <w:r w:rsidRPr="004C4595">
              <w:rPr>
                <w:sz w:val="20"/>
              </w:rPr>
              <w:t>(Refinitiv Eikon database)</w:t>
            </w:r>
          </w:p>
          <w:p w14:paraId="3DA29AAF" w14:textId="77777777" w:rsidR="004C4595" w:rsidRPr="004C4595" w:rsidRDefault="004C4595" w:rsidP="00686131">
            <w:pPr>
              <w:jc w:val="both"/>
              <w:rPr>
                <w:sz w:val="20"/>
              </w:rPr>
            </w:pPr>
          </w:p>
        </w:tc>
      </w:tr>
      <w:tr w:rsidR="004C4595" w:rsidRPr="004C4595" w14:paraId="10F25B04" w14:textId="77777777" w:rsidTr="008231EE">
        <w:tc>
          <w:tcPr>
            <w:tcW w:w="3005" w:type="dxa"/>
          </w:tcPr>
          <w:p w14:paraId="182AAB76" w14:textId="77777777" w:rsidR="004C4595" w:rsidRPr="004C4595" w:rsidRDefault="004C4595" w:rsidP="00686131">
            <w:pPr>
              <w:jc w:val="both"/>
              <w:rPr>
                <w:sz w:val="20"/>
              </w:rPr>
            </w:pPr>
            <w:r w:rsidRPr="004C4595">
              <w:rPr>
                <w:sz w:val="20"/>
              </w:rPr>
              <w:t>ESG Score</w:t>
            </w:r>
          </w:p>
        </w:tc>
        <w:tc>
          <w:tcPr>
            <w:tcW w:w="3005" w:type="dxa"/>
          </w:tcPr>
          <w:p w14:paraId="38009F77" w14:textId="77777777" w:rsidR="004C4595" w:rsidRPr="004C4595" w:rsidRDefault="004C4595" w:rsidP="00686131">
            <w:pPr>
              <w:jc w:val="both"/>
              <w:rPr>
                <w:sz w:val="20"/>
              </w:rPr>
            </w:pPr>
            <w:r w:rsidRPr="004C4595">
              <w:rPr>
                <w:sz w:val="20"/>
              </w:rPr>
              <w:t>ESGSCORE</w:t>
            </w:r>
          </w:p>
        </w:tc>
        <w:tc>
          <w:tcPr>
            <w:tcW w:w="3006" w:type="dxa"/>
          </w:tcPr>
          <w:p w14:paraId="508DA16E" w14:textId="77777777" w:rsidR="002966C5" w:rsidRPr="002966C5" w:rsidRDefault="002966C5" w:rsidP="00686131">
            <w:pPr>
              <w:rPr>
                <w:szCs w:val="24"/>
              </w:rPr>
            </w:pPr>
            <w:r w:rsidRPr="002966C5">
              <w:rPr>
                <w:sz w:val="20"/>
                <w:szCs w:val="24"/>
              </w:rPr>
              <w:t>Total business grade derived from personal information in the management, cultural and ecological pillars (Refinitiv Eikon database</w:t>
            </w:r>
            <w:r w:rsidRPr="002966C5">
              <w:rPr>
                <w:szCs w:val="24"/>
              </w:rPr>
              <w:t>)</w:t>
            </w:r>
          </w:p>
          <w:p w14:paraId="0AF26AA8" w14:textId="13974D0B" w:rsidR="004C4595" w:rsidRPr="004C4595" w:rsidRDefault="004C4595" w:rsidP="00686131">
            <w:pPr>
              <w:jc w:val="both"/>
              <w:rPr>
                <w:sz w:val="20"/>
              </w:rPr>
            </w:pPr>
          </w:p>
        </w:tc>
      </w:tr>
      <w:tr w:rsidR="004C4595" w:rsidRPr="004C4595" w14:paraId="2644E7EF" w14:textId="77777777" w:rsidTr="008231EE">
        <w:tc>
          <w:tcPr>
            <w:tcW w:w="3005" w:type="dxa"/>
          </w:tcPr>
          <w:p w14:paraId="3C9A73D5" w14:textId="77777777" w:rsidR="004C4595" w:rsidRPr="004C4595" w:rsidRDefault="004C4595" w:rsidP="00686131">
            <w:pPr>
              <w:jc w:val="both"/>
              <w:rPr>
                <w:sz w:val="20"/>
              </w:rPr>
            </w:pPr>
            <w:r w:rsidRPr="004C4595">
              <w:rPr>
                <w:sz w:val="20"/>
              </w:rPr>
              <w:t>Women</w:t>
            </w:r>
          </w:p>
        </w:tc>
        <w:tc>
          <w:tcPr>
            <w:tcW w:w="3005" w:type="dxa"/>
          </w:tcPr>
          <w:p w14:paraId="0C5A81E2" w14:textId="77777777" w:rsidR="004C4595" w:rsidRPr="004C4595" w:rsidRDefault="004C4595" w:rsidP="00686131">
            <w:pPr>
              <w:jc w:val="both"/>
              <w:rPr>
                <w:sz w:val="20"/>
              </w:rPr>
            </w:pPr>
            <w:r w:rsidRPr="004C4595">
              <w:rPr>
                <w:sz w:val="20"/>
              </w:rPr>
              <w:t>WOMEN</w:t>
            </w:r>
          </w:p>
        </w:tc>
        <w:tc>
          <w:tcPr>
            <w:tcW w:w="3006" w:type="dxa"/>
          </w:tcPr>
          <w:p w14:paraId="073563DE" w14:textId="3846EA00" w:rsidR="004C4595" w:rsidRPr="002966C5" w:rsidRDefault="002966C5" w:rsidP="00686131">
            <w:pPr>
              <w:rPr>
                <w:sz w:val="20"/>
                <w:szCs w:val="24"/>
              </w:rPr>
            </w:pPr>
            <w:r w:rsidRPr="002966C5">
              <w:rPr>
                <w:sz w:val="20"/>
                <w:szCs w:val="24"/>
              </w:rPr>
              <w:t>The p</w:t>
            </w:r>
            <w:r>
              <w:rPr>
                <w:sz w:val="20"/>
                <w:szCs w:val="24"/>
              </w:rPr>
              <w:t>roportion of female executives</w:t>
            </w:r>
          </w:p>
        </w:tc>
      </w:tr>
      <w:tr w:rsidR="004C4595" w:rsidRPr="004C4595" w14:paraId="1280A467" w14:textId="77777777" w:rsidTr="008231EE">
        <w:tc>
          <w:tcPr>
            <w:tcW w:w="3005" w:type="dxa"/>
          </w:tcPr>
          <w:p w14:paraId="3C827CB6" w14:textId="77777777" w:rsidR="004C4595" w:rsidRPr="004C4595" w:rsidRDefault="004C4595" w:rsidP="00686131">
            <w:pPr>
              <w:jc w:val="both"/>
              <w:rPr>
                <w:sz w:val="20"/>
              </w:rPr>
            </w:pPr>
            <w:r w:rsidRPr="004C4595">
              <w:rPr>
                <w:sz w:val="20"/>
              </w:rPr>
              <w:t>Firm size</w:t>
            </w:r>
          </w:p>
        </w:tc>
        <w:tc>
          <w:tcPr>
            <w:tcW w:w="3005" w:type="dxa"/>
          </w:tcPr>
          <w:p w14:paraId="74F7377E" w14:textId="77777777" w:rsidR="004C4595" w:rsidRPr="004C4595" w:rsidRDefault="004C4595" w:rsidP="00686131">
            <w:pPr>
              <w:jc w:val="both"/>
              <w:rPr>
                <w:sz w:val="20"/>
              </w:rPr>
            </w:pPr>
            <w:r w:rsidRPr="004C4595">
              <w:rPr>
                <w:sz w:val="20"/>
              </w:rPr>
              <w:t>SIZE</w:t>
            </w:r>
          </w:p>
        </w:tc>
        <w:tc>
          <w:tcPr>
            <w:tcW w:w="3006" w:type="dxa"/>
          </w:tcPr>
          <w:p w14:paraId="4B18D3C2" w14:textId="682BE77B" w:rsidR="004C4595" w:rsidRPr="004C4595" w:rsidRDefault="002966C5" w:rsidP="00686131">
            <w:pPr>
              <w:jc w:val="both"/>
              <w:rPr>
                <w:sz w:val="20"/>
              </w:rPr>
            </w:pPr>
            <w:r w:rsidRPr="002966C5">
              <w:rPr>
                <w:sz w:val="20"/>
                <w:szCs w:val="24"/>
              </w:rPr>
              <w:t>The entire resources log</w:t>
            </w:r>
            <w:r w:rsidRPr="002966C5">
              <w:rPr>
                <w:sz w:val="20"/>
                <w:szCs w:val="24"/>
              </w:rPr>
              <w:br/>
            </w:r>
          </w:p>
        </w:tc>
      </w:tr>
      <w:tr w:rsidR="004C4595" w:rsidRPr="004C4595" w14:paraId="0874DAE8" w14:textId="77777777" w:rsidTr="008231EE">
        <w:tc>
          <w:tcPr>
            <w:tcW w:w="3005" w:type="dxa"/>
          </w:tcPr>
          <w:p w14:paraId="6C2FBE9C" w14:textId="77777777" w:rsidR="004C4595" w:rsidRPr="004C4595" w:rsidRDefault="004C4595" w:rsidP="00686131">
            <w:pPr>
              <w:jc w:val="both"/>
              <w:rPr>
                <w:sz w:val="20"/>
              </w:rPr>
            </w:pPr>
            <w:r w:rsidRPr="004C4595">
              <w:rPr>
                <w:sz w:val="20"/>
              </w:rPr>
              <w:t>Leverage</w:t>
            </w:r>
          </w:p>
        </w:tc>
        <w:tc>
          <w:tcPr>
            <w:tcW w:w="3005" w:type="dxa"/>
          </w:tcPr>
          <w:p w14:paraId="7EB0538A" w14:textId="77777777" w:rsidR="004C4595" w:rsidRPr="004C4595" w:rsidRDefault="004C4595" w:rsidP="00686131">
            <w:pPr>
              <w:jc w:val="both"/>
              <w:rPr>
                <w:sz w:val="20"/>
              </w:rPr>
            </w:pPr>
            <w:r w:rsidRPr="004C4595">
              <w:rPr>
                <w:sz w:val="20"/>
              </w:rPr>
              <w:t>LEVERAGE</w:t>
            </w:r>
          </w:p>
        </w:tc>
        <w:tc>
          <w:tcPr>
            <w:tcW w:w="3006" w:type="dxa"/>
          </w:tcPr>
          <w:p w14:paraId="4D81D27D" w14:textId="106A01D9" w:rsidR="004C4595" w:rsidRPr="004C4595" w:rsidRDefault="002966C5" w:rsidP="00686131">
            <w:pPr>
              <w:jc w:val="both"/>
              <w:rPr>
                <w:sz w:val="20"/>
              </w:rPr>
            </w:pPr>
            <w:r w:rsidRPr="002966C5">
              <w:rPr>
                <w:sz w:val="20"/>
                <w:szCs w:val="24"/>
              </w:rPr>
              <w:t>The overall assets divided by total debt</w:t>
            </w:r>
            <w:r w:rsidRPr="002966C5">
              <w:rPr>
                <w:sz w:val="20"/>
                <w:szCs w:val="24"/>
              </w:rPr>
              <w:br/>
            </w:r>
          </w:p>
        </w:tc>
      </w:tr>
    </w:tbl>
    <w:p w14:paraId="05FEB36D" w14:textId="77777777" w:rsidR="004C4595" w:rsidRPr="004C4595" w:rsidRDefault="004C4595" w:rsidP="004C4595">
      <w:pPr>
        <w:jc w:val="both"/>
        <w:rPr>
          <w:b/>
          <w:bCs/>
          <w:sz w:val="20"/>
        </w:rPr>
      </w:pPr>
    </w:p>
    <w:p w14:paraId="53B4B3FC" w14:textId="3495E587" w:rsidR="004C4595" w:rsidRPr="004C4595" w:rsidRDefault="00EF6BE8" w:rsidP="004C4595">
      <w:pPr>
        <w:pStyle w:val="Paragraph"/>
        <w:jc w:val="center"/>
        <w:rPr>
          <w:b/>
          <w:bCs/>
          <w:sz w:val="24"/>
          <w:szCs w:val="24"/>
        </w:rPr>
      </w:pPr>
      <w:r w:rsidRPr="004C4595">
        <w:rPr>
          <w:b/>
          <w:bCs/>
          <w:sz w:val="24"/>
          <w:szCs w:val="24"/>
        </w:rPr>
        <w:t>ANALYSIS AND RESULTS</w:t>
      </w:r>
    </w:p>
    <w:p w14:paraId="5669C009" w14:textId="77777777" w:rsidR="004C4595" w:rsidRPr="004C4595" w:rsidRDefault="004C4595" w:rsidP="004C4595">
      <w:pPr>
        <w:pStyle w:val="Paragraph"/>
        <w:jc w:val="center"/>
        <w:rPr>
          <w:b/>
          <w:bCs/>
          <w:sz w:val="24"/>
          <w:szCs w:val="24"/>
        </w:rPr>
      </w:pPr>
    </w:p>
    <w:p w14:paraId="4ACEAB3D" w14:textId="31F902EB" w:rsidR="004C4595" w:rsidRPr="004C4595" w:rsidRDefault="004C4595" w:rsidP="004C4595">
      <w:pPr>
        <w:pStyle w:val="Paragraph"/>
        <w:jc w:val="center"/>
        <w:rPr>
          <w:b/>
          <w:bCs/>
          <w:sz w:val="24"/>
          <w:szCs w:val="24"/>
        </w:rPr>
      </w:pPr>
      <w:r w:rsidRPr="004C4595">
        <w:rPr>
          <w:b/>
          <w:bCs/>
          <w:sz w:val="24"/>
          <w:szCs w:val="24"/>
        </w:rPr>
        <w:t>Descriptive Analysis</w:t>
      </w:r>
    </w:p>
    <w:p w14:paraId="66C1475E" w14:textId="3255B01B" w:rsidR="002A76BB" w:rsidRPr="002A76BB" w:rsidRDefault="002A76BB" w:rsidP="004462F2">
      <w:pPr>
        <w:jc w:val="both"/>
        <w:rPr>
          <w:szCs w:val="24"/>
        </w:rPr>
      </w:pPr>
      <w:r w:rsidRPr="002A76BB">
        <w:rPr>
          <w:sz w:val="20"/>
          <w:szCs w:val="24"/>
        </w:rPr>
        <w:t>The statistical results for each of investigation's parameters are displayed in Table 2. The slight difference among organizations is indicated by average carbon discharge per unit of 8.34 tons per million dollars of sales (log) typical variance of 1.12 tons per million dollars of sales (log). Considering an expected variation of 16.824 and an average ESG score of 51.271</w:t>
      </w:r>
      <w:r w:rsidR="00685C2B" w:rsidRPr="002A76BB">
        <w:rPr>
          <w:sz w:val="20"/>
          <w:szCs w:val="24"/>
        </w:rPr>
        <w:t>, business’s</w:t>
      </w:r>
      <w:r w:rsidRPr="002A76BB">
        <w:rPr>
          <w:sz w:val="20"/>
          <w:szCs w:val="24"/>
        </w:rPr>
        <w:t xml:space="preserve"> sustainability initiatives exhibit notable variance.</w:t>
      </w:r>
    </w:p>
    <w:p w14:paraId="410013DD" w14:textId="501C39FB" w:rsidR="004C4595" w:rsidRDefault="004C4595" w:rsidP="004C4595">
      <w:pPr>
        <w:ind w:firstLine="284"/>
        <w:jc w:val="both"/>
        <w:rPr>
          <w:sz w:val="20"/>
        </w:rPr>
      </w:pPr>
    </w:p>
    <w:p w14:paraId="6E2AD116" w14:textId="36BBE025" w:rsidR="004C4595" w:rsidRPr="00844153" w:rsidRDefault="004C4595" w:rsidP="004C4595">
      <w:pPr>
        <w:jc w:val="center"/>
        <w:rPr>
          <w:b/>
          <w:bCs/>
          <w:sz w:val="18"/>
          <w:szCs w:val="18"/>
        </w:rPr>
      </w:pPr>
      <w:r w:rsidRPr="00844153">
        <w:rPr>
          <w:b/>
          <w:bCs/>
          <w:sz w:val="18"/>
          <w:szCs w:val="18"/>
        </w:rPr>
        <w:lastRenderedPageBreak/>
        <w:t>Table 2</w:t>
      </w:r>
      <w:r w:rsidR="00157E89" w:rsidRPr="00844153">
        <w:rPr>
          <w:b/>
          <w:bCs/>
          <w:sz w:val="18"/>
          <w:szCs w:val="18"/>
        </w:rPr>
        <w:t>.</w:t>
      </w:r>
      <w:r w:rsidRPr="00844153">
        <w:rPr>
          <w:b/>
          <w:bCs/>
          <w:sz w:val="18"/>
          <w:szCs w:val="18"/>
        </w:rPr>
        <w:t xml:space="preserve"> </w:t>
      </w:r>
      <w:r w:rsidRPr="00844153">
        <w:rPr>
          <w:sz w:val="18"/>
          <w:szCs w:val="18"/>
        </w:rPr>
        <w:t>Descriptive Statistics</w:t>
      </w:r>
    </w:p>
    <w:tbl>
      <w:tblPr>
        <w:tblStyle w:val="TableGrid"/>
        <w:tblW w:w="87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1502"/>
        <w:gridCol w:w="1503"/>
        <w:gridCol w:w="1442"/>
        <w:gridCol w:w="2835"/>
      </w:tblGrid>
      <w:tr w:rsidR="004C4595" w:rsidRPr="004C4595" w14:paraId="0D8BF4A2" w14:textId="77777777" w:rsidTr="008231EE">
        <w:tc>
          <w:tcPr>
            <w:tcW w:w="1502" w:type="dxa"/>
            <w:tcBorders>
              <w:top w:val="single" w:sz="4" w:space="0" w:color="auto"/>
              <w:bottom w:val="single" w:sz="4" w:space="0" w:color="auto"/>
            </w:tcBorders>
          </w:tcPr>
          <w:p w14:paraId="7BA41C0B" w14:textId="77777777" w:rsidR="004C4595" w:rsidRPr="004C4595" w:rsidRDefault="004C4595" w:rsidP="008231EE">
            <w:pPr>
              <w:spacing w:line="278" w:lineRule="auto"/>
              <w:rPr>
                <w:b/>
                <w:bCs/>
                <w:sz w:val="20"/>
              </w:rPr>
            </w:pPr>
            <w:r w:rsidRPr="004C4595">
              <w:rPr>
                <w:b/>
                <w:bCs/>
                <w:sz w:val="20"/>
              </w:rPr>
              <w:t>Variable</w:t>
            </w:r>
          </w:p>
        </w:tc>
        <w:tc>
          <w:tcPr>
            <w:tcW w:w="1502" w:type="dxa"/>
            <w:tcBorders>
              <w:top w:val="single" w:sz="4" w:space="0" w:color="auto"/>
              <w:bottom w:val="single" w:sz="4" w:space="0" w:color="auto"/>
            </w:tcBorders>
          </w:tcPr>
          <w:p w14:paraId="61D4D74B" w14:textId="77777777" w:rsidR="004C4595" w:rsidRPr="004C4595" w:rsidRDefault="004C4595" w:rsidP="008231EE">
            <w:pPr>
              <w:spacing w:line="278" w:lineRule="auto"/>
              <w:rPr>
                <w:b/>
                <w:bCs/>
                <w:sz w:val="20"/>
              </w:rPr>
            </w:pPr>
            <w:r w:rsidRPr="004C4595">
              <w:rPr>
                <w:b/>
                <w:bCs/>
                <w:sz w:val="20"/>
              </w:rPr>
              <w:t>Minimum</w:t>
            </w:r>
          </w:p>
        </w:tc>
        <w:tc>
          <w:tcPr>
            <w:tcW w:w="1503" w:type="dxa"/>
            <w:tcBorders>
              <w:top w:val="single" w:sz="4" w:space="0" w:color="auto"/>
              <w:bottom w:val="single" w:sz="4" w:space="0" w:color="auto"/>
            </w:tcBorders>
          </w:tcPr>
          <w:p w14:paraId="3D54377B" w14:textId="77777777" w:rsidR="004C4595" w:rsidRPr="004C4595" w:rsidRDefault="004C4595" w:rsidP="008231EE">
            <w:pPr>
              <w:spacing w:line="278" w:lineRule="auto"/>
              <w:rPr>
                <w:b/>
                <w:bCs/>
                <w:sz w:val="20"/>
              </w:rPr>
            </w:pPr>
            <w:r w:rsidRPr="004C4595">
              <w:rPr>
                <w:b/>
                <w:bCs/>
                <w:sz w:val="20"/>
              </w:rPr>
              <w:t>Maximum</w:t>
            </w:r>
          </w:p>
        </w:tc>
        <w:tc>
          <w:tcPr>
            <w:tcW w:w="1442" w:type="dxa"/>
            <w:tcBorders>
              <w:top w:val="single" w:sz="4" w:space="0" w:color="auto"/>
              <w:bottom w:val="single" w:sz="4" w:space="0" w:color="auto"/>
            </w:tcBorders>
          </w:tcPr>
          <w:p w14:paraId="62E13E5A" w14:textId="77777777" w:rsidR="004C4595" w:rsidRPr="004C4595" w:rsidRDefault="004C4595" w:rsidP="008231EE">
            <w:pPr>
              <w:spacing w:line="278" w:lineRule="auto"/>
              <w:rPr>
                <w:b/>
                <w:bCs/>
                <w:sz w:val="20"/>
              </w:rPr>
            </w:pPr>
            <w:r w:rsidRPr="004C4595">
              <w:rPr>
                <w:b/>
                <w:bCs/>
                <w:sz w:val="20"/>
              </w:rPr>
              <w:t>Mean</w:t>
            </w:r>
          </w:p>
        </w:tc>
        <w:tc>
          <w:tcPr>
            <w:tcW w:w="2835" w:type="dxa"/>
            <w:tcBorders>
              <w:top w:val="single" w:sz="4" w:space="0" w:color="auto"/>
              <w:bottom w:val="single" w:sz="4" w:space="0" w:color="auto"/>
            </w:tcBorders>
          </w:tcPr>
          <w:p w14:paraId="7621E646" w14:textId="77777777" w:rsidR="004C4595" w:rsidRPr="004C4595" w:rsidRDefault="004C4595" w:rsidP="008231EE">
            <w:pPr>
              <w:spacing w:line="278" w:lineRule="auto"/>
              <w:rPr>
                <w:b/>
                <w:bCs/>
                <w:sz w:val="20"/>
              </w:rPr>
            </w:pPr>
            <w:r w:rsidRPr="004C4595">
              <w:rPr>
                <w:b/>
                <w:bCs/>
                <w:sz w:val="20"/>
              </w:rPr>
              <w:t>Standard Deviation</w:t>
            </w:r>
          </w:p>
        </w:tc>
      </w:tr>
      <w:tr w:rsidR="004C4595" w:rsidRPr="004C4595" w14:paraId="3F81C58A" w14:textId="77777777" w:rsidTr="008231EE">
        <w:tc>
          <w:tcPr>
            <w:tcW w:w="1502" w:type="dxa"/>
            <w:tcBorders>
              <w:top w:val="single" w:sz="4" w:space="0" w:color="auto"/>
            </w:tcBorders>
          </w:tcPr>
          <w:p w14:paraId="4D349F3A" w14:textId="77777777" w:rsidR="004C4595" w:rsidRPr="004C4595" w:rsidRDefault="004C4595" w:rsidP="008231EE">
            <w:pPr>
              <w:spacing w:line="278" w:lineRule="auto"/>
              <w:rPr>
                <w:sz w:val="20"/>
              </w:rPr>
            </w:pPr>
            <w:r w:rsidRPr="004C4595">
              <w:rPr>
                <w:sz w:val="20"/>
              </w:rPr>
              <w:t>Carbon (log)</w:t>
            </w:r>
          </w:p>
        </w:tc>
        <w:tc>
          <w:tcPr>
            <w:tcW w:w="1502" w:type="dxa"/>
            <w:tcBorders>
              <w:top w:val="single" w:sz="4" w:space="0" w:color="auto"/>
            </w:tcBorders>
          </w:tcPr>
          <w:p w14:paraId="76CD4CA2" w14:textId="77777777" w:rsidR="004C4595" w:rsidRPr="004C4595" w:rsidRDefault="004C4595" w:rsidP="008231EE">
            <w:pPr>
              <w:spacing w:line="278" w:lineRule="auto"/>
              <w:rPr>
                <w:sz w:val="20"/>
              </w:rPr>
            </w:pPr>
            <w:r w:rsidRPr="004C4595">
              <w:rPr>
                <w:sz w:val="20"/>
              </w:rPr>
              <w:t>5.20</w:t>
            </w:r>
          </w:p>
        </w:tc>
        <w:tc>
          <w:tcPr>
            <w:tcW w:w="1503" w:type="dxa"/>
            <w:tcBorders>
              <w:top w:val="single" w:sz="4" w:space="0" w:color="auto"/>
            </w:tcBorders>
          </w:tcPr>
          <w:p w14:paraId="3D01D784" w14:textId="77777777" w:rsidR="004C4595" w:rsidRPr="004C4595" w:rsidRDefault="004C4595" w:rsidP="008231EE">
            <w:pPr>
              <w:spacing w:line="278" w:lineRule="auto"/>
              <w:rPr>
                <w:sz w:val="20"/>
              </w:rPr>
            </w:pPr>
            <w:r w:rsidRPr="004C4595">
              <w:rPr>
                <w:sz w:val="20"/>
              </w:rPr>
              <w:t>10.80</w:t>
            </w:r>
          </w:p>
        </w:tc>
        <w:tc>
          <w:tcPr>
            <w:tcW w:w="1442" w:type="dxa"/>
            <w:tcBorders>
              <w:top w:val="single" w:sz="4" w:space="0" w:color="auto"/>
            </w:tcBorders>
          </w:tcPr>
          <w:p w14:paraId="0AB5B5C1" w14:textId="77777777" w:rsidR="004C4595" w:rsidRPr="004C4595" w:rsidRDefault="004C4595" w:rsidP="008231EE">
            <w:pPr>
              <w:spacing w:line="278" w:lineRule="auto"/>
              <w:rPr>
                <w:sz w:val="20"/>
              </w:rPr>
            </w:pPr>
            <w:r w:rsidRPr="004C4595">
              <w:rPr>
                <w:sz w:val="20"/>
              </w:rPr>
              <w:t>8.34</w:t>
            </w:r>
          </w:p>
        </w:tc>
        <w:tc>
          <w:tcPr>
            <w:tcW w:w="2835" w:type="dxa"/>
            <w:tcBorders>
              <w:top w:val="single" w:sz="4" w:space="0" w:color="auto"/>
            </w:tcBorders>
          </w:tcPr>
          <w:p w14:paraId="780A5592" w14:textId="77777777" w:rsidR="004C4595" w:rsidRPr="004C4595" w:rsidRDefault="004C4595" w:rsidP="008231EE">
            <w:pPr>
              <w:spacing w:line="278" w:lineRule="auto"/>
              <w:rPr>
                <w:sz w:val="20"/>
              </w:rPr>
            </w:pPr>
            <w:r w:rsidRPr="004C4595">
              <w:rPr>
                <w:sz w:val="20"/>
              </w:rPr>
              <w:t>1.12</w:t>
            </w:r>
          </w:p>
        </w:tc>
      </w:tr>
      <w:tr w:rsidR="004C4595" w:rsidRPr="004C4595" w14:paraId="161D0A27" w14:textId="77777777" w:rsidTr="008231EE">
        <w:tc>
          <w:tcPr>
            <w:tcW w:w="1502" w:type="dxa"/>
          </w:tcPr>
          <w:p w14:paraId="70841094" w14:textId="77777777" w:rsidR="004C4595" w:rsidRPr="004C4595" w:rsidRDefault="004C4595" w:rsidP="008231EE">
            <w:pPr>
              <w:spacing w:line="278" w:lineRule="auto"/>
              <w:rPr>
                <w:sz w:val="20"/>
              </w:rPr>
            </w:pPr>
            <w:r w:rsidRPr="004C4595">
              <w:rPr>
                <w:sz w:val="20"/>
              </w:rPr>
              <w:t>ESG Score</w:t>
            </w:r>
          </w:p>
        </w:tc>
        <w:tc>
          <w:tcPr>
            <w:tcW w:w="1502" w:type="dxa"/>
          </w:tcPr>
          <w:p w14:paraId="157CE89E" w14:textId="77777777" w:rsidR="004C4595" w:rsidRPr="004C4595" w:rsidRDefault="004C4595" w:rsidP="008231EE">
            <w:pPr>
              <w:spacing w:line="278" w:lineRule="auto"/>
              <w:rPr>
                <w:sz w:val="20"/>
              </w:rPr>
            </w:pPr>
            <w:r w:rsidRPr="004C4595">
              <w:rPr>
                <w:sz w:val="20"/>
              </w:rPr>
              <w:t>11.205</w:t>
            </w:r>
          </w:p>
        </w:tc>
        <w:tc>
          <w:tcPr>
            <w:tcW w:w="1503" w:type="dxa"/>
          </w:tcPr>
          <w:p w14:paraId="73F4A9C5" w14:textId="77777777" w:rsidR="004C4595" w:rsidRPr="004C4595" w:rsidRDefault="004C4595" w:rsidP="008231EE">
            <w:pPr>
              <w:spacing w:line="278" w:lineRule="auto"/>
              <w:rPr>
                <w:sz w:val="20"/>
              </w:rPr>
            </w:pPr>
            <w:r w:rsidRPr="004C4595">
              <w:rPr>
                <w:sz w:val="20"/>
              </w:rPr>
              <w:t>90.277</w:t>
            </w:r>
          </w:p>
        </w:tc>
        <w:tc>
          <w:tcPr>
            <w:tcW w:w="1442" w:type="dxa"/>
          </w:tcPr>
          <w:p w14:paraId="0C21E980" w14:textId="77777777" w:rsidR="004C4595" w:rsidRPr="004C4595" w:rsidRDefault="004C4595" w:rsidP="008231EE">
            <w:pPr>
              <w:spacing w:line="278" w:lineRule="auto"/>
              <w:rPr>
                <w:sz w:val="20"/>
              </w:rPr>
            </w:pPr>
            <w:r w:rsidRPr="004C4595">
              <w:rPr>
                <w:sz w:val="20"/>
              </w:rPr>
              <w:t>51.271</w:t>
            </w:r>
          </w:p>
        </w:tc>
        <w:tc>
          <w:tcPr>
            <w:tcW w:w="2835" w:type="dxa"/>
          </w:tcPr>
          <w:p w14:paraId="0C077B97" w14:textId="77777777" w:rsidR="004C4595" w:rsidRPr="004C4595" w:rsidRDefault="004C4595" w:rsidP="008231EE">
            <w:pPr>
              <w:spacing w:line="278" w:lineRule="auto"/>
              <w:rPr>
                <w:sz w:val="20"/>
              </w:rPr>
            </w:pPr>
            <w:r w:rsidRPr="004C4595">
              <w:rPr>
                <w:sz w:val="20"/>
              </w:rPr>
              <w:t>16.824</w:t>
            </w:r>
          </w:p>
        </w:tc>
      </w:tr>
      <w:tr w:rsidR="004C4595" w:rsidRPr="004C4595" w14:paraId="0D2D237F" w14:textId="77777777" w:rsidTr="008231EE">
        <w:tc>
          <w:tcPr>
            <w:tcW w:w="1502" w:type="dxa"/>
          </w:tcPr>
          <w:p w14:paraId="731B39C8" w14:textId="77777777" w:rsidR="004C4595" w:rsidRPr="004C4595" w:rsidRDefault="004C4595" w:rsidP="008231EE">
            <w:pPr>
              <w:spacing w:line="278" w:lineRule="auto"/>
              <w:rPr>
                <w:sz w:val="20"/>
              </w:rPr>
            </w:pPr>
            <w:r w:rsidRPr="004C4595">
              <w:rPr>
                <w:sz w:val="20"/>
              </w:rPr>
              <w:t>Women</w:t>
            </w:r>
          </w:p>
        </w:tc>
        <w:tc>
          <w:tcPr>
            <w:tcW w:w="1502" w:type="dxa"/>
          </w:tcPr>
          <w:p w14:paraId="76848FA9" w14:textId="77777777" w:rsidR="004C4595" w:rsidRPr="004C4595" w:rsidRDefault="004C4595" w:rsidP="008231EE">
            <w:pPr>
              <w:spacing w:line="278" w:lineRule="auto"/>
              <w:rPr>
                <w:sz w:val="20"/>
              </w:rPr>
            </w:pPr>
            <w:r w:rsidRPr="004C4595">
              <w:rPr>
                <w:sz w:val="20"/>
              </w:rPr>
              <w:t>0.000</w:t>
            </w:r>
          </w:p>
        </w:tc>
        <w:tc>
          <w:tcPr>
            <w:tcW w:w="1503" w:type="dxa"/>
          </w:tcPr>
          <w:p w14:paraId="568836B6" w14:textId="77777777" w:rsidR="004C4595" w:rsidRPr="004C4595" w:rsidRDefault="004C4595" w:rsidP="008231EE">
            <w:pPr>
              <w:spacing w:line="278" w:lineRule="auto"/>
              <w:rPr>
                <w:sz w:val="20"/>
              </w:rPr>
            </w:pPr>
            <w:r w:rsidRPr="004C4595">
              <w:rPr>
                <w:sz w:val="20"/>
              </w:rPr>
              <w:t>84.278</w:t>
            </w:r>
          </w:p>
        </w:tc>
        <w:tc>
          <w:tcPr>
            <w:tcW w:w="1442" w:type="dxa"/>
          </w:tcPr>
          <w:p w14:paraId="42A7C8BF" w14:textId="77777777" w:rsidR="004C4595" w:rsidRPr="004C4595" w:rsidRDefault="004C4595" w:rsidP="008231EE">
            <w:pPr>
              <w:spacing w:line="278" w:lineRule="auto"/>
              <w:rPr>
                <w:sz w:val="20"/>
              </w:rPr>
            </w:pPr>
            <w:r w:rsidRPr="004C4595">
              <w:rPr>
                <w:sz w:val="20"/>
              </w:rPr>
              <w:t>46.286</w:t>
            </w:r>
          </w:p>
        </w:tc>
        <w:tc>
          <w:tcPr>
            <w:tcW w:w="2835" w:type="dxa"/>
          </w:tcPr>
          <w:p w14:paraId="39CD1F0E" w14:textId="77777777" w:rsidR="004C4595" w:rsidRPr="004C4595" w:rsidRDefault="004C4595" w:rsidP="008231EE">
            <w:pPr>
              <w:spacing w:line="278" w:lineRule="auto"/>
              <w:rPr>
                <w:sz w:val="20"/>
              </w:rPr>
            </w:pPr>
            <w:r w:rsidRPr="004C4595">
              <w:rPr>
                <w:sz w:val="20"/>
              </w:rPr>
              <w:t>31.005</w:t>
            </w:r>
          </w:p>
        </w:tc>
      </w:tr>
      <w:tr w:rsidR="004C4595" w:rsidRPr="004C4595" w14:paraId="27CB0A2D" w14:textId="77777777" w:rsidTr="008231EE">
        <w:tc>
          <w:tcPr>
            <w:tcW w:w="1502" w:type="dxa"/>
          </w:tcPr>
          <w:p w14:paraId="17B77696" w14:textId="77777777" w:rsidR="004C4595" w:rsidRPr="004C4595" w:rsidRDefault="004C4595" w:rsidP="008231EE">
            <w:pPr>
              <w:spacing w:line="278" w:lineRule="auto"/>
              <w:rPr>
                <w:sz w:val="20"/>
              </w:rPr>
            </w:pPr>
            <w:r w:rsidRPr="004C4595">
              <w:rPr>
                <w:sz w:val="20"/>
              </w:rPr>
              <w:t>Firm Size</w:t>
            </w:r>
          </w:p>
        </w:tc>
        <w:tc>
          <w:tcPr>
            <w:tcW w:w="1502" w:type="dxa"/>
          </w:tcPr>
          <w:p w14:paraId="744D1BDA" w14:textId="77777777" w:rsidR="004C4595" w:rsidRPr="004C4595" w:rsidRDefault="004C4595" w:rsidP="008231EE">
            <w:pPr>
              <w:spacing w:line="278" w:lineRule="auto"/>
              <w:rPr>
                <w:sz w:val="20"/>
              </w:rPr>
            </w:pPr>
            <w:r w:rsidRPr="004C4595">
              <w:rPr>
                <w:sz w:val="20"/>
              </w:rPr>
              <w:t>7.717</w:t>
            </w:r>
          </w:p>
        </w:tc>
        <w:tc>
          <w:tcPr>
            <w:tcW w:w="1503" w:type="dxa"/>
          </w:tcPr>
          <w:p w14:paraId="4D325F59" w14:textId="77777777" w:rsidR="004C4595" w:rsidRPr="004C4595" w:rsidRDefault="004C4595" w:rsidP="008231EE">
            <w:pPr>
              <w:spacing w:line="278" w:lineRule="auto"/>
              <w:rPr>
                <w:sz w:val="20"/>
              </w:rPr>
            </w:pPr>
            <w:r w:rsidRPr="004C4595">
              <w:rPr>
                <w:sz w:val="20"/>
              </w:rPr>
              <w:t>15.337</w:t>
            </w:r>
          </w:p>
        </w:tc>
        <w:tc>
          <w:tcPr>
            <w:tcW w:w="1442" w:type="dxa"/>
          </w:tcPr>
          <w:p w14:paraId="2080BB91" w14:textId="77777777" w:rsidR="004C4595" w:rsidRPr="004C4595" w:rsidRDefault="004C4595" w:rsidP="008231EE">
            <w:pPr>
              <w:spacing w:line="278" w:lineRule="auto"/>
              <w:rPr>
                <w:sz w:val="20"/>
              </w:rPr>
            </w:pPr>
            <w:r w:rsidRPr="004C4595">
              <w:rPr>
                <w:sz w:val="20"/>
              </w:rPr>
              <w:t>11.332</w:t>
            </w:r>
          </w:p>
        </w:tc>
        <w:tc>
          <w:tcPr>
            <w:tcW w:w="2835" w:type="dxa"/>
          </w:tcPr>
          <w:p w14:paraId="05A8622D" w14:textId="77777777" w:rsidR="004C4595" w:rsidRPr="004C4595" w:rsidRDefault="004C4595" w:rsidP="008231EE">
            <w:pPr>
              <w:spacing w:line="278" w:lineRule="auto"/>
              <w:rPr>
                <w:sz w:val="20"/>
              </w:rPr>
            </w:pPr>
            <w:r w:rsidRPr="004C4595">
              <w:rPr>
                <w:sz w:val="20"/>
              </w:rPr>
              <w:t>1.433</w:t>
            </w:r>
          </w:p>
        </w:tc>
      </w:tr>
      <w:tr w:rsidR="004C4595" w:rsidRPr="004C4595" w14:paraId="19A5F03D" w14:textId="77777777" w:rsidTr="008231EE">
        <w:tc>
          <w:tcPr>
            <w:tcW w:w="1502" w:type="dxa"/>
          </w:tcPr>
          <w:p w14:paraId="3352322C" w14:textId="77777777" w:rsidR="004C4595" w:rsidRPr="004C4595" w:rsidRDefault="004C4595" w:rsidP="008231EE">
            <w:pPr>
              <w:spacing w:line="278" w:lineRule="auto"/>
              <w:rPr>
                <w:sz w:val="20"/>
              </w:rPr>
            </w:pPr>
            <w:r w:rsidRPr="004C4595">
              <w:rPr>
                <w:sz w:val="20"/>
              </w:rPr>
              <w:t>Leverage</w:t>
            </w:r>
          </w:p>
        </w:tc>
        <w:tc>
          <w:tcPr>
            <w:tcW w:w="1502" w:type="dxa"/>
          </w:tcPr>
          <w:p w14:paraId="735B82F2" w14:textId="77777777" w:rsidR="004C4595" w:rsidRPr="004C4595" w:rsidRDefault="004C4595" w:rsidP="008231EE">
            <w:pPr>
              <w:spacing w:line="278" w:lineRule="auto"/>
              <w:rPr>
                <w:sz w:val="20"/>
              </w:rPr>
            </w:pPr>
            <w:r w:rsidRPr="004C4595">
              <w:rPr>
                <w:sz w:val="20"/>
              </w:rPr>
              <w:t>-0.7605</w:t>
            </w:r>
          </w:p>
        </w:tc>
        <w:tc>
          <w:tcPr>
            <w:tcW w:w="1503" w:type="dxa"/>
          </w:tcPr>
          <w:p w14:paraId="18BB6A43" w14:textId="77777777" w:rsidR="004C4595" w:rsidRPr="004C4595" w:rsidRDefault="004C4595" w:rsidP="008231EE">
            <w:pPr>
              <w:spacing w:line="278" w:lineRule="auto"/>
              <w:rPr>
                <w:sz w:val="20"/>
              </w:rPr>
            </w:pPr>
            <w:r w:rsidRPr="004C4595">
              <w:rPr>
                <w:sz w:val="20"/>
              </w:rPr>
              <w:t>117.383</w:t>
            </w:r>
          </w:p>
        </w:tc>
        <w:tc>
          <w:tcPr>
            <w:tcW w:w="1442" w:type="dxa"/>
          </w:tcPr>
          <w:p w14:paraId="68E858FD" w14:textId="77777777" w:rsidR="004C4595" w:rsidRPr="004C4595" w:rsidRDefault="004C4595" w:rsidP="008231EE">
            <w:pPr>
              <w:spacing w:line="278" w:lineRule="auto"/>
              <w:rPr>
                <w:sz w:val="20"/>
              </w:rPr>
            </w:pPr>
            <w:r w:rsidRPr="004C4595">
              <w:rPr>
                <w:sz w:val="20"/>
              </w:rPr>
              <w:t>0.346</w:t>
            </w:r>
          </w:p>
        </w:tc>
        <w:tc>
          <w:tcPr>
            <w:tcW w:w="2835" w:type="dxa"/>
          </w:tcPr>
          <w:p w14:paraId="34AADB25" w14:textId="77777777" w:rsidR="004C4595" w:rsidRPr="004C4595" w:rsidRDefault="004C4595" w:rsidP="008231EE">
            <w:pPr>
              <w:spacing w:line="278" w:lineRule="auto"/>
              <w:rPr>
                <w:sz w:val="20"/>
              </w:rPr>
            </w:pPr>
            <w:r w:rsidRPr="004C4595">
              <w:rPr>
                <w:sz w:val="20"/>
              </w:rPr>
              <w:t>3.387</w:t>
            </w:r>
          </w:p>
        </w:tc>
      </w:tr>
    </w:tbl>
    <w:p w14:paraId="281AECF4" w14:textId="7843064B" w:rsidR="004C4595" w:rsidRDefault="00791786" w:rsidP="00791786">
      <w:pPr>
        <w:pStyle w:val="Heading1"/>
        <w:rPr>
          <w:rFonts w:asciiTheme="majorBidi" w:hAnsiTheme="majorBidi" w:cstheme="majorBidi"/>
          <w:caps w:val="0"/>
          <w:szCs w:val="24"/>
        </w:rPr>
      </w:pPr>
      <w:r w:rsidRPr="00791786">
        <w:rPr>
          <w:rFonts w:asciiTheme="majorBidi" w:hAnsiTheme="majorBidi" w:cstheme="majorBidi"/>
          <w:caps w:val="0"/>
          <w:szCs w:val="24"/>
        </w:rPr>
        <w:t>Regression Analyses</w:t>
      </w:r>
    </w:p>
    <w:p w14:paraId="3C17CADF" w14:textId="224B437C" w:rsidR="00791786" w:rsidRPr="00FF689B" w:rsidRDefault="00FF689B" w:rsidP="004462F2">
      <w:pPr>
        <w:jc w:val="both"/>
        <w:rPr>
          <w:sz w:val="20"/>
          <w:szCs w:val="24"/>
        </w:rPr>
      </w:pPr>
      <w:r w:rsidRPr="00FF689B">
        <w:rPr>
          <w:sz w:val="20"/>
          <w:szCs w:val="24"/>
        </w:rPr>
        <w:t>The findings of H1 tests for this research are shown in Table 3. The ESG SCORE factor, that is minus or significantly different at the 10% level (Coeff. = -1.695 p-value = 0.090), indicates substantial correlation between lower carbon emanations or greater ESG scores. Because companies who prioritize responsibility for society and environment are more inclined to take action to lower their ecological impact in order to satisfy demands of multiple participants, this outcome is to be expected. The findings are consistent with studies by [</w:t>
      </w:r>
      <w:r w:rsidR="000B0661">
        <w:rPr>
          <w:sz w:val="20"/>
          <w:szCs w:val="24"/>
        </w:rPr>
        <w:t>5</w:t>
      </w:r>
      <w:r w:rsidRPr="00FF689B">
        <w:rPr>
          <w:sz w:val="20"/>
          <w:szCs w:val="24"/>
        </w:rPr>
        <w:t>] and [</w:t>
      </w:r>
      <w:r w:rsidR="000B0661">
        <w:rPr>
          <w:sz w:val="20"/>
          <w:szCs w:val="24"/>
        </w:rPr>
        <w:t>12</w:t>
      </w:r>
      <w:r w:rsidRPr="00FF689B">
        <w:rPr>
          <w:sz w:val="20"/>
          <w:szCs w:val="24"/>
        </w:rPr>
        <w:t>], that similarly discovered a negative relationship amongst ESG performance and carbon emission magnitude. Thus, hypothesis 1 is validated. The carbon emission (-8.480, coefficient) is negative and significant, or p-value for female is 0.000.</w:t>
      </w:r>
    </w:p>
    <w:p w14:paraId="578794B6" w14:textId="77777777" w:rsidR="00791786" w:rsidRDefault="00791786" w:rsidP="00791786">
      <w:pPr>
        <w:pStyle w:val="Paragraph"/>
      </w:pPr>
    </w:p>
    <w:p w14:paraId="785985A9" w14:textId="7D665D8A" w:rsidR="00791786" w:rsidRPr="00844153" w:rsidRDefault="00791786" w:rsidP="00791786">
      <w:pPr>
        <w:jc w:val="center"/>
        <w:rPr>
          <w:b/>
          <w:bCs/>
          <w:sz w:val="18"/>
          <w:szCs w:val="18"/>
        </w:rPr>
      </w:pPr>
      <w:r w:rsidRPr="00844153">
        <w:rPr>
          <w:b/>
          <w:bCs/>
          <w:sz w:val="18"/>
          <w:szCs w:val="18"/>
        </w:rPr>
        <w:t xml:space="preserve">Table </w:t>
      </w:r>
      <w:r w:rsidR="00271AAC" w:rsidRPr="00844153">
        <w:rPr>
          <w:b/>
          <w:bCs/>
          <w:sz w:val="18"/>
          <w:szCs w:val="18"/>
        </w:rPr>
        <w:t>3</w:t>
      </w:r>
      <w:r w:rsidR="00157E89" w:rsidRPr="00844153">
        <w:rPr>
          <w:b/>
          <w:bCs/>
          <w:sz w:val="18"/>
          <w:szCs w:val="18"/>
        </w:rPr>
        <w:t>.</w:t>
      </w:r>
      <w:r w:rsidRPr="00844153">
        <w:rPr>
          <w:b/>
          <w:bCs/>
          <w:sz w:val="18"/>
          <w:szCs w:val="18"/>
        </w:rPr>
        <w:t xml:space="preserve"> </w:t>
      </w:r>
      <w:r w:rsidRPr="00844153">
        <w:rPr>
          <w:sz w:val="18"/>
          <w:szCs w:val="18"/>
        </w:rPr>
        <w:t>Regression Analysis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984"/>
        <w:gridCol w:w="3006"/>
      </w:tblGrid>
      <w:tr w:rsidR="00791786" w:rsidRPr="00791786" w14:paraId="37A20D1C" w14:textId="77777777" w:rsidTr="008231EE">
        <w:trPr>
          <w:jc w:val="center"/>
        </w:trPr>
        <w:tc>
          <w:tcPr>
            <w:tcW w:w="2547" w:type="dxa"/>
            <w:tcBorders>
              <w:top w:val="single" w:sz="4" w:space="0" w:color="auto"/>
              <w:bottom w:val="single" w:sz="4" w:space="0" w:color="auto"/>
            </w:tcBorders>
          </w:tcPr>
          <w:p w14:paraId="1D699BE8" w14:textId="77777777" w:rsidR="00791786" w:rsidRPr="00791786" w:rsidRDefault="00791786" w:rsidP="008231EE">
            <w:pPr>
              <w:spacing w:line="278" w:lineRule="auto"/>
              <w:rPr>
                <w:b/>
                <w:bCs/>
                <w:sz w:val="20"/>
              </w:rPr>
            </w:pPr>
            <w:r w:rsidRPr="00791786">
              <w:rPr>
                <w:b/>
                <w:bCs/>
                <w:sz w:val="20"/>
              </w:rPr>
              <w:t>Variable</w:t>
            </w:r>
          </w:p>
        </w:tc>
        <w:tc>
          <w:tcPr>
            <w:tcW w:w="1984" w:type="dxa"/>
            <w:tcBorders>
              <w:top w:val="single" w:sz="4" w:space="0" w:color="auto"/>
              <w:bottom w:val="single" w:sz="4" w:space="0" w:color="auto"/>
            </w:tcBorders>
          </w:tcPr>
          <w:p w14:paraId="778EE254" w14:textId="77777777" w:rsidR="00791786" w:rsidRPr="00791786" w:rsidRDefault="00791786" w:rsidP="008231EE">
            <w:pPr>
              <w:spacing w:line="278" w:lineRule="auto"/>
              <w:rPr>
                <w:b/>
                <w:bCs/>
                <w:sz w:val="20"/>
              </w:rPr>
            </w:pPr>
            <w:r w:rsidRPr="00791786">
              <w:rPr>
                <w:b/>
                <w:bCs/>
                <w:sz w:val="20"/>
              </w:rPr>
              <w:t>Coefficient</w:t>
            </w:r>
          </w:p>
        </w:tc>
        <w:tc>
          <w:tcPr>
            <w:tcW w:w="3006" w:type="dxa"/>
            <w:tcBorders>
              <w:top w:val="single" w:sz="4" w:space="0" w:color="auto"/>
              <w:bottom w:val="single" w:sz="4" w:space="0" w:color="auto"/>
            </w:tcBorders>
          </w:tcPr>
          <w:p w14:paraId="3F8DA28F" w14:textId="77777777" w:rsidR="00791786" w:rsidRPr="00791786" w:rsidRDefault="00791786" w:rsidP="008231EE">
            <w:pPr>
              <w:spacing w:line="278" w:lineRule="auto"/>
              <w:rPr>
                <w:b/>
                <w:bCs/>
                <w:sz w:val="20"/>
              </w:rPr>
            </w:pPr>
            <w:r w:rsidRPr="00791786">
              <w:rPr>
                <w:b/>
                <w:bCs/>
                <w:sz w:val="20"/>
              </w:rPr>
              <w:t>p-value</w:t>
            </w:r>
          </w:p>
        </w:tc>
      </w:tr>
      <w:tr w:rsidR="00791786" w:rsidRPr="00791786" w14:paraId="3021F8C5" w14:textId="77777777" w:rsidTr="008231EE">
        <w:trPr>
          <w:jc w:val="center"/>
        </w:trPr>
        <w:tc>
          <w:tcPr>
            <w:tcW w:w="2547" w:type="dxa"/>
            <w:tcBorders>
              <w:top w:val="single" w:sz="4" w:space="0" w:color="auto"/>
            </w:tcBorders>
          </w:tcPr>
          <w:p w14:paraId="5EDDB7BF" w14:textId="77777777" w:rsidR="00791786" w:rsidRPr="00791786" w:rsidRDefault="00791786" w:rsidP="008231EE">
            <w:pPr>
              <w:spacing w:line="278" w:lineRule="auto"/>
              <w:rPr>
                <w:sz w:val="20"/>
              </w:rPr>
            </w:pPr>
            <w:r w:rsidRPr="00791786">
              <w:rPr>
                <w:sz w:val="20"/>
              </w:rPr>
              <w:t>Constant</w:t>
            </w:r>
          </w:p>
        </w:tc>
        <w:tc>
          <w:tcPr>
            <w:tcW w:w="1984" w:type="dxa"/>
            <w:tcBorders>
              <w:top w:val="single" w:sz="4" w:space="0" w:color="auto"/>
            </w:tcBorders>
          </w:tcPr>
          <w:p w14:paraId="7ADF0CA6" w14:textId="77777777" w:rsidR="00791786" w:rsidRPr="00791786" w:rsidRDefault="00791786" w:rsidP="008231EE">
            <w:pPr>
              <w:spacing w:line="278" w:lineRule="auto"/>
              <w:rPr>
                <w:sz w:val="20"/>
              </w:rPr>
            </w:pPr>
            <w:r w:rsidRPr="00791786">
              <w:rPr>
                <w:sz w:val="20"/>
              </w:rPr>
              <w:t>7.556</w:t>
            </w:r>
          </w:p>
        </w:tc>
        <w:tc>
          <w:tcPr>
            <w:tcW w:w="3006" w:type="dxa"/>
            <w:tcBorders>
              <w:top w:val="single" w:sz="4" w:space="0" w:color="auto"/>
            </w:tcBorders>
          </w:tcPr>
          <w:p w14:paraId="59F53C95" w14:textId="77777777" w:rsidR="00791786" w:rsidRPr="00791786" w:rsidRDefault="00791786" w:rsidP="008231EE">
            <w:pPr>
              <w:spacing w:line="278" w:lineRule="auto"/>
              <w:rPr>
                <w:sz w:val="20"/>
              </w:rPr>
            </w:pPr>
            <w:r w:rsidRPr="00791786">
              <w:rPr>
                <w:sz w:val="20"/>
              </w:rPr>
              <w:t>0.000</w:t>
            </w:r>
          </w:p>
        </w:tc>
      </w:tr>
      <w:tr w:rsidR="00791786" w:rsidRPr="00791786" w14:paraId="2896B444" w14:textId="77777777" w:rsidTr="008231EE">
        <w:trPr>
          <w:jc w:val="center"/>
        </w:trPr>
        <w:tc>
          <w:tcPr>
            <w:tcW w:w="2547" w:type="dxa"/>
          </w:tcPr>
          <w:p w14:paraId="225172D6" w14:textId="77777777" w:rsidR="00791786" w:rsidRPr="00791786" w:rsidRDefault="00791786" w:rsidP="008231EE">
            <w:pPr>
              <w:spacing w:line="278" w:lineRule="auto"/>
              <w:rPr>
                <w:sz w:val="20"/>
              </w:rPr>
            </w:pPr>
            <w:r w:rsidRPr="00791786">
              <w:rPr>
                <w:sz w:val="20"/>
              </w:rPr>
              <w:t>ESG Score</w:t>
            </w:r>
          </w:p>
        </w:tc>
        <w:tc>
          <w:tcPr>
            <w:tcW w:w="1984" w:type="dxa"/>
          </w:tcPr>
          <w:p w14:paraId="29AF4A58" w14:textId="77777777" w:rsidR="00791786" w:rsidRPr="00791786" w:rsidRDefault="00791786" w:rsidP="008231EE">
            <w:pPr>
              <w:spacing w:line="278" w:lineRule="auto"/>
              <w:rPr>
                <w:sz w:val="20"/>
              </w:rPr>
            </w:pPr>
            <w:r w:rsidRPr="00791786">
              <w:rPr>
                <w:sz w:val="20"/>
              </w:rPr>
              <w:t>-1.695</w:t>
            </w:r>
          </w:p>
        </w:tc>
        <w:tc>
          <w:tcPr>
            <w:tcW w:w="3006" w:type="dxa"/>
          </w:tcPr>
          <w:p w14:paraId="44C3DA33" w14:textId="77777777" w:rsidR="00791786" w:rsidRPr="00791786" w:rsidRDefault="00791786" w:rsidP="008231EE">
            <w:pPr>
              <w:spacing w:line="278" w:lineRule="auto"/>
              <w:rPr>
                <w:sz w:val="20"/>
              </w:rPr>
            </w:pPr>
            <w:r w:rsidRPr="00791786">
              <w:rPr>
                <w:sz w:val="20"/>
              </w:rPr>
              <w:t>0.090*</w:t>
            </w:r>
          </w:p>
        </w:tc>
      </w:tr>
      <w:tr w:rsidR="00791786" w:rsidRPr="00791786" w14:paraId="47BBDCA1" w14:textId="77777777" w:rsidTr="008231EE">
        <w:trPr>
          <w:jc w:val="center"/>
        </w:trPr>
        <w:tc>
          <w:tcPr>
            <w:tcW w:w="2547" w:type="dxa"/>
          </w:tcPr>
          <w:p w14:paraId="388E5119" w14:textId="77777777" w:rsidR="00791786" w:rsidRPr="00791786" w:rsidRDefault="00791786" w:rsidP="008231EE">
            <w:pPr>
              <w:spacing w:line="278" w:lineRule="auto"/>
              <w:rPr>
                <w:sz w:val="20"/>
              </w:rPr>
            </w:pPr>
            <w:r w:rsidRPr="00791786">
              <w:rPr>
                <w:sz w:val="20"/>
              </w:rPr>
              <w:t>Women</w:t>
            </w:r>
          </w:p>
        </w:tc>
        <w:tc>
          <w:tcPr>
            <w:tcW w:w="1984" w:type="dxa"/>
          </w:tcPr>
          <w:p w14:paraId="46C9EEFE" w14:textId="77777777" w:rsidR="00791786" w:rsidRPr="00791786" w:rsidRDefault="00791786" w:rsidP="008231EE">
            <w:pPr>
              <w:spacing w:line="278" w:lineRule="auto"/>
              <w:rPr>
                <w:sz w:val="20"/>
              </w:rPr>
            </w:pPr>
            <w:r w:rsidRPr="00791786">
              <w:rPr>
                <w:sz w:val="20"/>
              </w:rPr>
              <w:t>-8.480</w:t>
            </w:r>
          </w:p>
        </w:tc>
        <w:tc>
          <w:tcPr>
            <w:tcW w:w="3006" w:type="dxa"/>
          </w:tcPr>
          <w:p w14:paraId="4BE267FB" w14:textId="77777777" w:rsidR="00791786" w:rsidRPr="00791786" w:rsidRDefault="00791786" w:rsidP="008231EE">
            <w:pPr>
              <w:spacing w:line="278" w:lineRule="auto"/>
              <w:rPr>
                <w:sz w:val="20"/>
              </w:rPr>
            </w:pPr>
            <w:r w:rsidRPr="00791786">
              <w:rPr>
                <w:sz w:val="20"/>
              </w:rPr>
              <w:t>0.000***</w:t>
            </w:r>
          </w:p>
        </w:tc>
      </w:tr>
      <w:tr w:rsidR="00791786" w:rsidRPr="00791786" w14:paraId="3F2BAD07" w14:textId="77777777" w:rsidTr="008231EE">
        <w:trPr>
          <w:jc w:val="center"/>
        </w:trPr>
        <w:tc>
          <w:tcPr>
            <w:tcW w:w="2547" w:type="dxa"/>
          </w:tcPr>
          <w:p w14:paraId="0D0BDB2B" w14:textId="77777777" w:rsidR="00791786" w:rsidRPr="00791786" w:rsidRDefault="00791786" w:rsidP="008231EE">
            <w:pPr>
              <w:spacing w:line="278" w:lineRule="auto"/>
              <w:rPr>
                <w:sz w:val="20"/>
              </w:rPr>
            </w:pPr>
            <w:r w:rsidRPr="00791786">
              <w:rPr>
                <w:sz w:val="20"/>
              </w:rPr>
              <w:t>Firm Size</w:t>
            </w:r>
          </w:p>
        </w:tc>
        <w:tc>
          <w:tcPr>
            <w:tcW w:w="1984" w:type="dxa"/>
          </w:tcPr>
          <w:p w14:paraId="1AE3A976" w14:textId="77777777" w:rsidR="00791786" w:rsidRPr="00791786" w:rsidRDefault="00791786" w:rsidP="008231EE">
            <w:pPr>
              <w:spacing w:line="278" w:lineRule="auto"/>
              <w:rPr>
                <w:sz w:val="20"/>
              </w:rPr>
            </w:pPr>
            <w:r w:rsidRPr="00791786">
              <w:rPr>
                <w:sz w:val="20"/>
              </w:rPr>
              <w:t>-4.019</w:t>
            </w:r>
          </w:p>
        </w:tc>
        <w:tc>
          <w:tcPr>
            <w:tcW w:w="3006" w:type="dxa"/>
          </w:tcPr>
          <w:p w14:paraId="2AE8C71F" w14:textId="77777777" w:rsidR="00791786" w:rsidRPr="00791786" w:rsidRDefault="00791786" w:rsidP="008231EE">
            <w:pPr>
              <w:spacing w:line="278" w:lineRule="auto"/>
              <w:rPr>
                <w:sz w:val="20"/>
              </w:rPr>
            </w:pPr>
            <w:r w:rsidRPr="00791786">
              <w:rPr>
                <w:sz w:val="20"/>
              </w:rPr>
              <w:t>0.000***</w:t>
            </w:r>
          </w:p>
        </w:tc>
      </w:tr>
      <w:tr w:rsidR="00791786" w:rsidRPr="00791786" w14:paraId="05DE58C2" w14:textId="77777777" w:rsidTr="008231EE">
        <w:trPr>
          <w:jc w:val="center"/>
        </w:trPr>
        <w:tc>
          <w:tcPr>
            <w:tcW w:w="2547" w:type="dxa"/>
          </w:tcPr>
          <w:p w14:paraId="0999CB4D" w14:textId="77777777" w:rsidR="00791786" w:rsidRPr="00791786" w:rsidRDefault="00791786" w:rsidP="008231EE">
            <w:pPr>
              <w:spacing w:line="278" w:lineRule="auto"/>
              <w:rPr>
                <w:sz w:val="20"/>
              </w:rPr>
            </w:pPr>
            <w:r w:rsidRPr="00791786">
              <w:rPr>
                <w:sz w:val="20"/>
              </w:rPr>
              <w:t>Leverage</w:t>
            </w:r>
          </w:p>
        </w:tc>
        <w:tc>
          <w:tcPr>
            <w:tcW w:w="1984" w:type="dxa"/>
          </w:tcPr>
          <w:p w14:paraId="6C18EFB5" w14:textId="77777777" w:rsidR="00791786" w:rsidRPr="00791786" w:rsidRDefault="00791786" w:rsidP="008231EE">
            <w:pPr>
              <w:spacing w:line="278" w:lineRule="auto"/>
              <w:rPr>
                <w:sz w:val="20"/>
              </w:rPr>
            </w:pPr>
            <w:r w:rsidRPr="00791786">
              <w:rPr>
                <w:sz w:val="20"/>
              </w:rPr>
              <w:t>-1.382</w:t>
            </w:r>
          </w:p>
        </w:tc>
        <w:tc>
          <w:tcPr>
            <w:tcW w:w="3006" w:type="dxa"/>
          </w:tcPr>
          <w:p w14:paraId="13B0EF70" w14:textId="77777777" w:rsidR="00791786" w:rsidRPr="00791786" w:rsidRDefault="00791786" w:rsidP="008231EE">
            <w:pPr>
              <w:spacing w:line="278" w:lineRule="auto"/>
              <w:rPr>
                <w:sz w:val="20"/>
              </w:rPr>
            </w:pPr>
            <w:r w:rsidRPr="00791786">
              <w:rPr>
                <w:sz w:val="20"/>
              </w:rPr>
              <w:t>0.167</w:t>
            </w:r>
          </w:p>
        </w:tc>
      </w:tr>
      <w:tr w:rsidR="00791786" w:rsidRPr="00791786" w14:paraId="17588539" w14:textId="77777777" w:rsidTr="008231EE">
        <w:trPr>
          <w:jc w:val="center"/>
        </w:trPr>
        <w:tc>
          <w:tcPr>
            <w:tcW w:w="2547" w:type="dxa"/>
          </w:tcPr>
          <w:p w14:paraId="3DFFBF60" w14:textId="77777777" w:rsidR="00791786" w:rsidRPr="00791786" w:rsidRDefault="00791786" w:rsidP="008231EE">
            <w:pPr>
              <w:spacing w:line="278" w:lineRule="auto"/>
              <w:rPr>
                <w:sz w:val="20"/>
              </w:rPr>
            </w:pPr>
            <w:r w:rsidRPr="00791786">
              <w:rPr>
                <w:sz w:val="20"/>
              </w:rPr>
              <w:t>F-stats</w:t>
            </w:r>
          </w:p>
        </w:tc>
        <w:tc>
          <w:tcPr>
            <w:tcW w:w="1984" w:type="dxa"/>
          </w:tcPr>
          <w:p w14:paraId="175DA8DC" w14:textId="77777777" w:rsidR="00791786" w:rsidRPr="00791786" w:rsidRDefault="00791786" w:rsidP="008231EE">
            <w:pPr>
              <w:spacing w:line="278" w:lineRule="auto"/>
              <w:rPr>
                <w:sz w:val="20"/>
              </w:rPr>
            </w:pPr>
            <w:r w:rsidRPr="00791786">
              <w:rPr>
                <w:sz w:val="20"/>
              </w:rPr>
              <w:t>12.011</w:t>
            </w:r>
          </w:p>
        </w:tc>
        <w:tc>
          <w:tcPr>
            <w:tcW w:w="3006" w:type="dxa"/>
          </w:tcPr>
          <w:p w14:paraId="7F23B15F" w14:textId="77777777" w:rsidR="00791786" w:rsidRPr="00791786" w:rsidRDefault="00791786" w:rsidP="008231EE">
            <w:pPr>
              <w:spacing w:line="278" w:lineRule="auto"/>
              <w:rPr>
                <w:sz w:val="20"/>
              </w:rPr>
            </w:pPr>
          </w:p>
        </w:tc>
      </w:tr>
      <w:tr w:rsidR="00791786" w:rsidRPr="00791786" w14:paraId="7EFF3429" w14:textId="77777777" w:rsidTr="008231EE">
        <w:trPr>
          <w:jc w:val="center"/>
        </w:trPr>
        <w:tc>
          <w:tcPr>
            <w:tcW w:w="2547" w:type="dxa"/>
          </w:tcPr>
          <w:p w14:paraId="39FB8AFD" w14:textId="77777777" w:rsidR="00791786" w:rsidRPr="00791786" w:rsidRDefault="00791786" w:rsidP="008231EE">
            <w:pPr>
              <w:spacing w:line="278" w:lineRule="auto"/>
              <w:rPr>
                <w:sz w:val="20"/>
              </w:rPr>
            </w:pPr>
            <w:r w:rsidRPr="00791786">
              <w:rPr>
                <w:sz w:val="20"/>
              </w:rPr>
              <w:t>Adjusted R-square</w:t>
            </w:r>
          </w:p>
        </w:tc>
        <w:tc>
          <w:tcPr>
            <w:tcW w:w="1984" w:type="dxa"/>
          </w:tcPr>
          <w:p w14:paraId="020FD6FE" w14:textId="77777777" w:rsidR="00791786" w:rsidRPr="00791786" w:rsidRDefault="00791786" w:rsidP="008231EE">
            <w:pPr>
              <w:spacing w:line="278" w:lineRule="auto"/>
              <w:rPr>
                <w:sz w:val="20"/>
              </w:rPr>
            </w:pPr>
            <w:r w:rsidRPr="00791786">
              <w:rPr>
                <w:sz w:val="20"/>
              </w:rPr>
              <w:t>0.260</w:t>
            </w:r>
          </w:p>
        </w:tc>
        <w:tc>
          <w:tcPr>
            <w:tcW w:w="3006" w:type="dxa"/>
          </w:tcPr>
          <w:p w14:paraId="34B781E6" w14:textId="77777777" w:rsidR="00791786" w:rsidRPr="00791786" w:rsidRDefault="00791786" w:rsidP="008231EE">
            <w:pPr>
              <w:spacing w:line="278" w:lineRule="auto"/>
              <w:rPr>
                <w:sz w:val="20"/>
              </w:rPr>
            </w:pPr>
          </w:p>
        </w:tc>
      </w:tr>
    </w:tbl>
    <w:p w14:paraId="1F811769" w14:textId="77777777" w:rsidR="00791786" w:rsidRPr="00E32A1D" w:rsidRDefault="00791786" w:rsidP="00791786">
      <w:pPr>
        <w:rPr>
          <w:b/>
          <w:bCs/>
        </w:rPr>
      </w:pPr>
    </w:p>
    <w:p w14:paraId="19F4068D" w14:textId="22DB60C4" w:rsidR="00791786" w:rsidRDefault="00791786" w:rsidP="00791786">
      <w:pPr>
        <w:pStyle w:val="Paragraph"/>
        <w:jc w:val="center"/>
        <w:rPr>
          <w:b/>
          <w:bCs/>
          <w:sz w:val="24"/>
          <w:szCs w:val="24"/>
        </w:rPr>
      </w:pPr>
      <w:r w:rsidRPr="00791786">
        <w:rPr>
          <w:b/>
          <w:bCs/>
          <w:sz w:val="24"/>
          <w:szCs w:val="24"/>
        </w:rPr>
        <w:t>Moderation Effect</w:t>
      </w:r>
    </w:p>
    <w:p w14:paraId="53F100AF" w14:textId="77777777" w:rsidR="00791786" w:rsidRDefault="00791786" w:rsidP="00791786">
      <w:pPr>
        <w:pStyle w:val="Paragraph"/>
        <w:jc w:val="center"/>
        <w:rPr>
          <w:b/>
          <w:bCs/>
          <w:sz w:val="24"/>
          <w:szCs w:val="24"/>
        </w:rPr>
      </w:pPr>
    </w:p>
    <w:p w14:paraId="60DBB961" w14:textId="1CD5F57E" w:rsidR="00EC44C7" w:rsidRPr="00EC44C7" w:rsidRDefault="00EC44C7" w:rsidP="004462F2">
      <w:pPr>
        <w:jc w:val="both"/>
        <w:rPr>
          <w:szCs w:val="24"/>
        </w:rPr>
      </w:pPr>
      <w:r w:rsidRPr="00EC44C7">
        <w:rPr>
          <w:sz w:val="20"/>
          <w:szCs w:val="24"/>
        </w:rPr>
        <w:t xml:space="preserve">Table 4 estimates reducing impact of female on board upon relationship among carbon discharge or ESG score. According to results, female significantly lessen relationship among carbon discharge or ESG score. With a negative coefficient (-1.464) and a p-value of 0.003, result shows a highly meaningful regulating connection. Table </w:t>
      </w:r>
      <w:r w:rsidR="003028A8">
        <w:rPr>
          <w:sz w:val="20"/>
          <w:szCs w:val="24"/>
        </w:rPr>
        <w:t>4</w:t>
      </w:r>
      <w:r w:rsidRPr="00EC44C7">
        <w:rPr>
          <w:sz w:val="20"/>
          <w:szCs w:val="24"/>
        </w:rPr>
        <w:t xml:space="preserve"> supports hypothesis H2, it states that association among carbon emissions and ESG score for Malaysian and Indonesian businesses has gradually lessened with presence of women. These findings are in line with those of [5], who demonstrated that</w:t>
      </w:r>
      <w:r w:rsidR="004462F2">
        <w:rPr>
          <w:sz w:val="20"/>
          <w:szCs w:val="24"/>
        </w:rPr>
        <w:t xml:space="preserve"> </w:t>
      </w:r>
      <w:r w:rsidRPr="00EC44C7">
        <w:rPr>
          <w:sz w:val="20"/>
          <w:szCs w:val="24"/>
        </w:rPr>
        <w:t>an important rise in proportion of female on boards can enhance businesses' accessibility or adherence to ethical standards, as demonstrated by quantity of carbon discharge they generate</w:t>
      </w:r>
      <w:r w:rsidRPr="00EC44C7">
        <w:rPr>
          <w:szCs w:val="24"/>
        </w:rPr>
        <w:t>.</w:t>
      </w:r>
    </w:p>
    <w:p w14:paraId="0FBF001A" w14:textId="53EA199A" w:rsidR="00791786" w:rsidRPr="00844153" w:rsidRDefault="00791786" w:rsidP="00791786">
      <w:pPr>
        <w:ind w:firstLine="284"/>
        <w:jc w:val="both"/>
        <w:rPr>
          <w:sz w:val="18"/>
          <w:szCs w:val="18"/>
        </w:rPr>
      </w:pPr>
    </w:p>
    <w:p w14:paraId="33B91946" w14:textId="11348164" w:rsidR="00791786" w:rsidRPr="00844153" w:rsidRDefault="00791786" w:rsidP="00791786">
      <w:pPr>
        <w:jc w:val="center"/>
        <w:rPr>
          <w:b/>
          <w:bCs/>
          <w:sz w:val="18"/>
          <w:szCs w:val="18"/>
        </w:rPr>
      </w:pPr>
      <w:r w:rsidRPr="00844153">
        <w:rPr>
          <w:b/>
          <w:bCs/>
          <w:sz w:val="18"/>
          <w:szCs w:val="18"/>
        </w:rPr>
        <w:t xml:space="preserve">Table </w:t>
      </w:r>
      <w:r w:rsidR="00271AAC" w:rsidRPr="00844153">
        <w:rPr>
          <w:b/>
          <w:bCs/>
          <w:sz w:val="18"/>
          <w:szCs w:val="18"/>
        </w:rPr>
        <w:t>4</w:t>
      </w:r>
      <w:r w:rsidR="00157E89" w:rsidRPr="00844153">
        <w:rPr>
          <w:b/>
          <w:bCs/>
          <w:sz w:val="18"/>
          <w:szCs w:val="18"/>
        </w:rPr>
        <w:t xml:space="preserve">. </w:t>
      </w:r>
      <w:r w:rsidRPr="00844153">
        <w:rPr>
          <w:b/>
          <w:bCs/>
          <w:sz w:val="18"/>
          <w:szCs w:val="18"/>
        </w:rPr>
        <w:t xml:space="preserve"> </w:t>
      </w:r>
      <w:r w:rsidRPr="00844153">
        <w:rPr>
          <w:sz w:val="18"/>
          <w:szCs w:val="18"/>
        </w:rPr>
        <w:t>Moderating Regression Analyses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5"/>
        <w:gridCol w:w="3006"/>
      </w:tblGrid>
      <w:tr w:rsidR="00791786" w:rsidRPr="00791786" w14:paraId="245B2DC8" w14:textId="77777777" w:rsidTr="00791786">
        <w:tc>
          <w:tcPr>
            <w:tcW w:w="3006" w:type="dxa"/>
            <w:tcBorders>
              <w:top w:val="single" w:sz="4" w:space="0" w:color="auto"/>
              <w:bottom w:val="single" w:sz="4" w:space="0" w:color="auto"/>
            </w:tcBorders>
          </w:tcPr>
          <w:p w14:paraId="5F0B6E07" w14:textId="77777777" w:rsidR="00791786" w:rsidRPr="00791786" w:rsidRDefault="00791786" w:rsidP="008231EE">
            <w:pPr>
              <w:spacing w:line="278" w:lineRule="auto"/>
              <w:rPr>
                <w:b/>
                <w:bCs/>
                <w:sz w:val="20"/>
              </w:rPr>
            </w:pPr>
            <w:r w:rsidRPr="00791786">
              <w:rPr>
                <w:b/>
                <w:bCs/>
                <w:sz w:val="20"/>
              </w:rPr>
              <w:t>Variable</w:t>
            </w:r>
          </w:p>
        </w:tc>
        <w:tc>
          <w:tcPr>
            <w:tcW w:w="3005" w:type="dxa"/>
            <w:tcBorders>
              <w:top w:val="single" w:sz="4" w:space="0" w:color="auto"/>
              <w:bottom w:val="single" w:sz="4" w:space="0" w:color="auto"/>
            </w:tcBorders>
          </w:tcPr>
          <w:p w14:paraId="5488F1B3" w14:textId="77777777" w:rsidR="00791786" w:rsidRPr="00791786" w:rsidRDefault="00791786" w:rsidP="008231EE">
            <w:pPr>
              <w:spacing w:line="278" w:lineRule="auto"/>
              <w:rPr>
                <w:b/>
                <w:bCs/>
                <w:sz w:val="20"/>
              </w:rPr>
            </w:pPr>
            <w:r w:rsidRPr="00791786">
              <w:rPr>
                <w:b/>
                <w:bCs/>
                <w:sz w:val="20"/>
              </w:rPr>
              <w:t>Coefficient</w:t>
            </w:r>
          </w:p>
        </w:tc>
        <w:tc>
          <w:tcPr>
            <w:tcW w:w="3006" w:type="dxa"/>
            <w:tcBorders>
              <w:top w:val="single" w:sz="4" w:space="0" w:color="auto"/>
              <w:bottom w:val="single" w:sz="4" w:space="0" w:color="auto"/>
            </w:tcBorders>
          </w:tcPr>
          <w:p w14:paraId="24AD3872" w14:textId="77777777" w:rsidR="00791786" w:rsidRPr="00791786" w:rsidRDefault="00791786" w:rsidP="008231EE">
            <w:pPr>
              <w:spacing w:line="278" w:lineRule="auto"/>
              <w:rPr>
                <w:b/>
                <w:bCs/>
                <w:sz w:val="20"/>
              </w:rPr>
            </w:pPr>
            <w:r w:rsidRPr="00791786">
              <w:rPr>
                <w:b/>
                <w:bCs/>
                <w:sz w:val="20"/>
              </w:rPr>
              <w:t>p-value</w:t>
            </w:r>
          </w:p>
        </w:tc>
      </w:tr>
      <w:tr w:rsidR="00791786" w:rsidRPr="00791786" w14:paraId="5B86984E" w14:textId="77777777" w:rsidTr="00791786">
        <w:tc>
          <w:tcPr>
            <w:tcW w:w="3006" w:type="dxa"/>
            <w:tcBorders>
              <w:top w:val="single" w:sz="4" w:space="0" w:color="auto"/>
            </w:tcBorders>
          </w:tcPr>
          <w:p w14:paraId="58F80641" w14:textId="77777777" w:rsidR="00791786" w:rsidRPr="00791786" w:rsidRDefault="00791786" w:rsidP="008231EE">
            <w:pPr>
              <w:spacing w:line="278" w:lineRule="auto"/>
              <w:rPr>
                <w:sz w:val="20"/>
              </w:rPr>
            </w:pPr>
            <w:r w:rsidRPr="00791786">
              <w:rPr>
                <w:sz w:val="20"/>
              </w:rPr>
              <w:t>Constant</w:t>
            </w:r>
          </w:p>
        </w:tc>
        <w:tc>
          <w:tcPr>
            <w:tcW w:w="3005" w:type="dxa"/>
            <w:tcBorders>
              <w:top w:val="single" w:sz="4" w:space="0" w:color="auto"/>
            </w:tcBorders>
          </w:tcPr>
          <w:p w14:paraId="3E14D915" w14:textId="77777777" w:rsidR="00791786" w:rsidRPr="00791786" w:rsidRDefault="00791786" w:rsidP="008231EE">
            <w:pPr>
              <w:spacing w:line="278" w:lineRule="auto"/>
              <w:rPr>
                <w:sz w:val="20"/>
              </w:rPr>
            </w:pPr>
            <w:r w:rsidRPr="00791786">
              <w:rPr>
                <w:sz w:val="20"/>
              </w:rPr>
              <w:t>6.813</w:t>
            </w:r>
          </w:p>
        </w:tc>
        <w:tc>
          <w:tcPr>
            <w:tcW w:w="3006" w:type="dxa"/>
            <w:tcBorders>
              <w:top w:val="single" w:sz="4" w:space="0" w:color="auto"/>
            </w:tcBorders>
          </w:tcPr>
          <w:p w14:paraId="40D8E2EE" w14:textId="77777777" w:rsidR="00791786" w:rsidRPr="00791786" w:rsidRDefault="00791786" w:rsidP="008231EE">
            <w:pPr>
              <w:spacing w:line="278" w:lineRule="auto"/>
              <w:rPr>
                <w:sz w:val="20"/>
              </w:rPr>
            </w:pPr>
            <w:r w:rsidRPr="00791786">
              <w:rPr>
                <w:sz w:val="20"/>
              </w:rPr>
              <w:t>0.000</w:t>
            </w:r>
          </w:p>
        </w:tc>
      </w:tr>
      <w:tr w:rsidR="00791786" w:rsidRPr="00791786" w14:paraId="18C9390B" w14:textId="77777777" w:rsidTr="00791786">
        <w:tc>
          <w:tcPr>
            <w:tcW w:w="3006" w:type="dxa"/>
          </w:tcPr>
          <w:p w14:paraId="558DCBFD" w14:textId="77777777" w:rsidR="00791786" w:rsidRPr="00791786" w:rsidRDefault="00791786" w:rsidP="008231EE">
            <w:pPr>
              <w:spacing w:line="278" w:lineRule="auto"/>
              <w:rPr>
                <w:sz w:val="20"/>
              </w:rPr>
            </w:pPr>
            <w:r w:rsidRPr="00791786">
              <w:rPr>
                <w:sz w:val="20"/>
              </w:rPr>
              <w:t>ESG Score</w:t>
            </w:r>
          </w:p>
        </w:tc>
        <w:tc>
          <w:tcPr>
            <w:tcW w:w="3005" w:type="dxa"/>
          </w:tcPr>
          <w:p w14:paraId="3BD79914" w14:textId="77777777" w:rsidR="00791786" w:rsidRPr="00791786" w:rsidRDefault="00791786" w:rsidP="008231EE">
            <w:pPr>
              <w:spacing w:line="278" w:lineRule="auto"/>
              <w:rPr>
                <w:sz w:val="20"/>
              </w:rPr>
            </w:pPr>
            <w:r w:rsidRPr="00791786">
              <w:rPr>
                <w:sz w:val="20"/>
              </w:rPr>
              <w:t>-2.204</w:t>
            </w:r>
          </w:p>
        </w:tc>
        <w:tc>
          <w:tcPr>
            <w:tcW w:w="3006" w:type="dxa"/>
          </w:tcPr>
          <w:p w14:paraId="59186AE2" w14:textId="77777777" w:rsidR="00791786" w:rsidRPr="00791786" w:rsidRDefault="00791786" w:rsidP="008231EE">
            <w:pPr>
              <w:spacing w:line="278" w:lineRule="auto"/>
              <w:rPr>
                <w:sz w:val="20"/>
              </w:rPr>
            </w:pPr>
            <w:r w:rsidRPr="00791786">
              <w:rPr>
                <w:sz w:val="20"/>
              </w:rPr>
              <w:t>0.028</w:t>
            </w:r>
          </w:p>
        </w:tc>
      </w:tr>
      <w:tr w:rsidR="00791786" w:rsidRPr="00791786" w14:paraId="52055AE5" w14:textId="77777777" w:rsidTr="00791786">
        <w:tc>
          <w:tcPr>
            <w:tcW w:w="3006" w:type="dxa"/>
          </w:tcPr>
          <w:p w14:paraId="7A9E25C5" w14:textId="77777777" w:rsidR="00791786" w:rsidRPr="00791786" w:rsidRDefault="00791786" w:rsidP="008231EE">
            <w:pPr>
              <w:spacing w:line="278" w:lineRule="auto"/>
              <w:rPr>
                <w:sz w:val="20"/>
              </w:rPr>
            </w:pPr>
            <w:r w:rsidRPr="00791786">
              <w:rPr>
                <w:sz w:val="20"/>
              </w:rPr>
              <w:t>ESG score*Women</w:t>
            </w:r>
          </w:p>
        </w:tc>
        <w:tc>
          <w:tcPr>
            <w:tcW w:w="3005" w:type="dxa"/>
          </w:tcPr>
          <w:p w14:paraId="201C0169" w14:textId="77777777" w:rsidR="00791786" w:rsidRPr="00791786" w:rsidRDefault="00791786" w:rsidP="008231EE">
            <w:pPr>
              <w:spacing w:line="278" w:lineRule="auto"/>
              <w:rPr>
                <w:sz w:val="20"/>
              </w:rPr>
            </w:pPr>
            <w:r w:rsidRPr="00791786">
              <w:rPr>
                <w:sz w:val="20"/>
              </w:rPr>
              <w:t>-1.464</w:t>
            </w:r>
          </w:p>
        </w:tc>
        <w:tc>
          <w:tcPr>
            <w:tcW w:w="3006" w:type="dxa"/>
          </w:tcPr>
          <w:p w14:paraId="6D6EE2F2" w14:textId="77777777" w:rsidR="00791786" w:rsidRPr="00791786" w:rsidRDefault="00791786" w:rsidP="008231EE">
            <w:pPr>
              <w:spacing w:line="278" w:lineRule="auto"/>
              <w:rPr>
                <w:sz w:val="20"/>
              </w:rPr>
            </w:pPr>
            <w:r w:rsidRPr="00791786">
              <w:rPr>
                <w:sz w:val="20"/>
              </w:rPr>
              <w:t>0.003</w:t>
            </w:r>
          </w:p>
        </w:tc>
      </w:tr>
      <w:tr w:rsidR="00791786" w:rsidRPr="00791786" w14:paraId="45500A66" w14:textId="77777777" w:rsidTr="00791786">
        <w:tc>
          <w:tcPr>
            <w:tcW w:w="3006" w:type="dxa"/>
          </w:tcPr>
          <w:p w14:paraId="327CDC22" w14:textId="77777777" w:rsidR="00791786" w:rsidRPr="00791786" w:rsidRDefault="00791786" w:rsidP="008231EE">
            <w:pPr>
              <w:spacing w:line="278" w:lineRule="auto"/>
              <w:rPr>
                <w:sz w:val="20"/>
              </w:rPr>
            </w:pPr>
            <w:r w:rsidRPr="00791786">
              <w:rPr>
                <w:sz w:val="20"/>
              </w:rPr>
              <w:t>Firm Size</w:t>
            </w:r>
          </w:p>
        </w:tc>
        <w:tc>
          <w:tcPr>
            <w:tcW w:w="3005" w:type="dxa"/>
          </w:tcPr>
          <w:p w14:paraId="7B15CF20" w14:textId="77777777" w:rsidR="00791786" w:rsidRPr="00791786" w:rsidRDefault="00791786" w:rsidP="008231EE">
            <w:pPr>
              <w:spacing w:line="278" w:lineRule="auto"/>
              <w:rPr>
                <w:sz w:val="20"/>
              </w:rPr>
            </w:pPr>
            <w:r w:rsidRPr="00791786">
              <w:rPr>
                <w:sz w:val="20"/>
              </w:rPr>
              <w:t>-4.376</w:t>
            </w:r>
          </w:p>
        </w:tc>
        <w:tc>
          <w:tcPr>
            <w:tcW w:w="3006" w:type="dxa"/>
          </w:tcPr>
          <w:p w14:paraId="0EB80978" w14:textId="77777777" w:rsidR="00791786" w:rsidRPr="00791786" w:rsidRDefault="00791786" w:rsidP="008231EE">
            <w:pPr>
              <w:spacing w:line="278" w:lineRule="auto"/>
              <w:rPr>
                <w:sz w:val="20"/>
              </w:rPr>
            </w:pPr>
            <w:r w:rsidRPr="00791786">
              <w:rPr>
                <w:sz w:val="20"/>
              </w:rPr>
              <w:t>0.000***</w:t>
            </w:r>
          </w:p>
        </w:tc>
      </w:tr>
      <w:tr w:rsidR="00791786" w:rsidRPr="00791786" w14:paraId="5448835A" w14:textId="77777777" w:rsidTr="00791786">
        <w:tc>
          <w:tcPr>
            <w:tcW w:w="3006" w:type="dxa"/>
          </w:tcPr>
          <w:p w14:paraId="2AABC1AC" w14:textId="77777777" w:rsidR="00791786" w:rsidRPr="00791786" w:rsidRDefault="00791786" w:rsidP="008231EE">
            <w:pPr>
              <w:spacing w:line="278" w:lineRule="auto"/>
              <w:rPr>
                <w:sz w:val="20"/>
              </w:rPr>
            </w:pPr>
            <w:r w:rsidRPr="00791786">
              <w:rPr>
                <w:sz w:val="20"/>
              </w:rPr>
              <w:t>Leverage</w:t>
            </w:r>
          </w:p>
        </w:tc>
        <w:tc>
          <w:tcPr>
            <w:tcW w:w="3005" w:type="dxa"/>
          </w:tcPr>
          <w:p w14:paraId="1A31BC6D" w14:textId="77777777" w:rsidR="00791786" w:rsidRPr="00791786" w:rsidRDefault="00791786" w:rsidP="008231EE">
            <w:pPr>
              <w:spacing w:line="278" w:lineRule="auto"/>
              <w:rPr>
                <w:sz w:val="20"/>
              </w:rPr>
            </w:pPr>
            <w:r w:rsidRPr="00791786">
              <w:rPr>
                <w:sz w:val="20"/>
              </w:rPr>
              <w:t>-1.527</w:t>
            </w:r>
          </w:p>
        </w:tc>
        <w:tc>
          <w:tcPr>
            <w:tcW w:w="3006" w:type="dxa"/>
          </w:tcPr>
          <w:p w14:paraId="01166C61" w14:textId="77777777" w:rsidR="00791786" w:rsidRPr="00791786" w:rsidRDefault="00791786" w:rsidP="008231EE">
            <w:pPr>
              <w:spacing w:line="278" w:lineRule="auto"/>
              <w:rPr>
                <w:sz w:val="20"/>
              </w:rPr>
            </w:pPr>
            <w:r w:rsidRPr="00791786">
              <w:rPr>
                <w:sz w:val="20"/>
              </w:rPr>
              <w:t>0.127</w:t>
            </w:r>
          </w:p>
        </w:tc>
      </w:tr>
      <w:tr w:rsidR="00791786" w:rsidRPr="00791786" w14:paraId="47BD3CC5" w14:textId="77777777" w:rsidTr="00791786">
        <w:tc>
          <w:tcPr>
            <w:tcW w:w="3006" w:type="dxa"/>
          </w:tcPr>
          <w:p w14:paraId="7CE403C9" w14:textId="77777777" w:rsidR="00791786" w:rsidRPr="00791786" w:rsidRDefault="00791786" w:rsidP="008231EE">
            <w:pPr>
              <w:spacing w:line="278" w:lineRule="auto"/>
              <w:rPr>
                <w:sz w:val="20"/>
              </w:rPr>
            </w:pPr>
            <w:r w:rsidRPr="00791786">
              <w:rPr>
                <w:sz w:val="20"/>
              </w:rPr>
              <w:t>F-stats</w:t>
            </w:r>
          </w:p>
        </w:tc>
        <w:tc>
          <w:tcPr>
            <w:tcW w:w="3005" w:type="dxa"/>
          </w:tcPr>
          <w:p w14:paraId="5272377F" w14:textId="77777777" w:rsidR="00791786" w:rsidRPr="00791786" w:rsidRDefault="00791786" w:rsidP="008231EE">
            <w:pPr>
              <w:spacing w:line="278" w:lineRule="auto"/>
              <w:rPr>
                <w:sz w:val="20"/>
              </w:rPr>
            </w:pPr>
            <w:r w:rsidRPr="00791786">
              <w:rPr>
                <w:sz w:val="20"/>
              </w:rPr>
              <w:t>17.056</w:t>
            </w:r>
          </w:p>
        </w:tc>
        <w:tc>
          <w:tcPr>
            <w:tcW w:w="3006" w:type="dxa"/>
          </w:tcPr>
          <w:p w14:paraId="02C7D82F" w14:textId="77777777" w:rsidR="00791786" w:rsidRPr="00791786" w:rsidRDefault="00791786" w:rsidP="008231EE">
            <w:pPr>
              <w:spacing w:line="278" w:lineRule="auto"/>
              <w:rPr>
                <w:sz w:val="20"/>
              </w:rPr>
            </w:pPr>
          </w:p>
        </w:tc>
      </w:tr>
      <w:tr w:rsidR="00791786" w:rsidRPr="00791786" w14:paraId="077762E0" w14:textId="77777777" w:rsidTr="00791786">
        <w:tc>
          <w:tcPr>
            <w:tcW w:w="3006" w:type="dxa"/>
          </w:tcPr>
          <w:p w14:paraId="41D1262A" w14:textId="77777777" w:rsidR="00791786" w:rsidRPr="00791786" w:rsidRDefault="00791786" w:rsidP="008231EE">
            <w:pPr>
              <w:spacing w:line="278" w:lineRule="auto"/>
              <w:rPr>
                <w:sz w:val="20"/>
              </w:rPr>
            </w:pPr>
            <w:r w:rsidRPr="00791786">
              <w:rPr>
                <w:sz w:val="20"/>
              </w:rPr>
              <w:t>Adjusted R-square</w:t>
            </w:r>
          </w:p>
        </w:tc>
        <w:tc>
          <w:tcPr>
            <w:tcW w:w="3005" w:type="dxa"/>
          </w:tcPr>
          <w:p w14:paraId="0FB1E683" w14:textId="77777777" w:rsidR="00791786" w:rsidRPr="00791786" w:rsidRDefault="00791786" w:rsidP="008231EE">
            <w:pPr>
              <w:spacing w:line="278" w:lineRule="auto"/>
              <w:rPr>
                <w:sz w:val="20"/>
              </w:rPr>
            </w:pPr>
            <w:r w:rsidRPr="00791786">
              <w:rPr>
                <w:sz w:val="20"/>
              </w:rPr>
              <w:t>0.115</w:t>
            </w:r>
          </w:p>
        </w:tc>
        <w:tc>
          <w:tcPr>
            <w:tcW w:w="3006" w:type="dxa"/>
          </w:tcPr>
          <w:p w14:paraId="36E4ED7B" w14:textId="77777777" w:rsidR="00791786" w:rsidRPr="00791786" w:rsidRDefault="00791786" w:rsidP="008231EE">
            <w:pPr>
              <w:spacing w:line="278" w:lineRule="auto"/>
              <w:rPr>
                <w:sz w:val="20"/>
              </w:rPr>
            </w:pPr>
          </w:p>
        </w:tc>
      </w:tr>
    </w:tbl>
    <w:p w14:paraId="1712E1BC" w14:textId="77777777" w:rsidR="00791786" w:rsidRDefault="00791786" w:rsidP="00791786">
      <w:pPr>
        <w:pStyle w:val="Paragraph"/>
        <w:jc w:val="center"/>
        <w:rPr>
          <w:b/>
          <w:bCs/>
        </w:rPr>
      </w:pPr>
    </w:p>
    <w:p w14:paraId="19A76333" w14:textId="081E8CF9" w:rsidR="00791786" w:rsidRDefault="00791786" w:rsidP="00791786">
      <w:pPr>
        <w:pStyle w:val="Paragraph"/>
        <w:jc w:val="center"/>
        <w:rPr>
          <w:b/>
          <w:bCs/>
          <w:sz w:val="24"/>
          <w:szCs w:val="24"/>
        </w:rPr>
      </w:pPr>
      <w:r w:rsidRPr="00791786">
        <w:rPr>
          <w:b/>
          <w:bCs/>
          <w:sz w:val="24"/>
          <w:szCs w:val="24"/>
        </w:rPr>
        <w:t>Predictive Modeling</w:t>
      </w:r>
    </w:p>
    <w:p w14:paraId="684CB194" w14:textId="6DB75BB9" w:rsidR="00791786" w:rsidRDefault="00791786" w:rsidP="00791786">
      <w:pPr>
        <w:jc w:val="both"/>
        <w:rPr>
          <w:sz w:val="20"/>
        </w:rPr>
      </w:pPr>
      <w:r w:rsidRPr="00791786">
        <w:rPr>
          <w:sz w:val="20"/>
        </w:rPr>
        <w:t xml:space="preserve">The Random Forest model used for predicting carbon emissions achieved an accuracy of 86% as shown in Figure </w:t>
      </w:r>
      <w:r w:rsidR="00E32BEB">
        <w:rPr>
          <w:sz w:val="20"/>
        </w:rPr>
        <w:t>1</w:t>
      </w:r>
      <w:r w:rsidRPr="00791786">
        <w:rPr>
          <w:sz w:val="20"/>
        </w:rPr>
        <w:t xml:space="preserve">, indicating a strong predictive performance and reliable classification capability. Among the input variables, the most </w:t>
      </w:r>
      <w:r w:rsidRPr="00791786">
        <w:rPr>
          <w:sz w:val="20"/>
        </w:rPr>
        <w:lastRenderedPageBreak/>
        <w:t>influential predictors identified by the model were the ESG score, firm size, and the percentage of women on the board. These variables contributed significantly to the model’s ability to distinguish between high and low emission firms, suggesting that sustainability practices, corporate scale, and board gender diversity play critical roles in determining a company’s environmental impact.</w:t>
      </w:r>
    </w:p>
    <w:p w14:paraId="3E8593FF" w14:textId="77777777" w:rsidR="00E32BEB" w:rsidRPr="00844153" w:rsidRDefault="00E32BEB" w:rsidP="00791786">
      <w:pPr>
        <w:jc w:val="both"/>
        <w:rPr>
          <w:sz w:val="18"/>
          <w:szCs w:val="18"/>
        </w:rPr>
      </w:pPr>
    </w:p>
    <w:p w14:paraId="257C0918" w14:textId="78655250" w:rsidR="00E32BEB" w:rsidRPr="00844153" w:rsidRDefault="00E32BEB" w:rsidP="00E32BEB">
      <w:pPr>
        <w:jc w:val="center"/>
        <w:rPr>
          <w:b/>
          <w:bCs/>
          <w:sz w:val="18"/>
          <w:szCs w:val="18"/>
        </w:rPr>
      </w:pPr>
      <w:r w:rsidRPr="00844153">
        <w:rPr>
          <w:b/>
          <w:bCs/>
          <w:sz w:val="18"/>
          <w:szCs w:val="18"/>
        </w:rPr>
        <w:t xml:space="preserve">FIGURE </w:t>
      </w:r>
      <w:r w:rsidR="00CB6631" w:rsidRPr="00844153">
        <w:rPr>
          <w:b/>
          <w:bCs/>
          <w:sz w:val="18"/>
          <w:szCs w:val="18"/>
        </w:rPr>
        <w:t>1.</w:t>
      </w:r>
      <w:r w:rsidRPr="00844153">
        <w:rPr>
          <w:b/>
          <w:bCs/>
          <w:sz w:val="18"/>
          <w:szCs w:val="18"/>
        </w:rPr>
        <w:t xml:space="preserve"> </w:t>
      </w:r>
      <w:r w:rsidRPr="00844153">
        <w:rPr>
          <w:sz w:val="18"/>
          <w:szCs w:val="18"/>
        </w:rPr>
        <w:t xml:space="preserve">ESG X % </w:t>
      </w:r>
      <w:r w:rsidR="00844153" w:rsidRPr="00844153">
        <w:rPr>
          <w:sz w:val="18"/>
          <w:szCs w:val="18"/>
        </w:rPr>
        <w:t>Women Directors Interaction</w:t>
      </w:r>
    </w:p>
    <w:p w14:paraId="202D225F" w14:textId="6CCACDCC" w:rsidR="00791786" w:rsidRPr="00791786" w:rsidRDefault="00791786" w:rsidP="00791786">
      <w:pPr>
        <w:pStyle w:val="Paragraph"/>
        <w:jc w:val="center"/>
        <w:rPr>
          <w:b/>
          <w:bCs/>
          <w:sz w:val="24"/>
          <w:szCs w:val="24"/>
        </w:rPr>
      </w:pPr>
      <w:r>
        <w:rPr>
          <w:noProof/>
        </w:rPr>
        <w:drawing>
          <wp:inline distT="0" distB="0" distL="0" distR="0" wp14:anchorId="3B45EADE" wp14:editId="569FFB9C">
            <wp:extent cx="4199953" cy="2023533"/>
            <wp:effectExtent l="0" t="0" r="3810" b="0"/>
            <wp:docPr id="2" name="Picture 2" descr="A graph of a person's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person's performance&#10;&#10;AI-generated content may be incorrect."/>
                    <pic:cNvPicPr/>
                  </pic:nvPicPr>
                  <pic:blipFill rotWithShape="1">
                    <a:blip r:embed="rId13"/>
                    <a:srcRect t="6586"/>
                    <a:stretch/>
                  </pic:blipFill>
                  <pic:spPr bwMode="auto">
                    <a:xfrm>
                      <a:off x="0" y="0"/>
                      <a:ext cx="4267794" cy="2056219"/>
                    </a:xfrm>
                    <a:prstGeom prst="rect">
                      <a:avLst/>
                    </a:prstGeom>
                    <a:ln>
                      <a:noFill/>
                    </a:ln>
                    <a:extLst>
                      <a:ext uri="{53640926-AAD7-44D8-BBD7-CCE9431645EC}">
                        <a14:shadowObscured xmlns:a14="http://schemas.microsoft.com/office/drawing/2010/main"/>
                      </a:ext>
                    </a:extLst>
                  </pic:spPr>
                </pic:pic>
              </a:graphicData>
            </a:graphic>
          </wp:inline>
        </w:drawing>
      </w:r>
    </w:p>
    <w:p w14:paraId="0D3647B8" w14:textId="5BBC128D" w:rsidR="00206ED9" w:rsidRDefault="00206ED9" w:rsidP="00206ED9">
      <w:pPr>
        <w:jc w:val="both"/>
        <w:rPr>
          <w:sz w:val="20"/>
        </w:rPr>
      </w:pPr>
      <w:r w:rsidRPr="00206ED9">
        <w:rPr>
          <w:sz w:val="20"/>
        </w:rPr>
        <w:t xml:space="preserve">Figure </w:t>
      </w:r>
      <w:r w:rsidR="00E32BEB">
        <w:rPr>
          <w:sz w:val="20"/>
        </w:rPr>
        <w:t>2</w:t>
      </w:r>
      <w:r w:rsidRPr="00206ED9">
        <w:rPr>
          <w:sz w:val="20"/>
        </w:rPr>
        <w:t xml:space="preserve"> shows the relative importance of input variables in predicting corporate carbon emissions using a Random Forest model, a type of machine learning algorithm that is especially effective for regression and classification tasks. The ESG Score has the highest feature importance, meaning it's the most powerful predictor of a firm’s carbon emissions among the variables considered. </w:t>
      </w:r>
    </w:p>
    <w:p w14:paraId="5D5851C5" w14:textId="77777777" w:rsidR="00206ED9" w:rsidRDefault="00206ED9" w:rsidP="00206ED9">
      <w:pPr>
        <w:jc w:val="both"/>
        <w:rPr>
          <w:sz w:val="20"/>
        </w:rPr>
      </w:pPr>
    </w:p>
    <w:p w14:paraId="4F754A4B" w14:textId="3332796C" w:rsidR="00E32BEB" w:rsidRPr="00844153" w:rsidRDefault="00E32BEB" w:rsidP="00E32BEB">
      <w:pPr>
        <w:jc w:val="center"/>
        <w:rPr>
          <w:sz w:val="18"/>
          <w:szCs w:val="18"/>
        </w:rPr>
      </w:pPr>
      <w:r w:rsidRPr="00844153">
        <w:rPr>
          <w:b/>
          <w:bCs/>
          <w:sz w:val="18"/>
          <w:szCs w:val="18"/>
        </w:rPr>
        <w:t>FIGURE 2</w:t>
      </w:r>
      <w:r w:rsidR="00CB6631" w:rsidRPr="00844153">
        <w:rPr>
          <w:b/>
          <w:bCs/>
          <w:sz w:val="18"/>
          <w:szCs w:val="18"/>
        </w:rPr>
        <w:t xml:space="preserve">. </w:t>
      </w:r>
      <w:r w:rsidR="00844153" w:rsidRPr="00844153">
        <w:rPr>
          <w:sz w:val="18"/>
          <w:szCs w:val="18"/>
        </w:rPr>
        <w:t>Feature Importance from Random Forest</w:t>
      </w:r>
    </w:p>
    <w:p w14:paraId="7EB22AB0" w14:textId="6F83B06A" w:rsidR="00206ED9" w:rsidRDefault="00206ED9" w:rsidP="00206ED9">
      <w:pPr>
        <w:jc w:val="center"/>
        <w:rPr>
          <w:rFonts w:asciiTheme="majorBidi" w:hAnsiTheme="majorBidi" w:cstheme="majorBidi"/>
        </w:rPr>
      </w:pPr>
      <w:r>
        <w:rPr>
          <w:noProof/>
        </w:rPr>
        <w:drawing>
          <wp:inline distT="0" distB="0" distL="0" distR="0" wp14:anchorId="6D02DFAE" wp14:editId="2313BBA0">
            <wp:extent cx="3979333" cy="2070473"/>
            <wp:effectExtent l="0" t="0" r="0" b="0"/>
            <wp:docPr id="3" name="Picture 3" descr="A graph of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blue squares&#10;&#10;AI-generated content may be incorrect."/>
                    <pic:cNvPicPr/>
                  </pic:nvPicPr>
                  <pic:blipFill rotWithShape="1">
                    <a:blip r:embed="rId14"/>
                    <a:srcRect t="5742"/>
                    <a:stretch/>
                  </pic:blipFill>
                  <pic:spPr bwMode="auto">
                    <a:xfrm>
                      <a:off x="0" y="0"/>
                      <a:ext cx="4022733" cy="2093054"/>
                    </a:xfrm>
                    <a:prstGeom prst="rect">
                      <a:avLst/>
                    </a:prstGeom>
                    <a:ln>
                      <a:noFill/>
                    </a:ln>
                    <a:extLst>
                      <a:ext uri="{53640926-AAD7-44D8-BBD7-CCE9431645EC}">
                        <a14:shadowObscured xmlns:a14="http://schemas.microsoft.com/office/drawing/2010/main"/>
                      </a:ext>
                    </a:extLst>
                  </pic:spPr>
                </pic:pic>
              </a:graphicData>
            </a:graphic>
          </wp:inline>
        </w:drawing>
      </w:r>
    </w:p>
    <w:p w14:paraId="2A98CE51" w14:textId="77777777" w:rsidR="004206F0" w:rsidRDefault="004206F0" w:rsidP="00206ED9">
      <w:pPr>
        <w:jc w:val="center"/>
        <w:rPr>
          <w:b/>
          <w:bCs/>
        </w:rPr>
      </w:pPr>
    </w:p>
    <w:p w14:paraId="3DA2BF16" w14:textId="3C68A225" w:rsidR="00E32BEB" w:rsidRDefault="00206ED9" w:rsidP="000B0661">
      <w:pPr>
        <w:jc w:val="both"/>
        <w:rPr>
          <w:b/>
          <w:bCs/>
          <w:sz w:val="20"/>
        </w:rPr>
      </w:pPr>
      <w:r w:rsidRPr="00206ED9">
        <w:rPr>
          <w:sz w:val="20"/>
        </w:rPr>
        <w:t xml:space="preserve">Figure </w:t>
      </w:r>
      <w:r w:rsidR="00E32BEB">
        <w:rPr>
          <w:sz w:val="20"/>
        </w:rPr>
        <w:t>3</w:t>
      </w:r>
      <w:r w:rsidRPr="00206ED9">
        <w:rPr>
          <w:sz w:val="20"/>
        </w:rPr>
        <w:t xml:space="preserve"> uses K-Means clustering to group companies based on their ESG scores and board gender diversity levels. Clustering is an unsupervised learning technique used to identify natural groupings or patterns in data. </w:t>
      </w:r>
    </w:p>
    <w:p w14:paraId="660E459D" w14:textId="77777777" w:rsidR="00844153" w:rsidRDefault="00844153" w:rsidP="00631A0F">
      <w:pPr>
        <w:jc w:val="center"/>
        <w:rPr>
          <w:b/>
          <w:bCs/>
          <w:sz w:val="20"/>
        </w:rPr>
      </w:pPr>
    </w:p>
    <w:p w14:paraId="363939BC" w14:textId="77777777" w:rsidR="00844153" w:rsidRDefault="00844153" w:rsidP="00631A0F">
      <w:pPr>
        <w:jc w:val="center"/>
        <w:rPr>
          <w:b/>
          <w:bCs/>
          <w:sz w:val="18"/>
          <w:szCs w:val="18"/>
        </w:rPr>
      </w:pPr>
    </w:p>
    <w:p w14:paraId="2447B931" w14:textId="4B0C6987" w:rsidR="00844153" w:rsidRPr="00844153" w:rsidRDefault="00E32BEB" w:rsidP="00631A0F">
      <w:pPr>
        <w:jc w:val="center"/>
        <w:rPr>
          <w:sz w:val="18"/>
          <w:szCs w:val="18"/>
        </w:rPr>
      </w:pPr>
      <w:r w:rsidRPr="00844153">
        <w:rPr>
          <w:b/>
          <w:bCs/>
          <w:sz w:val="18"/>
          <w:szCs w:val="18"/>
        </w:rPr>
        <w:t>FIGURE 3</w:t>
      </w:r>
      <w:r w:rsidR="00CB6631" w:rsidRPr="00844153">
        <w:rPr>
          <w:b/>
          <w:bCs/>
          <w:sz w:val="18"/>
          <w:szCs w:val="18"/>
        </w:rPr>
        <w:t>.</w:t>
      </w:r>
      <w:r w:rsidRPr="00844153">
        <w:rPr>
          <w:b/>
          <w:bCs/>
          <w:sz w:val="18"/>
          <w:szCs w:val="18"/>
        </w:rPr>
        <w:t xml:space="preserve"> </w:t>
      </w:r>
      <w:r w:rsidRPr="00844153">
        <w:rPr>
          <w:sz w:val="18"/>
          <w:szCs w:val="18"/>
        </w:rPr>
        <w:t>K-</w:t>
      </w:r>
      <w:r w:rsidR="00844153" w:rsidRPr="00844153">
        <w:rPr>
          <w:sz w:val="18"/>
          <w:szCs w:val="18"/>
        </w:rPr>
        <w:t>Means</w:t>
      </w:r>
      <w:r w:rsidRPr="00844153">
        <w:rPr>
          <w:sz w:val="18"/>
          <w:szCs w:val="18"/>
        </w:rPr>
        <w:t xml:space="preserve"> </w:t>
      </w:r>
      <w:r w:rsidR="00844153" w:rsidRPr="00844153">
        <w:rPr>
          <w:sz w:val="18"/>
          <w:szCs w:val="18"/>
        </w:rPr>
        <w:t xml:space="preserve">Clusters by </w:t>
      </w:r>
      <w:r w:rsidRPr="00844153">
        <w:rPr>
          <w:sz w:val="18"/>
          <w:szCs w:val="18"/>
        </w:rPr>
        <w:t xml:space="preserve">ESG </w:t>
      </w:r>
      <w:r w:rsidR="00844153" w:rsidRPr="00844153">
        <w:rPr>
          <w:sz w:val="18"/>
          <w:szCs w:val="18"/>
        </w:rPr>
        <w:t>Score</w:t>
      </w:r>
      <w:r w:rsidRPr="00844153">
        <w:rPr>
          <w:sz w:val="18"/>
          <w:szCs w:val="18"/>
        </w:rPr>
        <w:t xml:space="preserve"> X % </w:t>
      </w:r>
      <w:r w:rsidR="00844153" w:rsidRPr="00844153">
        <w:rPr>
          <w:sz w:val="18"/>
          <w:szCs w:val="18"/>
        </w:rPr>
        <w:t>Women Directors</w:t>
      </w:r>
    </w:p>
    <w:p w14:paraId="0D8F16F5" w14:textId="77777777" w:rsidR="00844153" w:rsidRDefault="00844153" w:rsidP="00631A0F">
      <w:pPr>
        <w:jc w:val="center"/>
        <w:rPr>
          <w:sz w:val="20"/>
        </w:rPr>
      </w:pPr>
    </w:p>
    <w:p w14:paraId="18E22752" w14:textId="78B07364" w:rsidR="00206ED9" w:rsidRDefault="00206ED9" w:rsidP="00631A0F">
      <w:pPr>
        <w:jc w:val="center"/>
        <w:rPr>
          <w:rFonts w:asciiTheme="majorBidi" w:hAnsiTheme="majorBidi" w:cstheme="majorBidi"/>
        </w:rPr>
      </w:pPr>
      <w:r>
        <w:rPr>
          <w:noProof/>
        </w:rPr>
        <w:drawing>
          <wp:inline distT="0" distB="0" distL="0" distR="0" wp14:anchorId="726F9455" wp14:editId="180E0CB5">
            <wp:extent cx="2400935" cy="1392965"/>
            <wp:effectExtent l="0" t="0" r="0" b="4445"/>
            <wp:docPr id="4" name="Picture 4" descr="A graph with red green and blue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red green and blue crosses&#10;&#10;AI-generated content may be incorrect."/>
                    <pic:cNvPicPr/>
                  </pic:nvPicPr>
                  <pic:blipFill rotWithShape="1">
                    <a:blip r:embed="rId15"/>
                    <a:srcRect t="5249"/>
                    <a:stretch/>
                  </pic:blipFill>
                  <pic:spPr bwMode="auto">
                    <a:xfrm>
                      <a:off x="0" y="0"/>
                      <a:ext cx="2457084" cy="1425542"/>
                    </a:xfrm>
                    <a:prstGeom prst="rect">
                      <a:avLst/>
                    </a:prstGeom>
                    <a:ln>
                      <a:noFill/>
                    </a:ln>
                    <a:extLst>
                      <a:ext uri="{53640926-AAD7-44D8-BBD7-CCE9431645EC}">
                        <a14:shadowObscured xmlns:a14="http://schemas.microsoft.com/office/drawing/2010/main"/>
                      </a:ext>
                    </a:extLst>
                  </pic:spPr>
                </pic:pic>
              </a:graphicData>
            </a:graphic>
          </wp:inline>
        </w:drawing>
      </w:r>
    </w:p>
    <w:p w14:paraId="1519DD8A" w14:textId="77777777" w:rsidR="00844153" w:rsidRDefault="00844153" w:rsidP="004206F0">
      <w:pPr>
        <w:pStyle w:val="Heading1"/>
        <w:spacing w:before="0" w:after="0"/>
        <w:rPr>
          <w:rFonts w:asciiTheme="majorBidi" w:hAnsiTheme="majorBidi" w:cstheme="majorBidi"/>
        </w:rPr>
      </w:pPr>
    </w:p>
    <w:p w14:paraId="238F91B4" w14:textId="7CD511D4" w:rsidR="00D87E2A" w:rsidRDefault="00D87E2A" w:rsidP="004206F0">
      <w:pPr>
        <w:pStyle w:val="Heading1"/>
        <w:spacing w:before="0" w:after="0"/>
        <w:rPr>
          <w:b w:val="0"/>
          <w:caps w:val="0"/>
          <w:sz w:val="20"/>
        </w:rPr>
      </w:pPr>
      <w:r>
        <w:rPr>
          <w:rFonts w:asciiTheme="majorBidi" w:hAnsiTheme="majorBidi" w:cstheme="majorBidi"/>
        </w:rPr>
        <w:t>CONCLUSION</w:t>
      </w:r>
      <w:r>
        <w:rPr>
          <w:rFonts w:asciiTheme="majorBidi" w:hAnsiTheme="majorBidi" w:cstheme="majorBidi"/>
        </w:rPr>
        <w:br/>
      </w:r>
    </w:p>
    <w:p w14:paraId="55D56508" w14:textId="1809A865" w:rsidR="00D87E2A" w:rsidRDefault="00A6300E" w:rsidP="004462F2">
      <w:pPr>
        <w:jc w:val="both"/>
        <w:rPr>
          <w:rFonts w:asciiTheme="majorBidi" w:hAnsiTheme="majorBidi" w:cstheme="majorBidi"/>
        </w:rPr>
      </w:pPr>
      <w:r w:rsidRPr="00A6300E">
        <w:rPr>
          <w:sz w:val="20"/>
          <w:szCs w:val="24"/>
        </w:rPr>
        <w:t>The presence of such inquiry emerges pertinent since it makes particular presumption: assuming the carbon discharges of public firms in Malaysia and Indonesia are reflected in their ESG scores from 2018 to 2023. Additionally, study illustrates significance of female representation on boards in relationship among an organization's carbon emissions and ESG score. By validating these trends, forecasting provides participants with a data-driven method for evaluating sustainability efficiency or vulnerability. The findings indicated significant inverse relationship among the ESG score as well as carbon emanations. Additionally, results indicated that female significantly lessen connections among carbon gases releases and ESG score in terms of softening action</w:t>
      </w:r>
      <w:r w:rsidR="00206ED9" w:rsidRPr="00206ED9">
        <w:rPr>
          <w:rFonts w:asciiTheme="majorBidi" w:hAnsiTheme="majorBidi" w:cstheme="majorBidi"/>
        </w:rPr>
        <w:t xml:space="preserve">. </w:t>
      </w:r>
      <w:r w:rsidR="00206ED9" w:rsidRPr="004462F2">
        <w:rPr>
          <w:rFonts w:asciiTheme="majorBidi" w:hAnsiTheme="majorBidi" w:cstheme="majorBidi"/>
          <w:sz w:val="20"/>
        </w:rPr>
        <w:t>Data analytics methods such as regression modeling, machine learning, and clustering enabled a deeper understanding of th</w:t>
      </w:r>
      <w:r w:rsidR="0050328B" w:rsidRPr="004462F2">
        <w:rPr>
          <w:rFonts w:asciiTheme="majorBidi" w:hAnsiTheme="majorBidi" w:cstheme="majorBidi"/>
          <w:sz w:val="20"/>
        </w:rPr>
        <w:t>ese complex relationships. Such</w:t>
      </w:r>
      <w:r w:rsidR="00206ED9" w:rsidRPr="004462F2">
        <w:rPr>
          <w:rFonts w:asciiTheme="majorBidi" w:hAnsiTheme="majorBidi" w:cstheme="majorBidi"/>
          <w:sz w:val="20"/>
        </w:rPr>
        <w:t xml:space="preserve"> </w:t>
      </w:r>
      <w:r w:rsidR="0050328B" w:rsidRPr="004462F2">
        <w:rPr>
          <w:rFonts w:asciiTheme="majorBidi" w:hAnsiTheme="majorBidi" w:cstheme="majorBidi"/>
          <w:sz w:val="20"/>
        </w:rPr>
        <w:t>conclusions</w:t>
      </w:r>
      <w:r w:rsidR="00206ED9" w:rsidRPr="004462F2">
        <w:rPr>
          <w:rFonts w:asciiTheme="majorBidi" w:hAnsiTheme="majorBidi" w:cstheme="majorBidi"/>
          <w:sz w:val="20"/>
        </w:rPr>
        <w:t xml:space="preserve"> have </w:t>
      </w:r>
      <w:r w:rsidR="0050328B" w:rsidRPr="004462F2">
        <w:rPr>
          <w:rFonts w:asciiTheme="majorBidi" w:hAnsiTheme="majorBidi" w:cstheme="majorBidi"/>
          <w:sz w:val="20"/>
        </w:rPr>
        <w:t>insinuations</w:t>
      </w:r>
      <w:r w:rsidR="00206ED9" w:rsidRPr="004462F2">
        <w:rPr>
          <w:rFonts w:asciiTheme="majorBidi" w:hAnsiTheme="majorBidi" w:cstheme="majorBidi"/>
          <w:sz w:val="20"/>
        </w:rPr>
        <w:t xml:space="preserve"> for </w:t>
      </w:r>
      <w:r w:rsidR="0050328B" w:rsidRPr="004462F2">
        <w:rPr>
          <w:rFonts w:asciiTheme="majorBidi" w:hAnsiTheme="majorBidi" w:cstheme="majorBidi"/>
          <w:sz w:val="20"/>
        </w:rPr>
        <w:t>politicians</w:t>
      </w:r>
      <w:r w:rsidR="00206ED9" w:rsidRPr="004462F2">
        <w:rPr>
          <w:rFonts w:asciiTheme="majorBidi" w:hAnsiTheme="majorBidi" w:cstheme="majorBidi"/>
          <w:sz w:val="20"/>
        </w:rPr>
        <w:t xml:space="preserve">, investors, and corporate boards seeking to align </w:t>
      </w:r>
      <w:r w:rsidR="0050328B" w:rsidRPr="004462F2">
        <w:rPr>
          <w:rFonts w:asciiTheme="majorBidi" w:hAnsiTheme="majorBidi" w:cstheme="majorBidi"/>
          <w:sz w:val="20"/>
        </w:rPr>
        <w:t>authority</w:t>
      </w:r>
      <w:r w:rsidR="00206ED9" w:rsidRPr="004462F2">
        <w:rPr>
          <w:rFonts w:asciiTheme="majorBidi" w:hAnsiTheme="majorBidi" w:cstheme="majorBidi"/>
          <w:sz w:val="20"/>
        </w:rPr>
        <w:t xml:space="preserve"> structures with sustainability goals.</w:t>
      </w:r>
      <w:r w:rsidR="00F3433C">
        <w:rPr>
          <w:rFonts w:asciiTheme="majorBidi" w:hAnsiTheme="majorBidi" w:cstheme="majorBidi"/>
        </w:rPr>
        <w:t xml:space="preserve"> </w:t>
      </w:r>
    </w:p>
    <w:p w14:paraId="785899C1" w14:textId="21C3F0AD" w:rsidR="00F24125" w:rsidRDefault="00A303E9" w:rsidP="00A303E9">
      <w:pPr>
        <w:tabs>
          <w:tab w:val="left" w:pos="4044"/>
        </w:tabs>
        <w:jc w:val="both"/>
        <w:rPr>
          <w:rFonts w:asciiTheme="majorBidi" w:hAnsiTheme="majorBidi" w:cstheme="majorBidi"/>
        </w:rPr>
      </w:pPr>
      <w:r>
        <w:rPr>
          <w:rFonts w:asciiTheme="majorBidi" w:hAnsiTheme="majorBidi" w:cstheme="majorBidi"/>
        </w:rPr>
        <w:tab/>
      </w:r>
    </w:p>
    <w:p w14:paraId="0E6E2262" w14:textId="2450A70C" w:rsidR="00F24125" w:rsidRDefault="00F24125" w:rsidP="001A423B">
      <w:pPr>
        <w:jc w:val="center"/>
        <w:rPr>
          <w:b/>
          <w:bCs/>
          <w:sz w:val="22"/>
          <w:szCs w:val="22"/>
        </w:rPr>
      </w:pPr>
      <w:r w:rsidRPr="00F24125">
        <w:rPr>
          <w:b/>
          <w:bCs/>
          <w:sz w:val="22"/>
          <w:szCs w:val="22"/>
        </w:rPr>
        <w:t>ACKNOWLEDGEMENT</w:t>
      </w:r>
      <w:r w:rsidR="001A423B">
        <w:rPr>
          <w:b/>
          <w:bCs/>
          <w:sz w:val="22"/>
          <w:szCs w:val="22"/>
        </w:rPr>
        <w:t>S</w:t>
      </w:r>
    </w:p>
    <w:p w14:paraId="1E76C99A" w14:textId="77777777" w:rsidR="00F24125" w:rsidRPr="00F24125" w:rsidRDefault="00F24125" w:rsidP="00F24125">
      <w:pPr>
        <w:jc w:val="both"/>
        <w:rPr>
          <w:b/>
          <w:bCs/>
          <w:sz w:val="22"/>
          <w:szCs w:val="22"/>
        </w:rPr>
      </w:pPr>
    </w:p>
    <w:p w14:paraId="3229D2BC" w14:textId="77777777" w:rsidR="00F24125" w:rsidRPr="00A303E9" w:rsidRDefault="00F24125" w:rsidP="00F24125">
      <w:pPr>
        <w:jc w:val="both"/>
        <w:rPr>
          <w:sz w:val="20"/>
        </w:rPr>
      </w:pPr>
      <w:r w:rsidRPr="00A303E9">
        <w:rPr>
          <w:sz w:val="20"/>
        </w:rPr>
        <w:t>We would like to thank Universiti Sains Islam Malaysia,Universitas Padjajaran, Bandung, Indonesia and Universitas Muhammadiyah Yogyakarta, Indonesia (UMY Research Fellow Program 2025) for their helpful feedback and support.</w:t>
      </w:r>
    </w:p>
    <w:p w14:paraId="62B43CA2" w14:textId="77777777" w:rsidR="00206ED9" w:rsidRPr="00075EA6" w:rsidRDefault="00206ED9" w:rsidP="00206ED9">
      <w:pPr>
        <w:pStyle w:val="Paragraph"/>
        <w:rPr>
          <w:rFonts w:asciiTheme="majorBidi" w:hAnsiTheme="majorBidi" w:cstheme="majorBidi"/>
        </w:rPr>
      </w:pPr>
    </w:p>
    <w:p w14:paraId="19F55F84" w14:textId="77777777" w:rsidR="00303DCC" w:rsidRPr="001A423B" w:rsidRDefault="0016385D" w:rsidP="00206ED9">
      <w:pPr>
        <w:pStyle w:val="Heading1"/>
        <w:spacing w:before="0" w:after="0"/>
        <w:rPr>
          <w:rFonts w:asciiTheme="majorBidi" w:hAnsiTheme="majorBidi" w:cstheme="majorBidi"/>
        </w:rPr>
      </w:pPr>
      <w:r w:rsidRPr="001A423B">
        <w:rPr>
          <w:rFonts w:asciiTheme="majorBidi" w:hAnsiTheme="majorBidi" w:cstheme="majorBidi"/>
        </w:rPr>
        <w:t>References</w:t>
      </w:r>
    </w:p>
    <w:p w14:paraId="05079FDA" w14:textId="052888E4" w:rsidR="001A423B" w:rsidRDefault="001A423B" w:rsidP="001A423B">
      <w:pPr>
        <w:pStyle w:val="Paragraph"/>
        <w:ind w:firstLine="0"/>
        <w:rPr>
          <w:lang w:val="en-MY"/>
        </w:rPr>
      </w:pPr>
      <w:r>
        <w:rPr>
          <w:lang w:val="en-MY"/>
        </w:rPr>
        <w:t xml:space="preserve">1.    </w:t>
      </w:r>
      <w:r w:rsidRPr="001A423B">
        <w:rPr>
          <w:lang w:val="en-MY"/>
        </w:rPr>
        <w:t>H. Song, H. Wu, and H. Zhang, </w:t>
      </w:r>
      <w:r w:rsidRPr="001A423B">
        <w:rPr>
          <w:i/>
          <w:iCs/>
          <w:lang w:val="en-MY"/>
        </w:rPr>
        <w:t>Int. J. Contemp. Hosp. Manag.</w:t>
      </w:r>
      <w:r w:rsidRPr="001A423B">
        <w:rPr>
          <w:lang w:val="en-MY"/>
        </w:rPr>
        <w:t> </w:t>
      </w:r>
      <w:r w:rsidRPr="001A423B">
        <w:rPr>
          <w:b/>
          <w:bCs/>
          <w:lang w:val="en-MY"/>
        </w:rPr>
        <w:t>36</w:t>
      </w:r>
      <w:r w:rsidRPr="001A423B">
        <w:rPr>
          <w:lang w:val="en-MY"/>
        </w:rPr>
        <w:t>, 1534–1556 (2024).</w:t>
      </w:r>
    </w:p>
    <w:p w14:paraId="601A996D" w14:textId="7F1850A4" w:rsidR="001A423B" w:rsidRDefault="001A423B" w:rsidP="001A423B">
      <w:pPr>
        <w:pStyle w:val="Paragraph"/>
        <w:ind w:firstLine="0"/>
        <w:rPr>
          <w:i/>
          <w:iCs/>
          <w:lang w:val="en-MY"/>
        </w:rPr>
      </w:pPr>
      <w:r>
        <w:rPr>
          <w:lang w:val="en-MY"/>
        </w:rPr>
        <w:t xml:space="preserve">2.    </w:t>
      </w:r>
      <w:r w:rsidRPr="001A423B">
        <w:rPr>
          <w:lang w:val="en-MY"/>
        </w:rPr>
        <w:t>A. G. Olabi, K. Obaideen, K. Elsaid, T. Wilberforce, E. T. Sayed, H. M. Maghrabie, and M. A. , </w:t>
      </w:r>
      <w:r w:rsidRPr="001A423B">
        <w:rPr>
          <w:i/>
          <w:iCs/>
          <w:lang w:val="en-MY"/>
        </w:rPr>
        <w:t xml:space="preserve">Renew. Sustain. </w:t>
      </w:r>
    </w:p>
    <w:p w14:paraId="321D8B5A" w14:textId="77F26B06" w:rsidR="001A423B" w:rsidRPr="001A423B" w:rsidRDefault="001A423B" w:rsidP="001A423B">
      <w:pPr>
        <w:pStyle w:val="Paragraph"/>
        <w:ind w:firstLine="0"/>
        <w:rPr>
          <w:lang w:val="en-MY"/>
        </w:rPr>
      </w:pPr>
      <w:r>
        <w:rPr>
          <w:i/>
          <w:iCs/>
          <w:lang w:val="en-MY"/>
        </w:rPr>
        <w:t xml:space="preserve">       </w:t>
      </w:r>
      <w:r w:rsidRPr="001A423B">
        <w:rPr>
          <w:i/>
          <w:iCs/>
          <w:lang w:val="en-MY"/>
        </w:rPr>
        <w:t>Energy Rev.</w:t>
      </w:r>
      <w:r w:rsidRPr="001A423B">
        <w:rPr>
          <w:lang w:val="en-MY"/>
        </w:rPr>
        <w:t> </w:t>
      </w:r>
      <w:r w:rsidRPr="001A423B">
        <w:rPr>
          <w:b/>
          <w:bCs/>
          <w:lang w:val="en-MY"/>
        </w:rPr>
        <w:t>153</w:t>
      </w:r>
      <w:r w:rsidRPr="001A423B">
        <w:rPr>
          <w:lang w:val="en-MY"/>
        </w:rPr>
        <w:t>, 111710 (2022).</w:t>
      </w:r>
    </w:p>
    <w:p w14:paraId="3277DBAE" w14:textId="2A00C71B" w:rsidR="001A423B" w:rsidRPr="001A423B" w:rsidRDefault="001A423B" w:rsidP="001A423B">
      <w:pPr>
        <w:pStyle w:val="Paragraph"/>
        <w:ind w:firstLine="0"/>
        <w:rPr>
          <w:lang w:val="en-MY"/>
        </w:rPr>
      </w:pPr>
      <w:r>
        <w:rPr>
          <w:lang w:val="en-MY"/>
        </w:rPr>
        <w:t xml:space="preserve">3. </w:t>
      </w:r>
      <w:r w:rsidRPr="001A423B">
        <w:rPr>
          <w:lang w:val="en-MY"/>
        </w:rPr>
        <w:t xml:space="preserve"> </w:t>
      </w:r>
      <w:r>
        <w:rPr>
          <w:lang w:val="en-MY"/>
        </w:rPr>
        <w:t xml:space="preserve"> </w:t>
      </w:r>
      <w:r w:rsidRPr="001A423B">
        <w:rPr>
          <w:lang w:val="en-MY"/>
        </w:rPr>
        <w:t>Y. Qian and Y. Liu, </w:t>
      </w:r>
      <w:r w:rsidRPr="001A423B">
        <w:rPr>
          <w:i/>
          <w:iCs/>
          <w:lang w:val="en-MY"/>
        </w:rPr>
        <w:t>J. Environ. Manage.</w:t>
      </w:r>
      <w:r w:rsidRPr="001A423B">
        <w:rPr>
          <w:lang w:val="en-MY"/>
        </w:rPr>
        <w:t> </w:t>
      </w:r>
      <w:r w:rsidRPr="001A423B">
        <w:rPr>
          <w:b/>
          <w:bCs/>
          <w:lang w:val="en-MY"/>
        </w:rPr>
        <w:t>367</w:t>
      </w:r>
      <w:r w:rsidRPr="001A423B">
        <w:rPr>
          <w:lang w:val="en-MY"/>
        </w:rPr>
        <w:t>, 122016 (2024).</w:t>
      </w:r>
    </w:p>
    <w:p w14:paraId="3B336FD6" w14:textId="7AE32F72" w:rsidR="001A423B" w:rsidRPr="001A423B" w:rsidRDefault="001A423B" w:rsidP="001A423B">
      <w:pPr>
        <w:pStyle w:val="Paragraph"/>
        <w:ind w:left="1004" w:hanging="1004"/>
        <w:rPr>
          <w:lang w:val="en-MY"/>
        </w:rPr>
      </w:pPr>
      <w:r>
        <w:rPr>
          <w:lang w:val="en-MY"/>
        </w:rPr>
        <w:t xml:space="preserve">4.   </w:t>
      </w:r>
      <w:r w:rsidRPr="001A423B">
        <w:rPr>
          <w:lang w:val="en-MY"/>
        </w:rPr>
        <w:t>Y. Chan, K. Hogan, K. Schwaiger, and A. Ang, </w:t>
      </w:r>
      <w:r w:rsidRPr="001A423B">
        <w:rPr>
          <w:i/>
          <w:iCs/>
          <w:lang w:val="en-MY"/>
        </w:rPr>
        <w:t>J. Impact ESG Invest.</w:t>
      </w:r>
      <w:r w:rsidRPr="001A423B">
        <w:rPr>
          <w:lang w:val="en-MY"/>
        </w:rPr>
        <w:t>, </w:t>
      </w:r>
      <w:r w:rsidRPr="001A423B">
        <w:rPr>
          <w:b/>
          <w:bCs/>
          <w:lang w:val="en-MY"/>
        </w:rPr>
        <w:t>1</w:t>
      </w:r>
      <w:r w:rsidRPr="001A423B">
        <w:rPr>
          <w:lang w:val="en-MY"/>
        </w:rPr>
        <w:t>, 26–45 (2020).</w:t>
      </w:r>
    </w:p>
    <w:p w14:paraId="3F56457A" w14:textId="78A0240B" w:rsidR="001A423B" w:rsidRPr="001A423B" w:rsidRDefault="001A423B" w:rsidP="001A423B">
      <w:pPr>
        <w:pStyle w:val="Paragraph"/>
        <w:ind w:firstLine="0"/>
        <w:rPr>
          <w:lang w:val="en-MY"/>
        </w:rPr>
      </w:pPr>
      <w:r>
        <w:rPr>
          <w:lang w:val="en-MY"/>
        </w:rPr>
        <w:t xml:space="preserve">5. </w:t>
      </w:r>
      <w:r w:rsidRPr="001A423B">
        <w:rPr>
          <w:lang w:val="en-MY"/>
        </w:rPr>
        <w:t xml:space="preserve">  </w:t>
      </w:r>
      <w:r>
        <w:rPr>
          <w:lang w:val="en-MY"/>
        </w:rPr>
        <w:t xml:space="preserve"> </w:t>
      </w:r>
      <w:r w:rsidRPr="001A423B">
        <w:rPr>
          <w:lang w:val="en-MY"/>
        </w:rPr>
        <w:t>R. Manita, M. G. Bruna, R. Dang, and L. H. Houanti, </w:t>
      </w:r>
      <w:r w:rsidRPr="001A423B">
        <w:rPr>
          <w:i/>
          <w:iCs/>
          <w:lang w:val="en-MY"/>
        </w:rPr>
        <w:t>J. Appl. Account. Res.</w:t>
      </w:r>
      <w:r w:rsidRPr="001A423B">
        <w:rPr>
          <w:lang w:val="en-MY"/>
        </w:rPr>
        <w:t> </w:t>
      </w:r>
      <w:r w:rsidRPr="001A423B">
        <w:rPr>
          <w:b/>
          <w:bCs/>
          <w:lang w:val="en-MY"/>
        </w:rPr>
        <w:t>19</w:t>
      </w:r>
      <w:r w:rsidRPr="001A423B">
        <w:rPr>
          <w:lang w:val="en-MY"/>
        </w:rPr>
        <w:t>, 206–224 (2018).</w:t>
      </w:r>
    </w:p>
    <w:p w14:paraId="6BB41FE7" w14:textId="3293AF1C" w:rsidR="001A423B" w:rsidRPr="001A423B" w:rsidRDefault="001A423B" w:rsidP="001A423B">
      <w:pPr>
        <w:pStyle w:val="Paragraph"/>
        <w:ind w:firstLine="0"/>
        <w:rPr>
          <w:lang w:val="en-MY"/>
        </w:rPr>
      </w:pPr>
      <w:r>
        <w:rPr>
          <w:lang w:val="en-MY"/>
        </w:rPr>
        <w:t xml:space="preserve">6. </w:t>
      </w:r>
      <w:r w:rsidRPr="001A423B">
        <w:rPr>
          <w:lang w:val="en-MY"/>
        </w:rPr>
        <w:t xml:space="preserve">  </w:t>
      </w:r>
      <w:r>
        <w:rPr>
          <w:lang w:val="en-MY"/>
        </w:rPr>
        <w:t xml:space="preserve"> </w:t>
      </w:r>
      <w:r w:rsidRPr="001A423B">
        <w:rPr>
          <w:lang w:val="en-MY"/>
        </w:rPr>
        <w:t>F. Paolone, M. Pozzoli, M. Chhabra, and A. Di Vaio, </w:t>
      </w:r>
      <w:r w:rsidRPr="001A423B">
        <w:rPr>
          <w:i/>
          <w:iCs/>
          <w:lang w:val="en-MY"/>
        </w:rPr>
        <w:t>J. Knowl. Manag.</w:t>
      </w:r>
      <w:r w:rsidRPr="001A423B">
        <w:rPr>
          <w:lang w:val="en-MY"/>
        </w:rPr>
        <w:t> </w:t>
      </w:r>
      <w:r w:rsidRPr="001A423B">
        <w:rPr>
          <w:b/>
          <w:bCs/>
          <w:lang w:val="en-MY"/>
        </w:rPr>
        <w:t>28</w:t>
      </w:r>
      <w:r w:rsidRPr="001A423B">
        <w:rPr>
          <w:lang w:val="en-MY"/>
        </w:rPr>
        <w:t>, 106–131 (2024).</w:t>
      </w:r>
    </w:p>
    <w:p w14:paraId="4771BD7D" w14:textId="66B19B6A" w:rsidR="001A423B" w:rsidRDefault="001A423B" w:rsidP="001A423B">
      <w:pPr>
        <w:pStyle w:val="Paragraph"/>
        <w:ind w:firstLine="0"/>
        <w:rPr>
          <w:lang w:val="en-MY"/>
        </w:rPr>
      </w:pPr>
      <w:r>
        <w:rPr>
          <w:lang w:val="en-MY"/>
        </w:rPr>
        <w:t>7.</w:t>
      </w:r>
      <w:r w:rsidRPr="001A423B">
        <w:rPr>
          <w:lang w:val="en-MY"/>
        </w:rPr>
        <w:t xml:space="preserve">  </w:t>
      </w:r>
      <w:r>
        <w:rPr>
          <w:lang w:val="en-MY"/>
        </w:rPr>
        <w:t xml:space="preserve"> </w:t>
      </w:r>
      <w:r w:rsidRPr="001A423B">
        <w:rPr>
          <w:lang w:val="en-MY"/>
        </w:rPr>
        <w:t xml:space="preserve">P. G. Thirumagal, A. Tirkey, and S. Suresh, “Moderating effect of board size and board independence between </w:t>
      </w:r>
    </w:p>
    <w:p w14:paraId="6A48B814" w14:textId="46A40DF8" w:rsidR="001A423B" w:rsidRDefault="001A423B" w:rsidP="001A423B">
      <w:pPr>
        <w:pStyle w:val="Paragraph"/>
        <w:ind w:firstLine="0"/>
        <w:rPr>
          <w:lang w:val="en-MY"/>
        </w:rPr>
      </w:pPr>
      <w:r>
        <w:rPr>
          <w:lang w:val="en-MY"/>
        </w:rPr>
        <w:t xml:space="preserve">      </w:t>
      </w:r>
      <w:r w:rsidRPr="001A423B">
        <w:rPr>
          <w:lang w:val="en-MY"/>
        </w:rPr>
        <w:t>women on board and ESG,” in </w:t>
      </w:r>
      <w:r w:rsidRPr="001A423B">
        <w:rPr>
          <w:i/>
          <w:iCs/>
          <w:lang w:val="en-MY"/>
        </w:rPr>
        <w:t>International Conference on Economics, Business and Sustainability</w:t>
      </w:r>
      <w:r w:rsidRPr="001A423B">
        <w:rPr>
          <w:lang w:val="en-MY"/>
        </w:rPr>
        <w:t xml:space="preserve"> (Springer </w:t>
      </w:r>
    </w:p>
    <w:p w14:paraId="7838BECD" w14:textId="1EB8C27B" w:rsidR="001A423B" w:rsidRPr="001A423B" w:rsidRDefault="001A423B" w:rsidP="001A423B">
      <w:pPr>
        <w:pStyle w:val="Paragraph"/>
        <w:ind w:firstLine="0"/>
        <w:rPr>
          <w:lang w:val="en-MY"/>
        </w:rPr>
      </w:pPr>
      <w:r>
        <w:rPr>
          <w:lang w:val="en-MY"/>
        </w:rPr>
        <w:t xml:space="preserve">      </w:t>
      </w:r>
      <w:r w:rsidRPr="001A423B">
        <w:rPr>
          <w:lang w:val="en-MY"/>
        </w:rPr>
        <w:t>Nature Singapore, Singapore, 2023), pp. 16–25.</w:t>
      </w:r>
    </w:p>
    <w:p w14:paraId="33FCAF3E" w14:textId="3109A4ED" w:rsidR="001A423B" w:rsidRPr="001A423B" w:rsidRDefault="001A423B" w:rsidP="001A423B">
      <w:pPr>
        <w:pStyle w:val="Paragraph"/>
        <w:ind w:firstLine="0"/>
        <w:rPr>
          <w:lang w:val="en-MY"/>
        </w:rPr>
      </w:pPr>
      <w:r>
        <w:rPr>
          <w:lang w:val="en-MY"/>
        </w:rPr>
        <w:t>8.</w:t>
      </w:r>
      <w:r w:rsidRPr="001A423B">
        <w:rPr>
          <w:lang w:val="en-MY"/>
        </w:rPr>
        <w:t xml:space="preserve">  </w:t>
      </w:r>
      <w:r>
        <w:rPr>
          <w:lang w:val="en-MY"/>
        </w:rPr>
        <w:t xml:space="preserve"> </w:t>
      </w:r>
      <w:r w:rsidRPr="001A423B">
        <w:rPr>
          <w:lang w:val="en-MY"/>
        </w:rPr>
        <w:t>A. Issa and J. R. Hanaysha, </w:t>
      </w:r>
      <w:r w:rsidRPr="001A423B">
        <w:rPr>
          <w:i/>
          <w:iCs/>
          <w:lang w:val="en-MY"/>
        </w:rPr>
        <w:t>Int. J. Account. Inf. Manag.</w:t>
      </w:r>
      <w:r w:rsidRPr="001A423B">
        <w:rPr>
          <w:lang w:val="en-MY"/>
        </w:rPr>
        <w:t> </w:t>
      </w:r>
      <w:r w:rsidRPr="001A423B">
        <w:rPr>
          <w:b/>
          <w:bCs/>
          <w:lang w:val="en-MY"/>
        </w:rPr>
        <w:t>31</w:t>
      </w:r>
      <w:r w:rsidRPr="001A423B">
        <w:rPr>
          <w:lang w:val="en-MY"/>
        </w:rPr>
        <w:t>, 623–646 (2023).</w:t>
      </w:r>
    </w:p>
    <w:p w14:paraId="7FDB9F3B" w14:textId="5A08F36F" w:rsidR="001A423B" w:rsidRPr="001A423B" w:rsidRDefault="001A423B" w:rsidP="001A423B">
      <w:pPr>
        <w:pStyle w:val="Paragraph"/>
        <w:ind w:firstLine="0"/>
        <w:rPr>
          <w:lang w:val="en-MY"/>
        </w:rPr>
      </w:pPr>
      <w:r>
        <w:rPr>
          <w:lang w:val="en-MY"/>
        </w:rPr>
        <w:t>9.</w:t>
      </w:r>
      <w:r w:rsidRPr="001A423B">
        <w:rPr>
          <w:lang w:val="en-MY"/>
        </w:rPr>
        <w:t xml:space="preserve">  </w:t>
      </w:r>
      <w:r>
        <w:rPr>
          <w:lang w:val="en-MY"/>
        </w:rPr>
        <w:t xml:space="preserve"> </w:t>
      </w:r>
      <w:r w:rsidRPr="001A423B">
        <w:rPr>
          <w:lang w:val="en-MY"/>
        </w:rPr>
        <w:t>H. Yahya, </w:t>
      </w:r>
      <w:r w:rsidRPr="001A423B">
        <w:rPr>
          <w:i/>
          <w:iCs/>
          <w:lang w:val="en-MY"/>
        </w:rPr>
        <w:t>Corporate Governance: The International Journal of Business in Society</w:t>
      </w:r>
      <w:r w:rsidRPr="001A423B">
        <w:rPr>
          <w:lang w:val="en-MY"/>
        </w:rPr>
        <w:t> (2023).</w:t>
      </w:r>
    </w:p>
    <w:p w14:paraId="2778A61A" w14:textId="246FD346" w:rsidR="001A423B" w:rsidRPr="001A423B" w:rsidRDefault="001A423B" w:rsidP="001A423B">
      <w:pPr>
        <w:pStyle w:val="Paragraph"/>
        <w:ind w:firstLine="0"/>
        <w:rPr>
          <w:lang w:val="en-MY"/>
        </w:rPr>
      </w:pPr>
      <w:r>
        <w:rPr>
          <w:lang w:val="en-MY"/>
        </w:rPr>
        <w:t>10.</w:t>
      </w:r>
      <w:r w:rsidRPr="001A423B">
        <w:rPr>
          <w:lang w:val="en-MY"/>
        </w:rPr>
        <w:t xml:space="preserve"> A. Baratta, A. Cimino, F. Longo, V. Solina, and S. Verteramo, </w:t>
      </w:r>
      <w:r w:rsidRPr="001A423B">
        <w:rPr>
          <w:i/>
          <w:iCs/>
          <w:lang w:val="en-MY"/>
        </w:rPr>
        <w:t>Sustainability</w:t>
      </w:r>
      <w:r w:rsidRPr="001A423B">
        <w:rPr>
          <w:lang w:val="en-MY"/>
        </w:rPr>
        <w:t> </w:t>
      </w:r>
      <w:r w:rsidRPr="001A423B">
        <w:rPr>
          <w:b/>
          <w:bCs/>
          <w:lang w:val="en-MY"/>
        </w:rPr>
        <w:t>15</w:t>
      </w:r>
      <w:r w:rsidRPr="001A423B">
        <w:rPr>
          <w:lang w:val="en-MY"/>
        </w:rPr>
        <w:t>, 6685 (2023).</w:t>
      </w:r>
    </w:p>
    <w:p w14:paraId="5A88FD19" w14:textId="624ECB53" w:rsidR="001A423B" w:rsidRPr="001A423B" w:rsidRDefault="001A423B" w:rsidP="001A423B">
      <w:pPr>
        <w:pStyle w:val="Paragraph"/>
        <w:ind w:firstLine="0"/>
        <w:rPr>
          <w:lang w:val="en-MY"/>
        </w:rPr>
      </w:pPr>
      <w:r>
        <w:rPr>
          <w:lang w:val="en-MY"/>
        </w:rPr>
        <w:t xml:space="preserve">11. </w:t>
      </w:r>
      <w:r w:rsidRPr="001A423B">
        <w:rPr>
          <w:lang w:val="en-MY"/>
        </w:rPr>
        <w:t>R. Benkraiem, M. Qureshi, A. Saeed, and C. Zopounidis, </w:t>
      </w:r>
      <w:r w:rsidRPr="001A423B">
        <w:rPr>
          <w:i/>
          <w:iCs/>
          <w:lang w:val="en-MY"/>
        </w:rPr>
        <w:t>Financ. Mark. Inst. Instrum.</w:t>
      </w:r>
      <w:r w:rsidRPr="001A423B">
        <w:rPr>
          <w:lang w:val="en-MY"/>
        </w:rPr>
        <w:t> (2024).</w:t>
      </w:r>
    </w:p>
    <w:p w14:paraId="54629720" w14:textId="4785878B" w:rsidR="001A423B" w:rsidRPr="001A423B" w:rsidRDefault="001A423B" w:rsidP="001A423B">
      <w:pPr>
        <w:pStyle w:val="Paragraph"/>
        <w:ind w:firstLine="0"/>
        <w:rPr>
          <w:lang w:val="en-MY"/>
        </w:rPr>
      </w:pPr>
      <w:r>
        <w:rPr>
          <w:lang w:val="en-MY"/>
        </w:rPr>
        <w:t>12.</w:t>
      </w:r>
      <w:r w:rsidRPr="001A423B">
        <w:rPr>
          <w:lang w:val="en-MY"/>
        </w:rPr>
        <w:t xml:space="preserve"> Y. Cong, C. Zhu, Y. Hou, S. Tian, and X. Cai, </w:t>
      </w:r>
      <w:r w:rsidRPr="001A423B">
        <w:rPr>
          <w:i/>
          <w:iCs/>
          <w:lang w:val="en-MY"/>
        </w:rPr>
        <w:t>Front. Environ. Sci.</w:t>
      </w:r>
      <w:r w:rsidRPr="001A423B">
        <w:rPr>
          <w:lang w:val="en-MY"/>
        </w:rPr>
        <w:t> </w:t>
      </w:r>
      <w:r w:rsidRPr="001A423B">
        <w:rPr>
          <w:b/>
          <w:bCs/>
          <w:lang w:val="en-MY"/>
        </w:rPr>
        <w:t>10</w:t>
      </w:r>
      <w:r w:rsidRPr="001A423B">
        <w:rPr>
          <w:lang w:val="en-MY"/>
        </w:rPr>
        <w:t>, 977049 (2022).</w:t>
      </w:r>
    </w:p>
    <w:p w14:paraId="654C87CE" w14:textId="0DD2F774" w:rsidR="001A423B" w:rsidRPr="001A423B" w:rsidRDefault="001A423B" w:rsidP="001A423B">
      <w:pPr>
        <w:pStyle w:val="Paragraph"/>
        <w:ind w:firstLine="0"/>
        <w:rPr>
          <w:lang w:val="en-MY"/>
        </w:rPr>
      </w:pPr>
      <w:r>
        <w:rPr>
          <w:lang w:val="en-MY"/>
        </w:rPr>
        <w:t>13.</w:t>
      </w:r>
      <w:r w:rsidRPr="001A423B">
        <w:rPr>
          <w:lang w:val="en-MY"/>
        </w:rPr>
        <w:t xml:space="preserve"> Y. Jiang and Q. Tang, </w:t>
      </w:r>
      <w:r w:rsidRPr="001A423B">
        <w:rPr>
          <w:i/>
          <w:iCs/>
          <w:lang w:val="en-MY"/>
        </w:rPr>
        <w:t>Pac. Account. Rev.</w:t>
      </w:r>
      <w:r w:rsidRPr="001A423B">
        <w:rPr>
          <w:lang w:val="en-MY"/>
        </w:rPr>
        <w:t> </w:t>
      </w:r>
      <w:r w:rsidRPr="001A423B">
        <w:rPr>
          <w:b/>
          <w:bCs/>
          <w:lang w:val="en-MY"/>
        </w:rPr>
        <w:t>35</w:t>
      </w:r>
      <w:r w:rsidRPr="001A423B">
        <w:rPr>
          <w:lang w:val="en-MY"/>
        </w:rPr>
        <w:t>, 534–561 (2023).</w:t>
      </w:r>
    </w:p>
    <w:p w14:paraId="4402DA3A" w14:textId="241FAAFE" w:rsidR="001A423B" w:rsidRPr="001A423B" w:rsidRDefault="001A423B" w:rsidP="001A423B">
      <w:pPr>
        <w:pStyle w:val="Paragraph"/>
        <w:ind w:firstLine="0"/>
        <w:rPr>
          <w:lang w:val="en-MY"/>
        </w:rPr>
      </w:pPr>
      <w:r>
        <w:rPr>
          <w:lang w:val="en-MY"/>
        </w:rPr>
        <w:t>14.</w:t>
      </w:r>
      <w:r w:rsidRPr="001A423B">
        <w:rPr>
          <w:lang w:val="en-MY"/>
        </w:rPr>
        <w:t xml:space="preserve"> S. Treepongkaruna, H. H. Au Yong, S. Thomsen, and K. Kyaw, </w:t>
      </w:r>
      <w:r w:rsidRPr="001A423B">
        <w:rPr>
          <w:i/>
          <w:iCs/>
          <w:lang w:val="en-MY"/>
        </w:rPr>
        <w:t>Bus. Strategy Environ.</w:t>
      </w:r>
      <w:r w:rsidRPr="001A423B">
        <w:rPr>
          <w:lang w:val="en-MY"/>
        </w:rPr>
        <w:t> (2024).</w:t>
      </w:r>
    </w:p>
    <w:p w14:paraId="3C7ACE98" w14:textId="6676A968" w:rsidR="001A423B" w:rsidRPr="001A423B" w:rsidRDefault="001A423B" w:rsidP="001A423B">
      <w:pPr>
        <w:pStyle w:val="Paragraph"/>
        <w:ind w:firstLine="0"/>
        <w:rPr>
          <w:lang w:val="en-MY"/>
        </w:rPr>
      </w:pPr>
      <w:r>
        <w:rPr>
          <w:lang w:val="en-MY"/>
        </w:rPr>
        <w:t>15.</w:t>
      </w:r>
      <w:r w:rsidRPr="001A423B">
        <w:rPr>
          <w:lang w:val="en-MY"/>
        </w:rPr>
        <w:t xml:space="preserve"> Y. Zhao, Y. Gao, and D. Hong, </w:t>
      </w:r>
      <w:r w:rsidRPr="001A423B">
        <w:rPr>
          <w:i/>
          <w:iCs/>
          <w:lang w:val="en-MY"/>
        </w:rPr>
        <w:t>J. Knowl. Econ.</w:t>
      </w:r>
      <w:r w:rsidRPr="001A423B">
        <w:rPr>
          <w:lang w:val="en-MY"/>
        </w:rPr>
        <w:t>, 1–35 (2024).</w:t>
      </w:r>
    </w:p>
    <w:p w14:paraId="5E02BF7A" w14:textId="77777777" w:rsidR="001A423B" w:rsidRDefault="001A423B" w:rsidP="001A423B">
      <w:pPr>
        <w:pStyle w:val="Paragraph"/>
        <w:ind w:firstLine="0"/>
        <w:rPr>
          <w:lang w:val="en-MY"/>
        </w:rPr>
      </w:pPr>
      <w:r>
        <w:rPr>
          <w:lang w:val="en-MY"/>
        </w:rPr>
        <w:t>16.</w:t>
      </w:r>
      <w:r w:rsidRPr="001A423B">
        <w:rPr>
          <w:lang w:val="en-MY"/>
        </w:rPr>
        <w:t xml:space="preserve">  P. Hardiningsih, I. Januarti, E. N. A. Yuyetta, C. Srimindarti, and U. Udin, </w:t>
      </w:r>
      <w:r w:rsidRPr="001A423B">
        <w:rPr>
          <w:i/>
          <w:iCs/>
          <w:lang w:val="en-MY"/>
        </w:rPr>
        <w:t>Int. J. Energy Econ. Policy</w:t>
      </w:r>
      <w:r w:rsidRPr="001A423B">
        <w:rPr>
          <w:lang w:val="en-MY"/>
        </w:rPr>
        <w:t> </w:t>
      </w:r>
      <w:r w:rsidRPr="001A423B">
        <w:rPr>
          <w:b/>
          <w:bCs/>
          <w:lang w:val="en-MY"/>
        </w:rPr>
        <w:t>10</w:t>
      </w:r>
      <w:r w:rsidRPr="001A423B">
        <w:rPr>
          <w:lang w:val="en-MY"/>
        </w:rPr>
        <w:t xml:space="preserve">, 18–25 </w:t>
      </w:r>
    </w:p>
    <w:p w14:paraId="4E5469CB" w14:textId="690098CF" w:rsidR="001A423B" w:rsidRPr="001A423B" w:rsidRDefault="001A423B" w:rsidP="001A423B">
      <w:pPr>
        <w:pStyle w:val="Paragraph"/>
        <w:ind w:firstLine="0"/>
        <w:rPr>
          <w:lang w:val="en-MY"/>
        </w:rPr>
      </w:pPr>
      <w:r>
        <w:rPr>
          <w:lang w:val="en-MY"/>
        </w:rPr>
        <w:t xml:space="preserve">      </w:t>
      </w:r>
      <w:r w:rsidRPr="001A423B">
        <w:rPr>
          <w:lang w:val="en-MY"/>
        </w:rPr>
        <w:t>(2020).</w:t>
      </w:r>
    </w:p>
    <w:p w14:paraId="176B8304" w14:textId="34EFB1F3" w:rsidR="001A423B" w:rsidRPr="001A423B" w:rsidRDefault="001A423B" w:rsidP="001A423B">
      <w:pPr>
        <w:pStyle w:val="Paragraph"/>
        <w:ind w:firstLine="0"/>
        <w:rPr>
          <w:lang w:val="en-MY"/>
        </w:rPr>
      </w:pPr>
      <w:r>
        <w:rPr>
          <w:lang w:val="en-MY"/>
        </w:rPr>
        <w:t>17.</w:t>
      </w:r>
      <w:r w:rsidRPr="001A423B">
        <w:rPr>
          <w:lang w:val="en-MY"/>
        </w:rPr>
        <w:t xml:space="preserve">  M. Jeriji, W. Louhichi, and Z. Ftiti, </w:t>
      </w:r>
      <w:r w:rsidRPr="001A423B">
        <w:rPr>
          <w:i/>
          <w:iCs/>
          <w:lang w:val="en-MY"/>
        </w:rPr>
        <w:t>Br. J. Manag.</w:t>
      </w:r>
      <w:r w:rsidRPr="001A423B">
        <w:rPr>
          <w:lang w:val="en-MY"/>
        </w:rPr>
        <w:t> </w:t>
      </w:r>
      <w:r w:rsidRPr="001A423B">
        <w:rPr>
          <w:b/>
          <w:bCs/>
          <w:lang w:val="en-MY"/>
        </w:rPr>
        <w:t>34</w:t>
      </w:r>
      <w:r w:rsidRPr="001A423B">
        <w:rPr>
          <w:lang w:val="en-MY"/>
        </w:rPr>
        <w:t>, 555–575 (2023).</w:t>
      </w:r>
    </w:p>
    <w:p w14:paraId="128DE402" w14:textId="7FEE769F" w:rsidR="001A423B" w:rsidRDefault="001A423B" w:rsidP="001A423B">
      <w:pPr>
        <w:pStyle w:val="Paragraph"/>
        <w:ind w:firstLine="0"/>
        <w:rPr>
          <w:lang w:val="en-MY"/>
        </w:rPr>
      </w:pPr>
      <w:r>
        <w:rPr>
          <w:lang w:val="en-MY"/>
        </w:rPr>
        <w:t>18.</w:t>
      </w:r>
      <w:r w:rsidRPr="001A423B">
        <w:rPr>
          <w:lang w:val="en-MY"/>
        </w:rPr>
        <w:t xml:space="preserve">  J. L. Robertson, A. W. Montgomery, and T. Ozbilir, </w:t>
      </w:r>
      <w:r w:rsidRPr="001A423B">
        <w:rPr>
          <w:i/>
          <w:iCs/>
          <w:lang w:val="en-MY"/>
        </w:rPr>
        <w:t>Bus. Strategy Environ.</w:t>
      </w:r>
      <w:r w:rsidRPr="001A423B">
        <w:rPr>
          <w:lang w:val="en-MY"/>
        </w:rPr>
        <w:t> </w:t>
      </w:r>
      <w:r w:rsidRPr="001A423B">
        <w:rPr>
          <w:b/>
          <w:bCs/>
          <w:lang w:val="en-MY"/>
        </w:rPr>
        <w:t>32</w:t>
      </w:r>
      <w:r w:rsidRPr="001A423B">
        <w:rPr>
          <w:lang w:val="en-MY"/>
        </w:rPr>
        <w:t>, 4015–4027 (2023).</w:t>
      </w:r>
    </w:p>
    <w:p w14:paraId="4B5BA2A2" w14:textId="4042C154" w:rsidR="001A423B" w:rsidRPr="001A423B" w:rsidRDefault="001A423B" w:rsidP="001A423B">
      <w:pPr>
        <w:pStyle w:val="Paragraph"/>
        <w:ind w:firstLine="0"/>
        <w:rPr>
          <w:lang w:val="en-MY"/>
        </w:rPr>
      </w:pPr>
      <w:r>
        <w:rPr>
          <w:lang w:val="en-MY"/>
        </w:rPr>
        <w:t>19.</w:t>
      </w:r>
      <w:r w:rsidRPr="001A423B">
        <w:rPr>
          <w:lang w:val="en-MY"/>
        </w:rPr>
        <w:t xml:space="preserve">  J. Cao, J. Li, and G. Wang, </w:t>
      </w:r>
      <w:r w:rsidRPr="001A423B">
        <w:rPr>
          <w:i/>
          <w:iCs/>
          <w:lang w:val="en-MY"/>
        </w:rPr>
        <w:t>Finance Res. Lett.</w:t>
      </w:r>
      <w:r w:rsidRPr="001A423B">
        <w:rPr>
          <w:lang w:val="en-MY"/>
        </w:rPr>
        <w:t> </w:t>
      </w:r>
      <w:r w:rsidRPr="001A423B">
        <w:rPr>
          <w:b/>
          <w:bCs/>
          <w:lang w:val="en-MY"/>
        </w:rPr>
        <w:t>40</w:t>
      </w:r>
      <w:r w:rsidRPr="001A423B">
        <w:rPr>
          <w:lang w:val="en-MY"/>
        </w:rPr>
        <w:t>, 101729 (2021).</w:t>
      </w:r>
    </w:p>
    <w:p w14:paraId="1D1B9234" w14:textId="048D3100" w:rsidR="002B5648" w:rsidRPr="00E0589B" w:rsidRDefault="001A423B" w:rsidP="00B17470">
      <w:pPr>
        <w:pStyle w:val="Paragraph"/>
        <w:ind w:firstLine="0"/>
        <w:rPr>
          <w:highlight w:val="yellow"/>
        </w:rPr>
      </w:pPr>
      <w:r>
        <w:rPr>
          <w:lang w:val="en-MY"/>
        </w:rPr>
        <w:t>2</w:t>
      </w:r>
      <w:r w:rsidR="00B4637A">
        <w:rPr>
          <w:lang w:val="en-MY"/>
        </w:rPr>
        <w:t>0</w:t>
      </w:r>
      <w:r>
        <w:rPr>
          <w:lang w:val="en-MY"/>
        </w:rPr>
        <w:t>.</w:t>
      </w:r>
      <w:r w:rsidRPr="001A423B">
        <w:rPr>
          <w:lang w:val="en-MY"/>
        </w:rPr>
        <w:t xml:space="preserve">  F. Li, Y. Wang, and Y. Zhang, </w:t>
      </w:r>
      <w:r w:rsidRPr="001A423B">
        <w:rPr>
          <w:i/>
          <w:iCs/>
          <w:lang w:val="en-MY"/>
        </w:rPr>
        <w:t>Technol. Forecast. Soc. Change</w:t>
      </w:r>
      <w:r w:rsidRPr="001A423B">
        <w:rPr>
          <w:lang w:val="en-MY"/>
        </w:rPr>
        <w:t> </w:t>
      </w:r>
      <w:r w:rsidRPr="001A423B">
        <w:rPr>
          <w:b/>
          <w:bCs/>
          <w:lang w:val="en-MY"/>
        </w:rPr>
        <w:t>186</w:t>
      </w:r>
      <w:r w:rsidRPr="001A423B">
        <w:rPr>
          <w:lang w:val="en-MY"/>
        </w:rPr>
        <w:t>, 122165 (2023).</w:t>
      </w:r>
    </w:p>
    <w:sectPr w:rsidR="002B5648" w:rsidRPr="00E0589B" w:rsidSect="00D3064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F22C9" w14:textId="77777777" w:rsidR="00C66F67" w:rsidRDefault="00C66F67" w:rsidP="00CC223A">
      <w:r>
        <w:separator/>
      </w:r>
    </w:p>
  </w:endnote>
  <w:endnote w:type="continuationSeparator" w:id="0">
    <w:p w14:paraId="02949070" w14:textId="77777777" w:rsidR="00C66F67" w:rsidRDefault="00C66F67" w:rsidP="00CC2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B6822659-2E51-43A2-BDB0-138FCAC14DA8}"/>
  </w:font>
  <w:font w:name="Times New Roman">
    <w:panose1 w:val="02020603050405020304"/>
    <w:charset w:val="00"/>
    <w:family w:val="roman"/>
    <w:pitch w:val="variable"/>
    <w:sig w:usb0="E0002EFF" w:usb1="C000785B" w:usb2="00000009" w:usb3="00000000" w:csb0="000001FF" w:csb1="00000000"/>
    <w:embedRegular r:id="rId2" w:fontKey="{3BBF0BCC-2F1D-43FF-AFB6-C3446D124204}"/>
    <w:embedBold r:id="rId3" w:fontKey="{5B602AA9-0EDF-4EB8-B9E3-267C96ADE27B}"/>
    <w:embedItalic r:id="rId4" w:fontKey="{AE5D45CF-9886-4972-8347-F12A77FA7167}"/>
  </w:font>
  <w:font w:name="Courier New">
    <w:panose1 w:val="02070309020205020404"/>
    <w:charset w:val="00"/>
    <w:family w:val="modern"/>
    <w:pitch w:val="fixed"/>
    <w:sig w:usb0="E0002EFF" w:usb1="C0007843" w:usb2="00000009" w:usb3="00000000" w:csb0="000001FF" w:csb1="00000000"/>
    <w:embedRegular r:id="rId5" w:fontKey="{875C3200-BA5F-4EAB-8866-EA4740FED0ED}"/>
  </w:font>
  <w:font w:name="Wingdings">
    <w:panose1 w:val="05000000000000000000"/>
    <w:charset w:val="02"/>
    <w:family w:val="auto"/>
    <w:pitch w:val="variable"/>
    <w:sig w:usb0="00000000" w:usb1="10000000" w:usb2="00000000" w:usb3="00000000" w:csb0="80000000" w:csb1="00000000"/>
    <w:embedRegular r:id="rId6" w:fontKey="{87C2B909-4810-48A1-ADBF-84F9FDF4C6F8}"/>
  </w:font>
  <w:font w:name="Tahoma">
    <w:panose1 w:val="020B0604030504040204"/>
    <w:charset w:val="00"/>
    <w:family w:val="swiss"/>
    <w:pitch w:val="variable"/>
    <w:sig w:usb0="E1002EFF" w:usb1="C000605B" w:usb2="00000029" w:usb3="00000000" w:csb0="000101FF" w:csb1="00000000"/>
    <w:embedRegular r:id="rId7" w:fontKey="{101AC0F5-1F58-4613-BCF5-D9398C7CEA15}"/>
  </w:font>
  <w:font w:name="Cambria Math">
    <w:panose1 w:val="02040503050406030204"/>
    <w:charset w:val="00"/>
    <w:family w:val="roman"/>
    <w:pitch w:val="variable"/>
    <w:sig w:usb0="E00006FF" w:usb1="420024FF" w:usb2="02000000" w:usb3="00000000" w:csb0="0000019F" w:csb1="00000000"/>
    <w:embedRegular r:id="rId8" w:fontKey="{DE8E4821-05B5-4CC6-9F30-4FB1555ACF7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F30CFBD7-5091-4EFF-A498-3B4BFDAD8280}"/>
  </w:font>
  <w:font w:name="Calibri">
    <w:panose1 w:val="020F0502020204030204"/>
    <w:charset w:val="00"/>
    <w:family w:val="swiss"/>
    <w:pitch w:val="variable"/>
    <w:sig w:usb0="E4002EFF" w:usb1="C000247B" w:usb2="00000009" w:usb3="00000000" w:csb0="000001FF" w:csb1="00000000"/>
    <w:embedRegular r:id="rId10" w:fontKey="{766BAC7C-46ED-4A55-B4A9-DCF11BFD9853}"/>
  </w:font>
  <w:font w:name="Arial">
    <w:panose1 w:val="020B0604020202020204"/>
    <w:charset w:val="00"/>
    <w:family w:val="swiss"/>
    <w:pitch w:val="variable"/>
    <w:sig w:usb0="E0002EFF" w:usb1="C000785B" w:usb2="00000009" w:usb3="00000000" w:csb0="000001FF" w:csb1="00000000"/>
    <w:embedRegular r:id="rId11" w:fontKey="{9EC5ABBB-7BDF-4885-9FEF-741C67F6B6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0D201" w14:textId="77777777" w:rsidR="00C66F67" w:rsidRDefault="00C66F67" w:rsidP="00CC223A">
      <w:r>
        <w:separator/>
      </w:r>
    </w:p>
  </w:footnote>
  <w:footnote w:type="continuationSeparator" w:id="0">
    <w:p w14:paraId="03396EEF" w14:textId="77777777" w:rsidR="00C66F67" w:rsidRDefault="00C66F67" w:rsidP="00CC2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8157" w:hanging="360"/>
      </w:pPr>
      <w:rPr>
        <w:rFonts w:ascii="Symbol" w:hAnsi="Symbol" w:hint="default"/>
      </w:rPr>
    </w:lvl>
    <w:lvl w:ilvl="1" w:tplc="04090003" w:tentative="1">
      <w:start w:val="1"/>
      <w:numFmt w:val="bullet"/>
      <w:lvlText w:val="o"/>
      <w:lvlJc w:val="left"/>
      <w:pPr>
        <w:ind w:left="8877" w:hanging="360"/>
      </w:pPr>
      <w:rPr>
        <w:rFonts w:ascii="Courier New" w:hAnsi="Courier New" w:cs="Courier New" w:hint="default"/>
      </w:rPr>
    </w:lvl>
    <w:lvl w:ilvl="2" w:tplc="04090005" w:tentative="1">
      <w:start w:val="1"/>
      <w:numFmt w:val="bullet"/>
      <w:lvlText w:val=""/>
      <w:lvlJc w:val="left"/>
      <w:pPr>
        <w:ind w:left="9597" w:hanging="360"/>
      </w:pPr>
      <w:rPr>
        <w:rFonts w:ascii="Wingdings" w:hAnsi="Wingdings" w:hint="default"/>
      </w:rPr>
    </w:lvl>
    <w:lvl w:ilvl="3" w:tplc="04090001" w:tentative="1">
      <w:start w:val="1"/>
      <w:numFmt w:val="bullet"/>
      <w:lvlText w:val=""/>
      <w:lvlJc w:val="left"/>
      <w:pPr>
        <w:ind w:left="10317" w:hanging="360"/>
      </w:pPr>
      <w:rPr>
        <w:rFonts w:ascii="Symbol" w:hAnsi="Symbol" w:hint="default"/>
      </w:rPr>
    </w:lvl>
    <w:lvl w:ilvl="4" w:tplc="04090003" w:tentative="1">
      <w:start w:val="1"/>
      <w:numFmt w:val="bullet"/>
      <w:lvlText w:val="o"/>
      <w:lvlJc w:val="left"/>
      <w:pPr>
        <w:ind w:left="11037" w:hanging="360"/>
      </w:pPr>
      <w:rPr>
        <w:rFonts w:ascii="Courier New" w:hAnsi="Courier New" w:cs="Courier New" w:hint="default"/>
      </w:rPr>
    </w:lvl>
    <w:lvl w:ilvl="5" w:tplc="04090005" w:tentative="1">
      <w:start w:val="1"/>
      <w:numFmt w:val="bullet"/>
      <w:lvlText w:val=""/>
      <w:lvlJc w:val="left"/>
      <w:pPr>
        <w:ind w:left="11757" w:hanging="360"/>
      </w:pPr>
      <w:rPr>
        <w:rFonts w:ascii="Wingdings" w:hAnsi="Wingdings" w:hint="default"/>
      </w:rPr>
    </w:lvl>
    <w:lvl w:ilvl="6" w:tplc="04090001" w:tentative="1">
      <w:start w:val="1"/>
      <w:numFmt w:val="bullet"/>
      <w:lvlText w:val=""/>
      <w:lvlJc w:val="left"/>
      <w:pPr>
        <w:ind w:left="12477" w:hanging="360"/>
      </w:pPr>
      <w:rPr>
        <w:rFonts w:ascii="Symbol" w:hAnsi="Symbol" w:hint="default"/>
      </w:rPr>
    </w:lvl>
    <w:lvl w:ilvl="7" w:tplc="04090003" w:tentative="1">
      <w:start w:val="1"/>
      <w:numFmt w:val="bullet"/>
      <w:lvlText w:val="o"/>
      <w:lvlJc w:val="left"/>
      <w:pPr>
        <w:ind w:left="13197" w:hanging="360"/>
      </w:pPr>
      <w:rPr>
        <w:rFonts w:ascii="Courier New" w:hAnsi="Courier New" w:cs="Courier New" w:hint="default"/>
      </w:rPr>
    </w:lvl>
    <w:lvl w:ilvl="8" w:tplc="04090005" w:tentative="1">
      <w:start w:val="1"/>
      <w:numFmt w:val="bullet"/>
      <w:lvlText w:val=""/>
      <w:lvlJc w:val="left"/>
      <w:pPr>
        <w:ind w:left="13917"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19B35AE"/>
    <w:multiLevelType w:val="hybridMultilevel"/>
    <w:tmpl w:val="B252A94A"/>
    <w:lvl w:ilvl="0" w:tplc="E88A77FE">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9"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E64F75"/>
    <w:multiLevelType w:val="hybridMultilevel"/>
    <w:tmpl w:val="E0E202E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5"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722053303">
    <w:abstractNumId w:val="17"/>
  </w:num>
  <w:num w:numId="2" w16cid:durableId="2111657063">
    <w:abstractNumId w:val="3"/>
  </w:num>
  <w:num w:numId="3" w16cid:durableId="1186939136">
    <w:abstractNumId w:val="14"/>
  </w:num>
  <w:num w:numId="4" w16cid:durableId="874316192">
    <w:abstractNumId w:val="8"/>
  </w:num>
  <w:num w:numId="5" w16cid:durableId="1926455921">
    <w:abstractNumId w:val="13"/>
  </w:num>
  <w:num w:numId="6" w16cid:durableId="1958172813">
    <w:abstractNumId w:val="4"/>
  </w:num>
  <w:num w:numId="7" w16cid:durableId="201746136">
    <w:abstractNumId w:val="7"/>
  </w:num>
  <w:num w:numId="8" w16cid:durableId="1093238193">
    <w:abstractNumId w:val="1"/>
  </w:num>
  <w:num w:numId="9" w16cid:durableId="1331638936">
    <w:abstractNumId w:val="16"/>
  </w:num>
  <w:num w:numId="10" w16cid:durableId="117141537">
    <w:abstractNumId w:val="10"/>
  </w:num>
  <w:num w:numId="11" w16cid:durableId="674459993">
    <w:abstractNumId w:val="15"/>
  </w:num>
  <w:num w:numId="12" w16cid:durableId="1389648379">
    <w:abstractNumId w:val="11"/>
  </w:num>
  <w:num w:numId="13" w16cid:durableId="1855536660">
    <w:abstractNumId w:val="6"/>
  </w:num>
  <w:num w:numId="14" w16cid:durableId="1789201695">
    <w:abstractNumId w:val="16"/>
  </w:num>
  <w:num w:numId="15" w16cid:durableId="1730037264">
    <w:abstractNumId w:val="9"/>
  </w:num>
  <w:num w:numId="16" w16cid:durableId="496313067">
    <w:abstractNumId w:val="6"/>
  </w:num>
  <w:num w:numId="17" w16cid:durableId="2111274034">
    <w:abstractNumId w:val="6"/>
  </w:num>
  <w:num w:numId="18" w16cid:durableId="1077629925">
    <w:abstractNumId w:val="6"/>
  </w:num>
  <w:num w:numId="19" w16cid:durableId="425537061">
    <w:abstractNumId w:val="6"/>
  </w:num>
  <w:num w:numId="20" w16cid:durableId="2129884947">
    <w:abstractNumId w:val="6"/>
  </w:num>
  <w:num w:numId="21" w16cid:durableId="367489650">
    <w:abstractNumId w:val="6"/>
  </w:num>
  <w:num w:numId="22" w16cid:durableId="135031789">
    <w:abstractNumId w:val="6"/>
  </w:num>
  <w:num w:numId="23" w16cid:durableId="28921880">
    <w:abstractNumId w:val="6"/>
  </w:num>
  <w:num w:numId="24" w16cid:durableId="727336034">
    <w:abstractNumId w:val="6"/>
  </w:num>
  <w:num w:numId="25" w16cid:durableId="2058623550">
    <w:abstractNumId w:val="6"/>
  </w:num>
  <w:num w:numId="26" w16cid:durableId="1925913289">
    <w:abstractNumId w:val="6"/>
  </w:num>
  <w:num w:numId="27" w16cid:durableId="2142112374">
    <w:abstractNumId w:val="6"/>
  </w:num>
  <w:num w:numId="28" w16cid:durableId="1912814445">
    <w:abstractNumId w:val="6"/>
  </w:num>
  <w:num w:numId="29" w16cid:durableId="1365447372">
    <w:abstractNumId w:val="13"/>
  </w:num>
  <w:num w:numId="30" w16cid:durableId="219829729">
    <w:abstractNumId w:val="13"/>
  </w:num>
  <w:num w:numId="31" w16cid:durableId="1176920553">
    <w:abstractNumId w:val="13"/>
    <w:lvlOverride w:ilvl="0">
      <w:startOverride w:val="1"/>
    </w:lvlOverride>
  </w:num>
  <w:num w:numId="32" w16cid:durableId="627206685">
    <w:abstractNumId w:val="13"/>
  </w:num>
  <w:num w:numId="33" w16cid:durableId="112679395">
    <w:abstractNumId w:val="13"/>
    <w:lvlOverride w:ilvl="0">
      <w:startOverride w:val="1"/>
    </w:lvlOverride>
  </w:num>
  <w:num w:numId="34" w16cid:durableId="1022628362">
    <w:abstractNumId w:val="13"/>
    <w:lvlOverride w:ilvl="0">
      <w:startOverride w:val="1"/>
    </w:lvlOverride>
  </w:num>
  <w:num w:numId="35" w16cid:durableId="1257404233">
    <w:abstractNumId w:val="14"/>
    <w:lvlOverride w:ilvl="0">
      <w:startOverride w:val="1"/>
    </w:lvlOverride>
  </w:num>
  <w:num w:numId="36" w16cid:durableId="530070398">
    <w:abstractNumId w:val="14"/>
  </w:num>
  <w:num w:numId="37" w16cid:durableId="1176923045">
    <w:abstractNumId w:val="14"/>
    <w:lvlOverride w:ilvl="0">
      <w:startOverride w:val="1"/>
    </w:lvlOverride>
  </w:num>
  <w:num w:numId="38" w16cid:durableId="2042975460">
    <w:abstractNumId w:val="14"/>
  </w:num>
  <w:num w:numId="39" w16cid:durableId="1520780901">
    <w:abstractNumId w:val="14"/>
    <w:lvlOverride w:ilvl="0">
      <w:startOverride w:val="1"/>
    </w:lvlOverride>
  </w:num>
  <w:num w:numId="40" w16cid:durableId="1503161660">
    <w:abstractNumId w:val="14"/>
    <w:lvlOverride w:ilvl="0">
      <w:startOverride w:val="1"/>
    </w:lvlOverride>
  </w:num>
  <w:num w:numId="41" w16cid:durableId="246114688">
    <w:abstractNumId w:val="14"/>
    <w:lvlOverride w:ilvl="0">
      <w:startOverride w:val="1"/>
    </w:lvlOverride>
  </w:num>
  <w:num w:numId="42" w16cid:durableId="129976798">
    <w:abstractNumId w:val="14"/>
  </w:num>
  <w:num w:numId="43" w16cid:durableId="1527215664">
    <w:abstractNumId w:val="14"/>
  </w:num>
  <w:num w:numId="44" w16cid:durableId="1478493327">
    <w:abstractNumId w:val="2"/>
  </w:num>
  <w:num w:numId="45" w16cid:durableId="1801799130">
    <w:abstractNumId w:val="0"/>
  </w:num>
  <w:num w:numId="46" w16cid:durableId="187959238">
    <w:abstractNumId w:val="12"/>
  </w:num>
  <w:num w:numId="47" w16cid:durableId="21138155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4140"/>
    <w:rsid w:val="00027428"/>
    <w:rsid w:val="00031EC9"/>
    <w:rsid w:val="00066BCE"/>
    <w:rsid w:val="00066FED"/>
    <w:rsid w:val="00075EA6"/>
    <w:rsid w:val="0007709F"/>
    <w:rsid w:val="00086F62"/>
    <w:rsid w:val="00090674"/>
    <w:rsid w:val="0009320B"/>
    <w:rsid w:val="00096A1A"/>
    <w:rsid w:val="00096AE0"/>
    <w:rsid w:val="000B0661"/>
    <w:rsid w:val="000B1B74"/>
    <w:rsid w:val="000B3131"/>
    <w:rsid w:val="000B3A2D"/>
    <w:rsid w:val="000B49C0"/>
    <w:rsid w:val="000E382F"/>
    <w:rsid w:val="000E75CD"/>
    <w:rsid w:val="001036BA"/>
    <w:rsid w:val="001146DC"/>
    <w:rsid w:val="00114AB1"/>
    <w:rsid w:val="001230FF"/>
    <w:rsid w:val="00130BD7"/>
    <w:rsid w:val="00155B67"/>
    <w:rsid w:val="001562AF"/>
    <w:rsid w:val="00157E89"/>
    <w:rsid w:val="00161A5B"/>
    <w:rsid w:val="0016385D"/>
    <w:rsid w:val="0016782F"/>
    <w:rsid w:val="001937E9"/>
    <w:rsid w:val="001964E5"/>
    <w:rsid w:val="001A423B"/>
    <w:rsid w:val="001B263B"/>
    <w:rsid w:val="001B476A"/>
    <w:rsid w:val="001C764F"/>
    <w:rsid w:val="001C7BB3"/>
    <w:rsid w:val="001D469C"/>
    <w:rsid w:val="001E0ED9"/>
    <w:rsid w:val="0020150C"/>
    <w:rsid w:val="00206ED9"/>
    <w:rsid w:val="00212A0B"/>
    <w:rsid w:val="0021619E"/>
    <w:rsid w:val="0023171B"/>
    <w:rsid w:val="00236BFC"/>
    <w:rsid w:val="00237437"/>
    <w:rsid w:val="002502FD"/>
    <w:rsid w:val="0025267E"/>
    <w:rsid w:val="00271AAC"/>
    <w:rsid w:val="00274622"/>
    <w:rsid w:val="00285D24"/>
    <w:rsid w:val="00290390"/>
    <w:rsid w:val="002915D3"/>
    <w:rsid w:val="002924DB"/>
    <w:rsid w:val="002941DA"/>
    <w:rsid w:val="002966C5"/>
    <w:rsid w:val="002A76BB"/>
    <w:rsid w:val="002B5648"/>
    <w:rsid w:val="002C15FC"/>
    <w:rsid w:val="002C426B"/>
    <w:rsid w:val="002E3C35"/>
    <w:rsid w:val="002F3BA4"/>
    <w:rsid w:val="002F5298"/>
    <w:rsid w:val="003028A8"/>
    <w:rsid w:val="00303DCC"/>
    <w:rsid w:val="003057A7"/>
    <w:rsid w:val="00316C88"/>
    <w:rsid w:val="00321A88"/>
    <w:rsid w:val="00326AE0"/>
    <w:rsid w:val="00337E4F"/>
    <w:rsid w:val="00340C36"/>
    <w:rsid w:val="00346A9D"/>
    <w:rsid w:val="00383875"/>
    <w:rsid w:val="0039376F"/>
    <w:rsid w:val="00397E77"/>
    <w:rsid w:val="003A287B"/>
    <w:rsid w:val="003A5C85"/>
    <w:rsid w:val="003A61B1"/>
    <w:rsid w:val="003B0050"/>
    <w:rsid w:val="003B75EF"/>
    <w:rsid w:val="003D6312"/>
    <w:rsid w:val="003E7C74"/>
    <w:rsid w:val="003F31C6"/>
    <w:rsid w:val="0040225B"/>
    <w:rsid w:val="00402DA2"/>
    <w:rsid w:val="004206F0"/>
    <w:rsid w:val="00425AC2"/>
    <w:rsid w:val="0042697D"/>
    <w:rsid w:val="004462F2"/>
    <w:rsid w:val="0044771F"/>
    <w:rsid w:val="00476BE7"/>
    <w:rsid w:val="004A1187"/>
    <w:rsid w:val="004B151D"/>
    <w:rsid w:val="004C4595"/>
    <w:rsid w:val="004C7243"/>
    <w:rsid w:val="004E21DE"/>
    <w:rsid w:val="004E3C57"/>
    <w:rsid w:val="004E3CB2"/>
    <w:rsid w:val="004F6D48"/>
    <w:rsid w:val="0050328B"/>
    <w:rsid w:val="0050417F"/>
    <w:rsid w:val="005055AF"/>
    <w:rsid w:val="00525813"/>
    <w:rsid w:val="0053513F"/>
    <w:rsid w:val="00554385"/>
    <w:rsid w:val="00574405"/>
    <w:rsid w:val="00575EE1"/>
    <w:rsid w:val="00585258"/>
    <w:rsid w:val="005854B0"/>
    <w:rsid w:val="005A0E21"/>
    <w:rsid w:val="005B3A34"/>
    <w:rsid w:val="005C777F"/>
    <w:rsid w:val="005D49AF"/>
    <w:rsid w:val="005E415C"/>
    <w:rsid w:val="005E71ED"/>
    <w:rsid w:val="005E7946"/>
    <w:rsid w:val="005F7475"/>
    <w:rsid w:val="006016DA"/>
    <w:rsid w:val="00611299"/>
    <w:rsid w:val="00613B4D"/>
    <w:rsid w:val="00616365"/>
    <w:rsid w:val="00616F3B"/>
    <w:rsid w:val="006249A7"/>
    <w:rsid w:val="0062528A"/>
    <w:rsid w:val="00631A0F"/>
    <w:rsid w:val="0064225B"/>
    <w:rsid w:val="006609FB"/>
    <w:rsid w:val="006763F9"/>
    <w:rsid w:val="00685C2B"/>
    <w:rsid w:val="00686131"/>
    <w:rsid w:val="0069473D"/>
    <w:rsid w:val="006949BC"/>
    <w:rsid w:val="006A24F8"/>
    <w:rsid w:val="006A67D8"/>
    <w:rsid w:val="006B4F14"/>
    <w:rsid w:val="006B5645"/>
    <w:rsid w:val="006C3DE8"/>
    <w:rsid w:val="006D1229"/>
    <w:rsid w:val="006D372F"/>
    <w:rsid w:val="006D7A18"/>
    <w:rsid w:val="006E4474"/>
    <w:rsid w:val="00701388"/>
    <w:rsid w:val="0071131D"/>
    <w:rsid w:val="00723B7F"/>
    <w:rsid w:val="00725861"/>
    <w:rsid w:val="0073393A"/>
    <w:rsid w:val="0073539D"/>
    <w:rsid w:val="00767B8A"/>
    <w:rsid w:val="00775481"/>
    <w:rsid w:val="00775B9B"/>
    <w:rsid w:val="00791786"/>
    <w:rsid w:val="007A233B"/>
    <w:rsid w:val="007B042A"/>
    <w:rsid w:val="007B4863"/>
    <w:rsid w:val="007C65E6"/>
    <w:rsid w:val="007D406B"/>
    <w:rsid w:val="007D4407"/>
    <w:rsid w:val="007E1CA3"/>
    <w:rsid w:val="007F3AD3"/>
    <w:rsid w:val="00812D62"/>
    <w:rsid w:val="00812F29"/>
    <w:rsid w:val="00821713"/>
    <w:rsid w:val="00827050"/>
    <w:rsid w:val="0083278B"/>
    <w:rsid w:val="00834538"/>
    <w:rsid w:val="00844153"/>
    <w:rsid w:val="00850E89"/>
    <w:rsid w:val="008930E4"/>
    <w:rsid w:val="00893821"/>
    <w:rsid w:val="008A66DF"/>
    <w:rsid w:val="008A7B9C"/>
    <w:rsid w:val="008B39FA"/>
    <w:rsid w:val="008B4754"/>
    <w:rsid w:val="008E6A7A"/>
    <w:rsid w:val="008E6F01"/>
    <w:rsid w:val="008F1038"/>
    <w:rsid w:val="008F6FA6"/>
    <w:rsid w:val="008F7046"/>
    <w:rsid w:val="009005FC"/>
    <w:rsid w:val="00922E5A"/>
    <w:rsid w:val="00943315"/>
    <w:rsid w:val="00946C27"/>
    <w:rsid w:val="009A4F3D"/>
    <w:rsid w:val="009B696B"/>
    <w:rsid w:val="009B7671"/>
    <w:rsid w:val="009E5BA1"/>
    <w:rsid w:val="009F056E"/>
    <w:rsid w:val="009F1C0A"/>
    <w:rsid w:val="00A062CC"/>
    <w:rsid w:val="00A22C38"/>
    <w:rsid w:val="00A24F3D"/>
    <w:rsid w:val="00A26DCD"/>
    <w:rsid w:val="00A303E9"/>
    <w:rsid w:val="00A314BB"/>
    <w:rsid w:val="00A32B7D"/>
    <w:rsid w:val="00A45C16"/>
    <w:rsid w:val="00A5596B"/>
    <w:rsid w:val="00A6300E"/>
    <w:rsid w:val="00A646B3"/>
    <w:rsid w:val="00A6739B"/>
    <w:rsid w:val="00A90413"/>
    <w:rsid w:val="00A9071B"/>
    <w:rsid w:val="00AA10DC"/>
    <w:rsid w:val="00AA45EA"/>
    <w:rsid w:val="00AA6BBE"/>
    <w:rsid w:val="00AA728C"/>
    <w:rsid w:val="00AB0A9C"/>
    <w:rsid w:val="00AB7119"/>
    <w:rsid w:val="00AC5877"/>
    <w:rsid w:val="00AD5855"/>
    <w:rsid w:val="00AE10F0"/>
    <w:rsid w:val="00AE7500"/>
    <w:rsid w:val="00AE7F87"/>
    <w:rsid w:val="00AF3542"/>
    <w:rsid w:val="00AF5ABE"/>
    <w:rsid w:val="00B00415"/>
    <w:rsid w:val="00B02F07"/>
    <w:rsid w:val="00B038F4"/>
    <w:rsid w:val="00B03C2A"/>
    <w:rsid w:val="00B1000D"/>
    <w:rsid w:val="00B10134"/>
    <w:rsid w:val="00B16BFE"/>
    <w:rsid w:val="00B17470"/>
    <w:rsid w:val="00B4637A"/>
    <w:rsid w:val="00B500E5"/>
    <w:rsid w:val="00B633E4"/>
    <w:rsid w:val="00BA39BB"/>
    <w:rsid w:val="00BA3B3D"/>
    <w:rsid w:val="00BB7EEA"/>
    <w:rsid w:val="00BD1909"/>
    <w:rsid w:val="00BD4F52"/>
    <w:rsid w:val="00BE5E16"/>
    <w:rsid w:val="00BE5FD1"/>
    <w:rsid w:val="00BF3BA5"/>
    <w:rsid w:val="00C06E05"/>
    <w:rsid w:val="00C1181B"/>
    <w:rsid w:val="00C1252F"/>
    <w:rsid w:val="00C14B14"/>
    <w:rsid w:val="00C17370"/>
    <w:rsid w:val="00C2054D"/>
    <w:rsid w:val="00C252EB"/>
    <w:rsid w:val="00C26EC0"/>
    <w:rsid w:val="00C56C77"/>
    <w:rsid w:val="00C66F67"/>
    <w:rsid w:val="00C84923"/>
    <w:rsid w:val="00CA24E7"/>
    <w:rsid w:val="00CB6631"/>
    <w:rsid w:val="00CB7B3E"/>
    <w:rsid w:val="00CC0A61"/>
    <w:rsid w:val="00CC1E0F"/>
    <w:rsid w:val="00CC223A"/>
    <w:rsid w:val="00CC739D"/>
    <w:rsid w:val="00CD2002"/>
    <w:rsid w:val="00CF3A1A"/>
    <w:rsid w:val="00CF7D06"/>
    <w:rsid w:val="00D04468"/>
    <w:rsid w:val="00D21810"/>
    <w:rsid w:val="00D30640"/>
    <w:rsid w:val="00D36257"/>
    <w:rsid w:val="00D4687E"/>
    <w:rsid w:val="00D53A12"/>
    <w:rsid w:val="00D63998"/>
    <w:rsid w:val="00D64BC1"/>
    <w:rsid w:val="00D87E2A"/>
    <w:rsid w:val="00DA48F0"/>
    <w:rsid w:val="00DB0C43"/>
    <w:rsid w:val="00DE3354"/>
    <w:rsid w:val="00DE5D66"/>
    <w:rsid w:val="00DF7DCD"/>
    <w:rsid w:val="00E0589B"/>
    <w:rsid w:val="00E32BEB"/>
    <w:rsid w:val="00E50B7D"/>
    <w:rsid w:val="00E764FB"/>
    <w:rsid w:val="00E904A1"/>
    <w:rsid w:val="00E94592"/>
    <w:rsid w:val="00EA1230"/>
    <w:rsid w:val="00EB7D28"/>
    <w:rsid w:val="00EC0D0C"/>
    <w:rsid w:val="00EC44C7"/>
    <w:rsid w:val="00EC6586"/>
    <w:rsid w:val="00ED43A7"/>
    <w:rsid w:val="00ED4A2C"/>
    <w:rsid w:val="00ED59EC"/>
    <w:rsid w:val="00EF6940"/>
    <w:rsid w:val="00EF6BE8"/>
    <w:rsid w:val="00F00669"/>
    <w:rsid w:val="00F2044A"/>
    <w:rsid w:val="00F20BFC"/>
    <w:rsid w:val="00F24125"/>
    <w:rsid w:val="00F24D5F"/>
    <w:rsid w:val="00F3433C"/>
    <w:rsid w:val="00F436C6"/>
    <w:rsid w:val="00F726C3"/>
    <w:rsid w:val="00F74AB2"/>
    <w:rsid w:val="00F820CA"/>
    <w:rsid w:val="00F8554C"/>
    <w:rsid w:val="00F95F82"/>
    <w:rsid w:val="00F97A90"/>
    <w:rsid w:val="00FC2F35"/>
    <w:rsid w:val="00FC3FD7"/>
    <w:rsid w:val="00FD1FC6"/>
    <w:rsid w:val="00FE5869"/>
    <w:rsid w:val="00FF689B"/>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Header">
    <w:name w:val="header"/>
    <w:basedOn w:val="Normal"/>
    <w:link w:val="HeaderChar"/>
    <w:unhideWhenUsed/>
    <w:rsid w:val="00CC223A"/>
    <w:pPr>
      <w:tabs>
        <w:tab w:val="center" w:pos="4513"/>
        <w:tab w:val="right" w:pos="9026"/>
      </w:tabs>
    </w:pPr>
  </w:style>
  <w:style w:type="character" w:customStyle="1" w:styleId="HeaderChar">
    <w:name w:val="Header Char"/>
    <w:basedOn w:val="DefaultParagraphFont"/>
    <w:link w:val="Header"/>
    <w:rsid w:val="00CC223A"/>
    <w:rPr>
      <w:sz w:val="24"/>
      <w:lang w:val="en-US" w:eastAsia="en-US"/>
    </w:rPr>
  </w:style>
  <w:style w:type="paragraph" w:styleId="Footer">
    <w:name w:val="footer"/>
    <w:basedOn w:val="Normal"/>
    <w:link w:val="FooterChar"/>
    <w:unhideWhenUsed/>
    <w:rsid w:val="00CC223A"/>
    <w:pPr>
      <w:tabs>
        <w:tab w:val="center" w:pos="4513"/>
        <w:tab w:val="right" w:pos="9026"/>
      </w:tabs>
    </w:pPr>
  </w:style>
  <w:style w:type="character" w:customStyle="1" w:styleId="FooterChar">
    <w:name w:val="Footer Char"/>
    <w:basedOn w:val="DefaultParagraphFont"/>
    <w:link w:val="Footer"/>
    <w:rsid w:val="00CC223A"/>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00575">
      <w:bodyDiv w:val="1"/>
      <w:marLeft w:val="0"/>
      <w:marRight w:val="0"/>
      <w:marTop w:val="0"/>
      <w:marBottom w:val="0"/>
      <w:divBdr>
        <w:top w:val="none" w:sz="0" w:space="0" w:color="auto"/>
        <w:left w:val="none" w:sz="0" w:space="0" w:color="auto"/>
        <w:bottom w:val="none" w:sz="0" w:space="0" w:color="auto"/>
        <w:right w:val="none" w:sz="0" w:space="0" w:color="auto"/>
      </w:divBdr>
    </w:div>
    <w:div w:id="224725722">
      <w:bodyDiv w:val="1"/>
      <w:marLeft w:val="0"/>
      <w:marRight w:val="0"/>
      <w:marTop w:val="0"/>
      <w:marBottom w:val="0"/>
      <w:divBdr>
        <w:top w:val="none" w:sz="0" w:space="0" w:color="auto"/>
        <w:left w:val="none" w:sz="0" w:space="0" w:color="auto"/>
        <w:bottom w:val="none" w:sz="0" w:space="0" w:color="auto"/>
        <w:right w:val="none" w:sz="0" w:space="0" w:color="auto"/>
      </w:divBdr>
    </w:div>
    <w:div w:id="427969117">
      <w:bodyDiv w:val="1"/>
      <w:marLeft w:val="0"/>
      <w:marRight w:val="0"/>
      <w:marTop w:val="0"/>
      <w:marBottom w:val="0"/>
      <w:divBdr>
        <w:top w:val="none" w:sz="0" w:space="0" w:color="auto"/>
        <w:left w:val="none" w:sz="0" w:space="0" w:color="auto"/>
        <w:bottom w:val="none" w:sz="0" w:space="0" w:color="auto"/>
        <w:right w:val="none" w:sz="0" w:space="0" w:color="auto"/>
      </w:divBdr>
    </w:div>
    <w:div w:id="431440339">
      <w:bodyDiv w:val="1"/>
      <w:marLeft w:val="0"/>
      <w:marRight w:val="0"/>
      <w:marTop w:val="0"/>
      <w:marBottom w:val="0"/>
      <w:divBdr>
        <w:top w:val="none" w:sz="0" w:space="0" w:color="auto"/>
        <w:left w:val="none" w:sz="0" w:space="0" w:color="auto"/>
        <w:bottom w:val="none" w:sz="0" w:space="0" w:color="auto"/>
        <w:right w:val="none" w:sz="0" w:space="0" w:color="auto"/>
      </w:divBdr>
    </w:div>
    <w:div w:id="518079008">
      <w:bodyDiv w:val="1"/>
      <w:marLeft w:val="0"/>
      <w:marRight w:val="0"/>
      <w:marTop w:val="0"/>
      <w:marBottom w:val="0"/>
      <w:divBdr>
        <w:top w:val="none" w:sz="0" w:space="0" w:color="auto"/>
        <w:left w:val="none" w:sz="0" w:space="0" w:color="auto"/>
        <w:bottom w:val="none" w:sz="0" w:space="0" w:color="auto"/>
        <w:right w:val="none" w:sz="0" w:space="0" w:color="auto"/>
      </w:divBdr>
    </w:div>
    <w:div w:id="741678140">
      <w:bodyDiv w:val="1"/>
      <w:marLeft w:val="0"/>
      <w:marRight w:val="0"/>
      <w:marTop w:val="0"/>
      <w:marBottom w:val="0"/>
      <w:divBdr>
        <w:top w:val="none" w:sz="0" w:space="0" w:color="auto"/>
        <w:left w:val="none" w:sz="0" w:space="0" w:color="auto"/>
        <w:bottom w:val="none" w:sz="0" w:space="0" w:color="auto"/>
        <w:right w:val="none" w:sz="0" w:space="0" w:color="auto"/>
      </w:divBdr>
    </w:div>
    <w:div w:id="804397107">
      <w:bodyDiv w:val="1"/>
      <w:marLeft w:val="0"/>
      <w:marRight w:val="0"/>
      <w:marTop w:val="0"/>
      <w:marBottom w:val="0"/>
      <w:divBdr>
        <w:top w:val="none" w:sz="0" w:space="0" w:color="auto"/>
        <w:left w:val="none" w:sz="0" w:space="0" w:color="auto"/>
        <w:bottom w:val="none" w:sz="0" w:space="0" w:color="auto"/>
        <w:right w:val="none" w:sz="0" w:space="0" w:color="auto"/>
      </w:divBdr>
    </w:div>
    <w:div w:id="863712018">
      <w:bodyDiv w:val="1"/>
      <w:marLeft w:val="0"/>
      <w:marRight w:val="0"/>
      <w:marTop w:val="0"/>
      <w:marBottom w:val="0"/>
      <w:divBdr>
        <w:top w:val="none" w:sz="0" w:space="0" w:color="auto"/>
        <w:left w:val="none" w:sz="0" w:space="0" w:color="auto"/>
        <w:bottom w:val="none" w:sz="0" w:space="0" w:color="auto"/>
        <w:right w:val="none" w:sz="0" w:space="0" w:color="auto"/>
      </w:divBdr>
    </w:div>
    <w:div w:id="923033383">
      <w:bodyDiv w:val="1"/>
      <w:marLeft w:val="0"/>
      <w:marRight w:val="0"/>
      <w:marTop w:val="0"/>
      <w:marBottom w:val="0"/>
      <w:divBdr>
        <w:top w:val="none" w:sz="0" w:space="0" w:color="auto"/>
        <w:left w:val="none" w:sz="0" w:space="0" w:color="auto"/>
        <w:bottom w:val="none" w:sz="0" w:space="0" w:color="auto"/>
        <w:right w:val="none" w:sz="0" w:space="0" w:color="auto"/>
      </w:divBdr>
    </w:div>
    <w:div w:id="947010897">
      <w:bodyDiv w:val="1"/>
      <w:marLeft w:val="0"/>
      <w:marRight w:val="0"/>
      <w:marTop w:val="0"/>
      <w:marBottom w:val="0"/>
      <w:divBdr>
        <w:top w:val="none" w:sz="0" w:space="0" w:color="auto"/>
        <w:left w:val="none" w:sz="0" w:space="0" w:color="auto"/>
        <w:bottom w:val="none" w:sz="0" w:space="0" w:color="auto"/>
        <w:right w:val="none" w:sz="0" w:space="0" w:color="auto"/>
      </w:divBdr>
    </w:div>
    <w:div w:id="1017391399">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297638924">
      <w:bodyDiv w:val="1"/>
      <w:marLeft w:val="0"/>
      <w:marRight w:val="0"/>
      <w:marTop w:val="0"/>
      <w:marBottom w:val="0"/>
      <w:divBdr>
        <w:top w:val="none" w:sz="0" w:space="0" w:color="auto"/>
        <w:left w:val="none" w:sz="0" w:space="0" w:color="auto"/>
        <w:bottom w:val="none" w:sz="0" w:space="0" w:color="auto"/>
        <w:right w:val="none" w:sz="0" w:space="0" w:color="auto"/>
      </w:divBdr>
    </w:div>
    <w:div w:id="1448088380">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992369566">
      <w:bodyDiv w:val="1"/>
      <w:marLeft w:val="0"/>
      <w:marRight w:val="0"/>
      <w:marTop w:val="0"/>
      <w:marBottom w:val="0"/>
      <w:divBdr>
        <w:top w:val="none" w:sz="0" w:space="0" w:color="auto"/>
        <w:left w:val="none" w:sz="0" w:space="0" w:color="auto"/>
        <w:bottom w:val="none" w:sz="0" w:space="0" w:color="auto"/>
        <w:right w:val="none" w:sz="0" w:space="0" w:color="auto"/>
      </w:divBdr>
    </w:div>
    <w:div w:id="208144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eninugraheni@umy.ac.i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rsa@unpad.ac.id"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19E1A-9134-43C9-8E9C-6F01ED3DA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7</Pages>
  <Words>3330</Words>
  <Characters>18982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2011-03-03T09:29:00Z</cp:lastPrinted>
  <dcterms:created xsi:type="dcterms:W3CDTF">2026-01-20T07:01:00Z</dcterms:created>
  <dcterms:modified xsi:type="dcterms:W3CDTF">2026-01-20T07:01:00Z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c6b2a55c-bd7f-4cbf-a241-4e7adc6367af</vt:lpwstr>
  </property>
</Properties>
</file>