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68E4A" w14:textId="7FA11B6A" w:rsidR="00A8614C" w:rsidRPr="00075EA6" w:rsidRDefault="00A8614C" w:rsidP="00A8614C">
      <w:pPr>
        <w:pStyle w:val="PaperTitle"/>
        <w:spacing w:before="0"/>
        <w:rPr>
          <w:b w:val="0"/>
          <w:bCs/>
          <w:sz w:val="24"/>
          <w:szCs w:val="24"/>
        </w:rPr>
      </w:pPr>
      <w:r w:rsidRPr="00AE45B0">
        <w:t>A Regression-Based Analysis of Economic Factors Influencing Fertility Trends in Malaysia</w:t>
      </w:r>
      <w:r w:rsidRPr="002B5648">
        <w:t xml:space="preserve"> </w:t>
      </w:r>
      <w:r w:rsidRPr="00075EA6">
        <w:br/>
      </w:r>
    </w:p>
    <w:p w14:paraId="35C6DA9E" w14:textId="09B7BA6F" w:rsidR="00A8614C" w:rsidRPr="00413CF7" w:rsidRDefault="00A8614C" w:rsidP="00413CF7">
      <w:pPr>
        <w:pStyle w:val="AuthorName"/>
        <w:rPr>
          <w:b/>
        </w:rPr>
      </w:pPr>
      <w:r>
        <w:t>Nur Azulia Kamarudin</w:t>
      </w:r>
      <w:r w:rsidRPr="2F830975">
        <w:rPr>
          <w:vertAlign w:val="superscript"/>
        </w:rPr>
        <w:t>1, a)</w:t>
      </w:r>
      <w:r>
        <w:t xml:space="preserve"> and </w:t>
      </w:r>
      <w:r w:rsidR="00413CF7" w:rsidRPr="00A56231">
        <w:t>Nur Farzana Sukhami</w:t>
      </w:r>
      <w:r w:rsidRPr="2F830975">
        <w:rPr>
          <w:vertAlign w:val="superscript"/>
        </w:rPr>
        <w:t>2, b)</w:t>
      </w:r>
    </w:p>
    <w:p w14:paraId="28BDB38B" w14:textId="77777777" w:rsidR="00A8614C" w:rsidRDefault="00A8614C" w:rsidP="00A8614C">
      <w:pPr>
        <w:pStyle w:val="AuthorAffiliation"/>
      </w:pPr>
      <w:r w:rsidRPr="00075EA6">
        <w:rPr>
          <w:i w:val="0"/>
          <w:iCs/>
          <w:vertAlign w:val="superscript"/>
        </w:rPr>
        <w:t>1</w:t>
      </w:r>
      <w:r>
        <w:rPr>
          <w:i w:val="0"/>
          <w:iCs/>
          <w:vertAlign w:val="superscript"/>
        </w:rPr>
        <w:t>,2</w:t>
      </w:r>
      <w:r w:rsidRPr="00EA6617">
        <w:t xml:space="preserve"> School of Quantitative Sciences, Universiti Utara Malaysia, 06010 UUM Sintok, Kedah, Malaysia.</w:t>
      </w:r>
    </w:p>
    <w:p w14:paraId="109DB4AA" w14:textId="1D68C311" w:rsidR="00A8614C" w:rsidRDefault="00A8614C" w:rsidP="00A8614C">
      <w:pPr>
        <w:pStyle w:val="AuthorAffiliation"/>
      </w:pPr>
      <w:r w:rsidRPr="00075EA6">
        <w:rPr>
          <w:i w:val="0"/>
          <w:iCs/>
          <w:vertAlign w:val="superscript"/>
        </w:rPr>
        <w:t>1</w:t>
      </w:r>
      <w:r w:rsidRPr="00524725">
        <w:t>Institute of Strategic Industrial Decision Modelling</w:t>
      </w:r>
      <w:r w:rsidRPr="00EA6617">
        <w:t>, Universiti Utara Malaysia, 06010 UUM Sintok, Kedah, Malaysia.</w:t>
      </w:r>
    </w:p>
    <w:p w14:paraId="6938B261" w14:textId="6877D72A" w:rsidR="00A8614C" w:rsidRPr="00A91BA2" w:rsidRDefault="00A8614C" w:rsidP="0065349D">
      <w:pPr>
        <w:pStyle w:val="AuthorAffiliation"/>
        <w:rPr>
          <w:i w:val="0"/>
        </w:rPr>
      </w:pPr>
      <w:r w:rsidRPr="00075EA6">
        <w:br/>
      </w:r>
      <w:r w:rsidRPr="00A91BA2">
        <w:rPr>
          <w:i w:val="0"/>
          <w:szCs w:val="28"/>
          <w:vertAlign w:val="superscript"/>
        </w:rPr>
        <w:t>a)</w:t>
      </w:r>
      <w:r w:rsidRPr="00A91BA2">
        <w:rPr>
          <w:i w:val="0"/>
        </w:rPr>
        <w:t xml:space="preserve"> Corresponding author: nurazulia@uum.edu.my</w:t>
      </w:r>
      <w:r w:rsidRPr="00A91BA2">
        <w:rPr>
          <w:i w:val="0"/>
        </w:rPr>
        <w:br/>
      </w:r>
      <w:r w:rsidRPr="00A91BA2">
        <w:rPr>
          <w:i w:val="0"/>
          <w:szCs w:val="28"/>
          <w:vertAlign w:val="superscript"/>
        </w:rPr>
        <w:t>b)</w:t>
      </w:r>
      <w:r w:rsidRPr="00A91BA2">
        <w:rPr>
          <w:i w:val="0"/>
        </w:rPr>
        <w:t xml:space="preserve"> nur_farzana3@sqs.uum.edu.my</w:t>
      </w:r>
    </w:p>
    <w:p w14:paraId="39D02B71" w14:textId="1C41FF9C" w:rsidR="00A7424B" w:rsidRPr="00A7424B" w:rsidRDefault="00A8614C" w:rsidP="00A7424B">
      <w:pPr>
        <w:pStyle w:val="Abstract"/>
        <w:rPr>
          <w:lang w:val="en-MY"/>
        </w:rPr>
      </w:pPr>
      <w:r w:rsidRPr="00075EA6">
        <w:rPr>
          <w:b/>
          <w:bCs/>
        </w:rPr>
        <w:t>Abstract.</w:t>
      </w:r>
      <w:r w:rsidRPr="00075EA6">
        <w:t xml:space="preserve"> </w:t>
      </w:r>
      <w:r w:rsidR="00A7424B" w:rsidRPr="00A7424B">
        <w:rPr>
          <w:lang w:val="en-MY"/>
        </w:rPr>
        <w:t>Over the past four decades, Malaysia’s fertility rate has fallen sharply and has remained below the replacement level of 2.1 births per woman since 2013. This persistent decline raises concerns about population ageing and its long-term impact on the economy and society. This study examines how key economic factors</w:t>
      </w:r>
      <w:r w:rsidR="00BA7318">
        <w:rPr>
          <w:lang w:val="en-MY"/>
        </w:rPr>
        <w:t xml:space="preserve">, </w:t>
      </w:r>
      <w:r w:rsidR="00A7424B" w:rsidRPr="00A7424B">
        <w:rPr>
          <w:lang w:val="en-MY"/>
        </w:rPr>
        <w:t>namely inflation, GDP per capita, female unemployment, and male unemployment</w:t>
      </w:r>
      <w:r w:rsidR="00BA7318">
        <w:rPr>
          <w:lang w:val="en-MY"/>
        </w:rPr>
        <w:t xml:space="preserve">, </w:t>
      </w:r>
      <w:r w:rsidR="00A7424B" w:rsidRPr="00A7424B">
        <w:rPr>
          <w:lang w:val="en-MY"/>
        </w:rPr>
        <w:t>affect the fertility rate in Malaysia. Secondary time-series data from 1982 to 2022 were obtained from the Department of Statistics Malaysia (DOSM) and the World Bank. Multiple linear regression analysis was used after cleaning the data and checking for assumptions such as linearity, normality, homoscedasticity, and multicollinearity.</w:t>
      </w:r>
      <w:r w:rsidR="00A7424B">
        <w:rPr>
          <w:lang w:val="en-MY"/>
        </w:rPr>
        <w:t xml:space="preserve"> </w:t>
      </w:r>
      <w:r w:rsidR="00A7424B" w:rsidRPr="00A7424B">
        <w:rPr>
          <w:lang w:val="en-MY"/>
        </w:rPr>
        <w:t>Male unemployment was excluded from the final model due to high multicollinearity. The results show that log GDP per capita has a strong and statistically significant negative relationship with fertility, supporting the quantity–quality trade-off theory</w:t>
      </w:r>
      <w:r w:rsidR="00BA7318">
        <w:rPr>
          <w:lang w:val="en-MY"/>
        </w:rPr>
        <w:t xml:space="preserve">, </w:t>
      </w:r>
      <w:r w:rsidR="00A7424B" w:rsidRPr="00A7424B">
        <w:rPr>
          <w:lang w:val="en-MY"/>
        </w:rPr>
        <w:t>which suggests that higher household income leads to fewer children but greater investment per child. In contrast, inflation and female unemployment have weak and statistically non-significant effects. Nevertheless, the negative trend in female unemployment suggests that job insecurity may discourage childbearing.</w:t>
      </w:r>
      <w:r w:rsidR="00B82DD4">
        <w:rPr>
          <w:lang w:val="en-MY"/>
        </w:rPr>
        <w:t xml:space="preserve"> </w:t>
      </w:r>
      <w:r w:rsidR="00A7424B" w:rsidRPr="00A7424B">
        <w:rPr>
          <w:lang w:val="en-MY"/>
        </w:rPr>
        <w:t>The model explains 95.9% of the variation in fertility rate, but the presence of positive autocorrelation in residuals indicates that results should be interpreted with caution. Overall, the findings highlight the importance of economic stability in shaping fertility decisions. Future research should consider social and cultural factors and use time-series techniques that account for autocorrelation.</w:t>
      </w:r>
    </w:p>
    <w:p w14:paraId="011BA5F9" w14:textId="77777777" w:rsidR="00E14261" w:rsidRDefault="00846F19" w:rsidP="0047218D">
      <w:pPr>
        <w:pStyle w:val="Heading1"/>
      </w:pPr>
      <w:r>
        <w:t>Introduction</w:t>
      </w:r>
    </w:p>
    <w:p w14:paraId="2EE92A8F" w14:textId="4EA98033" w:rsidR="00CA62DC" w:rsidRDefault="00CA62DC" w:rsidP="00CA62DC">
      <w:pPr>
        <w:pStyle w:val="Paragraph"/>
      </w:pPr>
      <w:r w:rsidRPr="00CA62DC">
        <w:t xml:space="preserve">Over the past 50 years, the global total fertility rate has steadily declined from 5 to 2.3 births per woman </w:t>
      </w:r>
      <w:r w:rsidR="006419C4">
        <w:t>[1].</w:t>
      </w:r>
      <w:r w:rsidRPr="00CA62DC">
        <w:t xml:space="preserve"> Similarly, Malaysia reflects this trend, recording its lowest fertility rate in 2022. According to the </w:t>
      </w:r>
      <w:r w:rsidR="002B590F">
        <w:t>[2]</w:t>
      </w:r>
      <w:r w:rsidRPr="00CA62DC">
        <w:t>, the fertility rate represents the average number of children a woman between ages 15 and 49 is likely to have. Since 2013, Malaysia's fertility rate has consistently remained below the replacement level of 2.1</w:t>
      </w:r>
      <w:r w:rsidR="00A00761">
        <w:t xml:space="preserve">, </w:t>
      </w:r>
      <w:r w:rsidRPr="00CA62DC">
        <w:t xml:space="preserve">the rate necessary for a stable population. </w:t>
      </w:r>
      <w:r w:rsidR="006870EF">
        <w:t>[1]</w:t>
      </w:r>
      <w:r w:rsidRPr="00CA62DC">
        <w:t xml:space="preserve"> highlights three main reasons for this decline: women’s empowerment, reduced child mortality, and rising child-rearing costs.</w:t>
      </w:r>
    </w:p>
    <w:p w14:paraId="1273727F" w14:textId="5B741402" w:rsidR="00CA62DC" w:rsidRPr="00CA62DC" w:rsidRDefault="00CA62DC" w:rsidP="00CA62DC">
      <w:pPr>
        <w:pStyle w:val="Paragraph"/>
      </w:pPr>
      <w:r w:rsidRPr="00CA62DC">
        <w:t xml:space="preserve">Moreover, raising a child in Malaysia poses significant financial challenges, costing approximately RM400,000 to RM1.1 million per child. Furthermore, inflation, measured by the Consumer Price Index (CPI), </w:t>
      </w:r>
      <w:r w:rsidR="00C21F60">
        <w:t>increases</w:t>
      </w:r>
      <w:r w:rsidR="00C21F60" w:rsidRPr="00CA62DC">
        <w:t xml:space="preserve"> </w:t>
      </w:r>
      <w:r w:rsidRPr="00CA62DC">
        <w:t xml:space="preserve">these expenses by </w:t>
      </w:r>
      <w:r w:rsidR="00C21F60">
        <w:t>rising</w:t>
      </w:r>
      <w:r w:rsidR="00C21F60" w:rsidRPr="00CA62DC">
        <w:t xml:space="preserve"> </w:t>
      </w:r>
      <w:r w:rsidRPr="00CA62DC">
        <w:t xml:space="preserve">living costs. As inflation rises, consequently, so do the costs related to child-rearing, disproportionately impacting lower-income households </w:t>
      </w:r>
      <w:r w:rsidR="002B590F">
        <w:t>[3]</w:t>
      </w:r>
      <w:r w:rsidRPr="00CA62DC">
        <w:t xml:space="preserve">. </w:t>
      </w:r>
    </w:p>
    <w:p w14:paraId="0201E94C" w14:textId="13881BF4" w:rsidR="00F62507" w:rsidRDefault="00CA62DC" w:rsidP="00CA62DC">
      <w:pPr>
        <w:pStyle w:val="Paragraph"/>
      </w:pPr>
      <w:r w:rsidRPr="00CA62DC">
        <w:t xml:space="preserve">Additionally, economic conditions, often evaluated through Gross Domestic Product (GDP) per capita, strongly influence fertility decisions. Generally, an increase in GDP per capita signals improved economic circumstances. However, research by </w:t>
      </w:r>
      <w:r w:rsidR="00D00911">
        <w:t>[4]</w:t>
      </w:r>
      <w:r w:rsidRPr="00CA62DC">
        <w:t xml:space="preserve"> indicates that higher GDP per capita typically associates with lower fertility rates. This observation aligns with </w:t>
      </w:r>
      <w:r w:rsidR="00681698">
        <w:t>[5]</w:t>
      </w:r>
      <w:r w:rsidRPr="00CA62DC">
        <w:t xml:space="preserve"> who explain this through the quantity-quality trade-off theory: higher-income families choose fewer children but invest more heavily in each child's education and healthcare, enhancing human capital and productivity </w:t>
      </w:r>
      <w:r w:rsidR="00681698">
        <w:t>[6]</w:t>
      </w:r>
      <w:r w:rsidRPr="00CA62DC">
        <w:t>.</w:t>
      </w:r>
    </w:p>
    <w:p w14:paraId="14B4D9E7" w14:textId="05BBF745" w:rsidR="00CA62DC" w:rsidRDefault="00CA62DC" w:rsidP="00CA62DC">
      <w:pPr>
        <w:pStyle w:val="Paragraph"/>
      </w:pPr>
      <w:r w:rsidRPr="00CA62DC">
        <w:t xml:space="preserve">Employment status also significantly affects fertility decisions, although its effects vary between genders. Typically, unemployment generates financial instability, leading to lower fertility rates. In particular, studies by </w:t>
      </w:r>
      <w:r w:rsidR="00681698">
        <w:t>[7]</w:t>
      </w:r>
      <w:r w:rsidRPr="00CA62DC">
        <w:t xml:space="preserve"> and </w:t>
      </w:r>
      <w:r w:rsidR="00286680">
        <w:t>[8]</w:t>
      </w:r>
      <w:r w:rsidRPr="00CA62DC">
        <w:t xml:space="preserve"> suggest male unemployment negatively affects fertility due to societal expectations that men are the primary providers. Consequently, unemployed men often experience greater financial and emotional </w:t>
      </w:r>
      <w:r w:rsidRPr="00CA62DC">
        <w:lastRenderedPageBreak/>
        <w:t>distress, discouraging larger families. On the other hand, unemployed women may have more time for family caregiving, which can sometimes positively affect fertility despite reduced household income.</w:t>
      </w:r>
    </w:p>
    <w:p w14:paraId="31967F0F" w14:textId="5053DC05" w:rsidR="00CA62DC" w:rsidRDefault="00455EC7" w:rsidP="00EB3D98">
      <w:pPr>
        <w:pStyle w:val="Paragraph"/>
      </w:pPr>
      <w:r>
        <w:t>In the meantime</w:t>
      </w:r>
      <w:r w:rsidR="00CA62DC" w:rsidRPr="00CA62DC">
        <w:t xml:space="preserve">, Malaysia's economy still faces considerable uncertainty regarding future economic growth and inflation </w:t>
      </w:r>
      <w:r w:rsidR="00286680">
        <w:t>[9]</w:t>
      </w:r>
      <w:r w:rsidR="00CA62DC" w:rsidRPr="00CA62DC">
        <w:t xml:space="preserve">. These ongoing uncertainties greatly influence family planning decisions, often prompting families to remain smaller. Despite the declining fertility rate, Malaysia's overall population remains stable, mainly due to increased life expectancy </w:t>
      </w:r>
      <w:r w:rsidR="00775B13">
        <w:t>[10]</w:t>
      </w:r>
      <w:r w:rsidR="00CA62DC" w:rsidRPr="00CA62DC">
        <w:t xml:space="preserve">. Nevertheless, the demographic structure is shifting </w:t>
      </w:r>
      <w:r w:rsidR="006450E5">
        <w:t>and</w:t>
      </w:r>
      <w:r w:rsidR="00CA62DC" w:rsidRPr="00CA62DC">
        <w:t xml:space="preserve"> rapidly ageing, creating economic challenges such as higher healthcare costs </w:t>
      </w:r>
      <w:r w:rsidR="001822FC">
        <w:t>[11]</w:t>
      </w:r>
      <w:r w:rsidR="00CA62DC" w:rsidRPr="00CA62DC">
        <w:t xml:space="preserve"> and reduced workforce productivity </w:t>
      </w:r>
      <w:r w:rsidR="008D2322">
        <w:t>[12]</w:t>
      </w:r>
      <w:r w:rsidR="00CA62DC" w:rsidRPr="00CA62DC">
        <w:t>.</w:t>
      </w:r>
      <w:r w:rsidR="00EB3D98">
        <w:t xml:space="preserve"> </w:t>
      </w:r>
      <w:r w:rsidR="00CA62DC" w:rsidRPr="00CA62DC">
        <w:t xml:space="preserve">Therefore, addressing the declining fertility rate and its demographic implications is critical for Malaysia’s long-term economic and social sustainability. </w:t>
      </w:r>
    </w:p>
    <w:p w14:paraId="0F314896" w14:textId="77777777" w:rsidR="00E14261" w:rsidRDefault="00846F19">
      <w:pPr>
        <w:pStyle w:val="Heading1"/>
      </w:pPr>
      <w:r>
        <w:t>Methodology</w:t>
      </w:r>
    </w:p>
    <w:p w14:paraId="4E1BBD4F" w14:textId="0037D5B1" w:rsidR="000062F4" w:rsidRDefault="004574D4" w:rsidP="00617211">
      <w:pPr>
        <w:pStyle w:val="Heading2"/>
      </w:pPr>
      <w:r>
        <w:t xml:space="preserve">Data Collection </w:t>
      </w:r>
    </w:p>
    <w:p w14:paraId="44238435" w14:textId="0ACBB0F7" w:rsidR="003A44B2" w:rsidRPr="003A44B2" w:rsidRDefault="000062F4" w:rsidP="003A44B2">
      <w:pPr>
        <w:pStyle w:val="Paragraph"/>
        <w:rPr>
          <w:lang w:val="en-MY"/>
        </w:rPr>
      </w:pPr>
      <w:r w:rsidRPr="000062F4">
        <w:t xml:space="preserve">Secondary data from 1982 to 2022 </w:t>
      </w:r>
      <w:r w:rsidR="00D64A20">
        <w:t>has been</w:t>
      </w:r>
      <w:r w:rsidRPr="000062F4">
        <w:t xml:space="preserve"> </w:t>
      </w:r>
      <w:r w:rsidR="00B126A3">
        <w:t>retrieved</w:t>
      </w:r>
      <w:r w:rsidRPr="000062F4">
        <w:t xml:space="preserve"> from DOSM and the World Bank, covering fertility rate, unemployment (male and female), inflation, and GDP per capita. Missing unemployment data for 1991 and 1994</w:t>
      </w:r>
      <w:r w:rsidR="00CB1BB4">
        <w:t xml:space="preserve"> </w:t>
      </w:r>
      <w:r w:rsidR="009F53CF">
        <w:t>have been</w:t>
      </w:r>
      <w:r w:rsidRPr="000062F4">
        <w:t xml:space="preserve"> imputed using the mean of adjacent years to avoid bias. GDP per capita </w:t>
      </w:r>
      <w:r w:rsidR="009F53CF">
        <w:t>i</w:t>
      </w:r>
      <w:r w:rsidRPr="000062F4">
        <w:t xml:space="preserve">s transformed into its natural logarithm to </w:t>
      </w:r>
      <w:r w:rsidR="006450E5">
        <w:t>linearise</w:t>
      </w:r>
      <w:r w:rsidRPr="000062F4">
        <w:t xml:space="preserve"> its exponential growth pattern and align its scale with percentage-based variables. This log transformation also aids in improving model fit and </w:t>
      </w:r>
      <w:r w:rsidR="006450E5">
        <w:t>normalising</w:t>
      </w:r>
      <w:r w:rsidRPr="000062F4">
        <w:t xml:space="preserve"> residuals. The fertility rate serve</w:t>
      </w:r>
      <w:r w:rsidR="007833E0">
        <w:t>s</w:t>
      </w:r>
      <w:r w:rsidRPr="000062F4">
        <w:t xml:space="preserve"> as the dependent variable</w:t>
      </w:r>
      <w:r w:rsidR="003A44B2">
        <w:t>,</w:t>
      </w:r>
      <w:r w:rsidRPr="000062F4">
        <w:t xml:space="preserve"> </w:t>
      </w:r>
      <w:r w:rsidR="003A44B2" w:rsidRPr="003A44B2">
        <w:rPr>
          <w:lang w:val="en-MY"/>
        </w:rPr>
        <w:t xml:space="preserve">while the four economic indicators </w:t>
      </w:r>
      <w:r w:rsidR="003A44B2">
        <w:rPr>
          <w:lang w:val="en-MY"/>
        </w:rPr>
        <w:t>a</w:t>
      </w:r>
      <w:r w:rsidR="003A44B2" w:rsidRPr="003A44B2">
        <w:rPr>
          <w:lang w:val="en-MY"/>
        </w:rPr>
        <w:t>re the independent variables.</w:t>
      </w:r>
    </w:p>
    <w:p w14:paraId="7D891228" w14:textId="03020473" w:rsidR="001509AE" w:rsidRPr="001509AE" w:rsidRDefault="00414141" w:rsidP="00940EA3">
      <w:pPr>
        <w:pStyle w:val="Heading2"/>
        <w:rPr>
          <w:sz w:val="20"/>
        </w:rPr>
      </w:pPr>
      <w:r w:rsidRPr="00414141">
        <w:t xml:space="preserve">Assumption Checks </w:t>
      </w:r>
      <w:r w:rsidR="00005F32">
        <w:t>before Multiple Linear Regression</w:t>
      </w:r>
    </w:p>
    <w:p w14:paraId="07946E5B" w14:textId="01B25DBF" w:rsidR="00D21171" w:rsidRDefault="007D4362" w:rsidP="00147A32">
      <w:pPr>
        <w:pStyle w:val="Paragraph"/>
      </w:pPr>
      <w:r>
        <w:t>S</w:t>
      </w:r>
      <w:r w:rsidR="001509AE" w:rsidRPr="001509AE">
        <w:t xml:space="preserve">everal assumptions of the multiple linear regression model </w:t>
      </w:r>
      <w:r w:rsidR="00045905">
        <w:t>a</w:t>
      </w:r>
      <w:r w:rsidR="00E175CE">
        <w:t>re checked</w:t>
      </w:r>
      <w:r w:rsidR="001509AE" w:rsidRPr="001509AE">
        <w:t xml:space="preserve"> to achieve a reliable result. </w:t>
      </w:r>
      <w:bookmarkStart w:id="0" w:name="_bookmark27"/>
      <w:bookmarkEnd w:id="0"/>
      <w:r w:rsidR="001509AE" w:rsidRPr="001509AE">
        <w:t>The first assumption is checking the linearity between the independent and dependent variables</w:t>
      </w:r>
      <w:r w:rsidR="002B39B5">
        <w:t>, while t</w:t>
      </w:r>
      <w:r w:rsidR="001509AE" w:rsidRPr="001509AE">
        <w:t xml:space="preserve">he second assumption </w:t>
      </w:r>
      <w:r w:rsidR="00D76AA2" w:rsidRPr="001509AE">
        <w:t>is that</w:t>
      </w:r>
      <w:r w:rsidR="001509AE" w:rsidRPr="001509AE">
        <w:t xml:space="preserve"> multicollinearity must not exist in the data. Multicollinearity exists when the independent variables are highly correlated. The existence of multicollinearity </w:t>
      </w:r>
      <w:r w:rsidR="007364CD">
        <w:t>i</w:t>
      </w:r>
      <w:r w:rsidR="001509AE" w:rsidRPr="001509AE">
        <w:t xml:space="preserve">s checked </w:t>
      </w:r>
      <w:r w:rsidR="007364CD">
        <w:t>using</w:t>
      </w:r>
      <w:r w:rsidR="001509AE" w:rsidRPr="001509AE">
        <w:t xml:space="preserve"> the </w:t>
      </w:r>
      <w:r w:rsidR="00132E02">
        <w:t>Pearson</w:t>
      </w:r>
      <w:r w:rsidR="00132E02" w:rsidRPr="001509AE">
        <w:t xml:space="preserve"> </w:t>
      </w:r>
      <w:r w:rsidR="00132E02">
        <w:t>c</w:t>
      </w:r>
      <w:r w:rsidR="00132E02" w:rsidRPr="001509AE">
        <w:t xml:space="preserve">orrelation </w:t>
      </w:r>
      <w:r w:rsidR="00132E02">
        <w:t>c</w:t>
      </w:r>
      <w:r w:rsidR="00132E02" w:rsidRPr="001509AE">
        <w:t xml:space="preserve">oefficient </w:t>
      </w:r>
      <w:r w:rsidR="00132E02">
        <w:t xml:space="preserve">and </w:t>
      </w:r>
      <w:r w:rsidR="001509AE" w:rsidRPr="001509AE">
        <w:t xml:space="preserve">Variance Inflation Factor (VIF) value. </w:t>
      </w:r>
      <w:r w:rsidR="00956714">
        <w:t>The Pearson</w:t>
      </w:r>
      <w:r w:rsidR="00956714" w:rsidRPr="001509AE">
        <w:t xml:space="preserve"> </w:t>
      </w:r>
      <w:r w:rsidR="00956714">
        <w:t>c</w:t>
      </w:r>
      <w:r w:rsidR="00956714" w:rsidRPr="001509AE">
        <w:t xml:space="preserve">orrelation </w:t>
      </w:r>
      <w:r w:rsidR="00956714">
        <w:t>c</w:t>
      </w:r>
      <w:r w:rsidR="00956714" w:rsidRPr="001509AE">
        <w:t xml:space="preserve">oefficient </w:t>
      </w:r>
      <w:r w:rsidR="007364CD">
        <w:t>i</w:t>
      </w:r>
      <w:r w:rsidR="00956714" w:rsidRPr="001509AE">
        <w:t xml:space="preserve">s </w:t>
      </w:r>
      <w:r w:rsidR="00956714">
        <w:t>calculated</w:t>
      </w:r>
      <w:r w:rsidR="00956714" w:rsidRPr="001509AE">
        <w:t xml:space="preserve"> to test the strength of the linear correlation between two variables. The value that is greater than 0.5 indicates a strong </w:t>
      </w:r>
      <w:r w:rsidR="00956714">
        <w:t>relationship,</w:t>
      </w:r>
      <w:r w:rsidR="00956714" w:rsidRPr="001509AE">
        <w:t xml:space="preserve"> while the value that is lower than 0.5 </w:t>
      </w:r>
      <w:r w:rsidR="00956714">
        <w:t>indicates</w:t>
      </w:r>
      <w:r w:rsidR="00956714" w:rsidRPr="001509AE">
        <w:t xml:space="preserve"> a weak relationship.</w:t>
      </w:r>
      <w:r w:rsidR="00956714">
        <w:t xml:space="preserve"> </w:t>
      </w:r>
      <w:r w:rsidR="00956714" w:rsidRPr="00FD1650">
        <w:rPr>
          <w:lang w:val="en-MY"/>
        </w:rPr>
        <w:t xml:space="preserve">A correlation matrix </w:t>
      </w:r>
      <w:r w:rsidR="00132E02">
        <w:rPr>
          <w:lang w:val="en-MY"/>
        </w:rPr>
        <w:t>i</w:t>
      </w:r>
      <w:r w:rsidR="00956714" w:rsidRPr="00FD1650">
        <w:rPr>
          <w:lang w:val="en-MY"/>
        </w:rPr>
        <w:t>s then generated to assess the relationships among the variables and to provide a preliminary check for potential multicollinearity, particularly among the independent variables.</w:t>
      </w:r>
      <w:r w:rsidR="00956714" w:rsidRPr="001509AE">
        <w:t xml:space="preserve"> Multicollinearity</w:t>
      </w:r>
      <w:r w:rsidR="001509AE" w:rsidRPr="001509AE">
        <w:t xml:space="preserve"> is said to exist when the VIF value exceeds 10. </w:t>
      </w:r>
      <w:r w:rsidR="002B2155" w:rsidRPr="001509AE">
        <w:t xml:space="preserve">The variable with largest VIF value </w:t>
      </w:r>
      <w:r w:rsidR="002B2155">
        <w:t>i</w:t>
      </w:r>
      <w:r w:rsidR="002B2155" w:rsidRPr="001509AE">
        <w:t xml:space="preserve">s removed from the </w:t>
      </w:r>
      <w:r w:rsidR="002B2155" w:rsidRPr="00AB722A">
        <w:rPr>
          <w:color w:val="000000" w:themeColor="text1"/>
        </w:rPr>
        <w:t xml:space="preserve">model </w:t>
      </w:r>
      <w:r w:rsidR="0024011D" w:rsidRPr="00AB722A">
        <w:rPr>
          <w:color w:val="000000" w:themeColor="text1"/>
        </w:rPr>
        <w:t>[</w:t>
      </w:r>
      <w:r w:rsidR="00AB722A" w:rsidRPr="00AB722A">
        <w:rPr>
          <w:color w:val="000000" w:themeColor="text1"/>
        </w:rPr>
        <w:t>13</w:t>
      </w:r>
      <w:r w:rsidR="0024011D" w:rsidRPr="00AB722A">
        <w:rPr>
          <w:color w:val="000000" w:themeColor="text1"/>
        </w:rPr>
        <w:t>]</w:t>
      </w:r>
      <w:r w:rsidR="002B2155" w:rsidRPr="00AB722A">
        <w:rPr>
          <w:color w:val="000000" w:themeColor="text1"/>
        </w:rPr>
        <w:t>.</w:t>
      </w:r>
    </w:p>
    <w:p w14:paraId="79F4BDF8" w14:textId="77777777" w:rsidR="00005BBE" w:rsidRPr="00FE5E96" w:rsidRDefault="00005BBE" w:rsidP="00005BBE">
      <w:pPr>
        <w:pStyle w:val="Heading2"/>
        <w:rPr>
          <w:lang w:val="en-MY"/>
        </w:rPr>
      </w:pPr>
      <w:r w:rsidRPr="00FE5E96">
        <w:rPr>
          <w:lang w:val="en-MY"/>
        </w:rPr>
        <w:t>Multiple Linear Regression Model</w:t>
      </w:r>
      <w:r>
        <w:rPr>
          <w:lang w:val="en-MY"/>
        </w:rPr>
        <w:t>ling</w:t>
      </w:r>
    </w:p>
    <w:p w14:paraId="23585A85" w14:textId="1837CE02" w:rsidR="00005BBE" w:rsidRDefault="00005BBE" w:rsidP="00005BBE">
      <w:pPr>
        <w:pStyle w:val="Paragraph"/>
      </w:pPr>
      <w:r w:rsidRPr="00AD57AD">
        <w:t xml:space="preserve">An initial multiple linear regression </w:t>
      </w:r>
      <w:r w:rsidR="00096606">
        <w:t>i</w:t>
      </w:r>
      <w:r w:rsidRPr="00AD57AD">
        <w:t xml:space="preserve">s estimated with fertility rate as the dependent variable and all four economic indicators as predictors. The Ordinary Least Squares (OLS) method </w:t>
      </w:r>
      <w:r w:rsidR="003B1EB1">
        <w:t>i</w:t>
      </w:r>
      <w:r w:rsidRPr="00AD57AD">
        <w:t xml:space="preserve">s employed for model estimation. </w:t>
      </w:r>
      <w:r w:rsidR="003A4B8E">
        <w:t xml:space="preserve">The </w:t>
      </w:r>
      <w:r w:rsidR="003A4B8E" w:rsidRPr="003A4B8E">
        <w:t xml:space="preserve">model fit </w:t>
      </w:r>
      <w:r w:rsidR="003A4B8E">
        <w:t>is a</w:t>
      </w:r>
      <w:r w:rsidR="003A4B8E" w:rsidRPr="003A4B8E">
        <w:t xml:space="preserve">ssessed using </w:t>
      </w:r>
      <w:r w:rsidR="003A4B8E" w:rsidRPr="003A4B8E">
        <w:rPr>
          <w:i/>
          <w:iCs/>
        </w:rPr>
        <w:t>R²</w:t>
      </w:r>
      <w:r w:rsidR="003A4B8E" w:rsidRPr="003A4B8E">
        <w:t xml:space="preserve"> (proportion of variance explained) and Adjusted </w:t>
      </w:r>
      <w:r w:rsidR="003A4B8E" w:rsidRPr="003A4B8E">
        <w:rPr>
          <w:i/>
          <w:iCs/>
        </w:rPr>
        <w:t>R²</w:t>
      </w:r>
      <w:r w:rsidR="003A4B8E" w:rsidRPr="003A4B8E">
        <w:t xml:space="preserve"> (variance explained adjusted for the number of predictors). </w:t>
      </w:r>
      <w:r w:rsidRPr="00F4464D">
        <w:t>The</w:t>
      </w:r>
      <w:r>
        <w:t xml:space="preserve"> </w:t>
      </w:r>
      <w:r w:rsidRPr="00F4464D">
        <w:t xml:space="preserve">overall significance of the regression model </w:t>
      </w:r>
      <w:r w:rsidR="00BA0060">
        <w:t>i</w:t>
      </w:r>
      <w:r w:rsidRPr="00F4464D">
        <w:t xml:space="preserve">s </w:t>
      </w:r>
      <w:r w:rsidR="00E35699">
        <w:t xml:space="preserve">also evaluated </w:t>
      </w:r>
      <w:r w:rsidR="00BA0060">
        <w:t>using</w:t>
      </w:r>
      <w:r w:rsidRPr="00F4464D">
        <w:t xml:space="preserve"> </w:t>
      </w:r>
      <w:r w:rsidR="00121F71" w:rsidRPr="00F4464D">
        <w:t>F</w:t>
      </w:r>
      <w:r w:rsidRPr="00F4464D">
        <w:t>-statistic</w:t>
      </w:r>
      <w:r>
        <w:t>s</w:t>
      </w:r>
      <w:r w:rsidRPr="00F4464D">
        <w:t xml:space="preserve">, which tests whether the group of independent </w:t>
      </w:r>
      <w:r w:rsidR="00121F71" w:rsidRPr="00F4464D">
        <w:t>variables</w:t>
      </w:r>
      <w:r w:rsidRPr="00F4464D">
        <w:t xml:space="preserve"> taken </w:t>
      </w:r>
      <w:r w:rsidR="00121F71" w:rsidRPr="00F4464D">
        <w:t>together</w:t>
      </w:r>
      <w:r w:rsidRPr="00F4464D">
        <w:t xml:space="preserve"> </w:t>
      </w:r>
      <w:r w:rsidR="003A4B8E" w:rsidRPr="00F4464D">
        <w:t>explains</w:t>
      </w:r>
      <w:r w:rsidRPr="00F4464D">
        <w:t xml:space="preserve"> a significant portion of the variation in the dependent variable. </w:t>
      </w:r>
    </w:p>
    <w:p w14:paraId="2C94CA6B" w14:textId="2C75884F" w:rsidR="00005F32" w:rsidRPr="00920862" w:rsidRDefault="00005F32" w:rsidP="00920862">
      <w:pPr>
        <w:pStyle w:val="Heading2"/>
      </w:pPr>
      <w:r w:rsidRPr="00414141">
        <w:t xml:space="preserve">Assumption Checks </w:t>
      </w:r>
      <w:r>
        <w:t>after Multiple Linear Regression</w:t>
      </w:r>
    </w:p>
    <w:p w14:paraId="47F4F8DA" w14:textId="6693D3AD" w:rsidR="00865D8B" w:rsidRDefault="00431E23" w:rsidP="00865D8B">
      <w:pPr>
        <w:pStyle w:val="Paragraph"/>
      </w:pPr>
      <w:r>
        <w:t xml:space="preserve">The assumptions of </w:t>
      </w:r>
      <w:r w:rsidR="0051769D">
        <w:t>normality of residuals</w:t>
      </w:r>
      <w:r w:rsidR="008662BC">
        <w:t xml:space="preserve"> and </w:t>
      </w:r>
      <w:r w:rsidR="0051769D">
        <w:t xml:space="preserve">homoscedasticity </w:t>
      </w:r>
      <w:r w:rsidR="001D2475">
        <w:t xml:space="preserve">are checked </w:t>
      </w:r>
      <w:r w:rsidR="008662BC">
        <w:t xml:space="preserve">through scatter plot, while </w:t>
      </w:r>
      <w:r w:rsidR="0051769D">
        <w:t xml:space="preserve">independence of residuals </w:t>
      </w:r>
      <w:bookmarkStart w:id="1" w:name="_bookmark29"/>
      <w:bookmarkEnd w:id="1"/>
      <w:r w:rsidR="001C450F">
        <w:t>is c</w:t>
      </w:r>
      <w:r w:rsidR="00865D8B">
        <w:t xml:space="preserve">hecked using </w:t>
      </w:r>
      <w:r w:rsidR="00865D8B" w:rsidRPr="001509AE">
        <w:t>the Durbin</w:t>
      </w:r>
      <w:r w:rsidR="00865D8B">
        <w:t>-Watson</w:t>
      </w:r>
      <w:r w:rsidR="00865D8B" w:rsidRPr="001509AE">
        <w:t xml:space="preserve"> </w:t>
      </w:r>
      <w:r w:rsidR="00865D8B">
        <w:t xml:space="preserve">test. </w:t>
      </w:r>
      <w:r w:rsidR="00865D8B" w:rsidRPr="001509AE">
        <w:t>The Durbin-Watson values that are close to 2 indicate there is no autocorrelation among the residuals.</w:t>
      </w:r>
    </w:p>
    <w:p w14:paraId="2E8ADB2A" w14:textId="77777777" w:rsidR="002E19F2" w:rsidRDefault="002E19F2" w:rsidP="00940EA3">
      <w:pPr>
        <w:pStyle w:val="Heading2"/>
      </w:pPr>
      <w:bookmarkStart w:id="2" w:name="_bookmark32"/>
      <w:bookmarkStart w:id="3" w:name="_bookmark34"/>
      <w:bookmarkEnd w:id="2"/>
      <w:bookmarkEnd w:id="3"/>
      <w:r w:rsidRPr="002E19F2">
        <w:t xml:space="preserve">Model </w:t>
      </w:r>
      <w:r w:rsidRPr="00940EA3">
        <w:t>Interpretation</w:t>
      </w:r>
    </w:p>
    <w:p w14:paraId="46E105C0" w14:textId="1D6E2888" w:rsidR="001509AE" w:rsidRPr="001509AE" w:rsidRDefault="00E125ED" w:rsidP="001509AE">
      <w:pPr>
        <w:pStyle w:val="Paragraph"/>
      </w:pPr>
      <w:r>
        <w:t>T</w:t>
      </w:r>
      <w:r w:rsidR="001509AE" w:rsidRPr="001509AE">
        <w:t xml:space="preserve">he multiple linear regression analysis </w:t>
      </w:r>
      <w:r>
        <w:t>i</w:t>
      </w:r>
      <w:r w:rsidR="001509AE" w:rsidRPr="001509AE">
        <w:t>s done to identify the effect of the inflation rate, log GDP, female unemployment, and male unemployment on the fertility rate.</w:t>
      </w:r>
    </w:p>
    <w:p w14:paraId="37475F5A" w14:textId="5000D8B5" w:rsidR="00E14261" w:rsidRDefault="00846F19">
      <w:pPr>
        <w:pStyle w:val="Heading1"/>
      </w:pPr>
      <w:bookmarkStart w:id="4" w:name="_bookmark35"/>
      <w:bookmarkEnd w:id="4"/>
      <w:r>
        <w:lastRenderedPageBreak/>
        <w:t>Results and Discussion</w:t>
      </w:r>
    </w:p>
    <w:p w14:paraId="7827465F" w14:textId="62985161" w:rsidR="00265139" w:rsidRPr="00265139" w:rsidRDefault="00C55EDA" w:rsidP="00265139">
      <w:pPr>
        <w:pStyle w:val="Paragraph"/>
      </w:pPr>
      <w:bookmarkStart w:id="5" w:name="_bookmark38"/>
      <w:bookmarkStart w:id="6" w:name="_bookmark39"/>
      <w:bookmarkEnd w:id="5"/>
      <w:bookmarkEnd w:id="6"/>
      <w:r>
        <w:rPr>
          <w:noProof/>
        </w:rPr>
        <w:drawing>
          <wp:anchor distT="0" distB="0" distL="114300" distR="114300" simplePos="0" relativeHeight="251665408" behindDoc="0" locked="0" layoutInCell="1" allowOverlap="1" wp14:anchorId="2864FEED" wp14:editId="55C2F1C0">
            <wp:simplePos x="0" y="0"/>
            <wp:positionH relativeFrom="column">
              <wp:posOffset>1179830</wp:posOffset>
            </wp:positionH>
            <wp:positionV relativeFrom="paragraph">
              <wp:posOffset>344170</wp:posOffset>
            </wp:positionV>
            <wp:extent cx="2979420" cy="1633220"/>
            <wp:effectExtent l="19050" t="19050" r="11430" b="24130"/>
            <wp:wrapTopAndBottom/>
            <wp:docPr id="1489383250" name="Picture 2" descr="A graph of fertility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83250" name="Picture 2" descr="A graph of fertility rate&#10;&#10;AI-generated content may be incorrect."/>
                    <pic:cNvPicPr/>
                  </pic:nvPicPr>
                  <pic:blipFill rotWithShape="1">
                    <a:blip r:embed="rId6"/>
                    <a:srcRect t="9340"/>
                    <a:stretch>
                      <a:fillRect/>
                    </a:stretch>
                  </pic:blipFill>
                  <pic:spPr bwMode="auto">
                    <a:xfrm>
                      <a:off x="0" y="0"/>
                      <a:ext cx="2979420" cy="16332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5139" w:rsidRPr="00265139">
        <w:t xml:space="preserve">Figure </w:t>
      </w:r>
      <w:r w:rsidR="007B7EED">
        <w:t>1</w:t>
      </w:r>
      <w:r w:rsidR="00265139" w:rsidRPr="00265139">
        <w:t xml:space="preserve"> presents the fertility rate in Malaysia from 1982 until 2022. </w:t>
      </w:r>
      <w:r w:rsidR="00296E4A" w:rsidRPr="00265139">
        <w:t>It</w:t>
      </w:r>
      <w:r w:rsidR="00265139" w:rsidRPr="00265139">
        <w:t xml:space="preserve"> has shown a continuously declining trend over time. </w:t>
      </w:r>
    </w:p>
    <w:p w14:paraId="0BA4A0D2" w14:textId="7A8F4E1D" w:rsidR="00265139" w:rsidRPr="00265139" w:rsidRDefault="00BB7E74" w:rsidP="004817E5">
      <w:pPr>
        <w:pStyle w:val="FigureCaption"/>
        <w:spacing w:after="240"/>
      </w:pPr>
      <w:bookmarkStart w:id="7" w:name="_bookmark40"/>
      <w:bookmarkEnd w:id="7"/>
      <w:r w:rsidRPr="00BB7E74">
        <w:rPr>
          <w:b/>
          <w:bCs/>
        </w:rPr>
        <w:t>FIGURE 1</w:t>
      </w:r>
      <w:r w:rsidR="00265139" w:rsidRPr="00265139">
        <w:t xml:space="preserve">: Total </w:t>
      </w:r>
      <w:r w:rsidR="00265139" w:rsidRPr="005020EA">
        <w:t>Fertility</w:t>
      </w:r>
      <w:r w:rsidR="00265139" w:rsidRPr="00265139">
        <w:t xml:space="preserve"> Rate in Malaysia </w:t>
      </w:r>
      <w:r w:rsidR="00265139" w:rsidRPr="00BB7E74">
        <w:t>from</w:t>
      </w:r>
      <w:r w:rsidR="00265139" w:rsidRPr="00265139">
        <w:t xml:space="preserve"> </w:t>
      </w:r>
      <w:r w:rsidR="00B71072">
        <w:t>1982 to 2022</w:t>
      </w:r>
      <w:r w:rsidR="00265139" w:rsidRPr="00265139">
        <w:t xml:space="preserve"> (</w:t>
      </w:r>
      <w:r w:rsidR="00265139" w:rsidRPr="005020EA">
        <w:t>DOSM</w:t>
      </w:r>
      <w:r w:rsidR="00265139" w:rsidRPr="00265139">
        <w:t>, 2022)</w:t>
      </w:r>
    </w:p>
    <w:p w14:paraId="662CA7B1" w14:textId="6126EAE6" w:rsidR="003C624F" w:rsidRPr="00954353" w:rsidRDefault="003C624F" w:rsidP="003C624F">
      <w:pPr>
        <w:pStyle w:val="Paragraph"/>
      </w:pPr>
      <w:r w:rsidRPr="00954353">
        <w:t xml:space="preserve">Table </w:t>
      </w:r>
      <w:r>
        <w:t>1</w:t>
      </w:r>
      <w:r w:rsidRPr="00954353">
        <w:t xml:space="preserve"> shows the summary statistics for the study variables. The fertility rate averaged 2.76 children per woman, while inflation averaged 2.55%. Female unemployment averaged 4.31%, slightly higher than male unemployment at 3.65%. The log-transformed GDP per capita had a mean of 8.77, showing gradual economic changes across the study period.</w:t>
      </w:r>
    </w:p>
    <w:p w14:paraId="2C874390" w14:textId="58AD5CCF" w:rsidR="008717B1" w:rsidRDefault="00A91BA2" w:rsidP="005026C9">
      <w:pPr>
        <w:pStyle w:val="TableCaption"/>
        <w:spacing w:after="240"/>
        <w:rPr>
          <w:lang w:val="en-MY"/>
        </w:rPr>
      </w:pPr>
      <w:r w:rsidRPr="00970F30">
        <w:rPr>
          <w:b/>
          <w:bCs/>
          <w:lang w:val="en-MY"/>
        </w:rPr>
        <w:t>TABLE 1</w:t>
      </w:r>
      <w:r>
        <w:rPr>
          <w:lang w:val="en-MY"/>
        </w:rPr>
        <w:t xml:space="preserve">. </w:t>
      </w:r>
      <w:r w:rsidR="00A218FA">
        <w:rPr>
          <w:lang w:val="en-MY"/>
        </w:rPr>
        <w:t>Summary</w:t>
      </w:r>
      <w:r w:rsidR="003A6B78">
        <w:rPr>
          <w:lang w:val="en-MY"/>
        </w:rPr>
        <w:t xml:space="preserve"> Statistics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476"/>
        <w:gridCol w:w="1476"/>
      </w:tblGrid>
      <w:tr w:rsidR="00997280" w:rsidRPr="0072031D" w14:paraId="1BE5DA14" w14:textId="77777777" w:rsidTr="00F62C86">
        <w:trPr>
          <w:jc w:val="center"/>
        </w:trPr>
        <w:tc>
          <w:tcPr>
            <w:tcW w:w="2694" w:type="dxa"/>
            <w:tcBorders>
              <w:top w:val="single" w:sz="4" w:space="0" w:color="auto"/>
              <w:bottom w:val="single" w:sz="4" w:space="0" w:color="auto"/>
            </w:tcBorders>
          </w:tcPr>
          <w:p w14:paraId="46017AA5" w14:textId="77777777" w:rsidR="00997280" w:rsidRPr="0027206C" w:rsidRDefault="00997280" w:rsidP="00F62C86">
            <w:pPr>
              <w:ind w:right="-273"/>
              <w:rPr>
                <w:b/>
                <w:bCs/>
                <w:sz w:val="20"/>
              </w:rPr>
            </w:pPr>
            <w:r w:rsidRPr="0027206C">
              <w:rPr>
                <w:b/>
                <w:bCs/>
                <w:sz w:val="20"/>
              </w:rPr>
              <w:t>Variable</w:t>
            </w:r>
          </w:p>
        </w:tc>
        <w:tc>
          <w:tcPr>
            <w:tcW w:w="1476" w:type="dxa"/>
            <w:tcBorders>
              <w:top w:val="single" w:sz="4" w:space="0" w:color="auto"/>
              <w:bottom w:val="single" w:sz="4" w:space="0" w:color="auto"/>
            </w:tcBorders>
          </w:tcPr>
          <w:p w14:paraId="1FB2DD45" w14:textId="77777777" w:rsidR="00997280" w:rsidRPr="0027206C" w:rsidRDefault="00997280" w:rsidP="005A6BF0">
            <w:pPr>
              <w:jc w:val="center"/>
              <w:rPr>
                <w:b/>
                <w:bCs/>
                <w:sz w:val="20"/>
              </w:rPr>
            </w:pPr>
            <w:r w:rsidRPr="0027206C">
              <w:rPr>
                <w:b/>
                <w:bCs/>
                <w:sz w:val="20"/>
              </w:rPr>
              <w:t>Mean</w:t>
            </w:r>
          </w:p>
        </w:tc>
        <w:tc>
          <w:tcPr>
            <w:tcW w:w="1476" w:type="dxa"/>
            <w:tcBorders>
              <w:top w:val="single" w:sz="4" w:space="0" w:color="auto"/>
              <w:bottom w:val="single" w:sz="4" w:space="0" w:color="auto"/>
            </w:tcBorders>
          </w:tcPr>
          <w:p w14:paraId="2BDF6A8C" w14:textId="77777777" w:rsidR="00997280" w:rsidRPr="0027206C" w:rsidRDefault="00997280" w:rsidP="005A6BF0">
            <w:pPr>
              <w:jc w:val="center"/>
              <w:rPr>
                <w:b/>
                <w:bCs/>
                <w:sz w:val="20"/>
              </w:rPr>
            </w:pPr>
            <w:r w:rsidRPr="0027206C">
              <w:rPr>
                <w:b/>
                <w:bCs/>
                <w:sz w:val="20"/>
              </w:rPr>
              <w:t>Std Dev</w:t>
            </w:r>
          </w:p>
        </w:tc>
      </w:tr>
      <w:tr w:rsidR="002C41BF" w:rsidRPr="0072031D" w14:paraId="77A15B5E" w14:textId="77777777" w:rsidTr="00F62C86">
        <w:trPr>
          <w:jc w:val="center"/>
        </w:trPr>
        <w:tc>
          <w:tcPr>
            <w:tcW w:w="2694" w:type="dxa"/>
            <w:tcBorders>
              <w:top w:val="single" w:sz="4" w:space="0" w:color="auto"/>
            </w:tcBorders>
          </w:tcPr>
          <w:p w14:paraId="04A7E003" w14:textId="6B367407" w:rsidR="002C41BF" w:rsidRPr="0072031D" w:rsidRDefault="002C41BF" w:rsidP="002C41BF">
            <w:pPr>
              <w:rPr>
                <w:sz w:val="20"/>
              </w:rPr>
            </w:pPr>
            <w:r w:rsidRPr="0072031D">
              <w:rPr>
                <w:sz w:val="20"/>
              </w:rPr>
              <w:t>Fertility_Rate</w:t>
            </w:r>
          </w:p>
        </w:tc>
        <w:tc>
          <w:tcPr>
            <w:tcW w:w="1476" w:type="dxa"/>
            <w:tcBorders>
              <w:top w:val="single" w:sz="4" w:space="0" w:color="auto"/>
            </w:tcBorders>
          </w:tcPr>
          <w:p w14:paraId="374977BB" w14:textId="578C924F" w:rsidR="002C41BF" w:rsidRPr="0072031D" w:rsidRDefault="002C41BF" w:rsidP="005A6BF0">
            <w:pPr>
              <w:jc w:val="center"/>
              <w:rPr>
                <w:sz w:val="20"/>
              </w:rPr>
            </w:pPr>
            <w:r w:rsidRPr="0072031D">
              <w:rPr>
                <w:sz w:val="20"/>
              </w:rPr>
              <w:t>2.7</w:t>
            </w:r>
            <w:r w:rsidR="00D542EB" w:rsidRPr="0072031D">
              <w:rPr>
                <w:sz w:val="20"/>
              </w:rPr>
              <w:t>6</w:t>
            </w:r>
          </w:p>
        </w:tc>
        <w:tc>
          <w:tcPr>
            <w:tcW w:w="1476" w:type="dxa"/>
            <w:tcBorders>
              <w:top w:val="single" w:sz="4" w:space="0" w:color="auto"/>
            </w:tcBorders>
          </w:tcPr>
          <w:p w14:paraId="188313F5" w14:textId="01433796" w:rsidR="002C41BF" w:rsidRPr="0072031D" w:rsidRDefault="002C41BF" w:rsidP="005A6BF0">
            <w:pPr>
              <w:jc w:val="center"/>
              <w:rPr>
                <w:sz w:val="20"/>
              </w:rPr>
            </w:pPr>
            <w:r w:rsidRPr="0072031D">
              <w:rPr>
                <w:sz w:val="20"/>
              </w:rPr>
              <w:t>0.75</w:t>
            </w:r>
          </w:p>
        </w:tc>
      </w:tr>
      <w:tr w:rsidR="002C41BF" w:rsidRPr="0072031D" w14:paraId="1C77DD91" w14:textId="77777777" w:rsidTr="00F62C86">
        <w:trPr>
          <w:jc w:val="center"/>
        </w:trPr>
        <w:tc>
          <w:tcPr>
            <w:tcW w:w="2694" w:type="dxa"/>
          </w:tcPr>
          <w:p w14:paraId="062411E3" w14:textId="77777777" w:rsidR="002C41BF" w:rsidRPr="0072031D" w:rsidRDefault="002C41BF" w:rsidP="002C41BF">
            <w:pPr>
              <w:rPr>
                <w:sz w:val="20"/>
              </w:rPr>
            </w:pPr>
            <w:r w:rsidRPr="0072031D">
              <w:rPr>
                <w:sz w:val="20"/>
              </w:rPr>
              <w:t>Inflation</w:t>
            </w:r>
          </w:p>
        </w:tc>
        <w:tc>
          <w:tcPr>
            <w:tcW w:w="1476" w:type="dxa"/>
          </w:tcPr>
          <w:p w14:paraId="0C5441AD" w14:textId="46D5B255" w:rsidR="002C41BF" w:rsidRPr="0072031D" w:rsidRDefault="002C41BF" w:rsidP="005A6BF0">
            <w:pPr>
              <w:jc w:val="center"/>
              <w:rPr>
                <w:sz w:val="20"/>
              </w:rPr>
            </w:pPr>
            <w:r w:rsidRPr="0072031D">
              <w:rPr>
                <w:sz w:val="20"/>
              </w:rPr>
              <w:t>2.55</w:t>
            </w:r>
          </w:p>
        </w:tc>
        <w:tc>
          <w:tcPr>
            <w:tcW w:w="1476" w:type="dxa"/>
          </w:tcPr>
          <w:p w14:paraId="176831CA" w14:textId="72322A42" w:rsidR="002C41BF" w:rsidRPr="0072031D" w:rsidRDefault="002C41BF" w:rsidP="005A6BF0">
            <w:pPr>
              <w:jc w:val="center"/>
              <w:rPr>
                <w:sz w:val="20"/>
              </w:rPr>
            </w:pPr>
            <w:r w:rsidRPr="0072031D">
              <w:rPr>
                <w:sz w:val="20"/>
              </w:rPr>
              <w:t>1.5</w:t>
            </w:r>
            <w:r w:rsidR="00D542EB" w:rsidRPr="0072031D">
              <w:rPr>
                <w:sz w:val="20"/>
              </w:rPr>
              <w:t>2</w:t>
            </w:r>
          </w:p>
        </w:tc>
      </w:tr>
      <w:tr w:rsidR="002C41BF" w:rsidRPr="0072031D" w14:paraId="5CC4276F" w14:textId="77777777" w:rsidTr="00F62C86">
        <w:trPr>
          <w:jc w:val="center"/>
        </w:trPr>
        <w:tc>
          <w:tcPr>
            <w:tcW w:w="2694" w:type="dxa"/>
          </w:tcPr>
          <w:p w14:paraId="6646971E" w14:textId="16BC5936" w:rsidR="002C41BF" w:rsidRPr="0072031D" w:rsidRDefault="00F62C86" w:rsidP="002C41BF">
            <w:pPr>
              <w:rPr>
                <w:sz w:val="20"/>
              </w:rPr>
            </w:pPr>
            <w:r w:rsidRPr="0072031D">
              <w:rPr>
                <w:sz w:val="20"/>
              </w:rPr>
              <w:t>Female Unemployment</w:t>
            </w:r>
          </w:p>
        </w:tc>
        <w:tc>
          <w:tcPr>
            <w:tcW w:w="1476" w:type="dxa"/>
          </w:tcPr>
          <w:p w14:paraId="187BDF2E" w14:textId="56610D5B" w:rsidR="002C41BF" w:rsidRPr="0072031D" w:rsidRDefault="002C41BF" w:rsidP="005A6BF0">
            <w:pPr>
              <w:jc w:val="center"/>
              <w:rPr>
                <w:sz w:val="20"/>
              </w:rPr>
            </w:pPr>
            <w:r w:rsidRPr="0072031D">
              <w:rPr>
                <w:sz w:val="20"/>
              </w:rPr>
              <w:t>4.3</w:t>
            </w:r>
            <w:r w:rsidR="00D542EB" w:rsidRPr="0072031D">
              <w:rPr>
                <w:sz w:val="20"/>
              </w:rPr>
              <w:t>1</w:t>
            </w:r>
          </w:p>
        </w:tc>
        <w:tc>
          <w:tcPr>
            <w:tcW w:w="1476" w:type="dxa"/>
          </w:tcPr>
          <w:p w14:paraId="632D96FD" w14:textId="2DF7F11B" w:rsidR="002C41BF" w:rsidRPr="0072031D" w:rsidRDefault="002C41BF" w:rsidP="005A6BF0">
            <w:pPr>
              <w:jc w:val="center"/>
              <w:rPr>
                <w:sz w:val="20"/>
              </w:rPr>
            </w:pPr>
            <w:r w:rsidRPr="0072031D">
              <w:rPr>
                <w:sz w:val="20"/>
              </w:rPr>
              <w:t>1.4</w:t>
            </w:r>
            <w:r w:rsidR="00D542EB" w:rsidRPr="0072031D">
              <w:rPr>
                <w:sz w:val="20"/>
              </w:rPr>
              <w:t>3</w:t>
            </w:r>
          </w:p>
        </w:tc>
      </w:tr>
      <w:tr w:rsidR="00F62C86" w:rsidRPr="0072031D" w14:paraId="18E9C740" w14:textId="77777777" w:rsidTr="00F62C86">
        <w:trPr>
          <w:jc w:val="center"/>
        </w:trPr>
        <w:tc>
          <w:tcPr>
            <w:tcW w:w="2694" w:type="dxa"/>
          </w:tcPr>
          <w:p w14:paraId="6C29A464" w14:textId="251F6BB7" w:rsidR="00F62C86" w:rsidRPr="0072031D" w:rsidRDefault="00F62C86" w:rsidP="00F62C86">
            <w:pPr>
              <w:rPr>
                <w:sz w:val="20"/>
              </w:rPr>
            </w:pPr>
            <w:r w:rsidRPr="0072031D">
              <w:rPr>
                <w:sz w:val="20"/>
              </w:rPr>
              <w:t>Male Unemployment</w:t>
            </w:r>
          </w:p>
        </w:tc>
        <w:tc>
          <w:tcPr>
            <w:tcW w:w="1476" w:type="dxa"/>
          </w:tcPr>
          <w:p w14:paraId="1ED34D43" w14:textId="1BE95308" w:rsidR="00F62C86" w:rsidRPr="0072031D" w:rsidRDefault="00F62C86" w:rsidP="00F62C86">
            <w:pPr>
              <w:jc w:val="center"/>
              <w:rPr>
                <w:sz w:val="20"/>
              </w:rPr>
            </w:pPr>
            <w:r w:rsidRPr="0072031D">
              <w:rPr>
                <w:sz w:val="20"/>
              </w:rPr>
              <w:t>3.65</w:t>
            </w:r>
          </w:p>
        </w:tc>
        <w:tc>
          <w:tcPr>
            <w:tcW w:w="1476" w:type="dxa"/>
          </w:tcPr>
          <w:p w14:paraId="2B47C0EF" w14:textId="1A53F347" w:rsidR="00F62C86" w:rsidRPr="0072031D" w:rsidRDefault="00F62C86" w:rsidP="00F62C86">
            <w:pPr>
              <w:jc w:val="center"/>
              <w:rPr>
                <w:sz w:val="20"/>
              </w:rPr>
            </w:pPr>
            <w:r w:rsidRPr="0072031D">
              <w:rPr>
                <w:sz w:val="20"/>
              </w:rPr>
              <w:t>1.10</w:t>
            </w:r>
          </w:p>
        </w:tc>
      </w:tr>
      <w:tr w:rsidR="00F62C86" w:rsidRPr="0072031D" w14:paraId="5730EF8F" w14:textId="77777777" w:rsidTr="00F62C86">
        <w:trPr>
          <w:jc w:val="center"/>
        </w:trPr>
        <w:tc>
          <w:tcPr>
            <w:tcW w:w="2694" w:type="dxa"/>
            <w:tcBorders>
              <w:bottom w:val="single" w:sz="4" w:space="0" w:color="auto"/>
            </w:tcBorders>
          </w:tcPr>
          <w:p w14:paraId="2005C60F" w14:textId="77777777" w:rsidR="00F62C86" w:rsidRPr="0072031D" w:rsidRDefault="00F62C86" w:rsidP="00F62C86">
            <w:pPr>
              <w:rPr>
                <w:sz w:val="20"/>
              </w:rPr>
            </w:pPr>
            <w:r w:rsidRPr="0072031D">
              <w:rPr>
                <w:sz w:val="20"/>
              </w:rPr>
              <w:t>Log_GDP</w:t>
            </w:r>
          </w:p>
        </w:tc>
        <w:tc>
          <w:tcPr>
            <w:tcW w:w="1476" w:type="dxa"/>
            <w:tcBorders>
              <w:bottom w:val="single" w:sz="4" w:space="0" w:color="auto"/>
            </w:tcBorders>
          </w:tcPr>
          <w:p w14:paraId="4BE9F71E" w14:textId="21A8AC82" w:rsidR="00F62C86" w:rsidRPr="0072031D" w:rsidRDefault="00F62C86" w:rsidP="00F62C86">
            <w:pPr>
              <w:jc w:val="center"/>
              <w:rPr>
                <w:sz w:val="20"/>
              </w:rPr>
            </w:pPr>
            <w:r w:rsidRPr="0072031D">
              <w:rPr>
                <w:sz w:val="20"/>
              </w:rPr>
              <w:t>8.77</w:t>
            </w:r>
          </w:p>
        </w:tc>
        <w:tc>
          <w:tcPr>
            <w:tcW w:w="1476" w:type="dxa"/>
            <w:tcBorders>
              <w:bottom w:val="single" w:sz="4" w:space="0" w:color="auto"/>
            </w:tcBorders>
          </w:tcPr>
          <w:p w14:paraId="69BA280A" w14:textId="06CF5948" w:rsidR="00F62C86" w:rsidRPr="0072031D" w:rsidRDefault="00F62C86" w:rsidP="00F62C86">
            <w:pPr>
              <w:jc w:val="center"/>
              <w:rPr>
                <w:sz w:val="20"/>
              </w:rPr>
            </w:pPr>
            <w:r w:rsidRPr="0072031D">
              <w:rPr>
                <w:sz w:val="20"/>
              </w:rPr>
              <w:t>0.38</w:t>
            </w:r>
          </w:p>
        </w:tc>
      </w:tr>
    </w:tbl>
    <w:p w14:paraId="7F27F4A5" w14:textId="77777777" w:rsidR="00E5740D" w:rsidRPr="001509AE" w:rsidRDefault="00E5740D" w:rsidP="00E5740D">
      <w:pPr>
        <w:pStyle w:val="Heading2"/>
        <w:rPr>
          <w:sz w:val="20"/>
        </w:rPr>
      </w:pPr>
      <w:r w:rsidRPr="00414141">
        <w:t xml:space="preserve">Assumption Checks </w:t>
      </w:r>
      <w:r>
        <w:t>before Multiple Linear Regression</w:t>
      </w:r>
    </w:p>
    <w:p w14:paraId="0D419F6D" w14:textId="3B25781C" w:rsidR="0098724B" w:rsidRDefault="002801E2" w:rsidP="004817E5">
      <w:pPr>
        <w:pStyle w:val="Paragraph"/>
      </w:pPr>
      <w:r>
        <w:t>I</w:t>
      </w:r>
      <w:r w:rsidR="00E5740D" w:rsidRPr="00265139">
        <w:t xml:space="preserve">nflation rate, female unemployment, and male unemployment </w:t>
      </w:r>
      <w:r w:rsidR="002E3B26">
        <w:t xml:space="preserve">have </w:t>
      </w:r>
      <w:r w:rsidR="00E5740D" w:rsidRPr="00265139">
        <w:t>show</w:t>
      </w:r>
      <w:r w:rsidR="002E3B26">
        <w:t>ed</w:t>
      </w:r>
      <w:r w:rsidR="00E5740D" w:rsidRPr="00265139">
        <w:t xml:space="preserve"> a positive linear relationship with the total fertility rate</w:t>
      </w:r>
      <w:r w:rsidR="002E3B26">
        <w:t>, w</w:t>
      </w:r>
      <w:r w:rsidR="00E5740D" w:rsidRPr="00265139">
        <w:t xml:space="preserve">hile only log GDP shows a negative linear relationship with the total fertility rate. All the independent </w:t>
      </w:r>
      <w:r w:rsidR="00EB0DB9" w:rsidRPr="00265139">
        <w:t>variables have</w:t>
      </w:r>
      <w:r w:rsidR="00E5740D" w:rsidRPr="00265139">
        <w:t xml:space="preserve"> a linear relationship with the dependent variable. So, the </w:t>
      </w:r>
      <w:r w:rsidR="00EB0DB9">
        <w:t>linearity</w:t>
      </w:r>
      <w:r w:rsidR="00E5740D" w:rsidRPr="00265139">
        <w:t xml:space="preserve"> assumption </w:t>
      </w:r>
      <w:r w:rsidR="00EB0DB9">
        <w:t>i</w:t>
      </w:r>
      <w:r w:rsidR="00E5740D" w:rsidRPr="00265139">
        <w:t>s fulfilled.</w:t>
      </w:r>
      <w:bookmarkStart w:id="8" w:name="_bookmark43"/>
      <w:bookmarkEnd w:id="8"/>
      <w:r w:rsidR="0098724B">
        <w:t>Table</w:t>
      </w:r>
      <w:r w:rsidR="004522F2">
        <w:t xml:space="preserve"> 2</w:t>
      </w:r>
      <w:r w:rsidR="0098724B">
        <w:t xml:space="preserve"> show</w:t>
      </w:r>
      <w:r w:rsidR="00B467D9">
        <w:t>s</w:t>
      </w:r>
      <w:r w:rsidR="0098724B">
        <w:t xml:space="preserve"> the correlation of the fertility rate with each independent variable. The log GDP has the strongest negative correlation with the correlation coefficient value of -0.9</w:t>
      </w:r>
      <w:r w:rsidR="00B467D9">
        <w:t>8</w:t>
      </w:r>
      <w:r w:rsidR="0098724B">
        <w:t xml:space="preserve"> with the fertility rate. Meanwhile, the inflation rate shows the weakest positive correlation with the fertility rate, with the correlation value 0.27. </w:t>
      </w:r>
      <w:r w:rsidR="0098724B" w:rsidRPr="003A3178">
        <w:t>Female and male unemployment are highly correlated (0.94), indicating potential multicollinearity concerns in regression modelling.</w:t>
      </w:r>
    </w:p>
    <w:p w14:paraId="10B41CD5" w14:textId="5313E5AF" w:rsidR="006A2592" w:rsidRPr="001F59B3" w:rsidRDefault="00A91BA2" w:rsidP="005026C9">
      <w:pPr>
        <w:pStyle w:val="TableCaption"/>
        <w:spacing w:after="240"/>
        <w:rPr>
          <w:lang w:val="en-MY"/>
        </w:rPr>
      </w:pPr>
      <w:r w:rsidRPr="00970F30">
        <w:rPr>
          <w:b/>
          <w:bCs/>
          <w:lang w:val="en-MY"/>
        </w:rPr>
        <w:t>TABLE 2</w:t>
      </w:r>
      <w:r>
        <w:rPr>
          <w:lang w:val="en-MY"/>
        </w:rPr>
        <w:t xml:space="preserve">. </w:t>
      </w:r>
      <w:r w:rsidR="006A2592">
        <w:rPr>
          <w:lang w:val="en-MY"/>
        </w:rPr>
        <w:t>Pearson Correlation Matrix</w:t>
      </w:r>
    </w:p>
    <w:tbl>
      <w:tblPr>
        <w:tblW w:w="9092" w:type="dxa"/>
        <w:tblCellSpacing w:w="15" w:type="dxa"/>
        <w:tblCellMar>
          <w:top w:w="15" w:type="dxa"/>
          <w:left w:w="15" w:type="dxa"/>
          <w:bottom w:w="15" w:type="dxa"/>
          <w:right w:w="15" w:type="dxa"/>
        </w:tblCellMar>
        <w:tblLook w:val="04A0" w:firstRow="1" w:lastRow="0" w:firstColumn="1" w:lastColumn="0" w:noHBand="0" w:noVBand="1"/>
      </w:tblPr>
      <w:tblGrid>
        <w:gridCol w:w="2268"/>
        <w:gridCol w:w="1560"/>
        <w:gridCol w:w="1089"/>
        <w:gridCol w:w="1179"/>
        <w:gridCol w:w="1503"/>
        <w:gridCol w:w="1493"/>
      </w:tblGrid>
      <w:tr w:rsidR="006A2592" w:rsidRPr="00EF1C60" w14:paraId="40CA2E67" w14:textId="77777777" w:rsidTr="00EF1C60">
        <w:trPr>
          <w:tblHeader/>
          <w:tblCellSpacing w:w="15" w:type="dxa"/>
        </w:trPr>
        <w:tc>
          <w:tcPr>
            <w:tcW w:w="2223" w:type="dxa"/>
            <w:tcBorders>
              <w:top w:val="single" w:sz="4" w:space="0" w:color="auto"/>
              <w:bottom w:val="single" w:sz="4" w:space="0" w:color="auto"/>
            </w:tcBorders>
            <w:vAlign w:val="center"/>
            <w:hideMark/>
          </w:tcPr>
          <w:p w14:paraId="68C2DDA9" w14:textId="77777777" w:rsidR="006A2592" w:rsidRPr="0027206C" w:rsidRDefault="006A2592" w:rsidP="006A2592">
            <w:pPr>
              <w:pStyle w:val="Paragraph"/>
              <w:tabs>
                <w:tab w:val="left" w:pos="3545"/>
              </w:tabs>
              <w:rPr>
                <w:b/>
                <w:bCs/>
                <w:iCs/>
                <w:lang w:val="en-MY"/>
              </w:rPr>
            </w:pPr>
            <w:r w:rsidRPr="0027206C">
              <w:rPr>
                <w:b/>
                <w:bCs/>
                <w:iCs/>
                <w:lang w:val="en-MY"/>
              </w:rPr>
              <w:t>Variable</w:t>
            </w:r>
          </w:p>
        </w:tc>
        <w:tc>
          <w:tcPr>
            <w:tcW w:w="1530" w:type="dxa"/>
            <w:tcBorders>
              <w:top w:val="single" w:sz="4" w:space="0" w:color="auto"/>
              <w:bottom w:val="single" w:sz="4" w:space="0" w:color="auto"/>
            </w:tcBorders>
            <w:vAlign w:val="center"/>
            <w:hideMark/>
          </w:tcPr>
          <w:p w14:paraId="16BE84C6" w14:textId="77777777" w:rsidR="006A2592" w:rsidRPr="0027206C" w:rsidRDefault="006A2592" w:rsidP="003D1B1A">
            <w:pPr>
              <w:pStyle w:val="Paragraph"/>
              <w:tabs>
                <w:tab w:val="left" w:pos="3545"/>
              </w:tabs>
              <w:jc w:val="center"/>
              <w:rPr>
                <w:b/>
                <w:bCs/>
                <w:iCs/>
                <w:lang w:val="en-MY"/>
              </w:rPr>
            </w:pPr>
            <w:r w:rsidRPr="0027206C">
              <w:rPr>
                <w:b/>
                <w:bCs/>
                <w:iCs/>
                <w:lang w:val="en-MY"/>
              </w:rPr>
              <w:t>Fertility Rate</w:t>
            </w:r>
          </w:p>
        </w:tc>
        <w:tc>
          <w:tcPr>
            <w:tcW w:w="0" w:type="auto"/>
            <w:tcBorders>
              <w:top w:val="single" w:sz="4" w:space="0" w:color="auto"/>
              <w:bottom w:val="single" w:sz="4" w:space="0" w:color="auto"/>
            </w:tcBorders>
            <w:vAlign w:val="center"/>
            <w:hideMark/>
          </w:tcPr>
          <w:p w14:paraId="25F85462" w14:textId="77777777" w:rsidR="006A2592" w:rsidRPr="0027206C" w:rsidRDefault="006A2592" w:rsidP="003D1B1A">
            <w:pPr>
              <w:pStyle w:val="Paragraph"/>
              <w:tabs>
                <w:tab w:val="left" w:pos="3545"/>
              </w:tabs>
              <w:jc w:val="center"/>
              <w:rPr>
                <w:b/>
                <w:bCs/>
                <w:iCs/>
                <w:lang w:val="en-MY"/>
              </w:rPr>
            </w:pPr>
            <w:r w:rsidRPr="0027206C">
              <w:rPr>
                <w:b/>
                <w:bCs/>
                <w:iCs/>
                <w:lang w:val="en-MY"/>
              </w:rPr>
              <w:t>Inflation</w:t>
            </w:r>
          </w:p>
        </w:tc>
        <w:tc>
          <w:tcPr>
            <w:tcW w:w="1149" w:type="dxa"/>
            <w:tcBorders>
              <w:top w:val="single" w:sz="4" w:space="0" w:color="auto"/>
              <w:bottom w:val="single" w:sz="4" w:space="0" w:color="auto"/>
            </w:tcBorders>
            <w:vAlign w:val="center"/>
            <w:hideMark/>
          </w:tcPr>
          <w:p w14:paraId="42C9ECC6" w14:textId="77777777" w:rsidR="006A2592" w:rsidRPr="0027206C" w:rsidRDefault="006A2592" w:rsidP="003D1B1A">
            <w:pPr>
              <w:pStyle w:val="Paragraph"/>
              <w:tabs>
                <w:tab w:val="left" w:pos="3545"/>
              </w:tabs>
              <w:jc w:val="center"/>
              <w:rPr>
                <w:b/>
                <w:bCs/>
                <w:iCs/>
                <w:lang w:val="en-MY"/>
              </w:rPr>
            </w:pPr>
            <w:r w:rsidRPr="0027206C">
              <w:rPr>
                <w:b/>
                <w:bCs/>
                <w:iCs/>
                <w:lang w:val="en-MY"/>
              </w:rPr>
              <w:t>Log GDP</w:t>
            </w:r>
          </w:p>
        </w:tc>
        <w:tc>
          <w:tcPr>
            <w:tcW w:w="0" w:type="auto"/>
            <w:tcBorders>
              <w:top w:val="single" w:sz="4" w:space="0" w:color="auto"/>
              <w:bottom w:val="single" w:sz="4" w:space="0" w:color="auto"/>
            </w:tcBorders>
            <w:vAlign w:val="center"/>
            <w:hideMark/>
          </w:tcPr>
          <w:p w14:paraId="578D321C" w14:textId="1A34996F" w:rsidR="006A2592" w:rsidRPr="0027206C" w:rsidRDefault="00EF1C60" w:rsidP="003D1B1A">
            <w:pPr>
              <w:pStyle w:val="Paragraph"/>
              <w:tabs>
                <w:tab w:val="left" w:pos="3545"/>
              </w:tabs>
              <w:jc w:val="center"/>
              <w:rPr>
                <w:b/>
                <w:bCs/>
                <w:iCs/>
                <w:lang w:val="en-MY"/>
              </w:rPr>
            </w:pPr>
            <w:r w:rsidRPr="0027206C">
              <w:rPr>
                <w:b/>
                <w:bCs/>
              </w:rPr>
              <w:t>Female Unemployment</w:t>
            </w:r>
          </w:p>
        </w:tc>
        <w:tc>
          <w:tcPr>
            <w:tcW w:w="0" w:type="auto"/>
            <w:tcBorders>
              <w:top w:val="single" w:sz="4" w:space="0" w:color="auto"/>
              <w:bottom w:val="single" w:sz="4" w:space="0" w:color="auto"/>
            </w:tcBorders>
            <w:vAlign w:val="center"/>
            <w:hideMark/>
          </w:tcPr>
          <w:p w14:paraId="5EC82F44" w14:textId="5F08DAD2" w:rsidR="006A2592" w:rsidRPr="0027206C" w:rsidRDefault="00EF1C60" w:rsidP="003D1B1A">
            <w:pPr>
              <w:pStyle w:val="Paragraph"/>
              <w:tabs>
                <w:tab w:val="left" w:pos="3545"/>
              </w:tabs>
              <w:jc w:val="center"/>
              <w:rPr>
                <w:b/>
                <w:bCs/>
                <w:iCs/>
                <w:lang w:val="en-MY"/>
              </w:rPr>
            </w:pPr>
            <w:r w:rsidRPr="0027206C">
              <w:rPr>
                <w:b/>
                <w:bCs/>
              </w:rPr>
              <w:t>Male Unemployment</w:t>
            </w:r>
          </w:p>
        </w:tc>
      </w:tr>
      <w:tr w:rsidR="006A2592" w:rsidRPr="00EF1C60" w14:paraId="0AE97A83" w14:textId="77777777" w:rsidTr="00EF1C60">
        <w:trPr>
          <w:tblCellSpacing w:w="15" w:type="dxa"/>
        </w:trPr>
        <w:tc>
          <w:tcPr>
            <w:tcW w:w="2223" w:type="dxa"/>
            <w:vAlign w:val="center"/>
            <w:hideMark/>
          </w:tcPr>
          <w:p w14:paraId="2762F212" w14:textId="77777777" w:rsidR="006A2592" w:rsidRPr="00EF1C60" w:rsidRDefault="006A2592" w:rsidP="006A2592">
            <w:pPr>
              <w:pStyle w:val="Paragraph"/>
              <w:tabs>
                <w:tab w:val="left" w:pos="3545"/>
              </w:tabs>
              <w:rPr>
                <w:iCs/>
                <w:lang w:val="en-MY"/>
              </w:rPr>
            </w:pPr>
            <w:r w:rsidRPr="00EF1C60">
              <w:rPr>
                <w:iCs/>
                <w:lang w:val="en-MY"/>
              </w:rPr>
              <w:t>Fertility Rate</w:t>
            </w:r>
          </w:p>
        </w:tc>
        <w:tc>
          <w:tcPr>
            <w:tcW w:w="1530" w:type="dxa"/>
            <w:vAlign w:val="center"/>
            <w:hideMark/>
          </w:tcPr>
          <w:p w14:paraId="19ED6F6A" w14:textId="77777777" w:rsidR="006A2592" w:rsidRPr="00EF1C60" w:rsidRDefault="006A2592" w:rsidP="00EF1C60">
            <w:pPr>
              <w:pStyle w:val="Paragraph"/>
              <w:tabs>
                <w:tab w:val="left" w:pos="3545"/>
              </w:tabs>
              <w:jc w:val="center"/>
              <w:rPr>
                <w:iCs/>
                <w:lang w:val="en-MY"/>
              </w:rPr>
            </w:pPr>
            <w:r w:rsidRPr="00EF1C60">
              <w:rPr>
                <w:iCs/>
                <w:lang w:val="en-MY"/>
              </w:rPr>
              <w:t>1.00</w:t>
            </w:r>
          </w:p>
        </w:tc>
        <w:tc>
          <w:tcPr>
            <w:tcW w:w="0" w:type="auto"/>
            <w:vAlign w:val="center"/>
            <w:hideMark/>
          </w:tcPr>
          <w:p w14:paraId="44D7E4F0" w14:textId="77777777" w:rsidR="006A2592" w:rsidRPr="00EF1C60" w:rsidRDefault="006A2592" w:rsidP="00EF1C60">
            <w:pPr>
              <w:pStyle w:val="Paragraph"/>
              <w:tabs>
                <w:tab w:val="left" w:pos="3545"/>
              </w:tabs>
              <w:jc w:val="center"/>
              <w:rPr>
                <w:iCs/>
                <w:lang w:val="en-MY"/>
              </w:rPr>
            </w:pPr>
            <w:r w:rsidRPr="00EF1C60">
              <w:rPr>
                <w:iCs/>
                <w:lang w:val="en-MY"/>
              </w:rPr>
              <w:t>0.27</w:t>
            </w:r>
          </w:p>
        </w:tc>
        <w:tc>
          <w:tcPr>
            <w:tcW w:w="1149" w:type="dxa"/>
            <w:vAlign w:val="center"/>
            <w:hideMark/>
          </w:tcPr>
          <w:p w14:paraId="2976A434" w14:textId="77777777" w:rsidR="006A2592" w:rsidRPr="00EF1C60" w:rsidRDefault="006A2592" w:rsidP="00EF1C60">
            <w:pPr>
              <w:pStyle w:val="Paragraph"/>
              <w:tabs>
                <w:tab w:val="left" w:pos="3545"/>
              </w:tabs>
              <w:jc w:val="center"/>
              <w:rPr>
                <w:iCs/>
                <w:lang w:val="en-MY"/>
              </w:rPr>
            </w:pPr>
            <w:r w:rsidRPr="00EF1C60">
              <w:rPr>
                <w:iCs/>
                <w:lang w:val="en-MY"/>
              </w:rPr>
              <w:t>–0.98</w:t>
            </w:r>
          </w:p>
        </w:tc>
        <w:tc>
          <w:tcPr>
            <w:tcW w:w="0" w:type="auto"/>
            <w:vAlign w:val="center"/>
            <w:hideMark/>
          </w:tcPr>
          <w:p w14:paraId="478630A3" w14:textId="77777777" w:rsidR="006A2592" w:rsidRPr="00EF1C60" w:rsidRDefault="006A2592" w:rsidP="00EF1C60">
            <w:pPr>
              <w:pStyle w:val="Paragraph"/>
              <w:tabs>
                <w:tab w:val="left" w:pos="3545"/>
              </w:tabs>
              <w:jc w:val="center"/>
              <w:rPr>
                <w:iCs/>
                <w:lang w:val="en-MY"/>
              </w:rPr>
            </w:pPr>
            <w:r w:rsidRPr="00EF1C60">
              <w:rPr>
                <w:iCs/>
                <w:lang w:val="en-MY"/>
              </w:rPr>
              <w:t>0.60</w:t>
            </w:r>
          </w:p>
        </w:tc>
        <w:tc>
          <w:tcPr>
            <w:tcW w:w="0" w:type="auto"/>
            <w:vAlign w:val="center"/>
            <w:hideMark/>
          </w:tcPr>
          <w:p w14:paraId="0204BD94" w14:textId="77777777" w:rsidR="006A2592" w:rsidRPr="00EF1C60" w:rsidRDefault="006A2592" w:rsidP="00EF1C60">
            <w:pPr>
              <w:pStyle w:val="Paragraph"/>
              <w:tabs>
                <w:tab w:val="left" w:pos="3545"/>
              </w:tabs>
              <w:jc w:val="center"/>
              <w:rPr>
                <w:iCs/>
                <w:lang w:val="en-MY"/>
              </w:rPr>
            </w:pPr>
            <w:r w:rsidRPr="00EF1C60">
              <w:rPr>
                <w:iCs/>
                <w:lang w:val="en-MY"/>
              </w:rPr>
              <w:t>0.41</w:t>
            </w:r>
          </w:p>
        </w:tc>
      </w:tr>
      <w:tr w:rsidR="006A2592" w:rsidRPr="00EF1C60" w14:paraId="5201CFA9" w14:textId="77777777" w:rsidTr="00EF1C60">
        <w:trPr>
          <w:tblCellSpacing w:w="15" w:type="dxa"/>
        </w:trPr>
        <w:tc>
          <w:tcPr>
            <w:tcW w:w="2223" w:type="dxa"/>
            <w:vAlign w:val="center"/>
            <w:hideMark/>
          </w:tcPr>
          <w:p w14:paraId="3A0D995B" w14:textId="77777777" w:rsidR="006A2592" w:rsidRPr="00EF1C60" w:rsidRDefault="006A2592" w:rsidP="006A2592">
            <w:pPr>
              <w:pStyle w:val="Paragraph"/>
              <w:tabs>
                <w:tab w:val="left" w:pos="3545"/>
              </w:tabs>
              <w:rPr>
                <w:iCs/>
                <w:lang w:val="en-MY"/>
              </w:rPr>
            </w:pPr>
            <w:r w:rsidRPr="00EF1C60">
              <w:rPr>
                <w:iCs/>
                <w:lang w:val="en-MY"/>
              </w:rPr>
              <w:t>Inflation</w:t>
            </w:r>
          </w:p>
        </w:tc>
        <w:tc>
          <w:tcPr>
            <w:tcW w:w="1530" w:type="dxa"/>
            <w:vAlign w:val="center"/>
            <w:hideMark/>
          </w:tcPr>
          <w:p w14:paraId="36C11782" w14:textId="77777777" w:rsidR="006A2592" w:rsidRPr="00EF1C60" w:rsidRDefault="006A2592" w:rsidP="00EF1C60">
            <w:pPr>
              <w:pStyle w:val="Paragraph"/>
              <w:tabs>
                <w:tab w:val="left" w:pos="3545"/>
              </w:tabs>
              <w:jc w:val="center"/>
              <w:rPr>
                <w:iCs/>
                <w:lang w:val="en-MY"/>
              </w:rPr>
            </w:pPr>
            <w:r w:rsidRPr="00EF1C60">
              <w:rPr>
                <w:iCs/>
                <w:lang w:val="en-MY"/>
              </w:rPr>
              <w:t>0.27</w:t>
            </w:r>
          </w:p>
        </w:tc>
        <w:tc>
          <w:tcPr>
            <w:tcW w:w="0" w:type="auto"/>
            <w:vAlign w:val="center"/>
            <w:hideMark/>
          </w:tcPr>
          <w:p w14:paraId="28AFB084" w14:textId="77777777" w:rsidR="006A2592" w:rsidRPr="00EF1C60" w:rsidRDefault="006A2592" w:rsidP="00EF1C60">
            <w:pPr>
              <w:pStyle w:val="Paragraph"/>
              <w:tabs>
                <w:tab w:val="left" w:pos="3545"/>
              </w:tabs>
              <w:jc w:val="center"/>
              <w:rPr>
                <w:iCs/>
                <w:lang w:val="en-MY"/>
              </w:rPr>
            </w:pPr>
            <w:r w:rsidRPr="00EF1C60">
              <w:rPr>
                <w:iCs/>
                <w:lang w:val="en-MY"/>
              </w:rPr>
              <w:t>1.00</w:t>
            </w:r>
          </w:p>
        </w:tc>
        <w:tc>
          <w:tcPr>
            <w:tcW w:w="1149" w:type="dxa"/>
            <w:vAlign w:val="center"/>
            <w:hideMark/>
          </w:tcPr>
          <w:p w14:paraId="77138D12" w14:textId="77777777" w:rsidR="006A2592" w:rsidRPr="00EF1C60" w:rsidRDefault="006A2592" w:rsidP="00EF1C60">
            <w:pPr>
              <w:pStyle w:val="Paragraph"/>
              <w:tabs>
                <w:tab w:val="left" w:pos="3545"/>
              </w:tabs>
              <w:jc w:val="center"/>
              <w:rPr>
                <w:iCs/>
                <w:lang w:val="en-MY"/>
              </w:rPr>
            </w:pPr>
            <w:r w:rsidRPr="00EF1C60">
              <w:rPr>
                <w:iCs/>
                <w:lang w:val="en-MY"/>
              </w:rPr>
              <w:t>–0.22</w:t>
            </w:r>
          </w:p>
        </w:tc>
        <w:tc>
          <w:tcPr>
            <w:tcW w:w="0" w:type="auto"/>
            <w:vAlign w:val="center"/>
            <w:hideMark/>
          </w:tcPr>
          <w:p w14:paraId="4417D291" w14:textId="77777777" w:rsidR="006A2592" w:rsidRPr="00EF1C60" w:rsidRDefault="006A2592" w:rsidP="00EF1C60">
            <w:pPr>
              <w:pStyle w:val="Paragraph"/>
              <w:tabs>
                <w:tab w:val="left" w:pos="3545"/>
              </w:tabs>
              <w:jc w:val="center"/>
              <w:rPr>
                <w:iCs/>
                <w:lang w:val="en-MY"/>
              </w:rPr>
            </w:pPr>
            <w:r w:rsidRPr="00EF1C60">
              <w:rPr>
                <w:iCs/>
                <w:lang w:val="en-MY"/>
              </w:rPr>
              <w:t>–0.19</w:t>
            </w:r>
          </w:p>
        </w:tc>
        <w:tc>
          <w:tcPr>
            <w:tcW w:w="0" w:type="auto"/>
            <w:vAlign w:val="center"/>
            <w:hideMark/>
          </w:tcPr>
          <w:p w14:paraId="60F5D539" w14:textId="77777777" w:rsidR="006A2592" w:rsidRPr="00EF1C60" w:rsidRDefault="006A2592" w:rsidP="00EF1C60">
            <w:pPr>
              <w:pStyle w:val="Paragraph"/>
              <w:tabs>
                <w:tab w:val="left" w:pos="3545"/>
              </w:tabs>
              <w:jc w:val="center"/>
              <w:rPr>
                <w:iCs/>
                <w:lang w:val="en-MY"/>
              </w:rPr>
            </w:pPr>
            <w:r w:rsidRPr="00EF1C60">
              <w:rPr>
                <w:iCs/>
                <w:lang w:val="en-MY"/>
              </w:rPr>
              <w:t>–0.34</w:t>
            </w:r>
          </w:p>
        </w:tc>
      </w:tr>
      <w:tr w:rsidR="006A2592" w:rsidRPr="00EF1C60" w14:paraId="43DC9A4A" w14:textId="77777777" w:rsidTr="00EF1C60">
        <w:trPr>
          <w:tblCellSpacing w:w="15" w:type="dxa"/>
        </w:trPr>
        <w:tc>
          <w:tcPr>
            <w:tcW w:w="2223" w:type="dxa"/>
            <w:vAlign w:val="center"/>
            <w:hideMark/>
          </w:tcPr>
          <w:p w14:paraId="2A886C13" w14:textId="77777777" w:rsidR="006A2592" w:rsidRPr="00EF1C60" w:rsidRDefault="006A2592" w:rsidP="006A2592">
            <w:pPr>
              <w:pStyle w:val="Paragraph"/>
              <w:tabs>
                <w:tab w:val="left" w:pos="3545"/>
              </w:tabs>
              <w:rPr>
                <w:iCs/>
                <w:lang w:val="en-MY"/>
              </w:rPr>
            </w:pPr>
            <w:r w:rsidRPr="00EF1C60">
              <w:rPr>
                <w:iCs/>
                <w:lang w:val="en-MY"/>
              </w:rPr>
              <w:t>Log GDP</w:t>
            </w:r>
          </w:p>
        </w:tc>
        <w:tc>
          <w:tcPr>
            <w:tcW w:w="1530" w:type="dxa"/>
            <w:vAlign w:val="center"/>
            <w:hideMark/>
          </w:tcPr>
          <w:p w14:paraId="4EA6DB09" w14:textId="77777777" w:rsidR="006A2592" w:rsidRPr="00EF1C60" w:rsidRDefault="006A2592" w:rsidP="00EF1C60">
            <w:pPr>
              <w:pStyle w:val="Paragraph"/>
              <w:tabs>
                <w:tab w:val="left" w:pos="3545"/>
              </w:tabs>
              <w:jc w:val="center"/>
              <w:rPr>
                <w:iCs/>
                <w:lang w:val="en-MY"/>
              </w:rPr>
            </w:pPr>
            <w:r w:rsidRPr="00EF1C60">
              <w:rPr>
                <w:iCs/>
                <w:lang w:val="en-MY"/>
              </w:rPr>
              <w:t>–0.98</w:t>
            </w:r>
          </w:p>
        </w:tc>
        <w:tc>
          <w:tcPr>
            <w:tcW w:w="0" w:type="auto"/>
            <w:vAlign w:val="center"/>
            <w:hideMark/>
          </w:tcPr>
          <w:p w14:paraId="722DC2B5" w14:textId="77777777" w:rsidR="006A2592" w:rsidRPr="00EF1C60" w:rsidRDefault="006A2592" w:rsidP="00EF1C60">
            <w:pPr>
              <w:pStyle w:val="Paragraph"/>
              <w:tabs>
                <w:tab w:val="left" w:pos="3545"/>
              </w:tabs>
              <w:jc w:val="center"/>
              <w:rPr>
                <w:iCs/>
                <w:lang w:val="en-MY"/>
              </w:rPr>
            </w:pPr>
            <w:r w:rsidRPr="00EF1C60">
              <w:rPr>
                <w:iCs/>
                <w:lang w:val="en-MY"/>
              </w:rPr>
              <w:t>–0.22</w:t>
            </w:r>
          </w:p>
        </w:tc>
        <w:tc>
          <w:tcPr>
            <w:tcW w:w="1149" w:type="dxa"/>
            <w:vAlign w:val="center"/>
            <w:hideMark/>
          </w:tcPr>
          <w:p w14:paraId="60937CCF" w14:textId="77777777" w:rsidR="006A2592" w:rsidRPr="00EF1C60" w:rsidRDefault="006A2592" w:rsidP="00EF1C60">
            <w:pPr>
              <w:pStyle w:val="Paragraph"/>
              <w:tabs>
                <w:tab w:val="left" w:pos="3545"/>
              </w:tabs>
              <w:jc w:val="center"/>
              <w:rPr>
                <w:iCs/>
                <w:lang w:val="en-MY"/>
              </w:rPr>
            </w:pPr>
            <w:r w:rsidRPr="00EF1C60">
              <w:rPr>
                <w:iCs/>
                <w:lang w:val="en-MY"/>
              </w:rPr>
              <w:t>1.00</w:t>
            </w:r>
          </w:p>
        </w:tc>
        <w:tc>
          <w:tcPr>
            <w:tcW w:w="0" w:type="auto"/>
            <w:vAlign w:val="center"/>
            <w:hideMark/>
          </w:tcPr>
          <w:p w14:paraId="1527F023" w14:textId="77777777" w:rsidR="006A2592" w:rsidRPr="00EF1C60" w:rsidRDefault="006A2592" w:rsidP="00EF1C60">
            <w:pPr>
              <w:pStyle w:val="Paragraph"/>
              <w:tabs>
                <w:tab w:val="left" w:pos="3545"/>
              </w:tabs>
              <w:jc w:val="center"/>
              <w:rPr>
                <w:iCs/>
                <w:lang w:val="en-MY"/>
              </w:rPr>
            </w:pPr>
            <w:r w:rsidRPr="00EF1C60">
              <w:rPr>
                <w:iCs/>
                <w:lang w:val="en-MY"/>
              </w:rPr>
              <w:t>–0.68</w:t>
            </w:r>
          </w:p>
        </w:tc>
        <w:tc>
          <w:tcPr>
            <w:tcW w:w="0" w:type="auto"/>
            <w:vAlign w:val="center"/>
            <w:hideMark/>
          </w:tcPr>
          <w:p w14:paraId="38342783" w14:textId="77777777" w:rsidR="006A2592" w:rsidRPr="00EF1C60" w:rsidRDefault="006A2592" w:rsidP="00EF1C60">
            <w:pPr>
              <w:pStyle w:val="Paragraph"/>
              <w:tabs>
                <w:tab w:val="left" w:pos="3545"/>
              </w:tabs>
              <w:jc w:val="center"/>
              <w:rPr>
                <w:iCs/>
                <w:lang w:val="en-MY"/>
              </w:rPr>
            </w:pPr>
            <w:r w:rsidRPr="00EF1C60">
              <w:rPr>
                <w:iCs/>
                <w:lang w:val="en-MY"/>
              </w:rPr>
              <w:t>–0.51</w:t>
            </w:r>
          </w:p>
        </w:tc>
      </w:tr>
      <w:tr w:rsidR="00EF1C60" w:rsidRPr="00EF1C60" w14:paraId="48DFA508" w14:textId="77777777" w:rsidTr="00EF1C60">
        <w:trPr>
          <w:tblCellSpacing w:w="15" w:type="dxa"/>
        </w:trPr>
        <w:tc>
          <w:tcPr>
            <w:tcW w:w="2223" w:type="dxa"/>
            <w:hideMark/>
          </w:tcPr>
          <w:p w14:paraId="0117F096" w14:textId="48BD8F4A" w:rsidR="00EF1C60" w:rsidRPr="00EF1C60" w:rsidRDefault="00EF1C60" w:rsidP="00EF1C60">
            <w:pPr>
              <w:pStyle w:val="Paragraph"/>
              <w:tabs>
                <w:tab w:val="left" w:pos="3545"/>
              </w:tabs>
              <w:rPr>
                <w:iCs/>
                <w:lang w:val="en-MY"/>
              </w:rPr>
            </w:pPr>
            <w:r w:rsidRPr="00EF1C60">
              <w:t>Female Unemployment</w:t>
            </w:r>
          </w:p>
        </w:tc>
        <w:tc>
          <w:tcPr>
            <w:tcW w:w="1530" w:type="dxa"/>
            <w:vAlign w:val="center"/>
            <w:hideMark/>
          </w:tcPr>
          <w:p w14:paraId="0E756CF5" w14:textId="77777777" w:rsidR="00EF1C60" w:rsidRPr="00EF1C60" w:rsidRDefault="00EF1C60" w:rsidP="00EF1C60">
            <w:pPr>
              <w:pStyle w:val="Paragraph"/>
              <w:tabs>
                <w:tab w:val="left" w:pos="3545"/>
              </w:tabs>
              <w:jc w:val="center"/>
              <w:rPr>
                <w:iCs/>
                <w:lang w:val="en-MY"/>
              </w:rPr>
            </w:pPr>
            <w:r w:rsidRPr="00EF1C60">
              <w:rPr>
                <w:iCs/>
                <w:lang w:val="en-MY"/>
              </w:rPr>
              <w:t>0.60</w:t>
            </w:r>
          </w:p>
        </w:tc>
        <w:tc>
          <w:tcPr>
            <w:tcW w:w="0" w:type="auto"/>
            <w:vAlign w:val="center"/>
            <w:hideMark/>
          </w:tcPr>
          <w:p w14:paraId="49E1AAE7" w14:textId="77777777" w:rsidR="00EF1C60" w:rsidRPr="00EF1C60" w:rsidRDefault="00EF1C60" w:rsidP="00EF1C60">
            <w:pPr>
              <w:pStyle w:val="Paragraph"/>
              <w:tabs>
                <w:tab w:val="left" w:pos="3545"/>
              </w:tabs>
              <w:jc w:val="center"/>
              <w:rPr>
                <w:iCs/>
                <w:lang w:val="en-MY"/>
              </w:rPr>
            </w:pPr>
            <w:r w:rsidRPr="00EF1C60">
              <w:rPr>
                <w:iCs/>
                <w:lang w:val="en-MY"/>
              </w:rPr>
              <w:t>–0.19</w:t>
            </w:r>
          </w:p>
        </w:tc>
        <w:tc>
          <w:tcPr>
            <w:tcW w:w="1149" w:type="dxa"/>
            <w:vAlign w:val="center"/>
            <w:hideMark/>
          </w:tcPr>
          <w:p w14:paraId="71663239" w14:textId="77777777" w:rsidR="00EF1C60" w:rsidRPr="00EF1C60" w:rsidRDefault="00EF1C60" w:rsidP="00EF1C60">
            <w:pPr>
              <w:pStyle w:val="Paragraph"/>
              <w:tabs>
                <w:tab w:val="left" w:pos="3545"/>
              </w:tabs>
              <w:jc w:val="center"/>
              <w:rPr>
                <w:iCs/>
                <w:lang w:val="en-MY"/>
              </w:rPr>
            </w:pPr>
            <w:r w:rsidRPr="00EF1C60">
              <w:rPr>
                <w:iCs/>
                <w:lang w:val="en-MY"/>
              </w:rPr>
              <w:t>–0.68</w:t>
            </w:r>
          </w:p>
        </w:tc>
        <w:tc>
          <w:tcPr>
            <w:tcW w:w="0" w:type="auto"/>
            <w:vAlign w:val="center"/>
            <w:hideMark/>
          </w:tcPr>
          <w:p w14:paraId="78A1B62E" w14:textId="77777777" w:rsidR="00EF1C60" w:rsidRPr="00EF1C60" w:rsidRDefault="00EF1C60" w:rsidP="00EF1C60">
            <w:pPr>
              <w:pStyle w:val="Paragraph"/>
              <w:tabs>
                <w:tab w:val="left" w:pos="3545"/>
              </w:tabs>
              <w:jc w:val="center"/>
              <w:rPr>
                <w:iCs/>
                <w:lang w:val="en-MY"/>
              </w:rPr>
            </w:pPr>
            <w:r w:rsidRPr="00EF1C60">
              <w:rPr>
                <w:iCs/>
                <w:lang w:val="en-MY"/>
              </w:rPr>
              <w:t>1.00</w:t>
            </w:r>
          </w:p>
        </w:tc>
        <w:tc>
          <w:tcPr>
            <w:tcW w:w="0" w:type="auto"/>
            <w:vAlign w:val="center"/>
            <w:hideMark/>
          </w:tcPr>
          <w:p w14:paraId="6ED6FE1E" w14:textId="77777777" w:rsidR="00EF1C60" w:rsidRPr="00EF1C60" w:rsidRDefault="00EF1C60" w:rsidP="00EF1C60">
            <w:pPr>
              <w:pStyle w:val="Paragraph"/>
              <w:tabs>
                <w:tab w:val="left" w:pos="3545"/>
              </w:tabs>
              <w:jc w:val="center"/>
              <w:rPr>
                <w:iCs/>
                <w:lang w:val="en-MY"/>
              </w:rPr>
            </w:pPr>
            <w:r w:rsidRPr="00EF1C60">
              <w:rPr>
                <w:iCs/>
                <w:lang w:val="en-MY"/>
              </w:rPr>
              <w:t>0.94</w:t>
            </w:r>
          </w:p>
        </w:tc>
      </w:tr>
      <w:tr w:rsidR="00EF1C60" w:rsidRPr="00EF1C60" w14:paraId="194A53CF" w14:textId="77777777" w:rsidTr="00EF1C60">
        <w:trPr>
          <w:tblCellSpacing w:w="15" w:type="dxa"/>
        </w:trPr>
        <w:tc>
          <w:tcPr>
            <w:tcW w:w="2223" w:type="dxa"/>
            <w:tcBorders>
              <w:bottom w:val="single" w:sz="4" w:space="0" w:color="auto"/>
            </w:tcBorders>
            <w:hideMark/>
          </w:tcPr>
          <w:p w14:paraId="46CAFF8B" w14:textId="3F4234A2" w:rsidR="00EF1C60" w:rsidRPr="00EF1C60" w:rsidRDefault="00EF1C60" w:rsidP="00EF1C60">
            <w:pPr>
              <w:pStyle w:val="Paragraph"/>
              <w:tabs>
                <w:tab w:val="left" w:pos="3545"/>
              </w:tabs>
              <w:rPr>
                <w:iCs/>
                <w:lang w:val="en-MY"/>
              </w:rPr>
            </w:pPr>
            <w:r w:rsidRPr="00EF1C60">
              <w:t>Male Unemployment</w:t>
            </w:r>
          </w:p>
        </w:tc>
        <w:tc>
          <w:tcPr>
            <w:tcW w:w="1530" w:type="dxa"/>
            <w:tcBorders>
              <w:bottom w:val="single" w:sz="4" w:space="0" w:color="auto"/>
            </w:tcBorders>
            <w:vAlign w:val="center"/>
            <w:hideMark/>
          </w:tcPr>
          <w:p w14:paraId="74BA56F4" w14:textId="77777777" w:rsidR="00EF1C60" w:rsidRPr="00EF1C60" w:rsidRDefault="00EF1C60" w:rsidP="00EF1C60">
            <w:pPr>
              <w:pStyle w:val="Paragraph"/>
              <w:tabs>
                <w:tab w:val="left" w:pos="3545"/>
              </w:tabs>
              <w:jc w:val="center"/>
              <w:rPr>
                <w:iCs/>
                <w:lang w:val="en-MY"/>
              </w:rPr>
            </w:pPr>
            <w:r w:rsidRPr="00EF1C60">
              <w:rPr>
                <w:iCs/>
                <w:lang w:val="en-MY"/>
              </w:rPr>
              <w:t>0.41</w:t>
            </w:r>
          </w:p>
        </w:tc>
        <w:tc>
          <w:tcPr>
            <w:tcW w:w="0" w:type="auto"/>
            <w:tcBorders>
              <w:bottom w:val="single" w:sz="4" w:space="0" w:color="auto"/>
            </w:tcBorders>
            <w:vAlign w:val="center"/>
            <w:hideMark/>
          </w:tcPr>
          <w:p w14:paraId="2BA6B837" w14:textId="77777777" w:rsidR="00EF1C60" w:rsidRPr="00EF1C60" w:rsidRDefault="00EF1C60" w:rsidP="00EF1C60">
            <w:pPr>
              <w:pStyle w:val="Paragraph"/>
              <w:tabs>
                <w:tab w:val="left" w:pos="3545"/>
              </w:tabs>
              <w:jc w:val="center"/>
              <w:rPr>
                <w:iCs/>
                <w:lang w:val="en-MY"/>
              </w:rPr>
            </w:pPr>
            <w:r w:rsidRPr="00EF1C60">
              <w:rPr>
                <w:iCs/>
                <w:lang w:val="en-MY"/>
              </w:rPr>
              <w:t>–0.34</w:t>
            </w:r>
          </w:p>
        </w:tc>
        <w:tc>
          <w:tcPr>
            <w:tcW w:w="1149" w:type="dxa"/>
            <w:tcBorders>
              <w:bottom w:val="single" w:sz="4" w:space="0" w:color="auto"/>
            </w:tcBorders>
            <w:vAlign w:val="center"/>
            <w:hideMark/>
          </w:tcPr>
          <w:p w14:paraId="35F5ED46" w14:textId="77777777" w:rsidR="00EF1C60" w:rsidRPr="00EF1C60" w:rsidRDefault="00EF1C60" w:rsidP="00EF1C60">
            <w:pPr>
              <w:pStyle w:val="Paragraph"/>
              <w:tabs>
                <w:tab w:val="left" w:pos="3545"/>
              </w:tabs>
              <w:jc w:val="center"/>
              <w:rPr>
                <w:iCs/>
                <w:lang w:val="en-MY"/>
              </w:rPr>
            </w:pPr>
            <w:r w:rsidRPr="00EF1C60">
              <w:rPr>
                <w:iCs/>
                <w:lang w:val="en-MY"/>
              </w:rPr>
              <w:t>–0.51</w:t>
            </w:r>
          </w:p>
        </w:tc>
        <w:tc>
          <w:tcPr>
            <w:tcW w:w="0" w:type="auto"/>
            <w:tcBorders>
              <w:bottom w:val="single" w:sz="4" w:space="0" w:color="auto"/>
            </w:tcBorders>
            <w:vAlign w:val="center"/>
            <w:hideMark/>
          </w:tcPr>
          <w:p w14:paraId="369C615C" w14:textId="77777777" w:rsidR="00EF1C60" w:rsidRPr="00EF1C60" w:rsidRDefault="00EF1C60" w:rsidP="00EF1C60">
            <w:pPr>
              <w:pStyle w:val="Paragraph"/>
              <w:tabs>
                <w:tab w:val="left" w:pos="3545"/>
              </w:tabs>
              <w:jc w:val="center"/>
              <w:rPr>
                <w:iCs/>
                <w:lang w:val="en-MY"/>
              </w:rPr>
            </w:pPr>
            <w:r w:rsidRPr="00EF1C60">
              <w:rPr>
                <w:iCs/>
                <w:lang w:val="en-MY"/>
              </w:rPr>
              <w:t>0.94</w:t>
            </w:r>
          </w:p>
        </w:tc>
        <w:tc>
          <w:tcPr>
            <w:tcW w:w="0" w:type="auto"/>
            <w:tcBorders>
              <w:bottom w:val="single" w:sz="4" w:space="0" w:color="auto"/>
            </w:tcBorders>
            <w:vAlign w:val="center"/>
            <w:hideMark/>
          </w:tcPr>
          <w:p w14:paraId="284FD27A" w14:textId="77777777" w:rsidR="00EF1C60" w:rsidRPr="00EF1C60" w:rsidRDefault="00EF1C60" w:rsidP="00EF1C60">
            <w:pPr>
              <w:pStyle w:val="Paragraph"/>
              <w:tabs>
                <w:tab w:val="left" w:pos="3545"/>
              </w:tabs>
              <w:jc w:val="center"/>
              <w:rPr>
                <w:iCs/>
                <w:lang w:val="en-MY"/>
              </w:rPr>
            </w:pPr>
            <w:r w:rsidRPr="00EF1C60">
              <w:rPr>
                <w:iCs/>
                <w:lang w:val="en-MY"/>
              </w:rPr>
              <w:t>1.00</w:t>
            </w:r>
          </w:p>
        </w:tc>
      </w:tr>
    </w:tbl>
    <w:p w14:paraId="41D16AC8" w14:textId="77777777" w:rsidR="00E5740D" w:rsidRDefault="00E5740D" w:rsidP="00E57A3F">
      <w:pPr>
        <w:pStyle w:val="Paragraph"/>
      </w:pPr>
    </w:p>
    <w:p w14:paraId="6B4AC05D" w14:textId="143B4BA3" w:rsidR="00E57A3F" w:rsidRDefault="00E57A3F" w:rsidP="00E57A3F">
      <w:pPr>
        <w:pStyle w:val="Paragraph"/>
      </w:pPr>
      <w:r w:rsidRPr="00265139">
        <w:lastRenderedPageBreak/>
        <w:t xml:space="preserve">Table </w:t>
      </w:r>
      <w:r w:rsidR="00977DB4">
        <w:t>3</w:t>
      </w:r>
      <w:r w:rsidRPr="00265139">
        <w:t xml:space="preserve"> shows the VIF values for each variable. Among </w:t>
      </w:r>
      <w:r w:rsidR="00A7549A" w:rsidRPr="00265139">
        <w:t>all</w:t>
      </w:r>
      <w:r w:rsidRPr="00265139">
        <w:t xml:space="preserve"> the variables, female unemployment and male unemployment show a high VIF value of 18.264 and 14.363</w:t>
      </w:r>
      <w:r w:rsidR="00311B30">
        <w:t>, respectively.</w:t>
      </w:r>
      <w:r w:rsidRPr="00265139">
        <w:t xml:space="preserve"> While the VIF value for the inflation rate is 1.494 and 2.926 for log GDP. From the result</w:t>
      </w:r>
      <w:r w:rsidR="00184E59">
        <w:t xml:space="preserve">s, </w:t>
      </w:r>
      <w:r w:rsidRPr="00265139">
        <w:t xml:space="preserve">female unemployment and male unemployment have a VIF value that is greater than </w:t>
      </w:r>
      <w:r w:rsidR="00311B30">
        <w:t>10,</w:t>
      </w:r>
      <w:r w:rsidRPr="00265139">
        <w:t xml:space="preserve"> indicating a strong correlation between the two variables. </w:t>
      </w:r>
      <w:r w:rsidR="00C13F7A">
        <w:t>Thus</w:t>
      </w:r>
      <w:r w:rsidRPr="00265139">
        <w:t xml:space="preserve">, there is a multicollinearity problem </w:t>
      </w:r>
      <w:r w:rsidR="00C13F7A" w:rsidRPr="00265139">
        <w:t>with</w:t>
      </w:r>
      <w:r w:rsidRPr="00265139">
        <w:t xml:space="preserve"> this data.</w:t>
      </w:r>
    </w:p>
    <w:p w14:paraId="2DC29FF4" w14:textId="1EBC686E" w:rsidR="00E57A3F" w:rsidRDefault="00A91BA2" w:rsidP="005026C9">
      <w:pPr>
        <w:pStyle w:val="TableCaption"/>
        <w:spacing w:after="240"/>
      </w:pPr>
      <w:bookmarkStart w:id="9" w:name="_bookmark54"/>
      <w:bookmarkEnd w:id="9"/>
      <w:r w:rsidRPr="00A63F35">
        <w:rPr>
          <w:b/>
          <w:bCs/>
        </w:rPr>
        <w:t>TABLE</w:t>
      </w:r>
      <w:r>
        <w:rPr>
          <w:b/>
          <w:bCs/>
        </w:rPr>
        <w:t xml:space="preserve"> 3</w:t>
      </w:r>
      <w:r>
        <w:t>.</w:t>
      </w:r>
      <w:r w:rsidR="00E57A3F" w:rsidRPr="00265139">
        <w:t xml:space="preserve"> VIF value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9"/>
        <w:gridCol w:w="1066"/>
      </w:tblGrid>
      <w:tr w:rsidR="00554383" w:rsidRPr="00A564E1" w14:paraId="7671CF46" w14:textId="77777777" w:rsidTr="00554383">
        <w:trPr>
          <w:jc w:val="center"/>
        </w:trPr>
        <w:tc>
          <w:tcPr>
            <w:tcW w:w="0" w:type="auto"/>
            <w:tcBorders>
              <w:top w:val="single" w:sz="4" w:space="0" w:color="auto"/>
              <w:bottom w:val="single" w:sz="4" w:space="0" w:color="auto"/>
            </w:tcBorders>
          </w:tcPr>
          <w:p w14:paraId="2726D272" w14:textId="023E9076" w:rsidR="00554383" w:rsidRPr="00A564E1" w:rsidRDefault="00554383" w:rsidP="00FA4D72">
            <w:pPr>
              <w:pStyle w:val="TableCaption"/>
              <w:spacing w:before="0"/>
              <w:rPr>
                <w:b/>
                <w:bCs/>
                <w:sz w:val="20"/>
                <w:szCs w:val="20"/>
              </w:rPr>
            </w:pPr>
            <w:r w:rsidRPr="00A564E1">
              <w:rPr>
                <w:b/>
                <w:bCs/>
                <w:sz w:val="20"/>
                <w:szCs w:val="20"/>
              </w:rPr>
              <w:t>Variable</w:t>
            </w:r>
          </w:p>
        </w:tc>
        <w:tc>
          <w:tcPr>
            <w:tcW w:w="0" w:type="auto"/>
            <w:tcBorders>
              <w:top w:val="single" w:sz="4" w:space="0" w:color="auto"/>
              <w:bottom w:val="single" w:sz="4" w:space="0" w:color="auto"/>
            </w:tcBorders>
          </w:tcPr>
          <w:p w14:paraId="17641B23" w14:textId="29BBA03D" w:rsidR="00554383" w:rsidRPr="00A564E1" w:rsidRDefault="00554383" w:rsidP="00FA4D72">
            <w:pPr>
              <w:pStyle w:val="TableCaption"/>
              <w:spacing w:before="0"/>
              <w:rPr>
                <w:b/>
                <w:bCs/>
                <w:sz w:val="20"/>
                <w:szCs w:val="20"/>
              </w:rPr>
            </w:pPr>
            <w:r w:rsidRPr="00A564E1">
              <w:rPr>
                <w:b/>
                <w:bCs/>
                <w:sz w:val="20"/>
                <w:szCs w:val="20"/>
              </w:rPr>
              <w:t>VIF value</w:t>
            </w:r>
          </w:p>
        </w:tc>
      </w:tr>
      <w:tr w:rsidR="00554383" w:rsidRPr="00A564E1" w14:paraId="78C7EF6A" w14:textId="77777777" w:rsidTr="00554383">
        <w:trPr>
          <w:jc w:val="center"/>
        </w:trPr>
        <w:tc>
          <w:tcPr>
            <w:tcW w:w="0" w:type="auto"/>
            <w:tcBorders>
              <w:top w:val="single" w:sz="4" w:space="0" w:color="auto"/>
            </w:tcBorders>
          </w:tcPr>
          <w:p w14:paraId="0729AE2A" w14:textId="1DFF09D9" w:rsidR="00554383" w:rsidRPr="00A564E1" w:rsidRDefault="00554383" w:rsidP="00FA4D72">
            <w:pPr>
              <w:pStyle w:val="TableCaption"/>
              <w:spacing w:before="0"/>
              <w:jc w:val="left"/>
              <w:rPr>
                <w:sz w:val="20"/>
                <w:szCs w:val="20"/>
              </w:rPr>
            </w:pPr>
            <w:r w:rsidRPr="00A564E1">
              <w:rPr>
                <w:sz w:val="20"/>
                <w:szCs w:val="20"/>
              </w:rPr>
              <w:t>Inflation Rate</w:t>
            </w:r>
          </w:p>
        </w:tc>
        <w:tc>
          <w:tcPr>
            <w:tcW w:w="0" w:type="auto"/>
            <w:tcBorders>
              <w:top w:val="single" w:sz="4" w:space="0" w:color="auto"/>
            </w:tcBorders>
          </w:tcPr>
          <w:p w14:paraId="650B2CF0" w14:textId="5C297A76" w:rsidR="00554383" w:rsidRPr="00A564E1" w:rsidRDefault="00554383" w:rsidP="00FA4D72">
            <w:pPr>
              <w:pStyle w:val="TableCaption"/>
              <w:spacing w:before="0"/>
              <w:rPr>
                <w:sz w:val="20"/>
                <w:szCs w:val="20"/>
              </w:rPr>
            </w:pPr>
            <w:r w:rsidRPr="00A564E1">
              <w:rPr>
                <w:sz w:val="20"/>
                <w:szCs w:val="20"/>
              </w:rPr>
              <w:t>1.494</w:t>
            </w:r>
          </w:p>
        </w:tc>
      </w:tr>
      <w:tr w:rsidR="00554383" w:rsidRPr="00A564E1" w14:paraId="04DD61AE" w14:textId="77777777" w:rsidTr="00554383">
        <w:trPr>
          <w:jc w:val="center"/>
        </w:trPr>
        <w:tc>
          <w:tcPr>
            <w:tcW w:w="0" w:type="auto"/>
          </w:tcPr>
          <w:p w14:paraId="2938BBDB" w14:textId="3E4BD649" w:rsidR="00554383" w:rsidRPr="00A564E1" w:rsidRDefault="00554383" w:rsidP="00FA4D72">
            <w:pPr>
              <w:pStyle w:val="TableCaption"/>
              <w:spacing w:before="0"/>
              <w:jc w:val="left"/>
              <w:rPr>
                <w:sz w:val="20"/>
                <w:szCs w:val="20"/>
              </w:rPr>
            </w:pPr>
            <w:r w:rsidRPr="00A564E1">
              <w:rPr>
                <w:sz w:val="20"/>
                <w:szCs w:val="20"/>
              </w:rPr>
              <w:t>Log GDP</w:t>
            </w:r>
          </w:p>
        </w:tc>
        <w:tc>
          <w:tcPr>
            <w:tcW w:w="0" w:type="auto"/>
          </w:tcPr>
          <w:p w14:paraId="008B8E43" w14:textId="7E688B0D" w:rsidR="00554383" w:rsidRPr="00A564E1" w:rsidRDefault="00554383" w:rsidP="00FA4D72">
            <w:pPr>
              <w:pStyle w:val="TableCaption"/>
              <w:spacing w:before="0"/>
              <w:rPr>
                <w:sz w:val="20"/>
                <w:szCs w:val="20"/>
              </w:rPr>
            </w:pPr>
            <w:r w:rsidRPr="00A564E1">
              <w:rPr>
                <w:sz w:val="20"/>
                <w:szCs w:val="20"/>
              </w:rPr>
              <w:t>2.926</w:t>
            </w:r>
          </w:p>
        </w:tc>
      </w:tr>
      <w:tr w:rsidR="00554383" w:rsidRPr="00A564E1" w14:paraId="1D1D2A60" w14:textId="77777777" w:rsidTr="00554383">
        <w:trPr>
          <w:jc w:val="center"/>
        </w:trPr>
        <w:tc>
          <w:tcPr>
            <w:tcW w:w="0" w:type="auto"/>
          </w:tcPr>
          <w:p w14:paraId="3BF912AD" w14:textId="0BAB7E71" w:rsidR="00554383" w:rsidRPr="00A564E1" w:rsidRDefault="00554383" w:rsidP="00FA4D72">
            <w:pPr>
              <w:pStyle w:val="TableCaption"/>
              <w:spacing w:before="0"/>
              <w:jc w:val="left"/>
              <w:rPr>
                <w:sz w:val="20"/>
                <w:szCs w:val="20"/>
              </w:rPr>
            </w:pPr>
            <w:r w:rsidRPr="00A564E1">
              <w:rPr>
                <w:sz w:val="20"/>
                <w:szCs w:val="20"/>
              </w:rPr>
              <w:t>Female Unemployment</w:t>
            </w:r>
          </w:p>
        </w:tc>
        <w:tc>
          <w:tcPr>
            <w:tcW w:w="0" w:type="auto"/>
          </w:tcPr>
          <w:p w14:paraId="5D4E3A3D" w14:textId="4D1E6D52" w:rsidR="00554383" w:rsidRPr="00A564E1" w:rsidRDefault="00554383" w:rsidP="00FA4D72">
            <w:pPr>
              <w:pStyle w:val="TableCaption"/>
              <w:spacing w:before="0"/>
              <w:rPr>
                <w:sz w:val="20"/>
                <w:szCs w:val="20"/>
              </w:rPr>
            </w:pPr>
            <w:r w:rsidRPr="00A564E1">
              <w:rPr>
                <w:sz w:val="20"/>
                <w:szCs w:val="20"/>
              </w:rPr>
              <w:t>14.363</w:t>
            </w:r>
          </w:p>
        </w:tc>
      </w:tr>
      <w:tr w:rsidR="00554383" w:rsidRPr="00A564E1" w14:paraId="552CD2FA" w14:textId="77777777" w:rsidTr="00554383">
        <w:trPr>
          <w:jc w:val="center"/>
        </w:trPr>
        <w:tc>
          <w:tcPr>
            <w:tcW w:w="0" w:type="auto"/>
            <w:tcBorders>
              <w:bottom w:val="single" w:sz="4" w:space="0" w:color="auto"/>
            </w:tcBorders>
          </w:tcPr>
          <w:p w14:paraId="02EF7427" w14:textId="2354CC71" w:rsidR="00554383" w:rsidRPr="00A564E1" w:rsidRDefault="00554383" w:rsidP="00FA4D72">
            <w:pPr>
              <w:pStyle w:val="TableCaption"/>
              <w:spacing w:before="0"/>
              <w:jc w:val="left"/>
              <w:rPr>
                <w:sz w:val="20"/>
                <w:szCs w:val="20"/>
              </w:rPr>
            </w:pPr>
            <w:r w:rsidRPr="00A564E1">
              <w:rPr>
                <w:sz w:val="20"/>
                <w:szCs w:val="20"/>
              </w:rPr>
              <w:t>Male Unemployment</w:t>
            </w:r>
          </w:p>
        </w:tc>
        <w:tc>
          <w:tcPr>
            <w:tcW w:w="0" w:type="auto"/>
            <w:tcBorders>
              <w:bottom w:val="single" w:sz="4" w:space="0" w:color="auto"/>
            </w:tcBorders>
          </w:tcPr>
          <w:p w14:paraId="3747B663" w14:textId="0733C2E0" w:rsidR="00554383" w:rsidRPr="00A564E1" w:rsidRDefault="00554383" w:rsidP="00FA4D72">
            <w:pPr>
              <w:pStyle w:val="TableCaption"/>
              <w:spacing w:before="0"/>
              <w:rPr>
                <w:sz w:val="20"/>
                <w:szCs w:val="20"/>
              </w:rPr>
            </w:pPr>
            <w:r w:rsidRPr="00A564E1">
              <w:rPr>
                <w:sz w:val="20"/>
                <w:szCs w:val="20"/>
              </w:rPr>
              <w:t>18.264</w:t>
            </w:r>
          </w:p>
        </w:tc>
      </w:tr>
    </w:tbl>
    <w:p w14:paraId="1CC70132" w14:textId="77777777" w:rsidR="00BB11E2" w:rsidRPr="00265139" w:rsidRDefault="00BB11E2" w:rsidP="00043A32">
      <w:pPr>
        <w:pStyle w:val="TableCaption"/>
      </w:pPr>
    </w:p>
    <w:p w14:paraId="1C4F70FE" w14:textId="59BD0823" w:rsidR="008162E5" w:rsidRDefault="00E57A3F" w:rsidP="00E57A3F">
      <w:pPr>
        <w:pStyle w:val="Paragraph"/>
      </w:pPr>
      <w:r w:rsidRPr="00265139">
        <w:t xml:space="preserve">To fix the multicollinearity problem in this </w:t>
      </w:r>
      <w:r w:rsidR="00311B30">
        <w:t>data,</w:t>
      </w:r>
      <w:r w:rsidRPr="00265139">
        <w:t xml:space="preserve"> the variable that has a higher VIF value is removed from the data. So, the male unemployment </w:t>
      </w:r>
      <w:r w:rsidR="00A92CD1">
        <w:t>i</w:t>
      </w:r>
      <w:r w:rsidRPr="00265139">
        <w:t xml:space="preserve">s removed from this data because the VIF </w:t>
      </w:r>
      <w:r w:rsidR="00311B30">
        <w:t>value of</w:t>
      </w:r>
      <w:r w:rsidRPr="00265139">
        <w:t xml:space="preserve"> the male unemployment is larger </w:t>
      </w:r>
      <w:r w:rsidR="00311B30">
        <w:t>compared</w:t>
      </w:r>
      <w:r w:rsidRPr="00265139">
        <w:t xml:space="preserve"> to the VIF value of the female unemployment.</w:t>
      </w:r>
      <w:r w:rsidR="009732E6">
        <w:t xml:space="preserve"> The</w:t>
      </w:r>
      <w:r w:rsidR="00A011AB">
        <w:t>n</w:t>
      </w:r>
      <w:r w:rsidR="009732E6">
        <w:t xml:space="preserve">, </w:t>
      </w:r>
      <w:r w:rsidR="0056650A">
        <w:t xml:space="preserve">the VIF values </w:t>
      </w:r>
      <w:r w:rsidR="00C13F7A">
        <w:t>a</w:t>
      </w:r>
      <w:r w:rsidR="0056650A">
        <w:t xml:space="preserve">re computed </w:t>
      </w:r>
      <w:r w:rsidR="000F6406">
        <w:t>again,</w:t>
      </w:r>
      <w:r w:rsidR="0056650A">
        <w:t xml:space="preserve"> and the results are shown in Table 4.</w:t>
      </w:r>
    </w:p>
    <w:p w14:paraId="5E8B89DA" w14:textId="77777777" w:rsidR="00A97E8F" w:rsidRPr="00265139" w:rsidRDefault="00A97E8F" w:rsidP="00E57A3F">
      <w:pPr>
        <w:pStyle w:val="Paragraph"/>
      </w:pPr>
    </w:p>
    <w:p w14:paraId="66B92839" w14:textId="27BDD371" w:rsidR="00E57A3F" w:rsidRDefault="00A91BA2" w:rsidP="005026C9">
      <w:pPr>
        <w:pStyle w:val="TableCaption"/>
        <w:spacing w:after="240"/>
      </w:pPr>
      <w:bookmarkStart w:id="10" w:name="_bookmark55"/>
      <w:bookmarkEnd w:id="10"/>
      <w:r w:rsidRPr="00A63F35">
        <w:rPr>
          <w:b/>
          <w:bCs/>
        </w:rPr>
        <w:t xml:space="preserve">TABLE </w:t>
      </w:r>
      <w:r>
        <w:rPr>
          <w:b/>
          <w:bCs/>
        </w:rPr>
        <w:t>4</w:t>
      </w:r>
      <w:r>
        <w:t>.</w:t>
      </w:r>
      <w:r w:rsidRPr="00265139">
        <w:t xml:space="preserve"> </w:t>
      </w:r>
      <w:r w:rsidR="00E57A3F" w:rsidRPr="00265139">
        <w:t>VIF Value Output (without male unemployment)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1066"/>
      </w:tblGrid>
      <w:tr w:rsidR="00555ADD" w:rsidRPr="00A564E1" w14:paraId="187FF08B" w14:textId="77777777" w:rsidTr="007B0F7B">
        <w:trPr>
          <w:jc w:val="center"/>
        </w:trPr>
        <w:tc>
          <w:tcPr>
            <w:tcW w:w="0" w:type="auto"/>
            <w:tcBorders>
              <w:top w:val="single" w:sz="4" w:space="0" w:color="auto"/>
              <w:bottom w:val="single" w:sz="4" w:space="0" w:color="auto"/>
            </w:tcBorders>
          </w:tcPr>
          <w:p w14:paraId="2451374E" w14:textId="67D38A08" w:rsidR="00555ADD" w:rsidRPr="00A564E1" w:rsidRDefault="00555ADD" w:rsidP="0008208D">
            <w:pPr>
              <w:pStyle w:val="TableCaption"/>
              <w:spacing w:before="0"/>
              <w:rPr>
                <w:b/>
                <w:bCs/>
                <w:sz w:val="20"/>
                <w:szCs w:val="20"/>
              </w:rPr>
            </w:pPr>
            <w:r w:rsidRPr="00A564E1">
              <w:rPr>
                <w:b/>
                <w:bCs/>
                <w:sz w:val="20"/>
                <w:szCs w:val="20"/>
              </w:rPr>
              <w:t>Variable</w:t>
            </w:r>
          </w:p>
        </w:tc>
        <w:tc>
          <w:tcPr>
            <w:tcW w:w="0" w:type="auto"/>
            <w:tcBorders>
              <w:top w:val="single" w:sz="4" w:space="0" w:color="auto"/>
              <w:bottom w:val="single" w:sz="4" w:space="0" w:color="auto"/>
            </w:tcBorders>
          </w:tcPr>
          <w:p w14:paraId="5AC37C2F" w14:textId="3963309F" w:rsidR="00555ADD" w:rsidRPr="00A564E1" w:rsidRDefault="00555ADD" w:rsidP="0008208D">
            <w:pPr>
              <w:pStyle w:val="TableCaption"/>
              <w:spacing w:before="0"/>
              <w:rPr>
                <w:b/>
                <w:bCs/>
                <w:sz w:val="20"/>
                <w:szCs w:val="20"/>
              </w:rPr>
            </w:pPr>
            <w:r w:rsidRPr="00A564E1">
              <w:rPr>
                <w:b/>
                <w:bCs/>
                <w:sz w:val="20"/>
                <w:szCs w:val="20"/>
              </w:rPr>
              <w:t>VIF value</w:t>
            </w:r>
          </w:p>
        </w:tc>
      </w:tr>
      <w:tr w:rsidR="00555ADD" w:rsidRPr="00A564E1" w14:paraId="3D442F28" w14:textId="77777777" w:rsidTr="007B0F7B">
        <w:trPr>
          <w:jc w:val="center"/>
        </w:trPr>
        <w:tc>
          <w:tcPr>
            <w:tcW w:w="0" w:type="auto"/>
            <w:tcBorders>
              <w:top w:val="single" w:sz="4" w:space="0" w:color="auto"/>
            </w:tcBorders>
          </w:tcPr>
          <w:p w14:paraId="7F3BB353" w14:textId="2D4D03D4" w:rsidR="00555ADD" w:rsidRPr="00A564E1" w:rsidRDefault="00555ADD" w:rsidP="0027206C">
            <w:pPr>
              <w:pStyle w:val="TableCaption"/>
              <w:spacing w:before="0"/>
              <w:jc w:val="left"/>
              <w:rPr>
                <w:sz w:val="20"/>
                <w:szCs w:val="20"/>
              </w:rPr>
            </w:pPr>
            <w:r w:rsidRPr="00A564E1">
              <w:rPr>
                <w:sz w:val="20"/>
                <w:szCs w:val="20"/>
              </w:rPr>
              <w:t>Inflation rate</w:t>
            </w:r>
          </w:p>
        </w:tc>
        <w:tc>
          <w:tcPr>
            <w:tcW w:w="0" w:type="auto"/>
            <w:tcBorders>
              <w:top w:val="single" w:sz="4" w:space="0" w:color="auto"/>
            </w:tcBorders>
          </w:tcPr>
          <w:p w14:paraId="305B6526" w14:textId="7E989B1A" w:rsidR="00555ADD" w:rsidRPr="00A564E1" w:rsidRDefault="00555ADD" w:rsidP="0008208D">
            <w:pPr>
              <w:pStyle w:val="TableCaption"/>
              <w:spacing w:before="0"/>
              <w:rPr>
                <w:sz w:val="20"/>
                <w:szCs w:val="20"/>
              </w:rPr>
            </w:pPr>
            <w:r w:rsidRPr="00A564E1">
              <w:rPr>
                <w:sz w:val="20"/>
                <w:szCs w:val="20"/>
              </w:rPr>
              <w:t>1.352</w:t>
            </w:r>
          </w:p>
        </w:tc>
      </w:tr>
      <w:tr w:rsidR="00555ADD" w:rsidRPr="00A564E1" w14:paraId="3E39EE66" w14:textId="77777777" w:rsidTr="007B0F7B">
        <w:trPr>
          <w:jc w:val="center"/>
        </w:trPr>
        <w:tc>
          <w:tcPr>
            <w:tcW w:w="0" w:type="auto"/>
          </w:tcPr>
          <w:p w14:paraId="7BD1EEE3" w14:textId="3F833266" w:rsidR="00555ADD" w:rsidRPr="00A564E1" w:rsidRDefault="00555ADD" w:rsidP="0027206C">
            <w:pPr>
              <w:pStyle w:val="TableCaption"/>
              <w:spacing w:before="0"/>
              <w:jc w:val="left"/>
              <w:rPr>
                <w:sz w:val="20"/>
                <w:szCs w:val="20"/>
              </w:rPr>
            </w:pPr>
            <w:r w:rsidRPr="00A564E1">
              <w:rPr>
                <w:sz w:val="20"/>
                <w:szCs w:val="20"/>
              </w:rPr>
              <w:t>Log GDP</w:t>
            </w:r>
          </w:p>
        </w:tc>
        <w:tc>
          <w:tcPr>
            <w:tcW w:w="0" w:type="auto"/>
          </w:tcPr>
          <w:p w14:paraId="3FC6871B" w14:textId="273159EF" w:rsidR="00555ADD" w:rsidRPr="00A564E1" w:rsidRDefault="00555ADD" w:rsidP="0008208D">
            <w:pPr>
              <w:pStyle w:val="TableCaption"/>
              <w:spacing w:before="0"/>
              <w:rPr>
                <w:sz w:val="20"/>
                <w:szCs w:val="20"/>
              </w:rPr>
            </w:pPr>
            <w:r w:rsidRPr="00A564E1">
              <w:rPr>
                <w:sz w:val="20"/>
                <w:szCs w:val="20"/>
              </w:rPr>
              <w:t>2.427</w:t>
            </w:r>
          </w:p>
        </w:tc>
      </w:tr>
      <w:tr w:rsidR="00555ADD" w:rsidRPr="00A564E1" w14:paraId="0F3138C3" w14:textId="77777777" w:rsidTr="007B0F7B">
        <w:trPr>
          <w:jc w:val="center"/>
        </w:trPr>
        <w:tc>
          <w:tcPr>
            <w:tcW w:w="0" w:type="auto"/>
            <w:tcBorders>
              <w:bottom w:val="single" w:sz="4" w:space="0" w:color="auto"/>
            </w:tcBorders>
          </w:tcPr>
          <w:p w14:paraId="4F7BA5DB" w14:textId="2B53E85D" w:rsidR="00555ADD" w:rsidRPr="00A564E1" w:rsidRDefault="00555ADD" w:rsidP="0027206C">
            <w:pPr>
              <w:pStyle w:val="TableCaption"/>
              <w:spacing w:before="0"/>
              <w:jc w:val="left"/>
              <w:rPr>
                <w:sz w:val="20"/>
                <w:szCs w:val="20"/>
              </w:rPr>
            </w:pPr>
            <w:r w:rsidRPr="00A564E1">
              <w:rPr>
                <w:sz w:val="20"/>
                <w:szCs w:val="20"/>
              </w:rPr>
              <w:t>Female unemployment</w:t>
            </w:r>
          </w:p>
        </w:tc>
        <w:tc>
          <w:tcPr>
            <w:tcW w:w="0" w:type="auto"/>
            <w:tcBorders>
              <w:bottom w:val="single" w:sz="4" w:space="0" w:color="auto"/>
            </w:tcBorders>
          </w:tcPr>
          <w:p w14:paraId="5596A47D" w14:textId="4D05F6A6" w:rsidR="00555ADD" w:rsidRPr="00A564E1" w:rsidRDefault="00555ADD" w:rsidP="0008208D">
            <w:pPr>
              <w:pStyle w:val="TableCaption"/>
              <w:spacing w:before="0"/>
              <w:rPr>
                <w:sz w:val="20"/>
                <w:szCs w:val="20"/>
              </w:rPr>
            </w:pPr>
            <w:r w:rsidRPr="00A564E1">
              <w:rPr>
                <w:sz w:val="20"/>
                <w:szCs w:val="20"/>
              </w:rPr>
              <w:t>2.400</w:t>
            </w:r>
          </w:p>
        </w:tc>
      </w:tr>
    </w:tbl>
    <w:p w14:paraId="198F0075" w14:textId="77777777" w:rsidR="00555ADD" w:rsidRPr="00265139" w:rsidRDefault="00555ADD" w:rsidP="00A63F35">
      <w:pPr>
        <w:pStyle w:val="TableCaption"/>
      </w:pPr>
    </w:p>
    <w:p w14:paraId="142010A0" w14:textId="065E03D3" w:rsidR="00E57A3F" w:rsidRDefault="00E57A3F" w:rsidP="000F6406">
      <w:pPr>
        <w:pStyle w:val="Paragraph"/>
      </w:pPr>
      <w:r w:rsidRPr="00265139">
        <w:t>The VIF value for the inflation rate, log GDP, and female unemployment is 1.352, 2.427, and</w:t>
      </w:r>
      <w:r w:rsidR="000F6406">
        <w:t xml:space="preserve"> </w:t>
      </w:r>
      <w:r w:rsidRPr="00265139">
        <w:t xml:space="preserve">2.4 </w:t>
      </w:r>
      <w:r w:rsidR="00414B1A">
        <w:t xml:space="preserve">respectively, </w:t>
      </w:r>
      <w:r w:rsidRPr="00265139">
        <w:t xml:space="preserve">which are all lower than 10. This indicates that </w:t>
      </w:r>
      <w:r w:rsidR="001B3C86" w:rsidRPr="00265139">
        <w:t>multicollinearity</w:t>
      </w:r>
      <w:r w:rsidRPr="00265139">
        <w:t xml:space="preserve"> is now absent in the data. Since there is no longer a multicollinearity problem in the </w:t>
      </w:r>
      <w:r w:rsidR="00414B1A">
        <w:t>data,</w:t>
      </w:r>
      <w:r w:rsidRPr="00265139">
        <w:t xml:space="preserve"> the second assumption has been fulfilled.</w:t>
      </w:r>
    </w:p>
    <w:p w14:paraId="4EEB76FC" w14:textId="2B66C432" w:rsidR="009D4489" w:rsidRDefault="009D4489" w:rsidP="009D4489">
      <w:pPr>
        <w:pStyle w:val="Heading2"/>
      </w:pPr>
      <w:r w:rsidRPr="00265139">
        <w:t xml:space="preserve">Multiple Linear Regression </w:t>
      </w:r>
    </w:p>
    <w:p w14:paraId="319A8FC5" w14:textId="4DAB6128" w:rsidR="009D4489" w:rsidRDefault="00A91BA2" w:rsidP="005026C9">
      <w:pPr>
        <w:pStyle w:val="TableCaption"/>
        <w:spacing w:after="240"/>
      </w:pPr>
      <w:bookmarkStart w:id="11" w:name="_bookmark59"/>
      <w:bookmarkStart w:id="12" w:name="_bookmark61"/>
      <w:bookmarkEnd w:id="11"/>
      <w:bookmarkEnd w:id="12"/>
      <w:r w:rsidRPr="00A91BA2">
        <w:rPr>
          <w:b/>
        </w:rPr>
        <w:t>TABLE 5</w:t>
      </w:r>
      <w:r>
        <w:rPr>
          <w:b/>
        </w:rPr>
        <w:t xml:space="preserve">. </w:t>
      </w:r>
      <w:r w:rsidR="00A40E8D">
        <w:t>Estimated Model</w:t>
      </w:r>
      <w:r w:rsidR="009D4489" w:rsidRPr="00265139">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63"/>
        <w:gridCol w:w="1976"/>
        <w:gridCol w:w="1505"/>
        <w:gridCol w:w="1162"/>
        <w:gridCol w:w="1234"/>
      </w:tblGrid>
      <w:tr w:rsidR="002C469A" w:rsidRPr="00C376DB" w14:paraId="52684BE2" w14:textId="77777777" w:rsidTr="00E835A7">
        <w:trPr>
          <w:tblHeader/>
          <w:tblCellSpacing w:w="15" w:type="dxa"/>
        </w:trPr>
        <w:tc>
          <w:tcPr>
            <w:tcW w:w="1573" w:type="pct"/>
            <w:tcBorders>
              <w:top w:val="single" w:sz="4" w:space="0" w:color="auto"/>
              <w:bottom w:val="single" w:sz="4" w:space="0" w:color="auto"/>
            </w:tcBorders>
            <w:vAlign w:val="center"/>
            <w:hideMark/>
          </w:tcPr>
          <w:p w14:paraId="1A80485E" w14:textId="77777777" w:rsidR="00C376DB" w:rsidRPr="00C376DB" w:rsidRDefault="00C376DB" w:rsidP="00C376DB">
            <w:pPr>
              <w:pStyle w:val="Paragraph"/>
              <w:rPr>
                <w:b/>
                <w:bCs/>
                <w:iCs/>
                <w:lang w:val="en-MY"/>
              </w:rPr>
            </w:pPr>
            <w:r w:rsidRPr="00C376DB">
              <w:rPr>
                <w:b/>
                <w:bCs/>
                <w:iCs/>
                <w:lang w:val="en-MY"/>
              </w:rPr>
              <w:t>Variable</w:t>
            </w:r>
          </w:p>
        </w:tc>
        <w:tc>
          <w:tcPr>
            <w:tcW w:w="1126" w:type="pct"/>
            <w:tcBorders>
              <w:top w:val="single" w:sz="4" w:space="0" w:color="auto"/>
              <w:bottom w:val="single" w:sz="4" w:space="0" w:color="auto"/>
            </w:tcBorders>
            <w:vAlign w:val="center"/>
            <w:hideMark/>
          </w:tcPr>
          <w:p w14:paraId="4664F359" w14:textId="07D08925" w:rsidR="00C376DB" w:rsidRPr="00C376DB" w:rsidRDefault="00C376DB" w:rsidP="00C376DB">
            <w:pPr>
              <w:pStyle w:val="Paragraph"/>
              <w:rPr>
                <w:b/>
                <w:bCs/>
                <w:iCs/>
                <w:lang w:val="en-MY"/>
              </w:rPr>
            </w:pPr>
            <w:r w:rsidRPr="00C376DB">
              <w:rPr>
                <w:b/>
                <w:bCs/>
                <w:iCs/>
                <w:lang w:val="en-MY"/>
              </w:rPr>
              <w:t>Coefficient</w:t>
            </w:r>
            <w:r w:rsidR="009808E1" w:rsidRPr="002C469A">
              <w:rPr>
                <w:b/>
                <w:bCs/>
                <w:iCs/>
                <w:lang w:val="en-MY"/>
              </w:rPr>
              <w:t xml:space="preserve"> </w:t>
            </w:r>
            <w:r w:rsidR="009808E1" w:rsidRPr="00407F4E">
              <w:rPr>
                <w:b/>
                <w:bCs/>
                <w:iCs/>
                <w:lang w:val="en-MY"/>
              </w:rPr>
              <w:t>(</w:t>
            </w:r>
            <w:r w:rsidR="009808E1" w:rsidRPr="00E835A7">
              <w:rPr>
                <w:b/>
                <w:bCs/>
                <w:i/>
                <w:lang w:val="en-MY"/>
              </w:rPr>
              <w:t>β</w:t>
            </w:r>
            <w:r w:rsidR="009808E1" w:rsidRPr="00407F4E">
              <w:rPr>
                <w:b/>
                <w:bCs/>
                <w:iCs/>
                <w:lang w:val="en-MY"/>
              </w:rPr>
              <w:t>)</w:t>
            </w:r>
          </w:p>
        </w:tc>
        <w:tc>
          <w:tcPr>
            <w:tcW w:w="854" w:type="pct"/>
            <w:tcBorders>
              <w:top w:val="single" w:sz="4" w:space="0" w:color="auto"/>
              <w:bottom w:val="single" w:sz="4" w:space="0" w:color="auto"/>
            </w:tcBorders>
            <w:vAlign w:val="center"/>
            <w:hideMark/>
          </w:tcPr>
          <w:p w14:paraId="29D875D3" w14:textId="77777777" w:rsidR="00C376DB" w:rsidRPr="00C376DB" w:rsidRDefault="00C376DB" w:rsidP="00C376DB">
            <w:pPr>
              <w:pStyle w:val="Paragraph"/>
              <w:rPr>
                <w:b/>
                <w:bCs/>
                <w:iCs/>
                <w:lang w:val="en-MY"/>
              </w:rPr>
            </w:pPr>
            <w:r w:rsidRPr="00C376DB">
              <w:rPr>
                <w:b/>
                <w:bCs/>
                <w:iCs/>
                <w:lang w:val="en-MY"/>
              </w:rPr>
              <w:t>Std. Error</w:t>
            </w:r>
          </w:p>
        </w:tc>
        <w:tc>
          <w:tcPr>
            <w:tcW w:w="655" w:type="pct"/>
            <w:tcBorders>
              <w:top w:val="single" w:sz="4" w:space="0" w:color="auto"/>
              <w:bottom w:val="single" w:sz="4" w:space="0" w:color="auto"/>
            </w:tcBorders>
            <w:vAlign w:val="center"/>
            <w:hideMark/>
          </w:tcPr>
          <w:p w14:paraId="702CE6FB" w14:textId="77777777" w:rsidR="00C376DB" w:rsidRPr="00C376DB" w:rsidRDefault="00C376DB" w:rsidP="00C376DB">
            <w:pPr>
              <w:pStyle w:val="Paragraph"/>
              <w:rPr>
                <w:b/>
                <w:bCs/>
                <w:iCs/>
                <w:lang w:val="en-MY"/>
              </w:rPr>
            </w:pPr>
            <w:r w:rsidRPr="00C376DB">
              <w:rPr>
                <w:b/>
                <w:bCs/>
                <w:iCs/>
                <w:lang w:val="en-MY"/>
              </w:rPr>
              <w:t>t-value</w:t>
            </w:r>
          </w:p>
        </w:tc>
        <w:tc>
          <w:tcPr>
            <w:tcW w:w="688" w:type="pct"/>
            <w:tcBorders>
              <w:top w:val="single" w:sz="4" w:space="0" w:color="auto"/>
              <w:bottom w:val="single" w:sz="4" w:space="0" w:color="auto"/>
            </w:tcBorders>
            <w:vAlign w:val="center"/>
            <w:hideMark/>
          </w:tcPr>
          <w:p w14:paraId="05A62865" w14:textId="77777777" w:rsidR="00C376DB" w:rsidRPr="00C376DB" w:rsidRDefault="00C376DB" w:rsidP="00C376DB">
            <w:pPr>
              <w:pStyle w:val="Paragraph"/>
              <w:rPr>
                <w:b/>
                <w:bCs/>
                <w:iCs/>
                <w:lang w:val="en-MY"/>
              </w:rPr>
            </w:pPr>
            <w:r w:rsidRPr="00C376DB">
              <w:rPr>
                <w:b/>
                <w:bCs/>
                <w:iCs/>
                <w:lang w:val="en-MY"/>
              </w:rPr>
              <w:t>p-value</w:t>
            </w:r>
          </w:p>
        </w:tc>
      </w:tr>
      <w:tr w:rsidR="00DF563D" w:rsidRPr="00C376DB" w14:paraId="6519E4B3" w14:textId="77777777" w:rsidTr="00D769D1">
        <w:trPr>
          <w:tblCellSpacing w:w="15" w:type="dxa"/>
        </w:trPr>
        <w:tc>
          <w:tcPr>
            <w:tcW w:w="1573" w:type="pct"/>
            <w:vAlign w:val="center"/>
            <w:hideMark/>
          </w:tcPr>
          <w:p w14:paraId="063408DA" w14:textId="6464B633" w:rsidR="00DF563D" w:rsidRPr="00C376DB" w:rsidRDefault="00DF563D" w:rsidP="00DF563D">
            <w:pPr>
              <w:pStyle w:val="Paragraph"/>
              <w:rPr>
                <w:iCs/>
                <w:lang w:val="en-MY"/>
              </w:rPr>
            </w:pPr>
            <w:r w:rsidRPr="00407F4E">
              <w:rPr>
                <w:iCs/>
                <w:lang w:val="en-MY"/>
              </w:rPr>
              <w:t xml:space="preserve">Constant </w:t>
            </w:r>
          </w:p>
        </w:tc>
        <w:tc>
          <w:tcPr>
            <w:tcW w:w="1126" w:type="pct"/>
            <w:hideMark/>
          </w:tcPr>
          <w:p w14:paraId="15444E51" w14:textId="626D5E8C" w:rsidR="00DF563D" w:rsidRPr="00C376DB" w:rsidRDefault="00DF563D" w:rsidP="00DF563D">
            <w:pPr>
              <w:pStyle w:val="Paragraph"/>
              <w:rPr>
                <w:iCs/>
                <w:lang w:val="en-MY"/>
              </w:rPr>
            </w:pPr>
            <w:r w:rsidRPr="002E29CA">
              <w:t>21.005</w:t>
            </w:r>
          </w:p>
        </w:tc>
        <w:tc>
          <w:tcPr>
            <w:tcW w:w="854" w:type="pct"/>
            <w:vAlign w:val="center"/>
            <w:hideMark/>
          </w:tcPr>
          <w:p w14:paraId="787D38F6" w14:textId="77777777" w:rsidR="00DF563D" w:rsidRPr="00C376DB" w:rsidRDefault="00DF563D" w:rsidP="00DF563D">
            <w:pPr>
              <w:pStyle w:val="Paragraph"/>
              <w:rPr>
                <w:iCs/>
                <w:lang w:val="en-MY"/>
              </w:rPr>
            </w:pPr>
            <w:r w:rsidRPr="00C376DB">
              <w:rPr>
                <w:iCs/>
                <w:lang w:val="en-MY"/>
              </w:rPr>
              <w:t>1.03</w:t>
            </w:r>
          </w:p>
        </w:tc>
        <w:tc>
          <w:tcPr>
            <w:tcW w:w="655" w:type="pct"/>
            <w:vAlign w:val="center"/>
            <w:hideMark/>
          </w:tcPr>
          <w:p w14:paraId="76FF36C4" w14:textId="77777777" w:rsidR="00DF563D" w:rsidRPr="00C376DB" w:rsidRDefault="00DF563D" w:rsidP="00DF563D">
            <w:pPr>
              <w:pStyle w:val="Paragraph"/>
              <w:rPr>
                <w:iCs/>
                <w:lang w:val="en-MY"/>
              </w:rPr>
            </w:pPr>
            <w:r w:rsidRPr="00C376DB">
              <w:rPr>
                <w:iCs/>
                <w:lang w:val="en-MY"/>
              </w:rPr>
              <w:t>20.57</w:t>
            </w:r>
          </w:p>
        </w:tc>
        <w:tc>
          <w:tcPr>
            <w:tcW w:w="688" w:type="pct"/>
            <w:vAlign w:val="center"/>
            <w:hideMark/>
          </w:tcPr>
          <w:p w14:paraId="37E4F1B8" w14:textId="77777777" w:rsidR="00DF563D" w:rsidRPr="00C376DB" w:rsidRDefault="00DF563D" w:rsidP="00DF563D">
            <w:pPr>
              <w:pStyle w:val="Paragraph"/>
              <w:rPr>
                <w:iCs/>
                <w:lang w:val="en-MY"/>
              </w:rPr>
            </w:pPr>
            <w:r w:rsidRPr="00C376DB">
              <w:rPr>
                <w:iCs/>
                <w:lang w:val="en-MY"/>
              </w:rPr>
              <w:t>&lt;0.001</w:t>
            </w:r>
          </w:p>
        </w:tc>
      </w:tr>
      <w:tr w:rsidR="00DF563D" w:rsidRPr="00C376DB" w14:paraId="33764EF6" w14:textId="77777777" w:rsidTr="00D769D1">
        <w:trPr>
          <w:tblCellSpacing w:w="15" w:type="dxa"/>
        </w:trPr>
        <w:tc>
          <w:tcPr>
            <w:tcW w:w="1573" w:type="pct"/>
            <w:vAlign w:val="center"/>
            <w:hideMark/>
          </w:tcPr>
          <w:p w14:paraId="2D67A475" w14:textId="540DEBC2" w:rsidR="00DF563D" w:rsidRPr="00C376DB" w:rsidRDefault="00DF563D" w:rsidP="00DF563D">
            <w:pPr>
              <w:pStyle w:val="Paragraph"/>
              <w:rPr>
                <w:iCs/>
                <w:lang w:val="en-MY"/>
              </w:rPr>
            </w:pPr>
            <w:r w:rsidRPr="00407F4E">
              <w:rPr>
                <w:iCs/>
                <w:lang w:val="en-MY"/>
              </w:rPr>
              <w:t xml:space="preserve">Inflation Rate </w:t>
            </w:r>
          </w:p>
        </w:tc>
        <w:tc>
          <w:tcPr>
            <w:tcW w:w="1126" w:type="pct"/>
            <w:hideMark/>
          </w:tcPr>
          <w:p w14:paraId="7C1CF8E3" w14:textId="260BA13C" w:rsidR="00DF563D" w:rsidRPr="00C376DB" w:rsidRDefault="00DF563D" w:rsidP="00DF563D">
            <w:pPr>
              <w:pStyle w:val="Paragraph"/>
              <w:rPr>
                <w:iCs/>
                <w:lang w:val="en-MY"/>
              </w:rPr>
            </w:pPr>
            <w:r w:rsidRPr="002E29CA">
              <w:t>0.015</w:t>
            </w:r>
          </w:p>
        </w:tc>
        <w:tc>
          <w:tcPr>
            <w:tcW w:w="854" w:type="pct"/>
            <w:vAlign w:val="center"/>
            <w:hideMark/>
          </w:tcPr>
          <w:p w14:paraId="7E851B3D" w14:textId="77777777" w:rsidR="00DF563D" w:rsidRPr="00C376DB" w:rsidRDefault="00DF563D" w:rsidP="00DF563D">
            <w:pPr>
              <w:pStyle w:val="Paragraph"/>
              <w:rPr>
                <w:iCs/>
                <w:lang w:val="en-MY"/>
              </w:rPr>
            </w:pPr>
            <w:r w:rsidRPr="00C376DB">
              <w:rPr>
                <w:iCs/>
                <w:lang w:val="en-MY"/>
              </w:rPr>
              <w:t>0.019</w:t>
            </w:r>
          </w:p>
        </w:tc>
        <w:tc>
          <w:tcPr>
            <w:tcW w:w="655" w:type="pct"/>
            <w:vAlign w:val="center"/>
            <w:hideMark/>
          </w:tcPr>
          <w:p w14:paraId="53730040" w14:textId="77777777" w:rsidR="00DF563D" w:rsidRPr="00C376DB" w:rsidRDefault="00DF563D" w:rsidP="00DF563D">
            <w:pPr>
              <w:pStyle w:val="Paragraph"/>
              <w:rPr>
                <w:iCs/>
                <w:lang w:val="en-MY"/>
              </w:rPr>
            </w:pPr>
            <w:r w:rsidRPr="00C376DB">
              <w:rPr>
                <w:iCs/>
                <w:lang w:val="en-MY"/>
              </w:rPr>
              <w:t>0.55</w:t>
            </w:r>
          </w:p>
        </w:tc>
        <w:tc>
          <w:tcPr>
            <w:tcW w:w="688" w:type="pct"/>
            <w:vAlign w:val="center"/>
            <w:hideMark/>
          </w:tcPr>
          <w:p w14:paraId="7DDD7249" w14:textId="77777777" w:rsidR="00DF563D" w:rsidRPr="00C376DB" w:rsidRDefault="00DF563D" w:rsidP="00DF563D">
            <w:pPr>
              <w:pStyle w:val="Paragraph"/>
              <w:rPr>
                <w:iCs/>
                <w:lang w:val="en-MY"/>
              </w:rPr>
            </w:pPr>
            <w:r w:rsidRPr="00C376DB">
              <w:rPr>
                <w:iCs/>
                <w:lang w:val="en-MY"/>
              </w:rPr>
              <w:t>0.583</w:t>
            </w:r>
          </w:p>
        </w:tc>
      </w:tr>
      <w:tr w:rsidR="00DF563D" w:rsidRPr="00C376DB" w14:paraId="7F47E1DF" w14:textId="77777777" w:rsidTr="00D769D1">
        <w:trPr>
          <w:tblCellSpacing w:w="15" w:type="dxa"/>
        </w:trPr>
        <w:tc>
          <w:tcPr>
            <w:tcW w:w="1573" w:type="pct"/>
            <w:vAlign w:val="center"/>
            <w:hideMark/>
          </w:tcPr>
          <w:p w14:paraId="5CBFF155" w14:textId="6FA7A590" w:rsidR="00DF563D" w:rsidRPr="00C376DB" w:rsidRDefault="00DF563D" w:rsidP="00DF563D">
            <w:pPr>
              <w:pStyle w:val="Paragraph"/>
              <w:rPr>
                <w:iCs/>
                <w:lang w:val="en-MY"/>
              </w:rPr>
            </w:pPr>
            <w:r w:rsidRPr="00407F4E">
              <w:rPr>
                <w:iCs/>
                <w:lang w:val="en-MY"/>
              </w:rPr>
              <w:t xml:space="preserve">Log GDP per capita </w:t>
            </w:r>
          </w:p>
        </w:tc>
        <w:tc>
          <w:tcPr>
            <w:tcW w:w="1126" w:type="pct"/>
            <w:hideMark/>
          </w:tcPr>
          <w:p w14:paraId="4A9A2C09" w14:textId="3F22FAC1" w:rsidR="00DF563D" w:rsidRPr="00C376DB" w:rsidRDefault="00DF563D" w:rsidP="00DF563D">
            <w:pPr>
              <w:pStyle w:val="Paragraph"/>
              <w:rPr>
                <w:iCs/>
                <w:lang w:val="en-MY"/>
              </w:rPr>
            </w:pPr>
            <w:r w:rsidRPr="002E29CA">
              <w:t>-2.060</w:t>
            </w:r>
          </w:p>
        </w:tc>
        <w:tc>
          <w:tcPr>
            <w:tcW w:w="854" w:type="pct"/>
            <w:vAlign w:val="center"/>
            <w:hideMark/>
          </w:tcPr>
          <w:p w14:paraId="17982D2A" w14:textId="77777777" w:rsidR="00DF563D" w:rsidRPr="00C376DB" w:rsidRDefault="00DF563D" w:rsidP="00DF563D">
            <w:pPr>
              <w:pStyle w:val="Paragraph"/>
              <w:rPr>
                <w:iCs/>
                <w:lang w:val="en-MY"/>
              </w:rPr>
            </w:pPr>
            <w:r w:rsidRPr="00C376DB">
              <w:rPr>
                <w:iCs/>
                <w:lang w:val="en-MY"/>
              </w:rPr>
              <w:t>0.10</w:t>
            </w:r>
          </w:p>
        </w:tc>
        <w:tc>
          <w:tcPr>
            <w:tcW w:w="655" w:type="pct"/>
            <w:vAlign w:val="center"/>
            <w:hideMark/>
          </w:tcPr>
          <w:p w14:paraId="44095A35" w14:textId="77777777" w:rsidR="00DF563D" w:rsidRPr="00C376DB" w:rsidRDefault="00DF563D" w:rsidP="00DF563D">
            <w:pPr>
              <w:pStyle w:val="Paragraph"/>
              <w:rPr>
                <w:iCs/>
                <w:lang w:val="en-MY"/>
              </w:rPr>
            </w:pPr>
            <w:r w:rsidRPr="00C376DB">
              <w:rPr>
                <w:iCs/>
                <w:lang w:val="en-MY"/>
              </w:rPr>
              <w:t>–19.96</w:t>
            </w:r>
          </w:p>
        </w:tc>
        <w:tc>
          <w:tcPr>
            <w:tcW w:w="688" w:type="pct"/>
            <w:vAlign w:val="center"/>
            <w:hideMark/>
          </w:tcPr>
          <w:p w14:paraId="35D674B4" w14:textId="77777777" w:rsidR="00DF563D" w:rsidRPr="00C376DB" w:rsidRDefault="00DF563D" w:rsidP="00DF563D">
            <w:pPr>
              <w:pStyle w:val="Paragraph"/>
              <w:rPr>
                <w:iCs/>
                <w:lang w:val="en-MY"/>
              </w:rPr>
            </w:pPr>
            <w:r w:rsidRPr="00C376DB">
              <w:rPr>
                <w:iCs/>
                <w:lang w:val="en-MY"/>
              </w:rPr>
              <w:t>&lt;0.001</w:t>
            </w:r>
          </w:p>
        </w:tc>
      </w:tr>
      <w:tr w:rsidR="00DF563D" w:rsidRPr="00C376DB" w14:paraId="08E8085C" w14:textId="77777777" w:rsidTr="00D769D1">
        <w:trPr>
          <w:tblCellSpacing w:w="15" w:type="dxa"/>
        </w:trPr>
        <w:tc>
          <w:tcPr>
            <w:tcW w:w="1573" w:type="pct"/>
            <w:tcBorders>
              <w:bottom w:val="single" w:sz="4" w:space="0" w:color="auto"/>
            </w:tcBorders>
            <w:vAlign w:val="center"/>
            <w:hideMark/>
          </w:tcPr>
          <w:p w14:paraId="03B128F8" w14:textId="4AB75712" w:rsidR="00DF563D" w:rsidRPr="00C376DB" w:rsidRDefault="00DF563D" w:rsidP="00DF563D">
            <w:pPr>
              <w:pStyle w:val="Paragraph"/>
              <w:rPr>
                <w:iCs/>
                <w:lang w:val="en-MY"/>
              </w:rPr>
            </w:pPr>
            <w:r w:rsidRPr="00407F4E">
              <w:rPr>
                <w:iCs/>
                <w:lang w:val="en-MY"/>
              </w:rPr>
              <w:t xml:space="preserve">Female Unemployment </w:t>
            </w:r>
          </w:p>
        </w:tc>
        <w:tc>
          <w:tcPr>
            <w:tcW w:w="1126" w:type="pct"/>
            <w:tcBorders>
              <w:bottom w:val="single" w:sz="4" w:space="0" w:color="auto"/>
            </w:tcBorders>
            <w:hideMark/>
          </w:tcPr>
          <w:p w14:paraId="3E7D566F" w14:textId="19E8E331" w:rsidR="00DF563D" w:rsidRPr="00C376DB" w:rsidRDefault="00DF563D" w:rsidP="00DF563D">
            <w:pPr>
              <w:pStyle w:val="Paragraph"/>
              <w:rPr>
                <w:iCs/>
                <w:lang w:val="en-MY"/>
              </w:rPr>
            </w:pPr>
            <w:r w:rsidRPr="002E29CA">
              <w:t>-0.050</w:t>
            </w:r>
          </w:p>
        </w:tc>
        <w:tc>
          <w:tcPr>
            <w:tcW w:w="854" w:type="pct"/>
            <w:tcBorders>
              <w:bottom w:val="single" w:sz="4" w:space="0" w:color="auto"/>
            </w:tcBorders>
            <w:vAlign w:val="center"/>
            <w:hideMark/>
          </w:tcPr>
          <w:p w14:paraId="6969BDD5" w14:textId="77777777" w:rsidR="00DF563D" w:rsidRPr="00C376DB" w:rsidRDefault="00DF563D" w:rsidP="00DF563D">
            <w:pPr>
              <w:pStyle w:val="Paragraph"/>
              <w:rPr>
                <w:iCs/>
                <w:lang w:val="en-MY"/>
              </w:rPr>
            </w:pPr>
            <w:r w:rsidRPr="00C376DB">
              <w:rPr>
                <w:iCs/>
                <w:lang w:val="en-MY"/>
              </w:rPr>
              <w:t>0.027</w:t>
            </w:r>
          </w:p>
        </w:tc>
        <w:tc>
          <w:tcPr>
            <w:tcW w:w="655" w:type="pct"/>
            <w:tcBorders>
              <w:bottom w:val="single" w:sz="4" w:space="0" w:color="auto"/>
            </w:tcBorders>
            <w:vAlign w:val="center"/>
            <w:hideMark/>
          </w:tcPr>
          <w:p w14:paraId="18A48898" w14:textId="77777777" w:rsidR="00DF563D" w:rsidRPr="00C376DB" w:rsidRDefault="00DF563D" w:rsidP="00DF563D">
            <w:pPr>
              <w:pStyle w:val="Paragraph"/>
              <w:rPr>
                <w:iCs/>
                <w:lang w:val="en-MY"/>
              </w:rPr>
            </w:pPr>
            <w:r w:rsidRPr="00C376DB">
              <w:rPr>
                <w:iCs/>
                <w:lang w:val="en-MY"/>
              </w:rPr>
              <w:t>–1.90</w:t>
            </w:r>
          </w:p>
        </w:tc>
        <w:tc>
          <w:tcPr>
            <w:tcW w:w="688" w:type="pct"/>
            <w:tcBorders>
              <w:bottom w:val="single" w:sz="4" w:space="0" w:color="auto"/>
            </w:tcBorders>
            <w:vAlign w:val="center"/>
            <w:hideMark/>
          </w:tcPr>
          <w:p w14:paraId="7B18FE7D" w14:textId="77777777" w:rsidR="00DF563D" w:rsidRPr="00C376DB" w:rsidRDefault="00DF563D" w:rsidP="00DF563D">
            <w:pPr>
              <w:pStyle w:val="Paragraph"/>
              <w:rPr>
                <w:iCs/>
                <w:lang w:val="en-MY"/>
              </w:rPr>
            </w:pPr>
            <w:r w:rsidRPr="00C376DB">
              <w:rPr>
                <w:iCs/>
                <w:lang w:val="en-MY"/>
              </w:rPr>
              <w:t>0.066</w:t>
            </w:r>
          </w:p>
        </w:tc>
      </w:tr>
    </w:tbl>
    <w:p w14:paraId="0E882DCF" w14:textId="6C4063C2" w:rsidR="00CE62F4" w:rsidRDefault="00985B5F" w:rsidP="00CE62F4">
      <w:pPr>
        <w:pStyle w:val="Paragraph"/>
        <w:ind w:firstLine="0"/>
        <w:rPr>
          <w:i/>
          <w:lang w:val="en-MY"/>
        </w:rPr>
      </w:pPr>
      <w:r w:rsidRPr="00603859">
        <w:rPr>
          <w:i/>
          <w:lang w:val="en-MY"/>
        </w:rPr>
        <w:t xml:space="preserve">R² = </w:t>
      </w:r>
      <w:r w:rsidRPr="00603859">
        <w:rPr>
          <w:iCs/>
          <w:lang w:val="en-MY"/>
        </w:rPr>
        <w:t>0.959</w:t>
      </w:r>
    </w:p>
    <w:p w14:paraId="54A8E725" w14:textId="2ABBF170" w:rsidR="00985B5F" w:rsidRDefault="00985B5F" w:rsidP="00CE62F4">
      <w:pPr>
        <w:pStyle w:val="Paragraph"/>
        <w:ind w:firstLine="0"/>
        <w:rPr>
          <w:i/>
          <w:lang w:val="en-MY"/>
        </w:rPr>
      </w:pPr>
      <w:r w:rsidRPr="00603859">
        <w:rPr>
          <w:iCs/>
          <w:lang w:val="en-MY"/>
        </w:rPr>
        <w:t>Adj</w:t>
      </w:r>
      <w:r w:rsidR="00CE62F4">
        <w:rPr>
          <w:iCs/>
          <w:lang w:val="en-MY"/>
        </w:rPr>
        <w:t>usted</w:t>
      </w:r>
      <w:r w:rsidRPr="00603859">
        <w:rPr>
          <w:i/>
          <w:lang w:val="en-MY"/>
        </w:rPr>
        <w:t xml:space="preserve"> R² = </w:t>
      </w:r>
      <w:r w:rsidRPr="00603859">
        <w:rPr>
          <w:iCs/>
          <w:lang w:val="en-MY"/>
        </w:rPr>
        <w:t>0.955</w:t>
      </w:r>
    </w:p>
    <w:p w14:paraId="77DE662E" w14:textId="5653E9E2" w:rsidR="00CE62F4" w:rsidRPr="009E667B" w:rsidRDefault="009E667B" w:rsidP="00CE62F4">
      <w:pPr>
        <w:pStyle w:val="Paragraph"/>
        <w:ind w:firstLine="0"/>
        <w:rPr>
          <w:iCs/>
          <w:lang w:val="en-MY"/>
        </w:rPr>
      </w:pPr>
      <w:r>
        <w:rPr>
          <w:iCs/>
          <w:lang w:val="en-MY"/>
        </w:rPr>
        <w:t xml:space="preserve">F (3,37) </w:t>
      </w:r>
      <w:r w:rsidR="00D84ABE">
        <w:rPr>
          <w:iCs/>
          <w:lang w:val="en-MY"/>
        </w:rPr>
        <w:t xml:space="preserve">= </w:t>
      </w:r>
      <w:r w:rsidR="00D84ABE" w:rsidRPr="00D84ABE">
        <w:rPr>
          <w:iCs/>
        </w:rPr>
        <w:t>293.675, p &lt; 0.001</w:t>
      </w:r>
    </w:p>
    <w:p w14:paraId="7D5849CF" w14:textId="77777777" w:rsidR="00985B5F" w:rsidRDefault="00985B5F" w:rsidP="009D4489">
      <w:pPr>
        <w:pStyle w:val="Paragraph"/>
        <w:rPr>
          <w:i/>
        </w:rPr>
      </w:pPr>
    </w:p>
    <w:p w14:paraId="0F1D31EE" w14:textId="6F2ACEEA" w:rsidR="00E76E4E" w:rsidRPr="00D5188F" w:rsidRDefault="001C3127" w:rsidP="00D5188F">
      <w:pPr>
        <w:pStyle w:val="Paragraph"/>
        <w:rPr>
          <w:i/>
        </w:rPr>
      </w:pPr>
      <w:r w:rsidRPr="0056121F">
        <w:t>Table</w:t>
      </w:r>
      <w:r w:rsidR="00564CF6">
        <w:t xml:space="preserve"> 5</w:t>
      </w:r>
      <w:r w:rsidRPr="0056121F">
        <w:t xml:space="preserve"> </w:t>
      </w:r>
      <w:r w:rsidR="00564CF6">
        <w:t>shows that</w:t>
      </w:r>
      <w:r w:rsidR="00B22256">
        <w:t xml:space="preserve"> t</w:t>
      </w:r>
      <w:r w:rsidRPr="0056121F">
        <w:t>he R</w:t>
      </w:r>
      <w:r w:rsidRPr="0056121F">
        <w:rPr>
          <w:vertAlign w:val="superscript"/>
        </w:rPr>
        <w:t>2</w:t>
      </w:r>
      <w:r w:rsidRPr="0056121F">
        <w:t xml:space="preserve"> value for this model is 0.9</w:t>
      </w:r>
      <w:r>
        <w:t>59</w:t>
      </w:r>
      <w:r w:rsidRPr="0056121F">
        <w:t xml:space="preserve"> which indicates that 9</w:t>
      </w:r>
      <w:r>
        <w:t>5.9</w:t>
      </w:r>
      <w:r w:rsidRPr="0056121F">
        <w:t xml:space="preserve">% of the variation in the dependent variable can be explained by the independent variable. </w:t>
      </w:r>
      <w:r w:rsidR="004F7E3B">
        <w:t>Meanw</w:t>
      </w:r>
      <w:r w:rsidRPr="0056121F">
        <w:t>hile</w:t>
      </w:r>
      <w:r w:rsidR="004F7E3B">
        <w:t>,</w:t>
      </w:r>
      <w:r w:rsidRPr="0056121F">
        <w:t xml:space="preserve"> the adjusted R</w:t>
      </w:r>
      <w:r w:rsidRPr="0056121F">
        <w:rPr>
          <w:vertAlign w:val="superscript"/>
        </w:rPr>
        <w:t>2</w:t>
      </w:r>
      <w:r w:rsidRPr="0056121F">
        <w:t xml:space="preserve"> = 0.95</w:t>
      </w:r>
      <w:r>
        <w:t>5</w:t>
      </w:r>
      <w:r w:rsidRPr="0056121F">
        <w:t xml:space="preserve"> indicates 95.</w:t>
      </w:r>
      <w:r>
        <w:t>5</w:t>
      </w:r>
      <w:r w:rsidRPr="0056121F">
        <w:t xml:space="preserve">% of the variation is explained by the independent variable that </w:t>
      </w:r>
      <w:r w:rsidR="004F7E3B" w:rsidRPr="0056121F">
        <w:t>affects</w:t>
      </w:r>
      <w:r w:rsidRPr="0056121F">
        <w:t xml:space="preserve"> the dependent variable. </w:t>
      </w:r>
      <w:r w:rsidR="0081195D">
        <w:t xml:space="preserve">This </w:t>
      </w:r>
      <w:r w:rsidR="00470C4C">
        <w:t>implied that</w:t>
      </w:r>
      <w:r w:rsidR="005008E9">
        <w:t xml:space="preserve"> the</w:t>
      </w:r>
      <w:r w:rsidR="0081195D">
        <w:t xml:space="preserve"> reduced model as </w:t>
      </w:r>
      <w:r w:rsidR="0081195D" w:rsidRPr="00A91F60">
        <w:rPr>
          <w:iCs/>
        </w:rPr>
        <w:t xml:space="preserve">an excellent model </w:t>
      </w:r>
      <w:r w:rsidR="005008E9">
        <w:rPr>
          <w:iCs/>
        </w:rPr>
        <w:t>fit.</w:t>
      </w:r>
      <w:r w:rsidR="00470C4C">
        <w:rPr>
          <w:iCs/>
        </w:rPr>
        <w:t xml:space="preserve"> The</w:t>
      </w:r>
      <w:r w:rsidR="00417A3D" w:rsidRPr="00156CD1">
        <w:rPr>
          <w:iCs/>
        </w:rPr>
        <w:t xml:space="preserve"> F-test indicates that the </w:t>
      </w:r>
      <w:r w:rsidR="00156CD1" w:rsidRPr="00156CD1">
        <w:rPr>
          <w:iCs/>
        </w:rPr>
        <w:t>independent variables</w:t>
      </w:r>
      <w:r w:rsidR="00417A3D" w:rsidRPr="00156CD1">
        <w:rPr>
          <w:iCs/>
        </w:rPr>
        <w:t xml:space="preserve"> jointly explain a statistically significant proportion of variance in fertility rate (p &lt; 0.001).</w:t>
      </w:r>
      <w:r w:rsidR="00156CD1" w:rsidRPr="00156CD1">
        <w:rPr>
          <w:iCs/>
        </w:rPr>
        <w:t xml:space="preserve"> Thus, the model is significant overall.</w:t>
      </w:r>
    </w:p>
    <w:p w14:paraId="060FC556" w14:textId="77777777" w:rsidR="0055006D" w:rsidRPr="0055006D" w:rsidRDefault="0055006D" w:rsidP="0055006D">
      <w:pPr>
        <w:pStyle w:val="Paragraph"/>
        <w:rPr>
          <w:i/>
        </w:rPr>
      </w:pPr>
    </w:p>
    <w:p w14:paraId="4EB6E1B4" w14:textId="77777777" w:rsidR="00E24A6D" w:rsidRDefault="00E24A6D" w:rsidP="00E24A6D">
      <w:pPr>
        <w:pStyle w:val="Paragraph"/>
      </w:pPr>
      <w:r w:rsidRPr="00265139">
        <w:t>The final multiple linear regression model can be written as follows:</w:t>
      </w:r>
    </w:p>
    <w:p w14:paraId="11C9C229" w14:textId="77777777" w:rsidR="00E24A6D" w:rsidRPr="00BF3825" w:rsidRDefault="00E24A6D" w:rsidP="00E24A6D">
      <w:pPr>
        <w:pStyle w:val="Paragraph"/>
      </w:pPr>
    </w:p>
    <w:p w14:paraId="042A65DB" w14:textId="77777777" w:rsidR="00E24A6D" w:rsidRPr="00265139" w:rsidRDefault="00FC3197" w:rsidP="00E24A6D">
      <w:pPr>
        <w:pStyle w:val="Paragraph"/>
      </w:pPr>
      <m:oMathPara>
        <m:oMath>
          <m:acc>
            <m:accPr>
              <m:ctrlPr>
                <w:rPr>
                  <w:rFonts w:ascii="Cambria Math" w:hAnsi="Cambria Math"/>
                  <w:i/>
                </w:rPr>
              </m:ctrlPr>
            </m:accPr>
            <m:e>
              <m:r>
                <w:rPr>
                  <w:rFonts w:ascii="Cambria Math" w:hAnsi="Cambria Math"/>
                </w:rPr>
                <m:t xml:space="preserve">y </m:t>
              </m:r>
            </m:e>
          </m:acc>
          <m:r>
            <w:rPr>
              <w:rFonts w:ascii="Cambria Math" w:hAnsi="Cambria Math"/>
            </w:rPr>
            <m:t>=21.005 + 0.0106IR - 2.0672LGDP -0.051FU</m:t>
          </m:r>
        </m:oMath>
      </m:oMathPara>
    </w:p>
    <w:p w14:paraId="2943E80A" w14:textId="113181BF" w:rsidR="00E24A6D" w:rsidRDefault="00E24A6D" w:rsidP="00E24A6D">
      <w:pPr>
        <w:pStyle w:val="Paragraph"/>
      </w:pPr>
      <w:r w:rsidRPr="00265139">
        <w:lastRenderedPageBreak/>
        <w:t xml:space="preserve"> </w:t>
      </w:r>
      <w:r w:rsidR="00D5188F">
        <w:t>I</w:t>
      </w:r>
      <w:r w:rsidRPr="00265139">
        <w:t>t can be interpreted that the fertility rate will increase by 0.01</w:t>
      </w:r>
      <w:r>
        <w:t>06</w:t>
      </w:r>
      <w:r w:rsidRPr="00265139">
        <w:t xml:space="preserve"> with a unit increase in the inflation rate when the log GDP and the female unemployment remain constant. Meanwhile, the fertility rate will decrease by 0.05</w:t>
      </w:r>
      <w:r>
        <w:t>16</w:t>
      </w:r>
      <w:r w:rsidRPr="00265139">
        <w:t xml:space="preserve"> with an increase in one unit of female unemployment when the inflation rate and log GDP remain constant. Finally, with a</w:t>
      </w:r>
      <w:r>
        <w:t xml:space="preserve"> </w:t>
      </w:r>
      <w:r w:rsidRPr="00265139">
        <w:t>1% increase in GDP it will decreases the fertility rate by 2.060/100 units if the inflation rate and female unemployment remain constant.</w:t>
      </w:r>
      <w:r>
        <w:t xml:space="preserve"> Nevertheless, log GDP is the only </w:t>
      </w:r>
      <w:r w:rsidRPr="000C562C">
        <w:t>statistically significant predictor</w:t>
      </w:r>
      <w:r>
        <w:t xml:space="preserve"> (p-value &lt;0.001)</w:t>
      </w:r>
      <w:r w:rsidRPr="000C562C">
        <w:t>, showing a strong negative relationship between economic output per person and fertility.</w:t>
      </w:r>
    </w:p>
    <w:p w14:paraId="01D46853" w14:textId="77777777" w:rsidR="00543860" w:rsidRPr="001509AE" w:rsidRDefault="00543860" w:rsidP="00543860">
      <w:pPr>
        <w:pStyle w:val="Heading2"/>
        <w:rPr>
          <w:sz w:val="20"/>
        </w:rPr>
      </w:pPr>
      <w:bookmarkStart w:id="13" w:name="_bookmark41"/>
      <w:bookmarkEnd w:id="13"/>
      <w:r w:rsidRPr="00414141">
        <w:t xml:space="preserve">Assumption Checks </w:t>
      </w:r>
      <w:r>
        <w:t>after Multiple Linear Regression</w:t>
      </w:r>
    </w:p>
    <w:p w14:paraId="58714BD5" w14:textId="49F08896" w:rsidR="00F16731" w:rsidRDefault="00E93778" w:rsidP="006F1837">
      <w:pPr>
        <w:pStyle w:val="Paragraph"/>
      </w:pPr>
      <w:bookmarkStart w:id="14" w:name="_bookmark42"/>
      <w:bookmarkStart w:id="15" w:name="_bookmark47"/>
      <w:bookmarkEnd w:id="14"/>
      <w:bookmarkEnd w:id="15"/>
      <w:r>
        <w:t>The assumptions of normality of residuals and homoscedasticity are fulfilled</w:t>
      </w:r>
      <w:r w:rsidR="006F1837">
        <w:t>. Meanwhile,</w:t>
      </w:r>
      <w:bookmarkStart w:id="16" w:name="_bookmark52"/>
      <w:bookmarkStart w:id="17" w:name="_bookmark53"/>
      <w:bookmarkStart w:id="18" w:name="_bookmark56"/>
      <w:bookmarkEnd w:id="16"/>
      <w:bookmarkEnd w:id="17"/>
      <w:bookmarkEnd w:id="18"/>
      <w:r w:rsidR="006F1837">
        <w:t xml:space="preserve"> t</w:t>
      </w:r>
      <w:r w:rsidR="00DA1D66" w:rsidRPr="00DA1D66">
        <w:rPr>
          <w:iCs/>
        </w:rPr>
        <w:t xml:space="preserve">he Durbin–Watson statistic </w:t>
      </w:r>
      <w:r w:rsidR="0011115D">
        <w:rPr>
          <w:iCs/>
        </w:rPr>
        <w:t xml:space="preserve">for the model is </w:t>
      </w:r>
      <w:r w:rsidR="00DA1D66" w:rsidRPr="00DA1D66">
        <w:rPr>
          <w:iCs/>
        </w:rPr>
        <w:t xml:space="preserve">0.585 </w:t>
      </w:r>
      <w:r w:rsidR="0011115D">
        <w:rPr>
          <w:iCs/>
        </w:rPr>
        <w:t>demonstrating</w:t>
      </w:r>
      <w:r w:rsidR="0011115D" w:rsidRPr="00DA1D66">
        <w:rPr>
          <w:iCs/>
        </w:rPr>
        <w:t xml:space="preserve"> </w:t>
      </w:r>
      <w:r w:rsidR="00DA1D66" w:rsidRPr="00DA1D66">
        <w:rPr>
          <w:iCs/>
        </w:rPr>
        <w:t>strong positive autocorrelation</w:t>
      </w:r>
      <w:r w:rsidR="004A5603">
        <w:rPr>
          <w:iCs/>
        </w:rPr>
        <w:t xml:space="preserve"> in the residual</w:t>
      </w:r>
      <w:r w:rsidR="00FF5A55">
        <w:rPr>
          <w:iCs/>
        </w:rPr>
        <w:t xml:space="preserve">. </w:t>
      </w:r>
      <w:r w:rsidR="004A5603">
        <w:rPr>
          <w:iCs/>
        </w:rPr>
        <w:t>Values</w:t>
      </w:r>
      <w:r w:rsidR="00AA6387" w:rsidRPr="008C275B">
        <w:rPr>
          <w:lang w:val="en-MY"/>
        </w:rPr>
        <w:t xml:space="preserve"> below 1.5 indicate problematic positive autocorrelation, which violates the classical assumption of independent errors in regression analysis</w:t>
      </w:r>
      <w:r w:rsidR="00AA6387" w:rsidRPr="00AA6387">
        <w:rPr>
          <w:lang w:val="en-MY"/>
        </w:rPr>
        <w:t xml:space="preserve"> </w:t>
      </w:r>
      <w:r w:rsidR="00EF6A31">
        <w:rPr>
          <w:lang w:val="en-MY"/>
        </w:rPr>
        <w:t>[</w:t>
      </w:r>
      <w:r w:rsidR="00AB722A">
        <w:rPr>
          <w:lang w:val="en-MY"/>
        </w:rPr>
        <w:t>14</w:t>
      </w:r>
      <w:r w:rsidR="00EF6A31">
        <w:rPr>
          <w:lang w:val="en-MY"/>
        </w:rPr>
        <w:t>]</w:t>
      </w:r>
      <w:r w:rsidR="00AA6387" w:rsidRPr="008C275B">
        <w:rPr>
          <w:lang w:val="en-MY"/>
        </w:rPr>
        <w:t>.</w:t>
      </w:r>
      <w:r w:rsidR="002556EF">
        <w:rPr>
          <w:lang w:val="en-MY"/>
        </w:rPr>
        <w:t xml:space="preserve"> </w:t>
      </w:r>
      <w:r w:rsidR="00D208E9" w:rsidRPr="008C275B">
        <w:rPr>
          <w:lang w:val="en-MY"/>
        </w:rPr>
        <w:t xml:space="preserve">This condition is common in time series data, where observations across years are not independent. The presence of autocorrelation may result in underestimated standard errors and unreliable significance tests for the model coefficients, thus affecting the robustness of inference </w:t>
      </w:r>
      <w:r w:rsidR="00EF6A31">
        <w:rPr>
          <w:lang w:val="en-MY"/>
        </w:rPr>
        <w:t>[</w:t>
      </w:r>
      <w:r w:rsidR="00AB722A">
        <w:rPr>
          <w:lang w:val="en-MY"/>
        </w:rPr>
        <w:t>15</w:t>
      </w:r>
      <w:r w:rsidR="00EF6A31">
        <w:rPr>
          <w:lang w:val="en-MY"/>
        </w:rPr>
        <w:t>]</w:t>
      </w:r>
      <w:r w:rsidR="00D208E9" w:rsidRPr="008C275B">
        <w:rPr>
          <w:lang w:val="en-MY"/>
        </w:rPr>
        <w:t>.</w:t>
      </w:r>
      <w:r w:rsidR="00394219">
        <w:rPr>
          <w:lang w:val="en-MY"/>
        </w:rPr>
        <w:t xml:space="preserve"> </w:t>
      </w:r>
      <w:r w:rsidR="00394219" w:rsidRPr="00394219">
        <w:t>While the model demonstrates strong explanatory power, standard OLS inference should be interpreted cautiously</w:t>
      </w:r>
      <w:r w:rsidR="00B66261">
        <w:t xml:space="preserve"> </w:t>
      </w:r>
      <w:r w:rsidR="004D5D51">
        <w:t>[</w:t>
      </w:r>
      <w:r w:rsidR="00AB722A">
        <w:t>16</w:t>
      </w:r>
      <w:r w:rsidR="004D5D51">
        <w:t>]</w:t>
      </w:r>
      <w:r w:rsidR="00394219" w:rsidRPr="00394219">
        <w:t>.</w:t>
      </w:r>
      <w:bookmarkStart w:id="19" w:name="_bookmark58"/>
      <w:bookmarkStart w:id="20" w:name="_bookmark60"/>
      <w:bookmarkEnd w:id="19"/>
      <w:bookmarkEnd w:id="20"/>
      <w:r w:rsidR="00735DF4">
        <w:t xml:space="preserve"> </w:t>
      </w:r>
      <w:r w:rsidR="00C56087">
        <w:t>Nonetheless</w:t>
      </w:r>
      <w:r w:rsidR="00663A7E">
        <w:t xml:space="preserve">, </w:t>
      </w:r>
      <w:r w:rsidR="003B4D71" w:rsidRPr="003B4D71">
        <w:t xml:space="preserve">the multiple linear regression model </w:t>
      </w:r>
      <w:r w:rsidR="00663A7E">
        <w:t>i</w:t>
      </w:r>
      <w:r w:rsidR="003B4D71" w:rsidRPr="003B4D71">
        <w:t>s retained for this analysis to provide an exploratory assessment of the relationships between fertility rate and the selected economic variables.</w:t>
      </w:r>
      <w:r w:rsidR="00641FCD">
        <w:t xml:space="preserve"> </w:t>
      </w:r>
      <w:r w:rsidR="00641FCD" w:rsidRPr="00641FCD">
        <w:t>The coefficient estimates remain unbiased under autocorrelation.</w:t>
      </w:r>
      <w:r w:rsidR="00A477C2">
        <w:t xml:space="preserve"> </w:t>
      </w:r>
    </w:p>
    <w:p w14:paraId="1C39011F" w14:textId="77777777" w:rsidR="00E14261" w:rsidRDefault="00846F19">
      <w:pPr>
        <w:pStyle w:val="Heading1"/>
      </w:pPr>
      <w:r>
        <w:t>Conclusion</w:t>
      </w:r>
    </w:p>
    <w:p w14:paraId="21AA450B" w14:textId="77777777" w:rsidR="0091348C" w:rsidRDefault="00021B9E" w:rsidP="00021B9E">
      <w:pPr>
        <w:pStyle w:val="Paragraph"/>
      </w:pPr>
      <w:r w:rsidRPr="00021B9E">
        <w:rPr>
          <w:lang w:val="en-MY"/>
        </w:rPr>
        <w:t>Malaysia’s fertility rate has dropped significantly over the past 40 years. The relationships found in this study between the economic factors and fertility rate align with both economic theory and previous international research.</w:t>
      </w:r>
      <w:r w:rsidR="0091348C" w:rsidRPr="0091348C">
        <w:t xml:space="preserve"> </w:t>
      </w:r>
    </w:p>
    <w:p w14:paraId="5AFB7F04" w14:textId="4FC539F6" w:rsidR="00021B9E" w:rsidRDefault="00021B9E" w:rsidP="009F450E">
      <w:pPr>
        <w:pStyle w:val="Paragraph"/>
        <w:rPr>
          <w:lang w:val="en-MY"/>
        </w:rPr>
      </w:pPr>
      <w:r w:rsidRPr="00021B9E">
        <w:rPr>
          <w:lang w:val="en-MY"/>
        </w:rPr>
        <w:t>Inflation showed a small positive link with fertility, but this relationship was not statistically significant. This may be because Malaysia’s inflation rates have generally been moderate, and families respond to price changes in different ways</w:t>
      </w:r>
      <w:r>
        <w:rPr>
          <w:lang w:val="en-MY"/>
        </w:rPr>
        <w:t xml:space="preserve"> </w:t>
      </w:r>
      <w:r w:rsidR="008D757A">
        <w:t>[</w:t>
      </w:r>
      <w:r w:rsidR="00AB722A">
        <w:t>17</w:t>
      </w:r>
      <w:r w:rsidR="008D757A">
        <w:t>]</w:t>
      </w:r>
      <w:r w:rsidRPr="00021B9E">
        <w:rPr>
          <w:lang w:val="en-MY"/>
        </w:rPr>
        <w:t>.</w:t>
      </w:r>
      <w:r w:rsidR="009F450E">
        <w:rPr>
          <w:lang w:val="en-MY"/>
        </w:rPr>
        <w:t xml:space="preserve"> </w:t>
      </w:r>
      <w:r w:rsidRPr="00021B9E">
        <w:rPr>
          <w:lang w:val="en-MY"/>
        </w:rPr>
        <w:t xml:space="preserve">In contrast, log GDP per capita had a strong and significant negative effect on fertility. This supports the demographic transition theory and the quantity–quality trade-off proposed by </w:t>
      </w:r>
      <w:r w:rsidR="008D757A">
        <w:rPr>
          <w:lang w:val="en-MY"/>
        </w:rPr>
        <w:t>[5]</w:t>
      </w:r>
      <w:r w:rsidRPr="00021B9E">
        <w:rPr>
          <w:lang w:val="en-MY"/>
        </w:rPr>
        <w:t xml:space="preserve"> which suggests that as household income increases, families tend to have fewer children but spend more on each child’s health, education, and overall development.</w:t>
      </w:r>
      <w:r w:rsidR="009F450E">
        <w:rPr>
          <w:lang w:val="en-MY"/>
        </w:rPr>
        <w:t xml:space="preserve"> </w:t>
      </w:r>
      <w:r w:rsidRPr="00021B9E">
        <w:rPr>
          <w:lang w:val="en-MY"/>
        </w:rPr>
        <w:t xml:space="preserve">Female unemployment was also negatively related to fertility, though the effect was only marginally non-significant. This suggests that when women face job insecurity or reduced household income, they may delay or avoid having children. This finding aligns with previous studies showing that unstable employment conditions can reduce the likelihood of starting or growing a family </w:t>
      </w:r>
      <w:r w:rsidR="00F90D15">
        <w:rPr>
          <w:lang w:val="en-MY"/>
        </w:rPr>
        <w:t>[</w:t>
      </w:r>
      <w:r w:rsidR="00AB722A">
        <w:rPr>
          <w:lang w:val="en-MY"/>
        </w:rPr>
        <w:t>18</w:t>
      </w:r>
      <w:r w:rsidR="00F90D15">
        <w:rPr>
          <w:lang w:val="en-MY"/>
        </w:rPr>
        <w:t xml:space="preserve">, </w:t>
      </w:r>
      <w:r w:rsidR="00AB722A">
        <w:rPr>
          <w:lang w:val="en-MY"/>
        </w:rPr>
        <w:t>19</w:t>
      </w:r>
      <w:r w:rsidR="00F90D15">
        <w:rPr>
          <w:lang w:val="en-MY"/>
        </w:rPr>
        <w:t>]</w:t>
      </w:r>
      <w:r w:rsidRPr="00021B9E">
        <w:rPr>
          <w:lang w:val="en-MY"/>
        </w:rPr>
        <w:t>.</w:t>
      </w:r>
    </w:p>
    <w:p w14:paraId="3ABEAA3F" w14:textId="213CFEEE" w:rsidR="006059DA" w:rsidRDefault="00C73946" w:rsidP="006059DA">
      <w:pPr>
        <w:pStyle w:val="Paragraph"/>
      </w:pPr>
      <w:r>
        <w:t>Nevertheless</w:t>
      </w:r>
      <w:r w:rsidR="006059DA" w:rsidRPr="00A477C2">
        <w:t xml:space="preserve">, the violation of the independence assumption means that standard errors and p-values may be underestimated, and statistical significance should be interpreted with caution. </w:t>
      </w:r>
      <w:r w:rsidR="006059DA" w:rsidRPr="00D25068">
        <w:t>Thus, future analyses should consider autocorrelation</w:t>
      </w:r>
      <w:r w:rsidR="006059DA" w:rsidRPr="00262058">
        <w:noBreakHyphen/>
        <w:t>robust techniques</w:t>
      </w:r>
      <w:r w:rsidR="006059DA" w:rsidRPr="00D25068">
        <w:t xml:space="preserve"> </w:t>
      </w:r>
      <w:r w:rsidR="006059DA">
        <w:t>for example</w:t>
      </w:r>
      <w:r w:rsidR="006059DA" w:rsidRPr="00D25068">
        <w:t xml:space="preserve"> ARIMA, Prais</w:t>
      </w:r>
      <w:r w:rsidR="006059DA" w:rsidRPr="00D25068">
        <w:noBreakHyphen/>
        <w:t>Winsten</w:t>
      </w:r>
      <w:r w:rsidR="006059DA">
        <w:t xml:space="preserve"> and</w:t>
      </w:r>
      <w:r w:rsidR="006059DA" w:rsidRPr="00D25068">
        <w:t xml:space="preserve"> Cochrane</w:t>
      </w:r>
      <w:r w:rsidR="006059DA" w:rsidRPr="00D25068">
        <w:noBreakHyphen/>
        <w:t>Orcutt to ensure reliable inference for fertility trends in longitudinal data</w:t>
      </w:r>
      <w:r w:rsidR="006059DA">
        <w:t xml:space="preserve"> </w:t>
      </w:r>
      <w:r w:rsidR="00F90D15">
        <w:t>[2</w:t>
      </w:r>
      <w:r w:rsidR="00AB722A">
        <w:t>0</w:t>
      </w:r>
      <w:r w:rsidR="00F90D15">
        <w:t>].</w:t>
      </w:r>
    </w:p>
    <w:p w14:paraId="7D44AF9D" w14:textId="0B0A560E" w:rsidR="00021B9E" w:rsidRPr="00021B9E" w:rsidRDefault="00312185" w:rsidP="009F450E">
      <w:pPr>
        <w:pStyle w:val="Paragraph"/>
        <w:rPr>
          <w:lang w:val="en-MY"/>
        </w:rPr>
      </w:pPr>
      <w:r>
        <w:t>Moreover, this study only looks at economic factors and does not include social, cultural, or policy influences. Future research should consider including more variables</w:t>
      </w:r>
      <w:r w:rsidR="00D13533">
        <w:t xml:space="preserve"> too.</w:t>
      </w:r>
      <w:r w:rsidR="009F450E">
        <w:rPr>
          <w:lang w:val="en-MY"/>
        </w:rPr>
        <w:t xml:space="preserve"> </w:t>
      </w:r>
      <w:r w:rsidR="00021B9E" w:rsidRPr="00021B9E">
        <w:rPr>
          <w:lang w:val="en-MY"/>
        </w:rPr>
        <w:t>Overall, the results suggest that economic stability</w:t>
      </w:r>
      <w:r w:rsidR="009F450E">
        <w:rPr>
          <w:lang w:val="en-MY"/>
        </w:rPr>
        <w:t xml:space="preserve">, </w:t>
      </w:r>
      <w:r w:rsidR="00021B9E" w:rsidRPr="00021B9E">
        <w:rPr>
          <w:lang w:val="en-MY"/>
        </w:rPr>
        <w:t>both at the national and household level</w:t>
      </w:r>
      <w:r w:rsidR="009F450E">
        <w:rPr>
          <w:lang w:val="en-MY"/>
        </w:rPr>
        <w:t xml:space="preserve">, </w:t>
      </w:r>
      <w:r w:rsidR="00021B9E" w:rsidRPr="00021B9E">
        <w:rPr>
          <w:lang w:val="en-MY"/>
        </w:rPr>
        <w:t>plays a key role in shaping fertility decisions in Malaysia.</w:t>
      </w:r>
    </w:p>
    <w:p w14:paraId="05D60DDB" w14:textId="77777777" w:rsidR="00E14261" w:rsidRDefault="00846F19">
      <w:pPr>
        <w:pStyle w:val="Heading1"/>
      </w:pPr>
      <w:r w:rsidRPr="00C2007F">
        <w:t>References</w:t>
      </w:r>
    </w:p>
    <w:p w14:paraId="4F8A8E4D" w14:textId="77777777" w:rsidR="00C2007F" w:rsidRDefault="00C2007F" w:rsidP="00C2007F">
      <w:pPr>
        <w:pStyle w:val="Default"/>
        <w:numPr>
          <w:ilvl w:val="0"/>
          <w:numId w:val="39"/>
        </w:numPr>
        <w:spacing w:after="19"/>
        <w:rPr>
          <w:sz w:val="20"/>
          <w:szCs w:val="20"/>
        </w:rPr>
      </w:pPr>
      <w:r>
        <w:rPr>
          <w:sz w:val="20"/>
          <w:szCs w:val="20"/>
        </w:rPr>
        <w:t xml:space="preserve">P. Alvarez, </w:t>
      </w:r>
      <w:r>
        <w:rPr>
          <w:i/>
          <w:iCs/>
          <w:sz w:val="20"/>
          <w:szCs w:val="20"/>
        </w:rPr>
        <w:t xml:space="preserve">What Does the Global Decline of the Fertility Rate Look Like? </w:t>
      </w:r>
      <w:r>
        <w:rPr>
          <w:sz w:val="20"/>
          <w:szCs w:val="20"/>
        </w:rPr>
        <w:t xml:space="preserve">(World Economic Forum, Geneva, 2022). </w:t>
      </w:r>
    </w:p>
    <w:p w14:paraId="65934811" w14:textId="77777777" w:rsidR="00C2007F" w:rsidRDefault="00C2007F" w:rsidP="00C2007F">
      <w:pPr>
        <w:pStyle w:val="Default"/>
        <w:numPr>
          <w:ilvl w:val="0"/>
          <w:numId w:val="39"/>
        </w:numPr>
        <w:spacing w:after="19"/>
        <w:rPr>
          <w:sz w:val="20"/>
          <w:szCs w:val="20"/>
        </w:rPr>
      </w:pPr>
      <w:r w:rsidRPr="00C2007F">
        <w:rPr>
          <w:sz w:val="20"/>
          <w:szCs w:val="20"/>
        </w:rPr>
        <w:t xml:space="preserve">Department of Statistics Malaysia, </w:t>
      </w:r>
      <w:r w:rsidRPr="00C2007F">
        <w:rPr>
          <w:i/>
          <w:iCs/>
          <w:sz w:val="20"/>
          <w:szCs w:val="20"/>
        </w:rPr>
        <w:t xml:space="preserve">Vital Statistics, Malaysia, 2022 </w:t>
      </w:r>
      <w:r w:rsidRPr="00C2007F">
        <w:rPr>
          <w:sz w:val="20"/>
          <w:szCs w:val="20"/>
        </w:rPr>
        <w:t xml:space="preserve">(Department of Statistics Malaysia, Putrajaya, 2022). </w:t>
      </w:r>
    </w:p>
    <w:p w14:paraId="6C88A154" w14:textId="77777777" w:rsidR="00C2007F" w:rsidRDefault="00C2007F" w:rsidP="00C2007F">
      <w:pPr>
        <w:pStyle w:val="Default"/>
        <w:numPr>
          <w:ilvl w:val="0"/>
          <w:numId w:val="39"/>
        </w:numPr>
        <w:spacing w:after="19"/>
        <w:rPr>
          <w:sz w:val="20"/>
          <w:szCs w:val="20"/>
        </w:rPr>
      </w:pPr>
      <w:r w:rsidRPr="00C2007F">
        <w:rPr>
          <w:sz w:val="20"/>
          <w:szCs w:val="20"/>
        </w:rPr>
        <w:t xml:space="preserve">J. Y. Koyuncu and Y. Okşak, Balkan J. Soc. Sci. </w:t>
      </w:r>
      <w:r w:rsidRPr="00C2007F">
        <w:rPr>
          <w:b/>
          <w:bCs/>
          <w:sz w:val="20"/>
          <w:szCs w:val="20"/>
        </w:rPr>
        <w:t>21</w:t>
      </w:r>
      <w:r w:rsidRPr="00C2007F">
        <w:rPr>
          <w:sz w:val="20"/>
          <w:szCs w:val="20"/>
        </w:rPr>
        <w:t xml:space="preserve">, 7 (2022). </w:t>
      </w:r>
    </w:p>
    <w:p w14:paraId="2DCE6F23" w14:textId="77777777" w:rsidR="00C2007F" w:rsidRDefault="00C2007F" w:rsidP="00C2007F">
      <w:pPr>
        <w:pStyle w:val="Default"/>
        <w:numPr>
          <w:ilvl w:val="0"/>
          <w:numId w:val="39"/>
        </w:numPr>
        <w:spacing w:after="19"/>
        <w:rPr>
          <w:sz w:val="20"/>
          <w:szCs w:val="20"/>
        </w:rPr>
      </w:pPr>
      <w:r w:rsidRPr="00C2007F">
        <w:rPr>
          <w:sz w:val="20"/>
          <w:szCs w:val="20"/>
        </w:rPr>
        <w:t xml:space="preserve">J. R. B. D. Cruz, M. C. M. Dequilla, and A. C. D. Pizarro-Uy, J. Econ. Finance Acc. Stud. </w:t>
      </w:r>
      <w:r w:rsidRPr="00C2007F">
        <w:rPr>
          <w:b/>
          <w:bCs/>
          <w:sz w:val="20"/>
          <w:szCs w:val="20"/>
        </w:rPr>
        <w:t>4</w:t>
      </w:r>
      <w:r w:rsidRPr="00C2007F">
        <w:rPr>
          <w:sz w:val="20"/>
          <w:szCs w:val="20"/>
        </w:rPr>
        <w:t xml:space="preserve">, 259 (2022). </w:t>
      </w:r>
    </w:p>
    <w:p w14:paraId="276BBDFA" w14:textId="77777777" w:rsidR="00C2007F" w:rsidRDefault="00C2007F" w:rsidP="00C2007F">
      <w:pPr>
        <w:pStyle w:val="Default"/>
        <w:numPr>
          <w:ilvl w:val="0"/>
          <w:numId w:val="39"/>
        </w:numPr>
        <w:spacing w:after="19"/>
        <w:rPr>
          <w:sz w:val="20"/>
          <w:szCs w:val="20"/>
        </w:rPr>
      </w:pPr>
      <w:r w:rsidRPr="00C2007F">
        <w:rPr>
          <w:sz w:val="20"/>
          <w:szCs w:val="20"/>
        </w:rPr>
        <w:t xml:space="preserve">G. S. Becker and R. J. Barro, Q. J. Econ. </w:t>
      </w:r>
      <w:r w:rsidRPr="00C2007F">
        <w:rPr>
          <w:b/>
          <w:bCs/>
          <w:sz w:val="20"/>
          <w:szCs w:val="20"/>
        </w:rPr>
        <w:t>103</w:t>
      </w:r>
      <w:r w:rsidRPr="00C2007F">
        <w:rPr>
          <w:sz w:val="20"/>
          <w:szCs w:val="20"/>
        </w:rPr>
        <w:t>, 1 (1988).</w:t>
      </w:r>
    </w:p>
    <w:p w14:paraId="1309788A" w14:textId="77777777" w:rsidR="00C2007F" w:rsidRDefault="00C2007F" w:rsidP="00C2007F">
      <w:pPr>
        <w:pStyle w:val="Default"/>
        <w:numPr>
          <w:ilvl w:val="0"/>
          <w:numId w:val="39"/>
        </w:numPr>
        <w:spacing w:after="19"/>
        <w:rPr>
          <w:sz w:val="20"/>
          <w:szCs w:val="20"/>
        </w:rPr>
      </w:pPr>
      <w:r w:rsidRPr="00C2007F">
        <w:rPr>
          <w:sz w:val="20"/>
          <w:szCs w:val="20"/>
        </w:rPr>
        <w:lastRenderedPageBreak/>
        <w:t xml:space="preserve">S. Ross, </w:t>
      </w:r>
      <w:r w:rsidRPr="00C2007F">
        <w:rPr>
          <w:i/>
          <w:iCs/>
          <w:sz w:val="20"/>
          <w:szCs w:val="20"/>
        </w:rPr>
        <w:t xml:space="preserve">What Is Human Capital and How Is It Used? </w:t>
      </w:r>
      <w:r w:rsidRPr="00C2007F">
        <w:rPr>
          <w:sz w:val="20"/>
          <w:szCs w:val="20"/>
        </w:rPr>
        <w:t xml:space="preserve">(Investopedia, New York, 2023). </w:t>
      </w:r>
    </w:p>
    <w:p w14:paraId="5D9462F3" w14:textId="77777777" w:rsidR="00C2007F" w:rsidRDefault="00C2007F" w:rsidP="00C2007F">
      <w:pPr>
        <w:pStyle w:val="Default"/>
        <w:numPr>
          <w:ilvl w:val="0"/>
          <w:numId w:val="39"/>
        </w:numPr>
        <w:spacing w:after="19"/>
        <w:rPr>
          <w:sz w:val="20"/>
          <w:szCs w:val="20"/>
        </w:rPr>
      </w:pPr>
      <w:r w:rsidRPr="00C2007F">
        <w:rPr>
          <w:sz w:val="20"/>
          <w:szCs w:val="20"/>
        </w:rPr>
        <w:t xml:space="preserve">J. M. Fernandez-Crehuet, L. A. Gil-Alana, and C. M. Barco, Soc. Indic. Res. </w:t>
      </w:r>
      <w:r w:rsidRPr="00C2007F">
        <w:rPr>
          <w:b/>
          <w:bCs/>
          <w:sz w:val="20"/>
          <w:szCs w:val="20"/>
        </w:rPr>
        <w:t>152</w:t>
      </w:r>
      <w:r w:rsidRPr="00C2007F">
        <w:rPr>
          <w:sz w:val="20"/>
          <w:szCs w:val="20"/>
        </w:rPr>
        <w:t xml:space="preserve">, 1177 (2020). </w:t>
      </w:r>
    </w:p>
    <w:p w14:paraId="38C73D1D" w14:textId="77777777" w:rsidR="00C2007F" w:rsidRDefault="00C2007F" w:rsidP="00C2007F">
      <w:pPr>
        <w:pStyle w:val="Default"/>
        <w:numPr>
          <w:ilvl w:val="0"/>
          <w:numId w:val="39"/>
        </w:numPr>
        <w:spacing w:after="19"/>
        <w:rPr>
          <w:sz w:val="20"/>
          <w:szCs w:val="20"/>
        </w:rPr>
      </w:pPr>
      <w:r w:rsidRPr="00C2007F">
        <w:rPr>
          <w:sz w:val="20"/>
          <w:szCs w:val="20"/>
        </w:rPr>
        <w:t xml:space="preserve">G. Alderotti et al., Demography </w:t>
      </w:r>
      <w:r w:rsidRPr="00C2007F">
        <w:rPr>
          <w:b/>
          <w:bCs/>
          <w:sz w:val="20"/>
          <w:szCs w:val="20"/>
        </w:rPr>
        <w:t>58</w:t>
      </w:r>
      <w:r w:rsidRPr="00C2007F">
        <w:rPr>
          <w:sz w:val="20"/>
          <w:szCs w:val="20"/>
        </w:rPr>
        <w:t xml:space="preserve">, 871 (2021). </w:t>
      </w:r>
    </w:p>
    <w:p w14:paraId="2CC8B0F6" w14:textId="77777777" w:rsidR="00C2007F" w:rsidRDefault="00C2007F" w:rsidP="00C2007F">
      <w:pPr>
        <w:pStyle w:val="Default"/>
        <w:numPr>
          <w:ilvl w:val="0"/>
          <w:numId w:val="39"/>
        </w:numPr>
        <w:spacing w:after="19"/>
        <w:rPr>
          <w:sz w:val="20"/>
          <w:szCs w:val="20"/>
        </w:rPr>
      </w:pPr>
      <w:r w:rsidRPr="00C2007F">
        <w:rPr>
          <w:sz w:val="20"/>
          <w:szCs w:val="20"/>
        </w:rPr>
        <w:t xml:space="preserve">C. Lee, </w:t>
      </w:r>
      <w:r w:rsidRPr="00C2007F">
        <w:rPr>
          <w:i/>
          <w:iCs/>
          <w:sz w:val="20"/>
          <w:szCs w:val="20"/>
        </w:rPr>
        <w:t xml:space="preserve">Uncertainties in Malaysia’s Economic Recovery </w:t>
      </w:r>
      <w:r w:rsidRPr="00C2007F">
        <w:rPr>
          <w:sz w:val="20"/>
          <w:szCs w:val="20"/>
        </w:rPr>
        <w:t xml:space="preserve">(ISEAS–Yusof Ishak Institute, Singapore, 2022). </w:t>
      </w:r>
    </w:p>
    <w:p w14:paraId="4977BEC9" w14:textId="77777777" w:rsidR="00C2007F" w:rsidRDefault="00C2007F" w:rsidP="00C2007F">
      <w:pPr>
        <w:pStyle w:val="Default"/>
        <w:numPr>
          <w:ilvl w:val="0"/>
          <w:numId w:val="39"/>
        </w:numPr>
        <w:spacing w:after="19"/>
        <w:rPr>
          <w:sz w:val="20"/>
          <w:szCs w:val="20"/>
        </w:rPr>
      </w:pPr>
      <w:r w:rsidRPr="00C2007F">
        <w:rPr>
          <w:sz w:val="20"/>
          <w:szCs w:val="20"/>
        </w:rPr>
        <w:t xml:space="preserve">T. N. Peng, </w:t>
      </w:r>
      <w:r w:rsidRPr="00C2007F">
        <w:rPr>
          <w:i/>
          <w:iCs/>
          <w:sz w:val="20"/>
          <w:szCs w:val="20"/>
        </w:rPr>
        <w:t xml:space="preserve">Bracing for Low Fertility in Malaysia </w:t>
      </w:r>
      <w:r w:rsidRPr="00C2007F">
        <w:rPr>
          <w:sz w:val="20"/>
          <w:szCs w:val="20"/>
        </w:rPr>
        <w:t xml:space="preserve">(ISEAS–Yusof Ishak Institute, Singapore, 2020). </w:t>
      </w:r>
    </w:p>
    <w:p w14:paraId="52984C2F" w14:textId="77777777" w:rsidR="00C2007F" w:rsidRDefault="00C2007F" w:rsidP="00C2007F">
      <w:pPr>
        <w:pStyle w:val="Default"/>
        <w:numPr>
          <w:ilvl w:val="0"/>
          <w:numId w:val="39"/>
        </w:numPr>
        <w:spacing w:after="19"/>
        <w:rPr>
          <w:sz w:val="20"/>
          <w:szCs w:val="20"/>
        </w:rPr>
      </w:pPr>
      <w:r w:rsidRPr="00C2007F">
        <w:rPr>
          <w:sz w:val="20"/>
          <w:szCs w:val="20"/>
        </w:rPr>
        <w:t xml:space="preserve">P. Rao, </w:t>
      </w:r>
      <w:r w:rsidRPr="00C2007F">
        <w:rPr>
          <w:i/>
          <w:iCs/>
          <w:sz w:val="20"/>
          <w:szCs w:val="20"/>
        </w:rPr>
        <w:t xml:space="preserve">Visualizing the World’s Plummeting Fertility Rate </w:t>
      </w:r>
      <w:r w:rsidRPr="00C2007F">
        <w:rPr>
          <w:sz w:val="20"/>
          <w:szCs w:val="20"/>
        </w:rPr>
        <w:t xml:space="preserve">(Visual Capitalist, Vancouver, 2023). </w:t>
      </w:r>
    </w:p>
    <w:p w14:paraId="1FA346C8" w14:textId="77777777" w:rsidR="00C2007F" w:rsidRDefault="00C2007F" w:rsidP="00C2007F">
      <w:pPr>
        <w:pStyle w:val="Default"/>
        <w:numPr>
          <w:ilvl w:val="0"/>
          <w:numId w:val="39"/>
        </w:numPr>
        <w:spacing w:after="19"/>
        <w:rPr>
          <w:sz w:val="20"/>
          <w:szCs w:val="20"/>
        </w:rPr>
      </w:pPr>
      <w:r w:rsidRPr="00C2007F">
        <w:rPr>
          <w:sz w:val="20"/>
          <w:szCs w:val="20"/>
        </w:rPr>
        <w:t xml:space="preserve">S. N. A. Mohd, A. A. Ishak, and D. P. Selvaratnam, Front. Public Health </w:t>
      </w:r>
      <w:r w:rsidRPr="00C2007F">
        <w:rPr>
          <w:b/>
          <w:bCs/>
          <w:sz w:val="20"/>
          <w:szCs w:val="20"/>
        </w:rPr>
        <w:t>9</w:t>
      </w:r>
      <w:r w:rsidRPr="00C2007F">
        <w:rPr>
          <w:sz w:val="20"/>
          <w:szCs w:val="20"/>
        </w:rPr>
        <w:t>, 731554 (2021).</w:t>
      </w:r>
    </w:p>
    <w:p w14:paraId="5EBF86FA" w14:textId="77777777" w:rsidR="00C2007F" w:rsidRDefault="00C2007F" w:rsidP="00C2007F">
      <w:pPr>
        <w:pStyle w:val="Default"/>
        <w:numPr>
          <w:ilvl w:val="0"/>
          <w:numId w:val="39"/>
        </w:numPr>
        <w:spacing w:after="19"/>
        <w:rPr>
          <w:sz w:val="20"/>
          <w:szCs w:val="20"/>
        </w:rPr>
      </w:pPr>
      <w:r w:rsidRPr="00C2007F">
        <w:rPr>
          <w:sz w:val="20"/>
          <w:szCs w:val="20"/>
        </w:rPr>
        <w:t xml:space="preserve">S. L. Turner et al., BMC Med. Res. Methodol. </w:t>
      </w:r>
      <w:r w:rsidRPr="00C2007F">
        <w:rPr>
          <w:b/>
          <w:bCs/>
          <w:sz w:val="20"/>
          <w:szCs w:val="20"/>
        </w:rPr>
        <w:t>21</w:t>
      </w:r>
      <w:r w:rsidRPr="00C2007F">
        <w:rPr>
          <w:sz w:val="20"/>
          <w:szCs w:val="20"/>
        </w:rPr>
        <w:t xml:space="preserve">, 181 (2021). </w:t>
      </w:r>
    </w:p>
    <w:p w14:paraId="54E2D1C4" w14:textId="77777777" w:rsidR="00C2007F" w:rsidRDefault="00C2007F" w:rsidP="00C2007F">
      <w:pPr>
        <w:pStyle w:val="Default"/>
        <w:numPr>
          <w:ilvl w:val="0"/>
          <w:numId w:val="39"/>
        </w:numPr>
        <w:spacing w:after="19"/>
        <w:rPr>
          <w:sz w:val="20"/>
          <w:szCs w:val="20"/>
        </w:rPr>
      </w:pPr>
      <w:r w:rsidRPr="00C2007F">
        <w:rPr>
          <w:sz w:val="20"/>
          <w:szCs w:val="20"/>
        </w:rPr>
        <w:t xml:space="preserve">R. T. Baillie et al., Econometrics Journal </w:t>
      </w:r>
      <w:r w:rsidRPr="00C2007F">
        <w:rPr>
          <w:b/>
          <w:bCs/>
          <w:sz w:val="20"/>
          <w:szCs w:val="20"/>
        </w:rPr>
        <w:t>28(2), 131</w:t>
      </w:r>
      <w:r w:rsidRPr="00C2007F">
        <w:rPr>
          <w:sz w:val="20"/>
          <w:szCs w:val="20"/>
        </w:rPr>
        <w:t xml:space="preserve">(2022). </w:t>
      </w:r>
    </w:p>
    <w:p w14:paraId="1B032341" w14:textId="77777777" w:rsidR="00C2007F" w:rsidRDefault="00C2007F" w:rsidP="00C2007F">
      <w:pPr>
        <w:pStyle w:val="Default"/>
        <w:numPr>
          <w:ilvl w:val="0"/>
          <w:numId w:val="39"/>
        </w:numPr>
        <w:spacing w:after="19"/>
        <w:rPr>
          <w:sz w:val="20"/>
          <w:szCs w:val="20"/>
        </w:rPr>
      </w:pPr>
      <w:r w:rsidRPr="00C2007F">
        <w:rPr>
          <w:sz w:val="20"/>
          <w:szCs w:val="20"/>
        </w:rPr>
        <w:t xml:space="preserve">M. Petit-Bois, Behav. Res. Methods </w:t>
      </w:r>
      <w:r w:rsidRPr="00C2007F">
        <w:rPr>
          <w:b/>
          <w:bCs/>
          <w:sz w:val="20"/>
          <w:szCs w:val="20"/>
        </w:rPr>
        <w:t>48</w:t>
      </w:r>
      <w:r w:rsidRPr="00C2007F">
        <w:rPr>
          <w:sz w:val="20"/>
          <w:szCs w:val="20"/>
        </w:rPr>
        <w:t xml:space="preserve">, 1475 (2016). </w:t>
      </w:r>
    </w:p>
    <w:p w14:paraId="551B3B5D" w14:textId="77777777" w:rsidR="00C2007F" w:rsidRDefault="00C2007F" w:rsidP="00C2007F">
      <w:pPr>
        <w:pStyle w:val="Default"/>
        <w:numPr>
          <w:ilvl w:val="0"/>
          <w:numId w:val="39"/>
        </w:numPr>
        <w:spacing w:after="19"/>
        <w:rPr>
          <w:sz w:val="20"/>
          <w:szCs w:val="20"/>
        </w:rPr>
      </w:pPr>
      <w:r w:rsidRPr="00C2007F">
        <w:rPr>
          <w:sz w:val="20"/>
          <w:szCs w:val="20"/>
        </w:rPr>
        <w:t xml:space="preserve">N. S. M. Shuhaimy, J. Econ. Malaysia </w:t>
      </w:r>
      <w:r w:rsidRPr="00C2007F">
        <w:rPr>
          <w:b/>
          <w:bCs/>
          <w:sz w:val="20"/>
          <w:szCs w:val="20"/>
        </w:rPr>
        <w:t>59</w:t>
      </w:r>
      <w:r w:rsidRPr="00C2007F">
        <w:rPr>
          <w:sz w:val="20"/>
          <w:szCs w:val="20"/>
        </w:rPr>
        <w:t xml:space="preserve">, 25 (2025). </w:t>
      </w:r>
    </w:p>
    <w:p w14:paraId="17C0DDB1" w14:textId="77777777" w:rsidR="00C2007F" w:rsidRDefault="00C2007F" w:rsidP="00C2007F">
      <w:pPr>
        <w:pStyle w:val="Default"/>
        <w:numPr>
          <w:ilvl w:val="0"/>
          <w:numId w:val="39"/>
        </w:numPr>
        <w:spacing w:after="19"/>
        <w:rPr>
          <w:sz w:val="20"/>
          <w:szCs w:val="20"/>
        </w:rPr>
      </w:pPr>
      <w:r w:rsidRPr="00C2007F">
        <w:rPr>
          <w:sz w:val="20"/>
          <w:szCs w:val="20"/>
        </w:rPr>
        <w:t xml:space="preserve">A. P. Kristensen and T. Lappegård, Demogr. Res. </w:t>
      </w:r>
      <w:r w:rsidRPr="00C2007F">
        <w:rPr>
          <w:b/>
          <w:bCs/>
          <w:sz w:val="20"/>
          <w:szCs w:val="20"/>
        </w:rPr>
        <w:t>46</w:t>
      </w:r>
      <w:r w:rsidRPr="00C2007F">
        <w:rPr>
          <w:sz w:val="20"/>
          <w:szCs w:val="20"/>
        </w:rPr>
        <w:t xml:space="preserve">, 1037 (2022). </w:t>
      </w:r>
    </w:p>
    <w:p w14:paraId="02BB3A53" w14:textId="77777777" w:rsidR="00C2007F" w:rsidRDefault="00C2007F" w:rsidP="00C2007F">
      <w:pPr>
        <w:pStyle w:val="Default"/>
        <w:numPr>
          <w:ilvl w:val="0"/>
          <w:numId w:val="39"/>
        </w:numPr>
        <w:spacing w:after="19"/>
        <w:rPr>
          <w:sz w:val="20"/>
          <w:szCs w:val="20"/>
        </w:rPr>
      </w:pPr>
      <w:r w:rsidRPr="00C2007F">
        <w:rPr>
          <w:sz w:val="20"/>
          <w:szCs w:val="20"/>
        </w:rPr>
        <w:t xml:space="preserve">D. D. K. Örsal and J. R. Goldstein, Vienna Yearb. Popul. Res. </w:t>
      </w:r>
      <w:r w:rsidRPr="00C2007F">
        <w:rPr>
          <w:b/>
          <w:bCs/>
          <w:sz w:val="20"/>
          <w:szCs w:val="20"/>
        </w:rPr>
        <w:t>12</w:t>
      </w:r>
      <w:r w:rsidRPr="00C2007F">
        <w:rPr>
          <w:sz w:val="20"/>
          <w:szCs w:val="20"/>
        </w:rPr>
        <w:t xml:space="preserve">, 1 (2014). </w:t>
      </w:r>
    </w:p>
    <w:p w14:paraId="270ACE23" w14:textId="77777777" w:rsidR="00C2007F" w:rsidRDefault="00C2007F" w:rsidP="00C2007F">
      <w:pPr>
        <w:pStyle w:val="Default"/>
        <w:numPr>
          <w:ilvl w:val="0"/>
          <w:numId w:val="39"/>
        </w:numPr>
        <w:spacing w:after="19"/>
        <w:rPr>
          <w:sz w:val="20"/>
          <w:szCs w:val="20"/>
        </w:rPr>
      </w:pPr>
      <w:r w:rsidRPr="00C2007F">
        <w:rPr>
          <w:sz w:val="20"/>
          <w:szCs w:val="20"/>
        </w:rPr>
        <w:t xml:space="preserve">C. Bottomley et al., Stat. Med. </w:t>
      </w:r>
      <w:r w:rsidRPr="00C2007F">
        <w:rPr>
          <w:b/>
          <w:bCs/>
          <w:sz w:val="20"/>
          <w:szCs w:val="20"/>
        </w:rPr>
        <w:t>42</w:t>
      </w:r>
      <w:r w:rsidRPr="00C2007F">
        <w:rPr>
          <w:sz w:val="20"/>
          <w:szCs w:val="20"/>
        </w:rPr>
        <w:t xml:space="preserve">, 1277 (2023). </w:t>
      </w:r>
    </w:p>
    <w:p w14:paraId="56493CBC" w14:textId="151378B7" w:rsidR="00C2007F" w:rsidRPr="00C2007F" w:rsidRDefault="00C2007F" w:rsidP="00C2007F">
      <w:pPr>
        <w:pStyle w:val="Default"/>
        <w:numPr>
          <w:ilvl w:val="0"/>
          <w:numId w:val="39"/>
        </w:numPr>
        <w:spacing w:after="19"/>
        <w:rPr>
          <w:sz w:val="20"/>
          <w:szCs w:val="20"/>
        </w:rPr>
      </w:pPr>
      <w:r w:rsidRPr="00C2007F">
        <w:rPr>
          <w:sz w:val="20"/>
          <w:szCs w:val="20"/>
        </w:rPr>
        <w:t xml:space="preserve">A. Bhandari, </w:t>
      </w:r>
      <w:r w:rsidRPr="00C2007F">
        <w:rPr>
          <w:i/>
          <w:iCs/>
          <w:sz w:val="20"/>
          <w:szCs w:val="20"/>
        </w:rPr>
        <w:t xml:space="preserve">Multicollinearity: Causes, Effects and Detection Using VIF (Updated 2023) </w:t>
      </w:r>
      <w:r w:rsidRPr="00C2007F">
        <w:rPr>
          <w:sz w:val="20"/>
          <w:szCs w:val="20"/>
        </w:rPr>
        <w:t xml:space="preserve">(Analytics Vidhya, Mumbai, 2020). </w:t>
      </w:r>
    </w:p>
    <w:p w14:paraId="66B422F3" w14:textId="1BDA3581" w:rsidR="00AF4273" w:rsidRDefault="00AF4273" w:rsidP="00C2007F">
      <w:pPr>
        <w:pStyle w:val="Paragraph"/>
        <w:ind w:left="720" w:firstLine="0"/>
      </w:pPr>
    </w:p>
    <w:sectPr w:rsidR="00AF4273"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0C0C732-06EE-4E6B-BD99-A377BA6026E8}"/>
  </w:font>
  <w:font w:name="Times New Roman">
    <w:panose1 w:val="02020603050405020304"/>
    <w:charset w:val="00"/>
    <w:family w:val="roman"/>
    <w:pitch w:val="variable"/>
    <w:sig w:usb0="E0002EFF" w:usb1="C000785B" w:usb2="00000009" w:usb3="00000000" w:csb0="000001FF" w:csb1="00000000"/>
    <w:embedRegular r:id="rId2" w:fontKey="{C9FDFB64-B821-4C8B-B86A-D798E2F7DC7B}"/>
    <w:embedBold r:id="rId3" w:fontKey="{06F9503C-293B-44FE-85EC-F9AD6195CC19}"/>
    <w:embedItalic r:id="rId4" w:fontKey="{07C84010-2676-4B83-94F6-06199EDA3820}"/>
    <w:embedBoldItalic r:id="rId5" w:fontKey="{8F8A2C5C-2B9A-4FFA-ADEF-0A01B20FA30E}"/>
  </w:font>
  <w:font w:name="Courier New">
    <w:panose1 w:val="02070309020205020404"/>
    <w:charset w:val="00"/>
    <w:family w:val="modern"/>
    <w:pitch w:val="fixed"/>
    <w:sig w:usb0="E0002EFF" w:usb1="C0007843" w:usb2="00000009" w:usb3="00000000" w:csb0="000001FF" w:csb1="00000000"/>
    <w:embedRegular r:id="rId6" w:fontKey="{4D29F3FF-FE04-4DFA-BEE0-55BDEE6EB5CD}"/>
  </w:font>
  <w:font w:name="Wingdings">
    <w:panose1 w:val="05000000000000000000"/>
    <w:charset w:val="02"/>
    <w:family w:val="auto"/>
    <w:pitch w:val="variable"/>
    <w:sig w:usb0="00000000" w:usb1="10000000" w:usb2="00000000" w:usb3="00000000" w:csb0="80000000" w:csb1="00000000"/>
    <w:embedRegular r:id="rId7" w:fontKey="{422BCC52-7B89-4E79-B5D1-F12EA8CD24AA}"/>
  </w:font>
  <w:font w:name="Cambria">
    <w:panose1 w:val="02040503050406030204"/>
    <w:charset w:val="00"/>
    <w:family w:val="roman"/>
    <w:pitch w:val="variable"/>
    <w:sig w:usb0="E00006FF" w:usb1="420024FF" w:usb2="02000000" w:usb3="00000000" w:csb0="0000019F" w:csb1="00000000"/>
    <w:embedRegular r:id="rId8" w:fontKey="{AB4233E3-02B2-46ED-AFA1-BDD58A6DC233}"/>
    <w:embedBold r:id="rId9" w:fontKey="{5B8968B8-BA92-4A4B-9D07-49EC01E12D41}"/>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0" w:fontKey="{4BB937C4-A0FF-4CDE-AFF4-A7649AD4FE3F}"/>
    <w:embedBold r:id="rId11" w:fontKey="{EC09C475-06FA-4F72-B436-431036CEB5A7}"/>
    <w:embedItalic r:id="rId12" w:fontKey="{92C7147D-BA89-4627-AC29-1F38EAA13268}"/>
    <w:embedBoldItalic r:id="rId13" w:fontKey="{EC0C2B39-955C-4737-89D6-E4BAD4050D1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63EA0F1B-69D7-4F29-B94F-7D2C8F71F8E5}"/>
  </w:font>
  <w:font w:name="Cambria Math">
    <w:panose1 w:val="02040503050406030204"/>
    <w:charset w:val="00"/>
    <w:family w:val="roman"/>
    <w:pitch w:val="variable"/>
    <w:sig w:usb0="E00006FF" w:usb1="420024FF" w:usb2="02000000" w:usb3="00000000" w:csb0="0000019F" w:csb1="00000000"/>
    <w:embedItalic r:id="rId15" w:fontKey="{6DDFD187-956D-4061-8B9D-C16F0F05E79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0C3EBA"/>
    <w:multiLevelType w:val="hybridMultilevel"/>
    <w:tmpl w:val="484AA17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180504"/>
    <w:multiLevelType w:val="multilevel"/>
    <w:tmpl w:val="19E496C0"/>
    <w:lvl w:ilvl="0">
      <w:start w:val="4"/>
      <w:numFmt w:val="decimal"/>
      <w:lvlText w:val="%1"/>
      <w:lvlJc w:val="left"/>
      <w:pPr>
        <w:ind w:left="383" w:hanging="360"/>
      </w:pPr>
      <w:rPr>
        <w:rFonts w:hint="default"/>
        <w:lang w:val="en-US" w:eastAsia="en-US" w:bidi="ar-SA"/>
      </w:rPr>
    </w:lvl>
    <w:lvl w:ilvl="1">
      <w:start w:val="1"/>
      <w:numFmt w:val="decimal"/>
      <w:lvlText w:val="%1.%2"/>
      <w:lvlJc w:val="left"/>
      <w:pPr>
        <w:ind w:left="383"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451" w:hanging="540"/>
      </w:pPr>
      <w:rPr>
        <w:rFonts w:hint="default"/>
        <w:lang w:val="en-US" w:eastAsia="en-US" w:bidi="ar-SA"/>
      </w:rPr>
    </w:lvl>
    <w:lvl w:ilvl="4">
      <w:numFmt w:val="bullet"/>
      <w:lvlText w:val="•"/>
      <w:lvlJc w:val="left"/>
      <w:pPr>
        <w:ind w:left="3397" w:hanging="540"/>
      </w:pPr>
      <w:rPr>
        <w:rFonts w:hint="default"/>
        <w:lang w:val="en-US" w:eastAsia="en-US" w:bidi="ar-SA"/>
      </w:rPr>
    </w:lvl>
    <w:lvl w:ilvl="5">
      <w:numFmt w:val="bullet"/>
      <w:lvlText w:val="•"/>
      <w:lvlJc w:val="left"/>
      <w:pPr>
        <w:ind w:left="4343" w:hanging="540"/>
      </w:pPr>
      <w:rPr>
        <w:rFonts w:hint="default"/>
        <w:lang w:val="en-US" w:eastAsia="en-US" w:bidi="ar-SA"/>
      </w:rPr>
    </w:lvl>
    <w:lvl w:ilvl="6">
      <w:numFmt w:val="bullet"/>
      <w:lvlText w:val="•"/>
      <w:lvlJc w:val="left"/>
      <w:pPr>
        <w:ind w:left="5289" w:hanging="540"/>
      </w:pPr>
      <w:rPr>
        <w:rFonts w:hint="default"/>
        <w:lang w:val="en-US" w:eastAsia="en-US" w:bidi="ar-SA"/>
      </w:rPr>
    </w:lvl>
    <w:lvl w:ilvl="7">
      <w:numFmt w:val="bullet"/>
      <w:lvlText w:val="•"/>
      <w:lvlJc w:val="left"/>
      <w:pPr>
        <w:ind w:left="6234" w:hanging="540"/>
      </w:pPr>
      <w:rPr>
        <w:rFonts w:hint="default"/>
        <w:lang w:val="en-US" w:eastAsia="en-US" w:bidi="ar-SA"/>
      </w:rPr>
    </w:lvl>
    <w:lvl w:ilvl="8">
      <w:numFmt w:val="bullet"/>
      <w:lvlText w:val="•"/>
      <w:lvlJc w:val="left"/>
      <w:pPr>
        <w:ind w:left="7180" w:hanging="540"/>
      </w:pPr>
      <w:rPr>
        <w:rFonts w:hint="default"/>
        <w:lang w:val="en-US" w:eastAsia="en-US" w:bidi="ar-SA"/>
      </w:rPr>
    </w:lvl>
  </w:abstractNum>
  <w:abstractNum w:abstractNumId="13"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C5C2351"/>
    <w:multiLevelType w:val="multilevel"/>
    <w:tmpl w:val="BEC62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6"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363C609C"/>
    <w:multiLevelType w:val="multilevel"/>
    <w:tmpl w:val="11D0DC0C"/>
    <w:lvl w:ilvl="0">
      <w:start w:val="3"/>
      <w:numFmt w:val="decimal"/>
      <w:lvlText w:val="%1"/>
      <w:lvlJc w:val="left"/>
      <w:pPr>
        <w:ind w:left="383" w:hanging="360"/>
      </w:pPr>
      <w:rPr>
        <w:rFonts w:hint="default"/>
        <w:lang w:val="en-US" w:eastAsia="en-US" w:bidi="ar-SA"/>
      </w:rPr>
    </w:lvl>
    <w:lvl w:ilvl="1">
      <w:start w:val="1"/>
      <w:numFmt w:val="decimal"/>
      <w:lvlText w:val="%1.%2"/>
      <w:lvlJc w:val="left"/>
      <w:pPr>
        <w:ind w:left="383"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451" w:hanging="540"/>
      </w:pPr>
      <w:rPr>
        <w:rFonts w:hint="default"/>
        <w:lang w:val="en-US" w:eastAsia="en-US" w:bidi="ar-SA"/>
      </w:rPr>
    </w:lvl>
    <w:lvl w:ilvl="4">
      <w:numFmt w:val="bullet"/>
      <w:lvlText w:val="•"/>
      <w:lvlJc w:val="left"/>
      <w:pPr>
        <w:ind w:left="3397" w:hanging="540"/>
      </w:pPr>
      <w:rPr>
        <w:rFonts w:hint="default"/>
        <w:lang w:val="en-US" w:eastAsia="en-US" w:bidi="ar-SA"/>
      </w:rPr>
    </w:lvl>
    <w:lvl w:ilvl="5">
      <w:numFmt w:val="bullet"/>
      <w:lvlText w:val="•"/>
      <w:lvlJc w:val="left"/>
      <w:pPr>
        <w:ind w:left="4343" w:hanging="540"/>
      </w:pPr>
      <w:rPr>
        <w:rFonts w:hint="default"/>
        <w:lang w:val="en-US" w:eastAsia="en-US" w:bidi="ar-SA"/>
      </w:rPr>
    </w:lvl>
    <w:lvl w:ilvl="6">
      <w:numFmt w:val="bullet"/>
      <w:lvlText w:val="•"/>
      <w:lvlJc w:val="left"/>
      <w:pPr>
        <w:ind w:left="5289" w:hanging="540"/>
      </w:pPr>
      <w:rPr>
        <w:rFonts w:hint="default"/>
        <w:lang w:val="en-US" w:eastAsia="en-US" w:bidi="ar-SA"/>
      </w:rPr>
    </w:lvl>
    <w:lvl w:ilvl="7">
      <w:numFmt w:val="bullet"/>
      <w:lvlText w:val="•"/>
      <w:lvlJc w:val="left"/>
      <w:pPr>
        <w:ind w:left="6234" w:hanging="540"/>
      </w:pPr>
      <w:rPr>
        <w:rFonts w:hint="default"/>
        <w:lang w:val="en-US" w:eastAsia="en-US" w:bidi="ar-SA"/>
      </w:rPr>
    </w:lvl>
    <w:lvl w:ilvl="8">
      <w:numFmt w:val="bullet"/>
      <w:lvlText w:val="•"/>
      <w:lvlJc w:val="left"/>
      <w:pPr>
        <w:ind w:left="7180" w:hanging="540"/>
      </w:pPr>
      <w:rPr>
        <w:rFonts w:hint="default"/>
        <w:lang w:val="en-US" w:eastAsia="en-US" w:bidi="ar-SA"/>
      </w:rPr>
    </w:lvl>
  </w:abstractNum>
  <w:abstractNum w:abstractNumId="19"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21"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2F440E"/>
    <w:multiLevelType w:val="multilevel"/>
    <w:tmpl w:val="3484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6C5E231E"/>
    <w:multiLevelType w:val="multilevel"/>
    <w:tmpl w:val="BEC62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293846"/>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29"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4746977">
    <w:abstractNumId w:val="8"/>
  </w:num>
  <w:num w:numId="2" w16cid:durableId="863594854">
    <w:abstractNumId w:val="6"/>
  </w:num>
  <w:num w:numId="3" w16cid:durableId="1171095031">
    <w:abstractNumId w:val="5"/>
  </w:num>
  <w:num w:numId="4" w16cid:durableId="345447139">
    <w:abstractNumId w:val="4"/>
  </w:num>
  <w:num w:numId="5" w16cid:durableId="754668560">
    <w:abstractNumId w:val="7"/>
  </w:num>
  <w:num w:numId="6" w16cid:durableId="732237337">
    <w:abstractNumId w:val="3"/>
  </w:num>
  <w:num w:numId="7" w16cid:durableId="1836872038">
    <w:abstractNumId w:val="2"/>
  </w:num>
  <w:num w:numId="8" w16cid:durableId="1579712500">
    <w:abstractNumId w:val="1"/>
  </w:num>
  <w:num w:numId="9" w16cid:durableId="1979602902">
    <w:abstractNumId w:val="0"/>
  </w:num>
  <w:num w:numId="10" w16cid:durableId="935484332">
    <w:abstractNumId w:val="31"/>
  </w:num>
  <w:num w:numId="11" w16cid:durableId="464666579">
    <w:abstractNumId w:val="15"/>
  </w:num>
  <w:num w:numId="12" w16cid:durableId="866452512">
    <w:abstractNumId w:val="28"/>
  </w:num>
  <w:num w:numId="13" w16cid:durableId="1094860242">
    <w:abstractNumId w:val="20"/>
  </w:num>
  <w:num w:numId="14" w16cid:durableId="907769551">
    <w:abstractNumId w:val="25"/>
  </w:num>
  <w:num w:numId="15" w16cid:durableId="1980451274">
    <w:abstractNumId w:val="16"/>
  </w:num>
  <w:num w:numId="16" w16cid:durableId="1781728229">
    <w:abstractNumId w:val="19"/>
  </w:num>
  <w:num w:numId="17" w16cid:durableId="671563849">
    <w:abstractNumId w:val="11"/>
  </w:num>
  <w:num w:numId="18" w16cid:durableId="498161747">
    <w:abstractNumId w:val="30"/>
  </w:num>
  <w:num w:numId="19" w16cid:durableId="1748071142">
    <w:abstractNumId w:val="23"/>
  </w:num>
  <w:num w:numId="20" w16cid:durableId="1598169981">
    <w:abstractNumId w:val="29"/>
  </w:num>
  <w:num w:numId="21" w16cid:durableId="1096249423">
    <w:abstractNumId w:val="24"/>
  </w:num>
  <w:num w:numId="22" w16cid:durableId="1851531272">
    <w:abstractNumId w:val="17"/>
  </w:num>
  <w:num w:numId="23" w16cid:durableId="1539388749">
    <w:abstractNumId w:val="21"/>
  </w:num>
  <w:num w:numId="24" w16cid:durableId="1395081304">
    <w:abstractNumId w:val="25"/>
    <w:lvlOverride w:ilvl="0">
      <w:startOverride w:val="1"/>
    </w:lvlOverride>
  </w:num>
  <w:num w:numId="25" w16cid:durableId="1642274254">
    <w:abstractNumId w:val="25"/>
    <w:lvlOverride w:ilvl="0">
      <w:startOverride w:val="1"/>
    </w:lvlOverride>
  </w:num>
  <w:num w:numId="26" w16cid:durableId="1579363297">
    <w:abstractNumId w:val="25"/>
    <w:lvlOverride w:ilvl="0">
      <w:startOverride w:val="1"/>
    </w:lvlOverride>
  </w:num>
  <w:num w:numId="27" w16cid:durableId="441069832">
    <w:abstractNumId w:val="28"/>
    <w:lvlOverride w:ilvl="0">
      <w:startOverride w:val="1"/>
    </w:lvlOverride>
  </w:num>
  <w:num w:numId="28" w16cid:durableId="412708239">
    <w:abstractNumId w:val="28"/>
    <w:lvlOverride w:ilvl="0">
      <w:startOverride w:val="1"/>
    </w:lvlOverride>
  </w:num>
  <w:num w:numId="29" w16cid:durableId="840580779">
    <w:abstractNumId w:val="28"/>
    <w:lvlOverride w:ilvl="0">
      <w:startOverride w:val="1"/>
    </w:lvlOverride>
  </w:num>
  <w:num w:numId="30" w16cid:durableId="1660158002">
    <w:abstractNumId w:val="28"/>
    <w:lvlOverride w:ilvl="0">
      <w:startOverride w:val="1"/>
    </w:lvlOverride>
  </w:num>
  <w:num w:numId="31" w16cid:durableId="61368889">
    <w:abstractNumId w:val="28"/>
    <w:lvlOverride w:ilvl="0">
      <w:startOverride w:val="1"/>
    </w:lvlOverride>
  </w:num>
  <w:num w:numId="32" w16cid:durableId="1757244101">
    <w:abstractNumId w:val="13"/>
  </w:num>
  <w:num w:numId="33" w16cid:durableId="1516190227">
    <w:abstractNumId w:val="9"/>
  </w:num>
  <w:num w:numId="34" w16cid:durableId="1431005161">
    <w:abstractNumId w:val="18"/>
  </w:num>
  <w:num w:numId="35" w16cid:durableId="1108618110">
    <w:abstractNumId w:val="12"/>
  </w:num>
  <w:num w:numId="36" w16cid:durableId="1907955975">
    <w:abstractNumId w:val="22"/>
  </w:num>
  <w:num w:numId="37" w16cid:durableId="236019362">
    <w:abstractNumId w:val="26"/>
  </w:num>
  <w:num w:numId="38" w16cid:durableId="1703633315">
    <w:abstractNumId w:val="14"/>
  </w:num>
  <w:num w:numId="39" w16cid:durableId="11371851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attachedTemplate r:id="rId1"/>
  <w:linkStyl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1260"/>
    <w:rsid w:val="00001D4D"/>
    <w:rsid w:val="00005BBE"/>
    <w:rsid w:val="00005F32"/>
    <w:rsid w:val="000062F4"/>
    <w:rsid w:val="0001421B"/>
    <w:rsid w:val="00021B9E"/>
    <w:rsid w:val="000243CA"/>
    <w:rsid w:val="00032749"/>
    <w:rsid w:val="00034616"/>
    <w:rsid w:val="00035642"/>
    <w:rsid w:val="00035DF6"/>
    <w:rsid w:val="00043A32"/>
    <w:rsid w:val="00045905"/>
    <w:rsid w:val="00046EAC"/>
    <w:rsid w:val="0005305C"/>
    <w:rsid w:val="00054190"/>
    <w:rsid w:val="0006063C"/>
    <w:rsid w:val="00061E06"/>
    <w:rsid w:val="0008208D"/>
    <w:rsid w:val="000875CA"/>
    <w:rsid w:val="00091B81"/>
    <w:rsid w:val="00096606"/>
    <w:rsid w:val="0009768F"/>
    <w:rsid w:val="000A349C"/>
    <w:rsid w:val="000B0D39"/>
    <w:rsid w:val="000B5892"/>
    <w:rsid w:val="000C5488"/>
    <w:rsid w:val="000C562C"/>
    <w:rsid w:val="000D4910"/>
    <w:rsid w:val="000E107F"/>
    <w:rsid w:val="000F06A9"/>
    <w:rsid w:val="000F5B1F"/>
    <w:rsid w:val="000F6406"/>
    <w:rsid w:val="000F7575"/>
    <w:rsid w:val="00103E41"/>
    <w:rsid w:val="0011115D"/>
    <w:rsid w:val="00113352"/>
    <w:rsid w:val="001202CB"/>
    <w:rsid w:val="00121F71"/>
    <w:rsid w:val="00132E02"/>
    <w:rsid w:val="00140D52"/>
    <w:rsid w:val="00147A32"/>
    <w:rsid w:val="0015074B"/>
    <w:rsid w:val="001509AE"/>
    <w:rsid w:val="00156CD1"/>
    <w:rsid w:val="00157F0B"/>
    <w:rsid w:val="0016695A"/>
    <w:rsid w:val="001703D0"/>
    <w:rsid w:val="001822FC"/>
    <w:rsid w:val="001827AF"/>
    <w:rsid w:val="00184E59"/>
    <w:rsid w:val="00195174"/>
    <w:rsid w:val="00196DDD"/>
    <w:rsid w:val="001A60FD"/>
    <w:rsid w:val="001B3C86"/>
    <w:rsid w:val="001C3127"/>
    <w:rsid w:val="001C450F"/>
    <w:rsid w:val="001C5978"/>
    <w:rsid w:val="001D2475"/>
    <w:rsid w:val="001D30D7"/>
    <w:rsid w:val="001E02A2"/>
    <w:rsid w:val="001E5082"/>
    <w:rsid w:val="001E717D"/>
    <w:rsid w:val="001F4CAC"/>
    <w:rsid w:val="001F59B3"/>
    <w:rsid w:val="001F5E42"/>
    <w:rsid w:val="00203AF1"/>
    <w:rsid w:val="00206BF7"/>
    <w:rsid w:val="00217CF4"/>
    <w:rsid w:val="00223466"/>
    <w:rsid w:val="00227DD9"/>
    <w:rsid w:val="0023191B"/>
    <w:rsid w:val="002345E6"/>
    <w:rsid w:val="002359C9"/>
    <w:rsid w:val="0024011D"/>
    <w:rsid w:val="0024326F"/>
    <w:rsid w:val="00245E05"/>
    <w:rsid w:val="00251B34"/>
    <w:rsid w:val="00252BFD"/>
    <w:rsid w:val="002556EF"/>
    <w:rsid w:val="00262058"/>
    <w:rsid w:val="00265139"/>
    <w:rsid w:val="00267B46"/>
    <w:rsid w:val="0027206C"/>
    <w:rsid w:val="002746AB"/>
    <w:rsid w:val="002760F7"/>
    <w:rsid w:val="002801E2"/>
    <w:rsid w:val="00281FEF"/>
    <w:rsid w:val="00286680"/>
    <w:rsid w:val="0029211F"/>
    <w:rsid w:val="002951BD"/>
    <w:rsid w:val="0029639D"/>
    <w:rsid w:val="00296E4A"/>
    <w:rsid w:val="002A667F"/>
    <w:rsid w:val="002B2155"/>
    <w:rsid w:val="002B39B5"/>
    <w:rsid w:val="002B590F"/>
    <w:rsid w:val="002C3A91"/>
    <w:rsid w:val="002C41BF"/>
    <w:rsid w:val="002C469A"/>
    <w:rsid w:val="002C6F58"/>
    <w:rsid w:val="002D348C"/>
    <w:rsid w:val="002D3ED1"/>
    <w:rsid w:val="002D4B6F"/>
    <w:rsid w:val="002E19F2"/>
    <w:rsid w:val="002E1F22"/>
    <w:rsid w:val="002E3B26"/>
    <w:rsid w:val="00307176"/>
    <w:rsid w:val="003109FB"/>
    <w:rsid w:val="00311B30"/>
    <w:rsid w:val="00312185"/>
    <w:rsid w:val="00321A88"/>
    <w:rsid w:val="00324392"/>
    <w:rsid w:val="00326F90"/>
    <w:rsid w:val="00332DBD"/>
    <w:rsid w:val="00341D64"/>
    <w:rsid w:val="00345121"/>
    <w:rsid w:val="00350E26"/>
    <w:rsid w:val="003531E0"/>
    <w:rsid w:val="0035569D"/>
    <w:rsid w:val="00355B74"/>
    <w:rsid w:val="003632F3"/>
    <w:rsid w:val="003854D2"/>
    <w:rsid w:val="003905BA"/>
    <w:rsid w:val="00392B62"/>
    <w:rsid w:val="00394219"/>
    <w:rsid w:val="003A3178"/>
    <w:rsid w:val="003A3767"/>
    <w:rsid w:val="003A44B2"/>
    <w:rsid w:val="003A4B8E"/>
    <w:rsid w:val="003A650B"/>
    <w:rsid w:val="003A6B78"/>
    <w:rsid w:val="003B1EB1"/>
    <w:rsid w:val="003B2006"/>
    <w:rsid w:val="003B25E4"/>
    <w:rsid w:val="003B4D71"/>
    <w:rsid w:val="003C624F"/>
    <w:rsid w:val="003C6CFE"/>
    <w:rsid w:val="003D1B1A"/>
    <w:rsid w:val="003D4491"/>
    <w:rsid w:val="003D5CFB"/>
    <w:rsid w:val="003E488B"/>
    <w:rsid w:val="003E7189"/>
    <w:rsid w:val="003E79DD"/>
    <w:rsid w:val="003F67AD"/>
    <w:rsid w:val="00407F4E"/>
    <w:rsid w:val="00413C15"/>
    <w:rsid w:val="00413CF7"/>
    <w:rsid w:val="00414141"/>
    <w:rsid w:val="00414B1A"/>
    <w:rsid w:val="00417A3D"/>
    <w:rsid w:val="00431E23"/>
    <w:rsid w:val="00435DAE"/>
    <w:rsid w:val="00435EAE"/>
    <w:rsid w:val="004371E2"/>
    <w:rsid w:val="004417C7"/>
    <w:rsid w:val="004471A1"/>
    <w:rsid w:val="00447D69"/>
    <w:rsid w:val="004522F2"/>
    <w:rsid w:val="00453B4D"/>
    <w:rsid w:val="00455EC7"/>
    <w:rsid w:val="00456B30"/>
    <w:rsid w:val="00456C56"/>
    <w:rsid w:val="004574D4"/>
    <w:rsid w:val="00464AFE"/>
    <w:rsid w:val="00467CA1"/>
    <w:rsid w:val="00470C4C"/>
    <w:rsid w:val="0047218D"/>
    <w:rsid w:val="00474989"/>
    <w:rsid w:val="00474E60"/>
    <w:rsid w:val="00474EDF"/>
    <w:rsid w:val="0047609D"/>
    <w:rsid w:val="004817E5"/>
    <w:rsid w:val="00495698"/>
    <w:rsid w:val="004A5603"/>
    <w:rsid w:val="004A66F3"/>
    <w:rsid w:val="004B1DBD"/>
    <w:rsid w:val="004B32A2"/>
    <w:rsid w:val="004B33BD"/>
    <w:rsid w:val="004B3E18"/>
    <w:rsid w:val="004B4681"/>
    <w:rsid w:val="004B5348"/>
    <w:rsid w:val="004B601D"/>
    <w:rsid w:val="004C14EA"/>
    <w:rsid w:val="004C1FD1"/>
    <w:rsid w:val="004C6652"/>
    <w:rsid w:val="004D5D51"/>
    <w:rsid w:val="004E2CD3"/>
    <w:rsid w:val="004E6A7E"/>
    <w:rsid w:val="004E6AD7"/>
    <w:rsid w:val="004F196D"/>
    <w:rsid w:val="004F7E3B"/>
    <w:rsid w:val="005008E9"/>
    <w:rsid w:val="005020EA"/>
    <w:rsid w:val="005026C9"/>
    <w:rsid w:val="00504224"/>
    <w:rsid w:val="0050597B"/>
    <w:rsid w:val="00507925"/>
    <w:rsid w:val="0051769D"/>
    <w:rsid w:val="00522A45"/>
    <w:rsid w:val="00524DB2"/>
    <w:rsid w:val="00532D03"/>
    <w:rsid w:val="00532EEA"/>
    <w:rsid w:val="0054161F"/>
    <w:rsid w:val="00543860"/>
    <w:rsid w:val="00546D83"/>
    <w:rsid w:val="0055006D"/>
    <w:rsid w:val="005531BD"/>
    <w:rsid w:val="00554383"/>
    <w:rsid w:val="0055468A"/>
    <w:rsid w:val="00555ADD"/>
    <w:rsid w:val="00556C36"/>
    <w:rsid w:val="0056121F"/>
    <w:rsid w:val="005621AE"/>
    <w:rsid w:val="00564530"/>
    <w:rsid w:val="00564CF6"/>
    <w:rsid w:val="0056650A"/>
    <w:rsid w:val="005716BB"/>
    <w:rsid w:val="0057377B"/>
    <w:rsid w:val="0057456E"/>
    <w:rsid w:val="005758C2"/>
    <w:rsid w:val="00575906"/>
    <w:rsid w:val="0057701E"/>
    <w:rsid w:val="00587128"/>
    <w:rsid w:val="00592CC9"/>
    <w:rsid w:val="005959CF"/>
    <w:rsid w:val="005A66C7"/>
    <w:rsid w:val="005A6BF0"/>
    <w:rsid w:val="005B1048"/>
    <w:rsid w:val="005B33BA"/>
    <w:rsid w:val="005C6F72"/>
    <w:rsid w:val="005D44A6"/>
    <w:rsid w:val="005D709A"/>
    <w:rsid w:val="005E149B"/>
    <w:rsid w:val="005E3E61"/>
    <w:rsid w:val="005F1859"/>
    <w:rsid w:val="005F1CF8"/>
    <w:rsid w:val="005F2E60"/>
    <w:rsid w:val="005F57E6"/>
    <w:rsid w:val="005F7F9A"/>
    <w:rsid w:val="00602AB0"/>
    <w:rsid w:val="00603859"/>
    <w:rsid w:val="006059DA"/>
    <w:rsid w:val="00613556"/>
    <w:rsid w:val="006137F7"/>
    <w:rsid w:val="00616D08"/>
    <w:rsid w:val="00617211"/>
    <w:rsid w:val="0062741D"/>
    <w:rsid w:val="006342D1"/>
    <w:rsid w:val="00635494"/>
    <w:rsid w:val="006419C4"/>
    <w:rsid w:val="00641FCD"/>
    <w:rsid w:val="00642CA7"/>
    <w:rsid w:val="006450E5"/>
    <w:rsid w:val="00647764"/>
    <w:rsid w:val="00650F66"/>
    <w:rsid w:val="0065349D"/>
    <w:rsid w:val="00653F50"/>
    <w:rsid w:val="00663A7E"/>
    <w:rsid w:val="00673420"/>
    <w:rsid w:val="00676954"/>
    <w:rsid w:val="00681698"/>
    <w:rsid w:val="00684BA6"/>
    <w:rsid w:val="006870EF"/>
    <w:rsid w:val="006929E8"/>
    <w:rsid w:val="00693950"/>
    <w:rsid w:val="00694942"/>
    <w:rsid w:val="00696F3C"/>
    <w:rsid w:val="006A2592"/>
    <w:rsid w:val="006B0264"/>
    <w:rsid w:val="006B3051"/>
    <w:rsid w:val="006B3313"/>
    <w:rsid w:val="006B6CC8"/>
    <w:rsid w:val="006C48F4"/>
    <w:rsid w:val="006D3B89"/>
    <w:rsid w:val="006E600D"/>
    <w:rsid w:val="006F1837"/>
    <w:rsid w:val="006F395A"/>
    <w:rsid w:val="006F4379"/>
    <w:rsid w:val="006F7F21"/>
    <w:rsid w:val="007053E0"/>
    <w:rsid w:val="00706C58"/>
    <w:rsid w:val="0072031D"/>
    <w:rsid w:val="00727FC0"/>
    <w:rsid w:val="0073423B"/>
    <w:rsid w:val="00735DF4"/>
    <w:rsid w:val="007364CD"/>
    <w:rsid w:val="007429A9"/>
    <w:rsid w:val="00764B2C"/>
    <w:rsid w:val="00775291"/>
    <w:rsid w:val="00775B13"/>
    <w:rsid w:val="007824CA"/>
    <w:rsid w:val="007833E0"/>
    <w:rsid w:val="00796941"/>
    <w:rsid w:val="007976F9"/>
    <w:rsid w:val="007A00F4"/>
    <w:rsid w:val="007A0335"/>
    <w:rsid w:val="007A2DBC"/>
    <w:rsid w:val="007A3DBB"/>
    <w:rsid w:val="007A514E"/>
    <w:rsid w:val="007A64D7"/>
    <w:rsid w:val="007B0F7B"/>
    <w:rsid w:val="007B13DE"/>
    <w:rsid w:val="007B443E"/>
    <w:rsid w:val="007B5CB5"/>
    <w:rsid w:val="007B7EED"/>
    <w:rsid w:val="007C56A5"/>
    <w:rsid w:val="007C58EC"/>
    <w:rsid w:val="007D4362"/>
    <w:rsid w:val="007D5CBC"/>
    <w:rsid w:val="007E2F6B"/>
    <w:rsid w:val="007F64F8"/>
    <w:rsid w:val="00801338"/>
    <w:rsid w:val="00801E51"/>
    <w:rsid w:val="008039BE"/>
    <w:rsid w:val="0081195D"/>
    <w:rsid w:val="008129B8"/>
    <w:rsid w:val="00813264"/>
    <w:rsid w:val="008162E5"/>
    <w:rsid w:val="008337A9"/>
    <w:rsid w:val="0084001D"/>
    <w:rsid w:val="008435E9"/>
    <w:rsid w:val="00846F19"/>
    <w:rsid w:val="008508AC"/>
    <w:rsid w:val="00855658"/>
    <w:rsid w:val="00865D8B"/>
    <w:rsid w:val="008662BC"/>
    <w:rsid w:val="008717B1"/>
    <w:rsid w:val="0087254D"/>
    <w:rsid w:val="00873F70"/>
    <w:rsid w:val="00883389"/>
    <w:rsid w:val="00883F8A"/>
    <w:rsid w:val="00890115"/>
    <w:rsid w:val="00893270"/>
    <w:rsid w:val="008939DE"/>
    <w:rsid w:val="00897CB7"/>
    <w:rsid w:val="008B6BA6"/>
    <w:rsid w:val="008B7FDB"/>
    <w:rsid w:val="008C275B"/>
    <w:rsid w:val="008C37E8"/>
    <w:rsid w:val="008C47D3"/>
    <w:rsid w:val="008D2322"/>
    <w:rsid w:val="008D757A"/>
    <w:rsid w:val="008E6534"/>
    <w:rsid w:val="008F0B22"/>
    <w:rsid w:val="008F11DB"/>
    <w:rsid w:val="008F3FF0"/>
    <w:rsid w:val="008F47D4"/>
    <w:rsid w:val="00912C41"/>
    <w:rsid w:val="00912E73"/>
    <w:rsid w:val="0091348C"/>
    <w:rsid w:val="00920862"/>
    <w:rsid w:val="00940EA3"/>
    <w:rsid w:val="009465FE"/>
    <w:rsid w:val="009507AC"/>
    <w:rsid w:val="0095395B"/>
    <w:rsid w:val="00954353"/>
    <w:rsid w:val="00956714"/>
    <w:rsid w:val="009620E8"/>
    <w:rsid w:val="00970F30"/>
    <w:rsid w:val="009732E6"/>
    <w:rsid w:val="00977DB4"/>
    <w:rsid w:val="009808E1"/>
    <w:rsid w:val="00985B5F"/>
    <w:rsid w:val="0098724B"/>
    <w:rsid w:val="009937AE"/>
    <w:rsid w:val="00997280"/>
    <w:rsid w:val="009A0299"/>
    <w:rsid w:val="009A0C97"/>
    <w:rsid w:val="009A218D"/>
    <w:rsid w:val="009C1D8F"/>
    <w:rsid w:val="009C486B"/>
    <w:rsid w:val="009C6E35"/>
    <w:rsid w:val="009D218D"/>
    <w:rsid w:val="009D2435"/>
    <w:rsid w:val="009D3AFD"/>
    <w:rsid w:val="009D4489"/>
    <w:rsid w:val="009D611E"/>
    <w:rsid w:val="009E1FFA"/>
    <w:rsid w:val="009E2325"/>
    <w:rsid w:val="009E2653"/>
    <w:rsid w:val="009E667B"/>
    <w:rsid w:val="009F450E"/>
    <w:rsid w:val="009F53CF"/>
    <w:rsid w:val="00A00761"/>
    <w:rsid w:val="00A011AB"/>
    <w:rsid w:val="00A0482A"/>
    <w:rsid w:val="00A14717"/>
    <w:rsid w:val="00A17486"/>
    <w:rsid w:val="00A20624"/>
    <w:rsid w:val="00A218FA"/>
    <w:rsid w:val="00A271AA"/>
    <w:rsid w:val="00A32E5F"/>
    <w:rsid w:val="00A40E8D"/>
    <w:rsid w:val="00A41411"/>
    <w:rsid w:val="00A417F1"/>
    <w:rsid w:val="00A43113"/>
    <w:rsid w:val="00A477C2"/>
    <w:rsid w:val="00A47C58"/>
    <w:rsid w:val="00A5230D"/>
    <w:rsid w:val="00A56231"/>
    <w:rsid w:val="00A564E1"/>
    <w:rsid w:val="00A56D20"/>
    <w:rsid w:val="00A63F35"/>
    <w:rsid w:val="00A64601"/>
    <w:rsid w:val="00A66324"/>
    <w:rsid w:val="00A66A22"/>
    <w:rsid w:val="00A677FD"/>
    <w:rsid w:val="00A67B56"/>
    <w:rsid w:val="00A67FC3"/>
    <w:rsid w:val="00A71590"/>
    <w:rsid w:val="00A7424B"/>
    <w:rsid w:val="00A7468E"/>
    <w:rsid w:val="00A7549A"/>
    <w:rsid w:val="00A75ADE"/>
    <w:rsid w:val="00A77A9D"/>
    <w:rsid w:val="00A819C0"/>
    <w:rsid w:val="00A81B09"/>
    <w:rsid w:val="00A82B75"/>
    <w:rsid w:val="00A85D08"/>
    <w:rsid w:val="00A8614C"/>
    <w:rsid w:val="00A869A0"/>
    <w:rsid w:val="00A90ABD"/>
    <w:rsid w:val="00A915A3"/>
    <w:rsid w:val="00A91BA2"/>
    <w:rsid w:val="00A91F60"/>
    <w:rsid w:val="00A92CD1"/>
    <w:rsid w:val="00A975B7"/>
    <w:rsid w:val="00A97E8F"/>
    <w:rsid w:val="00AA13D6"/>
    <w:rsid w:val="00AA1D8D"/>
    <w:rsid w:val="00AA6387"/>
    <w:rsid w:val="00AA6BEB"/>
    <w:rsid w:val="00AB091B"/>
    <w:rsid w:val="00AB30AF"/>
    <w:rsid w:val="00AB722A"/>
    <w:rsid w:val="00AD1D71"/>
    <w:rsid w:val="00AD5455"/>
    <w:rsid w:val="00AD57AD"/>
    <w:rsid w:val="00AD777C"/>
    <w:rsid w:val="00AE25E0"/>
    <w:rsid w:val="00AF4273"/>
    <w:rsid w:val="00AF6C67"/>
    <w:rsid w:val="00B051BB"/>
    <w:rsid w:val="00B126A3"/>
    <w:rsid w:val="00B22256"/>
    <w:rsid w:val="00B23049"/>
    <w:rsid w:val="00B410CA"/>
    <w:rsid w:val="00B43097"/>
    <w:rsid w:val="00B467D9"/>
    <w:rsid w:val="00B47730"/>
    <w:rsid w:val="00B52E3D"/>
    <w:rsid w:val="00B61B66"/>
    <w:rsid w:val="00B66261"/>
    <w:rsid w:val="00B71072"/>
    <w:rsid w:val="00B71CC9"/>
    <w:rsid w:val="00B7316E"/>
    <w:rsid w:val="00B80CF4"/>
    <w:rsid w:val="00B82DD4"/>
    <w:rsid w:val="00BA0060"/>
    <w:rsid w:val="00BA7318"/>
    <w:rsid w:val="00BB11E2"/>
    <w:rsid w:val="00BB7E74"/>
    <w:rsid w:val="00BC2463"/>
    <w:rsid w:val="00BC5EA5"/>
    <w:rsid w:val="00BC7061"/>
    <w:rsid w:val="00BD2266"/>
    <w:rsid w:val="00BD44DE"/>
    <w:rsid w:val="00BE4AFD"/>
    <w:rsid w:val="00BF3825"/>
    <w:rsid w:val="00BF3B0A"/>
    <w:rsid w:val="00C042DE"/>
    <w:rsid w:val="00C13F7A"/>
    <w:rsid w:val="00C2007F"/>
    <w:rsid w:val="00C21615"/>
    <w:rsid w:val="00C21DE2"/>
    <w:rsid w:val="00C21F60"/>
    <w:rsid w:val="00C23834"/>
    <w:rsid w:val="00C25070"/>
    <w:rsid w:val="00C31451"/>
    <w:rsid w:val="00C376DB"/>
    <w:rsid w:val="00C4018E"/>
    <w:rsid w:val="00C473E1"/>
    <w:rsid w:val="00C54714"/>
    <w:rsid w:val="00C54DFF"/>
    <w:rsid w:val="00C55EDA"/>
    <w:rsid w:val="00C56087"/>
    <w:rsid w:val="00C60379"/>
    <w:rsid w:val="00C70C65"/>
    <w:rsid w:val="00C73946"/>
    <w:rsid w:val="00C75A6A"/>
    <w:rsid w:val="00C816F0"/>
    <w:rsid w:val="00C827A6"/>
    <w:rsid w:val="00C82A1E"/>
    <w:rsid w:val="00C90E6B"/>
    <w:rsid w:val="00C91DE7"/>
    <w:rsid w:val="00C95C37"/>
    <w:rsid w:val="00C96078"/>
    <w:rsid w:val="00CA21F1"/>
    <w:rsid w:val="00CA2395"/>
    <w:rsid w:val="00CA33F8"/>
    <w:rsid w:val="00CA4793"/>
    <w:rsid w:val="00CA62DC"/>
    <w:rsid w:val="00CA64CF"/>
    <w:rsid w:val="00CA6E5D"/>
    <w:rsid w:val="00CB0664"/>
    <w:rsid w:val="00CB1BB4"/>
    <w:rsid w:val="00CC03F8"/>
    <w:rsid w:val="00CC0F63"/>
    <w:rsid w:val="00CC7BE8"/>
    <w:rsid w:val="00CD28A7"/>
    <w:rsid w:val="00CE05F3"/>
    <w:rsid w:val="00CE62F4"/>
    <w:rsid w:val="00CF188D"/>
    <w:rsid w:val="00CF3D41"/>
    <w:rsid w:val="00D00911"/>
    <w:rsid w:val="00D021EB"/>
    <w:rsid w:val="00D11DBC"/>
    <w:rsid w:val="00D12475"/>
    <w:rsid w:val="00D13533"/>
    <w:rsid w:val="00D20500"/>
    <w:rsid w:val="00D208E9"/>
    <w:rsid w:val="00D21171"/>
    <w:rsid w:val="00D23F34"/>
    <w:rsid w:val="00D25068"/>
    <w:rsid w:val="00D33B5E"/>
    <w:rsid w:val="00D410DD"/>
    <w:rsid w:val="00D437C4"/>
    <w:rsid w:val="00D45B4A"/>
    <w:rsid w:val="00D50C17"/>
    <w:rsid w:val="00D5188F"/>
    <w:rsid w:val="00D53E10"/>
    <w:rsid w:val="00D542EB"/>
    <w:rsid w:val="00D578C6"/>
    <w:rsid w:val="00D61C12"/>
    <w:rsid w:val="00D64A20"/>
    <w:rsid w:val="00D7310F"/>
    <w:rsid w:val="00D76AA2"/>
    <w:rsid w:val="00D76EF1"/>
    <w:rsid w:val="00D81189"/>
    <w:rsid w:val="00D82AA9"/>
    <w:rsid w:val="00D84ABE"/>
    <w:rsid w:val="00D85F2D"/>
    <w:rsid w:val="00D914CF"/>
    <w:rsid w:val="00D942ED"/>
    <w:rsid w:val="00D94A16"/>
    <w:rsid w:val="00D94A53"/>
    <w:rsid w:val="00DA1AD5"/>
    <w:rsid w:val="00DA1D66"/>
    <w:rsid w:val="00DA317B"/>
    <w:rsid w:val="00DA49A2"/>
    <w:rsid w:val="00DB0F26"/>
    <w:rsid w:val="00DB12B3"/>
    <w:rsid w:val="00DB2039"/>
    <w:rsid w:val="00DC4D6A"/>
    <w:rsid w:val="00DC5AC4"/>
    <w:rsid w:val="00DD1A3B"/>
    <w:rsid w:val="00DD6FFA"/>
    <w:rsid w:val="00DE0CF6"/>
    <w:rsid w:val="00DE178C"/>
    <w:rsid w:val="00DE4081"/>
    <w:rsid w:val="00DF563D"/>
    <w:rsid w:val="00DF7D38"/>
    <w:rsid w:val="00E0025A"/>
    <w:rsid w:val="00E00EA7"/>
    <w:rsid w:val="00E01236"/>
    <w:rsid w:val="00E04C0F"/>
    <w:rsid w:val="00E105AB"/>
    <w:rsid w:val="00E114FE"/>
    <w:rsid w:val="00E125ED"/>
    <w:rsid w:val="00E14261"/>
    <w:rsid w:val="00E143FD"/>
    <w:rsid w:val="00E14AC2"/>
    <w:rsid w:val="00E175CE"/>
    <w:rsid w:val="00E227E7"/>
    <w:rsid w:val="00E236B8"/>
    <w:rsid w:val="00E24A6D"/>
    <w:rsid w:val="00E258AA"/>
    <w:rsid w:val="00E30158"/>
    <w:rsid w:val="00E33C67"/>
    <w:rsid w:val="00E35699"/>
    <w:rsid w:val="00E359A2"/>
    <w:rsid w:val="00E3769E"/>
    <w:rsid w:val="00E406C0"/>
    <w:rsid w:val="00E4194A"/>
    <w:rsid w:val="00E44625"/>
    <w:rsid w:val="00E5740D"/>
    <w:rsid w:val="00E57A3F"/>
    <w:rsid w:val="00E653F6"/>
    <w:rsid w:val="00E75E52"/>
    <w:rsid w:val="00E76E4E"/>
    <w:rsid w:val="00E77F6B"/>
    <w:rsid w:val="00E80580"/>
    <w:rsid w:val="00E835A7"/>
    <w:rsid w:val="00E92221"/>
    <w:rsid w:val="00E93778"/>
    <w:rsid w:val="00E96BD1"/>
    <w:rsid w:val="00EA7519"/>
    <w:rsid w:val="00EB0DB9"/>
    <w:rsid w:val="00EB3D98"/>
    <w:rsid w:val="00EB4A1E"/>
    <w:rsid w:val="00EB4C76"/>
    <w:rsid w:val="00EC2012"/>
    <w:rsid w:val="00EC375B"/>
    <w:rsid w:val="00ED1851"/>
    <w:rsid w:val="00ED193C"/>
    <w:rsid w:val="00EE4310"/>
    <w:rsid w:val="00EF1C60"/>
    <w:rsid w:val="00EF2F77"/>
    <w:rsid w:val="00EF6132"/>
    <w:rsid w:val="00EF6A31"/>
    <w:rsid w:val="00F06C39"/>
    <w:rsid w:val="00F11144"/>
    <w:rsid w:val="00F14A4D"/>
    <w:rsid w:val="00F16731"/>
    <w:rsid w:val="00F25201"/>
    <w:rsid w:val="00F256D9"/>
    <w:rsid w:val="00F26EC7"/>
    <w:rsid w:val="00F36629"/>
    <w:rsid w:val="00F404F1"/>
    <w:rsid w:val="00F42AA7"/>
    <w:rsid w:val="00F43DC3"/>
    <w:rsid w:val="00F4464D"/>
    <w:rsid w:val="00F51288"/>
    <w:rsid w:val="00F52036"/>
    <w:rsid w:val="00F61AA8"/>
    <w:rsid w:val="00F62242"/>
    <w:rsid w:val="00F62507"/>
    <w:rsid w:val="00F62C86"/>
    <w:rsid w:val="00F642AA"/>
    <w:rsid w:val="00F7436F"/>
    <w:rsid w:val="00F75A93"/>
    <w:rsid w:val="00F75C23"/>
    <w:rsid w:val="00F82FBD"/>
    <w:rsid w:val="00F8746A"/>
    <w:rsid w:val="00F90D15"/>
    <w:rsid w:val="00F93A5B"/>
    <w:rsid w:val="00F95C16"/>
    <w:rsid w:val="00FA11E2"/>
    <w:rsid w:val="00FA4D72"/>
    <w:rsid w:val="00FA6612"/>
    <w:rsid w:val="00FB4251"/>
    <w:rsid w:val="00FB4B40"/>
    <w:rsid w:val="00FB6868"/>
    <w:rsid w:val="00FC3197"/>
    <w:rsid w:val="00FC3FBB"/>
    <w:rsid w:val="00FC46DE"/>
    <w:rsid w:val="00FC693F"/>
    <w:rsid w:val="00FD0CFE"/>
    <w:rsid w:val="00FD1650"/>
    <w:rsid w:val="00FE1DDB"/>
    <w:rsid w:val="00FE4035"/>
    <w:rsid w:val="00FE5500"/>
    <w:rsid w:val="00FE5B34"/>
    <w:rsid w:val="00FE5E96"/>
    <w:rsid w:val="00FF5A55"/>
    <w:rsid w:val="00FF71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D7C3DB"/>
  <w14:defaultImageDpi w14:val="330"/>
  <w15:docId w15:val="{79250109-2E67-467F-B0B6-5D1EB61F6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2007F"/>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C2007F"/>
    <w:pPr>
      <w:keepNext/>
      <w:spacing w:before="240" w:after="240"/>
      <w:jc w:val="center"/>
      <w:outlineLvl w:val="0"/>
    </w:pPr>
    <w:rPr>
      <w:b/>
      <w:caps/>
    </w:rPr>
  </w:style>
  <w:style w:type="paragraph" w:styleId="Heading2">
    <w:name w:val="heading 2"/>
    <w:basedOn w:val="Normal"/>
    <w:next w:val="Paragraph"/>
    <w:link w:val="Heading2Char"/>
    <w:qFormat/>
    <w:rsid w:val="00C2007F"/>
    <w:pPr>
      <w:keepNext/>
      <w:spacing w:before="240" w:after="240"/>
      <w:jc w:val="center"/>
      <w:outlineLvl w:val="1"/>
    </w:pPr>
    <w:rPr>
      <w:b/>
    </w:rPr>
  </w:style>
  <w:style w:type="paragraph" w:styleId="Heading3">
    <w:name w:val="heading 3"/>
    <w:basedOn w:val="Normal"/>
    <w:next w:val="Normal"/>
    <w:link w:val="Heading3Char"/>
    <w:qFormat/>
    <w:rsid w:val="00C2007F"/>
    <w:pPr>
      <w:keepNext/>
      <w:spacing w:before="240" w:after="240"/>
      <w:jc w:val="center"/>
      <w:outlineLvl w:val="2"/>
    </w:pPr>
    <w:rPr>
      <w:i/>
      <w:iCs/>
      <w:sz w:val="20"/>
      <w:lang w:val="en-GB" w:eastAsia="en-GB"/>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rsid w:val="00FC693F"/>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FC693F"/>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FC693F"/>
    <w:rPr>
      <w:rFonts w:ascii="Times New Roman" w:eastAsia="Times New Roman" w:hAnsi="Times New Roman" w:cs="Times New Roman"/>
      <w:i/>
      <w:iCs/>
      <w:sz w:val="20"/>
      <w:szCs w:val="20"/>
      <w:lang w:val="en-GB" w:eastAsia="en-GB"/>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rsid w:val="00C2007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C2007F"/>
    <w:rPr>
      <w:b/>
      <w:bCs/>
    </w:rPr>
  </w:style>
  <w:style w:type="character" w:styleId="Emphasis">
    <w:name w:val="Emphasis"/>
    <w:basedOn w:val="DefaultParagraphFont"/>
    <w:uiPriority w:val="20"/>
    <w:qFormat/>
    <w:rsid w:val="00C2007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rsid w:val="00C2007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FootnoteText">
    <w:name w:val="footnote text"/>
    <w:basedOn w:val="Normal"/>
    <w:link w:val="FootnoteTextChar"/>
    <w:semiHidden/>
    <w:rsid w:val="00C2007F"/>
    <w:rPr>
      <w:sz w:val="16"/>
    </w:rPr>
  </w:style>
  <w:style w:type="character" w:customStyle="1" w:styleId="FootnoteTextChar">
    <w:name w:val="Footnote Text Char"/>
    <w:basedOn w:val="DefaultParagraphFont"/>
    <w:link w:val="FootnoteText"/>
    <w:semiHidden/>
    <w:rsid w:val="0047218D"/>
    <w:rPr>
      <w:rFonts w:ascii="Times New Roman" w:eastAsia="Times New Roman" w:hAnsi="Times New Roman" w:cs="Times New Roman"/>
      <w:sz w:val="16"/>
      <w:szCs w:val="20"/>
    </w:rPr>
  </w:style>
  <w:style w:type="paragraph" w:customStyle="1" w:styleId="PaperTitle">
    <w:name w:val="Paper Title"/>
    <w:basedOn w:val="Normal"/>
    <w:next w:val="AuthorName"/>
    <w:rsid w:val="00C2007F"/>
    <w:pPr>
      <w:spacing w:before="1200"/>
      <w:jc w:val="center"/>
    </w:pPr>
    <w:rPr>
      <w:b/>
      <w:sz w:val="36"/>
    </w:rPr>
  </w:style>
  <w:style w:type="paragraph" w:customStyle="1" w:styleId="AuthorName">
    <w:name w:val="Author Name"/>
    <w:basedOn w:val="Normal"/>
    <w:next w:val="AuthorAffiliation"/>
    <w:rsid w:val="00C2007F"/>
    <w:pPr>
      <w:spacing w:before="360" w:after="360"/>
      <w:jc w:val="center"/>
    </w:pPr>
    <w:rPr>
      <w:sz w:val="28"/>
    </w:rPr>
  </w:style>
  <w:style w:type="paragraph" w:customStyle="1" w:styleId="AuthorAffiliation">
    <w:name w:val="Author Affiliation"/>
    <w:basedOn w:val="Normal"/>
    <w:rsid w:val="00C2007F"/>
    <w:pPr>
      <w:jc w:val="center"/>
    </w:pPr>
    <w:rPr>
      <w:i/>
      <w:sz w:val="20"/>
    </w:rPr>
  </w:style>
  <w:style w:type="paragraph" w:customStyle="1" w:styleId="Abstract">
    <w:name w:val="Abstract"/>
    <w:basedOn w:val="Normal"/>
    <w:next w:val="Heading1"/>
    <w:rsid w:val="00C2007F"/>
    <w:pPr>
      <w:spacing w:before="360" w:after="360"/>
      <w:ind w:left="289" w:right="289"/>
      <w:jc w:val="both"/>
    </w:pPr>
    <w:rPr>
      <w:sz w:val="18"/>
    </w:rPr>
  </w:style>
  <w:style w:type="paragraph" w:customStyle="1" w:styleId="Paragraph">
    <w:name w:val="Paragraph"/>
    <w:basedOn w:val="Normal"/>
    <w:rsid w:val="00C2007F"/>
    <w:pPr>
      <w:ind w:firstLine="284"/>
      <w:jc w:val="both"/>
    </w:pPr>
    <w:rPr>
      <w:sz w:val="20"/>
    </w:rPr>
  </w:style>
  <w:style w:type="character" w:styleId="FootnoteReference">
    <w:name w:val="footnote reference"/>
    <w:semiHidden/>
    <w:rsid w:val="00C2007F"/>
    <w:rPr>
      <w:vertAlign w:val="superscript"/>
    </w:rPr>
  </w:style>
  <w:style w:type="paragraph" w:customStyle="1" w:styleId="Reference">
    <w:name w:val="Reference"/>
    <w:basedOn w:val="Paragraph"/>
    <w:rsid w:val="00C2007F"/>
    <w:pPr>
      <w:numPr>
        <w:numId w:val="23"/>
      </w:numPr>
      <w:ind w:left="426" w:hanging="426"/>
    </w:pPr>
  </w:style>
  <w:style w:type="paragraph" w:customStyle="1" w:styleId="FigureCaption">
    <w:name w:val="Figure Caption"/>
    <w:next w:val="Paragraph"/>
    <w:rsid w:val="00C2007F"/>
    <w:pPr>
      <w:spacing w:before="120" w:after="0" w:line="240" w:lineRule="auto"/>
      <w:jc w:val="center"/>
    </w:pPr>
    <w:rPr>
      <w:rFonts w:ascii="Times New Roman" w:eastAsia="Times New Roman" w:hAnsi="Times New Roman" w:cs="Times New Roman"/>
      <w:sz w:val="18"/>
      <w:szCs w:val="20"/>
    </w:rPr>
  </w:style>
  <w:style w:type="paragraph" w:customStyle="1" w:styleId="Figure">
    <w:name w:val="Figure"/>
    <w:basedOn w:val="Paragraph"/>
    <w:rsid w:val="00C2007F"/>
    <w:pPr>
      <w:keepNext/>
      <w:ind w:firstLine="0"/>
      <w:jc w:val="center"/>
    </w:pPr>
  </w:style>
  <w:style w:type="paragraph" w:customStyle="1" w:styleId="Equation">
    <w:name w:val="Equation"/>
    <w:basedOn w:val="Paragraph"/>
    <w:rsid w:val="00C2007F"/>
    <w:pPr>
      <w:tabs>
        <w:tab w:val="center" w:pos="4320"/>
        <w:tab w:val="right" w:pos="9242"/>
      </w:tabs>
      <w:ind w:firstLine="0"/>
      <w:jc w:val="center"/>
    </w:pPr>
  </w:style>
  <w:style w:type="paragraph" w:styleId="BalloonText">
    <w:name w:val="Balloon Text"/>
    <w:basedOn w:val="Normal"/>
    <w:link w:val="BalloonTextChar"/>
    <w:rsid w:val="00C2007F"/>
    <w:rPr>
      <w:rFonts w:ascii="Tahoma" w:hAnsi="Tahoma" w:cs="Tahoma"/>
      <w:sz w:val="16"/>
      <w:szCs w:val="16"/>
    </w:rPr>
  </w:style>
  <w:style w:type="character" w:customStyle="1" w:styleId="BalloonTextChar">
    <w:name w:val="Balloon Text Char"/>
    <w:basedOn w:val="DefaultParagraphFont"/>
    <w:link w:val="BalloonText"/>
    <w:rsid w:val="00C2007F"/>
    <w:rPr>
      <w:rFonts w:ascii="Tahoma" w:eastAsia="Times New Roman" w:hAnsi="Tahoma" w:cs="Tahoma"/>
      <w:sz w:val="16"/>
      <w:szCs w:val="16"/>
    </w:rPr>
  </w:style>
  <w:style w:type="character" w:styleId="Hyperlink">
    <w:name w:val="Hyperlink"/>
    <w:rsid w:val="00C2007F"/>
    <w:rPr>
      <w:color w:val="0000FF"/>
      <w:u w:val="single"/>
    </w:rPr>
  </w:style>
  <w:style w:type="paragraph" w:customStyle="1" w:styleId="Paragraphbulleted">
    <w:name w:val="Paragraph (bulleted)"/>
    <w:basedOn w:val="Paragraph"/>
    <w:rsid w:val="00C2007F"/>
    <w:pPr>
      <w:numPr>
        <w:numId w:val="22"/>
      </w:numPr>
      <w:ind w:left="641" w:hanging="357"/>
    </w:pPr>
  </w:style>
  <w:style w:type="paragraph" w:customStyle="1" w:styleId="AuthorEmail">
    <w:name w:val="Author Email"/>
    <w:basedOn w:val="Normal"/>
    <w:qFormat/>
    <w:rsid w:val="00C2007F"/>
    <w:pPr>
      <w:jc w:val="center"/>
    </w:pPr>
    <w:rPr>
      <w:sz w:val="20"/>
    </w:rPr>
  </w:style>
  <w:style w:type="paragraph" w:styleId="NormalWeb">
    <w:name w:val="Normal (Web)"/>
    <w:basedOn w:val="Normal"/>
    <w:uiPriority w:val="99"/>
    <w:unhideWhenUsed/>
    <w:rsid w:val="00C2007F"/>
    <w:pPr>
      <w:spacing w:before="100" w:beforeAutospacing="1" w:after="100" w:afterAutospacing="1"/>
    </w:pPr>
    <w:rPr>
      <w:szCs w:val="24"/>
      <w:lang w:val="en-GB" w:eastAsia="en-GB"/>
    </w:rPr>
  </w:style>
  <w:style w:type="paragraph" w:customStyle="1" w:styleId="TableCaption">
    <w:name w:val="Table Caption"/>
    <w:basedOn w:val="FigureCaption"/>
    <w:qFormat/>
    <w:rsid w:val="00C2007F"/>
    <w:rPr>
      <w:szCs w:val="18"/>
    </w:rPr>
  </w:style>
  <w:style w:type="paragraph" w:customStyle="1" w:styleId="Paragraphnumbered">
    <w:name w:val="Paragraph (numbered)"/>
    <w:rsid w:val="00C2007F"/>
    <w:pPr>
      <w:numPr>
        <w:numId w:val="12"/>
      </w:numPr>
      <w:spacing w:after="0" w:line="240" w:lineRule="auto"/>
      <w:jc w:val="both"/>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C2007F"/>
    <w:rPr>
      <w:color w:val="808080"/>
      <w:shd w:val="clear" w:color="auto" w:fill="E6E6E6"/>
    </w:rPr>
  </w:style>
  <w:style w:type="character" w:styleId="CommentReference">
    <w:name w:val="annotation reference"/>
    <w:basedOn w:val="DefaultParagraphFont"/>
    <w:semiHidden/>
    <w:unhideWhenUsed/>
    <w:rsid w:val="00C2007F"/>
    <w:rPr>
      <w:sz w:val="16"/>
      <w:szCs w:val="16"/>
    </w:rPr>
  </w:style>
  <w:style w:type="paragraph" w:styleId="CommentText">
    <w:name w:val="annotation text"/>
    <w:basedOn w:val="Normal"/>
    <w:link w:val="CommentTextChar"/>
    <w:semiHidden/>
    <w:unhideWhenUsed/>
    <w:rsid w:val="00C2007F"/>
    <w:rPr>
      <w:sz w:val="20"/>
    </w:rPr>
  </w:style>
  <w:style w:type="character" w:customStyle="1" w:styleId="CommentTextChar">
    <w:name w:val="Comment Text Char"/>
    <w:basedOn w:val="DefaultParagraphFont"/>
    <w:link w:val="CommentText"/>
    <w:semiHidden/>
    <w:rsid w:val="00C2007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C2007F"/>
    <w:rPr>
      <w:b/>
      <w:bCs/>
    </w:rPr>
  </w:style>
  <w:style w:type="character" w:customStyle="1" w:styleId="CommentSubjectChar">
    <w:name w:val="Comment Subject Char"/>
    <w:basedOn w:val="CommentTextChar"/>
    <w:link w:val="CommentSubject"/>
    <w:semiHidden/>
    <w:rsid w:val="00C2007F"/>
    <w:rPr>
      <w:rFonts w:ascii="Times New Roman" w:eastAsia="Times New Roman" w:hAnsi="Times New Roman" w:cs="Times New Roman"/>
      <w:b/>
      <w:bCs/>
      <w:sz w:val="20"/>
      <w:szCs w:val="20"/>
    </w:rPr>
  </w:style>
  <w:style w:type="paragraph" w:customStyle="1" w:styleId="TableParagraph">
    <w:name w:val="Table Paragraph"/>
    <w:basedOn w:val="Normal"/>
    <w:uiPriority w:val="1"/>
    <w:qFormat/>
    <w:rsid w:val="00532EEA"/>
    <w:pPr>
      <w:widowControl w:val="0"/>
      <w:autoSpaceDE w:val="0"/>
      <w:autoSpaceDN w:val="0"/>
      <w:jc w:val="center"/>
    </w:pPr>
    <w:rPr>
      <w:sz w:val="22"/>
      <w:szCs w:val="22"/>
    </w:rPr>
  </w:style>
  <w:style w:type="character" w:styleId="FollowedHyperlink">
    <w:name w:val="FollowedHyperlink"/>
    <w:basedOn w:val="DefaultParagraphFont"/>
    <w:uiPriority w:val="99"/>
    <w:semiHidden/>
    <w:unhideWhenUsed/>
    <w:rsid w:val="00C96078"/>
    <w:rPr>
      <w:color w:val="800080" w:themeColor="followedHyperlink"/>
      <w:u w:val="single"/>
    </w:rPr>
  </w:style>
  <w:style w:type="character" w:styleId="PlaceholderText">
    <w:name w:val="Placeholder Text"/>
    <w:basedOn w:val="DefaultParagraphFont"/>
    <w:uiPriority w:val="99"/>
    <w:semiHidden/>
    <w:rsid w:val="002359C9"/>
    <w:rPr>
      <w:color w:val="666666"/>
    </w:rPr>
  </w:style>
  <w:style w:type="paragraph" w:customStyle="1" w:styleId="Default">
    <w:name w:val="Default"/>
    <w:rsid w:val="00C2007F"/>
    <w:pPr>
      <w:autoSpaceDE w:val="0"/>
      <w:autoSpaceDN w:val="0"/>
      <w:adjustRightInd w:val="0"/>
      <w:spacing w:after="0" w:line="240" w:lineRule="auto"/>
    </w:pPr>
    <w:rPr>
      <w:rFonts w:ascii="Times New Roman" w:hAnsi="Times New Roman" w:cs="Times New Roman"/>
      <w:color w:val="000000"/>
      <w:sz w:val="24"/>
      <w:szCs w:val="24"/>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14908">
      <w:bodyDiv w:val="1"/>
      <w:marLeft w:val="0"/>
      <w:marRight w:val="0"/>
      <w:marTop w:val="0"/>
      <w:marBottom w:val="0"/>
      <w:divBdr>
        <w:top w:val="none" w:sz="0" w:space="0" w:color="auto"/>
        <w:left w:val="none" w:sz="0" w:space="0" w:color="auto"/>
        <w:bottom w:val="none" w:sz="0" w:space="0" w:color="auto"/>
        <w:right w:val="none" w:sz="0" w:space="0" w:color="auto"/>
      </w:divBdr>
    </w:div>
    <w:div w:id="100612486">
      <w:bodyDiv w:val="1"/>
      <w:marLeft w:val="0"/>
      <w:marRight w:val="0"/>
      <w:marTop w:val="0"/>
      <w:marBottom w:val="0"/>
      <w:divBdr>
        <w:top w:val="none" w:sz="0" w:space="0" w:color="auto"/>
        <w:left w:val="none" w:sz="0" w:space="0" w:color="auto"/>
        <w:bottom w:val="none" w:sz="0" w:space="0" w:color="auto"/>
        <w:right w:val="none" w:sz="0" w:space="0" w:color="auto"/>
      </w:divBdr>
    </w:div>
    <w:div w:id="179783880">
      <w:bodyDiv w:val="1"/>
      <w:marLeft w:val="0"/>
      <w:marRight w:val="0"/>
      <w:marTop w:val="0"/>
      <w:marBottom w:val="0"/>
      <w:divBdr>
        <w:top w:val="none" w:sz="0" w:space="0" w:color="auto"/>
        <w:left w:val="none" w:sz="0" w:space="0" w:color="auto"/>
        <w:bottom w:val="none" w:sz="0" w:space="0" w:color="auto"/>
        <w:right w:val="none" w:sz="0" w:space="0" w:color="auto"/>
      </w:divBdr>
    </w:div>
    <w:div w:id="234124314">
      <w:bodyDiv w:val="1"/>
      <w:marLeft w:val="0"/>
      <w:marRight w:val="0"/>
      <w:marTop w:val="0"/>
      <w:marBottom w:val="0"/>
      <w:divBdr>
        <w:top w:val="none" w:sz="0" w:space="0" w:color="auto"/>
        <w:left w:val="none" w:sz="0" w:space="0" w:color="auto"/>
        <w:bottom w:val="none" w:sz="0" w:space="0" w:color="auto"/>
        <w:right w:val="none" w:sz="0" w:space="0" w:color="auto"/>
      </w:divBdr>
    </w:div>
    <w:div w:id="428624973">
      <w:bodyDiv w:val="1"/>
      <w:marLeft w:val="0"/>
      <w:marRight w:val="0"/>
      <w:marTop w:val="0"/>
      <w:marBottom w:val="0"/>
      <w:divBdr>
        <w:top w:val="none" w:sz="0" w:space="0" w:color="auto"/>
        <w:left w:val="none" w:sz="0" w:space="0" w:color="auto"/>
        <w:bottom w:val="none" w:sz="0" w:space="0" w:color="auto"/>
        <w:right w:val="none" w:sz="0" w:space="0" w:color="auto"/>
      </w:divBdr>
    </w:div>
    <w:div w:id="516311401">
      <w:bodyDiv w:val="1"/>
      <w:marLeft w:val="0"/>
      <w:marRight w:val="0"/>
      <w:marTop w:val="0"/>
      <w:marBottom w:val="0"/>
      <w:divBdr>
        <w:top w:val="none" w:sz="0" w:space="0" w:color="auto"/>
        <w:left w:val="none" w:sz="0" w:space="0" w:color="auto"/>
        <w:bottom w:val="none" w:sz="0" w:space="0" w:color="auto"/>
        <w:right w:val="none" w:sz="0" w:space="0" w:color="auto"/>
      </w:divBdr>
    </w:div>
    <w:div w:id="548227986">
      <w:bodyDiv w:val="1"/>
      <w:marLeft w:val="0"/>
      <w:marRight w:val="0"/>
      <w:marTop w:val="0"/>
      <w:marBottom w:val="0"/>
      <w:divBdr>
        <w:top w:val="none" w:sz="0" w:space="0" w:color="auto"/>
        <w:left w:val="none" w:sz="0" w:space="0" w:color="auto"/>
        <w:bottom w:val="none" w:sz="0" w:space="0" w:color="auto"/>
        <w:right w:val="none" w:sz="0" w:space="0" w:color="auto"/>
      </w:divBdr>
    </w:div>
    <w:div w:id="561522031">
      <w:bodyDiv w:val="1"/>
      <w:marLeft w:val="0"/>
      <w:marRight w:val="0"/>
      <w:marTop w:val="0"/>
      <w:marBottom w:val="0"/>
      <w:divBdr>
        <w:top w:val="none" w:sz="0" w:space="0" w:color="auto"/>
        <w:left w:val="none" w:sz="0" w:space="0" w:color="auto"/>
        <w:bottom w:val="none" w:sz="0" w:space="0" w:color="auto"/>
        <w:right w:val="none" w:sz="0" w:space="0" w:color="auto"/>
      </w:divBdr>
    </w:div>
    <w:div w:id="582221905">
      <w:bodyDiv w:val="1"/>
      <w:marLeft w:val="0"/>
      <w:marRight w:val="0"/>
      <w:marTop w:val="0"/>
      <w:marBottom w:val="0"/>
      <w:divBdr>
        <w:top w:val="none" w:sz="0" w:space="0" w:color="auto"/>
        <w:left w:val="none" w:sz="0" w:space="0" w:color="auto"/>
        <w:bottom w:val="none" w:sz="0" w:space="0" w:color="auto"/>
        <w:right w:val="none" w:sz="0" w:space="0" w:color="auto"/>
      </w:divBdr>
    </w:div>
    <w:div w:id="611059645">
      <w:bodyDiv w:val="1"/>
      <w:marLeft w:val="0"/>
      <w:marRight w:val="0"/>
      <w:marTop w:val="0"/>
      <w:marBottom w:val="0"/>
      <w:divBdr>
        <w:top w:val="none" w:sz="0" w:space="0" w:color="auto"/>
        <w:left w:val="none" w:sz="0" w:space="0" w:color="auto"/>
        <w:bottom w:val="none" w:sz="0" w:space="0" w:color="auto"/>
        <w:right w:val="none" w:sz="0" w:space="0" w:color="auto"/>
      </w:divBdr>
    </w:div>
    <w:div w:id="649599721">
      <w:bodyDiv w:val="1"/>
      <w:marLeft w:val="0"/>
      <w:marRight w:val="0"/>
      <w:marTop w:val="0"/>
      <w:marBottom w:val="0"/>
      <w:divBdr>
        <w:top w:val="none" w:sz="0" w:space="0" w:color="auto"/>
        <w:left w:val="none" w:sz="0" w:space="0" w:color="auto"/>
        <w:bottom w:val="none" w:sz="0" w:space="0" w:color="auto"/>
        <w:right w:val="none" w:sz="0" w:space="0" w:color="auto"/>
      </w:divBdr>
    </w:div>
    <w:div w:id="721633901">
      <w:bodyDiv w:val="1"/>
      <w:marLeft w:val="0"/>
      <w:marRight w:val="0"/>
      <w:marTop w:val="0"/>
      <w:marBottom w:val="0"/>
      <w:divBdr>
        <w:top w:val="none" w:sz="0" w:space="0" w:color="auto"/>
        <w:left w:val="none" w:sz="0" w:space="0" w:color="auto"/>
        <w:bottom w:val="none" w:sz="0" w:space="0" w:color="auto"/>
        <w:right w:val="none" w:sz="0" w:space="0" w:color="auto"/>
      </w:divBdr>
    </w:div>
    <w:div w:id="752245871">
      <w:bodyDiv w:val="1"/>
      <w:marLeft w:val="0"/>
      <w:marRight w:val="0"/>
      <w:marTop w:val="0"/>
      <w:marBottom w:val="0"/>
      <w:divBdr>
        <w:top w:val="none" w:sz="0" w:space="0" w:color="auto"/>
        <w:left w:val="none" w:sz="0" w:space="0" w:color="auto"/>
        <w:bottom w:val="none" w:sz="0" w:space="0" w:color="auto"/>
        <w:right w:val="none" w:sz="0" w:space="0" w:color="auto"/>
      </w:divBdr>
    </w:div>
    <w:div w:id="777067709">
      <w:bodyDiv w:val="1"/>
      <w:marLeft w:val="0"/>
      <w:marRight w:val="0"/>
      <w:marTop w:val="0"/>
      <w:marBottom w:val="0"/>
      <w:divBdr>
        <w:top w:val="none" w:sz="0" w:space="0" w:color="auto"/>
        <w:left w:val="none" w:sz="0" w:space="0" w:color="auto"/>
        <w:bottom w:val="none" w:sz="0" w:space="0" w:color="auto"/>
        <w:right w:val="none" w:sz="0" w:space="0" w:color="auto"/>
      </w:divBdr>
    </w:div>
    <w:div w:id="789670460">
      <w:bodyDiv w:val="1"/>
      <w:marLeft w:val="0"/>
      <w:marRight w:val="0"/>
      <w:marTop w:val="0"/>
      <w:marBottom w:val="0"/>
      <w:divBdr>
        <w:top w:val="none" w:sz="0" w:space="0" w:color="auto"/>
        <w:left w:val="none" w:sz="0" w:space="0" w:color="auto"/>
        <w:bottom w:val="none" w:sz="0" w:space="0" w:color="auto"/>
        <w:right w:val="none" w:sz="0" w:space="0" w:color="auto"/>
      </w:divBdr>
    </w:div>
    <w:div w:id="832917052">
      <w:bodyDiv w:val="1"/>
      <w:marLeft w:val="0"/>
      <w:marRight w:val="0"/>
      <w:marTop w:val="0"/>
      <w:marBottom w:val="0"/>
      <w:divBdr>
        <w:top w:val="none" w:sz="0" w:space="0" w:color="auto"/>
        <w:left w:val="none" w:sz="0" w:space="0" w:color="auto"/>
        <w:bottom w:val="none" w:sz="0" w:space="0" w:color="auto"/>
        <w:right w:val="none" w:sz="0" w:space="0" w:color="auto"/>
      </w:divBdr>
    </w:div>
    <w:div w:id="861280640">
      <w:bodyDiv w:val="1"/>
      <w:marLeft w:val="0"/>
      <w:marRight w:val="0"/>
      <w:marTop w:val="0"/>
      <w:marBottom w:val="0"/>
      <w:divBdr>
        <w:top w:val="none" w:sz="0" w:space="0" w:color="auto"/>
        <w:left w:val="none" w:sz="0" w:space="0" w:color="auto"/>
        <w:bottom w:val="none" w:sz="0" w:space="0" w:color="auto"/>
        <w:right w:val="none" w:sz="0" w:space="0" w:color="auto"/>
      </w:divBdr>
    </w:div>
    <w:div w:id="883177769">
      <w:bodyDiv w:val="1"/>
      <w:marLeft w:val="0"/>
      <w:marRight w:val="0"/>
      <w:marTop w:val="0"/>
      <w:marBottom w:val="0"/>
      <w:divBdr>
        <w:top w:val="none" w:sz="0" w:space="0" w:color="auto"/>
        <w:left w:val="none" w:sz="0" w:space="0" w:color="auto"/>
        <w:bottom w:val="none" w:sz="0" w:space="0" w:color="auto"/>
        <w:right w:val="none" w:sz="0" w:space="0" w:color="auto"/>
      </w:divBdr>
    </w:div>
    <w:div w:id="908734267">
      <w:bodyDiv w:val="1"/>
      <w:marLeft w:val="0"/>
      <w:marRight w:val="0"/>
      <w:marTop w:val="0"/>
      <w:marBottom w:val="0"/>
      <w:divBdr>
        <w:top w:val="none" w:sz="0" w:space="0" w:color="auto"/>
        <w:left w:val="none" w:sz="0" w:space="0" w:color="auto"/>
        <w:bottom w:val="none" w:sz="0" w:space="0" w:color="auto"/>
        <w:right w:val="none" w:sz="0" w:space="0" w:color="auto"/>
      </w:divBdr>
    </w:div>
    <w:div w:id="1101878658">
      <w:bodyDiv w:val="1"/>
      <w:marLeft w:val="0"/>
      <w:marRight w:val="0"/>
      <w:marTop w:val="0"/>
      <w:marBottom w:val="0"/>
      <w:divBdr>
        <w:top w:val="none" w:sz="0" w:space="0" w:color="auto"/>
        <w:left w:val="none" w:sz="0" w:space="0" w:color="auto"/>
        <w:bottom w:val="none" w:sz="0" w:space="0" w:color="auto"/>
        <w:right w:val="none" w:sz="0" w:space="0" w:color="auto"/>
      </w:divBdr>
    </w:div>
    <w:div w:id="1282345334">
      <w:bodyDiv w:val="1"/>
      <w:marLeft w:val="0"/>
      <w:marRight w:val="0"/>
      <w:marTop w:val="0"/>
      <w:marBottom w:val="0"/>
      <w:divBdr>
        <w:top w:val="none" w:sz="0" w:space="0" w:color="auto"/>
        <w:left w:val="none" w:sz="0" w:space="0" w:color="auto"/>
        <w:bottom w:val="none" w:sz="0" w:space="0" w:color="auto"/>
        <w:right w:val="none" w:sz="0" w:space="0" w:color="auto"/>
      </w:divBdr>
    </w:div>
    <w:div w:id="1314945339">
      <w:bodyDiv w:val="1"/>
      <w:marLeft w:val="0"/>
      <w:marRight w:val="0"/>
      <w:marTop w:val="0"/>
      <w:marBottom w:val="0"/>
      <w:divBdr>
        <w:top w:val="none" w:sz="0" w:space="0" w:color="auto"/>
        <w:left w:val="none" w:sz="0" w:space="0" w:color="auto"/>
        <w:bottom w:val="none" w:sz="0" w:space="0" w:color="auto"/>
        <w:right w:val="none" w:sz="0" w:space="0" w:color="auto"/>
      </w:divBdr>
    </w:div>
    <w:div w:id="1357848054">
      <w:bodyDiv w:val="1"/>
      <w:marLeft w:val="0"/>
      <w:marRight w:val="0"/>
      <w:marTop w:val="0"/>
      <w:marBottom w:val="0"/>
      <w:divBdr>
        <w:top w:val="none" w:sz="0" w:space="0" w:color="auto"/>
        <w:left w:val="none" w:sz="0" w:space="0" w:color="auto"/>
        <w:bottom w:val="none" w:sz="0" w:space="0" w:color="auto"/>
        <w:right w:val="none" w:sz="0" w:space="0" w:color="auto"/>
      </w:divBdr>
    </w:div>
    <w:div w:id="1669867733">
      <w:bodyDiv w:val="1"/>
      <w:marLeft w:val="0"/>
      <w:marRight w:val="0"/>
      <w:marTop w:val="0"/>
      <w:marBottom w:val="0"/>
      <w:divBdr>
        <w:top w:val="none" w:sz="0" w:space="0" w:color="auto"/>
        <w:left w:val="none" w:sz="0" w:space="0" w:color="auto"/>
        <w:bottom w:val="none" w:sz="0" w:space="0" w:color="auto"/>
        <w:right w:val="none" w:sz="0" w:space="0" w:color="auto"/>
      </w:divBdr>
    </w:div>
    <w:div w:id="1797218540">
      <w:bodyDiv w:val="1"/>
      <w:marLeft w:val="0"/>
      <w:marRight w:val="0"/>
      <w:marTop w:val="0"/>
      <w:marBottom w:val="0"/>
      <w:divBdr>
        <w:top w:val="none" w:sz="0" w:space="0" w:color="auto"/>
        <w:left w:val="none" w:sz="0" w:space="0" w:color="auto"/>
        <w:bottom w:val="none" w:sz="0" w:space="0" w:color="auto"/>
        <w:right w:val="none" w:sz="0" w:space="0" w:color="auto"/>
      </w:divBdr>
    </w:div>
    <w:div w:id="1885294355">
      <w:bodyDiv w:val="1"/>
      <w:marLeft w:val="0"/>
      <w:marRight w:val="0"/>
      <w:marTop w:val="0"/>
      <w:marBottom w:val="0"/>
      <w:divBdr>
        <w:top w:val="none" w:sz="0" w:space="0" w:color="auto"/>
        <w:left w:val="none" w:sz="0" w:space="0" w:color="auto"/>
        <w:bottom w:val="none" w:sz="0" w:space="0" w:color="auto"/>
        <w:right w:val="none" w:sz="0" w:space="0" w:color="auto"/>
      </w:divBdr>
    </w:div>
    <w:div w:id="2054570658">
      <w:bodyDiv w:val="1"/>
      <w:marLeft w:val="0"/>
      <w:marRight w:val="0"/>
      <w:marTop w:val="0"/>
      <w:marBottom w:val="0"/>
      <w:divBdr>
        <w:top w:val="none" w:sz="0" w:space="0" w:color="auto"/>
        <w:left w:val="none" w:sz="0" w:space="0" w:color="auto"/>
        <w:bottom w:val="none" w:sz="0" w:space="0" w:color="auto"/>
        <w:right w:val="none" w:sz="0" w:space="0" w:color="auto"/>
      </w:divBdr>
    </w:div>
    <w:div w:id="2084377413">
      <w:bodyDiv w:val="1"/>
      <w:marLeft w:val="0"/>
      <w:marRight w:val="0"/>
      <w:marTop w:val="0"/>
      <w:marBottom w:val="0"/>
      <w:divBdr>
        <w:top w:val="none" w:sz="0" w:space="0" w:color="auto"/>
        <w:left w:val="none" w:sz="0" w:space="0" w:color="auto"/>
        <w:bottom w:val="none" w:sz="0" w:space="0" w:color="auto"/>
        <w:right w:val="none" w:sz="0" w:space="0" w:color="auto"/>
      </w:divBdr>
    </w:div>
    <w:div w:id="2112161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AIPCP%20Article%20Template_Sept1_2023.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551E9E-1329-421A-9042-DF5587E0365E}">
  <we:reference id="WA200000368" version="1.0.0.0" store="Omex" storeType="OMEX"/>
  <we:alternateReferences>
    <we:reference id="WA200000368" version="1.0.0.0" store="WA200000368" storeType="OMEX"/>
  </we:alternateReferences>
  <we:properties>
    <we:property name="documentId" value="&quot;80c1bfb35d2358a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B138E-E8AF-426A-9510-7C0B41965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AIPCP Article Template_Sept1_2023.docx</Template>
  <TotalTime>1</TotalTime>
  <Pages>6</Pages>
  <Words>2653</Words>
  <Characters>15126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17744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Dr. Nurul Nazihah binti Hawari</cp:lastModifiedBy>
  <cp:revision>2</cp:revision>
  <dcterms:created xsi:type="dcterms:W3CDTF">2026-01-15T13:43:00Z</dcterms:created>
  <dcterms:modified xsi:type="dcterms:W3CDTF">2026-01-15T13:43:00Z</dcterms:modified>
  <cp:category/>
</cp:coreProperties>
</file>