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49976" w14:textId="77777777" w:rsidR="00170137" w:rsidRDefault="00127D14">
      <w:pPr>
        <w:spacing w:line="240" w:lineRule="auto"/>
        <w:jc w:val="center"/>
        <w:rPr>
          <w:rFonts w:ascii="Times New Roman" w:eastAsia="Times New Roman" w:hAnsi="Times New Roman" w:cs="Times New Roman"/>
          <w:b/>
          <w:bCs/>
          <w:color w:val="1B1C1D"/>
          <w:sz w:val="36"/>
          <w:szCs w:val="36"/>
        </w:rPr>
      </w:pPr>
      <w:r>
        <w:rPr>
          <w:rFonts w:ascii="Times New Roman" w:eastAsia="Times New Roman" w:hAnsi="Times New Roman" w:cs="Times New Roman"/>
          <w:b/>
          <w:bCs/>
          <w:color w:val="1B1C1D"/>
          <w:sz w:val="36"/>
          <w:szCs w:val="36"/>
        </w:rPr>
        <w:t>A Distributional Investigation of Wage Effects in the Malaysian Labour Market</w:t>
      </w:r>
    </w:p>
    <w:p w14:paraId="54F00355" w14:textId="77777777" w:rsidR="00170137" w:rsidRDefault="00170137">
      <w:pPr>
        <w:spacing w:line="240" w:lineRule="auto"/>
        <w:jc w:val="center"/>
        <w:rPr>
          <w:rFonts w:ascii="Times New Roman" w:eastAsia="Times New Roman" w:hAnsi="Times New Roman" w:cs="Times New Roman"/>
          <w:b/>
          <w:bCs/>
          <w:color w:val="1B1C1D"/>
          <w:sz w:val="32"/>
          <w:szCs w:val="32"/>
        </w:rPr>
      </w:pPr>
    </w:p>
    <w:p w14:paraId="16BCA7F4" w14:textId="77777777" w:rsidR="00170137" w:rsidRDefault="00127D1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Nor Ezrine Yussoff</w:t>
      </w:r>
      <w:r>
        <w:rPr>
          <w:rFonts w:ascii="Times New Roman" w:eastAsia="Times New Roman" w:hAnsi="Times New Roman" w:cs="Times New Roman"/>
          <w:sz w:val="28"/>
          <w:szCs w:val="28"/>
          <w:vertAlign w:val="superscript"/>
        </w:rPr>
        <w:t>1, 2, a)</w:t>
      </w:r>
      <w:r>
        <w:rPr>
          <w:rFonts w:ascii="Times New Roman" w:eastAsia="Times New Roman" w:hAnsi="Times New Roman" w:cs="Times New Roman"/>
          <w:sz w:val="28"/>
          <w:szCs w:val="28"/>
        </w:rPr>
        <w:t>, Noorasiah Sulaiman</w:t>
      </w:r>
      <w:r>
        <w:rPr>
          <w:rFonts w:ascii="Times New Roman" w:eastAsia="Times New Roman" w:hAnsi="Times New Roman" w:cs="Times New Roman"/>
          <w:sz w:val="24"/>
          <w:szCs w:val="24"/>
          <w:vertAlign w:val="superscript"/>
        </w:rPr>
        <w:t xml:space="preserve">1, b) </w:t>
      </w:r>
    </w:p>
    <w:p w14:paraId="5E83E779" w14:textId="77777777" w:rsidR="00170137" w:rsidRDefault="00127D14">
      <w:pPr>
        <w:spacing w:line="240" w:lineRule="auto"/>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¹Faculty of Economics &amp; Management, Universiti Kebangsaan Malaysia, Malaysia</w:t>
      </w:r>
    </w:p>
    <w:p w14:paraId="0553F0C4" w14:textId="77777777" w:rsidR="00170137" w:rsidRDefault="00127D14">
      <w:pPr>
        <w:spacing w:line="240" w:lineRule="auto"/>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²Faculty of Administrative Science &amp; Policy Studies, Universiti Teknologi MARA Cawangan Negeri Sembilan, Kampus Seremban, Malaysia</w:t>
      </w:r>
    </w:p>
    <w:p w14:paraId="00484096" w14:textId="77777777" w:rsidR="00170137" w:rsidRDefault="00127D14">
      <w:pPr>
        <w:spacing w:after="0" w:line="240" w:lineRule="auto"/>
        <w:jc w:val="center"/>
        <w:rPr>
          <w:rFonts w:ascii="Times New Roman" w:eastAsia="Times New Roman" w:hAnsi="Times New Roman" w:cs="Times New Roman"/>
          <w:i/>
          <w:iCs/>
          <w:sz w:val="20"/>
          <w:szCs w:val="20"/>
        </w:rPr>
      </w:pPr>
      <w:r>
        <w:rPr>
          <w:rFonts w:ascii="Times New Roman" w:eastAsia="Times New Roman" w:hAnsi="Times New Roman" w:cs="Times New Roman"/>
          <w:sz w:val="20"/>
          <w:szCs w:val="20"/>
          <w:vertAlign w:val="superscript"/>
        </w:rPr>
        <w:t>a)</w:t>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norezrine@uitm.edu.my</w:t>
      </w:r>
    </w:p>
    <w:p w14:paraId="6EE26280" w14:textId="77777777" w:rsidR="00170137" w:rsidRDefault="00127D14">
      <w:pPr>
        <w:spacing w:after="0" w:line="240" w:lineRule="auto"/>
        <w:jc w:val="center"/>
        <w:rPr>
          <w:rFonts w:ascii="Times New Roman" w:eastAsia="Times New Roman" w:hAnsi="Times New Roman" w:cs="Times New Roman"/>
          <w:i/>
          <w:iCs/>
          <w:sz w:val="20"/>
          <w:szCs w:val="20"/>
        </w:rPr>
      </w:pPr>
      <w:r>
        <w:rPr>
          <w:rFonts w:ascii="Times New Roman" w:eastAsia="Times New Roman" w:hAnsi="Times New Roman" w:cs="Times New Roman"/>
          <w:sz w:val="20"/>
          <w:szCs w:val="20"/>
          <w:vertAlign w:val="superscript"/>
        </w:rPr>
        <w:t>b)</w:t>
      </w:r>
      <w:r>
        <w:rPr>
          <w:rFonts w:ascii="Times New Roman" w:eastAsia="Times New Roman" w:hAnsi="Times New Roman" w:cs="Times New Roman"/>
          <w:sz w:val="20"/>
          <w:szCs w:val="20"/>
        </w:rPr>
        <w:t xml:space="preserve"> Corresponding author: </w:t>
      </w:r>
      <w:hyperlink r:id="rId6">
        <w:r>
          <w:rPr>
            <w:rFonts w:ascii="Times New Roman" w:eastAsia="Times New Roman" w:hAnsi="Times New Roman" w:cs="Times New Roman"/>
            <w:i/>
            <w:iCs/>
            <w:color w:val="000000"/>
            <w:sz w:val="20"/>
            <w:szCs w:val="20"/>
          </w:rPr>
          <w:t>rasiahs@ukm.edu.my</w:t>
        </w:r>
      </w:hyperlink>
    </w:p>
    <w:p w14:paraId="7DE9C88D" w14:textId="77777777" w:rsidR="00170137" w:rsidRDefault="00127D14">
      <w:pPr>
        <w:spacing w:before="280" w:after="28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Abstract.</w:t>
      </w:r>
      <w:r>
        <w:rPr>
          <w:rFonts w:ascii="Times New Roman" w:eastAsia="Times New Roman" w:hAnsi="Times New Roman" w:cs="Times New Roman"/>
          <w:sz w:val="18"/>
          <w:szCs w:val="18"/>
        </w:rPr>
        <w:t xml:space="preserve"> This study investigates the impact of education and skills mismatch on employee wages in Malaysia, utilising data from the 2019 Salaries and Wages Survey (SWS). Recognising the potential divergence from human capital theory predictions, this study analyses wage implications using Ordinary Least Squares (OLS) regression, followed by Quantile Regression (QR) and Unconditional Quantile Regression (UQR) to understand effects across the entire wage distribution. Key findings indicate significant wage penalties </w:t>
      </w:r>
      <w:r>
        <w:rPr>
          <w:rFonts w:ascii="Times New Roman" w:eastAsia="Times New Roman" w:hAnsi="Times New Roman" w:cs="Times New Roman"/>
          <w:sz w:val="18"/>
          <w:szCs w:val="18"/>
        </w:rPr>
        <w:t>associated with undereducation and underskilling. Overeducation generally yields wage premiums, particularly at lower quantiles, though its effect varies. Overskilling penalties are observed, especially at higher wage quantiles for females. The analysis also confirms persistent wage effects related to gender, ethnicity, age and urban area. These findings highlight the complex interplay between worker characteristics, job requirements and wage determination, underscoring the need for policies addressing mism</w:t>
      </w:r>
      <w:r>
        <w:rPr>
          <w:rFonts w:ascii="Times New Roman" w:eastAsia="Times New Roman" w:hAnsi="Times New Roman" w:cs="Times New Roman"/>
          <w:sz w:val="18"/>
          <w:szCs w:val="18"/>
        </w:rPr>
        <w:t>atch and related inequalities.</w:t>
      </w:r>
    </w:p>
    <w:p w14:paraId="0CBFC1C9" w14:textId="77777777" w:rsidR="00170137" w:rsidRDefault="00127D14">
      <w:pPr>
        <w:spacing w:before="280" w:after="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 AND PROBLEM STATEMENT</w:t>
      </w:r>
    </w:p>
    <w:p w14:paraId="3379F989" w14:textId="77777777" w:rsidR="00170137" w:rsidRDefault="00127D14">
      <w:pPr>
        <w:spacing w:before="280" w:after="28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link between human capital, primarily education and earnings, is a foundation of labour economics, suggesting that investments in schooling enhance productivity and, consequently, wages [1, 2]. However, labour markets often exhibit a mismatch, where workers' qualifications do not align with job requirements [3]. This phenomenon, manifesting as overeducation, undereducation, overskilling or underskilling, can lead to inefficient returns on educational investments and signal deeper structural issues in th</w:t>
      </w:r>
      <w:r>
        <w:rPr>
          <w:rFonts w:ascii="Times New Roman" w:eastAsia="Times New Roman" w:hAnsi="Times New Roman" w:cs="Times New Roman"/>
          <w:sz w:val="20"/>
          <w:szCs w:val="20"/>
        </w:rPr>
        <w:t>e economy.</w:t>
      </w:r>
    </w:p>
    <w:p w14:paraId="6966DB7A" w14:textId="77777777" w:rsidR="00170137" w:rsidRDefault="00127D14">
      <w:pPr>
        <w:spacing w:before="280" w:after="28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Malaysia, despite significant public and private investment in higher education, concerns persist about graduate underemployment and the gap between competencies and market needs [4]. If widespread, such a mismatch could hinder wage growth and reduce returns on educational investments. While average wage effects of mismatch have been studied, these impacts likely differ across the earnings distribution. The effect of having surplus qualifications may vary for low-wage versus high-wage earners due to diff</w:t>
      </w:r>
      <w:r>
        <w:rPr>
          <w:rFonts w:ascii="Times New Roman" w:eastAsia="Times New Roman" w:hAnsi="Times New Roman" w:cs="Times New Roman"/>
          <w:sz w:val="20"/>
          <w:szCs w:val="20"/>
        </w:rPr>
        <w:t>erences in job complexity, bargaining power or employer screening strategies.</w:t>
      </w:r>
    </w:p>
    <w:p w14:paraId="29FEC7F0" w14:textId="77777777" w:rsidR="00170137" w:rsidRDefault="00127D14">
      <w:pPr>
        <w:spacing w:before="280" w:after="28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study extends beyond simple averages to provide a comprehensive distributional analysis of the wage implications of both educational and skill mismatches in Malaysia. Using nationally representative data, we aim to:</w:t>
      </w:r>
    </w:p>
    <w:p w14:paraId="2E491C41" w14:textId="77777777" w:rsidR="00170137" w:rsidRDefault="00127D14">
      <w:pPr>
        <w:numPr>
          <w:ilvl w:val="0"/>
          <w:numId w:val="1"/>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Quantify the average wage effects of educational and skills mismatch.</w:t>
      </w:r>
    </w:p>
    <w:p w14:paraId="45CDA9D4" w14:textId="77777777" w:rsidR="00170137" w:rsidRDefault="00127D14">
      <w:pPr>
        <w:numPr>
          <w:ilvl w:val="0"/>
          <w:numId w:val="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Investigate the heterogeneity of these effects across the conditional earnings distribution using Quantile Regression (QR).</w:t>
      </w:r>
    </w:p>
    <w:p w14:paraId="7DF8F70A" w14:textId="77777777" w:rsidR="00170137" w:rsidRDefault="00127D14">
      <w:pPr>
        <w:numPr>
          <w:ilvl w:val="0"/>
          <w:numId w:val="1"/>
        </w:numPr>
        <w:spacing w:after="28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Analyse the structural impact of mismatch on the overall (unconditional) wage distribution using Unconditional Quantile Regression (UQR).</w:t>
      </w:r>
    </w:p>
    <w:p w14:paraId="532A3058" w14:textId="77777777" w:rsidR="00170137" w:rsidRDefault="00127D14">
      <w:pPr>
        <w:spacing w:before="280" w:after="280" w:line="240" w:lineRule="auto"/>
        <w:ind w:firstLine="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By doing so, this research provides policymakers with critical insights into aligning the education system, skills development, and wage inequality in Malaysia. While previous Malaysian studies have examined average wage penalties using OLS or focused on incidence in specific sectors, a significant gap remains in understanding how these mismatches impact the entire wage distribution. This study fills that gap by moving beyond simple averages. We employ not only Ordinary Least Squares (OLS) to find the avera</w:t>
      </w:r>
      <w:r>
        <w:rPr>
          <w:rFonts w:ascii="Times New Roman" w:eastAsia="Times New Roman" w:hAnsi="Times New Roman" w:cs="Times New Roman"/>
          <w:sz w:val="20"/>
          <w:szCs w:val="20"/>
        </w:rPr>
        <w:t>ge effect, but also Quantile Regression (QR), a method that allows us to see if the wage effects are different for low-wage earners versus high-wage earners. Finally, we use Unconditional Quantile Regression (UQR) to assess the structural impact of mismatch on overall wage inequality.</w:t>
      </w:r>
    </w:p>
    <w:p w14:paraId="148D8799" w14:textId="77777777" w:rsidR="00170137" w:rsidRDefault="00127D14">
      <w:pPr>
        <w:spacing w:before="280" w:after="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LITERATURE REVIEW</w:t>
      </w:r>
    </w:p>
    <w:p w14:paraId="1497B414" w14:textId="77777777" w:rsidR="00170137" w:rsidRDefault="00127D14">
      <w:pPr>
        <w:spacing w:before="280" w:after="28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Mincerian earnings function [1] provides the standard model for understanding how education and experience determine wages. It posits that earnings are a direct function of human capital investments. However, this framework assumes a frictionless market where qualifications are perfectly matched to jobs. A mismatch is common, where educational mismatch refers to a discrepancy between a worker's level of schooling and the level required for their job. On the contrary, a skills mismatch refers to a misali</w:t>
      </w:r>
      <w:r>
        <w:rPr>
          <w:rFonts w:ascii="Times New Roman" w:eastAsia="Times New Roman" w:hAnsi="Times New Roman" w:cs="Times New Roman"/>
          <w:sz w:val="20"/>
          <w:szCs w:val="20"/>
        </w:rPr>
        <w:t>gnment between a worker's competencies and the skills required for a job [5].</w:t>
      </w:r>
    </w:p>
    <w:p w14:paraId="1AE41F49" w14:textId="77777777" w:rsidR="00170137" w:rsidRDefault="00127D14">
      <w:pPr>
        <w:spacing w:before="280" w:after="28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Early studies used Ordinary Least Squares (OLS) to estimate the average wage effect of mismatch, often finding a wage penalty for undereducation and a wage premium for overeducation. The limitation of OLS is that it only estimates the average effect, which can be misleading if the impact of a mismatch varies. To address this, we employ Conditional Quantile Regression (CQR), which estimates the effect of variables at different points (e.g., 10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50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90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percentiles) of the wage distribution, conditional on other worker characteristics [6]. This reveals, for instance, whether the penalty for undereducation is more severe for low-wage earners than for high-wage earners.</w:t>
      </w:r>
    </w:p>
    <w:p w14:paraId="3C90F9F4" w14:textId="77777777" w:rsidR="00170137" w:rsidRDefault="00127D14">
      <w:pPr>
        <w:spacing w:before="280" w:after="28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However, for policy questions about overall inequality, Unconditional Quantile Regression (UQR) is the more appropriate method [7]. As noted in recent systematic reviews, UQR is essential for understanding the structural impact on the wage gap, as mismatch penalties can vary significantly across the unconditional wage distribution [8]. Empirical work in the Malaysian context has confirmed the prevalence of mismatch. For example, a study found average wage penalties for overeducation, while other studies hav</w:t>
      </w:r>
      <w:r>
        <w:rPr>
          <w:rFonts w:ascii="Times New Roman" w:eastAsia="Times New Roman" w:hAnsi="Times New Roman" w:cs="Times New Roman"/>
          <w:sz w:val="20"/>
          <w:szCs w:val="20"/>
        </w:rPr>
        <w:t>e explored incidence in the manufacturing sector, differences between native and immigrant workers and the role of ability [9,10,11,12]. This paper builds on these findings by providing a recent, comprehensive distributional analysis using the 2019 SWS data, addressing a gap identified by recent reviews.</w:t>
      </w:r>
    </w:p>
    <w:p w14:paraId="20D1D597" w14:textId="77777777" w:rsidR="00170137" w:rsidRDefault="00127D14">
      <w:pPr>
        <w:spacing w:before="280" w:after="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14:paraId="2CFBD46E" w14:textId="77777777" w:rsidR="00170137" w:rsidRDefault="00127D14">
      <w:pPr>
        <w:spacing w:before="280" w:after="28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study uses data from the 2019 Salaries and Wages Survey (SWS) conducted by the Department of Statistics Malaysia, with a final sample of N = 27,224 salaried workers. The dependent variable is the natural logarithm of the net monthly wage. The educational mismatch in this study was measured using the Realised Matches (RM) method. A worker is considered overeducated or undereducated if their highest level of education is above or below the mode (most common) education level for their specific occupation </w:t>
      </w:r>
      <w:r>
        <w:rPr>
          <w:rFonts w:ascii="Times New Roman" w:eastAsia="Times New Roman" w:hAnsi="Times New Roman" w:cs="Times New Roman"/>
          <w:sz w:val="20"/>
          <w:szCs w:val="20"/>
        </w:rPr>
        <w:t>group (classified by MASCO-2013). Otherwise, they are matched. Meanwhile, skills mismatch was assessed using the Job Analysis (JA) method based on the Malaysia Standard Classification of Occupation (MASCO) 2013, which defines four skill levels for occupations. A worker is overskilled or underskilled if their personal skill level (proxied by education) is higher or lower than the skill level required by their occupation.</w:t>
      </w:r>
    </w:p>
    <w:p w14:paraId="541139E1" w14:textId="77777777" w:rsidR="00170137" w:rsidRDefault="00127D14">
      <w:pPr>
        <w:spacing w:before="280" w:after="280" w:line="240" w:lineRule="auto"/>
        <w:ind w:firstLine="426"/>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The analysis proceeds in three stages. Firstly, we use OLS regression to estimate the average wage effects of mismatch, controlling for a standard set of variables (gender, marital status, ethnicity, age, urban/rural locati</w:t>
      </w:r>
      <w:r>
        <w:rPr>
          <w:rFonts w:ascii="Times New Roman" w:eastAsia="Times New Roman" w:hAnsi="Times New Roman" w:cs="Times New Roman"/>
          <w:sz w:val="20"/>
          <w:szCs w:val="20"/>
          <w:highlight w:val="white"/>
        </w:rPr>
        <w:t xml:space="preserve">on, region, potential experience, occupation, and industry). </w:t>
      </w:r>
    </w:p>
    <w:p w14:paraId="33E6563D" w14:textId="77777777" w:rsidR="00170137" w:rsidRDefault="00127D14">
      <w:pPr>
        <w:pBdr>
          <w:top w:val="nil"/>
          <w:left w:val="nil"/>
          <w:bottom w:val="nil"/>
          <w:right w:val="nil"/>
          <w:between w:val="nil"/>
        </w:pBdr>
        <w:spacing w:after="400" w:line="240" w:lineRule="auto"/>
        <w:ind w:firstLine="720"/>
        <w:rPr>
          <w:rFonts w:ascii="Times New Roman" w:eastAsia="Times New Roman" w:hAnsi="Times New Roman" w:cs="Times New Roman"/>
          <w:color w:val="000000"/>
          <w:sz w:val="20"/>
          <w:szCs w:val="20"/>
          <w:highlight w:val="white"/>
        </w:rPr>
      </w:pPr>
      <m:oMath>
        <m:sSub>
          <m:sSubPr>
            <m:ctrlPr>
              <w:rPr>
                <w:rFonts w:ascii="Cambria Math" w:eastAsia="Cambria Math" w:hAnsi="Cambria Math" w:cs="Cambria Math"/>
                <w:color w:val="000000"/>
                <w:sz w:val="20"/>
                <w:szCs w:val="20"/>
                <w:highlight w:val="white"/>
              </w:rPr>
            </m:ctrlPr>
          </m:sSubPr>
          <m:e>
            <m:r>
              <w:rPr>
                <w:rFonts w:ascii="Cambria Math" w:eastAsia="Cambria Math" w:hAnsi="Cambria Math" w:cs="Cambria Math"/>
                <w:color w:val="000000"/>
                <w:sz w:val="20"/>
                <w:szCs w:val="20"/>
                <w:highlight w:val="white"/>
              </w:rPr>
              <m:t>ln</m:t>
            </m:r>
            <m:r>
              <w:rPr>
                <w:rFonts w:ascii="Cambria Math" w:eastAsia="Cambria Math" w:hAnsi="Cambria Math" w:cs="Cambria Math"/>
                <w:color w:val="000000"/>
                <w:sz w:val="20"/>
                <w:szCs w:val="20"/>
                <w:highlight w:val="white"/>
              </w:rPr>
              <m:t>(</m:t>
            </m:r>
            <m:r>
              <w:rPr>
                <w:rFonts w:ascii="Cambria Math" w:eastAsia="Cambria Math" w:hAnsi="Cambria Math" w:cs="Cambria Math"/>
                <w:color w:val="000000"/>
                <w:sz w:val="20"/>
                <w:szCs w:val="20"/>
                <w:highlight w:val="white"/>
              </w:rPr>
              <m:t>Wage</m:t>
            </m:r>
            <m:r>
              <w:rPr>
                <w:rFonts w:ascii="Cambria Math" w:eastAsia="Cambria Math" w:hAnsi="Cambria Math" w:cs="Cambria Math"/>
                <w:color w:val="000000"/>
                <w:sz w:val="20"/>
                <w:szCs w:val="20"/>
                <w:highlight w:val="white"/>
              </w:rPr>
              <m:t>)</m:t>
            </m:r>
          </m:e>
          <m:sub>
            <m:r>
              <w:rPr>
                <w:rFonts w:ascii="Cambria Math" w:eastAsia="Cambria Math" w:hAnsi="Cambria Math" w:cs="Cambria Math"/>
                <w:color w:val="000000"/>
                <w:sz w:val="20"/>
                <w:szCs w:val="20"/>
                <w:highlight w:val="white"/>
              </w:rPr>
              <m:t>i</m:t>
            </m:r>
          </m:sub>
        </m:sSub>
        <m:r>
          <w:rPr>
            <w:rFonts w:ascii="Cambria Math" w:eastAsia="Cambria Math" w:hAnsi="Cambria Math" w:cs="Cambria Math"/>
            <w:color w:val="000000"/>
            <w:sz w:val="20"/>
            <w:szCs w:val="20"/>
            <w:highlight w:val="white"/>
          </w:rPr>
          <m:t xml:space="preserve">= </m:t>
        </m:r>
        <m:sSub>
          <m:sSubPr>
            <m:ctrlPr>
              <w:rPr>
                <w:rFonts w:ascii="Cambria Math" w:eastAsia="Cambria Math" w:hAnsi="Cambria Math" w:cs="Cambria Math"/>
                <w:color w:val="000000"/>
                <w:sz w:val="20"/>
                <w:szCs w:val="20"/>
                <w:highlight w:val="white"/>
              </w:rPr>
            </m:ctrlPr>
          </m:sSubPr>
          <m:e>
            <m:r>
              <w:rPr>
                <w:rFonts w:ascii="Cambria Math" w:eastAsia="Cambria Math" w:hAnsi="Cambria Math" w:cs="Cambria Math"/>
                <w:color w:val="000000"/>
                <w:sz w:val="20"/>
                <w:szCs w:val="20"/>
                <w:highlight w:val="white"/>
              </w:rPr>
              <m:t>α</m:t>
            </m:r>
          </m:e>
          <m:sub>
            <m:r>
              <w:rPr>
                <w:rFonts w:ascii="Cambria Math" w:eastAsia="Cambria Math" w:hAnsi="Cambria Math" w:cs="Cambria Math"/>
                <w:color w:val="000000"/>
                <w:sz w:val="20"/>
                <w:szCs w:val="20"/>
                <w:highlight w:val="white"/>
              </w:rPr>
              <m:t>0</m:t>
            </m:r>
          </m:sub>
        </m:sSub>
        <m:r>
          <w:rPr>
            <w:rFonts w:ascii="Cambria Math" w:eastAsia="Cambria Math" w:hAnsi="Cambria Math" w:cs="Cambria Math"/>
            <w:color w:val="000000"/>
            <w:sz w:val="20"/>
            <w:szCs w:val="20"/>
            <w:highlight w:val="white"/>
          </w:rPr>
          <m:t>+</m:t>
        </m:r>
        <m:sSub>
          <m:sSubPr>
            <m:ctrlPr>
              <w:rPr>
                <w:rFonts w:ascii="Cambria Math" w:eastAsia="Cambria Math" w:hAnsi="Cambria Math" w:cs="Cambria Math"/>
                <w:color w:val="000000"/>
                <w:sz w:val="20"/>
                <w:szCs w:val="20"/>
                <w:highlight w:val="white"/>
              </w:rPr>
            </m:ctrlPr>
          </m:sSubPr>
          <m:e>
            <m:r>
              <w:rPr>
                <w:rFonts w:ascii="Cambria Math" w:eastAsia="Cambria Math" w:hAnsi="Cambria Math" w:cs="Cambria Math"/>
                <w:color w:val="000000"/>
                <w:sz w:val="20"/>
                <w:szCs w:val="20"/>
                <w:highlight w:val="white"/>
              </w:rPr>
              <m:t>α</m:t>
            </m:r>
          </m:e>
          <m:sub>
            <m:r>
              <w:rPr>
                <w:rFonts w:ascii="Cambria Math" w:eastAsia="Cambria Math" w:hAnsi="Cambria Math" w:cs="Cambria Math"/>
                <w:color w:val="000000"/>
                <w:sz w:val="20"/>
                <w:szCs w:val="20"/>
                <w:highlight w:val="white"/>
              </w:rPr>
              <m:t>1</m:t>
            </m:r>
          </m:sub>
        </m:sSub>
        <m:sSub>
          <m:sSubPr>
            <m:ctrlPr>
              <w:rPr>
                <w:rFonts w:ascii="Cambria Math" w:eastAsia="Cambria Math" w:hAnsi="Cambria Math" w:cs="Cambria Math"/>
                <w:color w:val="000000"/>
                <w:sz w:val="20"/>
                <w:szCs w:val="20"/>
                <w:highlight w:val="white"/>
              </w:rPr>
            </m:ctrlPr>
          </m:sSubPr>
          <m:e>
            <m:r>
              <w:rPr>
                <w:rFonts w:ascii="Cambria Math" w:eastAsia="Cambria Math" w:hAnsi="Cambria Math" w:cs="Cambria Math"/>
                <w:color w:val="000000"/>
                <w:sz w:val="20"/>
                <w:szCs w:val="20"/>
                <w:highlight w:val="white"/>
              </w:rPr>
              <m:t>S</m:t>
            </m:r>
          </m:e>
          <m:sub>
            <m:r>
              <w:rPr>
                <w:rFonts w:ascii="Cambria Math" w:eastAsia="Cambria Math" w:hAnsi="Cambria Math" w:cs="Cambria Math"/>
                <w:color w:val="000000"/>
                <w:sz w:val="20"/>
                <w:szCs w:val="20"/>
                <w:highlight w:val="white"/>
              </w:rPr>
              <m:t>ri</m:t>
            </m:r>
          </m:sub>
        </m:sSub>
        <m:r>
          <w:rPr>
            <w:rFonts w:ascii="Cambria Math" w:eastAsia="Cambria Math" w:hAnsi="Cambria Math" w:cs="Cambria Math"/>
            <w:color w:val="000000"/>
            <w:sz w:val="20"/>
            <w:szCs w:val="20"/>
            <w:highlight w:val="white"/>
          </w:rPr>
          <m:t>+</m:t>
        </m:r>
        <m:sSub>
          <m:sSubPr>
            <m:ctrlPr>
              <w:rPr>
                <w:rFonts w:ascii="Cambria Math" w:eastAsia="Cambria Math" w:hAnsi="Cambria Math" w:cs="Cambria Math"/>
                <w:color w:val="000000"/>
                <w:sz w:val="20"/>
                <w:szCs w:val="20"/>
                <w:highlight w:val="white"/>
              </w:rPr>
            </m:ctrlPr>
          </m:sSubPr>
          <m:e>
            <m:r>
              <w:rPr>
                <w:rFonts w:ascii="Cambria Math" w:eastAsia="Cambria Math" w:hAnsi="Cambria Math" w:cs="Cambria Math"/>
                <w:color w:val="000000"/>
                <w:sz w:val="20"/>
                <w:szCs w:val="20"/>
                <w:highlight w:val="white"/>
              </w:rPr>
              <m:t>α</m:t>
            </m:r>
          </m:e>
          <m:sub>
            <m:r>
              <w:rPr>
                <w:rFonts w:ascii="Cambria Math" w:eastAsia="Cambria Math" w:hAnsi="Cambria Math" w:cs="Cambria Math"/>
                <w:color w:val="000000"/>
                <w:sz w:val="20"/>
                <w:szCs w:val="20"/>
                <w:highlight w:val="white"/>
              </w:rPr>
              <m:t>2</m:t>
            </m:r>
          </m:sub>
        </m:sSub>
        <m:sSub>
          <m:sSubPr>
            <m:ctrlPr>
              <w:rPr>
                <w:rFonts w:ascii="Cambria Math" w:eastAsia="Cambria Math" w:hAnsi="Cambria Math" w:cs="Cambria Math"/>
                <w:color w:val="000000"/>
                <w:sz w:val="20"/>
                <w:szCs w:val="20"/>
                <w:highlight w:val="white"/>
              </w:rPr>
            </m:ctrlPr>
          </m:sSubPr>
          <m:e>
            <m:r>
              <w:rPr>
                <w:rFonts w:ascii="Cambria Math" w:eastAsia="Cambria Math" w:hAnsi="Cambria Math" w:cs="Cambria Math"/>
                <w:color w:val="000000"/>
                <w:sz w:val="20"/>
                <w:szCs w:val="20"/>
                <w:highlight w:val="white"/>
              </w:rPr>
              <m:t>S</m:t>
            </m:r>
          </m:e>
          <m:sub>
            <m:r>
              <w:rPr>
                <w:rFonts w:ascii="Cambria Math" w:eastAsia="Cambria Math" w:hAnsi="Cambria Math" w:cs="Cambria Math"/>
                <w:color w:val="000000"/>
                <w:sz w:val="20"/>
                <w:szCs w:val="20"/>
                <w:highlight w:val="white"/>
              </w:rPr>
              <m:t>oi</m:t>
            </m:r>
          </m:sub>
        </m:sSub>
        <m:r>
          <w:rPr>
            <w:rFonts w:ascii="Cambria Math" w:eastAsia="Cambria Math" w:hAnsi="Cambria Math" w:cs="Cambria Math"/>
            <w:color w:val="000000"/>
            <w:sz w:val="20"/>
            <w:szCs w:val="20"/>
            <w:highlight w:val="white"/>
          </w:rPr>
          <m:t>+</m:t>
        </m:r>
        <m:sSub>
          <m:sSubPr>
            <m:ctrlPr>
              <w:rPr>
                <w:rFonts w:ascii="Cambria Math" w:eastAsia="Cambria Math" w:hAnsi="Cambria Math" w:cs="Cambria Math"/>
                <w:color w:val="000000"/>
                <w:sz w:val="20"/>
                <w:szCs w:val="20"/>
                <w:highlight w:val="white"/>
              </w:rPr>
            </m:ctrlPr>
          </m:sSubPr>
          <m:e>
            <m:r>
              <w:rPr>
                <w:rFonts w:ascii="Cambria Math" w:eastAsia="Cambria Math" w:hAnsi="Cambria Math" w:cs="Cambria Math"/>
                <w:color w:val="000000"/>
                <w:sz w:val="20"/>
                <w:szCs w:val="20"/>
                <w:highlight w:val="white"/>
              </w:rPr>
              <m:t>α</m:t>
            </m:r>
          </m:e>
          <m:sub>
            <m:r>
              <w:rPr>
                <w:rFonts w:ascii="Cambria Math" w:eastAsia="Cambria Math" w:hAnsi="Cambria Math" w:cs="Cambria Math"/>
                <w:color w:val="000000"/>
                <w:sz w:val="20"/>
                <w:szCs w:val="20"/>
                <w:highlight w:val="white"/>
              </w:rPr>
              <m:t>3</m:t>
            </m:r>
          </m:sub>
        </m:sSub>
        <m:sSub>
          <m:sSubPr>
            <m:ctrlPr>
              <w:rPr>
                <w:rFonts w:ascii="Cambria Math" w:eastAsia="Cambria Math" w:hAnsi="Cambria Math" w:cs="Cambria Math"/>
                <w:color w:val="000000"/>
                <w:sz w:val="20"/>
                <w:szCs w:val="20"/>
                <w:highlight w:val="white"/>
              </w:rPr>
            </m:ctrlPr>
          </m:sSubPr>
          <m:e>
            <m:r>
              <w:rPr>
                <w:rFonts w:ascii="Cambria Math" w:eastAsia="Cambria Math" w:hAnsi="Cambria Math" w:cs="Cambria Math"/>
                <w:color w:val="000000"/>
                <w:sz w:val="20"/>
                <w:szCs w:val="20"/>
                <w:highlight w:val="white"/>
              </w:rPr>
              <m:t>S</m:t>
            </m:r>
          </m:e>
          <m:sub>
            <m:r>
              <w:rPr>
                <w:rFonts w:ascii="Cambria Math" w:eastAsia="Cambria Math" w:hAnsi="Cambria Math" w:cs="Cambria Math"/>
                <w:color w:val="000000"/>
                <w:sz w:val="20"/>
                <w:szCs w:val="20"/>
                <w:highlight w:val="white"/>
              </w:rPr>
              <m:t>ui</m:t>
            </m:r>
          </m:sub>
        </m:sSub>
        <m:r>
          <w:rPr>
            <w:rFonts w:ascii="Cambria Math" w:eastAsia="Cambria Math" w:hAnsi="Cambria Math" w:cs="Cambria Math"/>
            <w:color w:val="000000"/>
            <w:sz w:val="20"/>
            <w:szCs w:val="20"/>
            <w:highlight w:val="white"/>
          </w:rPr>
          <m:t>+</m:t>
        </m:r>
        <m:sSub>
          <m:sSubPr>
            <m:ctrlPr>
              <w:rPr>
                <w:rFonts w:ascii="Cambria Math" w:eastAsia="Cambria Math" w:hAnsi="Cambria Math" w:cs="Cambria Math"/>
                <w:color w:val="000000"/>
                <w:sz w:val="20"/>
                <w:szCs w:val="20"/>
                <w:highlight w:val="white"/>
              </w:rPr>
            </m:ctrlPr>
          </m:sSubPr>
          <m:e>
            <m:r>
              <w:rPr>
                <w:rFonts w:ascii="Cambria Math" w:eastAsia="Cambria Math" w:hAnsi="Cambria Math" w:cs="Cambria Math"/>
                <w:color w:val="000000"/>
                <w:sz w:val="20"/>
                <w:szCs w:val="20"/>
                <w:highlight w:val="white"/>
              </w:rPr>
              <m:t>α</m:t>
            </m:r>
          </m:e>
          <m:sub>
            <m:r>
              <w:rPr>
                <w:rFonts w:ascii="Cambria Math" w:eastAsia="Cambria Math" w:hAnsi="Cambria Math" w:cs="Cambria Math"/>
                <w:color w:val="000000"/>
                <w:sz w:val="20"/>
                <w:szCs w:val="20"/>
                <w:highlight w:val="white"/>
              </w:rPr>
              <m:t>4</m:t>
            </m:r>
          </m:sub>
        </m:sSub>
        <m:sSub>
          <m:sSubPr>
            <m:ctrlPr>
              <w:rPr>
                <w:rFonts w:ascii="Cambria Math" w:eastAsia="Cambria Math" w:hAnsi="Cambria Math" w:cs="Cambria Math"/>
                <w:color w:val="000000"/>
                <w:sz w:val="20"/>
                <w:szCs w:val="20"/>
                <w:highlight w:val="white"/>
              </w:rPr>
            </m:ctrlPr>
          </m:sSubPr>
          <m:e>
            <m:r>
              <w:rPr>
                <w:rFonts w:ascii="Cambria Math" w:eastAsia="Cambria Math" w:hAnsi="Cambria Math" w:cs="Cambria Math"/>
                <w:color w:val="000000"/>
                <w:sz w:val="20"/>
                <w:szCs w:val="20"/>
                <w:highlight w:val="white"/>
              </w:rPr>
              <m:t>Exp</m:t>
            </m:r>
          </m:e>
          <m:sub>
            <m:r>
              <w:rPr>
                <w:rFonts w:ascii="Cambria Math" w:eastAsia="Cambria Math" w:hAnsi="Cambria Math" w:cs="Cambria Math"/>
                <w:color w:val="000000"/>
                <w:sz w:val="20"/>
                <w:szCs w:val="20"/>
                <w:highlight w:val="white"/>
              </w:rPr>
              <m:t>i</m:t>
            </m:r>
          </m:sub>
        </m:sSub>
        <m:r>
          <w:rPr>
            <w:rFonts w:ascii="Cambria Math" w:eastAsia="Cambria Math" w:hAnsi="Cambria Math" w:cs="Cambria Math"/>
            <w:color w:val="000000"/>
            <w:sz w:val="20"/>
            <w:szCs w:val="20"/>
            <w:highlight w:val="white"/>
          </w:rPr>
          <m:t>+</m:t>
        </m:r>
        <m:sSub>
          <m:sSubPr>
            <m:ctrlPr>
              <w:rPr>
                <w:rFonts w:ascii="Cambria Math" w:eastAsia="Cambria Math" w:hAnsi="Cambria Math" w:cs="Cambria Math"/>
                <w:color w:val="000000"/>
                <w:sz w:val="20"/>
                <w:szCs w:val="20"/>
                <w:highlight w:val="white"/>
              </w:rPr>
            </m:ctrlPr>
          </m:sSubPr>
          <m:e>
            <m:r>
              <w:rPr>
                <w:rFonts w:ascii="Cambria Math" w:eastAsia="Cambria Math" w:hAnsi="Cambria Math" w:cs="Cambria Math"/>
                <w:color w:val="000000"/>
                <w:sz w:val="20"/>
                <w:szCs w:val="20"/>
                <w:highlight w:val="white"/>
              </w:rPr>
              <m:t xml:space="preserve"> </m:t>
            </m:r>
            <m:r>
              <w:rPr>
                <w:rFonts w:ascii="Cambria Math" w:eastAsia="Cambria Math" w:hAnsi="Cambria Math" w:cs="Cambria Math"/>
                <w:color w:val="000000"/>
                <w:sz w:val="20"/>
                <w:szCs w:val="20"/>
                <w:highlight w:val="white"/>
              </w:rPr>
              <m:t>α</m:t>
            </m:r>
          </m:e>
          <m:sub>
            <m:r>
              <w:rPr>
                <w:rFonts w:ascii="Cambria Math" w:eastAsia="Cambria Math" w:hAnsi="Cambria Math" w:cs="Cambria Math"/>
                <w:color w:val="000000"/>
                <w:sz w:val="20"/>
                <w:szCs w:val="20"/>
                <w:highlight w:val="white"/>
              </w:rPr>
              <m:t>5</m:t>
            </m:r>
          </m:sub>
        </m:sSub>
        <m:sSubSup>
          <m:sSubSupPr>
            <m:ctrlPr>
              <w:rPr>
                <w:rFonts w:ascii="Cambria Math" w:eastAsia="Cambria Math" w:hAnsi="Cambria Math" w:cs="Cambria Math"/>
                <w:color w:val="000000"/>
                <w:sz w:val="20"/>
                <w:szCs w:val="20"/>
                <w:highlight w:val="white"/>
              </w:rPr>
            </m:ctrlPr>
          </m:sSubSupPr>
          <m:e>
            <m:r>
              <w:rPr>
                <w:rFonts w:ascii="Cambria Math" w:eastAsia="Cambria Math" w:hAnsi="Cambria Math" w:cs="Cambria Math"/>
                <w:color w:val="000000"/>
                <w:sz w:val="20"/>
                <w:szCs w:val="20"/>
                <w:highlight w:val="white"/>
              </w:rPr>
              <m:t>Exp</m:t>
            </m:r>
          </m:e>
          <m:sub>
            <m:r>
              <w:rPr>
                <w:rFonts w:ascii="Cambria Math" w:eastAsia="Cambria Math" w:hAnsi="Cambria Math" w:cs="Cambria Math"/>
                <w:color w:val="000000"/>
                <w:sz w:val="20"/>
                <w:szCs w:val="20"/>
                <w:highlight w:val="white"/>
              </w:rPr>
              <m:t>i</m:t>
            </m:r>
          </m:sub>
          <m:sup>
            <m:r>
              <w:rPr>
                <w:rFonts w:ascii="Cambria Math" w:eastAsia="Cambria Math" w:hAnsi="Cambria Math" w:cs="Cambria Math"/>
                <w:color w:val="000000"/>
                <w:sz w:val="20"/>
                <w:szCs w:val="20"/>
                <w:highlight w:val="white"/>
              </w:rPr>
              <m:t>2</m:t>
            </m:r>
          </m:sup>
        </m:sSubSup>
        <m:r>
          <w:rPr>
            <w:rFonts w:ascii="Cambria Math" w:eastAsia="Cambria Math" w:hAnsi="Cambria Math" w:cs="Cambria Math"/>
            <w:color w:val="000000"/>
            <w:sz w:val="20"/>
            <w:szCs w:val="20"/>
            <w:highlight w:val="white"/>
          </w:rPr>
          <m:t>+</m:t>
        </m:r>
        <m:sSub>
          <m:sSubPr>
            <m:ctrlPr>
              <w:rPr>
                <w:rFonts w:ascii="Cambria Math" w:eastAsia="Cambria Math" w:hAnsi="Cambria Math" w:cs="Cambria Math"/>
                <w:color w:val="000000"/>
                <w:sz w:val="20"/>
                <w:szCs w:val="20"/>
                <w:highlight w:val="white"/>
              </w:rPr>
            </m:ctrlPr>
          </m:sSubPr>
          <m:e>
            <m:r>
              <w:rPr>
                <w:rFonts w:ascii="Cambria Math" w:eastAsia="Cambria Math" w:hAnsi="Cambria Math" w:cs="Cambria Math"/>
                <w:color w:val="000000"/>
                <w:sz w:val="20"/>
                <w:szCs w:val="20"/>
                <w:highlight w:val="white"/>
              </w:rPr>
              <m:t>ε</m:t>
            </m:r>
          </m:e>
          <m:sub>
            <m:r>
              <w:rPr>
                <w:rFonts w:ascii="Cambria Math" w:eastAsia="Cambria Math" w:hAnsi="Cambria Math" w:cs="Cambria Math"/>
                <w:color w:val="000000"/>
                <w:sz w:val="20"/>
                <w:szCs w:val="20"/>
                <w:highlight w:val="white"/>
              </w:rPr>
              <m:t>1</m:t>
            </m:r>
          </m:sub>
        </m:sSub>
      </m:oMath>
      <w:r>
        <w:rPr>
          <w:rFonts w:ascii="Times New Roman" w:eastAsia="Times New Roman" w:hAnsi="Times New Roman" w:cs="Times New Roman"/>
          <w:color w:val="000000"/>
          <w:sz w:val="20"/>
          <w:szCs w:val="20"/>
          <w:highlight w:val="white"/>
        </w:rPr>
        <w:t xml:space="preserve">                                               (1)</w:t>
      </w:r>
    </w:p>
    <w:p w14:paraId="26873269" w14:textId="77777777" w:rsidR="00170137" w:rsidRDefault="00127D14">
      <w:pPr>
        <w:spacing w:before="280" w:after="28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In this equation, </w:t>
      </w:r>
      <m:oMath>
        <m:r>
          <w:rPr>
            <w:rFonts w:ascii="Cambria Math" w:eastAsia="Cambria Math" w:hAnsi="Cambria Math" w:cs="Cambria Math"/>
            <w:sz w:val="20"/>
            <w:szCs w:val="20"/>
            <w:highlight w:val="white"/>
          </w:rPr>
          <m:t>ln</m:t>
        </m:r>
        <m:r>
          <w:rPr>
            <w:rFonts w:ascii="Cambria Math" w:eastAsia="Cambria Math" w:hAnsi="Cambria Math" w:cs="Cambria Math"/>
            <w:sz w:val="20"/>
            <w:szCs w:val="20"/>
            <w:highlight w:val="white"/>
          </w:rPr>
          <m:t>(</m:t>
        </m:r>
        <m:r>
          <w:rPr>
            <w:rFonts w:ascii="Cambria Math" w:eastAsia="Cambria Math" w:hAnsi="Cambria Math" w:cs="Cambria Math"/>
            <w:sz w:val="20"/>
            <w:szCs w:val="20"/>
            <w:highlight w:val="white"/>
          </w:rPr>
          <m:t>Wage</m:t>
        </m:r>
        <m:r>
          <w:rPr>
            <w:rFonts w:ascii="Cambria Math" w:eastAsia="Cambria Math" w:hAnsi="Cambria Math" w:cs="Cambria Math"/>
            <w:sz w:val="20"/>
            <w:szCs w:val="20"/>
            <w:highlight w:val="white"/>
          </w:rPr>
          <m:t>)</m:t>
        </m:r>
      </m:oMath>
      <w:r>
        <w:rPr>
          <w:rFonts w:ascii="Times New Roman" w:eastAsia="Times New Roman" w:hAnsi="Times New Roman" w:cs="Times New Roman"/>
          <w:sz w:val="20"/>
          <w:szCs w:val="20"/>
          <w:highlight w:val="white"/>
        </w:rPr>
        <w:t xml:space="preserve"> represents the natural logarithm of an hou</w:t>
      </w:r>
      <w:r>
        <w:rPr>
          <w:rFonts w:ascii="Times New Roman" w:eastAsia="Times New Roman" w:hAnsi="Times New Roman" w:cs="Times New Roman"/>
          <w:sz w:val="20"/>
          <w:szCs w:val="20"/>
        </w:rPr>
        <w:t xml:space="preserve">rly wage,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ri</m:t>
            </m:r>
          </m:sub>
        </m:sSub>
        <m:r>
          <w:rPr>
            <w:rFonts w:ascii="Cambria Math" w:eastAsia="Cambria Math" w:hAnsi="Cambria Math" w:cs="Cambria Math"/>
            <w:sz w:val="20"/>
            <w:szCs w:val="20"/>
          </w:rPr>
          <m:t xml:space="preserve"> </m:t>
        </m:r>
      </m:oMath>
      <w:r>
        <w:rPr>
          <w:rFonts w:ascii="Times New Roman" w:eastAsia="Times New Roman" w:hAnsi="Times New Roman" w:cs="Times New Roman"/>
          <w:sz w:val="20"/>
          <w:szCs w:val="20"/>
        </w:rPr>
        <w:t xml:space="preserve">denotes required years of schooling for the job.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oi</m:t>
            </m:r>
          </m:sub>
        </m:sSub>
        <m:r>
          <w:rPr>
            <w:rFonts w:ascii="Cambria Math" w:eastAsia="Cambria Math" w:hAnsi="Cambria Math" w:cs="Cambria Math"/>
            <w:sz w:val="20"/>
            <w:szCs w:val="20"/>
          </w:rPr>
          <m:t xml:space="preserve"> </m:t>
        </m:r>
      </m:oMath>
      <w:r>
        <w:rPr>
          <w:rFonts w:ascii="Times New Roman" w:eastAsia="Times New Roman" w:hAnsi="Times New Roman" w:cs="Times New Roman"/>
          <w:sz w:val="20"/>
          <w:szCs w:val="20"/>
        </w:rPr>
        <w:t xml:space="preserve"> denotes years of overeducation,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ui</m:t>
            </m:r>
          </m:sub>
        </m:sSub>
        <m:r>
          <w:rPr>
            <w:rFonts w:ascii="Cambria Math" w:eastAsia="Cambria Math" w:hAnsi="Cambria Math" w:cs="Cambria Math"/>
            <w:sz w:val="20"/>
            <w:szCs w:val="20"/>
          </w:rPr>
          <m:t xml:space="preserve"> </m:t>
        </m:r>
        <m:r>
          <w:rPr>
            <w:rFonts w:ascii="Cambria Math" w:eastAsia="Cambria Math" w:hAnsi="Cambria Math" w:cs="Cambria Math"/>
            <w:sz w:val="20"/>
            <w:szCs w:val="20"/>
          </w:rPr>
          <m:t>denotes</m:t>
        </m:r>
        <m:r>
          <w:rPr>
            <w:rFonts w:ascii="Cambria Math" w:eastAsia="Cambria Math" w:hAnsi="Cambria Math" w:cs="Cambria Math"/>
            <w:sz w:val="20"/>
            <w:szCs w:val="20"/>
          </w:rPr>
          <m:t xml:space="preserve"> </m:t>
        </m:r>
      </m:oMath>
      <w:r>
        <w:rPr>
          <w:rFonts w:ascii="Times New Roman" w:eastAsia="Times New Roman" w:hAnsi="Times New Roman" w:cs="Times New Roman"/>
          <w:sz w:val="20"/>
          <w:szCs w:val="20"/>
        </w:rPr>
        <w:t xml:space="preserve">years of undereducation, </w:t>
      </w:r>
      <w:r>
        <w:rPr>
          <w:rFonts w:ascii="Times New Roman" w:eastAsia="Times New Roman" w:hAnsi="Times New Roman" w:cs="Times New Roman"/>
          <w:i/>
          <w:iCs/>
          <w:sz w:val="20"/>
          <w:szCs w:val="20"/>
        </w:rPr>
        <w:t>Experience</w:t>
      </w:r>
      <w:r>
        <w:rPr>
          <w:rFonts w:ascii="Times New Roman" w:eastAsia="Times New Roman" w:hAnsi="Times New Roman" w:cs="Times New Roman"/>
          <w:sz w:val="20"/>
          <w:szCs w:val="20"/>
        </w:rPr>
        <w:t xml:space="preserve"> refers to years of labour market experience, and</w:t>
      </w:r>
      <m:oMath>
        <m:r>
          <w:rPr>
            <w:rFonts w:ascii="Cambria Math" w:eastAsia="Cambria Math" w:hAnsi="Cambria Math" w:cs="Cambria Math"/>
            <w:sz w:val="20"/>
            <w:szCs w:val="20"/>
          </w:rPr>
          <m:t xml:space="preserve"> </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Experience</m:t>
            </m:r>
          </m:e>
          <m:sup>
            <m:r>
              <w:rPr>
                <w:rFonts w:ascii="Cambria Math" w:eastAsia="Cambria Math" w:hAnsi="Cambria Math" w:cs="Cambria Math"/>
                <w:sz w:val="20"/>
                <w:szCs w:val="20"/>
              </w:rPr>
              <m:t>2</m:t>
            </m:r>
          </m:sup>
        </m:sSup>
      </m:oMath>
      <w:r>
        <w:rPr>
          <w:rFonts w:ascii="Times New Roman" w:eastAsia="Times New Roman" w:hAnsi="Times New Roman" w:cs="Times New Roman"/>
          <w:sz w:val="20"/>
          <w:szCs w:val="20"/>
        </w:rPr>
        <w:t xml:space="preserve"> is its quadratic term to capture non-linear returns. </w:t>
      </w:r>
      <m:oMath>
        <m:sSub>
          <m:sSubPr>
            <m:ctrlPr>
              <w:rPr>
                <w:rFonts w:ascii="Cambria Math" w:eastAsia="Cambria Math" w:hAnsi="Cambria Math" w:cs="Cambria Math"/>
                <w:sz w:val="20"/>
                <w:szCs w:val="20"/>
              </w:rPr>
            </m:ctrlPr>
          </m:sSubPr>
          <m:e>
            <m:r>
              <w:rPr>
                <w:rFonts w:ascii="Cambria Math" w:hAnsi="Cambria Math"/>
              </w:rPr>
              <m:t>α</m:t>
            </m:r>
          </m:e>
          <m:sub>
            <m:r>
              <w:rPr>
                <w:rFonts w:ascii="Cambria Math" w:eastAsia="Cambria Math" w:hAnsi="Cambria Math" w:cs="Cambria Math"/>
                <w:sz w:val="20"/>
                <w:szCs w:val="20"/>
              </w:rPr>
              <m:t>0</m:t>
            </m:r>
          </m:sub>
        </m:sSub>
        <m:r>
          <w:rPr>
            <w:rFonts w:ascii="Cambria Math" w:eastAsia="Cambria Math" w:hAnsi="Cambria Math" w:cs="Cambria Math"/>
            <w:sz w:val="20"/>
            <w:szCs w:val="20"/>
          </w:rPr>
          <m:t xml:space="preserve"> </m:t>
        </m:r>
      </m:oMath>
      <w:r>
        <w:rPr>
          <w:rFonts w:ascii="Times New Roman" w:eastAsia="Times New Roman" w:hAnsi="Times New Roman" w:cs="Times New Roman"/>
          <w:sz w:val="20"/>
          <w:szCs w:val="20"/>
        </w:rPr>
        <w:t xml:space="preserve">is the intercept, </w:t>
      </w:r>
      <m:oMath>
        <m:sSub>
          <m:sSubPr>
            <m:ctrlPr>
              <w:rPr>
                <w:rFonts w:ascii="Cambria Math" w:eastAsia="Cambria Math" w:hAnsi="Cambria Math" w:cs="Cambria Math"/>
                <w:sz w:val="20"/>
                <w:szCs w:val="20"/>
              </w:rPr>
            </m:ctrlPr>
          </m:sSubPr>
          <m:e>
            <m:r>
              <w:rPr>
                <w:rFonts w:ascii="Cambria Math" w:hAnsi="Cambria Math"/>
              </w:rPr>
              <m:t>α</m:t>
            </m:r>
          </m:e>
          <m:sub>
            <m:r>
              <w:rPr>
                <w:rFonts w:ascii="Cambria Math" w:eastAsia="Cambria Math" w:hAnsi="Cambria Math" w:cs="Cambria Math"/>
                <w:sz w:val="20"/>
                <w:szCs w:val="20"/>
              </w:rPr>
              <m:t>1</m:t>
            </m:r>
          </m:sub>
        </m:sSub>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 xml:space="preserve">2 </m:t>
            </m:r>
          </m:sub>
        </m:sSub>
        <m:r>
          <w:rPr>
            <w:rFonts w:ascii="Cambria Math" w:eastAsia="Cambria Math" w:hAnsi="Cambria Math" w:cs="Cambria Math"/>
            <w:sz w:val="20"/>
            <w:szCs w:val="20"/>
          </w:rPr>
          <m:t>and</m:t>
        </m:r>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3</m:t>
            </m:r>
          </m:sub>
        </m:sSub>
      </m:oMath>
      <w:r>
        <w:rPr>
          <w:rFonts w:ascii="Times New Roman" w:eastAsia="Times New Roman" w:hAnsi="Times New Roman" w:cs="Times New Roman"/>
          <w:sz w:val="20"/>
          <w:szCs w:val="20"/>
        </w:rPr>
        <w:t xml:space="preserve"> are the respective coefficients, and </w:t>
      </w:r>
      <m:oMath>
        <m:r>
          <w:rPr>
            <w:rFonts w:ascii="Cambria Math" w:hAnsi="Cambria Math"/>
          </w:rPr>
          <m:t>ε</m:t>
        </m:r>
      </m:oMath>
      <w:r>
        <w:rPr>
          <w:rFonts w:ascii="Times New Roman" w:eastAsia="Times New Roman" w:hAnsi="Times New Roman" w:cs="Times New Roman"/>
          <w:sz w:val="20"/>
          <w:szCs w:val="20"/>
        </w:rPr>
        <w:t xml:space="preserve"> is the error term. This model provides baseline estimates of the returns to required years of schooling (</w:t>
      </w:r>
      <m:oMath>
        <m:sSub>
          <m:sSubPr>
            <m:ctrlPr>
              <w:rPr>
                <w:rFonts w:ascii="Cambria Math" w:eastAsia="Cambria Math" w:hAnsi="Cambria Math" w:cs="Cambria Math"/>
                <w:sz w:val="20"/>
                <w:szCs w:val="20"/>
              </w:rPr>
            </m:ctrlPr>
          </m:sSubPr>
          <m:e>
            <m:r>
              <w:rPr>
                <w:rFonts w:ascii="Cambria Math" w:hAnsi="Cambria Math"/>
              </w:rPr>
              <m:t>α</m:t>
            </m:r>
          </m:e>
          <m:sub>
            <m:r>
              <w:rPr>
                <w:rFonts w:ascii="Cambria Math" w:eastAsia="Cambria Math" w:hAnsi="Cambria Math" w:cs="Cambria Math"/>
                <w:sz w:val="20"/>
                <w:szCs w:val="20"/>
              </w:rPr>
              <m:t>1</m:t>
            </m:r>
          </m:sub>
        </m:sSub>
      </m:oMath>
      <w:r>
        <w:rPr>
          <w:rFonts w:ascii="Times New Roman" w:eastAsia="Times New Roman" w:hAnsi="Times New Roman" w:cs="Times New Roman"/>
          <w:sz w:val="20"/>
          <w:szCs w:val="20"/>
        </w:rPr>
        <w:t>​), years of overeducation</w:t>
      </w:r>
      <m:oMath>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2</m:t>
            </m:r>
          </m:sub>
        </m:sSub>
        <m:r>
          <w:rPr>
            <w:rFonts w:ascii="Cambria Math" w:eastAsia="Cambria Math" w:hAnsi="Cambria Math" w:cs="Cambria Math"/>
            <w:sz w:val="20"/>
            <w:szCs w:val="20"/>
          </w:rPr>
          <m:t>)</m:t>
        </m:r>
      </m:oMath>
      <w:r>
        <w:rPr>
          <w:rFonts w:ascii="Times New Roman" w:eastAsia="Times New Roman" w:hAnsi="Times New Roman" w:cs="Times New Roman"/>
          <w:sz w:val="20"/>
          <w:szCs w:val="20"/>
        </w:rPr>
        <w:t xml:space="preserve">  and years of undereducation (</w:t>
      </w:r>
      <m:oMath>
        <m:sSub>
          <m:sSubPr>
            <m:ctrlPr>
              <w:rPr>
                <w:rFonts w:ascii="Cambria Math" w:eastAsia="Cambria Math" w:hAnsi="Cambria Math" w:cs="Cambria Math"/>
                <w:sz w:val="20"/>
                <w:szCs w:val="20"/>
              </w:rPr>
            </m:ctrlPr>
          </m:sSubPr>
          <m:e>
            <m:r>
              <w:rPr>
                <w:rFonts w:ascii="Cambria Math" w:hAnsi="Cambria Math"/>
              </w:rPr>
              <m:t>α</m:t>
            </m:r>
          </m:e>
          <m:sub>
            <m:r>
              <w:rPr>
                <w:rFonts w:ascii="Cambria Math" w:eastAsia="Cambria Math" w:hAnsi="Cambria Math" w:cs="Cambria Math"/>
                <w:sz w:val="20"/>
                <w:szCs w:val="20"/>
              </w:rPr>
              <m:t>3</m:t>
            </m:r>
          </m:sub>
        </m:sSub>
        <m:r>
          <w:rPr>
            <w:rFonts w:ascii="Cambria Math" w:eastAsia="Cambria Math" w:hAnsi="Cambria Math" w:cs="Cambria Math"/>
            <w:sz w:val="20"/>
            <w:szCs w:val="20"/>
          </w:rPr>
          <m:t>)</m:t>
        </m:r>
      </m:oMath>
      <w:r>
        <w:rPr>
          <w:rFonts w:ascii="Times New Roman" w:eastAsia="Times New Roman" w:hAnsi="Times New Roman" w:cs="Times New Roman"/>
          <w:sz w:val="20"/>
          <w:szCs w:val="20"/>
        </w:rPr>
        <w:t xml:space="preserve">, alongside returns to experience. </w:t>
      </w:r>
    </w:p>
    <w:p w14:paraId="2BA5AE3A" w14:textId="77777777" w:rsidR="00170137" w:rsidRDefault="00127D14">
      <w:pPr>
        <w:spacing w:before="280" w:after="28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Second, we use Conditional Quantile Regression (CQR) to examine effects at different quantiles of the conditional distribution:</w:t>
      </w:r>
    </w:p>
    <w:p w14:paraId="0E19B6DF" w14:textId="77777777" w:rsidR="00170137" w:rsidRDefault="00127D14">
      <w:pPr>
        <w:spacing w:before="280" w:after="280" w:line="240" w:lineRule="auto"/>
        <w:jc w:val="both"/>
        <w:rPr>
          <w:rFonts w:ascii="Times New Roman" w:eastAsia="Times New Roman" w:hAnsi="Times New Roman" w:cs="Times New Roman"/>
          <w:i/>
          <w:iCs/>
          <w:sz w:val="20"/>
          <w:szCs w:val="20"/>
        </w:rPr>
      </w:p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 xml:space="preserve">         </m:t>
            </m:r>
            <m:r>
              <w:rPr>
                <w:rFonts w:ascii="Cambria Math" w:eastAsia="Cambria Math" w:hAnsi="Cambria Math" w:cs="Cambria Math"/>
                <w:sz w:val="20"/>
                <w:szCs w:val="20"/>
              </w:rPr>
              <m:t>Q</m:t>
            </m:r>
          </m:e>
          <m:sub>
            <m:r>
              <w:rPr>
                <w:rFonts w:ascii="Cambria Math" w:eastAsia="Cambria Math" w:hAnsi="Cambria Math" w:cs="Cambria Math"/>
                <w:sz w:val="20"/>
                <w:szCs w:val="20"/>
              </w:rPr>
              <m:t>ln</m:t>
            </m:r>
            <m:d>
              <m:dPr>
                <m:ctrlPr>
                  <w:rPr>
                    <w:rFonts w:ascii="Cambria Math" w:eastAsia="Cambria Math" w:hAnsi="Cambria Math" w:cs="Cambria Math"/>
                    <w:sz w:val="20"/>
                    <w:szCs w:val="20"/>
                  </w:rPr>
                </m:ctrlPr>
              </m:dPr>
              <m:e>
                <m:r>
                  <w:rPr>
                    <w:rFonts w:ascii="Cambria Math" w:eastAsia="Cambria Math" w:hAnsi="Cambria Math" w:cs="Cambria Math"/>
                    <w:sz w:val="20"/>
                    <w:szCs w:val="20"/>
                  </w:rPr>
                  <m:t>W</m:t>
                </m:r>
              </m:e>
            </m:d>
            <m:r>
              <w:rPr>
                <w:rFonts w:ascii="Cambria Math" w:eastAsia="Cambria Math" w:hAnsi="Cambria Math" w:cs="Cambria Math"/>
                <w:sz w:val="20"/>
                <w:szCs w:val="20"/>
              </w:rPr>
              <m:t>i</m:t>
            </m:r>
          </m:sub>
        </m:sSub>
        <m:r>
          <w:rPr>
            <w:rFonts w:ascii="Cambria Math" w:eastAsia="Cambria Math" w:hAnsi="Cambria Math" w:cs="Cambria Math"/>
            <w:sz w:val="20"/>
            <w:szCs w:val="20"/>
          </w:rPr>
          <m:t>(</m:t>
        </m:r>
        <m:r>
          <w:rPr>
            <w:rFonts w:ascii="Cambria Math" w:eastAsia="Cambria Math" w:hAnsi="Cambria Math" w:cs="Cambria Math"/>
            <w:sz w:val="20"/>
            <w:szCs w:val="20"/>
          </w:rPr>
          <m:t>θ</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0</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θ</m:t>
            </m:r>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1</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θ</m:t>
            </m:r>
          </m:e>
        </m:d>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ri</m:t>
            </m:r>
            <m:r>
              <w:rPr>
                <w:rFonts w:ascii="Cambria Math" w:eastAsia="Cambria Math" w:hAnsi="Cambria Math" w:cs="Cambria Math"/>
                <w:sz w:val="20"/>
                <w:szCs w:val="20"/>
              </w:rPr>
              <m:t xml:space="preserve"> </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2</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θ</m:t>
            </m:r>
          </m:e>
        </m:d>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oi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3</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θ</m:t>
            </m:r>
          </m:e>
        </m:d>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ui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 xml:space="preserve">    </m:t>
            </m:r>
            <m:r>
              <w:rPr>
                <w:rFonts w:ascii="Cambria Math" w:eastAsia="Cambria Math" w:hAnsi="Cambria Math" w:cs="Cambria Math"/>
                <w:sz w:val="20"/>
                <w:szCs w:val="20"/>
              </w:rPr>
              <m:t>α</m:t>
            </m:r>
          </m:e>
          <m:sub>
            <m:r>
              <w:rPr>
                <w:rFonts w:ascii="Cambria Math" w:eastAsia="Cambria Math" w:hAnsi="Cambria Math" w:cs="Cambria Math"/>
                <w:sz w:val="20"/>
                <w:szCs w:val="20"/>
              </w:rPr>
              <m:t>4</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θ</m:t>
            </m:r>
          </m:e>
        </m:d>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Exp</m:t>
            </m:r>
          </m:e>
          <m:sub>
            <m:r>
              <w:rPr>
                <w:rFonts w:ascii="Cambria Math" w:eastAsia="Cambria Math" w:hAnsi="Cambria Math" w:cs="Cambria Math"/>
                <w:sz w:val="20"/>
                <w:szCs w:val="20"/>
              </w:rPr>
              <m:t>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5</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θ</m:t>
            </m:r>
          </m:e>
        </m:d>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Exp</m:t>
            </m:r>
          </m:e>
          <m:sub>
            <m:r>
              <w:rPr>
                <w:rFonts w:ascii="Cambria Math" w:eastAsia="Cambria Math" w:hAnsi="Cambria Math" w:cs="Cambria Math"/>
                <w:sz w:val="20"/>
                <w:szCs w:val="20"/>
              </w:rPr>
              <m:t>i</m:t>
            </m:r>
          </m:sub>
          <m:sup>
            <m:r>
              <w:rPr>
                <w:rFonts w:ascii="Cambria Math" w:eastAsia="Cambria Math" w:hAnsi="Cambria Math" w:cs="Cambria Math"/>
                <w:sz w:val="20"/>
                <w:szCs w:val="20"/>
              </w:rPr>
              <m:t>2</m:t>
            </m:r>
          </m:sup>
        </m:sSubSup>
        <m:r>
          <w:rPr>
            <w:rFonts w:ascii="Cambria Math" w:eastAsia="Cambria Math" w:hAnsi="Cambria Math" w:cs="Cambria Math"/>
            <w:sz w:val="20"/>
            <w:szCs w:val="20"/>
          </w:rPr>
          <m:t>+</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K</m:t>
            </m:r>
          </m:e>
          <m:sub>
            <m:r>
              <w:rPr>
                <w:rFonts w:ascii="Cambria Math" w:eastAsia="Cambria Math" w:hAnsi="Cambria Math" w:cs="Cambria Math"/>
                <w:sz w:val="20"/>
                <w:szCs w:val="20"/>
              </w:rPr>
              <m:t>i</m:t>
            </m:r>
          </m:sub>
          <m:sup>
            <m:r>
              <w:rPr>
                <w:rFonts w:ascii="Cambria Math" w:eastAsia="Cambria Math" w:hAnsi="Cambria Math" w:cs="Cambria Math"/>
                <w:sz w:val="20"/>
                <w:szCs w:val="20"/>
              </w:rPr>
              <m:t>'</m:t>
            </m:r>
          </m:sup>
        </m:sSubSup>
        <m:r>
          <w:rPr>
            <w:rFonts w:ascii="Cambria Math" w:eastAsia="Cambria Math" w:hAnsi="Cambria Math" w:cs="Cambria Math"/>
            <w:sz w:val="20"/>
            <w:szCs w:val="20"/>
          </w:rPr>
          <m:t>δ</m:t>
        </m:r>
      </m:oMath>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(2)</w:t>
      </w:r>
    </w:p>
    <w:p w14:paraId="0B894DA6" w14:textId="77777777" w:rsidR="00170137" w:rsidRDefault="00127D14">
      <w:pPr>
        <w:spacing w:before="280" w:after="280" w:line="240" w:lineRule="auto"/>
        <w:jc w:val="both"/>
        <w:rPr>
          <w:rFonts w:ascii="Times New Roman" w:eastAsia="Times New Roman" w:hAnsi="Times New Roman" w:cs="Times New Roman"/>
          <w:sz w:val="20"/>
          <w:szCs w:val="20"/>
        </w:rPr>
      </w:pPr>
      <m:oMath>
        <m:r>
          <w:rPr>
            <w:rFonts w:ascii="Cambria Math" w:eastAsia="Cambria Math" w:hAnsi="Cambria Math" w:cs="Cambria Math"/>
            <w:sz w:val="20"/>
            <w:szCs w:val="20"/>
          </w:rPr>
          <w:lastRenderedPageBreak/>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Q</m:t>
            </m:r>
          </m:e>
          <m:sub>
            <m:r>
              <w:rPr>
                <w:rFonts w:ascii="Cambria Math" w:eastAsia="Cambria Math" w:hAnsi="Cambria Math" w:cs="Cambria Math"/>
                <w:sz w:val="20"/>
                <w:szCs w:val="20"/>
              </w:rPr>
              <m:t>ln</m:t>
            </m:r>
            <m:d>
              <m:dPr>
                <m:ctrlPr>
                  <w:rPr>
                    <w:rFonts w:ascii="Cambria Math" w:eastAsia="Cambria Math" w:hAnsi="Cambria Math" w:cs="Cambria Math"/>
                    <w:sz w:val="20"/>
                    <w:szCs w:val="20"/>
                  </w:rPr>
                </m:ctrlPr>
              </m:dPr>
              <m:e>
                <m:r>
                  <w:rPr>
                    <w:rFonts w:ascii="Cambria Math" w:eastAsia="Cambria Math" w:hAnsi="Cambria Math" w:cs="Cambria Math"/>
                    <w:sz w:val="20"/>
                    <w:szCs w:val="20"/>
                  </w:rPr>
                  <m:t>W</m:t>
                </m:r>
              </m:e>
            </m:d>
            <m:r>
              <w:rPr>
                <w:rFonts w:ascii="Cambria Math" w:eastAsia="Cambria Math" w:hAnsi="Cambria Math" w:cs="Cambria Math"/>
                <w:sz w:val="20"/>
                <w:szCs w:val="20"/>
              </w:rPr>
              <m:t>i</m:t>
            </m:r>
          </m:sub>
        </m:sSub>
        <m:r>
          <w:rPr>
            <w:rFonts w:ascii="Cambria Math" w:eastAsia="Cambria Math" w:hAnsi="Cambria Math" w:cs="Cambria Math"/>
            <w:sz w:val="20"/>
            <w:szCs w:val="20"/>
          </w:rPr>
          <m:t>(</m:t>
        </m:r>
        <m:r>
          <w:rPr>
            <w:rFonts w:ascii="Cambria Math" w:eastAsia="Cambria Math" w:hAnsi="Cambria Math" w:cs="Cambria Math"/>
            <w:sz w:val="20"/>
            <w:szCs w:val="20"/>
          </w:rPr>
          <m:t>θ</m:t>
        </m:r>
        <m:r>
          <w:rPr>
            <w:rFonts w:ascii="Cambria Math" w:eastAsia="Cambria Math" w:hAnsi="Cambria Math" w:cs="Cambria Math"/>
            <w:sz w:val="20"/>
            <w:szCs w:val="20"/>
          </w:rPr>
          <m:t>)</m:t>
        </m:r>
      </m:oMath>
      <w:r>
        <w:rPr>
          <w:rFonts w:ascii="Times New Roman" w:eastAsia="Times New Roman" w:hAnsi="Times New Roman" w:cs="Times New Roman"/>
          <w:sz w:val="20"/>
          <w:szCs w:val="20"/>
        </w:rPr>
        <w:t xml:space="preserve"> is the </w:t>
      </w:r>
      <m:oMath>
        <m:r>
          <w:rPr>
            <w:rFonts w:ascii="Cambria Math" w:hAnsi="Cambria Math"/>
          </w:rPr>
          <m:t>θ</m:t>
        </m:r>
      </m:oMath>
      <w:r>
        <w:rPr>
          <w:rFonts w:ascii="Times New Roman" w:eastAsia="Times New Roman" w:hAnsi="Times New Roman" w:cs="Times New Roman"/>
          <w:sz w:val="20"/>
          <w:szCs w:val="20"/>
        </w:rPr>
        <w:t xml:space="preserve">-th conditional quantile of the natural logarithm of the hourly wage for individual </w:t>
      </w:r>
      <w:r>
        <w:rPr>
          <w:rFonts w:ascii="Times New Roman" w:eastAsia="Times New Roman" w:hAnsi="Times New Roman" w:cs="Times New Roman"/>
          <w:i/>
          <w:iCs/>
          <w:sz w:val="20"/>
          <w:szCs w:val="20"/>
        </w:rPr>
        <w:t>i</w:t>
      </w:r>
      <w:r>
        <w:rPr>
          <w:rFonts w:ascii="Times New Roman" w:eastAsia="Times New Roman" w:hAnsi="Times New Roman" w:cs="Times New Roman"/>
          <w:sz w:val="20"/>
          <w:szCs w:val="20"/>
        </w:rPr>
        <w:t xml:space="preserve">. The term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ri</m:t>
            </m:r>
            <m:r>
              <w:rPr>
                <w:rFonts w:ascii="Cambria Math" w:eastAsia="Cambria Math" w:hAnsi="Cambria Math" w:cs="Cambria Math"/>
                <w:sz w:val="20"/>
                <w:szCs w:val="20"/>
              </w:rPr>
              <m:t xml:space="preserve"> </m:t>
            </m:r>
          </m:sub>
        </m:sSub>
      </m:oMath>
      <w:r>
        <w:rPr>
          <w:rFonts w:ascii="Times New Roman" w:eastAsia="Times New Roman" w:hAnsi="Times New Roman" w:cs="Times New Roman"/>
          <w:sz w:val="20"/>
          <w:szCs w:val="20"/>
        </w:rPr>
        <w:t>​,</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oi</m:t>
            </m:r>
          </m:sub>
        </m:sSub>
      </m:oMath>
      <w:r>
        <w:rPr>
          <w:rFonts w:ascii="Times New Roman" w:eastAsia="Times New Roman" w:hAnsi="Times New Roman" w:cs="Times New Roman"/>
          <w:sz w:val="20"/>
          <w:szCs w:val="20"/>
        </w:rPr>
        <w:t>​,</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ui</m:t>
            </m:r>
          </m:sub>
        </m:sSub>
      </m:oMath>
      <w:r>
        <w:rPr>
          <w:rFonts w:ascii="Times New Roman" w:eastAsia="Times New Roman" w:hAnsi="Times New Roman" w:cs="Times New Roman"/>
          <w:sz w:val="20"/>
          <w:szCs w:val="20"/>
        </w:rPr>
        <w:t xml:space="preserve"> are the years of required schooling, overeducation/overskilling and undereducation/underskilling for individual </w:t>
      </w:r>
      <w:r>
        <w:rPr>
          <w:rFonts w:ascii="Times New Roman" w:eastAsia="Times New Roman" w:hAnsi="Times New Roman" w:cs="Times New Roman"/>
          <w:i/>
          <w:iCs/>
          <w:sz w:val="20"/>
          <w:szCs w:val="20"/>
        </w:rPr>
        <w:t>i,</w:t>
      </w:r>
      <w:r>
        <w:rPr>
          <w:rFonts w:ascii="Times New Roman" w:eastAsia="Times New Roman" w:hAnsi="Times New Roman" w:cs="Times New Roman"/>
          <w:sz w:val="20"/>
          <w:szCs w:val="20"/>
        </w:rPr>
        <w:t xml:space="preserve"> respectively.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Exp</m:t>
            </m:r>
          </m:e>
          <m:sub>
            <m:r>
              <w:rPr>
                <w:rFonts w:ascii="Cambria Math" w:eastAsia="Cambria Math" w:hAnsi="Cambria Math" w:cs="Cambria Math"/>
                <w:sz w:val="20"/>
                <w:szCs w:val="20"/>
              </w:rPr>
              <m:t>i</m:t>
            </m:r>
          </m:sub>
        </m:sSub>
      </m:oMath>
      <w:r>
        <w:rPr>
          <w:rFonts w:ascii="Times New Roman" w:eastAsia="Times New Roman" w:hAnsi="Times New Roman" w:cs="Times New Roman"/>
          <w:sz w:val="20"/>
          <w:szCs w:val="20"/>
        </w:rPr>
        <w:t xml:space="preserve"> and </w:t>
      </w:r>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Exp</m:t>
            </m:r>
          </m:e>
          <m:sub>
            <m:r>
              <w:rPr>
                <w:rFonts w:ascii="Cambria Math" w:eastAsia="Cambria Math" w:hAnsi="Cambria Math" w:cs="Cambria Math"/>
                <w:sz w:val="20"/>
                <w:szCs w:val="20"/>
              </w:rPr>
              <m:t>i</m:t>
            </m:r>
          </m:sub>
          <m:sup>
            <m:r>
              <w:rPr>
                <w:rFonts w:ascii="Cambria Math" w:eastAsia="Cambria Math" w:hAnsi="Cambria Math" w:cs="Cambria Math"/>
                <w:sz w:val="20"/>
                <w:szCs w:val="20"/>
              </w:rPr>
              <m:t>2</m:t>
            </m:r>
          </m:sup>
        </m:sSubSup>
      </m:oMath>
      <w:r>
        <w:rPr>
          <w:rFonts w:ascii="Times New Roman" w:eastAsia="Times New Roman" w:hAnsi="Times New Roman" w:cs="Times New Roman"/>
          <w:sz w:val="20"/>
          <w:szCs w:val="20"/>
        </w:rPr>
        <w:t xml:space="preserve">are the measures of potential experience and its square for individual </w:t>
      </w:r>
      <w:r>
        <w:rPr>
          <w:rFonts w:ascii="Times New Roman" w:eastAsia="Times New Roman" w:hAnsi="Times New Roman" w:cs="Times New Roman"/>
          <w:i/>
          <w:iCs/>
          <w:sz w:val="20"/>
          <w:szCs w:val="20"/>
        </w:rPr>
        <w:t>i</w:t>
      </w:r>
      <w:r>
        <w:rPr>
          <w:rFonts w:ascii="Times New Roman" w:eastAsia="Times New Roman" w:hAnsi="Times New Roman" w:cs="Times New Roman"/>
          <w:sz w:val="20"/>
          <w:szCs w:val="20"/>
        </w:rPr>
        <w:t xml:space="preserve">. </w:t>
      </w:r>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K</m:t>
            </m:r>
          </m:e>
          <m:sub>
            <m:r>
              <w:rPr>
                <w:rFonts w:ascii="Cambria Math" w:eastAsia="Cambria Math" w:hAnsi="Cambria Math" w:cs="Cambria Math"/>
                <w:sz w:val="20"/>
                <w:szCs w:val="20"/>
              </w:rPr>
              <m:t>i</m:t>
            </m:r>
          </m:sub>
          <m:sup>
            <m:r>
              <w:rPr>
                <w:rFonts w:ascii="Cambria Math" w:eastAsia="Cambria Math" w:hAnsi="Cambria Math" w:cs="Cambria Math"/>
                <w:sz w:val="20"/>
                <w:szCs w:val="20"/>
              </w:rPr>
              <m:t>'</m:t>
            </m:r>
          </m:sup>
        </m:sSubSup>
      </m:oMath>
      <w:r>
        <w:rPr>
          <w:rFonts w:ascii="Times New Roman" w:eastAsia="Times New Roman" w:hAnsi="Times New Roman" w:cs="Times New Roman"/>
          <w:sz w:val="20"/>
          <w:szCs w:val="20"/>
        </w:rPr>
        <w:t xml:space="preserve">​ is a vector of all other control variables for individual </w:t>
      </w:r>
      <w:r>
        <w:rPr>
          <w:rFonts w:ascii="Times New Roman" w:eastAsia="Times New Roman" w:hAnsi="Times New Roman" w:cs="Times New Roman"/>
          <w:i/>
          <w:iCs/>
          <w:sz w:val="20"/>
          <w:szCs w:val="20"/>
        </w:rPr>
        <w:t>i</w:t>
      </w:r>
      <w:r>
        <w:rPr>
          <w:rFonts w:ascii="Times New Roman" w:eastAsia="Times New Roman" w:hAnsi="Times New Roman" w:cs="Times New Roman"/>
          <w:sz w:val="20"/>
          <w:szCs w:val="20"/>
        </w:rPr>
        <w:t xml:space="preserve">, including the specified demographic (gender, marital status, ethnicity, age categories), job characteristics (occupation, industry) and geographical factors (strata, region). </w:t>
      </w:r>
      <m:oMath>
        <m:sSub>
          <m:sSubPr>
            <m:ctrlPr>
              <w:rPr>
                <w:rFonts w:ascii="Cambria Math" w:eastAsia="Cambria Math" w:hAnsi="Cambria Math" w:cs="Cambria Math"/>
                <w:sz w:val="20"/>
                <w:szCs w:val="20"/>
              </w:rPr>
            </m:ctrlPr>
          </m:sSubPr>
          <m:e>
            <m:r>
              <w:rPr>
                <w:rFonts w:ascii="Cambria Math" w:hAnsi="Cambria Math"/>
              </w:rPr>
              <m:t>α</m:t>
            </m:r>
          </m:e>
          <m:sub>
            <m:r>
              <w:rPr>
                <w:rFonts w:ascii="Cambria Math" w:eastAsia="Cambria Math" w:hAnsi="Cambria Math" w:cs="Cambria Math"/>
                <w:sz w:val="20"/>
                <w:szCs w:val="20"/>
              </w:rPr>
              <m:t>0</m:t>
            </m:r>
          </m:sub>
        </m:sSub>
        <m:r>
          <w:rPr>
            <w:rFonts w:ascii="Cambria Math" w:eastAsia="Cambria Math" w:hAnsi="Cambria Math" w:cs="Cambria Math"/>
            <w:sz w:val="20"/>
            <w:szCs w:val="20"/>
          </w:rPr>
          <m:t>(</m:t>
        </m:r>
        <m:r>
          <w:rPr>
            <w:rFonts w:ascii="Cambria Math" w:eastAsia="Cambria Math" w:hAnsi="Cambria Math" w:cs="Cambria Math"/>
            <w:sz w:val="20"/>
            <w:szCs w:val="20"/>
          </w:rPr>
          <m:t>θ</m:t>
        </m:r>
        <m:r>
          <w:rPr>
            <w:rFonts w:ascii="Cambria Math" w:eastAsia="Cambria Math" w:hAnsi="Cambria Math" w:cs="Cambria Math"/>
            <w:sz w:val="20"/>
            <w:szCs w:val="20"/>
          </w:rPr>
          <m:t>)</m:t>
        </m:r>
      </m:oMath>
      <w:r>
        <w:rPr>
          <w:rFonts w:ascii="Times New Roman" w:eastAsia="Times New Roman" w:hAnsi="Times New Roman" w:cs="Times New Roman"/>
          <w:sz w:val="20"/>
          <w:szCs w:val="20"/>
        </w:rPr>
        <w:t>,</w:t>
      </w:r>
      <m:oMath>
        <m:sSub>
          <m:sSubPr>
            <m:ctrlPr>
              <w:rPr>
                <w:rFonts w:ascii="Cambria Math" w:eastAsia="Cambria Math" w:hAnsi="Cambria Math" w:cs="Cambria Math"/>
                <w:sz w:val="20"/>
                <w:szCs w:val="20"/>
              </w:rPr>
            </m:ctrlPr>
          </m:sSubPr>
          <m:e>
            <m:r>
              <w:rPr>
                <w:rFonts w:ascii="Cambria Math" w:hAnsi="Cambria Math"/>
              </w:rPr>
              <m:t>α</m:t>
            </m:r>
          </m:e>
          <m:sub>
            <m:r>
              <w:rPr>
                <w:rFonts w:ascii="Cambria Math" w:eastAsia="Cambria Math" w:hAnsi="Cambria Math" w:cs="Cambria Math"/>
                <w:sz w:val="20"/>
                <w:szCs w:val="20"/>
              </w:rPr>
              <m:t>1</m:t>
            </m:r>
          </m:sub>
        </m:sSub>
        <m:r>
          <w:rPr>
            <w:rFonts w:ascii="Cambria Math" w:eastAsia="Cambria Math" w:hAnsi="Cambria Math" w:cs="Cambria Math"/>
            <w:sz w:val="20"/>
            <w:szCs w:val="20"/>
          </w:rPr>
          <m:t>(</m:t>
        </m:r>
        <m:r>
          <w:rPr>
            <w:rFonts w:ascii="Cambria Math" w:eastAsia="Cambria Math" w:hAnsi="Cambria Math" w:cs="Cambria Math"/>
            <w:sz w:val="20"/>
            <w:szCs w:val="20"/>
          </w:rPr>
          <m:t>θ</m:t>
        </m:r>
        <m:r>
          <w:rPr>
            <w:rFonts w:ascii="Cambria Math" w:eastAsia="Cambria Math" w:hAnsi="Cambria Math" w:cs="Cambria Math"/>
            <w:sz w:val="20"/>
            <w:szCs w:val="20"/>
          </w:rPr>
          <m:t>)</m:t>
        </m:r>
      </m:oMath>
      <w:r>
        <w:rPr>
          <w:rFonts w:ascii="Times New Roman" w:eastAsia="Times New Roman" w:hAnsi="Times New Roman" w:cs="Times New Roman"/>
          <w:sz w:val="20"/>
          <w:szCs w:val="20"/>
        </w:rPr>
        <w:t>,...,</w:t>
      </w:r>
      <m:oMath>
        <m:sSub>
          <m:sSubPr>
            <m:ctrlPr>
              <w:rPr>
                <w:rFonts w:ascii="Cambria Math" w:eastAsia="Cambria Math" w:hAnsi="Cambria Math" w:cs="Cambria Math"/>
                <w:sz w:val="20"/>
                <w:szCs w:val="20"/>
              </w:rPr>
            </m:ctrlPr>
          </m:sSubPr>
          <m:e>
            <m:r>
              <w:rPr>
                <w:rFonts w:ascii="Cambria Math" w:hAnsi="Cambria Math"/>
              </w:rPr>
              <m:t>α</m:t>
            </m:r>
          </m:e>
          <m:sub>
            <m:r>
              <w:rPr>
                <w:rFonts w:ascii="Cambria Math" w:eastAsia="Cambria Math" w:hAnsi="Cambria Math" w:cs="Cambria Math"/>
                <w:sz w:val="20"/>
                <w:szCs w:val="20"/>
              </w:rPr>
              <m:t>5</m:t>
            </m:r>
          </m:sub>
        </m:sSub>
        <m:r>
          <w:rPr>
            <w:rFonts w:ascii="Cambria Math" w:eastAsia="Cambria Math" w:hAnsi="Cambria Math" w:cs="Cambria Math"/>
            <w:sz w:val="20"/>
            <w:szCs w:val="20"/>
          </w:rPr>
          <m:t>(</m:t>
        </m:r>
        <m:r>
          <w:rPr>
            <w:rFonts w:ascii="Cambria Math" w:eastAsia="Cambria Math" w:hAnsi="Cambria Math" w:cs="Cambria Math"/>
            <w:sz w:val="20"/>
            <w:szCs w:val="20"/>
          </w:rPr>
          <m:t>θ</m:t>
        </m:r>
        <m:r>
          <w:rPr>
            <w:rFonts w:ascii="Cambria Math" w:eastAsia="Cambria Math" w:hAnsi="Cambria Math" w:cs="Cambria Math"/>
            <w:sz w:val="20"/>
            <w:szCs w:val="20"/>
          </w:rPr>
          <m:t>)</m:t>
        </m:r>
      </m:oMath>
      <w:r>
        <w:rPr>
          <w:rFonts w:ascii="Times New Roman" w:eastAsia="Times New Roman" w:hAnsi="Times New Roman" w:cs="Times New Roman"/>
          <w:sz w:val="20"/>
          <w:szCs w:val="20"/>
        </w:rPr>
        <w:t xml:space="preserve"> and the vector </w:t>
      </w:r>
      <m:oMath>
        <m:r>
          <w:rPr>
            <w:rFonts w:ascii="Cambria Math" w:eastAsia="Cambria Math" w:hAnsi="Cambria Math" w:cs="Cambria Math"/>
            <w:sz w:val="20"/>
            <w:szCs w:val="20"/>
          </w:rPr>
          <m:t>δ</m:t>
        </m:r>
        <m:r>
          <w:rPr>
            <w:rFonts w:ascii="Cambria Math" w:eastAsia="Cambria Math" w:hAnsi="Cambria Math" w:cs="Cambria Math"/>
            <w:sz w:val="20"/>
            <w:szCs w:val="20"/>
          </w:rPr>
          <m:t>(</m:t>
        </m:r>
        <m:r>
          <w:rPr>
            <w:rFonts w:ascii="Cambria Math" w:eastAsia="Cambria Math" w:hAnsi="Cambria Math" w:cs="Cambria Math"/>
            <w:sz w:val="20"/>
            <w:szCs w:val="20"/>
          </w:rPr>
          <m:t>θ</m:t>
        </m:r>
        <m:r>
          <w:rPr>
            <w:rFonts w:ascii="Cambria Math" w:eastAsia="Cambria Math" w:hAnsi="Cambria Math" w:cs="Cambria Math"/>
            <w:sz w:val="20"/>
            <w:szCs w:val="20"/>
          </w:rPr>
          <m:t>)</m:t>
        </m:r>
      </m:oMath>
      <w:r>
        <w:rPr>
          <w:rFonts w:ascii="Times New Roman" w:eastAsia="Times New Roman" w:hAnsi="Times New Roman" w:cs="Times New Roman"/>
          <w:sz w:val="20"/>
          <w:szCs w:val="20"/>
        </w:rPr>
        <w:t xml:space="preserve">are the quantile-specific coefficients to be estimated for each quantile </w:t>
      </w:r>
      <m:oMath>
        <m:r>
          <w:rPr>
            <w:rFonts w:ascii="Cambria Math" w:eastAsia="Cambria Math" w:hAnsi="Cambria Math" w:cs="Cambria Math"/>
            <w:sz w:val="20"/>
            <w:szCs w:val="20"/>
          </w:rPr>
          <m:t>(</m:t>
        </m:r>
        <m:r>
          <w:rPr>
            <w:rFonts w:ascii="Cambria Math" w:eastAsia="Cambria Math" w:hAnsi="Cambria Math" w:cs="Cambria Math"/>
            <w:sz w:val="20"/>
            <w:szCs w:val="20"/>
          </w:rPr>
          <m:t>θ</m:t>
        </m:r>
        <m:r>
          <w:rPr>
            <w:rFonts w:ascii="Cambria Math" w:eastAsia="Cambria Math" w:hAnsi="Cambria Math" w:cs="Cambria Math"/>
            <w:sz w:val="20"/>
            <w:szCs w:val="20"/>
          </w:rPr>
          <m:t>)</m:t>
        </m:r>
      </m:oMath>
      <w:r>
        <w:rPr>
          <w:rFonts w:ascii="Times New Roman" w:eastAsia="Times New Roman" w:hAnsi="Times New Roman" w:cs="Times New Roman"/>
          <w:sz w:val="20"/>
          <w:szCs w:val="20"/>
        </w:rPr>
        <w:t xml:space="preserve">. These coefficients represent the marginal effect of a change in the respective independent variable on the </w:t>
      </w:r>
      <m:oMath>
        <m:r>
          <w:rPr>
            <w:rFonts w:ascii="Cambria Math" w:hAnsi="Cambria Math"/>
          </w:rPr>
          <m:t>θ</m:t>
        </m:r>
      </m:oMath>
      <w:r>
        <w:rPr>
          <w:rFonts w:ascii="Times New Roman" w:eastAsia="Times New Roman" w:hAnsi="Times New Roman" w:cs="Times New Roman"/>
          <w:sz w:val="20"/>
          <w:szCs w:val="20"/>
        </w:rPr>
        <w:t>-th quantile of the conditional log wage distribution.</w:t>
      </w:r>
    </w:p>
    <w:p w14:paraId="2D749B78" w14:textId="77777777" w:rsidR="00170137" w:rsidRDefault="00127D14">
      <w:pPr>
        <w:spacing w:before="280" w:after="28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Finally, we employ Unconditional Quantile Regression (UQR) using the Recentered Influence Function (RIF) method to assess the structural impact on the </w:t>
      </w:r>
      <w:r>
        <w:rPr>
          <w:rFonts w:ascii="Times New Roman" w:eastAsia="Times New Roman" w:hAnsi="Times New Roman" w:cs="Times New Roman"/>
          <w:i/>
          <w:iCs/>
          <w:sz w:val="20"/>
          <w:szCs w:val="20"/>
        </w:rPr>
        <w:t>overall</w:t>
      </w:r>
      <w:r>
        <w:rPr>
          <w:rFonts w:ascii="Times New Roman" w:eastAsia="Times New Roman" w:hAnsi="Times New Roman" w:cs="Times New Roman"/>
          <w:sz w:val="20"/>
          <w:szCs w:val="20"/>
        </w:rPr>
        <w:t xml:space="preserve"> wage distribution.</w:t>
      </w:r>
    </w:p>
    <w:p w14:paraId="6D7D0CFA" w14:textId="77777777" w:rsidR="00170137" w:rsidRDefault="00127D14">
      <w:pPr>
        <w:spacing w:before="280" w:after="280" w:line="240" w:lineRule="auto"/>
        <w:jc w:val="both"/>
        <w:rPr>
          <w:rFonts w:ascii="Times New Roman" w:eastAsia="Times New Roman" w:hAnsi="Times New Roman" w:cs="Times New Roman"/>
          <w:i/>
          <w:iCs/>
          <w:sz w:val="20"/>
          <w:szCs w:val="20"/>
        </w:rPr>
      </w:pPr>
      <m:oMath>
        <m:r>
          <w:rPr>
            <w:rFonts w:ascii="Cambria Math" w:eastAsia="Cambria Math" w:hAnsi="Cambria Math" w:cs="Cambria Math"/>
            <w:sz w:val="20"/>
            <w:szCs w:val="20"/>
          </w:rPr>
          <m:t xml:space="preserve">     </m:t>
        </m:r>
        <m:r>
          <w:rPr>
            <w:rFonts w:ascii="Cambria Math" w:eastAsia="Cambria Math" w:hAnsi="Cambria Math" w:cs="Cambria Math"/>
            <w:sz w:val="20"/>
            <w:szCs w:val="20"/>
          </w:rPr>
          <m:t>RIF</m:t>
        </m:r>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i</m:t>
            </m:r>
          </m:sub>
        </m:sSub>
        <m:r>
          <w:rPr>
            <w:rFonts w:ascii="Cambria Math" w:eastAsia="Cambria Math" w:hAnsi="Cambria Math" w:cs="Cambria Math"/>
            <w:sz w:val="20"/>
            <w:szCs w:val="20"/>
          </w:rPr>
          <m:t xml:space="preserve">; </m:t>
        </m:r>
        <m:r>
          <w:rPr>
            <w:rFonts w:ascii="Cambria Math" w:eastAsia="Cambria Math" w:hAnsi="Cambria Math" w:cs="Cambria Math"/>
            <w:sz w:val="20"/>
            <w:szCs w:val="20"/>
          </w:rPr>
          <m:t>θ</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0</m:t>
            </m:r>
          </m:sub>
        </m:sSub>
        <m:r>
          <w:rPr>
            <w:rFonts w:ascii="Cambria Math" w:eastAsia="Cambria Math" w:hAnsi="Cambria Math" w:cs="Cambria Math"/>
            <w:sz w:val="20"/>
            <w:szCs w:val="20"/>
          </w:rPr>
          <m:t>(</m:t>
        </m:r>
        <m:r>
          <w:rPr>
            <w:rFonts w:ascii="Cambria Math" w:eastAsia="Cambria Math" w:hAnsi="Cambria Math" w:cs="Cambria Math"/>
            <w:sz w:val="20"/>
            <w:szCs w:val="20"/>
          </w:rPr>
          <m:t>θ</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1</m:t>
            </m:r>
          </m:sub>
        </m:sSub>
        <m:r>
          <w:rPr>
            <w:rFonts w:ascii="Cambria Math" w:eastAsia="Cambria Math" w:hAnsi="Cambria Math" w:cs="Cambria Math"/>
            <w:sz w:val="20"/>
            <w:szCs w:val="20"/>
          </w:rPr>
          <m:t>(</m:t>
        </m:r>
        <m:r>
          <w:rPr>
            <w:rFonts w:ascii="Cambria Math" w:eastAsia="Cambria Math" w:hAnsi="Cambria Math" w:cs="Cambria Math"/>
            <w:sz w:val="20"/>
            <w:szCs w:val="20"/>
          </w:rPr>
          <m:t>θ</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ri</m:t>
            </m:r>
            <m:r>
              <w:rPr>
                <w:rFonts w:ascii="Cambria Math" w:eastAsia="Cambria Math" w:hAnsi="Cambria Math" w:cs="Cambria Math"/>
                <w:sz w:val="20"/>
                <w:szCs w:val="20"/>
              </w:rPr>
              <m:t xml:space="preserve"> </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2</m:t>
            </m:r>
          </m:sub>
        </m:sSub>
        <m:r>
          <w:rPr>
            <w:rFonts w:ascii="Cambria Math" w:eastAsia="Cambria Math" w:hAnsi="Cambria Math" w:cs="Cambria Math"/>
            <w:sz w:val="20"/>
            <w:szCs w:val="20"/>
          </w:rPr>
          <m:t>(</m:t>
        </m:r>
        <m:r>
          <w:rPr>
            <w:rFonts w:ascii="Cambria Math" w:eastAsia="Cambria Math" w:hAnsi="Cambria Math" w:cs="Cambria Math"/>
            <w:sz w:val="20"/>
            <w:szCs w:val="20"/>
          </w:rPr>
          <m:t>θ</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oi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3</m:t>
            </m:r>
          </m:sub>
        </m:sSub>
        <m:r>
          <w:rPr>
            <w:rFonts w:ascii="Cambria Math" w:eastAsia="Cambria Math" w:hAnsi="Cambria Math" w:cs="Cambria Math"/>
            <w:sz w:val="20"/>
            <w:szCs w:val="20"/>
          </w:rPr>
          <m:t>(</m:t>
        </m:r>
        <m:r>
          <w:rPr>
            <w:rFonts w:ascii="Cambria Math" w:eastAsia="Cambria Math" w:hAnsi="Cambria Math" w:cs="Cambria Math"/>
            <w:sz w:val="20"/>
            <w:szCs w:val="20"/>
          </w:rPr>
          <m:t>θ</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ui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 xml:space="preserve"> </m:t>
            </m:r>
            <m:r>
              <w:rPr>
                <w:rFonts w:ascii="Cambria Math" w:eastAsia="Cambria Math" w:hAnsi="Cambria Math" w:cs="Cambria Math"/>
                <w:sz w:val="20"/>
                <w:szCs w:val="20"/>
              </w:rPr>
              <m:t>α</m:t>
            </m:r>
          </m:e>
          <m:sub>
            <m:r>
              <w:rPr>
                <w:rFonts w:ascii="Cambria Math" w:eastAsia="Cambria Math" w:hAnsi="Cambria Math" w:cs="Cambria Math"/>
                <w:sz w:val="20"/>
                <w:szCs w:val="20"/>
              </w:rPr>
              <m:t>4</m:t>
            </m:r>
          </m:sub>
        </m:sSub>
        <m:r>
          <w:rPr>
            <w:rFonts w:ascii="Cambria Math" w:eastAsia="Cambria Math" w:hAnsi="Cambria Math" w:cs="Cambria Math"/>
            <w:sz w:val="20"/>
            <w:szCs w:val="20"/>
          </w:rPr>
          <m:t>(</m:t>
        </m:r>
        <m:r>
          <w:rPr>
            <w:rFonts w:ascii="Cambria Math" w:eastAsia="Cambria Math" w:hAnsi="Cambria Math" w:cs="Cambria Math"/>
            <w:sz w:val="20"/>
            <w:szCs w:val="20"/>
          </w:rPr>
          <m:t>θ</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Exp</m:t>
            </m:r>
          </m:e>
          <m:sub>
            <m:r>
              <w:rPr>
                <w:rFonts w:ascii="Cambria Math" w:eastAsia="Cambria Math" w:hAnsi="Cambria Math" w:cs="Cambria Math"/>
                <w:sz w:val="20"/>
                <w:szCs w:val="20"/>
              </w:rPr>
              <m:t>i</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5</m:t>
            </m:r>
          </m:sub>
        </m:sSub>
        <m:r>
          <w:rPr>
            <w:rFonts w:ascii="Cambria Math" w:eastAsia="Cambria Math" w:hAnsi="Cambria Math" w:cs="Cambria Math"/>
            <w:sz w:val="20"/>
            <w:szCs w:val="20"/>
          </w:rPr>
          <m:t>(</m:t>
        </m:r>
        <m:r>
          <w:rPr>
            <w:rFonts w:ascii="Cambria Math" w:eastAsia="Cambria Math" w:hAnsi="Cambria Math" w:cs="Cambria Math"/>
            <w:sz w:val="20"/>
            <w:szCs w:val="20"/>
          </w:rPr>
          <m:t>θ</m:t>
        </m:r>
        <m:r>
          <w:rPr>
            <w:rFonts w:ascii="Cambria Math" w:eastAsia="Cambria Math" w:hAnsi="Cambria Math" w:cs="Cambria Math"/>
            <w:sz w:val="20"/>
            <w:szCs w:val="20"/>
          </w:rPr>
          <m:t>)</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Exp</m:t>
            </m:r>
          </m:e>
          <m:sub>
            <m:r>
              <w:rPr>
                <w:rFonts w:ascii="Cambria Math" w:eastAsia="Cambria Math" w:hAnsi="Cambria Math" w:cs="Cambria Math"/>
                <w:sz w:val="20"/>
                <w:szCs w:val="20"/>
              </w:rPr>
              <m:t>i</m:t>
            </m:r>
          </m:sub>
          <m:sup>
            <m:r>
              <w:rPr>
                <w:rFonts w:ascii="Cambria Math" w:eastAsia="Cambria Math" w:hAnsi="Cambria Math" w:cs="Cambria Math"/>
                <w:sz w:val="20"/>
                <w:szCs w:val="20"/>
              </w:rPr>
              <m:t>2</m:t>
            </m:r>
          </m:sup>
        </m:sSubSup>
        <m:r>
          <w:rPr>
            <w:rFonts w:ascii="Cambria Math" w:eastAsia="Cambria Math" w:hAnsi="Cambria Math" w:cs="Cambria Math"/>
            <w:sz w:val="20"/>
            <w:szCs w:val="20"/>
          </w:rPr>
          <m:t>+</m:t>
        </m:r>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X</m:t>
            </m:r>
          </m:e>
          <m:sub>
            <m:r>
              <w:rPr>
                <w:rFonts w:ascii="Cambria Math" w:eastAsia="Cambria Math" w:hAnsi="Cambria Math" w:cs="Cambria Math"/>
                <w:sz w:val="20"/>
                <w:szCs w:val="20"/>
              </w:rPr>
              <m:t>i</m:t>
            </m:r>
          </m:sub>
          <m:sup>
            <m:r>
              <w:rPr>
                <w:rFonts w:ascii="Cambria Math" w:eastAsia="Cambria Math" w:hAnsi="Cambria Math" w:cs="Cambria Math"/>
                <w:sz w:val="20"/>
                <w:szCs w:val="20"/>
              </w:rPr>
              <m:t>'</m:t>
            </m:r>
          </m:sup>
        </m:sSubSup>
        <m:r>
          <w:rPr>
            <w:rFonts w:ascii="Cambria Math" w:eastAsia="Cambria Math" w:hAnsi="Cambria Math" w:cs="Cambria Math"/>
            <w:sz w:val="20"/>
            <w:szCs w:val="20"/>
          </w:rPr>
          <m:t xml:space="preserve"> </m:t>
        </m:r>
        <m:r>
          <w:rPr>
            <w:rFonts w:ascii="Cambria Math" w:eastAsia="Cambria Math" w:hAnsi="Cambria Math" w:cs="Cambria Math"/>
            <w:sz w:val="20"/>
            <w:szCs w:val="20"/>
          </w:rPr>
          <m:t>δ</m:t>
        </m:r>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ε</m:t>
            </m:r>
          </m:e>
          <m:sub>
            <m:r>
              <w:rPr>
                <w:rFonts w:ascii="Cambria Math" w:eastAsia="Cambria Math" w:hAnsi="Cambria Math" w:cs="Cambria Math"/>
                <w:sz w:val="20"/>
                <w:szCs w:val="20"/>
              </w:rPr>
              <m:t>i</m:t>
            </m:r>
          </m:sub>
        </m:sSub>
      </m:oMath>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(3)</w:t>
      </w:r>
    </w:p>
    <w:p w14:paraId="7167D079" w14:textId="77777777" w:rsidR="00170137" w:rsidRDefault="00127D14">
      <w:pPr>
        <w:spacing w:before="280" w:after="28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where</w:t>
      </w:r>
      <m:oMath>
        <m:r>
          <w:rPr>
            <w:rFonts w:ascii="Cambria Math" w:eastAsia="Cambria Math" w:hAnsi="Cambria Math" w:cs="Cambria Math"/>
            <w:sz w:val="20"/>
            <w:szCs w:val="20"/>
          </w:rPr>
          <m:t xml:space="preserve"> </m:t>
        </m:r>
        <m:r>
          <w:rPr>
            <w:rFonts w:ascii="Cambria Math" w:eastAsia="Cambria Math" w:hAnsi="Cambria Math" w:cs="Cambria Math"/>
            <w:sz w:val="20"/>
            <w:szCs w:val="20"/>
          </w:rPr>
          <m:t>RIF</m:t>
        </m:r>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i</m:t>
            </m:r>
          </m:sub>
        </m:sSub>
        <m:r>
          <w:rPr>
            <w:rFonts w:ascii="Cambria Math" w:eastAsia="Cambria Math" w:hAnsi="Cambria Math" w:cs="Cambria Math"/>
            <w:sz w:val="20"/>
            <w:szCs w:val="20"/>
          </w:rPr>
          <m:t xml:space="preserve">; </m:t>
        </m:r>
        <m:r>
          <w:rPr>
            <w:rFonts w:ascii="Cambria Math" w:eastAsia="Cambria Math" w:hAnsi="Cambria Math" w:cs="Cambria Math"/>
            <w:sz w:val="20"/>
            <w:szCs w:val="20"/>
          </w:rPr>
          <m:t>θ</m:t>
        </m:r>
        <m:r>
          <w:rPr>
            <w:rFonts w:ascii="Cambria Math" w:eastAsia="Cambria Math" w:hAnsi="Cambria Math" w:cs="Cambria Math"/>
            <w:sz w:val="20"/>
            <w:szCs w:val="20"/>
          </w:rPr>
          <m:t>)</m:t>
        </m:r>
      </m:oMath>
      <w:r>
        <w:rPr>
          <w:rFonts w:ascii="Times New Roman" w:eastAsia="Times New Roman" w:hAnsi="Times New Roman" w:cs="Times New Roman"/>
          <w:sz w:val="20"/>
          <w:szCs w:val="20"/>
        </w:rPr>
        <w:t xml:space="preserve"> is the recentered influence function of the θ-th unconditional quantile of log wages. The coefficients</w:t>
      </w:r>
      <w:r>
        <w:rPr>
          <w:rFonts w:ascii="Times New Roman" w:eastAsia="Times New Roman" w:hAnsi="Times New Roman" w:cs="Times New Roman"/>
          <w:i/>
          <w:iCs/>
          <w:sz w:val="20"/>
          <w:szCs w:val="20"/>
        </w:rPr>
        <w:t xml:space="preserve"> </w:t>
      </w:r>
      <m:oMath>
        <m:sSub>
          <m:sSubPr>
            <m:ctrlPr>
              <w:rPr>
                <w:rFonts w:ascii="Cambria Math" w:eastAsia="Cambria Math" w:hAnsi="Cambria Math" w:cs="Cambria Math"/>
                <w:sz w:val="20"/>
                <w:szCs w:val="20"/>
              </w:rPr>
            </m:ctrlPr>
          </m:sSubPr>
          <m:e>
            <m:r>
              <w:rPr>
                <w:rFonts w:ascii="Cambria Math" w:hAnsi="Cambria Math"/>
              </w:rPr>
              <m:t>α</m:t>
            </m:r>
          </m:e>
          <m:sub>
            <m:r>
              <w:rPr>
                <w:rFonts w:ascii="Cambria Math" w:eastAsia="Cambria Math" w:hAnsi="Cambria Math" w:cs="Cambria Math"/>
                <w:sz w:val="20"/>
                <w:szCs w:val="20"/>
              </w:rPr>
              <m:t>1</m:t>
            </m:r>
          </m:sub>
        </m:sSub>
        <m:r>
          <w:rPr>
            <w:rFonts w:ascii="Cambria Math" w:eastAsia="Cambria Math" w:hAnsi="Cambria Math" w:cs="Cambria Math"/>
            <w:sz w:val="20"/>
            <w:szCs w:val="20"/>
          </w:rPr>
          <m:t>(</m:t>
        </m:r>
        <m:r>
          <w:rPr>
            <w:rFonts w:ascii="Cambria Math" w:eastAsia="Cambria Math" w:hAnsi="Cambria Math" w:cs="Cambria Math"/>
            <w:sz w:val="20"/>
            <w:szCs w:val="20"/>
          </w:rPr>
          <m:t>θ</m:t>
        </m:r>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2</m:t>
            </m:r>
          </m:sub>
        </m:sSub>
        <m:r>
          <w:rPr>
            <w:rFonts w:ascii="Cambria Math" w:eastAsia="Cambria Math" w:hAnsi="Cambria Math" w:cs="Cambria Math"/>
            <w:sz w:val="20"/>
            <w:szCs w:val="20"/>
          </w:rPr>
          <m:t>(</m:t>
        </m:r>
        <m:r>
          <w:rPr>
            <w:rFonts w:ascii="Cambria Math" w:eastAsia="Cambria Math" w:hAnsi="Cambria Math" w:cs="Cambria Math"/>
            <w:sz w:val="20"/>
            <w:szCs w:val="20"/>
          </w:rPr>
          <m:t>θ</m:t>
        </m:r>
        <m:r>
          <w:rPr>
            <w:rFonts w:ascii="Cambria Math" w:eastAsia="Cambria Math" w:hAnsi="Cambria Math" w:cs="Cambria Math"/>
            <w:sz w:val="20"/>
            <w:szCs w:val="20"/>
          </w:rPr>
          <m:t xml:space="preserve">) </m:t>
        </m:r>
        <m:r>
          <w:rPr>
            <w:rFonts w:ascii="Cambria Math" w:eastAsia="Cambria Math" w:hAnsi="Cambria Math" w:cs="Cambria Math"/>
            <w:sz w:val="20"/>
            <w:szCs w:val="20"/>
          </w:rPr>
          <m:t>and</m:t>
        </m:r>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α</m:t>
            </m:r>
          </m:e>
          <m:sub>
            <m:r>
              <w:rPr>
                <w:rFonts w:ascii="Cambria Math" w:eastAsia="Cambria Math" w:hAnsi="Cambria Math" w:cs="Cambria Math"/>
                <w:sz w:val="20"/>
                <w:szCs w:val="20"/>
              </w:rPr>
              <m:t>3</m:t>
            </m:r>
          </m:sub>
        </m:sSub>
        <m:r>
          <w:rPr>
            <w:rFonts w:ascii="Cambria Math" w:eastAsia="Cambria Math" w:hAnsi="Cambria Math" w:cs="Cambria Math"/>
            <w:sz w:val="20"/>
            <w:szCs w:val="20"/>
          </w:rPr>
          <m:t>(</m:t>
        </m:r>
        <m:r>
          <w:rPr>
            <w:rFonts w:ascii="Cambria Math" w:eastAsia="Cambria Math" w:hAnsi="Cambria Math" w:cs="Cambria Math"/>
            <w:sz w:val="20"/>
            <w:szCs w:val="20"/>
          </w:rPr>
          <m:t>θ</m:t>
        </m:r>
        <m:r>
          <w:rPr>
            <w:rFonts w:ascii="Cambria Math" w:eastAsia="Cambria Math" w:hAnsi="Cambria Math" w:cs="Cambria Math"/>
            <w:sz w:val="20"/>
            <w:szCs w:val="20"/>
          </w:rPr>
          <m:t>)</m:t>
        </m:r>
      </m:oMath>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represent the unconditional quantile partial effects of educational mismatch variables (</w:t>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ri</m:t>
            </m:r>
            <m:r>
              <w:rPr>
                <w:rFonts w:ascii="Cambria Math" w:eastAsia="Cambria Math" w:hAnsi="Cambria Math" w:cs="Cambria Math"/>
                <w:sz w:val="20"/>
                <w:szCs w:val="20"/>
              </w:rPr>
              <m:t xml:space="preserve"> </m:t>
            </m:r>
          </m:sub>
        </m:sSub>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oi</m:t>
            </m:r>
            <m:r>
              <w:rPr>
                <w:rFonts w:ascii="Cambria Math" w:eastAsia="Cambria Math" w:hAnsi="Cambria Math" w:cs="Cambria Math"/>
                <w:sz w:val="20"/>
                <w:szCs w:val="20"/>
              </w:rPr>
              <m:t xml:space="preserve"> </m:t>
            </m:r>
          </m:sub>
        </m:sSub>
        <m:r>
          <w:rPr>
            <w:rFonts w:ascii="Cambria Math" w:eastAsia="Cambria Math" w:hAnsi="Cambria Math" w:cs="Cambria Math"/>
            <w:sz w:val="20"/>
            <w:szCs w:val="20"/>
          </w:rPr>
          <m:t>and</m:t>
        </m:r>
        <m:r>
          <w:rPr>
            <w:rFonts w:ascii="Cambria Math" w:eastAsia="Cambria Math" w:hAnsi="Cambria Math" w:cs="Cambria Math"/>
            <w:sz w:val="20"/>
            <w:szCs w:val="20"/>
          </w:rPr>
          <m:t xml:space="preserve"> </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S</m:t>
            </m:r>
          </m:e>
          <m:sub>
            <m:r>
              <w:rPr>
                <w:rFonts w:ascii="Cambria Math" w:eastAsia="Cambria Math" w:hAnsi="Cambria Math" w:cs="Cambria Math"/>
                <w:sz w:val="20"/>
                <w:szCs w:val="20"/>
              </w:rPr>
              <m:t>ui</m:t>
            </m:r>
            <m:r>
              <w:rPr>
                <w:rFonts w:ascii="Cambria Math" w:eastAsia="Cambria Math" w:hAnsi="Cambria Math" w:cs="Cambria Math"/>
                <w:sz w:val="20"/>
                <w:szCs w:val="20"/>
              </w:rPr>
              <m:t xml:space="preserve"> </m:t>
            </m:r>
          </m:sub>
        </m:sSub>
        <m:r>
          <w:rPr>
            <w:rFonts w:ascii="Cambria Math" w:eastAsia="Cambria Math" w:hAnsi="Cambria Math" w:cs="Cambria Math"/>
            <w:sz w:val="20"/>
            <w:szCs w:val="20"/>
          </w:rPr>
          <m:t xml:space="preserve">) </m:t>
        </m:r>
      </m:oMath>
      <w:r>
        <w:rPr>
          <w:rFonts w:ascii="Times New Roman" w:eastAsia="Times New Roman" w:hAnsi="Times New Roman" w:cs="Times New Roman"/>
          <w:sz w:val="20"/>
          <w:szCs w:val="20"/>
        </w:rPr>
        <w:t xml:space="preserve">and the full set of control variables (demographics, job characteristics, geographical factors), respectively. </w:t>
      </w:r>
    </w:p>
    <w:p w14:paraId="36B5A353" w14:textId="77777777" w:rsidR="00170137" w:rsidRDefault="00127D14">
      <w:pPr>
        <w:spacing w:before="280" w:after="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FINDINGS</w:t>
      </w:r>
    </w:p>
    <w:p w14:paraId="71477A3F" w14:textId="77777777" w:rsidR="00170137" w:rsidRDefault="00127D14">
      <w:pPr>
        <w:spacing w:before="280" w:after="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Descriptive Statistics and Mismatch Incidence</w:t>
      </w:r>
    </w:p>
    <w:p w14:paraId="5E29AD95" w14:textId="77777777" w:rsidR="00170137" w:rsidRDefault="00127D14">
      <w:pPr>
        <w:spacing w:before="280" w:after="28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analysis uses the 2019 Salaries and Wages Survey (SWS) data (N=27,224). Overall, mismatch is prevalent, with 29.31% of workers classified as overeducated, while 9.21% are undereducated. Skills mismatch is even more widespread, with a majority of the workforce, 59.86%, classified as underskilled, and 27.60% as overskilled. This mismatch varies significantly by demographics. Females show a much higher rate of overeducation (39.59%) and overskilling (37.02%). Conversely, males are more likely to be undersk</w:t>
      </w:r>
      <w:r>
        <w:rPr>
          <w:rFonts w:ascii="Times New Roman" w:eastAsia="Times New Roman" w:hAnsi="Times New Roman" w:cs="Times New Roman"/>
          <w:sz w:val="20"/>
          <w:szCs w:val="20"/>
        </w:rPr>
        <w:t xml:space="preserve">illed (65.25%). Geographically, the Central Region (Selangor, KL, Putrajaya) has the highest rate of overeducation (42.42%) and overskilling (41.36%), while Malaysia East (Sabah, Sarawak) shows the highest rate of undereducation (14.80%). </w:t>
      </w:r>
    </w:p>
    <w:p w14:paraId="7FF52024" w14:textId="77777777" w:rsidR="00170137" w:rsidRDefault="00127D14">
      <w:pPr>
        <w:spacing w:before="280" w:after="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Ordinary Least Squares (OLS): Average Effects</w:t>
      </w:r>
    </w:p>
    <w:p w14:paraId="79DEFE4F" w14:textId="77777777" w:rsidR="00170137" w:rsidRDefault="00127D14">
      <w:pPr>
        <w:spacing w:before="280" w:after="28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OLS models provide a baseline understanding of the average wage effects. The results show that, on average, overeducated workers face a wage penalty of approximately 6.2% compared to well-matched workers, while undereducated workers show a positive wage differential of 10.3%. A persistent penalty was also found for overskilled individuals, who earn 10.2% less than their peers. The models also confirmed other key factors, such as a significant male wage premium (approx. 19%) and an urban wage premium (ap</w:t>
      </w:r>
      <w:r>
        <w:rPr>
          <w:rFonts w:ascii="Times New Roman" w:eastAsia="Times New Roman" w:hAnsi="Times New Roman" w:cs="Times New Roman"/>
          <w:sz w:val="20"/>
          <w:szCs w:val="20"/>
        </w:rPr>
        <w:t>prox. 24%).</w:t>
      </w:r>
    </w:p>
    <w:p w14:paraId="7ACF1901" w14:textId="77777777" w:rsidR="00170137" w:rsidRDefault="00127D14">
      <w:pPr>
        <w:spacing w:before="280" w:after="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Conditional</w:t>
      </w:r>
      <w:r>
        <w:rPr>
          <w:sz w:val="18"/>
          <w:szCs w:val="18"/>
        </w:rPr>
        <w:t xml:space="preserve"> </w:t>
      </w:r>
      <w:r>
        <w:rPr>
          <w:rFonts w:ascii="Times New Roman" w:eastAsia="Times New Roman" w:hAnsi="Times New Roman" w:cs="Times New Roman"/>
          <w:b/>
          <w:bCs/>
          <w:sz w:val="24"/>
          <w:szCs w:val="24"/>
        </w:rPr>
        <w:t>Quantile Regression (CQR): Effects Across the Conditional Distribution</w:t>
      </w:r>
    </w:p>
    <w:p w14:paraId="75FF2263" w14:textId="77777777" w:rsidR="00170137" w:rsidRDefault="00127D14">
      <w:pPr>
        <w:pBdr>
          <w:top w:val="nil"/>
          <w:left w:val="nil"/>
          <w:bottom w:val="nil"/>
          <w:right w:val="nil"/>
          <w:between w:val="nil"/>
        </w:pBdr>
        <w:spacing w:line="240" w:lineRule="auto"/>
        <w:ind w:firstLine="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These average effects, however, mask significant heterogeneity, which the CQR analysis reveals. As shown in Table 1, the impact of educational mismatch is not uniform. The wage penalty for undereducation grows significantly at higher wage levels, increasing from -10.5% at the 10th percentile to -36.2% at the 90th percentile. In sharp contrast to the OLS penalty, CQR reveals a substantial wage premium for overeducation across all quantiles, peaking at 88.9% at the median (q50). Similarly, Table 2 shows a sev</w:t>
      </w:r>
      <w:r>
        <w:rPr>
          <w:rFonts w:ascii="Times New Roman" w:eastAsia="Times New Roman" w:hAnsi="Times New Roman" w:cs="Times New Roman"/>
          <w:color w:val="000000"/>
          <w:sz w:val="20"/>
          <w:szCs w:val="20"/>
        </w:rPr>
        <w:t>ere penalty for underskilling across all quantiles, peaking at the median (-1.085). The penalty for overskilling also becomes progressively worse for females at higher quantiles, suggesting a potential glass ceiling effect.</w:t>
      </w:r>
    </w:p>
    <w:p w14:paraId="57D726E0" w14:textId="77777777" w:rsidR="00170137" w:rsidRDefault="00127D14">
      <w:pPr>
        <w:spacing w:before="280"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Table 1. </w:t>
      </w:r>
      <w:r>
        <w:rPr>
          <w:rFonts w:ascii="Times New Roman" w:eastAsia="Times New Roman" w:hAnsi="Times New Roman" w:cs="Times New Roman"/>
          <w:sz w:val="18"/>
          <w:szCs w:val="18"/>
        </w:rPr>
        <w:t xml:space="preserve">Wage Impact of Educational Mismatch </w:t>
      </w:r>
    </w:p>
    <w:tbl>
      <w:tblPr>
        <w:tblStyle w:val="a"/>
        <w:tblW w:w="8280" w:type="dxa"/>
        <w:tblInd w:w="35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890"/>
        <w:gridCol w:w="1260"/>
        <w:gridCol w:w="1260"/>
        <w:gridCol w:w="1440"/>
        <w:gridCol w:w="1260"/>
        <w:gridCol w:w="1170"/>
      </w:tblGrid>
      <w:tr w:rsidR="00170137" w14:paraId="1BB3125D" w14:textId="77777777">
        <w:trPr>
          <w:trHeight w:val="266"/>
        </w:trPr>
        <w:tc>
          <w:tcPr>
            <w:tcW w:w="1890" w:type="dxa"/>
            <w:tcBorders>
              <w:top w:val="single" w:sz="4" w:space="0" w:color="000000"/>
              <w:bottom w:val="single" w:sz="4" w:space="0" w:color="000000"/>
            </w:tcBorders>
          </w:tcPr>
          <w:p w14:paraId="73FB4367" w14:textId="77777777" w:rsidR="00170137" w:rsidRDefault="00127D14">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Education </w:t>
            </w:r>
          </w:p>
        </w:tc>
        <w:tc>
          <w:tcPr>
            <w:tcW w:w="1260" w:type="dxa"/>
            <w:tcBorders>
              <w:top w:val="single" w:sz="4" w:space="0" w:color="000000"/>
              <w:bottom w:val="single" w:sz="4" w:space="0" w:color="000000"/>
            </w:tcBorders>
          </w:tcPr>
          <w:p w14:paraId="0955B311"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q10</w:t>
            </w:r>
          </w:p>
        </w:tc>
        <w:tc>
          <w:tcPr>
            <w:tcW w:w="1260" w:type="dxa"/>
            <w:tcBorders>
              <w:top w:val="single" w:sz="4" w:space="0" w:color="000000"/>
              <w:bottom w:val="single" w:sz="4" w:space="0" w:color="000000"/>
            </w:tcBorders>
          </w:tcPr>
          <w:p w14:paraId="37C35557"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q25</w:t>
            </w:r>
          </w:p>
        </w:tc>
        <w:tc>
          <w:tcPr>
            <w:tcW w:w="1440" w:type="dxa"/>
            <w:tcBorders>
              <w:top w:val="single" w:sz="4" w:space="0" w:color="000000"/>
              <w:bottom w:val="single" w:sz="4" w:space="0" w:color="000000"/>
            </w:tcBorders>
          </w:tcPr>
          <w:p w14:paraId="5BADACFE"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q50 (Median)</w:t>
            </w:r>
          </w:p>
        </w:tc>
        <w:tc>
          <w:tcPr>
            <w:tcW w:w="1260" w:type="dxa"/>
            <w:tcBorders>
              <w:top w:val="single" w:sz="4" w:space="0" w:color="000000"/>
              <w:bottom w:val="single" w:sz="4" w:space="0" w:color="000000"/>
            </w:tcBorders>
          </w:tcPr>
          <w:p w14:paraId="30D26391"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q75</w:t>
            </w:r>
          </w:p>
        </w:tc>
        <w:tc>
          <w:tcPr>
            <w:tcW w:w="1170" w:type="dxa"/>
            <w:tcBorders>
              <w:top w:val="single" w:sz="4" w:space="0" w:color="000000"/>
              <w:bottom w:val="single" w:sz="4" w:space="0" w:color="000000"/>
            </w:tcBorders>
          </w:tcPr>
          <w:p w14:paraId="12427C9B"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q90</w:t>
            </w:r>
          </w:p>
        </w:tc>
      </w:tr>
      <w:tr w:rsidR="00170137" w14:paraId="1C4940AD" w14:textId="77777777">
        <w:trPr>
          <w:trHeight w:val="250"/>
        </w:trPr>
        <w:tc>
          <w:tcPr>
            <w:tcW w:w="1890" w:type="dxa"/>
            <w:tcBorders>
              <w:top w:val="single" w:sz="4" w:space="0" w:color="000000"/>
            </w:tcBorders>
          </w:tcPr>
          <w:p w14:paraId="3FD43B46" w14:textId="77777777" w:rsidR="00170137" w:rsidRDefault="00127D14">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Undereducated</w:t>
            </w:r>
          </w:p>
        </w:tc>
        <w:tc>
          <w:tcPr>
            <w:tcW w:w="1260" w:type="dxa"/>
            <w:tcBorders>
              <w:top w:val="single" w:sz="4" w:space="0" w:color="000000"/>
            </w:tcBorders>
          </w:tcPr>
          <w:p w14:paraId="4BF2BCD4"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-0.105***</w:t>
            </w:r>
          </w:p>
        </w:tc>
        <w:tc>
          <w:tcPr>
            <w:tcW w:w="1260" w:type="dxa"/>
            <w:tcBorders>
              <w:top w:val="single" w:sz="4" w:space="0" w:color="000000"/>
            </w:tcBorders>
          </w:tcPr>
          <w:p w14:paraId="3A42E709"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-0.095***</w:t>
            </w:r>
          </w:p>
        </w:tc>
        <w:tc>
          <w:tcPr>
            <w:tcW w:w="1440" w:type="dxa"/>
            <w:tcBorders>
              <w:top w:val="single" w:sz="4" w:space="0" w:color="000000"/>
            </w:tcBorders>
          </w:tcPr>
          <w:p w14:paraId="33A60BD4"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-0.224***</w:t>
            </w:r>
          </w:p>
        </w:tc>
        <w:tc>
          <w:tcPr>
            <w:tcW w:w="1260" w:type="dxa"/>
            <w:tcBorders>
              <w:top w:val="single" w:sz="4" w:space="0" w:color="000000"/>
            </w:tcBorders>
          </w:tcPr>
          <w:p w14:paraId="04208967"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-0.343***</w:t>
            </w:r>
          </w:p>
        </w:tc>
        <w:tc>
          <w:tcPr>
            <w:tcW w:w="1170" w:type="dxa"/>
            <w:tcBorders>
              <w:top w:val="single" w:sz="4" w:space="0" w:color="000000"/>
            </w:tcBorders>
          </w:tcPr>
          <w:p w14:paraId="6F43EF89"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-0.362***</w:t>
            </w:r>
          </w:p>
        </w:tc>
      </w:tr>
      <w:tr w:rsidR="00170137" w14:paraId="420962D3" w14:textId="77777777">
        <w:trPr>
          <w:trHeight w:val="266"/>
        </w:trPr>
        <w:tc>
          <w:tcPr>
            <w:tcW w:w="1890" w:type="dxa"/>
          </w:tcPr>
          <w:p w14:paraId="4142E186" w14:textId="77777777" w:rsidR="00170137" w:rsidRDefault="00127D14">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Overeducated</w:t>
            </w:r>
          </w:p>
        </w:tc>
        <w:tc>
          <w:tcPr>
            <w:tcW w:w="1260" w:type="dxa"/>
          </w:tcPr>
          <w:p w14:paraId="3DD29FC1"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0.492***</w:t>
            </w:r>
          </w:p>
        </w:tc>
        <w:tc>
          <w:tcPr>
            <w:tcW w:w="1260" w:type="dxa"/>
          </w:tcPr>
          <w:p w14:paraId="5447934B"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0.763***</w:t>
            </w:r>
          </w:p>
        </w:tc>
        <w:tc>
          <w:tcPr>
            <w:tcW w:w="1440" w:type="dxa"/>
          </w:tcPr>
          <w:p w14:paraId="58EA7877"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0.889***</w:t>
            </w:r>
          </w:p>
        </w:tc>
        <w:tc>
          <w:tcPr>
            <w:tcW w:w="1260" w:type="dxa"/>
          </w:tcPr>
          <w:p w14:paraId="361C4D5D"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0.851***</w:t>
            </w:r>
          </w:p>
        </w:tc>
        <w:tc>
          <w:tcPr>
            <w:tcW w:w="1170" w:type="dxa"/>
          </w:tcPr>
          <w:p w14:paraId="76D0C458"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0.745***</w:t>
            </w:r>
          </w:p>
        </w:tc>
      </w:tr>
    </w:tbl>
    <w:p w14:paraId="7D21000E" w14:textId="77777777" w:rsidR="00170137" w:rsidRDefault="00127D14">
      <w:pPr>
        <w:spacing w:after="28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*Notes: Pooled sample. Coefficients are on log wage. **</w:t>
      </w:r>
      <w:r>
        <w:rPr>
          <w:rFonts w:ascii="Times New Roman" w:eastAsia="Times New Roman" w:hAnsi="Times New Roman" w:cs="Times New Roman"/>
          <w:i/>
          <w:iCs/>
          <w:sz w:val="18"/>
          <w:szCs w:val="18"/>
        </w:rPr>
        <w:t>p&lt;0.01.</w:t>
      </w:r>
    </w:p>
    <w:p w14:paraId="760C1D42" w14:textId="77777777" w:rsidR="00170137" w:rsidRDefault="00127D14">
      <w:pPr>
        <w:spacing w:before="280"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lastRenderedPageBreak/>
        <w:t xml:space="preserve">Table 2. </w:t>
      </w:r>
      <w:r>
        <w:rPr>
          <w:rFonts w:ascii="Times New Roman" w:eastAsia="Times New Roman" w:hAnsi="Times New Roman" w:cs="Times New Roman"/>
          <w:sz w:val="18"/>
          <w:szCs w:val="18"/>
        </w:rPr>
        <w:t xml:space="preserve">Wage Impact of Skills Mismatch </w:t>
      </w:r>
    </w:p>
    <w:tbl>
      <w:tblPr>
        <w:tblStyle w:val="a0"/>
        <w:tblW w:w="8280" w:type="dxa"/>
        <w:tblInd w:w="35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908"/>
        <w:gridCol w:w="1276"/>
        <w:gridCol w:w="1226"/>
        <w:gridCol w:w="1440"/>
        <w:gridCol w:w="1260"/>
        <w:gridCol w:w="1170"/>
      </w:tblGrid>
      <w:tr w:rsidR="00170137" w14:paraId="1661264F" w14:textId="77777777">
        <w:trPr>
          <w:trHeight w:val="264"/>
        </w:trPr>
        <w:tc>
          <w:tcPr>
            <w:tcW w:w="1908" w:type="dxa"/>
            <w:tcBorders>
              <w:top w:val="single" w:sz="4" w:space="0" w:color="000000"/>
              <w:bottom w:val="single" w:sz="4" w:space="0" w:color="000000"/>
            </w:tcBorders>
          </w:tcPr>
          <w:p w14:paraId="49CB56B3" w14:textId="77777777" w:rsidR="00170137" w:rsidRDefault="00127D14">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Skills  </w:t>
            </w:r>
          </w:p>
        </w:tc>
        <w:tc>
          <w:tcPr>
            <w:tcW w:w="1276" w:type="dxa"/>
            <w:tcBorders>
              <w:top w:val="single" w:sz="4" w:space="0" w:color="000000"/>
              <w:bottom w:val="single" w:sz="4" w:space="0" w:color="000000"/>
            </w:tcBorders>
          </w:tcPr>
          <w:p w14:paraId="18C9F642"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q10</w:t>
            </w:r>
          </w:p>
        </w:tc>
        <w:tc>
          <w:tcPr>
            <w:tcW w:w="1226" w:type="dxa"/>
            <w:tcBorders>
              <w:top w:val="single" w:sz="4" w:space="0" w:color="000000"/>
              <w:bottom w:val="single" w:sz="4" w:space="0" w:color="000000"/>
            </w:tcBorders>
          </w:tcPr>
          <w:p w14:paraId="16F904AA"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q25</w:t>
            </w:r>
          </w:p>
        </w:tc>
        <w:tc>
          <w:tcPr>
            <w:tcW w:w="1440" w:type="dxa"/>
            <w:tcBorders>
              <w:top w:val="single" w:sz="4" w:space="0" w:color="000000"/>
              <w:bottom w:val="single" w:sz="4" w:space="0" w:color="000000"/>
            </w:tcBorders>
          </w:tcPr>
          <w:p w14:paraId="6A34BA8F"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q50 (Median)</w:t>
            </w:r>
          </w:p>
        </w:tc>
        <w:tc>
          <w:tcPr>
            <w:tcW w:w="1260" w:type="dxa"/>
            <w:tcBorders>
              <w:top w:val="single" w:sz="4" w:space="0" w:color="000000"/>
              <w:bottom w:val="single" w:sz="4" w:space="0" w:color="000000"/>
            </w:tcBorders>
          </w:tcPr>
          <w:p w14:paraId="03E5E0C3"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q75</w:t>
            </w:r>
          </w:p>
        </w:tc>
        <w:tc>
          <w:tcPr>
            <w:tcW w:w="1170" w:type="dxa"/>
            <w:tcBorders>
              <w:top w:val="single" w:sz="4" w:space="0" w:color="000000"/>
              <w:bottom w:val="single" w:sz="4" w:space="0" w:color="000000"/>
            </w:tcBorders>
          </w:tcPr>
          <w:p w14:paraId="24EC4008"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q90</w:t>
            </w:r>
          </w:p>
        </w:tc>
      </w:tr>
      <w:tr w:rsidR="00170137" w14:paraId="42B0E486" w14:textId="77777777">
        <w:trPr>
          <w:trHeight w:val="248"/>
        </w:trPr>
        <w:tc>
          <w:tcPr>
            <w:tcW w:w="1908" w:type="dxa"/>
            <w:tcBorders>
              <w:top w:val="single" w:sz="4" w:space="0" w:color="000000"/>
            </w:tcBorders>
          </w:tcPr>
          <w:p w14:paraId="28076F68" w14:textId="77777777" w:rsidR="00170137" w:rsidRDefault="00127D14">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Underskilled</w:t>
            </w:r>
          </w:p>
        </w:tc>
        <w:tc>
          <w:tcPr>
            <w:tcW w:w="1276" w:type="dxa"/>
            <w:tcBorders>
              <w:top w:val="single" w:sz="4" w:space="0" w:color="000000"/>
            </w:tcBorders>
          </w:tcPr>
          <w:p w14:paraId="40499FEE"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-0.708***</w:t>
            </w:r>
          </w:p>
        </w:tc>
        <w:tc>
          <w:tcPr>
            <w:tcW w:w="1226" w:type="dxa"/>
            <w:tcBorders>
              <w:top w:val="single" w:sz="4" w:space="0" w:color="000000"/>
            </w:tcBorders>
          </w:tcPr>
          <w:p w14:paraId="63893B4F"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-0.971***</w:t>
            </w:r>
          </w:p>
        </w:tc>
        <w:tc>
          <w:tcPr>
            <w:tcW w:w="1440" w:type="dxa"/>
            <w:tcBorders>
              <w:top w:val="single" w:sz="4" w:space="0" w:color="000000"/>
            </w:tcBorders>
          </w:tcPr>
          <w:p w14:paraId="22B53B57"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-1.085***</w:t>
            </w:r>
          </w:p>
        </w:tc>
        <w:tc>
          <w:tcPr>
            <w:tcW w:w="1260" w:type="dxa"/>
            <w:tcBorders>
              <w:top w:val="single" w:sz="4" w:space="0" w:color="000000"/>
            </w:tcBorders>
          </w:tcPr>
          <w:p w14:paraId="1DB232D4"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-1.033***</w:t>
            </w:r>
          </w:p>
        </w:tc>
        <w:tc>
          <w:tcPr>
            <w:tcW w:w="1170" w:type="dxa"/>
            <w:tcBorders>
              <w:top w:val="single" w:sz="4" w:space="0" w:color="000000"/>
            </w:tcBorders>
          </w:tcPr>
          <w:p w14:paraId="5854A7A9"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-0.955***</w:t>
            </w:r>
          </w:p>
        </w:tc>
      </w:tr>
      <w:tr w:rsidR="00170137" w14:paraId="237D9F9C" w14:textId="77777777">
        <w:trPr>
          <w:trHeight w:val="248"/>
        </w:trPr>
        <w:tc>
          <w:tcPr>
            <w:tcW w:w="1908" w:type="dxa"/>
          </w:tcPr>
          <w:p w14:paraId="173BB243" w14:textId="77777777" w:rsidR="00170137" w:rsidRDefault="00127D14">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Overskilled</w:t>
            </w:r>
          </w:p>
        </w:tc>
        <w:tc>
          <w:tcPr>
            <w:tcW w:w="1276" w:type="dxa"/>
          </w:tcPr>
          <w:p w14:paraId="6832760D"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-0.430***</w:t>
            </w:r>
          </w:p>
        </w:tc>
        <w:tc>
          <w:tcPr>
            <w:tcW w:w="1226" w:type="dxa"/>
          </w:tcPr>
          <w:p w14:paraId="72E7B606"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-0.546***</w:t>
            </w:r>
          </w:p>
        </w:tc>
        <w:tc>
          <w:tcPr>
            <w:tcW w:w="1440" w:type="dxa"/>
          </w:tcPr>
          <w:p w14:paraId="3E3EF433"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-0.575***</w:t>
            </w:r>
          </w:p>
        </w:tc>
        <w:tc>
          <w:tcPr>
            <w:tcW w:w="1260" w:type="dxa"/>
          </w:tcPr>
          <w:p w14:paraId="102B1149"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-0.600***</w:t>
            </w:r>
          </w:p>
        </w:tc>
        <w:tc>
          <w:tcPr>
            <w:tcW w:w="1170" w:type="dxa"/>
          </w:tcPr>
          <w:p w14:paraId="5F42DF4E"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-0.575***</w:t>
            </w:r>
          </w:p>
        </w:tc>
      </w:tr>
    </w:tbl>
    <w:p w14:paraId="2560E935" w14:textId="77777777" w:rsidR="00170137" w:rsidRDefault="00127D14">
      <w:pPr>
        <w:spacing w:after="28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*Notes: Pooled sample. Coefficients are on log wage. **</w:t>
      </w:r>
      <w:r>
        <w:rPr>
          <w:rFonts w:ascii="Times New Roman" w:eastAsia="Times New Roman" w:hAnsi="Times New Roman" w:cs="Times New Roman"/>
          <w:i/>
          <w:iCs/>
          <w:sz w:val="18"/>
          <w:szCs w:val="18"/>
        </w:rPr>
        <w:t>p&lt;0.01.</w:t>
      </w:r>
    </w:p>
    <w:p w14:paraId="11DF5F50" w14:textId="77777777" w:rsidR="00170137" w:rsidRDefault="00170137">
      <w:pPr>
        <w:spacing w:before="280" w:after="280" w:line="240" w:lineRule="auto"/>
        <w:jc w:val="center"/>
        <w:rPr>
          <w:rFonts w:ascii="Times New Roman" w:eastAsia="Times New Roman" w:hAnsi="Times New Roman" w:cs="Times New Roman"/>
          <w:b/>
          <w:bCs/>
          <w:sz w:val="24"/>
          <w:szCs w:val="24"/>
        </w:rPr>
      </w:pPr>
    </w:p>
    <w:p w14:paraId="4158375C" w14:textId="77777777" w:rsidR="00170137" w:rsidRDefault="00127D14">
      <w:pPr>
        <w:spacing w:before="280" w:after="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Unconditional Quantile Regression (UQR): Structural Effects on the Overall Wage Distribution</w:t>
      </w:r>
    </w:p>
    <w:p w14:paraId="7050A035" w14:textId="77777777" w:rsidR="00170137" w:rsidRDefault="00127D14">
      <w:pPr>
        <w:spacing w:before="280"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Finally, to understand the structural impact on the overall wage distribution, UQR was used. Table 3 confirms a significant wage penalty for undereducation across the entire distribution, with the largest impact at the median (-0.457 log points). Overeducation shows a wage premium that is most pronounced at the 75th percentile (+0.257). The UQR results for skills mismatch in Table 4 are strikingly different. Underskilling shows no penalty at low quantiles but a significant premium at the 75th percentile (+0</w:t>
      </w:r>
      <w:r>
        <w:rPr>
          <w:rFonts w:ascii="Times New Roman" w:eastAsia="Times New Roman" w:hAnsi="Times New Roman" w:cs="Times New Roman"/>
          <w:sz w:val="20"/>
          <w:szCs w:val="20"/>
        </w:rPr>
        <w:t>.321). Conversely, overskilling provides a premium at lower quantiles but becomes a significant penalty at the top end (-0.283 at the 90th percentile).</w:t>
      </w:r>
    </w:p>
    <w:p w14:paraId="601EFEA6" w14:textId="77777777" w:rsidR="00170137" w:rsidRDefault="00127D14">
      <w:pPr>
        <w:spacing w:before="280"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Table 3. </w:t>
      </w:r>
      <w:r>
        <w:rPr>
          <w:rFonts w:ascii="Times New Roman" w:eastAsia="Times New Roman" w:hAnsi="Times New Roman" w:cs="Times New Roman"/>
          <w:sz w:val="18"/>
          <w:szCs w:val="18"/>
        </w:rPr>
        <w:t>Wage Impact of Education Mismatch</w:t>
      </w:r>
    </w:p>
    <w:tbl>
      <w:tblPr>
        <w:tblStyle w:val="a1"/>
        <w:tblW w:w="8280" w:type="dxa"/>
        <w:tblInd w:w="35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620"/>
        <w:gridCol w:w="1260"/>
        <w:gridCol w:w="1260"/>
        <w:gridCol w:w="1440"/>
        <w:gridCol w:w="1350"/>
        <w:gridCol w:w="1350"/>
      </w:tblGrid>
      <w:tr w:rsidR="00170137" w14:paraId="354D7B82" w14:textId="77777777">
        <w:trPr>
          <w:trHeight w:val="264"/>
        </w:trPr>
        <w:tc>
          <w:tcPr>
            <w:tcW w:w="1620" w:type="dxa"/>
            <w:tcBorders>
              <w:top w:val="single" w:sz="4" w:space="0" w:color="000000"/>
              <w:bottom w:val="single" w:sz="4" w:space="0" w:color="000000"/>
            </w:tcBorders>
          </w:tcPr>
          <w:p w14:paraId="201C07A4" w14:textId="77777777" w:rsidR="00170137" w:rsidRDefault="00127D14">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Education</w:t>
            </w:r>
          </w:p>
        </w:tc>
        <w:tc>
          <w:tcPr>
            <w:tcW w:w="1260" w:type="dxa"/>
            <w:tcBorders>
              <w:top w:val="single" w:sz="4" w:space="0" w:color="000000"/>
              <w:bottom w:val="single" w:sz="4" w:space="0" w:color="000000"/>
            </w:tcBorders>
          </w:tcPr>
          <w:p w14:paraId="6E5DD02E"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q10</w:t>
            </w:r>
          </w:p>
        </w:tc>
        <w:tc>
          <w:tcPr>
            <w:tcW w:w="1260" w:type="dxa"/>
            <w:tcBorders>
              <w:top w:val="single" w:sz="4" w:space="0" w:color="000000"/>
              <w:bottom w:val="single" w:sz="4" w:space="0" w:color="000000"/>
            </w:tcBorders>
          </w:tcPr>
          <w:p w14:paraId="200857FE"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q25</w:t>
            </w:r>
          </w:p>
        </w:tc>
        <w:tc>
          <w:tcPr>
            <w:tcW w:w="1440" w:type="dxa"/>
            <w:tcBorders>
              <w:top w:val="single" w:sz="4" w:space="0" w:color="000000"/>
              <w:bottom w:val="single" w:sz="4" w:space="0" w:color="000000"/>
            </w:tcBorders>
          </w:tcPr>
          <w:p w14:paraId="7B2478AC"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q50 (Median)</w:t>
            </w:r>
          </w:p>
        </w:tc>
        <w:tc>
          <w:tcPr>
            <w:tcW w:w="1350" w:type="dxa"/>
            <w:tcBorders>
              <w:top w:val="single" w:sz="4" w:space="0" w:color="000000"/>
              <w:bottom w:val="single" w:sz="4" w:space="0" w:color="000000"/>
            </w:tcBorders>
          </w:tcPr>
          <w:p w14:paraId="413650AD"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q75</w:t>
            </w:r>
          </w:p>
        </w:tc>
        <w:tc>
          <w:tcPr>
            <w:tcW w:w="1350" w:type="dxa"/>
            <w:tcBorders>
              <w:top w:val="single" w:sz="4" w:space="0" w:color="000000"/>
              <w:bottom w:val="single" w:sz="4" w:space="0" w:color="000000"/>
            </w:tcBorders>
          </w:tcPr>
          <w:p w14:paraId="5BC1CFCB"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q90</w:t>
            </w:r>
          </w:p>
        </w:tc>
      </w:tr>
      <w:tr w:rsidR="00170137" w14:paraId="61E4B3B6" w14:textId="77777777">
        <w:trPr>
          <w:trHeight w:val="249"/>
        </w:trPr>
        <w:tc>
          <w:tcPr>
            <w:tcW w:w="1620" w:type="dxa"/>
            <w:tcBorders>
              <w:top w:val="single" w:sz="4" w:space="0" w:color="000000"/>
            </w:tcBorders>
          </w:tcPr>
          <w:p w14:paraId="7887FF1E" w14:textId="77777777" w:rsidR="00170137" w:rsidRDefault="00127D14">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Undereducated</w:t>
            </w:r>
          </w:p>
        </w:tc>
        <w:tc>
          <w:tcPr>
            <w:tcW w:w="1260" w:type="dxa"/>
            <w:tcBorders>
              <w:top w:val="single" w:sz="4" w:space="0" w:color="000000"/>
            </w:tcBorders>
          </w:tcPr>
          <w:p w14:paraId="14531A63"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-0.202***</w:t>
            </w:r>
          </w:p>
        </w:tc>
        <w:tc>
          <w:tcPr>
            <w:tcW w:w="1260" w:type="dxa"/>
            <w:tcBorders>
              <w:top w:val="single" w:sz="4" w:space="0" w:color="000000"/>
            </w:tcBorders>
          </w:tcPr>
          <w:p w14:paraId="5327FE70"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-0.301***</w:t>
            </w:r>
          </w:p>
        </w:tc>
        <w:tc>
          <w:tcPr>
            <w:tcW w:w="1440" w:type="dxa"/>
            <w:tcBorders>
              <w:top w:val="single" w:sz="4" w:space="0" w:color="000000"/>
            </w:tcBorders>
          </w:tcPr>
          <w:p w14:paraId="4058EA8D"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-0.457***</w:t>
            </w:r>
          </w:p>
        </w:tc>
        <w:tc>
          <w:tcPr>
            <w:tcW w:w="1350" w:type="dxa"/>
            <w:tcBorders>
              <w:top w:val="single" w:sz="4" w:space="0" w:color="000000"/>
            </w:tcBorders>
          </w:tcPr>
          <w:p w14:paraId="2E2AF139"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-0.286***</w:t>
            </w:r>
          </w:p>
        </w:tc>
        <w:tc>
          <w:tcPr>
            <w:tcW w:w="1350" w:type="dxa"/>
            <w:tcBorders>
              <w:top w:val="single" w:sz="4" w:space="0" w:color="000000"/>
            </w:tcBorders>
          </w:tcPr>
          <w:p w14:paraId="4074F4EB"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-0.267***</w:t>
            </w:r>
          </w:p>
        </w:tc>
      </w:tr>
      <w:tr w:rsidR="00170137" w14:paraId="5965325F" w14:textId="77777777">
        <w:trPr>
          <w:trHeight w:val="249"/>
        </w:trPr>
        <w:tc>
          <w:tcPr>
            <w:tcW w:w="1620" w:type="dxa"/>
          </w:tcPr>
          <w:p w14:paraId="1DCF2CE1" w14:textId="77777777" w:rsidR="00170137" w:rsidRDefault="00127D14">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Overeducated</w:t>
            </w:r>
          </w:p>
        </w:tc>
        <w:tc>
          <w:tcPr>
            <w:tcW w:w="1260" w:type="dxa"/>
          </w:tcPr>
          <w:p w14:paraId="2FF96C76"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0.082***</w:t>
            </w:r>
          </w:p>
        </w:tc>
        <w:tc>
          <w:tcPr>
            <w:tcW w:w="1260" w:type="dxa"/>
          </w:tcPr>
          <w:p w14:paraId="0EC2B19A"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0.124***</w:t>
            </w:r>
          </w:p>
        </w:tc>
        <w:tc>
          <w:tcPr>
            <w:tcW w:w="1440" w:type="dxa"/>
          </w:tcPr>
          <w:p w14:paraId="5E242667"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0.139***</w:t>
            </w:r>
          </w:p>
        </w:tc>
        <w:tc>
          <w:tcPr>
            <w:tcW w:w="1350" w:type="dxa"/>
          </w:tcPr>
          <w:p w14:paraId="2BE225DF"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0.257***</w:t>
            </w:r>
          </w:p>
        </w:tc>
        <w:tc>
          <w:tcPr>
            <w:tcW w:w="1350" w:type="dxa"/>
          </w:tcPr>
          <w:p w14:paraId="1DD3976F"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0.117***</w:t>
            </w:r>
          </w:p>
        </w:tc>
      </w:tr>
    </w:tbl>
    <w:p w14:paraId="1A4A576E" w14:textId="77777777" w:rsidR="00170137" w:rsidRDefault="00127D14">
      <w:pPr>
        <w:spacing w:after="28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*Notes: Coefficients are on log wage. **</w:t>
      </w:r>
      <w:r>
        <w:rPr>
          <w:rFonts w:ascii="Times New Roman" w:eastAsia="Times New Roman" w:hAnsi="Times New Roman" w:cs="Times New Roman"/>
          <w:i/>
          <w:iCs/>
          <w:sz w:val="18"/>
          <w:szCs w:val="18"/>
        </w:rPr>
        <w:t>p&lt;0.01.</w:t>
      </w:r>
    </w:p>
    <w:p w14:paraId="3108E689" w14:textId="77777777" w:rsidR="00170137" w:rsidRDefault="00127D14">
      <w:pPr>
        <w:spacing w:before="280"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Table 4. </w:t>
      </w:r>
      <w:r>
        <w:rPr>
          <w:rFonts w:ascii="Times New Roman" w:eastAsia="Times New Roman" w:hAnsi="Times New Roman" w:cs="Times New Roman"/>
          <w:sz w:val="18"/>
          <w:szCs w:val="18"/>
        </w:rPr>
        <w:t xml:space="preserve">Wage Impact of Skills Mismatch </w:t>
      </w:r>
    </w:p>
    <w:tbl>
      <w:tblPr>
        <w:tblStyle w:val="a2"/>
        <w:tblW w:w="8280" w:type="dxa"/>
        <w:tblInd w:w="35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620"/>
        <w:gridCol w:w="1260"/>
        <w:gridCol w:w="1260"/>
        <w:gridCol w:w="1440"/>
        <w:gridCol w:w="1350"/>
        <w:gridCol w:w="1350"/>
      </w:tblGrid>
      <w:tr w:rsidR="00170137" w14:paraId="321A86A1" w14:textId="77777777">
        <w:trPr>
          <w:trHeight w:val="242"/>
        </w:trPr>
        <w:tc>
          <w:tcPr>
            <w:tcW w:w="1620" w:type="dxa"/>
            <w:tcBorders>
              <w:top w:val="single" w:sz="4" w:space="0" w:color="000000"/>
              <w:bottom w:val="single" w:sz="4" w:space="0" w:color="000000"/>
            </w:tcBorders>
          </w:tcPr>
          <w:p w14:paraId="3D80EBDD" w14:textId="77777777" w:rsidR="00170137" w:rsidRDefault="00127D14">
            <w:pPr>
              <w:tabs>
                <w:tab w:val="left" w:pos="1130"/>
              </w:tabs>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Skills</w:t>
            </w:r>
          </w:p>
        </w:tc>
        <w:tc>
          <w:tcPr>
            <w:tcW w:w="1260" w:type="dxa"/>
            <w:tcBorders>
              <w:top w:val="single" w:sz="4" w:space="0" w:color="000000"/>
              <w:bottom w:val="single" w:sz="4" w:space="0" w:color="000000"/>
            </w:tcBorders>
          </w:tcPr>
          <w:p w14:paraId="15E54BD0"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q10</w:t>
            </w:r>
          </w:p>
        </w:tc>
        <w:tc>
          <w:tcPr>
            <w:tcW w:w="1260" w:type="dxa"/>
            <w:tcBorders>
              <w:top w:val="single" w:sz="4" w:space="0" w:color="000000"/>
              <w:bottom w:val="single" w:sz="4" w:space="0" w:color="000000"/>
            </w:tcBorders>
          </w:tcPr>
          <w:p w14:paraId="189A2BD4"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q25</w:t>
            </w:r>
          </w:p>
        </w:tc>
        <w:tc>
          <w:tcPr>
            <w:tcW w:w="1440" w:type="dxa"/>
            <w:tcBorders>
              <w:top w:val="single" w:sz="4" w:space="0" w:color="000000"/>
              <w:bottom w:val="single" w:sz="4" w:space="0" w:color="000000"/>
            </w:tcBorders>
          </w:tcPr>
          <w:p w14:paraId="6D901F82"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q50 (Median)</w:t>
            </w:r>
          </w:p>
        </w:tc>
        <w:tc>
          <w:tcPr>
            <w:tcW w:w="1350" w:type="dxa"/>
            <w:tcBorders>
              <w:top w:val="single" w:sz="4" w:space="0" w:color="000000"/>
              <w:bottom w:val="single" w:sz="4" w:space="0" w:color="000000"/>
            </w:tcBorders>
          </w:tcPr>
          <w:p w14:paraId="4D15A09B"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q75</w:t>
            </w:r>
          </w:p>
        </w:tc>
        <w:tc>
          <w:tcPr>
            <w:tcW w:w="1350" w:type="dxa"/>
            <w:tcBorders>
              <w:top w:val="single" w:sz="4" w:space="0" w:color="000000"/>
              <w:bottom w:val="single" w:sz="4" w:space="0" w:color="000000"/>
            </w:tcBorders>
          </w:tcPr>
          <w:p w14:paraId="51BF472E" w14:textId="77777777" w:rsidR="00170137" w:rsidRDefault="00127D14">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q90</w:t>
            </w:r>
          </w:p>
        </w:tc>
      </w:tr>
      <w:tr w:rsidR="00170137" w14:paraId="12ACA0FA" w14:textId="77777777">
        <w:trPr>
          <w:trHeight w:val="306"/>
        </w:trPr>
        <w:tc>
          <w:tcPr>
            <w:tcW w:w="1620" w:type="dxa"/>
            <w:tcBorders>
              <w:top w:val="single" w:sz="4" w:space="0" w:color="000000"/>
            </w:tcBorders>
          </w:tcPr>
          <w:p w14:paraId="3EAB9CF0" w14:textId="77777777" w:rsidR="00170137" w:rsidRDefault="00127D14">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Underskilled</w:t>
            </w:r>
          </w:p>
        </w:tc>
        <w:tc>
          <w:tcPr>
            <w:tcW w:w="1260" w:type="dxa"/>
            <w:tcBorders>
              <w:top w:val="single" w:sz="4" w:space="0" w:color="000000"/>
            </w:tcBorders>
          </w:tcPr>
          <w:p w14:paraId="58B083D8"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-0.013</w:t>
            </w:r>
          </w:p>
        </w:tc>
        <w:tc>
          <w:tcPr>
            <w:tcW w:w="1260" w:type="dxa"/>
            <w:tcBorders>
              <w:top w:val="single" w:sz="4" w:space="0" w:color="000000"/>
            </w:tcBorders>
          </w:tcPr>
          <w:p w14:paraId="06BEDB73"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-0.042</w:t>
            </w:r>
          </w:p>
        </w:tc>
        <w:tc>
          <w:tcPr>
            <w:tcW w:w="1440" w:type="dxa"/>
            <w:tcBorders>
              <w:top w:val="single" w:sz="4" w:space="0" w:color="000000"/>
            </w:tcBorders>
          </w:tcPr>
          <w:p w14:paraId="62F5866B"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0.180***</w:t>
            </w:r>
          </w:p>
        </w:tc>
        <w:tc>
          <w:tcPr>
            <w:tcW w:w="1350" w:type="dxa"/>
            <w:tcBorders>
              <w:top w:val="single" w:sz="4" w:space="0" w:color="000000"/>
            </w:tcBorders>
          </w:tcPr>
          <w:p w14:paraId="0032A731"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0.321***</w:t>
            </w:r>
          </w:p>
        </w:tc>
        <w:tc>
          <w:tcPr>
            <w:tcW w:w="1350" w:type="dxa"/>
            <w:tcBorders>
              <w:top w:val="single" w:sz="4" w:space="0" w:color="000000"/>
            </w:tcBorders>
          </w:tcPr>
          <w:p w14:paraId="3244C0FE"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0.130***</w:t>
            </w:r>
          </w:p>
        </w:tc>
      </w:tr>
      <w:tr w:rsidR="00170137" w14:paraId="6830C9D2" w14:textId="77777777">
        <w:trPr>
          <w:trHeight w:val="306"/>
        </w:trPr>
        <w:tc>
          <w:tcPr>
            <w:tcW w:w="1620" w:type="dxa"/>
          </w:tcPr>
          <w:p w14:paraId="03A84A60" w14:textId="77777777" w:rsidR="00170137" w:rsidRDefault="00127D14">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Overskilled</w:t>
            </w:r>
          </w:p>
        </w:tc>
        <w:tc>
          <w:tcPr>
            <w:tcW w:w="1260" w:type="dxa"/>
          </w:tcPr>
          <w:p w14:paraId="6A39F726"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0.042**</w:t>
            </w:r>
          </w:p>
        </w:tc>
        <w:tc>
          <w:tcPr>
            <w:tcW w:w="1260" w:type="dxa"/>
          </w:tcPr>
          <w:p w14:paraId="4CCB6870"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0.047**</w:t>
            </w:r>
          </w:p>
        </w:tc>
        <w:tc>
          <w:tcPr>
            <w:tcW w:w="1440" w:type="dxa"/>
          </w:tcPr>
          <w:p w14:paraId="32725F4A"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0.102***</w:t>
            </w:r>
          </w:p>
        </w:tc>
        <w:tc>
          <w:tcPr>
            <w:tcW w:w="1350" w:type="dxa"/>
          </w:tcPr>
          <w:p w14:paraId="68BE621D"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-0.180***</w:t>
            </w:r>
          </w:p>
        </w:tc>
        <w:tc>
          <w:tcPr>
            <w:tcW w:w="1350" w:type="dxa"/>
          </w:tcPr>
          <w:p w14:paraId="6AC6D045" w14:textId="77777777" w:rsidR="00170137" w:rsidRDefault="00127D1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-0.283***</w:t>
            </w:r>
          </w:p>
        </w:tc>
      </w:tr>
    </w:tbl>
    <w:p w14:paraId="32BB66B7" w14:textId="77777777" w:rsidR="00170137" w:rsidRDefault="00127D14">
      <w:pPr>
        <w:spacing w:after="28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*NotesCoefficients are on log wage. **p&lt;0.05, **</w:t>
      </w:r>
      <w:r>
        <w:rPr>
          <w:rFonts w:ascii="Times New Roman" w:eastAsia="Times New Roman" w:hAnsi="Times New Roman" w:cs="Times New Roman"/>
          <w:i/>
          <w:iCs/>
          <w:sz w:val="18"/>
          <w:szCs w:val="18"/>
        </w:rPr>
        <w:t>p&lt;0.01.</w:t>
      </w:r>
    </w:p>
    <w:p w14:paraId="5A6043C2" w14:textId="77777777" w:rsidR="00170137" w:rsidRDefault="00170137">
      <w:pPr>
        <w:spacing w:before="280" w:after="280" w:line="240" w:lineRule="auto"/>
        <w:jc w:val="center"/>
        <w:rPr>
          <w:rFonts w:ascii="Times New Roman" w:eastAsia="Times New Roman" w:hAnsi="Times New Roman" w:cs="Times New Roman"/>
          <w:b/>
          <w:bCs/>
          <w:sz w:val="24"/>
          <w:szCs w:val="24"/>
        </w:rPr>
      </w:pPr>
    </w:p>
    <w:p w14:paraId="3A145C0B" w14:textId="77777777" w:rsidR="00170137" w:rsidRDefault="00127D14">
      <w:pPr>
        <w:spacing w:before="280" w:after="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3A1BE16C" w14:textId="77777777" w:rsidR="00170137" w:rsidRDefault="00127D14">
      <w:pPr>
        <w:spacing w:before="280" w:after="28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study's findings both align with and challenge the existing Malaysian literature. The OLS results, showing average penalties for mismatch, are consistent with prior work by Zakariya [8]. However, our distributional analysis reveals a more complex reality that these average-based models miss. The substantial premium for overeducation found in our QR and UQR models contradicts the simple OLS penalty. This suggests that employers are rewarding the unobserved ability that surplus education signals (consist</w:t>
      </w:r>
      <w:r>
        <w:rPr>
          <w:rFonts w:ascii="Times New Roman" w:eastAsia="Times New Roman" w:hAnsi="Times New Roman" w:cs="Times New Roman"/>
          <w:sz w:val="20"/>
          <w:szCs w:val="20"/>
        </w:rPr>
        <w:t>ent with Assignment Theory), an important finding that was not captured in previous Malaysian studies. By employing quantile regression methods, this research moves beyond a one-dimensional view, demonstrating that the penalties and premiums associated with mismatch are not uniform but vary significantly across the wage distribution and by demographic groups. The findings underscore the limitations of relying on mean-based estimates and highlight the structural intricacies of wage determination in a develop</w:t>
      </w:r>
      <w:r>
        <w:rPr>
          <w:rFonts w:ascii="Times New Roman" w:eastAsia="Times New Roman" w:hAnsi="Times New Roman" w:cs="Times New Roman"/>
          <w:sz w:val="20"/>
          <w:szCs w:val="20"/>
        </w:rPr>
        <w:t>ing economy.</w:t>
      </w:r>
    </w:p>
    <w:p w14:paraId="5AA3B464" w14:textId="77777777" w:rsidR="00170137" w:rsidRDefault="00127D14">
      <w:pPr>
        <w:spacing w:before="280" w:after="28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primary finding is the critical role of formal educational credentials as a gatekeeper to higher earnings. The analysis shows that the wage penalty for being undereducated is not a static figure, but it grows substantially at higher quantiles of the wage distribution. This suggests that while experience or other skills may be sufficient for lower-paying roles, meeting formal educational benchmarks becomes an increasingly crucial prerequisite for accessing high-wage jobs. In contrast, overeducation, which </w:t>
      </w:r>
      <w:r>
        <w:rPr>
          <w:rFonts w:ascii="Times New Roman" w:eastAsia="Times New Roman" w:hAnsi="Times New Roman" w:cs="Times New Roman"/>
          <w:sz w:val="20"/>
          <w:szCs w:val="20"/>
        </w:rPr>
        <w:t xml:space="preserve">appeared as a penalty in some average-based models, is revealed by quantile regression to confer a consistent and significant wage premium. </w:t>
      </w:r>
    </w:p>
    <w:p w14:paraId="554C3718" w14:textId="77777777" w:rsidR="00170137" w:rsidRDefault="00127D14">
      <w:pPr>
        <w:spacing w:before="280" w:after="28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suggests that employers likely interpret surplus education not as a sign of a poor match but as a signal of higher unobserved ability, greater productivity, or enhanced trainability and reward it accordingly, especially for those in the middle of the earnings ladder. The dynamics of skills mismatch present an even more intricate. At the </w:t>
      </w:r>
      <w:r>
        <w:rPr>
          <w:rFonts w:ascii="Times New Roman" w:eastAsia="Times New Roman" w:hAnsi="Times New Roman" w:cs="Times New Roman"/>
          <w:sz w:val="20"/>
          <w:szCs w:val="20"/>
        </w:rPr>
        <w:lastRenderedPageBreak/>
        <w:t>individual level, the consequences are severe where underskilling is heavily penalised across the board, while overskilling is also associated with lower wages, a penalty that becomes particularly acute for high-earning females. This latter finding points towards a potential glass ceiling where women’s skills are underutilised and devalued even in high-paying positions. However, the structural analysis using Unconditional Quantile Regression complicates this narrative. It reveals that in the overall wage st</w:t>
      </w:r>
      <w:r>
        <w:rPr>
          <w:rFonts w:ascii="Times New Roman" w:eastAsia="Times New Roman" w:hAnsi="Times New Roman" w:cs="Times New Roman"/>
          <w:sz w:val="20"/>
          <w:szCs w:val="20"/>
        </w:rPr>
        <w:t>ructure, being underskilled is associated with a wage premium in the upper half of the distribution, while the penalty for overskilling only manifests at the very top. This counterintuitive result suggests that deep structural features, such as labour market segmentation, compensating differentials in high-demand occupations where underskilled workers are concentrated or limitations in how skills are measured, are at play and warrant further investigation.</w:t>
      </w:r>
    </w:p>
    <w:p w14:paraId="67EA7A98" w14:textId="77777777" w:rsidR="00170137" w:rsidRDefault="00127D14">
      <w:pPr>
        <w:spacing w:before="280" w:after="28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Furthermore, the analysis situates these mismatch effects within a broader context of persistent structural inequalities. The findings consistently reaffirm the existence of significant wage gaps based on gender, with a robust male wage premium evident in the models. Likewise, disparities linked to ethnicity and geography remain pronounced, underscoring that the mismatch operates within a broader context of pre-existing social and economic divisions. These factors do not exist in isolation but likely intera</w:t>
      </w:r>
      <w:r>
        <w:rPr>
          <w:rFonts w:ascii="Times New Roman" w:eastAsia="Times New Roman" w:hAnsi="Times New Roman" w:cs="Times New Roman"/>
          <w:sz w:val="20"/>
          <w:szCs w:val="20"/>
        </w:rPr>
        <w:t>ct, creating compounded advantages for some and disadvantages for others, thereby shaping the landscape of opportunity and inequality in Malaysia.</w:t>
      </w:r>
    </w:p>
    <w:p w14:paraId="296E021F" w14:textId="77777777" w:rsidR="00170137" w:rsidRDefault="00127D14">
      <w:pPr>
        <w:spacing w:before="280" w:after="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POLICY IMPLICATIONS AND RECOMMENDATIONS</w:t>
      </w:r>
    </w:p>
    <w:p w14:paraId="7C541E20" w14:textId="77777777" w:rsidR="00170137" w:rsidRDefault="00127D14">
      <w:pPr>
        <w:spacing w:before="280" w:after="28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significant findings of this study carry important policy implications, signalling inefficiencies in the alignment between Malaysia's education system and its labour market demands. A multi-pronged policy response is required to address these challenges effectively.</w:t>
      </w:r>
    </w:p>
    <w:p w14:paraId="42149AAD" w14:textId="77777777" w:rsidR="00170137" w:rsidRDefault="00127D14">
      <w:pPr>
        <w:spacing w:before="280" w:after="28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First, to reduce the incidence of mismatch at its source, there is a need to enhance job-matching mechanisms and career guidance. Better information flows between employers, educational institutions, and students can help align educational choices with labour market realities and improve the efficiency of the job search process.</w:t>
      </w:r>
    </w:p>
    <w:p w14:paraId="2B7EABCD" w14:textId="77777777" w:rsidR="00170137" w:rsidRDefault="00127D14">
      <w:pPr>
        <w:spacing w:before="280" w:after="28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Second, a continued focus on improving the quality and relevance of education is paramount. The curriculum should be regularly reviewed in consultation with industry stakeholders to ensure graduates possess the technical and soft skills genuinely demanded by employers, thereby closing the competency gap that contributes to skills mismatch.</w:t>
      </w:r>
    </w:p>
    <w:p w14:paraId="35919FDB" w14:textId="77777777" w:rsidR="00170137" w:rsidRDefault="00127D14">
      <w:pPr>
        <w:spacing w:before="280" w:after="28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Third, to support the existing workforce, policies should promote skill recognition and create accessible pathways for lifelong learning. This includes formalising the recognition of skills acquired through non-formal training or experience and incentivising workers and employers to invest in upskilling and reskilling, helping workers adapt to changing job requirements and mitigating the risks of underskilling or skill obsolescence.</w:t>
      </w:r>
    </w:p>
    <w:p w14:paraId="2EAE59DE" w14:textId="77777777" w:rsidR="00170137" w:rsidRDefault="00127D14">
      <w:pPr>
        <w:spacing w:before="280" w:after="28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Finally, targeted interventions against mismatch must be paired with broader efforts to address deep-seated structural inequalities. Tackling the persistent wage gaps affecting women and certain ethnic and regional groups is crucial, as these underlying inequities create a foundation upon which mismatch-related disparities are built and often magnified.</w:t>
      </w:r>
    </w:p>
    <w:p w14:paraId="71BA7429" w14:textId="77777777" w:rsidR="00170137" w:rsidRDefault="00127D14">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LIMITATIONS AND FUTURE RESEARCH</w:t>
      </w:r>
    </w:p>
    <w:p w14:paraId="190732EC" w14:textId="77777777" w:rsidR="00170137" w:rsidRDefault="00127D14">
      <w:pPr>
        <w:spacing w:before="280" w:after="28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Despite these findings, this study has several limitations. First, the cross-sectional nature of the 2019 SWS data prevents us from analysing the dynamic effects of mismatch over time or establishing causality. Second, the measurement of skills mismatch relies on a proxy (education level) rather than a direct assessment of workers' competencies, which may not capture all nuances of skill gaps.</w:t>
      </w:r>
    </w:p>
    <w:p w14:paraId="44393C1C" w14:textId="77777777" w:rsidR="00170137" w:rsidRDefault="00127D14">
      <w:pPr>
        <w:spacing w:before="280" w:after="28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These limitations open avenues for future research. Longitudinal data could be used to track workers' careers, examining whether mismatch is a temporary stepping stone or a long-term trap. Future studies could also incorporate more direct measures of skills to better understand the penalties associated with overskilling and the surprising premiums linked to underskilling found in the UQR analysis. Finally, further research could qualitatively explore the structural factors, such as hiring practices and labo</w:t>
      </w:r>
      <w:r>
        <w:rPr>
          <w:rFonts w:ascii="Times New Roman" w:eastAsia="Times New Roman" w:hAnsi="Times New Roman" w:cs="Times New Roman"/>
          <w:sz w:val="20"/>
          <w:szCs w:val="20"/>
        </w:rPr>
        <w:t>ur market segmentation, that contribute to the persistence of mismatch in the Malaysian economy.</w:t>
      </w:r>
    </w:p>
    <w:p w14:paraId="62C3D6BC" w14:textId="77777777" w:rsidR="00170137" w:rsidRDefault="00170137">
      <w:pPr>
        <w:spacing w:before="280" w:after="280" w:line="240" w:lineRule="auto"/>
        <w:ind w:firstLine="284"/>
        <w:jc w:val="both"/>
        <w:rPr>
          <w:rFonts w:ascii="Times New Roman" w:eastAsia="Times New Roman" w:hAnsi="Times New Roman" w:cs="Times New Roman"/>
          <w:sz w:val="20"/>
          <w:szCs w:val="20"/>
        </w:rPr>
      </w:pPr>
    </w:p>
    <w:p w14:paraId="0E11DEF7" w14:textId="77777777" w:rsidR="00170137" w:rsidRDefault="00127D14">
      <w:pPr>
        <w:spacing w:before="280" w:after="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CONCLUSION</w:t>
      </w:r>
    </w:p>
    <w:p w14:paraId="5EA35616" w14:textId="77777777" w:rsidR="00170137" w:rsidRDefault="00127D14">
      <w:pPr>
        <w:spacing w:before="280" w:after="28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conclusion, this research demonstrates that labour market mismatch is not a peripheral issue but a critical and complex determinant of wage outcomes and inequality in Malaysia. The study makes a significant contribution by moving beyond simple averages to reveal the heterogeneous nature of mismatch penalties and premiums across the entire wage spectrum. It confirms that undereducation acts as a barrier to high-paying jobs, while overeducation often signals a higher level of ability. More importantly, it </w:t>
      </w:r>
      <w:r>
        <w:rPr>
          <w:rFonts w:ascii="Times New Roman" w:eastAsia="Times New Roman" w:hAnsi="Times New Roman" w:cs="Times New Roman"/>
          <w:sz w:val="20"/>
          <w:szCs w:val="20"/>
        </w:rPr>
        <w:t xml:space="preserve">uncovers the paradoxical nature of skills mismatch, where penalties at the individual level can coexist with structural premiums, highlighting the intricate workings of the labour market. To craft effective and equitable economic and social policy, it is essential to understand these varied effects. By embracing a more subtle, distributional perspective, policymakers can better diagnose the challenges and design targeted interventions that foster a more efficient, productive and equitable labour market for </w:t>
      </w:r>
      <w:r>
        <w:rPr>
          <w:rFonts w:ascii="Times New Roman" w:eastAsia="Times New Roman" w:hAnsi="Times New Roman" w:cs="Times New Roman"/>
          <w:sz w:val="20"/>
          <w:szCs w:val="20"/>
        </w:rPr>
        <w:t>all Malaysians.</w:t>
      </w:r>
    </w:p>
    <w:p w14:paraId="3B2A7836" w14:textId="77777777" w:rsidR="00170137" w:rsidRDefault="00127D14">
      <w:pPr>
        <w:spacing w:before="280" w:after="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675290DF" w14:textId="77777777" w:rsidR="00170137" w:rsidRDefault="00127D14">
      <w:pPr>
        <w:numPr>
          <w:ilvl w:val="0"/>
          <w:numId w:val="2"/>
        </w:numPr>
        <w:pBdr>
          <w:top w:val="nil"/>
          <w:left w:val="nil"/>
          <w:bottom w:val="nil"/>
          <w:right w:val="nil"/>
          <w:between w:val="nil"/>
        </w:pBdr>
        <w:spacing w:after="0"/>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J. A. Mincer, </w:t>
      </w:r>
      <w:r>
        <w:rPr>
          <w:rFonts w:ascii="Times New Roman" w:eastAsia="Times New Roman" w:hAnsi="Times New Roman" w:cs="Times New Roman"/>
          <w:i/>
          <w:iCs/>
          <w:color w:val="000000"/>
          <w:sz w:val="20"/>
          <w:szCs w:val="20"/>
        </w:rPr>
        <w:t>Schooling, Experience, and Earnings</w:t>
      </w:r>
      <w:r>
        <w:rPr>
          <w:rFonts w:ascii="Times New Roman" w:eastAsia="Times New Roman" w:hAnsi="Times New Roman" w:cs="Times New Roman"/>
          <w:color w:val="000000"/>
          <w:sz w:val="20"/>
          <w:szCs w:val="20"/>
        </w:rPr>
        <w:t xml:space="preserve"> (National Bureau of Economic Research, New York, 1974).</w:t>
      </w:r>
    </w:p>
    <w:p w14:paraId="658CB25F" w14:textId="77777777" w:rsidR="00170137" w:rsidRDefault="00127D14">
      <w:pPr>
        <w:numPr>
          <w:ilvl w:val="0"/>
          <w:numId w:val="2"/>
        </w:numPr>
        <w:pBdr>
          <w:top w:val="nil"/>
          <w:left w:val="nil"/>
          <w:bottom w:val="nil"/>
          <w:right w:val="nil"/>
          <w:between w:val="nil"/>
        </w:pBdr>
        <w:spacing w:after="0"/>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 S. Becker, </w:t>
      </w:r>
      <w:r>
        <w:rPr>
          <w:rFonts w:ascii="Times New Roman" w:eastAsia="Times New Roman" w:hAnsi="Times New Roman" w:cs="Times New Roman"/>
          <w:i/>
          <w:iCs/>
          <w:color w:val="000000"/>
          <w:sz w:val="20"/>
          <w:szCs w:val="20"/>
        </w:rPr>
        <w:t>Human Capital: A Theoretical and Empirical Analysis, With Special Reference to Education</w:t>
      </w:r>
      <w:r>
        <w:rPr>
          <w:rFonts w:ascii="Times New Roman" w:eastAsia="Times New Roman" w:hAnsi="Times New Roman" w:cs="Times New Roman"/>
          <w:color w:val="000000"/>
          <w:sz w:val="20"/>
          <w:szCs w:val="20"/>
        </w:rPr>
        <w:t>, 3rd ed. (NBER, United States, 1993).</w:t>
      </w:r>
    </w:p>
    <w:p w14:paraId="61A3CDE9" w14:textId="77777777" w:rsidR="00170137" w:rsidRDefault="00127D14">
      <w:pPr>
        <w:numPr>
          <w:ilvl w:val="0"/>
          <w:numId w:val="2"/>
        </w:numPr>
        <w:pBdr>
          <w:top w:val="nil"/>
          <w:left w:val="nil"/>
          <w:bottom w:val="nil"/>
          <w:right w:val="nil"/>
          <w:between w:val="nil"/>
        </w:pBdr>
        <w:spacing w:after="0"/>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J. Hartog, Econ. Educ. Rev. </w:t>
      </w:r>
      <w:r>
        <w:rPr>
          <w:rFonts w:ascii="Times New Roman" w:eastAsia="Times New Roman" w:hAnsi="Times New Roman" w:cs="Times New Roman"/>
          <w:b/>
          <w:bCs/>
          <w:color w:val="000000"/>
          <w:sz w:val="20"/>
          <w:szCs w:val="20"/>
        </w:rPr>
        <w:t>19</w:t>
      </w:r>
      <w:r>
        <w:rPr>
          <w:rFonts w:ascii="Times New Roman" w:eastAsia="Times New Roman" w:hAnsi="Times New Roman" w:cs="Times New Roman"/>
          <w:color w:val="000000"/>
          <w:sz w:val="20"/>
          <w:szCs w:val="20"/>
        </w:rPr>
        <w:t>, 131–147 (2000).</w:t>
      </w:r>
    </w:p>
    <w:p w14:paraId="641F56F5" w14:textId="77777777" w:rsidR="00170137" w:rsidRDefault="00127D14">
      <w:pPr>
        <w:numPr>
          <w:ilvl w:val="0"/>
          <w:numId w:val="2"/>
        </w:numPr>
        <w:pBdr>
          <w:top w:val="nil"/>
          <w:left w:val="nil"/>
          <w:bottom w:val="nil"/>
          <w:right w:val="nil"/>
          <w:between w:val="nil"/>
        </w:pBdr>
        <w:spacing w:after="0"/>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World Bank Group, </w:t>
      </w:r>
      <w:r>
        <w:rPr>
          <w:rFonts w:ascii="Times New Roman" w:eastAsia="Times New Roman" w:hAnsi="Times New Roman" w:cs="Times New Roman"/>
          <w:i/>
          <w:iCs/>
          <w:color w:val="000000"/>
          <w:sz w:val="20"/>
          <w:szCs w:val="20"/>
        </w:rPr>
        <w:t>Aiming High: Navigating the Next Stage of Malaysia's Development</w:t>
      </w:r>
      <w:r>
        <w:rPr>
          <w:rFonts w:ascii="Times New Roman" w:eastAsia="Times New Roman" w:hAnsi="Times New Roman" w:cs="Times New Roman"/>
          <w:color w:val="000000"/>
          <w:sz w:val="20"/>
          <w:szCs w:val="20"/>
        </w:rPr>
        <w:t xml:space="preserve"> (The World Bank, Kuala Lumpur, 2021).</w:t>
      </w:r>
    </w:p>
    <w:p w14:paraId="2157E3C0" w14:textId="77777777" w:rsidR="00170137" w:rsidRDefault="00127D14">
      <w:pPr>
        <w:numPr>
          <w:ilvl w:val="0"/>
          <w:numId w:val="2"/>
        </w:numPr>
        <w:pBdr>
          <w:top w:val="nil"/>
          <w:left w:val="nil"/>
          <w:bottom w:val="nil"/>
          <w:right w:val="nil"/>
          <w:between w:val="nil"/>
        </w:pBdr>
        <w:spacing w:after="0"/>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 Quintini, </w:t>
      </w:r>
      <w:r>
        <w:rPr>
          <w:rFonts w:ascii="Times New Roman" w:eastAsia="Times New Roman" w:hAnsi="Times New Roman" w:cs="Times New Roman"/>
          <w:i/>
          <w:iCs/>
          <w:color w:val="000000"/>
          <w:sz w:val="20"/>
          <w:szCs w:val="20"/>
        </w:rPr>
        <w:t>Over-Qualified or Under-Skilled: A Review of Existing Literature</w:t>
      </w:r>
      <w:r>
        <w:rPr>
          <w:rFonts w:ascii="Times New Roman" w:eastAsia="Times New Roman" w:hAnsi="Times New Roman" w:cs="Times New Roman"/>
          <w:color w:val="000000"/>
          <w:sz w:val="20"/>
          <w:szCs w:val="20"/>
        </w:rPr>
        <w:t>, OECD Social, Employment and Migration Working Papers No. 121 (OECD Publishing, Paris, 2011).</w:t>
      </w:r>
    </w:p>
    <w:p w14:paraId="43C9020F" w14:textId="77777777" w:rsidR="00170137" w:rsidRDefault="00127D14">
      <w:pPr>
        <w:numPr>
          <w:ilvl w:val="0"/>
          <w:numId w:val="2"/>
        </w:numPr>
        <w:pBdr>
          <w:top w:val="nil"/>
          <w:left w:val="nil"/>
          <w:bottom w:val="nil"/>
          <w:right w:val="nil"/>
          <w:between w:val="nil"/>
        </w:pBdr>
        <w:spacing w:after="0"/>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 Koenker and G. Bassett Jr., Econometrica </w:t>
      </w:r>
      <w:r>
        <w:rPr>
          <w:rFonts w:ascii="Times New Roman" w:eastAsia="Times New Roman" w:hAnsi="Times New Roman" w:cs="Times New Roman"/>
          <w:b/>
          <w:bCs/>
          <w:color w:val="000000"/>
          <w:sz w:val="20"/>
          <w:szCs w:val="20"/>
        </w:rPr>
        <w:t>46</w:t>
      </w:r>
      <w:r>
        <w:rPr>
          <w:rFonts w:ascii="Times New Roman" w:eastAsia="Times New Roman" w:hAnsi="Times New Roman" w:cs="Times New Roman"/>
          <w:color w:val="000000"/>
          <w:sz w:val="20"/>
          <w:szCs w:val="20"/>
        </w:rPr>
        <w:t>, 33–50 (1978).</w:t>
      </w:r>
    </w:p>
    <w:p w14:paraId="1160D3F7" w14:textId="77777777" w:rsidR="00170137" w:rsidRDefault="00127D14">
      <w:pPr>
        <w:numPr>
          <w:ilvl w:val="0"/>
          <w:numId w:val="2"/>
        </w:numPr>
        <w:pBdr>
          <w:top w:val="nil"/>
          <w:left w:val="nil"/>
          <w:bottom w:val="nil"/>
          <w:right w:val="nil"/>
          <w:between w:val="nil"/>
        </w:pBdr>
        <w:spacing w:after="0"/>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 Firpo, N. M. Fortin, and T. Lemieux, Econometrica </w:t>
      </w:r>
      <w:r>
        <w:rPr>
          <w:rFonts w:ascii="Times New Roman" w:eastAsia="Times New Roman" w:hAnsi="Times New Roman" w:cs="Times New Roman"/>
          <w:b/>
          <w:bCs/>
          <w:color w:val="000000"/>
          <w:sz w:val="20"/>
          <w:szCs w:val="20"/>
        </w:rPr>
        <w:t>77</w:t>
      </w:r>
      <w:r>
        <w:rPr>
          <w:rFonts w:ascii="Times New Roman" w:eastAsia="Times New Roman" w:hAnsi="Times New Roman" w:cs="Times New Roman"/>
          <w:color w:val="000000"/>
          <w:sz w:val="20"/>
          <w:szCs w:val="20"/>
        </w:rPr>
        <w:t>, 953–973 (2009).</w:t>
      </w:r>
    </w:p>
    <w:p w14:paraId="4AB06E64" w14:textId="77777777" w:rsidR="00170137" w:rsidRDefault="00127D14">
      <w:pPr>
        <w:numPr>
          <w:ilvl w:val="0"/>
          <w:numId w:val="2"/>
        </w:numPr>
        <w:pBdr>
          <w:top w:val="nil"/>
          <w:left w:val="nil"/>
          <w:bottom w:val="nil"/>
          <w:right w:val="nil"/>
          <w:between w:val="nil"/>
        </w:pBdr>
        <w:spacing w:after="0"/>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 E. Yussoff and N. Sulaiman, Int. J. Res. Innov. Soc. Sci. </w:t>
      </w:r>
      <w:r>
        <w:rPr>
          <w:rFonts w:ascii="Times New Roman" w:eastAsia="Times New Roman" w:hAnsi="Times New Roman" w:cs="Times New Roman"/>
          <w:b/>
          <w:bCs/>
          <w:color w:val="000000"/>
          <w:sz w:val="20"/>
          <w:szCs w:val="20"/>
        </w:rPr>
        <w:t>9</w:t>
      </w:r>
      <w:r>
        <w:rPr>
          <w:rFonts w:ascii="Times New Roman" w:eastAsia="Times New Roman" w:hAnsi="Times New Roman" w:cs="Times New Roman"/>
          <w:color w:val="000000"/>
          <w:sz w:val="20"/>
          <w:szCs w:val="20"/>
        </w:rPr>
        <w:t>, 66–79 (2025).</w:t>
      </w:r>
    </w:p>
    <w:p w14:paraId="6D87CCFD" w14:textId="77777777" w:rsidR="00170137" w:rsidRDefault="00127D14">
      <w:pPr>
        <w:numPr>
          <w:ilvl w:val="0"/>
          <w:numId w:val="2"/>
        </w:numPr>
        <w:pBdr>
          <w:top w:val="nil"/>
          <w:left w:val="nil"/>
          <w:bottom w:val="nil"/>
          <w:right w:val="nil"/>
          <w:between w:val="nil"/>
        </w:pBdr>
        <w:spacing w:after="0"/>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Zakariya, J. Ekon. Malays. </w:t>
      </w:r>
      <w:r>
        <w:rPr>
          <w:rFonts w:ascii="Times New Roman" w:eastAsia="Times New Roman" w:hAnsi="Times New Roman" w:cs="Times New Roman"/>
          <w:b/>
          <w:bCs/>
          <w:color w:val="000000"/>
          <w:sz w:val="20"/>
          <w:szCs w:val="20"/>
        </w:rPr>
        <w:t>48</w:t>
      </w:r>
      <w:r>
        <w:rPr>
          <w:rFonts w:ascii="Times New Roman" w:eastAsia="Times New Roman" w:hAnsi="Times New Roman" w:cs="Times New Roman"/>
          <w:color w:val="000000"/>
          <w:sz w:val="20"/>
          <w:szCs w:val="20"/>
        </w:rPr>
        <w:t>, 139–149 (2014).</w:t>
      </w:r>
    </w:p>
    <w:p w14:paraId="0DCFFDE0" w14:textId="77777777" w:rsidR="00170137" w:rsidRDefault="00127D14">
      <w:pPr>
        <w:numPr>
          <w:ilvl w:val="0"/>
          <w:numId w:val="2"/>
        </w:numPr>
        <w:pBdr>
          <w:top w:val="nil"/>
          <w:left w:val="nil"/>
          <w:bottom w:val="nil"/>
          <w:right w:val="nil"/>
          <w:between w:val="nil"/>
        </w:pBdr>
        <w:spacing w:after="0"/>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 Zakariya et al., Int. J. Supply Chain Manag. </w:t>
      </w:r>
      <w:r>
        <w:rPr>
          <w:rFonts w:ascii="Times New Roman" w:eastAsia="Times New Roman" w:hAnsi="Times New Roman" w:cs="Times New Roman"/>
          <w:b/>
          <w:bCs/>
          <w:color w:val="000000"/>
          <w:sz w:val="20"/>
          <w:szCs w:val="20"/>
        </w:rPr>
        <w:t>9</w:t>
      </w:r>
      <w:r>
        <w:rPr>
          <w:rFonts w:ascii="Times New Roman" w:eastAsia="Times New Roman" w:hAnsi="Times New Roman" w:cs="Times New Roman"/>
          <w:color w:val="000000"/>
          <w:sz w:val="20"/>
          <w:szCs w:val="20"/>
        </w:rPr>
        <w:t>, 725–731 (2020).</w:t>
      </w:r>
    </w:p>
    <w:p w14:paraId="7F4B2681" w14:textId="77777777" w:rsidR="00170137" w:rsidRDefault="00127D14">
      <w:pPr>
        <w:numPr>
          <w:ilvl w:val="0"/>
          <w:numId w:val="2"/>
        </w:numPr>
        <w:pBdr>
          <w:top w:val="nil"/>
          <w:left w:val="nil"/>
          <w:bottom w:val="nil"/>
          <w:right w:val="nil"/>
          <w:between w:val="nil"/>
        </w:pBdr>
        <w:spacing w:after="0"/>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 Abdullah, Int. J. Econ. Manag. Stud. </w:t>
      </w:r>
      <w:r>
        <w:rPr>
          <w:rFonts w:ascii="Times New Roman" w:eastAsia="Times New Roman" w:hAnsi="Times New Roman" w:cs="Times New Roman"/>
          <w:b/>
          <w:bCs/>
          <w:color w:val="000000"/>
          <w:sz w:val="20"/>
          <w:szCs w:val="20"/>
        </w:rPr>
        <w:t>6</w:t>
      </w:r>
      <w:r>
        <w:rPr>
          <w:rFonts w:ascii="Times New Roman" w:eastAsia="Times New Roman" w:hAnsi="Times New Roman" w:cs="Times New Roman"/>
          <w:color w:val="000000"/>
          <w:sz w:val="20"/>
          <w:szCs w:val="20"/>
        </w:rPr>
        <w:t>, 100–108 (2019).</w:t>
      </w:r>
    </w:p>
    <w:p w14:paraId="0111228C" w14:textId="77777777" w:rsidR="00170137" w:rsidRDefault="00127D14">
      <w:pPr>
        <w:numPr>
          <w:ilvl w:val="0"/>
          <w:numId w:val="2"/>
        </w:numPr>
        <w:pBdr>
          <w:top w:val="nil"/>
          <w:left w:val="nil"/>
          <w:bottom w:val="nil"/>
          <w:right w:val="nil"/>
          <w:between w:val="nil"/>
        </w:pBdr>
        <w:spacing w:after="0"/>
        <w:ind w:left="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 K. Wye and R. Ismail, Int. Lab. Rev. </w:t>
      </w:r>
      <w:r>
        <w:rPr>
          <w:rFonts w:ascii="Times New Roman" w:eastAsia="Times New Roman" w:hAnsi="Times New Roman" w:cs="Times New Roman"/>
          <w:b/>
          <w:bCs/>
          <w:color w:val="000000"/>
          <w:sz w:val="20"/>
          <w:szCs w:val="20"/>
        </w:rPr>
        <w:t>158</w:t>
      </w:r>
      <w:r>
        <w:rPr>
          <w:rFonts w:ascii="Times New Roman" w:eastAsia="Times New Roman" w:hAnsi="Times New Roman" w:cs="Times New Roman"/>
          <w:color w:val="000000"/>
          <w:sz w:val="20"/>
          <w:szCs w:val="20"/>
        </w:rPr>
        <w:t>, 343–364 (2019).</w:t>
      </w:r>
    </w:p>
    <w:p w14:paraId="0966F5C2" w14:textId="77777777" w:rsidR="00170137" w:rsidRDefault="00170137">
      <w:pPr>
        <w:spacing w:after="0"/>
        <w:ind w:left="426"/>
        <w:jc w:val="both"/>
        <w:rPr>
          <w:rFonts w:ascii="Times New Roman" w:eastAsia="Times New Roman" w:hAnsi="Times New Roman" w:cs="Times New Roman"/>
          <w:sz w:val="20"/>
          <w:szCs w:val="20"/>
        </w:rPr>
      </w:pPr>
    </w:p>
    <w:p w14:paraId="4DEEBCFD" w14:textId="77777777" w:rsidR="00170137" w:rsidRDefault="00170137">
      <w:pPr>
        <w:spacing w:after="0"/>
        <w:jc w:val="both"/>
        <w:rPr>
          <w:rFonts w:ascii="Times New Roman" w:eastAsia="Times New Roman" w:hAnsi="Times New Roman" w:cs="Times New Roman"/>
          <w:sz w:val="20"/>
          <w:szCs w:val="20"/>
        </w:rPr>
      </w:pPr>
    </w:p>
    <w:sectPr w:rsidR="0017013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embedRegular r:id="rId1" w:fontKey="{C4621E3A-4828-4CE7-B5D6-8C035930684D}"/>
    <w:embedItalic r:id="rId2" w:fontKey="{F100FBA4-99DB-4938-BEA9-A284FCB54AAA}"/>
  </w:font>
  <w:font w:name="Play">
    <w:charset w:val="00"/>
    <w:family w:val="auto"/>
    <w:pitch w:val="default"/>
    <w:embedRegular r:id="rId3" w:fontKey="{3632A795-4C9C-4A29-A3FC-A0718C71D7EE}"/>
  </w:font>
  <w:font w:name="Aptos Display">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130A3E47-A0FE-4B88-BDA3-4BA8398A7FB3}"/>
    <w:embedItalic r:id="rId5" w:fontKey="{956D06C0-3023-44DC-B0AB-FF6A46704C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C6EC5"/>
    <w:multiLevelType w:val="multilevel"/>
    <w:tmpl w:val="7624BD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8530AB3"/>
    <w:multiLevelType w:val="multilevel"/>
    <w:tmpl w:val="8782E524"/>
    <w:lvl w:ilvl="0">
      <w:start w:val="1"/>
      <w:numFmt w:val="lowerRoman"/>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668362672">
    <w:abstractNumId w:val="1"/>
  </w:num>
  <w:num w:numId="2" w16cid:durableId="574896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137"/>
    <w:rsid w:val="00127D14"/>
    <w:rsid w:val="00170137"/>
    <w:rsid w:val="00321A8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64FE6"/>
  <w15:docId w15:val="{D8E97A88-A0DF-4ADE-88CC-6FFFDB811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7702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02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02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7702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02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02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702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7702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02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02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02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0267"/>
    <w:rPr>
      <w:rFonts w:eastAsiaTheme="majorEastAsia" w:cstheme="majorBidi"/>
      <w:color w:val="272727" w:themeColor="text1" w:themeTint="D8"/>
    </w:rPr>
  </w:style>
  <w:style w:type="character" w:customStyle="1" w:styleId="TitleChar">
    <w:name w:val="Title Char"/>
    <w:basedOn w:val="DefaultParagraphFont"/>
    <w:link w:val="Title"/>
    <w:uiPriority w:val="10"/>
    <w:rsid w:val="0077026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702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0267"/>
    <w:pPr>
      <w:spacing w:before="160"/>
      <w:jc w:val="center"/>
    </w:pPr>
    <w:rPr>
      <w:i/>
      <w:iCs/>
      <w:color w:val="404040" w:themeColor="text1" w:themeTint="BF"/>
    </w:rPr>
  </w:style>
  <w:style w:type="character" w:customStyle="1" w:styleId="QuoteChar">
    <w:name w:val="Quote Char"/>
    <w:basedOn w:val="DefaultParagraphFont"/>
    <w:link w:val="Quote"/>
    <w:uiPriority w:val="29"/>
    <w:rsid w:val="00770267"/>
    <w:rPr>
      <w:i/>
      <w:iCs/>
      <w:color w:val="404040" w:themeColor="text1" w:themeTint="BF"/>
    </w:rPr>
  </w:style>
  <w:style w:type="paragraph" w:styleId="ListParagraph">
    <w:name w:val="List Paragraph"/>
    <w:basedOn w:val="Normal"/>
    <w:uiPriority w:val="34"/>
    <w:qFormat/>
    <w:rsid w:val="00770267"/>
    <w:pPr>
      <w:ind w:left="720"/>
      <w:contextualSpacing/>
    </w:pPr>
  </w:style>
  <w:style w:type="character" w:styleId="IntenseEmphasis">
    <w:name w:val="Intense Emphasis"/>
    <w:basedOn w:val="DefaultParagraphFont"/>
    <w:uiPriority w:val="21"/>
    <w:qFormat/>
    <w:rsid w:val="00770267"/>
    <w:rPr>
      <w:i/>
      <w:iCs/>
      <w:color w:val="0F4761" w:themeColor="accent1" w:themeShade="BF"/>
    </w:rPr>
  </w:style>
  <w:style w:type="paragraph" w:styleId="IntenseQuote">
    <w:name w:val="Intense Quote"/>
    <w:basedOn w:val="Normal"/>
    <w:next w:val="Normal"/>
    <w:link w:val="IntenseQuoteChar"/>
    <w:uiPriority w:val="30"/>
    <w:qFormat/>
    <w:rsid w:val="007702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0267"/>
    <w:rPr>
      <w:i/>
      <w:iCs/>
      <w:color w:val="0F4761" w:themeColor="accent1" w:themeShade="BF"/>
    </w:rPr>
  </w:style>
  <w:style w:type="character" w:styleId="IntenseReference">
    <w:name w:val="Intense Reference"/>
    <w:basedOn w:val="DefaultParagraphFont"/>
    <w:uiPriority w:val="32"/>
    <w:qFormat/>
    <w:rsid w:val="00770267"/>
    <w:rPr>
      <w:b/>
      <w:bCs/>
      <w:smallCaps/>
      <w:color w:val="0F4761" w:themeColor="accent1" w:themeShade="BF"/>
      <w:spacing w:val="5"/>
    </w:rPr>
  </w:style>
  <w:style w:type="paragraph" w:styleId="NormalWeb">
    <w:name w:val="Normal (Web)"/>
    <w:basedOn w:val="Normal"/>
    <w:uiPriority w:val="99"/>
    <w:semiHidden/>
    <w:unhideWhenUsed/>
    <w:rsid w:val="0077026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770267"/>
    <w:rPr>
      <w:b/>
      <w:bCs/>
    </w:rPr>
  </w:style>
  <w:style w:type="character" w:styleId="Emphasis">
    <w:name w:val="Emphasis"/>
    <w:basedOn w:val="DefaultParagraphFont"/>
    <w:uiPriority w:val="20"/>
    <w:qFormat/>
    <w:rsid w:val="00770267"/>
    <w:rPr>
      <w:i/>
      <w:iCs/>
    </w:rPr>
  </w:style>
  <w:style w:type="character" w:customStyle="1" w:styleId="export-sheets-button">
    <w:name w:val="export-sheets-button"/>
    <w:basedOn w:val="DefaultParagraphFont"/>
    <w:rsid w:val="00770267"/>
  </w:style>
  <w:style w:type="paragraph" w:styleId="Header">
    <w:name w:val="header"/>
    <w:basedOn w:val="Normal"/>
    <w:link w:val="HeaderChar"/>
    <w:uiPriority w:val="99"/>
    <w:unhideWhenUsed/>
    <w:rsid w:val="007702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267"/>
  </w:style>
  <w:style w:type="paragraph" w:styleId="Footer">
    <w:name w:val="footer"/>
    <w:basedOn w:val="Normal"/>
    <w:link w:val="FooterChar"/>
    <w:uiPriority w:val="99"/>
    <w:unhideWhenUsed/>
    <w:rsid w:val="007702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267"/>
  </w:style>
  <w:style w:type="table" w:styleId="TableGrid">
    <w:name w:val="Table Grid"/>
    <w:basedOn w:val="TableNormal"/>
    <w:uiPriority w:val="39"/>
    <w:rsid w:val="004B7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400">
    <w:name w:val="citation-400"/>
    <w:basedOn w:val="DefaultParagraphFont"/>
    <w:rsid w:val="00EC363B"/>
  </w:style>
  <w:style w:type="character" w:customStyle="1" w:styleId="citation-399">
    <w:name w:val="citation-399"/>
    <w:basedOn w:val="DefaultParagraphFont"/>
    <w:rsid w:val="00EC363B"/>
  </w:style>
  <w:style w:type="character" w:customStyle="1" w:styleId="citation-398">
    <w:name w:val="citation-398"/>
    <w:basedOn w:val="DefaultParagraphFont"/>
    <w:rsid w:val="00EC363B"/>
  </w:style>
  <w:style w:type="character" w:customStyle="1" w:styleId="citation-397">
    <w:name w:val="citation-397"/>
    <w:basedOn w:val="DefaultParagraphFont"/>
    <w:rsid w:val="00EC363B"/>
  </w:style>
  <w:style w:type="character" w:styleId="Hyperlink">
    <w:name w:val="Hyperlink"/>
    <w:basedOn w:val="DefaultParagraphFont"/>
    <w:uiPriority w:val="99"/>
    <w:unhideWhenUsed/>
    <w:rsid w:val="003E57A0"/>
    <w:rPr>
      <w:color w:val="467886" w:themeColor="hyperlink"/>
      <w:u w:val="single"/>
    </w:rPr>
  </w:style>
  <w:style w:type="character" w:customStyle="1" w:styleId="UnresolvedMention1">
    <w:name w:val="Unresolved Mention1"/>
    <w:basedOn w:val="DefaultParagraphFont"/>
    <w:uiPriority w:val="99"/>
    <w:semiHidden/>
    <w:unhideWhenUsed/>
    <w:rsid w:val="003E57A0"/>
    <w:rPr>
      <w:color w:val="605E5C"/>
      <w:shd w:val="clear" w:color="auto" w:fill="E1DFDD"/>
    </w:rPr>
  </w:style>
  <w:style w:type="paragraph" w:customStyle="1" w:styleId="11Normal02-SecondOnwardParagraph">
    <w:name w:val="11 Normal02-Second&amp;OnwardParagraph"/>
    <w:qFormat/>
    <w:rsid w:val="00094C94"/>
    <w:pPr>
      <w:spacing w:before="400" w:after="400" w:line="360" w:lineRule="auto"/>
      <w:ind w:firstLine="720"/>
      <w:jc w:val="both"/>
    </w:pPr>
    <w:rPr>
      <w:rFonts w:ascii="Times New Roman" w:eastAsia="MS Mincho" w:hAnsi="Times New Roman" w:cs="Arial"/>
      <w:sz w:val="24"/>
      <w:szCs w:val="24"/>
      <w:lang w:eastAsia="en-US"/>
    </w:rPr>
  </w:style>
  <w:style w:type="character" w:styleId="UnresolvedMention">
    <w:name w:val="Unresolved Mention"/>
    <w:basedOn w:val="DefaultParagraphFont"/>
    <w:uiPriority w:val="99"/>
    <w:semiHidden/>
    <w:unhideWhenUsed/>
    <w:rsid w:val="00A6172C"/>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asiahs@ukm.edu.my"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kElMM78HUVO6x92tlxE4/iyg2g==">CgMxLjA4AHIhMTgxUExXYmRDbGFXYmJ4WDlheWZGX0dRSzJhUU1WZ0lp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3416</Words>
  <Characters>19473</Characters>
  <Application>Microsoft Office Word</Application>
  <DocSecurity>0</DocSecurity>
  <Lines>162</Lines>
  <Paragraphs>45</Paragraphs>
  <ScaleCrop>false</ScaleCrop>
  <Company/>
  <LinksUpToDate>false</LinksUpToDate>
  <CharactersWithSpaces>22844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Ezrine Yussoff</dc:creator>
  <cp:lastModifiedBy>Dr. Nurul Nazihah binti Hawari</cp:lastModifiedBy>
  <cp:revision>2</cp:revision>
  <dcterms:created xsi:type="dcterms:W3CDTF">2026-01-15T14:10:00Z</dcterms:created>
  <dcterms:modified xsi:type="dcterms:W3CDTF">2026-01-15T14:10:00Z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ffdfd15e-0848-4484-b936-18dd10972afe</vt:lpwstr>
  </property>
</Properties>
</file>