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10B02D8" w:rsidR="0016385D" w:rsidRDefault="008D1428" w:rsidP="008D1428">
      <w:pPr>
        <w:pStyle w:val="PaperTitle"/>
        <w:spacing w:before="0"/>
      </w:pPr>
      <w:r w:rsidRPr="008D1428">
        <w:t xml:space="preserve">Analyzing Queuing System </w:t>
      </w:r>
      <w:r w:rsidR="00CF3BFE">
        <w:t>a</w:t>
      </w:r>
      <w:r w:rsidRPr="008D1428">
        <w:t>t Petrol Station Using Discrete Event Simulation Technique</w:t>
      </w:r>
      <w:r w:rsidR="00BE5FD1" w:rsidRPr="002B5648">
        <w:t xml:space="preserve"> </w:t>
      </w:r>
    </w:p>
    <w:p w14:paraId="3D347D91" w14:textId="77777777" w:rsidR="000324F8" w:rsidRPr="000F45FC" w:rsidRDefault="000324F8" w:rsidP="000324F8">
      <w:pPr>
        <w:pStyle w:val="AuthorName"/>
        <w:rPr>
          <w:sz w:val="20"/>
          <w:lang w:eastAsia="en-GB"/>
        </w:rPr>
      </w:pPr>
      <w:r>
        <w:t>Jafri Zulkepli</w:t>
      </w:r>
      <w:r w:rsidRPr="2F830975">
        <w:rPr>
          <w:vertAlign w:val="superscript"/>
        </w:rPr>
        <w:t>1, a)</w:t>
      </w:r>
      <w:r>
        <w:t xml:space="preserve"> and Mohd Amirul Syahmi Nasran</w:t>
      </w:r>
      <w:r>
        <w:rPr>
          <w:vertAlign w:val="superscript"/>
        </w:rPr>
        <w:t>1</w:t>
      </w:r>
      <w:r w:rsidRPr="2F830975">
        <w:rPr>
          <w:vertAlign w:val="superscript"/>
        </w:rPr>
        <w:t>, b)</w:t>
      </w:r>
    </w:p>
    <w:p w14:paraId="21C1F86C" w14:textId="21D25851" w:rsidR="000324F8" w:rsidRPr="00075EA6" w:rsidRDefault="000324F8" w:rsidP="00E02297">
      <w:pPr>
        <w:pStyle w:val="AuthorEmail"/>
      </w:pPr>
      <w:r w:rsidRPr="00E02297">
        <w:rPr>
          <w:i/>
          <w:iCs/>
          <w:vertAlign w:val="superscript"/>
        </w:rPr>
        <w:t>1</w:t>
      </w:r>
      <w:r w:rsidRPr="00E02297">
        <w:rPr>
          <w:i/>
        </w:rPr>
        <w:t>School of Quantitative Sciences, Universiti Utara Malaysia</w:t>
      </w:r>
      <w:r w:rsidR="00E02297">
        <w:rPr>
          <w:i/>
        </w:rPr>
        <w:t>,</w:t>
      </w:r>
      <w:r w:rsidRPr="00E02297">
        <w:rPr>
          <w:i/>
        </w:rPr>
        <w:t xml:space="preserve"> </w:t>
      </w:r>
      <w:r w:rsidR="00E02297">
        <w:rPr>
          <w:i/>
        </w:rPr>
        <w:t>Kedah, Malaysia.</w:t>
      </w:r>
      <w:r w:rsidRPr="00E02297">
        <w:rPr>
          <w:i/>
        </w:rPr>
        <w:br/>
      </w:r>
      <w:r w:rsidRPr="00075EA6">
        <w:br/>
      </w:r>
      <w:r w:rsidRPr="00E02297">
        <w:rPr>
          <w:vertAlign w:val="superscript"/>
        </w:rPr>
        <w:t>a)</w:t>
      </w:r>
      <w:r w:rsidRPr="00E02297">
        <w:t>Corresponding author: zhjafri@uum.edu.my</w:t>
      </w:r>
      <w:r w:rsidRPr="00E02297">
        <w:br/>
      </w:r>
      <w:r w:rsidRPr="00E02297">
        <w:rPr>
          <w:vertAlign w:val="superscript"/>
        </w:rPr>
        <w:t>b)</w:t>
      </w:r>
      <w:r w:rsidRPr="00E02297">
        <w:t>amirulsyahmi1151@gmail.com</w:t>
      </w:r>
      <w:r w:rsidRPr="00614245">
        <w:br/>
      </w:r>
    </w:p>
    <w:p w14:paraId="22C3F2A8" w14:textId="40DF6852" w:rsidR="0016385D" w:rsidRPr="00075EA6" w:rsidRDefault="0016385D" w:rsidP="00C14B14">
      <w:pPr>
        <w:pStyle w:val="Abstract"/>
      </w:pPr>
      <w:r w:rsidRPr="00075EA6">
        <w:rPr>
          <w:b/>
          <w:bCs/>
        </w:rPr>
        <w:t>Abstract.</w:t>
      </w:r>
      <w:r w:rsidRPr="00075EA6">
        <w:t xml:space="preserve"> </w:t>
      </w:r>
      <w:r w:rsidR="008D1428" w:rsidRPr="008D1428">
        <w:t>This study analyzes the queuing system at a petrol station using discrete event simulation (DES) to identify operational bottlenecks and propose improvements. Data was collected through direct observation and customer arrival logs over a one-week period, focusing on key metrics such as waiting times and pump utilization. The simulation model, developed using Arena Software, was validated against observed data. Results show that reallocating pump resources can significantly reduce waiting times for diesel customers without adversely affecting petrol customers, thereby improving overall service efficiency. The findings provide actionable insights for optimizing queue management in petrol stations and similar service environments.</w:t>
      </w:r>
    </w:p>
    <w:p w14:paraId="5240E3FB" w14:textId="59C993F1" w:rsidR="003A287B" w:rsidRPr="00075EA6" w:rsidRDefault="00B05133" w:rsidP="00003D7C">
      <w:pPr>
        <w:pStyle w:val="Heading1"/>
        <w:rPr>
          <w:b w:val="0"/>
          <w:caps w:val="0"/>
          <w:sz w:val="20"/>
        </w:rPr>
      </w:pPr>
      <w:r>
        <w:t>INTRODUCTION</w:t>
      </w:r>
    </w:p>
    <w:p w14:paraId="455E1FFB" w14:textId="2CC9162B" w:rsidR="00B05133" w:rsidRDefault="00B05133" w:rsidP="00FC4502">
      <w:pPr>
        <w:pStyle w:val="Paragraph"/>
      </w:pPr>
      <w:r w:rsidRPr="00B05133">
        <w:t>Queueing systems are an integral component of service operations, particularly in industries where demand fluctuates throughout the day.</w:t>
      </w:r>
      <w:r w:rsidR="00FC4502" w:rsidRPr="00FC4502">
        <w:t xml:space="preserve"> </w:t>
      </w:r>
      <w:r w:rsidR="00FC4502">
        <w:t>Previous studies have explored the use of simulation modelling, particularly using discrete event simulation technique, to analyze and optimize queuing systems</w:t>
      </w:r>
      <w:r w:rsidR="00A97D68">
        <w:t xml:space="preserve"> [1]</w:t>
      </w:r>
      <w:r w:rsidR="00FC4502">
        <w:t>. Queuing systems are critical in managing service efficiency and enhancing customer satisfaction across various industries, including petrol stations.</w:t>
      </w:r>
      <w:r w:rsidRPr="00B05133">
        <w:t xml:space="preserve"> Petrol stations serve as critical infrastructure for daily transportation needs, and their efficiency directly impacts customer satisfaction. Long waiting times and bottlenecks during peak hours can frustrate customers and decrease operational efficiency. Analyzing these queueing systems provides valuable insights for managing resources and improving service delivery.</w:t>
      </w:r>
      <w:r w:rsidR="00FC4502">
        <w:t xml:space="preserve"> </w:t>
      </w:r>
      <w:r>
        <w:t xml:space="preserve">Petrol stations play a pivotal role in ensuring the smooth operation of transportation systems. Despite their significance, many stations encounter challenges in managing customer queues effectively. The inability to add or modify petrol pumps necessitates an analysis of the existing queueing system to identify bottlenecks and improve service efficiency. Understanding arrival and service patterns, peak hour dynamics, and resource allocation can offer practical solutions for enhancing queue management and customer experience. </w:t>
      </w:r>
    </w:p>
    <w:p w14:paraId="4ACD7455" w14:textId="29930E0D" w:rsidR="00B05133" w:rsidRDefault="00B05133" w:rsidP="00F55FBD">
      <w:pPr>
        <w:pStyle w:val="Paragraph"/>
      </w:pPr>
      <w:r>
        <w:t>Petrol stations face persistent challenges in managing queues, particularly during peak hours. Common issues include long waiting times, uneven service distribution among fuel pumps, and customer dissatisfaction stemming from delays or perceived unfairness. These challenges are often exacerbated during high-demand periods, such as mornings, evenings, weekends, public holidays, or events like fuel price adjustments. These situations lead to congestion and operational bottlenecks.</w:t>
      </w:r>
      <w:r w:rsidR="001A4638">
        <w:t xml:space="preserve"> </w:t>
      </w:r>
      <w:r>
        <w:t xml:space="preserve">Currently, queuing at petrol stations is often managed manually, with attendants directing vehicles or observing queues to make decisions. This approach lacks standardization and can lead to inefficiencies, such as unorganized queue formations, misallocation of staff, and insufficient communication with customers. The impact of these issues is significant. Customers often face stress and dissatisfaction due to prolonged waiting times, which may lead to a decline in loyalty and trust in the service provided. </w:t>
      </w:r>
    </w:p>
    <w:p w14:paraId="35C0159C" w14:textId="46B6267E" w:rsidR="00B05133" w:rsidRDefault="002549AE" w:rsidP="00FC4502">
      <w:pPr>
        <w:pStyle w:val="Paragraph"/>
      </w:pPr>
      <w:r w:rsidRPr="002549AE">
        <w:t>This study aims to address the research questions through the following objectives</w:t>
      </w:r>
      <w:r>
        <w:t xml:space="preserve">, i.e., </w:t>
      </w:r>
      <w:r w:rsidR="00AE49D0">
        <w:t>(i)</w:t>
      </w:r>
      <w:r>
        <w:t xml:space="preserve">. to develop a Discrete Event Simulation (DES) model of petrol station; </w:t>
      </w:r>
      <w:r w:rsidR="00AE49D0">
        <w:t>(ii)</w:t>
      </w:r>
      <w:r>
        <w:t xml:space="preserve">. to analyze the queuing system and identify operational bottlenecks; </w:t>
      </w:r>
      <w:r w:rsidR="00AE49D0">
        <w:t>(iii)</w:t>
      </w:r>
      <w:r>
        <w:t xml:space="preserve">. To propose improvements for the queuing system. This study focuses on analyzing the queuing system at the petrol station. The analysis encompasses key metrics such as customer waiting times, time spent at the pump, and pump utilization to identify inefficiencies and propose improvements. </w:t>
      </w:r>
    </w:p>
    <w:p w14:paraId="7F144FFA" w14:textId="6B6BE0A5" w:rsidR="002549AE" w:rsidRPr="00075EA6" w:rsidRDefault="002549AE" w:rsidP="002549AE">
      <w:pPr>
        <w:pStyle w:val="Heading1"/>
        <w:rPr>
          <w:b w:val="0"/>
          <w:caps w:val="0"/>
          <w:sz w:val="20"/>
        </w:rPr>
      </w:pPr>
      <w:r>
        <w:t>LITERATURE REVIEW</w:t>
      </w:r>
    </w:p>
    <w:p w14:paraId="0CFECF9D" w14:textId="09B1036B" w:rsidR="002549AE" w:rsidRDefault="002549AE" w:rsidP="001A4638">
      <w:pPr>
        <w:pStyle w:val="Paragraph"/>
      </w:pPr>
      <w:r>
        <w:t xml:space="preserve">Queuing theory is a mathematical approach to the study of waiting lines. It examines customer arrival patterns, service mechanisms, and the behavior of queues to optimize system performance. This theory is widely applied in </w:t>
      </w:r>
      <w:r>
        <w:lastRenderedPageBreak/>
        <w:t>various industries, such as transportation</w:t>
      </w:r>
      <w:r w:rsidR="009C3C63">
        <w:t xml:space="preserve"> </w:t>
      </w:r>
      <w:r w:rsidR="007D72A5">
        <w:t>[2]</w:t>
      </w:r>
      <w:r>
        <w:t>, healthcare</w:t>
      </w:r>
      <w:r w:rsidR="007D72A5">
        <w:t xml:space="preserve"> [3]</w:t>
      </w:r>
      <w:r>
        <w:t>, retail</w:t>
      </w:r>
      <w:r w:rsidR="007D72A5">
        <w:t xml:space="preserve"> [4]</w:t>
      </w:r>
      <w:r w:rsidR="003735E6">
        <w:t xml:space="preserve"> as well as in petrol station [5],</w:t>
      </w:r>
      <w:r>
        <w:t xml:space="preserve"> to minimize waiting times and maximize resource utilization </w:t>
      </w:r>
      <w:r w:rsidR="00A97D68">
        <w:t>[</w:t>
      </w:r>
      <w:r w:rsidR="003735E6">
        <w:t>6</w:t>
      </w:r>
      <w:r w:rsidR="00A97D68">
        <w:t>]</w:t>
      </w:r>
      <w:r>
        <w:t>.</w:t>
      </w:r>
      <w:r w:rsidR="001A4638">
        <w:t xml:space="preserve"> </w:t>
      </w:r>
      <w:r>
        <w:t xml:space="preserve">According to </w:t>
      </w:r>
      <w:r w:rsidR="00A97D68">
        <w:t>[1]</w:t>
      </w:r>
      <w:r>
        <w:t xml:space="preserve">, a queuing system typically consists of three components which are; 1) Input Process – customer arrival patterns, often modeled as a Poisson process; </w:t>
      </w:r>
      <w:r w:rsidR="00B4534F">
        <w:t xml:space="preserve">2) </w:t>
      </w:r>
      <w:r>
        <w:t>Queue Configuration: Single or multiple queues with specified capacities</w:t>
      </w:r>
      <w:r w:rsidR="00B4534F">
        <w:t xml:space="preserve">.; </w:t>
      </w:r>
      <w:r>
        <w:t>3</w:t>
      </w:r>
      <w:r w:rsidR="00B4534F">
        <w:t xml:space="preserve">) </w:t>
      </w:r>
      <w:r>
        <w:t>Service Mechanism: Service times, often modeled using exponential distributions.</w:t>
      </w:r>
      <w:r w:rsidR="00B4534F">
        <w:t xml:space="preserve"> </w:t>
      </w:r>
      <w:r>
        <w:t xml:space="preserve">The principles of queuing theory provide a foundation for analyzing and improving operational efficiency in service-based systems, including petrol stations. </w:t>
      </w:r>
    </w:p>
    <w:p w14:paraId="5ABA13F3" w14:textId="5F71E5FF" w:rsidR="00B4534F" w:rsidRDefault="00B4534F" w:rsidP="001A4638">
      <w:pPr>
        <w:pStyle w:val="Paragraph"/>
      </w:pPr>
      <w:r>
        <w:t xml:space="preserve">Queuing issues are a prevalent challenge across various industries, often stemming from imbalances between service capacity and customer demand. </w:t>
      </w:r>
      <w:r w:rsidRPr="00B4534F">
        <w:t>Petrol stations frequently experience queuing problems, particularly during peak hours when customer demand exceeds service capacity. One of the primary challenges is the limited availability of fuel pumps relative to the number of arriving vehicles. This constraint often leads to long waiting times, especially when customer arrivals occur in quick succession. Additionally, inefficient payment processes, such as delays associated with cash transactions, contribute further to service inefficiencies. Variations in customer behavior also play a significant role in creating bottlenecks, as some customers combine refueling with other activities, such as visiting the convenience store. These combined factors often lead to reduced customer satisfaction and suboptimal pump utilization</w:t>
      </w:r>
      <w:r w:rsidR="00A97D68">
        <w:t xml:space="preserve"> </w:t>
      </w:r>
      <w:r w:rsidR="00AE49D0">
        <w:t>(</w:t>
      </w:r>
      <w:r w:rsidR="00A97D68">
        <w:t>[</w:t>
      </w:r>
      <w:r w:rsidR="003735E6">
        <w:t>6</w:t>
      </w:r>
      <w:r w:rsidR="00A97D68">
        <w:t>]</w:t>
      </w:r>
      <w:r w:rsidR="00AE49D0">
        <w:t>;</w:t>
      </w:r>
      <w:r w:rsidR="00A97D68">
        <w:t xml:space="preserve"> [</w:t>
      </w:r>
      <w:r w:rsidR="003735E6">
        <w:t>7</w:t>
      </w:r>
      <w:r w:rsidR="00A97D68">
        <w:t>]</w:t>
      </w:r>
      <w:r w:rsidR="00AE49D0">
        <w:t>)</w:t>
      </w:r>
      <w:r w:rsidRPr="00B4534F">
        <w:t xml:space="preserve">. </w:t>
      </w:r>
    </w:p>
    <w:p w14:paraId="22BD2830" w14:textId="74CE5CDE" w:rsidR="00B4534F" w:rsidRDefault="00B4534F" w:rsidP="00B4534F">
      <w:pPr>
        <w:pStyle w:val="Paragraph"/>
      </w:pPr>
      <w:r>
        <w:t xml:space="preserve">Various techniques have been utilized to address queuing problems across different applications, each tailored to specific contexts and objectives. </w:t>
      </w:r>
      <w:r w:rsidR="0096538E">
        <w:t xml:space="preserve">Mahrooqi and Ali </w:t>
      </w:r>
      <w:r w:rsidR="007D72A5">
        <w:t>[7]</w:t>
      </w:r>
      <w:r w:rsidR="00710035">
        <w:t xml:space="preserve"> use an AI to predict total time need based on the vehicle size</w:t>
      </w:r>
      <w:r w:rsidR="00710035" w:rsidRPr="00710035">
        <w:t>.</w:t>
      </w:r>
      <w:r>
        <w:t xml:space="preserve"> </w:t>
      </w:r>
      <w:r w:rsidR="00F926B8">
        <w:t xml:space="preserve">Zulkepli et al., </w:t>
      </w:r>
      <w:r w:rsidR="00A97D68">
        <w:t>[1]</w:t>
      </w:r>
      <w:r w:rsidR="00710035">
        <w:t xml:space="preserve"> use discrete event simulation </w:t>
      </w:r>
      <w:r>
        <w:t>(DES) to replicate real-world systems in a controlled environment. This approach enables the testing of potential improvement strategies without disrupting actual operations, as discussed by</w:t>
      </w:r>
      <w:r w:rsidR="00A97D68">
        <w:t xml:space="preserve"> [</w:t>
      </w:r>
      <w:r w:rsidR="003735E6">
        <w:t>7</w:t>
      </w:r>
      <w:r w:rsidR="00A97D68">
        <w:t>]</w:t>
      </w:r>
      <w:r>
        <w:t>.</w:t>
      </w:r>
    </w:p>
    <w:p w14:paraId="3784C6F7" w14:textId="3FA65732" w:rsidR="00B4534F" w:rsidRPr="00075EA6" w:rsidRDefault="00B4534F" w:rsidP="00B4534F">
      <w:pPr>
        <w:pStyle w:val="Heading1"/>
        <w:rPr>
          <w:b w:val="0"/>
          <w:caps w:val="0"/>
          <w:sz w:val="20"/>
        </w:rPr>
      </w:pPr>
      <w:r>
        <w:t>methodology</w:t>
      </w:r>
    </w:p>
    <w:p w14:paraId="25E30ED8" w14:textId="5DA98AC6" w:rsidR="00B4534F" w:rsidRDefault="001A4638" w:rsidP="00012115">
      <w:pPr>
        <w:pStyle w:val="Paragraph"/>
      </w:pPr>
      <w:r>
        <w:t xml:space="preserve">Discrete Event Simulation (DES) is widely regarded as a powerful tool for analyzing and optimizing queuing systems due to its numerous advantages. One of its primary strengths lies in its ability to replicate real-world systems with high accuracy, enabling detailed performance analysis. </w:t>
      </w:r>
      <w:r w:rsidR="00D53054">
        <w:t xml:space="preserve">Amalina et. al., </w:t>
      </w:r>
      <w:r w:rsidR="00A97D68">
        <w:t>[</w:t>
      </w:r>
      <w:r w:rsidR="00431C11">
        <w:t>6</w:t>
      </w:r>
      <w:r w:rsidR="00A97D68">
        <w:t>]</w:t>
      </w:r>
      <w:r>
        <w:t xml:space="preserve"> emphasize that this realistic modeling capability allows researchers to gain a deeper understanding of system behavior under various conditions. Another significant benefit of DES is its capacity for scenario testing. Different operational scenarios can be simulated and evaluated without disrupting actual operations, making it both a safe and cost-effective approach</w:t>
      </w:r>
      <w:r w:rsidR="00A97D68">
        <w:t xml:space="preserve"> [</w:t>
      </w:r>
      <w:r w:rsidR="003735E6">
        <w:t>7</w:t>
      </w:r>
      <w:r w:rsidR="00A97D68">
        <w:t>]</w:t>
      </w:r>
      <w:r>
        <w:t>.</w:t>
      </w:r>
      <w:r w:rsidR="00012115">
        <w:t xml:space="preserve"> </w:t>
      </w:r>
      <w:r w:rsidR="00AF1B11" w:rsidRPr="00AF1B11">
        <w:t>The research design begins with identifying the problem, which involves understanding the existing challenges and defining the key issues to be addressed. In this study, the focus is on analyzing the queuing system at petrol stations, particularly problems such as long waiting times, uneven utilization of pumps, and bottlenecks during peak hours.</w:t>
      </w:r>
      <w:r w:rsidR="00AF1B11">
        <w:t xml:space="preserve"> </w:t>
      </w:r>
    </w:p>
    <w:p w14:paraId="1BB574CA" w14:textId="1B4E2DA5" w:rsidR="00AF1B11" w:rsidRDefault="00AF1B11" w:rsidP="00B4534F">
      <w:pPr>
        <w:pStyle w:val="Paragraph"/>
      </w:pPr>
    </w:p>
    <w:p w14:paraId="2139D8A0" w14:textId="1D92CF0E" w:rsidR="00AF1B11" w:rsidRDefault="00AF1B11" w:rsidP="00BB4266">
      <w:pPr>
        <w:pStyle w:val="Paragraph"/>
        <w:jc w:val="center"/>
        <w:rPr>
          <w:rStyle w:val="Heading2Char"/>
        </w:rPr>
      </w:pPr>
      <w:r>
        <w:rPr>
          <w:rStyle w:val="Heading2Char"/>
        </w:rPr>
        <w:t>Data Collection</w:t>
      </w:r>
    </w:p>
    <w:p w14:paraId="241E0555" w14:textId="77777777" w:rsidR="00E02297" w:rsidRDefault="00E02297" w:rsidP="00BB4266">
      <w:pPr>
        <w:pStyle w:val="Paragraph"/>
        <w:jc w:val="center"/>
      </w:pPr>
    </w:p>
    <w:p w14:paraId="4F478A62" w14:textId="492478DA" w:rsidR="00AF1B11" w:rsidRDefault="00AF1B11" w:rsidP="000D1419">
      <w:pPr>
        <w:pStyle w:val="Paragraph"/>
      </w:pPr>
      <w:r w:rsidRPr="00AF1B11">
        <w:t xml:space="preserve">To ensure the accuracy and reliability of the analysis, data was collected from </w:t>
      </w:r>
      <w:r w:rsidR="00B44991">
        <w:t xml:space="preserve">one of the </w:t>
      </w:r>
      <w:r w:rsidRPr="00AF1B11">
        <w:t xml:space="preserve">petrol </w:t>
      </w:r>
      <w:r w:rsidR="00064CAC" w:rsidRPr="00AF1B11">
        <w:t>stations</w:t>
      </w:r>
      <w:r w:rsidR="00B44991">
        <w:t xml:space="preserve"> in Changlun, Kedah, Malaysia,</w:t>
      </w:r>
      <w:r w:rsidRPr="00AF1B11">
        <w:t xml:space="preserve"> over a </w:t>
      </w:r>
      <w:r w:rsidR="007D5170">
        <w:t>seven</w:t>
      </w:r>
      <w:r w:rsidRPr="00AF1B11">
        <w:t xml:space="preserve">-day period, specifically from </w:t>
      </w:r>
      <w:r w:rsidR="007D5170">
        <w:t xml:space="preserve">Monday </w:t>
      </w:r>
      <w:r w:rsidRPr="00AF1B11">
        <w:t>to Sunday</w:t>
      </w:r>
      <w:r w:rsidR="007D5170">
        <w:t xml:space="preserve"> with specific time frame to represent each day and time</w:t>
      </w:r>
      <w:r w:rsidRPr="00AF1B11">
        <w:t xml:space="preserve">. Conducting the data collection over </w:t>
      </w:r>
      <w:r w:rsidR="007D5170">
        <w:t xml:space="preserve">seven </w:t>
      </w:r>
      <w:r w:rsidRPr="00AF1B11">
        <w:t>days allowed for the inclusion of both weekday and weekend patterns, which are essential for obtaining a comprehensive understanding of customer behavior. Additionally, collecting data across multiple days provided a larger dataset, enabling more accurate and reliable results when analyzing trends and developing the simulation model.</w:t>
      </w:r>
      <w:r>
        <w:t xml:space="preserve"> The data includes key variables relevant to the queuing system, such as</w:t>
      </w:r>
      <w:r w:rsidR="000D1419">
        <w:t xml:space="preserve"> pump usage, time spent in petrol station (in minutes), interarrival time (in minutes) and arrival times (in minutes). </w:t>
      </w:r>
      <w:r>
        <w:t xml:space="preserve">The data was collected through direct observation and manual recording during the specified hours. By observing operations over </w:t>
      </w:r>
      <w:r w:rsidR="007D5170">
        <w:t xml:space="preserve">seven </w:t>
      </w:r>
      <w:r>
        <w:t>consecutive days, patterns in queuing behaviors and system performance could be identified with greater accuracy. This robust dataset serves as the foundation for developing the Discrete Event Simulation (DES) model and conducting subsequent analyses to identify bottlenecks and propose improvements to the queuing system.</w:t>
      </w:r>
    </w:p>
    <w:p w14:paraId="135EDEBF" w14:textId="25D554FD" w:rsidR="00AF1B11" w:rsidRDefault="00AF1B11" w:rsidP="00AF1B11">
      <w:pPr>
        <w:pStyle w:val="Heading2"/>
      </w:pPr>
      <w:bookmarkStart w:id="0" w:name="_Hlk185687249"/>
      <w:r w:rsidRPr="00481068">
        <w:t>Conceptual Model Development</w:t>
      </w:r>
      <w:bookmarkEnd w:id="0"/>
    </w:p>
    <w:p w14:paraId="042A414F" w14:textId="7AABB0E9" w:rsidR="00F55FBD" w:rsidRPr="00F55FBD" w:rsidRDefault="00F55FBD" w:rsidP="00F55FBD">
      <w:pPr>
        <w:pStyle w:val="Paragraph"/>
      </w:pPr>
      <w:r>
        <w:t xml:space="preserve">The conceptual model for this study represents the customer flow within the petrol station, incorporating the sequence of events and decision-making processes observed during data collection. This model serves as a framework for the DES, ensuring that all relevant aspects of the queuing system are accurately replicated. Figure 1 depicts the conceptual model of customer arrival up to leaving the station. In the model, the customer flow begins with the arrival of customers at the petrol station. Customers arrive randomly, following interarrival times observed during data </w:t>
      </w:r>
      <w:r>
        <w:lastRenderedPageBreak/>
        <w:t xml:space="preserve">collection. This step initiates the queuing process and determines the sequence of events that follow. Upon arrival, customers decide which pump to use based on their fuel type requirements. Customers requiring petrol are directed to </w:t>
      </w:r>
      <w:r w:rsidRPr="00B44991">
        <w:t>directed to one of out of these 8 pumps</w:t>
      </w:r>
      <w:r>
        <w:t>, while those needing diesel are directed to pumps 9 or 10.</w:t>
      </w:r>
    </w:p>
    <w:p w14:paraId="1D72BC42" w14:textId="343DFCB5" w:rsidR="00A040BA" w:rsidRDefault="00B44991" w:rsidP="00A040BA">
      <w:pPr>
        <w:pStyle w:val="Paragraph"/>
        <w:keepNext/>
        <w:jc w:val="center"/>
      </w:pPr>
      <w:r>
        <w:rPr>
          <w:noProof/>
        </w:rPr>
        <w:drawing>
          <wp:inline distT="0" distB="0" distL="0" distR="0" wp14:anchorId="491470D6" wp14:editId="1C12E25E">
            <wp:extent cx="3745383" cy="11696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ng"/>
                    <pic:cNvPicPr/>
                  </pic:nvPicPr>
                  <pic:blipFill>
                    <a:blip r:embed="rId9">
                      <a:extLst>
                        <a:ext uri="{28A0092B-C50C-407E-A947-70E740481C1C}">
                          <a14:useLocalDpi xmlns:a14="http://schemas.microsoft.com/office/drawing/2010/main" val="0"/>
                        </a:ext>
                      </a:extLst>
                    </a:blip>
                    <a:stretch>
                      <a:fillRect/>
                    </a:stretch>
                  </pic:blipFill>
                  <pic:spPr>
                    <a:xfrm>
                      <a:off x="0" y="0"/>
                      <a:ext cx="4027759" cy="1257855"/>
                    </a:xfrm>
                    <a:prstGeom prst="rect">
                      <a:avLst/>
                    </a:prstGeom>
                  </pic:spPr>
                </pic:pic>
              </a:graphicData>
            </a:graphic>
          </wp:inline>
        </w:drawing>
      </w:r>
    </w:p>
    <w:p w14:paraId="55ACFC2D" w14:textId="3EF39858" w:rsidR="00A040BA" w:rsidRDefault="00A040BA" w:rsidP="00A040BA">
      <w:pPr>
        <w:pStyle w:val="Caption"/>
        <w:spacing w:after="0"/>
        <w:jc w:val="center"/>
        <w:rPr>
          <w:i w:val="0"/>
          <w:iCs w:val="0"/>
          <w:color w:val="auto"/>
        </w:rPr>
      </w:pPr>
      <w:r w:rsidRPr="00317A6E">
        <w:rPr>
          <w:b/>
          <w:bCs/>
          <w:i w:val="0"/>
          <w:iCs w:val="0"/>
          <w:color w:val="auto"/>
        </w:rPr>
        <w:t xml:space="preserve">FIGURE  </w:t>
      </w:r>
      <w:r w:rsidRPr="00317A6E">
        <w:rPr>
          <w:b/>
          <w:bCs/>
          <w:i w:val="0"/>
          <w:iCs w:val="0"/>
          <w:color w:val="auto"/>
        </w:rPr>
        <w:fldChar w:fldCharType="begin"/>
      </w:r>
      <w:r w:rsidRPr="00317A6E">
        <w:rPr>
          <w:b/>
          <w:bCs/>
          <w:i w:val="0"/>
          <w:iCs w:val="0"/>
          <w:color w:val="auto"/>
        </w:rPr>
        <w:instrText xml:space="preserve"> SEQ FIGURE_ \* ARABIC </w:instrText>
      </w:r>
      <w:r w:rsidRPr="00317A6E">
        <w:rPr>
          <w:b/>
          <w:bCs/>
          <w:i w:val="0"/>
          <w:iCs w:val="0"/>
          <w:color w:val="auto"/>
        </w:rPr>
        <w:fldChar w:fldCharType="separate"/>
      </w:r>
      <w:r w:rsidR="00A32DBE">
        <w:rPr>
          <w:b/>
          <w:bCs/>
          <w:i w:val="0"/>
          <w:iCs w:val="0"/>
          <w:noProof/>
          <w:color w:val="auto"/>
        </w:rPr>
        <w:t>1</w:t>
      </w:r>
      <w:r w:rsidRPr="00317A6E">
        <w:rPr>
          <w:b/>
          <w:bCs/>
          <w:i w:val="0"/>
          <w:iCs w:val="0"/>
          <w:color w:val="auto"/>
        </w:rPr>
        <w:fldChar w:fldCharType="end"/>
      </w:r>
      <w:r w:rsidRPr="00317A6E">
        <w:rPr>
          <w:b/>
          <w:bCs/>
          <w:i w:val="0"/>
          <w:iCs w:val="0"/>
          <w:color w:val="auto"/>
        </w:rPr>
        <w:t xml:space="preserve">. </w:t>
      </w:r>
      <w:r w:rsidRPr="00317A6E">
        <w:rPr>
          <w:i w:val="0"/>
          <w:iCs w:val="0"/>
          <w:color w:val="auto"/>
        </w:rPr>
        <w:t>Conceptual Model Development</w:t>
      </w:r>
    </w:p>
    <w:p w14:paraId="71E15C68" w14:textId="148EA2AA" w:rsidR="00A5780E" w:rsidRDefault="00303EDF" w:rsidP="00A040BA">
      <w:pPr>
        <w:pStyle w:val="Heading2"/>
      </w:pPr>
      <w:r w:rsidRPr="00303EDF">
        <w:t>Physical Model Development</w:t>
      </w:r>
    </w:p>
    <w:p w14:paraId="3F0301C4" w14:textId="2B3C54F7" w:rsidR="00F55FBD" w:rsidRDefault="00F55FBD" w:rsidP="00F55FBD">
      <w:pPr>
        <w:pStyle w:val="Paragraph"/>
      </w:pPr>
      <w:r>
        <w:t>The simulation begins with customer arrivals, where entities representing vehicles are created based on the interarrival times collected during data observation. Upon entering the system, each vehicle is classified as either a car or a truck, depending on its type. This distinction is critical, as it influences the assignment of fuel type and the allocation of pumps. This allocation process ensures that the simulation accurately reflects real-world operations. Each pump station is modeled as a separate service area where vehicles queue and proceed to refuel. The refueling process is governed by service times observed during data collection, ensuring that the model captures variations in fueling durations for different vehicle types. Once refueling is complete, vehicles leave the petrol station, freeing up the pumps for the next arrivals. The model also incorporates parking slots at each pump to account for spatial constraints and queuing dynamics. This physical model serves as the foundation for experimentation and scenario testing in the subsequent stages of the study, enabling the evaluation of potential solutions and their impact on system performance.</w:t>
      </w:r>
    </w:p>
    <w:p w14:paraId="449460F8" w14:textId="77777777" w:rsidR="00F55FBD" w:rsidRPr="00F55FBD" w:rsidRDefault="00F55FBD" w:rsidP="00F55FBD">
      <w:pPr>
        <w:pStyle w:val="Paragraph"/>
      </w:pPr>
    </w:p>
    <w:p w14:paraId="761DF1DA" w14:textId="77777777" w:rsidR="00F22145" w:rsidRDefault="00F22145" w:rsidP="00F22145">
      <w:pPr>
        <w:pStyle w:val="Caption"/>
        <w:spacing w:after="0"/>
        <w:jc w:val="center"/>
        <w:rPr>
          <w:b/>
          <w:bCs/>
          <w:i w:val="0"/>
          <w:iCs w:val="0"/>
          <w:color w:val="auto"/>
        </w:rPr>
      </w:pPr>
      <w:r>
        <w:rPr>
          <w:noProof/>
        </w:rPr>
        <w:drawing>
          <wp:inline distT="0" distB="0" distL="0" distR="0" wp14:anchorId="65B31EC5" wp14:editId="66BE0DA2">
            <wp:extent cx="5698541" cy="4165161"/>
            <wp:effectExtent l="0" t="0" r="0" b="6985"/>
            <wp:docPr id="70269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96690" name=""/>
                    <pic:cNvPicPr/>
                  </pic:nvPicPr>
                  <pic:blipFill>
                    <a:blip r:embed="rId10"/>
                    <a:stretch>
                      <a:fillRect/>
                    </a:stretch>
                  </pic:blipFill>
                  <pic:spPr>
                    <a:xfrm>
                      <a:off x="0" y="0"/>
                      <a:ext cx="5900616" cy="4312861"/>
                    </a:xfrm>
                    <a:prstGeom prst="rect">
                      <a:avLst/>
                    </a:prstGeom>
                  </pic:spPr>
                </pic:pic>
              </a:graphicData>
            </a:graphic>
          </wp:inline>
        </w:drawing>
      </w:r>
    </w:p>
    <w:p w14:paraId="75D41EEB" w14:textId="68A95503" w:rsidR="00F22145" w:rsidRPr="00317A6E" w:rsidRDefault="00F22145" w:rsidP="00F22145">
      <w:pPr>
        <w:pStyle w:val="Caption"/>
        <w:jc w:val="center"/>
        <w:rPr>
          <w:i w:val="0"/>
          <w:iCs w:val="0"/>
          <w:color w:val="auto"/>
        </w:rPr>
      </w:pPr>
      <w:r w:rsidRPr="00317A6E">
        <w:rPr>
          <w:b/>
          <w:bCs/>
          <w:i w:val="0"/>
          <w:iCs w:val="0"/>
          <w:color w:val="auto"/>
        </w:rPr>
        <w:t xml:space="preserve">FIGURE  </w:t>
      </w:r>
      <w:r w:rsidRPr="00317A6E">
        <w:rPr>
          <w:b/>
          <w:bCs/>
          <w:i w:val="0"/>
          <w:iCs w:val="0"/>
          <w:color w:val="auto"/>
        </w:rPr>
        <w:fldChar w:fldCharType="begin"/>
      </w:r>
      <w:r w:rsidRPr="00317A6E">
        <w:rPr>
          <w:b/>
          <w:bCs/>
          <w:i w:val="0"/>
          <w:iCs w:val="0"/>
          <w:color w:val="auto"/>
        </w:rPr>
        <w:instrText xml:space="preserve"> SEQ FIGURE_ \* ARABIC </w:instrText>
      </w:r>
      <w:r w:rsidRPr="00317A6E">
        <w:rPr>
          <w:b/>
          <w:bCs/>
          <w:i w:val="0"/>
          <w:iCs w:val="0"/>
          <w:color w:val="auto"/>
        </w:rPr>
        <w:fldChar w:fldCharType="separate"/>
      </w:r>
      <w:r w:rsidR="00A32DBE">
        <w:rPr>
          <w:b/>
          <w:bCs/>
          <w:i w:val="0"/>
          <w:iCs w:val="0"/>
          <w:noProof/>
          <w:color w:val="auto"/>
        </w:rPr>
        <w:t>2</w:t>
      </w:r>
      <w:r w:rsidRPr="00317A6E">
        <w:rPr>
          <w:b/>
          <w:bCs/>
          <w:i w:val="0"/>
          <w:iCs w:val="0"/>
          <w:color w:val="auto"/>
        </w:rPr>
        <w:fldChar w:fldCharType="end"/>
      </w:r>
      <w:r w:rsidRPr="00317A6E">
        <w:rPr>
          <w:b/>
          <w:bCs/>
          <w:i w:val="0"/>
          <w:iCs w:val="0"/>
          <w:color w:val="auto"/>
        </w:rPr>
        <w:t>.</w:t>
      </w:r>
      <w:r w:rsidRPr="00317A6E">
        <w:rPr>
          <w:i w:val="0"/>
          <w:iCs w:val="0"/>
          <w:color w:val="auto"/>
        </w:rPr>
        <w:t xml:space="preserve"> Phy</w:t>
      </w:r>
      <w:r>
        <w:rPr>
          <w:i w:val="0"/>
          <w:iCs w:val="0"/>
          <w:color w:val="auto"/>
        </w:rPr>
        <w:t>s</w:t>
      </w:r>
      <w:r w:rsidRPr="00317A6E">
        <w:rPr>
          <w:i w:val="0"/>
          <w:iCs w:val="0"/>
          <w:color w:val="auto"/>
        </w:rPr>
        <w:t>ical Model</w:t>
      </w:r>
    </w:p>
    <w:p w14:paraId="212CA682" w14:textId="23D7BA91" w:rsidR="00E105B9" w:rsidRDefault="00A76E0A" w:rsidP="00303EDF">
      <w:pPr>
        <w:pStyle w:val="Paragraph"/>
        <w:rPr>
          <w:lang w:eastAsia="en-MY"/>
        </w:rPr>
      </w:pPr>
      <w:r w:rsidRPr="00A76E0A">
        <w:rPr>
          <w:lang w:eastAsia="en-MY"/>
        </w:rPr>
        <w:lastRenderedPageBreak/>
        <w:t>T</w:t>
      </w:r>
      <w:r w:rsidR="00E105B9">
        <w:rPr>
          <w:lang w:eastAsia="en-MY"/>
        </w:rPr>
        <w:t>able 1</w:t>
      </w:r>
      <w:r w:rsidRPr="00A76E0A">
        <w:rPr>
          <w:lang w:eastAsia="en-MY"/>
        </w:rPr>
        <w:t xml:space="preserve"> presents the probability distributions of the</w:t>
      </w:r>
      <w:r w:rsidR="00FA0BD1">
        <w:rPr>
          <w:lang w:eastAsia="en-MY"/>
        </w:rPr>
        <w:t xml:space="preserve"> interarrival rate</w:t>
      </w:r>
      <w:r w:rsidRPr="00A76E0A">
        <w:rPr>
          <w:lang w:eastAsia="en-MY"/>
        </w:rPr>
        <w:t xml:space="preserve"> and service times for each pump in a petrol station, derived using the Input Analyzer in ARENA software. The </w:t>
      </w:r>
      <w:r w:rsidR="00FA0BD1">
        <w:rPr>
          <w:lang w:eastAsia="en-MY"/>
        </w:rPr>
        <w:t>interarrival rate</w:t>
      </w:r>
      <w:r w:rsidRPr="00A76E0A">
        <w:rPr>
          <w:lang w:eastAsia="en-MY"/>
        </w:rPr>
        <w:t xml:space="preserve"> follows a scaled Beta distribution, reflecting variability in customer interarrival times. Each pump is modeled with a different distribution type, such as Beta, Lognormal, Uniform, and Erlang, indicating that service patterns vary across pumps. </w:t>
      </w:r>
      <w:r w:rsidR="00CF311F">
        <w:t>Key assumptions for the model includes that all pumps remain operational throughout the observation period and customers always proceed directly to the pumps and leave immediately after refueling, besides that refueling time encompasses all related activities, including payment.</w:t>
      </w:r>
    </w:p>
    <w:p w14:paraId="578CAF00" w14:textId="77777777" w:rsidR="00317A6E" w:rsidRDefault="00317A6E" w:rsidP="00303EDF">
      <w:pPr>
        <w:pStyle w:val="Paragraph"/>
        <w:rPr>
          <w:lang w:eastAsia="en-MY"/>
        </w:rPr>
      </w:pPr>
    </w:p>
    <w:p w14:paraId="683BD890" w14:textId="0459A0AE" w:rsidR="00317A6E" w:rsidRPr="00317A6E" w:rsidRDefault="00317A6E" w:rsidP="00317A6E">
      <w:pPr>
        <w:pStyle w:val="Caption"/>
        <w:keepNext/>
        <w:spacing w:after="0"/>
        <w:jc w:val="center"/>
        <w:rPr>
          <w:i w:val="0"/>
          <w:iCs w:val="0"/>
          <w:color w:val="auto"/>
        </w:rPr>
      </w:pPr>
      <w:r w:rsidRPr="00317A6E">
        <w:rPr>
          <w:b/>
          <w:bCs/>
          <w:i w:val="0"/>
          <w:iCs w:val="0"/>
          <w:color w:val="auto"/>
        </w:rPr>
        <w:t xml:space="preserve">Table </w:t>
      </w:r>
      <w:r w:rsidRPr="00317A6E">
        <w:rPr>
          <w:b/>
          <w:bCs/>
          <w:i w:val="0"/>
          <w:iCs w:val="0"/>
          <w:color w:val="auto"/>
        </w:rPr>
        <w:fldChar w:fldCharType="begin"/>
      </w:r>
      <w:r w:rsidRPr="00317A6E">
        <w:rPr>
          <w:b/>
          <w:bCs/>
          <w:i w:val="0"/>
          <w:iCs w:val="0"/>
          <w:color w:val="auto"/>
        </w:rPr>
        <w:instrText xml:space="preserve"> SEQ Table_ \* ARABIC </w:instrText>
      </w:r>
      <w:r w:rsidRPr="00317A6E">
        <w:rPr>
          <w:b/>
          <w:bCs/>
          <w:i w:val="0"/>
          <w:iCs w:val="0"/>
          <w:color w:val="auto"/>
        </w:rPr>
        <w:fldChar w:fldCharType="separate"/>
      </w:r>
      <w:r w:rsidR="00A32DBE">
        <w:rPr>
          <w:b/>
          <w:bCs/>
          <w:i w:val="0"/>
          <w:iCs w:val="0"/>
          <w:noProof/>
          <w:color w:val="auto"/>
        </w:rPr>
        <w:t>1</w:t>
      </w:r>
      <w:r w:rsidRPr="00317A6E">
        <w:rPr>
          <w:b/>
          <w:bCs/>
          <w:i w:val="0"/>
          <w:iCs w:val="0"/>
          <w:color w:val="auto"/>
        </w:rPr>
        <w:fldChar w:fldCharType="end"/>
      </w:r>
      <w:r w:rsidRPr="00317A6E">
        <w:rPr>
          <w:b/>
          <w:bCs/>
          <w:i w:val="0"/>
          <w:iCs w:val="0"/>
          <w:color w:val="auto"/>
        </w:rPr>
        <w:t>.</w:t>
      </w:r>
      <w:r w:rsidRPr="00317A6E">
        <w:rPr>
          <w:i w:val="0"/>
          <w:iCs w:val="0"/>
          <w:color w:val="auto"/>
        </w:rPr>
        <w:t xml:space="preserve"> Fitting Distribution </w:t>
      </w:r>
      <w:r w:rsidRPr="00317A6E">
        <w:rPr>
          <w:i w:val="0"/>
          <w:iCs w:val="0"/>
          <w:noProof/>
          <w:color w:val="auto"/>
        </w:rPr>
        <w:t>for each Pump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430"/>
      </w:tblGrid>
      <w:tr w:rsidR="00E105B9" w:rsidRPr="00A5780E" w14:paraId="3C4F97AE" w14:textId="77777777" w:rsidTr="00BB4266">
        <w:trPr>
          <w:jc w:val="center"/>
        </w:trPr>
        <w:tc>
          <w:tcPr>
            <w:tcW w:w="1345" w:type="dxa"/>
            <w:tcBorders>
              <w:top w:val="single" w:sz="4" w:space="0" w:color="auto"/>
              <w:bottom w:val="single" w:sz="4" w:space="0" w:color="auto"/>
            </w:tcBorders>
          </w:tcPr>
          <w:p w14:paraId="2ADF840B" w14:textId="5C284A51" w:rsidR="00E105B9" w:rsidRPr="00A5780E" w:rsidRDefault="00E105B9" w:rsidP="00E105B9">
            <w:pPr>
              <w:pStyle w:val="Paragraph"/>
              <w:ind w:firstLine="0"/>
              <w:jc w:val="center"/>
              <w:rPr>
                <w:rFonts w:asciiTheme="majorBidi" w:hAnsiTheme="majorBidi" w:cstheme="majorBidi"/>
                <w:b/>
                <w:bCs/>
                <w:sz w:val="18"/>
                <w:szCs w:val="18"/>
                <w:lang w:eastAsia="en-MY"/>
              </w:rPr>
            </w:pPr>
            <w:r w:rsidRPr="00A5780E">
              <w:rPr>
                <w:rFonts w:asciiTheme="majorBidi" w:hAnsiTheme="majorBidi" w:cstheme="majorBidi"/>
                <w:b/>
                <w:bCs/>
                <w:sz w:val="18"/>
                <w:szCs w:val="18"/>
                <w:lang w:eastAsia="en-MY"/>
              </w:rPr>
              <w:t>Variable</w:t>
            </w:r>
          </w:p>
        </w:tc>
        <w:tc>
          <w:tcPr>
            <w:tcW w:w="3430" w:type="dxa"/>
            <w:tcBorders>
              <w:top w:val="single" w:sz="4" w:space="0" w:color="auto"/>
              <w:bottom w:val="single" w:sz="4" w:space="0" w:color="auto"/>
            </w:tcBorders>
          </w:tcPr>
          <w:p w14:paraId="5BD9599C" w14:textId="4384E3E9" w:rsidR="00E105B9" w:rsidRPr="00A5780E" w:rsidRDefault="00E105B9" w:rsidP="00E105B9">
            <w:pPr>
              <w:pStyle w:val="Paragraph"/>
              <w:ind w:firstLine="0"/>
              <w:jc w:val="center"/>
              <w:rPr>
                <w:rFonts w:asciiTheme="majorBidi" w:hAnsiTheme="majorBidi" w:cstheme="majorBidi"/>
                <w:b/>
                <w:bCs/>
                <w:sz w:val="18"/>
                <w:szCs w:val="18"/>
                <w:lang w:eastAsia="en-MY"/>
              </w:rPr>
            </w:pPr>
            <w:r w:rsidRPr="00A5780E">
              <w:rPr>
                <w:rFonts w:asciiTheme="majorBidi" w:hAnsiTheme="majorBidi" w:cstheme="majorBidi"/>
                <w:b/>
                <w:bCs/>
                <w:sz w:val="18"/>
                <w:szCs w:val="18"/>
                <w:lang w:eastAsia="en-MY"/>
              </w:rPr>
              <w:t>Parameter</w:t>
            </w:r>
          </w:p>
        </w:tc>
      </w:tr>
      <w:tr w:rsidR="00E105B9" w:rsidRPr="00A5780E" w14:paraId="69287027" w14:textId="77777777" w:rsidTr="00BB4266">
        <w:trPr>
          <w:jc w:val="center"/>
        </w:trPr>
        <w:tc>
          <w:tcPr>
            <w:tcW w:w="1345" w:type="dxa"/>
            <w:tcBorders>
              <w:top w:val="single" w:sz="4" w:space="0" w:color="auto"/>
            </w:tcBorders>
          </w:tcPr>
          <w:p w14:paraId="5B98F44B" w14:textId="1DAD8279"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Arrival</w:t>
            </w:r>
          </w:p>
        </w:tc>
        <w:tc>
          <w:tcPr>
            <w:tcW w:w="3430" w:type="dxa"/>
            <w:tcBorders>
              <w:top w:val="single" w:sz="4" w:space="0" w:color="auto"/>
            </w:tcBorders>
          </w:tcPr>
          <w:p w14:paraId="15E0B911" w14:textId="223AB738" w:rsidR="00E105B9" w:rsidRPr="00A5780E" w:rsidRDefault="00E105B9"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3.5*BETA(1.13, 2.74)</m:t>
                </m:r>
              </m:oMath>
            </m:oMathPara>
          </w:p>
        </w:tc>
      </w:tr>
      <w:tr w:rsidR="00E105B9" w:rsidRPr="00A5780E" w14:paraId="32DC2EB2" w14:textId="77777777" w:rsidTr="00BB4266">
        <w:trPr>
          <w:jc w:val="center"/>
        </w:trPr>
        <w:tc>
          <w:tcPr>
            <w:tcW w:w="1345" w:type="dxa"/>
          </w:tcPr>
          <w:p w14:paraId="4F638419" w14:textId="221DE9AB"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1</w:t>
            </w:r>
          </w:p>
        </w:tc>
        <w:tc>
          <w:tcPr>
            <w:tcW w:w="3430" w:type="dxa"/>
          </w:tcPr>
          <w:p w14:paraId="37CF9D8E" w14:textId="7F6AA09C" w:rsidR="00E105B9" w:rsidRPr="00A5780E" w:rsidRDefault="00E105B9"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1.09+7.91*BETA(0.913,0.894)</m:t>
                </m:r>
              </m:oMath>
            </m:oMathPara>
          </w:p>
        </w:tc>
      </w:tr>
      <w:tr w:rsidR="00E105B9" w:rsidRPr="00A5780E" w14:paraId="2574134A" w14:textId="77777777" w:rsidTr="00BB4266">
        <w:trPr>
          <w:jc w:val="center"/>
        </w:trPr>
        <w:tc>
          <w:tcPr>
            <w:tcW w:w="1345" w:type="dxa"/>
          </w:tcPr>
          <w:p w14:paraId="43F841E6" w14:textId="0F7FC09F"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2</w:t>
            </w:r>
          </w:p>
        </w:tc>
        <w:tc>
          <w:tcPr>
            <w:tcW w:w="3430" w:type="dxa"/>
          </w:tcPr>
          <w:p w14:paraId="2604E93A" w14:textId="2A684B54" w:rsidR="00E105B9" w:rsidRPr="00A5780E" w:rsidRDefault="00D837F3"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1+LogN(3.28, 2.23)</m:t>
                </m:r>
              </m:oMath>
            </m:oMathPara>
          </w:p>
        </w:tc>
      </w:tr>
      <w:tr w:rsidR="00E105B9" w:rsidRPr="00A5780E" w14:paraId="540B85C5" w14:textId="77777777" w:rsidTr="00BB4266">
        <w:trPr>
          <w:jc w:val="center"/>
        </w:trPr>
        <w:tc>
          <w:tcPr>
            <w:tcW w:w="1345" w:type="dxa"/>
          </w:tcPr>
          <w:p w14:paraId="7114C0B7" w14:textId="1433FD15"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3</w:t>
            </w:r>
          </w:p>
        </w:tc>
        <w:tc>
          <w:tcPr>
            <w:tcW w:w="3430" w:type="dxa"/>
          </w:tcPr>
          <w:p w14:paraId="44322D95" w14:textId="37D4003B" w:rsidR="00E105B9" w:rsidRPr="00A5780E" w:rsidRDefault="00D837F3"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Uniform(1.35, 8.97)</m:t>
                </m:r>
              </m:oMath>
            </m:oMathPara>
          </w:p>
        </w:tc>
      </w:tr>
      <w:tr w:rsidR="00E105B9" w:rsidRPr="00A5780E" w14:paraId="257B9B34" w14:textId="77777777" w:rsidTr="00BB4266">
        <w:trPr>
          <w:jc w:val="center"/>
        </w:trPr>
        <w:tc>
          <w:tcPr>
            <w:tcW w:w="1345" w:type="dxa"/>
          </w:tcPr>
          <w:p w14:paraId="5917ABD5" w14:textId="5DC33A49"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4</w:t>
            </w:r>
          </w:p>
        </w:tc>
        <w:tc>
          <w:tcPr>
            <w:tcW w:w="3430" w:type="dxa"/>
          </w:tcPr>
          <w:p w14:paraId="7C27FF57" w14:textId="5F176C40" w:rsidR="00E105B9" w:rsidRPr="00A5780E" w:rsidRDefault="005F7D3F"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1+8*Beta(1.26, 1.22)</m:t>
                </m:r>
              </m:oMath>
            </m:oMathPara>
          </w:p>
        </w:tc>
      </w:tr>
      <w:tr w:rsidR="00E105B9" w:rsidRPr="00A5780E" w14:paraId="4C28B3FE" w14:textId="77777777" w:rsidTr="00BB4266">
        <w:trPr>
          <w:jc w:val="center"/>
        </w:trPr>
        <w:tc>
          <w:tcPr>
            <w:tcW w:w="1345" w:type="dxa"/>
          </w:tcPr>
          <w:p w14:paraId="11FDD144" w14:textId="6B538414"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5</w:t>
            </w:r>
          </w:p>
        </w:tc>
        <w:tc>
          <w:tcPr>
            <w:tcW w:w="3430" w:type="dxa"/>
          </w:tcPr>
          <w:p w14:paraId="5151DA18" w14:textId="6D4E9EC7" w:rsidR="00E105B9" w:rsidRPr="00A5780E" w:rsidRDefault="005F7D3F"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1+7*Beta (0.622, 0.897)</m:t>
                </m:r>
              </m:oMath>
            </m:oMathPara>
          </w:p>
        </w:tc>
      </w:tr>
      <w:tr w:rsidR="00E105B9" w:rsidRPr="00A5780E" w14:paraId="10CDB42B" w14:textId="77777777" w:rsidTr="00BB4266">
        <w:trPr>
          <w:jc w:val="center"/>
        </w:trPr>
        <w:tc>
          <w:tcPr>
            <w:tcW w:w="1345" w:type="dxa"/>
          </w:tcPr>
          <w:p w14:paraId="508DF8FB" w14:textId="3ED13808"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6</w:t>
            </w:r>
          </w:p>
        </w:tc>
        <w:tc>
          <w:tcPr>
            <w:tcW w:w="3430" w:type="dxa"/>
          </w:tcPr>
          <w:p w14:paraId="719589A0" w14:textId="54A05CDD" w:rsidR="00E105B9" w:rsidRPr="00A5780E" w:rsidRDefault="005F7D3F"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Uniform (1, 9)</m:t>
                </m:r>
              </m:oMath>
            </m:oMathPara>
          </w:p>
        </w:tc>
      </w:tr>
      <w:tr w:rsidR="00E105B9" w:rsidRPr="00A5780E" w14:paraId="7B09BDCE" w14:textId="77777777" w:rsidTr="00BB4266">
        <w:trPr>
          <w:jc w:val="center"/>
        </w:trPr>
        <w:tc>
          <w:tcPr>
            <w:tcW w:w="1345" w:type="dxa"/>
          </w:tcPr>
          <w:p w14:paraId="3E857E9B" w14:textId="1A3D2417"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7</w:t>
            </w:r>
          </w:p>
        </w:tc>
        <w:tc>
          <w:tcPr>
            <w:tcW w:w="3430" w:type="dxa"/>
          </w:tcPr>
          <w:p w14:paraId="2256E7DD" w14:textId="4AB51CB3" w:rsidR="00E105B9" w:rsidRPr="00A5780E" w:rsidRDefault="005F7D3F"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1+7.66*Beta (1.32, 1.45)</m:t>
                </m:r>
              </m:oMath>
            </m:oMathPara>
          </w:p>
        </w:tc>
      </w:tr>
      <w:tr w:rsidR="00E105B9" w:rsidRPr="00A5780E" w14:paraId="6AEB0907" w14:textId="77777777" w:rsidTr="00BB4266">
        <w:trPr>
          <w:jc w:val="center"/>
        </w:trPr>
        <w:tc>
          <w:tcPr>
            <w:tcW w:w="1345" w:type="dxa"/>
          </w:tcPr>
          <w:p w14:paraId="04C1F3C3" w14:textId="5F7389CC"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8</w:t>
            </w:r>
          </w:p>
        </w:tc>
        <w:tc>
          <w:tcPr>
            <w:tcW w:w="3430" w:type="dxa"/>
          </w:tcPr>
          <w:p w14:paraId="1FB12BD3" w14:textId="5478BD56" w:rsidR="00E105B9" w:rsidRPr="00A5780E" w:rsidRDefault="005F7D3F"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2+6.64*Beta (1.21, 1.12)</m:t>
                </m:r>
              </m:oMath>
            </m:oMathPara>
          </w:p>
        </w:tc>
      </w:tr>
      <w:tr w:rsidR="00E105B9" w:rsidRPr="00A5780E" w14:paraId="6E1D2FC5" w14:textId="77777777" w:rsidTr="00BB4266">
        <w:trPr>
          <w:jc w:val="center"/>
        </w:trPr>
        <w:tc>
          <w:tcPr>
            <w:tcW w:w="1345" w:type="dxa"/>
          </w:tcPr>
          <w:p w14:paraId="7850AD41" w14:textId="7693D6D6" w:rsidR="00E105B9" w:rsidRPr="00A5780E" w:rsidRDefault="00E105B9"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9</w:t>
            </w:r>
          </w:p>
        </w:tc>
        <w:tc>
          <w:tcPr>
            <w:tcW w:w="3430" w:type="dxa"/>
          </w:tcPr>
          <w:p w14:paraId="4A13A13B" w14:textId="2A50CB1B" w:rsidR="00E105B9" w:rsidRPr="00A5780E" w:rsidRDefault="005F7D3F"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10+Erlang(0.889, 3)</m:t>
                </m:r>
              </m:oMath>
            </m:oMathPara>
          </w:p>
        </w:tc>
      </w:tr>
      <w:tr w:rsidR="005F7D3F" w:rsidRPr="00A5780E" w14:paraId="21E76E76" w14:textId="77777777" w:rsidTr="00BB4266">
        <w:trPr>
          <w:jc w:val="center"/>
        </w:trPr>
        <w:tc>
          <w:tcPr>
            <w:tcW w:w="1345" w:type="dxa"/>
            <w:tcBorders>
              <w:bottom w:val="single" w:sz="4" w:space="0" w:color="auto"/>
            </w:tcBorders>
          </w:tcPr>
          <w:p w14:paraId="6582B9CA" w14:textId="4611523C" w:rsidR="005F7D3F" w:rsidRPr="00A5780E" w:rsidRDefault="005F7D3F" w:rsidP="00E105B9">
            <w:pPr>
              <w:pStyle w:val="Paragraph"/>
              <w:ind w:firstLine="0"/>
              <w:jc w:val="center"/>
              <w:rPr>
                <w:rFonts w:asciiTheme="majorBidi" w:hAnsiTheme="majorBidi" w:cstheme="majorBidi"/>
                <w:sz w:val="18"/>
                <w:szCs w:val="18"/>
                <w:lang w:eastAsia="en-MY"/>
              </w:rPr>
            </w:pPr>
            <w:r w:rsidRPr="00A5780E">
              <w:rPr>
                <w:rFonts w:asciiTheme="majorBidi" w:hAnsiTheme="majorBidi" w:cstheme="majorBidi"/>
                <w:sz w:val="18"/>
                <w:szCs w:val="18"/>
                <w:lang w:eastAsia="en-MY"/>
              </w:rPr>
              <w:t>Pump 10</w:t>
            </w:r>
          </w:p>
        </w:tc>
        <w:tc>
          <w:tcPr>
            <w:tcW w:w="3430" w:type="dxa"/>
            <w:tcBorders>
              <w:bottom w:val="single" w:sz="4" w:space="0" w:color="auto"/>
            </w:tcBorders>
          </w:tcPr>
          <w:p w14:paraId="631E7124" w14:textId="1788CE07" w:rsidR="005F7D3F" w:rsidRPr="00A5780E" w:rsidRDefault="005F7D3F" w:rsidP="00E105B9">
            <w:pPr>
              <w:pStyle w:val="Paragraph"/>
              <w:ind w:firstLine="0"/>
              <w:jc w:val="center"/>
              <w:rPr>
                <w:rFonts w:asciiTheme="majorBidi" w:hAnsiTheme="majorBidi" w:cstheme="majorBidi"/>
                <w:sz w:val="18"/>
                <w:szCs w:val="18"/>
                <w:lang w:eastAsia="en-MY"/>
              </w:rPr>
            </w:pPr>
            <m:oMathPara>
              <m:oMath>
                <m:r>
                  <w:rPr>
                    <w:rFonts w:ascii="Cambria Math" w:hAnsi="Cambria Math" w:cstheme="majorBidi"/>
                    <w:sz w:val="18"/>
                    <w:szCs w:val="18"/>
                    <w:lang w:eastAsia="en-MY"/>
                  </w:rPr>
                  <m:t>10+LogN(3.06, 2.7)</m:t>
                </m:r>
              </m:oMath>
            </m:oMathPara>
          </w:p>
        </w:tc>
      </w:tr>
    </w:tbl>
    <w:p w14:paraId="1A468F41" w14:textId="1111646A" w:rsidR="001D5714" w:rsidRDefault="002F2742" w:rsidP="001D5714">
      <w:pPr>
        <w:pStyle w:val="Heading1"/>
        <w:rPr>
          <w:b w:val="0"/>
          <w:caps w:val="0"/>
          <w:sz w:val="20"/>
        </w:rPr>
      </w:pPr>
      <w:r>
        <w:t>analysis and RECOMMENDATION</w:t>
      </w:r>
    </w:p>
    <w:p w14:paraId="5696712F" w14:textId="4E730B76" w:rsidR="002F2742" w:rsidRDefault="002F2742" w:rsidP="002F2742">
      <w:pPr>
        <w:pStyle w:val="Heading2"/>
      </w:pPr>
      <w:r>
        <w:t xml:space="preserve">Base Case Result </w:t>
      </w:r>
    </w:p>
    <w:p w14:paraId="4E612D03" w14:textId="77777777" w:rsidR="006C3555" w:rsidRDefault="006C3555" w:rsidP="006C3555">
      <w:pPr>
        <w:pStyle w:val="Paragraph"/>
      </w:pPr>
      <w:r>
        <w:t>Table 2 provide insights into the average waiting times experienced by customers at each pump, differentiated between petrol and diesel services, for the base case scenario. Among the petrol pumps, the waiting times vary significantly, with the shortest average waiting time recorded at Pump 7 (0.33 minutes) and the longest at Pump 5 (4.5 minutes). Pumps 1, 2, 6, and 8 all maintain relatively low waiting times, ranging between 0.87 and 1.39 minutes, which indicates more efficient service at these stations. The average waiting time for all petrol pumps combined is approximately 1.92 minutes, reflecting a generally manageable queuing experience.</w:t>
      </w:r>
    </w:p>
    <w:p w14:paraId="2E8B9498" w14:textId="77777777" w:rsidR="006C3555" w:rsidRPr="006C3555" w:rsidRDefault="006C3555" w:rsidP="006C3555">
      <w:pPr>
        <w:pStyle w:val="Paragraph"/>
      </w:pPr>
    </w:p>
    <w:p w14:paraId="4DB2E613" w14:textId="737BF6E1" w:rsidR="00064CAC" w:rsidRPr="00317A6E" w:rsidRDefault="00064CAC" w:rsidP="00064CAC">
      <w:pPr>
        <w:pStyle w:val="Caption"/>
        <w:keepNext/>
        <w:spacing w:after="0"/>
        <w:jc w:val="center"/>
        <w:rPr>
          <w:i w:val="0"/>
          <w:iCs w:val="0"/>
          <w:color w:val="auto"/>
        </w:rPr>
      </w:pPr>
      <w:r w:rsidRPr="00317A6E">
        <w:rPr>
          <w:b/>
          <w:bCs/>
          <w:i w:val="0"/>
          <w:iCs w:val="0"/>
          <w:color w:val="auto"/>
        </w:rPr>
        <w:t xml:space="preserve">Table </w:t>
      </w:r>
      <w:r w:rsidRPr="00317A6E">
        <w:rPr>
          <w:b/>
          <w:bCs/>
          <w:i w:val="0"/>
          <w:iCs w:val="0"/>
          <w:color w:val="auto"/>
        </w:rPr>
        <w:fldChar w:fldCharType="begin"/>
      </w:r>
      <w:r w:rsidRPr="00317A6E">
        <w:rPr>
          <w:b/>
          <w:bCs/>
          <w:i w:val="0"/>
          <w:iCs w:val="0"/>
          <w:color w:val="auto"/>
        </w:rPr>
        <w:instrText xml:space="preserve"> SEQ Table_ \* ARABIC </w:instrText>
      </w:r>
      <w:r w:rsidRPr="00317A6E">
        <w:rPr>
          <w:b/>
          <w:bCs/>
          <w:i w:val="0"/>
          <w:iCs w:val="0"/>
          <w:color w:val="auto"/>
        </w:rPr>
        <w:fldChar w:fldCharType="separate"/>
      </w:r>
      <w:r w:rsidR="00A32DBE">
        <w:rPr>
          <w:b/>
          <w:bCs/>
          <w:i w:val="0"/>
          <w:iCs w:val="0"/>
          <w:noProof/>
          <w:color w:val="auto"/>
        </w:rPr>
        <w:t>2</w:t>
      </w:r>
      <w:r w:rsidRPr="00317A6E">
        <w:rPr>
          <w:b/>
          <w:bCs/>
          <w:i w:val="0"/>
          <w:iCs w:val="0"/>
          <w:color w:val="auto"/>
        </w:rPr>
        <w:fldChar w:fldCharType="end"/>
      </w:r>
      <w:r w:rsidRPr="00317A6E">
        <w:rPr>
          <w:b/>
          <w:bCs/>
          <w:i w:val="0"/>
          <w:iCs w:val="0"/>
          <w:color w:val="auto"/>
        </w:rPr>
        <w:t>.</w:t>
      </w:r>
      <w:r w:rsidRPr="00317A6E">
        <w:rPr>
          <w:i w:val="0"/>
          <w:iCs w:val="0"/>
          <w:color w:val="auto"/>
        </w:rPr>
        <w:t xml:space="preserve"> Average Waiting Time for </w:t>
      </w:r>
      <w:r>
        <w:rPr>
          <w:i w:val="0"/>
          <w:iCs w:val="0"/>
          <w:color w:val="auto"/>
        </w:rPr>
        <w:t>e</w:t>
      </w:r>
      <w:r w:rsidRPr="00317A6E">
        <w:rPr>
          <w:i w:val="0"/>
          <w:iCs w:val="0"/>
          <w:color w:val="auto"/>
        </w:rPr>
        <w:t>ach Pump</w:t>
      </w:r>
    </w:p>
    <w:tbl>
      <w:tblPr>
        <w:tblW w:w="0" w:type="auto"/>
        <w:jc w:val="center"/>
        <w:tblLook w:val="04A0" w:firstRow="1" w:lastRow="0" w:firstColumn="1" w:lastColumn="0" w:noHBand="0" w:noVBand="1"/>
      </w:tblPr>
      <w:tblGrid>
        <w:gridCol w:w="942"/>
        <w:gridCol w:w="1966"/>
        <w:gridCol w:w="1391"/>
      </w:tblGrid>
      <w:tr w:rsidR="00064CAC" w:rsidRPr="0062457D" w14:paraId="4928DB3D" w14:textId="77777777" w:rsidTr="00AF34FA">
        <w:trPr>
          <w:trHeight w:val="20"/>
          <w:jc w:val="center"/>
        </w:trPr>
        <w:tc>
          <w:tcPr>
            <w:tcW w:w="0" w:type="auto"/>
            <w:tcBorders>
              <w:top w:val="single" w:sz="4" w:space="0" w:color="auto"/>
              <w:bottom w:val="single" w:sz="4" w:space="0" w:color="auto"/>
            </w:tcBorders>
            <w:noWrap/>
            <w:vAlign w:val="center"/>
            <w:hideMark/>
          </w:tcPr>
          <w:p w14:paraId="63314B01" w14:textId="77777777" w:rsidR="00064CAC" w:rsidRPr="0062457D" w:rsidRDefault="00064CAC" w:rsidP="00AF34FA">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Pump No</w:t>
            </w:r>
          </w:p>
        </w:tc>
        <w:tc>
          <w:tcPr>
            <w:tcW w:w="0" w:type="auto"/>
            <w:tcBorders>
              <w:top w:val="single" w:sz="4" w:space="0" w:color="auto"/>
              <w:bottom w:val="single" w:sz="4" w:space="0" w:color="auto"/>
            </w:tcBorders>
            <w:noWrap/>
            <w:vAlign w:val="center"/>
            <w:hideMark/>
          </w:tcPr>
          <w:p w14:paraId="751758FA" w14:textId="77777777" w:rsidR="00064CAC" w:rsidRPr="0062457D" w:rsidRDefault="00064CAC" w:rsidP="00AF34FA">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Average Waiting Time</w:t>
            </w:r>
          </w:p>
        </w:tc>
        <w:tc>
          <w:tcPr>
            <w:tcW w:w="0" w:type="auto"/>
            <w:tcBorders>
              <w:top w:val="single" w:sz="4" w:space="0" w:color="auto"/>
              <w:bottom w:val="single" w:sz="4" w:space="0" w:color="auto"/>
            </w:tcBorders>
            <w:noWrap/>
            <w:vAlign w:val="center"/>
            <w:hideMark/>
          </w:tcPr>
          <w:p w14:paraId="1BBD5314" w14:textId="77777777" w:rsidR="00064CAC" w:rsidRPr="0062457D" w:rsidRDefault="00064CAC" w:rsidP="00AF34FA">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Specific service</w:t>
            </w:r>
          </w:p>
        </w:tc>
      </w:tr>
      <w:tr w:rsidR="00064CAC" w:rsidRPr="0062457D" w14:paraId="359A5832" w14:textId="77777777" w:rsidTr="00AF34FA">
        <w:trPr>
          <w:trHeight w:val="20"/>
          <w:jc w:val="center"/>
        </w:trPr>
        <w:tc>
          <w:tcPr>
            <w:tcW w:w="0" w:type="auto"/>
            <w:tcBorders>
              <w:top w:val="single" w:sz="4" w:space="0" w:color="auto"/>
            </w:tcBorders>
            <w:noWrap/>
            <w:vAlign w:val="center"/>
            <w:hideMark/>
          </w:tcPr>
          <w:p w14:paraId="3F6F9D1C"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1</w:t>
            </w:r>
          </w:p>
        </w:tc>
        <w:tc>
          <w:tcPr>
            <w:tcW w:w="0" w:type="auto"/>
            <w:tcBorders>
              <w:top w:val="single" w:sz="4" w:space="0" w:color="auto"/>
            </w:tcBorders>
            <w:noWrap/>
            <w:vAlign w:val="center"/>
            <w:hideMark/>
          </w:tcPr>
          <w:p w14:paraId="37EB0EDE"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1.32</w:t>
            </w:r>
          </w:p>
        </w:tc>
        <w:tc>
          <w:tcPr>
            <w:tcW w:w="0" w:type="auto"/>
            <w:tcBorders>
              <w:top w:val="single" w:sz="4" w:space="0" w:color="auto"/>
            </w:tcBorders>
            <w:noWrap/>
            <w:vAlign w:val="center"/>
            <w:hideMark/>
          </w:tcPr>
          <w:p w14:paraId="4FA6305E"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064CAC" w:rsidRPr="0062457D" w14:paraId="04C6D8BF" w14:textId="77777777" w:rsidTr="00AF34FA">
        <w:trPr>
          <w:trHeight w:val="20"/>
          <w:jc w:val="center"/>
        </w:trPr>
        <w:tc>
          <w:tcPr>
            <w:tcW w:w="0" w:type="auto"/>
            <w:noWrap/>
            <w:vAlign w:val="center"/>
            <w:hideMark/>
          </w:tcPr>
          <w:p w14:paraId="7D364C07"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2</w:t>
            </w:r>
          </w:p>
        </w:tc>
        <w:tc>
          <w:tcPr>
            <w:tcW w:w="0" w:type="auto"/>
            <w:noWrap/>
            <w:vAlign w:val="center"/>
            <w:hideMark/>
          </w:tcPr>
          <w:p w14:paraId="270FAEE4"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1.39</w:t>
            </w:r>
          </w:p>
        </w:tc>
        <w:tc>
          <w:tcPr>
            <w:tcW w:w="0" w:type="auto"/>
            <w:noWrap/>
            <w:vAlign w:val="center"/>
            <w:hideMark/>
          </w:tcPr>
          <w:p w14:paraId="1FB52E88"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064CAC" w:rsidRPr="0062457D" w14:paraId="49BC8278" w14:textId="77777777" w:rsidTr="00AF34FA">
        <w:trPr>
          <w:trHeight w:val="20"/>
          <w:jc w:val="center"/>
        </w:trPr>
        <w:tc>
          <w:tcPr>
            <w:tcW w:w="0" w:type="auto"/>
            <w:noWrap/>
            <w:vAlign w:val="center"/>
            <w:hideMark/>
          </w:tcPr>
          <w:p w14:paraId="5B75D9D9"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3</w:t>
            </w:r>
          </w:p>
        </w:tc>
        <w:tc>
          <w:tcPr>
            <w:tcW w:w="0" w:type="auto"/>
            <w:noWrap/>
            <w:vAlign w:val="center"/>
            <w:hideMark/>
          </w:tcPr>
          <w:p w14:paraId="53333817"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2.6</w:t>
            </w:r>
          </w:p>
        </w:tc>
        <w:tc>
          <w:tcPr>
            <w:tcW w:w="0" w:type="auto"/>
            <w:noWrap/>
            <w:vAlign w:val="center"/>
            <w:hideMark/>
          </w:tcPr>
          <w:p w14:paraId="6EFBB786"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064CAC" w:rsidRPr="0062457D" w14:paraId="2BF31D28" w14:textId="77777777" w:rsidTr="00AF34FA">
        <w:trPr>
          <w:trHeight w:val="20"/>
          <w:jc w:val="center"/>
        </w:trPr>
        <w:tc>
          <w:tcPr>
            <w:tcW w:w="0" w:type="auto"/>
            <w:noWrap/>
            <w:vAlign w:val="center"/>
            <w:hideMark/>
          </w:tcPr>
          <w:p w14:paraId="5FE619EC"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4</w:t>
            </w:r>
          </w:p>
        </w:tc>
        <w:tc>
          <w:tcPr>
            <w:tcW w:w="0" w:type="auto"/>
            <w:noWrap/>
            <w:vAlign w:val="center"/>
            <w:hideMark/>
          </w:tcPr>
          <w:p w14:paraId="197D54E5"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2.24</w:t>
            </w:r>
          </w:p>
        </w:tc>
        <w:tc>
          <w:tcPr>
            <w:tcW w:w="0" w:type="auto"/>
            <w:noWrap/>
            <w:vAlign w:val="center"/>
            <w:hideMark/>
          </w:tcPr>
          <w:p w14:paraId="782E86B7"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064CAC" w:rsidRPr="0062457D" w14:paraId="41A543BF" w14:textId="77777777" w:rsidTr="00AF34FA">
        <w:trPr>
          <w:trHeight w:val="20"/>
          <w:jc w:val="center"/>
        </w:trPr>
        <w:tc>
          <w:tcPr>
            <w:tcW w:w="0" w:type="auto"/>
            <w:shd w:val="clear" w:color="auto" w:fill="BFBFBF" w:themeFill="background1" w:themeFillShade="BF"/>
            <w:noWrap/>
            <w:vAlign w:val="center"/>
            <w:hideMark/>
          </w:tcPr>
          <w:p w14:paraId="28B258FB"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5</w:t>
            </w:r>
          </w:p>
        </w:tc>
        <w:tc>
          <w:tcPr>
            <w:tcW w:w="0" w:type="auto"/>
            <w:shd w:val="clear" w:color="auto" w:fill="BFBFBF" w:themeFill="background1" w:themeFillShade="BF"/>
            <w:noWrap/>
            <w:vAlign w:val="center"/>
            <w:hideMark/>
          </w:tcPr>
          <w:p w14:paraId="5D0C59AB"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4.5</w:t>
            </w:r>
          </w:p>
        </w:tc>
        <w:tc>
          <w:tcPr>
            <w:tcW w:w="0" w:type="auto"/>
            <w:shd w:val="clear" w:color="auto" w:fill="BFBFBF" w:themeFill="background1" w:themeFillShade="BF"/>
            <w:noWrap/>
            <w:vAlign w:val="center"/>
            <w:hideMark/>
          </w:tcPr>
          <w:p w14:paraId="3DD8CFB6"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064CAC" w:rsidRPr="0062457D" w14:paraId="4C48938D" w14:textId="77777777" w:rsidTr="00AF34FA">
        <w:trPr>
          <w:trHeight w:val="20"/>
          <w:jc w:val="center"/>
        </w:trPr>
        <w:tc>
          <w:tcPr>
            <w:tcW w:w="0" w:type="auto"/>
            <w:noWrap/>
            <w:vAlign w:val="center"/>
            <w:hideMark/>
          </w:tcPr>
          <w:p w14:paraId="7C24CCED"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6</w:t>
            </w:r>
          </w:p>
        </w:tc>
        <w:tc>
          <w:tcPr>
            <w:tcW w:w="0" w:type="auto"/>
            <w:noWrap/>
            <w:vAlign w:val="center"/>
            <w:hideMark/>
          </w:tcPr>
          <w:p w14:paraId="2AD6986F"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0.87</w:t>
            </w:r>
          </w:p>
        </w:tc>
        <w:tc>
          <w:tcPr>
            <w:tcW w:w="0" w:type="auto"/>
            <w:noWrap/>
            <w:vAlign w:val="center"/>
            <w:hideMark/>
          </w:tcPr>
          <w:p w14:paraId="05A2A961"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064CAC" w:rsidRPr="0062457D" w14:paraId="7651F55B" w14:textId="77777777" w:rsidTr="00AF34FA">
        <w:trPr>
          <w:trHeight w:val="20"/>
          <w:jc w:val="center"/>
        </w:trPr>
        <w:tc>
          <w:tcPr>
            <w:tcW w:w="0" w:type="auto"/>
            <w:shd w:val="clear" w:color="auto" w:fill="BFBFBF" w:themeFill="background1" w:themeFillShade="BF"/>
            <w:noWrap/>
            <w:vAlign w:val="center"/>
            <w:hideMark/>
          </w:tcPr>
          <w:p w14:paraId="17517399"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7</w:t>
            </w:r>
          </w:p>
        </w:tc>
        <w:tc>
          <w:tcPr>
            <w:tcW w:w="0" w:type="auto"/>
            <w:shd w:val="clear" w:color="auto" w:fill="BFBFBF" w:themeFill="background1" w:themeFillShade="BF"/>
            <w:noWrap/>
            <w:vAlign w:val="center"/>
            <w:hideMark/>
          </w:tcPr>
          <w:p w14:paraId="2ACC7339"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0.33</w:t>
            </w:r>
          </w:p>
        </w:tc>
        <w:tc>
          <w:tcPr>
            <w:tcW w:w="0" w:type="auto"/>
            <w:shd w:val="clear" w:color="auto" w:fill="BFBFBF" w:themeFill="background1" w:themeFillShade="BF"/>
            <w:noWrap/>
            <w:vAlign w:val="center"/>
            <w:hideMark/>
          </w:tcPr>
          <w:p w14:paraId="006D25DB"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064CAC" w:rsidRPr="0062457D" w14:paraId="59D655C7" w14:textId="77777777" w:rsidTr="00AF34FA">
        <w:trPr>
          <w:trHeight w:val="20"/>
          <w:jc w:val="center"/>
        </w:trPr>
        <w:tc>
          <w:tcPr>
            <w:tcW w:w="0" w:type="auto"/>
            <w:noWrap/>
            <w:vAlign w:val="center"/>
            <w:hideMark/>
          </w:tcPr>
          <w:p w14:paraId="413EAA1B"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8</w:t>
            </w:r>
          </w:p>
        </w:tc>
        <w:tc>
          <w:tcPr>
            <w:tcW w:w="0" w:type="auto"/>
            <w:noWrap/>
            <w:vAlign w:val="center"/>
            <w:hideMark/>
          </w:tcPr>
          <w:p w14:paraId="1C10B18A"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1.07</w:t>
            </w:r>
          </w:p>
        </w:tc>
        <w:tc>
          <w:tcPr>
            <w:tcW w:w="0" w:type="auto"/>
            <w:noWrap/>
            <w:vAlign w:val="center"/>
            <w:hideMark/>
          </w:tcPr>
          <w:p w14:paraId="4777CBE8"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064CAC" w:rsidRPr="0062457D" w14:paraId="499B5BD9" w14:textId="77777777" w:rsidTr="00AF34FA">
        <w:trPr>
          <w:trHeight w:val="20"/>
          <w:jc w:val="center"/>
        </w:trPr>
        <w:tc>
          <w:tcPr>
            <w:tcW w:w="0" w:type="auto"/>
            <w:shd w:val="clear" w:color="auto" w:fill="BFBFBF" w:themeFill="background1" w:themeFillShade="BF"/>
            <w:noWrap/>
            <w:vAlign w:val="center"/>
            <w:hideMark/>
          </w:tcPr>
          <w:p w14:paraId="0EA58C9C"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9</w:t>
            </w:r>
          </w:p>
        </w:tc>
        <w:tc>
          <w:tcPr>
            <w:tcW w:w="0" w:type="auto"/>
            <w:shd w:val="clear" w:color="auto" w:fill="BFBFBF" w:themeFill="background1" w:themeFillShade="BF"/>
            <w:noWrap/>
            <w:vAlign w:val="center"/>
            <w:hideMark/>
          </w:tcPr>
          <w:p w14:paraId="001003EF"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7.69</w:t>
            </w:r>
          </w:p>
        </w:tc>
        <w:tc>
          <w:tcPr>
            <w:tcW w:w="0" w:type="auto"/>
            <w:shd w:val="clear" w:color="auto" w:fill="BFBFBF" w:themeFill="background1" w:themeFillShade="BF"/>
            <w:noWrap/>
            <w:vAlign w:val="center"/>
            <w:hideMark/>
          </w:tcPr>
          <w:p w14:paraId="01739157"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Diesel</w:t>
            </w:r>
          </w:p>
        </w:tc>
      </w:tr>
      <w:tr w:rsidR="00064CAC" w:rsidRPr="0062457D" w14:paraId="0F11B9F2" w14:textId="77777777" w:rsidTr="00AF34FA">
        <w:trPr>
          <w:trHeight w:val="20"/>
          <w:jc w:val="center"/>
        </w:trPr>
        <w:tc>
          <w:tcPr>
            <w:tcW w:w="0" w:type="auto"/>
            <w:tcBorders>
              <w:bottom w:val="single" w:sz="4" w:space="0" w:color="auto"/>
            </w:tcBorders>
            <w:noWrap/>
            <w:vAlign w:val="center"/>
            <w:hideMark/>
          </w:tcPr>
          <w:p w14:paraId="681F5F86"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10</w:t>
            </w:r>
          </w:p>
        </w:tc>
        <w:tc>
          <w:tcPr>
            <w:tcW w:w="0" w:type="auto"/>
            <w:tcBorders>
              <w:bottom w:val="single" w:sz="4" w:space="0" w:color="auto"/>
            </w:tcBorders>
            <w:noWrap/>
            <w:vAlign w:val="center"/>
            <w:hideMark/>
          </w:tcPr>
          <w:p w14:paraId="16A09616"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6.46</w:t>
            </w:r>
          </w:p>
        </w:tc>
        <w:tc>
          <w:tcPr>
            <w:tcW w:w="0" w:type="auto"/>
            <w:tcBorders>
              <w:bottom w:val="single" w:sz="4" w:space="0" w:color="auto"/>
            </w:tcBorders>
            <w:noWrap/>
            <w:vAlign w:val="center"/>
            <w:hideMark/>
          </w:tcPr>
          <w:p w14:paraId="29AA8DE1" w14:textId="77777777" w:rsidR="00064CAC" w:rsidRPr="0062457D" w:rsidRDefault="00064CAC" w:rsidP="00AF34FA">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Diesel</w:t>
            </w:r>
          </w:p>
        </w:tc>
      </w:tr>
    </w:tbl>
    <w:p w14:paraId="5361799C" w14:textId="77777777" w:rsidR="00064CAC" w:rsidRDefault="00064CAC" w:rsidP="0096729D">
      <w:pPr>
        <w:pStyle w:val="Paragraph"/>
      </w:pPr>
    </w:p>
    <w:p w14:paraId="73873E8A" w14:textId="4F0E52EC" w:rsidR="001D5714" w:rsidRDefault="00D46C18" w:rsidP="00D46C18">
      <w:pPr>
        <w:pStyle w:val="Paragraph"/>
      </w:pPr>
      <w:r>
        <w:t xml:space="preserve">For diesel pumps, the situation is notably different. Both </w:t>
      </w:r>
      <w:r w:rsidR="00FA0BD1">
        <w:t xml:space="preserve">pump for Diesel </w:t>
      </w:r>
      <w:r>
        <w:t>report much higher waiting times compared to petrol pumps, with averages of 7.69 and 6.46 minutes, respectively. This results in an overall average waiting time of about 7.08 minutes for diesel customers, which is significantly longer than that of petrol customers. The results suggest that diesel pumps face higher congestion and slower service rates, possibly due to fewer pump allocations or longer service times per customer. This imbalance highlights the need for resource adjustments, such as adding more diesel pumps or redistributing service capacity, to reduce long delays for diesel users and improve overall system efficiency.</w:t>
      </w:r>
    </w:p>
    <w:p w14:paraId="6BB21E18" w14:textId="307EAE29" w:rsidR="00560606" w:rsidRDefault="00560606" w:rsidP="00D46C18">
      <w:pPr>
        <w:pStyle w:val="Paragraph"/>
      </w:pPr>
      <w:r w:rsidRPr="00560606">
        <w:t>The model was validated by comparing simulated results with observed data using formula</w:t>
      </w:r>
      <w:r>
        <w:t xml:space="preserve"> as follows, </w:t>
      </w:r>
    </w:p>
    <w:p w14:paraId="51DA3CD7" w14:textId="77777777" w:rsidR="00560606" w:rsidRPr="00560606" w:rsidRDefault="00560606" w:rsidP="00D46C18">
      <w:pPr>
        <w:pStyle w:val="Paragraph"/>
      </w:pPr>
      <m:oMathPara>
        <m:oMath>
          <m:r>
            <w:rPr>
              <w:rFonts w:ascii="Cambria Math" w:hAnsi="Cambria Math"/>
            </w:rPr>
            <m:t xml:space="preserve">Validation error= </m:t>
          </m:r>
          <m:f>
            <m:fPr>
              <m:ctrlPr>
                <w:rPr>
                  <w:rFonts w:ascii="Cambria Math" w:hAnsi="Cambria Math"/>
                  <w:i/>
                </w:rPr>
              </m:ctrlPr>
            </m:fPr>
            <m:num>
              <m:r>
                <w:rPr>
                  <w:rFonts w:ascii="Cambria Math" w:hAnsi="Cambria Math"/>
                </w:rPr>
                <m:t>actual data-simulation output</m:t>
              </m:r>
            </m:num>
            <m:den>
              <m:r>
                <w:rPr>
                  <w:rFonts w:ascii="Cambria Math" w:hAnsi="Cambria Math"/>
                </w:rPr>
                <m:t>actual data</m:t>
              </m:r>
            </m:den>
          </m:f>
          <m:r>
            <w:rPr>
              <w:rFonts w:ascii="Cambria Math" w:hAnsi="Cambria Math"/>
            </w:rPr>
            <m:t>x 100%</m:t>
          </m:r>
        </m:oMath>
      </m:oMathPara>
    </w:p>
    <w:p w14:paraId="12C2C3FD" w14:textId="77777777" w:rsidR="00560606" w:rsidRDefault="00560606" w:rsidP="00D46C18">
      <w:pPr>
        <w:pStyle w:val="Paragraph"/>
      </w:pPr>
      <m:oMathPara>
        <m:oMath>
          <m:r>
            <w:rPr>
              <w:rFonts w:ascii="Cambria Math" w:hAnsi="Cambria Math"/>
            </w:rPr>
            <w:lastRenderedPageBreak/>
            <m:t xml:space="preserve">= </m:t>
          </m:r>
          <m:f>
            <m:fPr>
              <m:ctrlPr>
                <w:rPr>
                  <w:rFonts w:ascii="Cambria Math" w:hAnsi="Cambria Math"/>
                  <w:i/>
                </w:rPr>
              </m:ctrlPr>
            </m:fPr>
            <m:num>
              <m:r>
                <w:rPr>
                  <w:rFonts w:ascii="Cambria Math" w:hAnsi="Cambria Math"/>
                </w:rPr>
                <m:t>177-192</m:t>
              </m:r>
            </m:num>
            <m:den>
              <m:r>
                <w:rPr>
                  <w:rFonts w:ascii="Cambria Math" w:hAnsi="Cambria Math"/>
                </w:rPr>
                <m:t>192</m:t>
              </m:r>
            </m:den>
          </m:f>
          <m:r>
            <w:rPr>
              <w:rFonts w:ascii="Cambria Math" w:hAnsi="Cambria Math"/>
            </w:rPr>
            <m:t>x 100%=7.81%</m:t>
          </m:r>
        </m:oMath>
      </m:oMathPara>
    </w:p>
    <w:p w14:paraId="0A0A9B54" w14:textId="69E86049" w:rsidR="00560606" w:rsidRPr="00560606" w:rsidRDefault="00560606" w:rsidP="00D46C18">
      <w:pPr>
        <w:pStyle w:val="Paragraph"/>
      </w:pPr>
      <w:r w:rsidRPr="00560606">
        <w:t xml:space="preserve"> </w:t>
      </w:r>
    </w:p>
    <w:p w14:paraId="73900F48" w14:textId="5CC8FEFE" w:rsidR="00560606" w:rsidRDefault="00560606" w:rsidP="00D46C18">
      <w:pPr>
        <w:pStyle w:val="Paragraph"/>
      </w:pPr>
      <w:r w:rsidRPr="00560606">
        <w:t>The result shows only 7.81% which is below 10 percent.</w:t>
      </w:r>
      <w:r>
        <w:t xml:space="preserve"> Therefore, we can assume that the developed model is mimic the current situation and can be further use for “what-if” experimentation. </w:t>
      </w:r>
    </w:p>
    <w:p w14:paraId="1C3C6DE3" w14:textId="54D73EC7" w:rsidR="00E70D60" w:rsidRDefault="00FA0BD1" w:rsidP="00E70D60">
      <w:pPr>
        <w:pStyle w:val="Heading2"/>
      </w:pPr>
      <w:r>
        <w:t>Model Experimentation</w:t>
      </w:r>
    </w:p>
    <w:p w14:paraId="23026140" w14:textId="4493E073" w:rsidR="000F45FC" w:rsidRDefault="000F45FC" w:rsidP="0096729D">
      <w:pPr>
        <w:pStyle w:val="Paragraph"/>
      </w:pPr>
      <w:r>
        <w:t xml:space="preserve">Table 3 depict the </w:t>
      </w:r>
      <w:r w:rsidR="00064CAC">
        <w:t xml:space="preserve">model </w:t>
      </w:r>
      <w:r w:rsidRPr="002F2742">
        <w:t>experiment</w:t>
      </w:r>
      <w:r w:rsidR="00064CAC">
        <w:t>ation</w:t>
      </w:r>
      <w:r w:rsidRPr="002F2742">
        <w:t>, where Pump 8 was reassigned from petrol to diesel service</w:t>
      </w:r>
      <w:r>
        <w:t>. Based on Table 3, the intervention</w:t>
      </w:r>
      <w:r w:rsidRPr="002F2742">
        <w:t xml:space="preserve"> produced significant changes in the distribution of waiting times across pumps. For petrol pumps, the waiting times show both improvements and deteriorations. For instance, Pump 2 and Pump 5 experienced substantial reductions in average waiting times, dropping from 1.39 to 0.85 minutes and from 4.5 to 1.75 minutes respectively, which suggests that redistributing demand helped ease congestion at certain stations. </w:t>
      </w:r>
    </w:p>
    <w:p w14:paraId="5F9541F9" w14:textId="77777777" w:rsidR="000F45FC" w:rsidRPr="000F45FC" w:rsidRDefault="000F45FC" w:rsidP="000F45FC">
      <w:pPr>
        <w:pStyle w:val="Paragraph"/>
      </w:pPr>
    </w:p>
    <w:p w14:paraId="5921F988" w14:textId="7728C997" w:rsidR="000F45FC" w:rsidRPr="000F45FC" w:rsidRDefault="000F45FC" w:rsidP="000F45FC">
      <w:pPr>
        <w:pStyle w:val="Caption"/>
        <w:keepNext/>
        <w:spacing w:after="0"/>
        <w:jc w:val="center"/>
        <w:rPr>
          <w:i w:val="0"/>
          <w:iCs w:val="0"/>
          <w:color w:val="auto"/>
        </w:rPr>
      </w:pPr>
      <w:r w:rsidRPr="000F45FC">
        <w:rPr>
          <w:b/>
          <w:bCs/>
          <w:i w:val="0"/>
          <w:iCs w:val="0"/>
          <w:color w:val="auto"/>
        </w:rPr>
        <w:t xml:space="preserve">Table </w:t>
      </w:r>
      <w:r w:rsidRPr="000F45FC">
        <w:rPr>
          <w:b/>
          <w:bCs/>
          <w:i w:val="0"/>
          <w:iCs w:val="0"/>
          <w:color w:val="auto"/>
        </w:rPr>
        <w:fldChar w:fldCharType="begin"/>
      </w:r>
      <w:r w:rsidRPr="000F45FC">
        <w:rPr>
          <w:b/>
          <w:bCs/>
          <w:i w:val="0"/>
          <w:iCs w:val="0"/>
          <w:color w:val="auto"/>
        </w:rPr>
        <w:instrText xml:space="preserve"> SEQ Table_ \* ARABIC </w:instrText>
      </w:r>
      <w:r w:rsidRPr="000F45FC">
        <w:rPr>
          <w:b/>
          <w:bCs/>
          <w:i w:val="0"/>
          <w:iCs w:val="0"/>
          <w:color w:val="auto"/>
        </w:rPr>
        <w:fldChar w:fldCharType="separate"/>
      </w:r>
      <w:r w:rsidR="00A32DBE">
        <w:rPr>
          <w:b/>
          <w:bCs/>
          <w:i w:val="0"/>
          <w:iCs w:val="0"/>
          <w:noProof/>
          <w:color w:val="auto"/>
        </w:rPr>
        <w:t>3</w:t>
      </w:r>
      <w:r w:rsidRPr="000F45FC">
        <w:rPr>
          <w:b/>
          <w:bCs/>
          <w:i w:val="0"/>
          <w:iCs w:val="0"/>
          <w:color w:val="auto"/>
        </w:rPr>
        <w:fldChar w:fldCharType="end"/>
      </w:r>
      <w:r w:rsidRPr="000F45FC">
        <w:rPr>
          <w:b/>
          <w:bCs/>
          <w:i w:val="0"/>
          <w:iCs w:val="0"/>
          <w:color w:val="auto"/>
        </w:rPr>
        <w:t>.</w:t>
      </w:r>
      <w:r w:rsidRPr="000F45FC">
        <w:rPr>
          <w:i w:val="0"/>
          <w:iCs w:val="0"/>
          <w:color w:val="auto"/>
        </w:rPr>
        <w:t xml:space="preserve"> Comparison of Average Waiting Time between Base Case and Intervention</w:t>
      </w:r>
    </w:p>
    <w:tbl>
      <w:tblPr>
        <w:tblW w:w="7040" w:type="dxa"/>
        <w:jc w:val="center"/>
        <w:tblLook w:val="04A0" w:firstRow="1" w:lastRow="0" w:firstColumn="1" w:lastColumn="0" w:noHBand="0" w:noVBand="1"/>
      </w:tblPr>
      <w:tblGrid>
        <w:gridCol w:w="960"/>
        <w:gridCol w:w="2180"/>
        <w:gridCol w:w="2180"/>
        <w:gridCol w:w="1720"/>
      </w:tblGrid>
      <w:tr w:rsidR="002F2742" w:rsidRPr="0062457D" w14:paraId="1632EC35" w14:textId="77777777" w:rsidTr="00532796">
        <w:trPr>
          <w:trHeight w:val="144"/>
          <w:jc w:val="center"/>
        </w:trPr>
        <w:tc>
          <w:tcPr>
            <w:tcW w:w="960" w:type="dxa"/>
            <w:tcBorders>
              <w:top w:val="single" w:sz="4" w:space="0" w:color="auto"/>
              <w:bottom w:val="single" w:sz="4" w:space="0" w:color="auto"/>
            </w:tcBorders>
            <w:vAlign w:val="bottom"/>
            <w:hideMark/>
          </w:tcPr>
          <w:p w14:paraId="7D138897" w14:textId="77777777" w:rsidR="002F2742" w:rsidRPr="0062457D" w:rsidRDefault="002F2742" w:rsidP="002F2742">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Pump No</w:t>
            </w:r>
          </w:p>
        </w:tc>
        <w:tc>
          <w:tcPr>
            <w:tcW w:w="2180" w:type="dxa"/>
            <w:tcBorders>
              <w:top w:val="single" w:sz="4" w:space="0" w:color="auto"/>
              <w:bottom w:val="single" w:sz="4" w:space="0" w:color="auto"/>
            </w:tcBorders>
            <w:vAlign w:val="bottom"/>
            <w:hideMark/>
          </w:tcPr>
          <w:p w14:paraId="716BF1FA" w14:textId="77777777" w:rsidR="002F2742" w:rsidRPr="0062457D" w:rsidRDefault="002F2742" w:rsidP="002F2742">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Average Waiting Time (Base Run)</w:t>
            </w:r>
          </w:p>
        </w:tc>
        <w:tc>
          <w:tcPr>
            <w:tcW w:w="2180" w:type="dxa"/>
            <w:tcBorders>
              <w:top w:val="single" w:sz="4" w:space="0" w:color="auto"/>
              <w:bottom w:val="single" w:sz="4" w:space="0" w:color="auto"/>
            </w:tcBorders>
            <w:vAlign w:val="bottom"/>
            <w:hideMark/>
          </w:tcPr>
          <w:p w14:paraId="552EFE07" w14:textId="77777777" w:rsidR="002F2742" w:rsidRPr="0062457D" w:rsidRDefault="002F2742" w:rsidP="002F2742">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Average Waiting Time (Intervention)</w:t>
            </w:r>
          </w:p>
        </w:tc>
        <w:tc>
          <w:tcPr>
            <w:tcW w:w="1720" w:type="dxa"/>
            <w:tcBorders>
              <w:top w:val="single" w:sz="4" w:space="0" w:color="auto"/>
              <w:bottom w:val="single" w:sz="4" w:space="0" w:color="auto"/>
            </w:tcBorders>
            <w:vAlign w:val="bottom"/>
            <w:hideMark/>
          </w:tcPr>
          <w:p w14:paraId="06D43647" w14:textId="77777777" w:rsidR="002F2742" w:rsidRPr="0062457D" w:rsidRDefault="002F2742" w:rsidP="002F2742">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Specific service</w:t>
            </w:r>
          </w:p>
        </w:tc>
      </w:tr>
      <w:tr w:rsidR="002F2742" w:rsidRPr="0062457D" w14:paraId="58381234" w14:textId="77777777" w:rsidTr="00532796">
        <w:trPr>
          <w:trHeight w:val="144"/>
          <w:jc w:val="center"/>
        </w:trPr>
        <w:tc>
          <w:tcPr>
            <w:tcW w:w="960" w:type="dxa"/>
            <w:tcBorders>
              <w:top w:val="single" w:sz="4" w:space="0" w:color="auto"/>
            </w:tcBorders>
            <w:noWrap/>
            <w:vAlign w:val="bottom"/>
            <w:hideMark/>
          </w:tcPr>
          <w:p w14:paraId="3A9C5963"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1</w:t>
            </w:r>
          </w:p>
        </w:tc>
        <w:tc>
          <w:tcPr>
            <w:tcW w:w="2180" w:type="dxa"/>
            <w:tcBorders>
              <w:top w:val="single" w:sz="4" w:space="0" w:color="auto"/>
            </w:tcBorders>
            <w:noWrap/>
            <w:vAlign w:val="bottom"/>
            <w:hideMark/>
          </w:tcPr>
          <w:p w14:paraId="1B1E0448"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1.32</w:t>
            </w:r>
          </w:p>
        </w:tc>
        <w:tc>
          <w:tcPr>
            <w:tcW w:w="2180" w:type="dxa"/>
            <w:tcBorders>
              <w:top w:val="single" w:sz="4" w:space="0" w:color="auto"/>
            </w:tcBorders>
            <w:noWrap/>
            <w:vAlign w:val="bottom"/>
            <w:hideMark/>
          </w:tcPr>
          <w:p w14:paraId="69970569"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2.13</w:t>
            </w:r>
          </w:p>
        </w:tc>
        <w:tc>
          <w:tcPr>
            <w:tcW w:w="1720" w:type="dxa"/>
            <w:tcBorders>
              <w:top w:val="single" w:sz="4" w:space="0" w:color="auto"/>
            </w:tcBorders>
            <w:noWrap/>
            <w:vAlign w:val="bottom"/>
            <w:hideMark/>
          </w:tcPr>
          <w:p w14:paraId="61B78361"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2F2742" w:rsidRPr="0062457D" w14:paraId="3153BB70" w14:textId="77777777" w:rsidTr="00532796">
        <w:trPr>
          <w:trHeight w:val="144"/>
          <w:jc w:val="center"/>
        </w:trPr>
        <w:tc>
          <w:tcPr>
            <w:tcW w:w="960" w:type="dxa"/>
            <w:noWrap/>
            <w:vAlign w:val="bottom"/>
            <w:hideMark/>
          </w:tcPr>
          <w:p w14:paraId="7A1F394B"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2</w:t>
            </w:r>
          </w:p>
        </w:tc>
        <w:tc>
          <w:tcPr>
            <w:tcW w:w="2180" w:type="dxa"/>
            <w:noWrap/>
            <w:vAlign w:val="bottom"/>
            <w:hideMark/>
          </w:tcPr>
          <w:p w14:paraId="1AE5DB60"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1.39</w:t>
            </w:r>
          </w:p>
        </w:tc>
        <w:tc>
          <w:tcPr>
            <w:tcW w:w="2180" w:type="dxa"/>
            <w:noWrap/>
            <w:vAlign w:val="bottom"/>
            <w:hideMark/>
          </w:tcPr>
          <w:p w14:paraId="7F1D9F5A"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0.85</w:t>
            </w:r>
          </w:p>
        </w:tc>
        <w:tc>
          <w:tcPr>
            <w:tcW w:w="1720" w:type="dxa"/>
            <w:noWrap/>
            <w:vAlign w:val="bottom"/>
            <w:hideMark/>
          </w:tcPr>
          <w:p w14:paraId="2E7749B7"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2F2742" w:rsidRPr="0062457D" w14:paraId="0E9269A6" w14:textId="77777777" w:rsidTr="00532796">
        <w:trPr>
          <w:trHeight w:val="144"/>
          <w:jc w:val="center"/>
        </w:trPr>
        <w:tc>
          <w:tcPr>
            <w:tcW w:w="960" w:type="dxa"/>
            <w:noWrap/>
            <w:vAlign w:val="bottom"/>
            <w:hideMark/>
          </w:tcPr>
          <w:p w14:paraId="744A75E0"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3</w:t>
            </w:r>
          </w:p>
        </w:tc>
        <w:tc>
          <w:tcPr>
            <w:tcW w:w="2180" w:type="dxa"/>
            <w:noWrap/>
            <w:vAlign w:val="bottom"/>
            <w:hideMark/>
          </w:tcPr>
          <w:p w14:paraId="6799096F"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2.6</w:t>
            </w:r>
          </w:p>
        </w:tc>
        <w:tc>
          <w:tcPr>
            <w:tcW w:w="2180" w:type="dxa"/>
            <w:noWrap/>
            <w:vAlign w:val="bottom"/>
            <w:hideMark/>
          </w:tcPr>
          <w:p w14:paraId="750BD94A"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4.81</w:t>
            </w:r>
          </w:p>
        </w:tc>
        <w:tc>
          <w:tcPr>
            <w:tcW w:w="1720" w:type="dxa"/>
            <w:noWrap/>
            <w:vAlign w:val="bottom"/>
            <w:hideMark/>
          </w:tcPr>
          <w:p w14:paraId="629BD049"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2F2742" w:rsidRPr="0062457D" w14:paraId="4D3A7D17" w14:textId="77777777" w:rsidTr="00532796">
        <w:trPr>
          <w:trHeight w:val="144"/>
          <w:jc w:val="center"/>
        </w:trPr>
        <w:tc>
          <w:tcPr>
            <w:tcW w:w="960" w:type="dxa"/>
            <w:noWrap/>
            <w:vAlign w:val="bottom"/>
            <w:hideMark/>
          </w:tcPr>
          <w:p w14:paraId="21EBB2B7"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4</w:t>
            </w:r>
          </w:p>
        </w:tc>
        <w:tc>
          <w:tcPr>
            <w:tcW w:w="2180" w:type="dxa"/>
            <w:noWrap/>
            <w:vAlign w:val="bottom"/>
            <w:hideMark/>
          </w:tcPr>
          <w:p w14:paraId="6A33CCCD"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2.24</w:t>
            </w:r>
          </w:p>
        </w:tc>
        <w:tc>
          <w:tcPr>
            <w:tcW w:w="2180" w:type="dxa"/>
            <w:noWrap/>
            <w:vAlign w:val="bottom"/>
            <w:hideMark/>
          </w:tcPr>
          <w:p w14:paraId="6044C8C2"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3.13</w:t>
            </w:r>
          </w:p>
        </w:tc>
        <w:tc>
          <w:tcPr>
            <w:tcW w:w="1720" w:type="dxa"/>
            <w:noWrap/>
            <w:vAlign w:val="bottom"/>
            <w:hideMark/>
          </w:tcPr>
          <w:p w14:paraId="49D6B715"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2F2742" w:rsidRPr="0062457D" w14:paraId="69FD7BB1" w14:textId="77777777" w:rsidTr="00532796">
        <w:trPr>
          <w:trHeight w:val="144"/>
          <w:jc w:val="center"/>
        </w:trPr>
        <w:tc>
          <w:tcPr>
            <w:tcW w:w="960" w:type="dxa"/>
            <w:noWrap/>
            <w:vAlign w:val="bottom"/>
            <w:hideMark/>
          </w:tcPr>
          <w:p w14:paraId="57DDBABD"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5</w:t>
            </w:r>
          </w:p>
        </w:tc>
        <w:tc>
          <w:tcPr>
            <w:tcW w:w="2180" w:type="dxa"/>
            <w:noWrap/>
            <w:vAlign w:val="bottom"/>
            <w:hideMark/>
          </w:tcPr>
          <w:p w14:paraId="7051C743"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4.5</w:t>
            </w:r>
          </w:p>
        </w:tc>
        <w:tc>
          <w:tcPr>
            <w:tcW w:w="2180" w:type="dxa"/>
            <w:noWrap/>
            <w:vAlign w:val="bottom"/>
            <w:hideMark/>
          </w:tcPr>
          <w:p w14:paraId="0C56570B"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1.75</w:t>
            </w:r>
          </w:p>
        </w:tc>
        <w:tc>
          <w:tcPr>
            <w:tcW w:w="1720" w:type="dxa"/>
            <w:noWrap/>
            <w:vAlign w:val="bottom"/>
            <w:hideMark/>
          </w:tcPr>
          <w:p w14:paraId="675604A7"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2F2742" w:rsidRPr="0062457D" w14:paraId="623C394B" w14:textId="77777777" w:rsidTr="00532796">
        <w:trPr>
          <w:trHeight w:val="144"/>
          <w:jc w:val="center"/>
        </w:trPr>
        <w:tc>
          <w:tcPr>
            <w:tcW w:w="960" w:type="dxa"/>
            <w:noWrap/>
            <w:vAlign w:val="bottom"/>
            <w:hideMark/>
          </w:tcPr>
          <w:p w14:paraId="3C7F2D43"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6</w:t>
            </w:r>
          </w:p>
        </w:tc>
        <w:tc>
          <w:tcPr>
            <w:tcW w:w="2180" w:type="dxa"/>
            <w:noWrap/>
            <w:vAlign w:val="bottom"/>
            <w:hideMark/>
          </w:tcPr>
          <w:p w14:paraId="75F835C2"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0.87</w:t>
            </w:r>
          </w:p>
        </w:tc>
        <w:tc>
          <w:tcPr>
            <w:tcW w:w="2180" w:type="dxa"/>
            <w:noWrap/>
            <w:vAlign w:val="bottom"/>
            <w:hideMark/>
          </w:tcPr>
          <w:p w14:paraId="4E334C2F"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2.37</w:t>
            </w:r>
          </w:p>
        </w:tc>
        <w:tc>
          <w:tcPr>
            <w:tcW w:w="1720" w:type="dxa"/>
            <w:noWrap/>
            <w:vAlign w:val="bottom"/>
            <w:hideMark/>
          </w:tcPr>
          <w:p w14:paraId="20FE98E4"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2F2742" w:rsidRPr="0062457D" w14:paraId="78EDF085" w14:textId="77777777" w:rsidTr="00532796">
        <w:trPr>
          <w:trHeight w:val="144"/>
          <w:jc w:val="center"/>
        </w:trPr>
        <w:tc>
          <w:tcPr>
            <w:tcW w:w="960" w:type="dxa"/>
            <w:noWrap/>
            <w:vAlign w:val="bottom"/>
            <w:hideMark/>
          </w:tcPr>
          <w:p w14:paraId="3B6EE39D"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7</w:t>
            </w:r>
          </w:p>
        </w:tc>
        <w:tc>
          <w:tcPr>
            <w:tcW w:w="2180" w:type="dxa"/>
            <w:noWrap/>
            <w:vAlign w:val="bottom"/>
            <w:hideMark/>
          </w:tcPr>
          <w:p w14:paraId="281ED10F"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0.33</w:t>
            </w:r>
          </w:p>
        </w:tc>
        <w:tc>
          <w:tcPr>
            <w:tcW w:w="2180" w:type="dxa"/>
            <w:noWrap/>
            <w:vAlign w:val="bottom"/>
            <w:hideMark/>
          </w:tcPr>
          <w:p w14:paraId="4146E9D1"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0.55</w:t>
            </w:r>
          </w:p>
        </w:tc>
        <w:tc>
          <w:tcPr>
            <w:tcW w:w="1720" w:type="dxa"/>
            <w:noWrap/>
            <w:vAlign w:val="bottom"/>
            <w:hideMark/>
          </w:tcPr>
          <w:p w14:paraId="5884C7B3"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2F2742" w:rsidRPr="0062457D" w14:paraId="336FD8B3" w14:textId="77777777" w:rsidTr="00532796">
        <w:trPr>
          <w:trHeight w:val="144"/>
          <w:jc w:val="center"/>
        </w:trPr>
        <w:tc>
          <w:tcPr>
            <w:tcW w:w="960" w:type="dxa"/>
            <w:shd w:val="clear" w:color="000000" w:fill="FFFF00"/>
            <w:noWrap/>
            <w:vAlign w:val="bottom"/>
            <w:hideMark/>
          </w:tcPr>
          <w:p w14:paraId="5B311DFE"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8</w:t>
            </w:r>
          </w:p>
        </w:tc>
        <w:tc>
          <w:tcPr>
            <w:tcW w:w="2180" w:type="dxa"/>
            <w:shd w:val="clear" w:color="000000" w:fill="FFFF00"/>
            <w:noWrap/>
            <w:vAlign w:val="bottom"/>
            <w:hideMark/>
          </w:tcPr>
          <w:p w14:paraId="065886E6"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1.07</w:t>
            </w:r>
          </w:p>
        </w:tc>
        <w:tc>
          <w:tcPr>
            <w:tcW w:w="2180" w:type="dxa"/>
            <w:shd w:val="clear" w:color="000000" w:fill="FFFF00"/>
            <w:noWrap/>
            <w:vAlign w:val="bottom"/>
            <w:hideMark/>
          </w:tcPr>
          <w:p w14:paraId="0D3BCF12"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0.62</w:t>
            </w:r>
          </w:p>
        </w:tc>
        <w:tc>
          <w:tcPr>
            <w:tcW w:w="1720" w:type="dxa"/>
            <w:shd w:val="clear" w:color="000000" w:fill="FFFF00"/>
            <w:noWrap/>
            <w:vAlign w:val="bottom"/>
            <w:hideMark/>
          </w:tcPr>
          <w:p w14:paraId="4A838AC7"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Diesel</w:t>
            </w:r>
          </w:p>
        </w:tc>
      </w:tr>
      <w:tr w:rsidR="002F2742" w:rsidRPr="0062457D" w14:paraId="34B07C3C" w14:textId="77777777" w:rsidTr="00532796">
        <w:trPr>
          <w:trHeight w:val="144"/>
          <w:jc w:val="center"/>
        </w:trPr>
        <w:tc>
          <w:tcPr>
            <w:tcW w:w="960" w:type="dxa"/>
            <w:noWrap/>
            <w:vAlign w:val="bottom"/>
            <w:hideMark/>
          </w:tcPr>
          <w:p w14:paraId="64D90DC9"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9</w:t>
            </w:r>
          </w:p>
        </w:tc>
        <w:tc>
          <w:tcPr>
            <w:tcW w:w="2180" w:type="dxa"/>
            <w:noWrap/>
            <w:vAlign w:val="bottom"/>
            <w:hideMark/>
          </w:tcPr>
          <w:p w14:paraId="75F2D226"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7.69</w:t>
            </w:r>
          </w:p>
        </w:tc>
        <w:tc>
          <w:tcPr>
            <w:tcW w:w="2180" w:type="dxa"/>
            <w:noWrap/>
            <w:vAlign w:val="bottom"/>
            <w:hideMark/>
          </w:tcPr>
          <w:p w14:paraId="7F74FEDA"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3.02</w:t>
            </w:r>
          </w:p>
        </w:tc>
        <w:tc>
          <w:tcPr>
            <w:tcW w:w="1720" w:type="dxa"/>
            <w:noWrap/>
            <w:vAlign w:val="bottom"/>
            <w:hideMark/>
          </w:tcPr>
          <w:p w14:paraId="4661E58F"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Diesel</w:t>
            </w:r>
          </w:p>
        </w:tc>
      </w:tr>
      <w:tr w:rsidR="002F2742" w:rsidRPr="0062457D" w14:paraId="11628F9A" w14:textId="77777777" w:rsidTr="00532796">
        <w:trPr>
          <w:trHeight w:val="144"/>
          <w:jc w:val="center"/>
        </w:trPr>
        <w:tc>
          <w:tcPr>
            <w:tcW w:w="960" w:type="dxa"/>
            <w:tcBorders>
              <w:bottom w:val="single" w:sz="4" w:space="0" w:color="auto"/>
            </w:tcBorders>
            <w:noWrap/>
            <w:vAlign w:val="bottom"/>
            <w:hideMark/>
          </w:tcPr>
          <w:p w14:paraId="719AE91A"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10</w:t>
            </w:r>
          </w:p>
        </w:tc>
        <w:tc>
          <w:tcPr>
            <w:tcW w:w="2180" w:type="dxa"/>
            <w:tcBorders>
              <w:bottom w:val="single" w:sz="4" w:space="0" w:color="auto"/>
            </w:tcBorders>
            <w:noWrap/>
            <w:vAlign w:val="bottom"/>
            <w:hideMark/>
          </w:tcPr>
          <w:p w14:paraId="5EED8C72"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6.46</w:t>
            </w:r>
          </w:p>
        </w:tc>
        <w:tc>
          <w:tcPr>
            <w:tcW w:w="2180" w:type="dxa"/>
            <w:tcBorders>
              <w:bottom w:val="single" w:sz="4" w:space="0" w:color="auto"/>
            </w:tcBorders>
            <w:noWrap/>
            <w:vAlign w:val="bottom"/>
            <w:hideMark/>
          </w:tcPr>
          <w:p w14:paraId="5A31D0F2"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1.15</w:t>
            </w:r>
          </w:p>
        </w:tc>
        <w:tc>
          <w:tcPr>
            <w:tcW w:w="1720" w:type="dxa"/>
            <w:tcBorders>
              <w:bottom w:val="single" w:sz="4" w:space="0" w:color="auto"/>
            </w:tcBorders>
            <w:noWrap/>
            <w:vAlign w:val="bottom"/>
            <w:hideMark/>
          </w:tcPr>
          <w:p w14:paraId="4429C475" w14:textId="77777777" w:rsidR="002F2742" w:rsidRPr="0062457D" w:rsidRDefault="002F2742" w:rsidP="002F2742">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Diesel</w:t>
            </w:r>
          </w:p>
        </w:tc>
      </w:tr>
    </w:tbl>
    <w:p w14:paraId="3C060376" w14:textId="77777777" w:rsidR="002F2742" w:rsidRDefault="002F2742" w:rsidP="002F2742">
      <w:pPr>
        <w:pStyle w:val="Paragraph"/>
      </w:pPr>
    </w:p>
    <w:p w14:paraId="1CB7F83F" w14:textId="122F0E9D" w:rsidR="002F2742" w:rsidRDefault="002F2742" w:rsidP="00064CAC">
      <w:pPr>
        <w:pStyle w:val="Paragraph"/>
      </w:pPr>
      <w:r>
        <w:t>For diesel pumps, the intervention had a clear positive impact. Pump 9 and Pump 10, which previously had very high waiting times of 7.69 and 6.46 minutes respectively, experienced notable improvements, decreasing to 3.02 and 1.15 minutes. The addition of Pump 8 as a diesel service point further contributed to this effect, with an average waiting time of only 0.62 minutes, which is the lowest among all diesel pumps. This outcome highlights that increasing diesel pump capacity successfully reduced the long queues that were evident in the base run scenario, balancing the service provision between petrol and diesel customers.</w:t>
      </w:r>
      <w:r w:rsidR="00064CAC">
        <w:t xml:space="preserve"> </w:t>
      </w:r>
      <w:r>
        <w:t>When comparing the overall performance, the intervention successfully reduced the average waiting time for diesel customers from around 7.08 minutes in the base run to about 1.60 minutes</w:t>
      </w:r>
      <w:r w:rsidR="00F8254A">
        <w:t xml:space="preserve">, showing that </w:t>
      </w:r>
      <w:r>
        <w:t>the intervention significantly improved the diesel service, which was previously under severe congestion. From a system-wide perspective, this adjustment created a more balanced service environment, particularly benefiting diesel users who faced disproportionately long delays in the base case.</w:t>
      </w:r>
    </w:p>
    <w:p w14:paraId="6C0CDAC5" w14:textId="77777777" w:rsidR="00F8254A" w:rsidRDefault="00F8254A" w:rsidP="002F2742">
      <w:pPr>
        <w:pStyle w:val="Paragraph"/>
      </w:pPr>
    </w:p>
    <w:p w14:paraId="4133FC69" w14:textId="7661D4C2" w:rsidR="00F8254A" w:rsidRPr="000F45FC" w:rsidRDefault="00F8254A" w:rsidP="00F8254A">
      <w:pPr>
        <w:pStyle w:val="Caption"/>
        <w:keepNext/>
        <w:spacing w:after="0"/>
        <w:jc w:val="center"/>
        <w:rPr>
          <w:i w:val="0"/>
          <w:iCs w:val="0"/>
          <w:color w:val="auto"/>
        </w:rPr>
      </w:pPr>
      <w:r w:rsidRPr="000F45FC">
        <w:rPr>
          <w:b/>
          <w:bCs/>
          <w:i w:val="0"/>
          <w:iCs w:val="0"/>
          <w:color w:val="auto"/>
        </w:rPr>
        <w:t xml:space="preserve">Table </w:t>
      </w:r>
      <w:r w:rsidRPr="000F45FC">
        <w:rPr>
          <w:b/>
          <w:bCs/>
          <w:i w:val="0"/>
          <w:iCs w:val="0"/>
          <w:color w:val="auto"/>
        </w:rPr>
        <w:fldChar w:fldCharType="begin"/>
      </w:r>
      <w:r w:rsidRPr="000F45FC">
        <w:rPr>
          <w:b/>
          <w:bCs/>
          <w:i w:val="0"/>
          <w:iCs w:val="0"/>
          <w:color w:val="auto"/>
        </w:rPr>
        <w:instrText xml:space="preserve"> SEQ Table_ \* ARABIC </w:instrText>
      </w:r>
      <w:r w:rsidRPr="000F45FC">
        <w:rPr>
          <w:b/>
          <w:bCs/>
          <w:i w:val="0"/>
          <w:iCs w:val="0"/>
          <w:color w:val="auto"/>
        </w:rPr>
        <w:fldChar w:fldCharType="separate"/>
      </w:r>
      <w:r w:rsidR="00A32DBE">
        <w:rPr>
          <w:b/>
          <w:bCs/>
          <w:i w:val="0"/>
          <w:iCs w:val="0"/>
          <w:noProof/>
          <w:color w:val="auto"/>
        </w:rPr>
        <w:t>4</w:t>
      </w:r>
      <w:r w:rsidRPr="000F45FC">
        <w:rPr>
          <w:b/>
          <w:bCs/>
          <w:i w:val="0"/>
          <w:iCs w:val="0"/>
          <w:color w:val="auto"/>
        </w:rPr>
        <w:fldChar w:fldCharType="end"/>
      </w:r>
      <w:r w:rsidRPr="000F45FC">
        <w:rPr>
          <w:b/>
          <w:bCs/>
          <w:i w:val="0"/>
          <w:iCs w:val="0"/>
          <w:color w:val="auto"/>
        </w:rPr>
        <w:t>.</w:t>
      </w:r>
      <w:r w:rsidRPr="000F45FC">
        <w:rPr>
          <w:i w:val="0"/>
          <w:iCs w:val="0"/>
          <w:color w:val="auto"/>
        </w:rPr>
        <w:t xml:space="preserve"> Comparison of Utilization Time between Base Case and Intervention</w:t>
      </w:r>
    </w:p>
    <w:tbl>
      <w:tblPr>
        <w:tblW w:w="5665" w:type="dxa"/>
        <w:jc w:val="center"/>
        <w:tblLook w:val="04A0" w:firstRow="1" w:lastRow="0" w:firstColumn="1" w:lastColumn="0" w:noHBand="0" w:noVBand="1"/>
      </w:tblPr>
      <w:tblGrid>
        <w:gridCol w:w="960"/>
        <w:gridCol w:w="1645"/>
        <w:gridCol w:w="1530"/>
        <w:gridCol w:w="1530"/>
      </w:tblGrid>
      <w:tr w:rsidR="00F8254A" w:rsidRPr="0062457D" w14:paraId="04492F59" w14:textId="77777777" w:rsidTr="0014403D">
        <w:trPr>
          <w:trHeight w:val="144"/>
          <w:jc w:val="center"/>
        </w:trPr>
        <w:tc>
          <w:tcPr>
            <w:tcW w:w="960" w:type="dxa"/>
            <w:tcBorders>
              <w:top w:val="single" w:sz="4" w:space="0" w:color="auto"/>
              <w:bottom w:val="single" w:sz="4" w:space="0" w:color="auto"/>
            </w:tcBorders>
            <w:vAlign w:val="bottom"/>
            <w:hideMark/>
          </w:tcPr>
          <w:p w14:paraId="02672AD4" w14:textId="77777777" w:rsidR="00F8254A" w:rsidRPr="0062457D" w:rsidRDefault="00F8254A" w:rsidP="0014403D">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Pump No</w:t>
            </w:r>
          </w:p>
        </w:tc>
        <w:tc>
          <w:tcPr>
            <w:tcW w:w="1645" w:type="dxa"/>
            <w:tcBorders>
              <w:top w:val="single" w:sz="4" w:space="0" w:color="auto"/>
              <w:bottom w:val="single" w:sz="4" w:space="0" w:color="auto"/>
            </w:tcBorders>
            <w:vAlign w:val="bottom"/>
            <w:hideMark/>
          </w:tcPr>
          <w:p w14:paraId="4AE2C2F5" w14:textId="77777777" w:rsidR="00F8254A" w:rsidRPr="0062457D" w:rsidRDefault="00F8254A" w:rsidP="0014403D">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Utilization (%) (Base Run)</w:t>
            </w:r>
          </w:p>
        </w:tc>
        <w:tc>
          <w:tcPr>
            <w:tcW w:w="1530" w:type="dxa"/>
            <w:tcBorders>
              <w:top w:val="single" w:sz="4" w:space="0" w:color="auto"/>
              <w:bottom w:val="single" w:sz="4" w:space="0" w:color="auto"/>
            </w:tcBorders>
            <w:vAlign w:val="bottom"/>
            <w:hideMark/>
          </w:tcPr>
          <w:p w14:paraId="785E16D5" w14:textId="77777777" w:rsidR="00F8254A" w:rsidRPr="0062457D" w:rsidRDefault="00F8254A" w:rsidP="0014403D">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Utilization (%) (Intervention)</w:t>
            </w:r>
          </w:p>
        </w:tc>
        <w:tc>
          <w:tcPr>
            <w:tcW w:w="1530" w:type="dxa"/>
            <w:tcBorders>
              <w:top w:val="single" w:sz="4" w:space="0" w:color="auto"/>
              <w:bottom w:val="single" w:sz="4" w:space="0" w:color="auto"/>
            </w:tcBorders>
            <w:vAlign w:val="bottom"/>
            <w:hideMark/>
          </w:tcPr>
          <w:p w14:paraId="4C9ED473" w14:textId="77777777" w:rsidR="00F8254A" w:rsidRPr="0062457D" w:rsidRDefault="00F8254A" w:rsidP="0014403D">
            <w:pPr>
              <w:jc w:val="center"/>
              <w:rPr>
                <w:rFonts w:asciiTheme="majorBidi" w:hAnsiTheme="majorBidi" w:cstheme="majorBidi"/>
                <w:b/>
                <w:bCs/>
                <w:color w:val="000000"/>
                <w:sz w:val="18"/>
                <w:szCs w:val="18"/>
              </w:rPr>
            </w:pPr>
            <w:r w:rsidRPr="0062457D">
              <w:rPr>
                <w:rFonts w:asciiTheme="majorBidi" w:hAnsiTheme="majorBidi" w:cstheme="majorBidi"/>
                <w:b/>
                <w:bCs/>
                <w:color w:val="000000"/>
                <w:sz w:val="18"/>
                <w:szCs w:val="18"/>
              </w:rPr>
              <w:t>Specific service</w:t>
            </w:r>
          </w:p>
        </w:tc>
      </w:tr>
      <w:tr w:rsidR="00F8254A" w:rsidRPr="0062457D" w14:paraId="0F147F26" w14:textId="77777777" w:rsidTr="0014403D">
        <w:trPr>
          <w:trHeight w:val="144"/>
          <w:jc w:val="center"/>
        </w:trPr>
        <w:tc>
          <w:tcPr>
            <w:tcW w:w="960" w:type="dxa"/>
            <w:tcBorders>
              <w:top w:val="single" w:sz="4" w:space="0" w:color="auto"/>
            </w:tcBorders>
            <w:noWrap/>
            <w:vAlign w:val="bottom"/>
            <w:hideMark/>
          </w:tcPr>
          <w:p w14:paraId="06AA2E92"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1</w:t>
            </w:r>
          </w:p>
        </w:tc>
        <w:tc>
          <w:tcPr>
            <w:tcW w:w="1645" w:type="dxa"/>
            <w:tcBorders>
              <w:top w:val="single" w:sz="4" w:space="0" w:color="auto"/>
            </w:tcBorders>
            <w:noWrap/>
            <w:vAlign w:val="bottom"/>
            <w:hideMark/>
          </w:tcPr>
          <w:p w14:paraId="49C94438"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49.34</w:t>
            </w:r>
          </w:p>
        </w:tc>
        <w:tc>
          <w:tcPr>
            <w:tcW w:w="1530" w:type="dxa"/>
            <w:tcBorders>
              <w:top w:val="single" w:sz="4" w:space="0" w:color="auto"/>
            </w:tcBorders>
            <w:noWrap/>
            <w:vAlign w:val="bottom"/>
            <w:hideMark/>
          </w:tcPr>
          <w:p w14:paraId="494B067D"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49.91</w:t>
            </w:r>
          </w:p>
        </w:tc>
        <w:tc>
          <w:tcPr>
            <w:tcW w:w="1530" w:type="dxa"/>
            <w:tcBorders>
              <w:top w:val="single" w:sz="4" w:space="0" w:color="auto"/>
            </w:tcBorders>
            <w:noWrap/>
            <w:vAlign w:val="bottom"/>
            <w:hideMark/>
          </w:tcPr>
          <w:p w14:paraId="5E44C3B2"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F8254A" w:rsidRPr="0062457D" w14:paraId="11EA9A6D" w14:textId="77777777" w:rsidTr="0014403D">
        <w:trPr>
          <w:trHeight w:val="144"/>
          <w:jc w:val="center"/>
        </w:trPr>
        <w:tc>
          <w:tcPr>
            <w:tcW w:w="960" w:type="dxa"/>
            <w:noWrap/>
            <w:vAlign w:val="bottom"/>
            <w:hideMark/>
          </w:tcPr>
          <w:p w14:paraId="205E9578"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2</w:t>
            </w:r>
          </w:p>
        </w:tc>
        <w:tc>
          <w:tcPr>
            <w:tcW w:w="1645" w:type="dxa"/>
            <w:noWrap/>
            <w:vAlign w:val="bottom"/>
            <w:hideMark/>
          </w:tcPr>
          <w:p w14:paraId="6798ED11"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45.06</w:t>
            </w:r>
          </w:p>
        </w:tc>
        <w:tc>
          <w:tcPr>
            <w:tcW w:w="1530" w:type="dxa"/>
            <w:noWrap/>
            <w:vAlign w:val="bottom"/>
            <w:hideMark/>
          </w:tcPr>
          <w:p w14:paraId="70CB8229"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38.01</w:t>
            </w:r>
          </w:p>
        </w:tc>
        <w:tc>
          <w:tcPr>
            <w:tcW w:w="1530" w:type="dxa"/>
            <w:noWrap/>
            <w:vAlign w:val="bottom"/>
            <w:hideMark/>
          </w:tcPr>
          <w:p w14:paraId="4A4D48B1"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F8254A" w:rsidRPr="0062457D" w14:paraId="4BAF7D57" w14:textId="77777777" w:rsidTr="0014403D">
        <w:trPr>
          <w:trHeight w:val="144"/>
          <w:jc w:val="center"/>
        </w:trPr>
        <w:tc>
          <w:tcPr>
            <w:tcW w:w="960" w:type="dxa"/>
            <w:noWrap/>
            <w:vAlign w:val="bottom"/>
            <w:hideMark/>
          </w:tcPr>
          <w:p w14:paraId="7032FF31"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3</w:t>
            </w:r>
          </w:p>
        </w:tc>
        <w:tc>
          <w:tcPr>
            <w:tcW w:w="1645" w:type="dxa"/>
            <w:noWrap/>
            <w:vAlign w:val="bottom"/>
            <w:hideMark/>
          </w:tcPr>
          <w:p w14:paraId="6F74F275"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63.64</w:t>
            </w:r>
          </w:p>
        </w:tc>
        <w:tc>
          <w:tcPr>
            <w:tcW w:w="1530" w:type="dxa"/>
            <w:noWrap/>
            <w:vAlign w:val="bottom"/>
            <w:hideMark/>
          </w:tcPr>
          <w:p w14:paraId="748675DA"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70.08</w:t>
            </w:r>
          </w:p>
        </w:tc>
        <w:tc>
          <w:tcPr>
            <w:tcW w:w="1530" w:type="dxa"/>
            <w:noWrap/>
            <w:vAlign w:val="bottom"/>
            <w:hideMark/>
          </w:tcPr>
          <w:p w14:paraId="65641611"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F8254A" w:rsidRPr="0062457D" w14:paraId="51EAD315" w14:textId="77777777" w:rsidTr="0014403D">
        <w:trPr>
          <w:trHeight w:val="144"/>
          <w:jc w:val="center"/>
        </w:trPr>
        <w:tc>
          <w:tcPr>
            <w:tcW w:w="960" w:type="dxa"/>
            <w:noWrap/>
            <w:vAlign w:val="bottom"/>
            <w:hideMark/>
          </w:tcPr>
          <w:p w14:paraId="2668536A"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4</w:t>
            </w:r>
          </w:p>
        </w:tc>
        <w:tc>
          <w:tcPr>
            <w:tcW w:w="1645" w:type="dxa"/>
            <w:noWrap/>
            <w:vAlign w:val="bottom"/>
            <w:hideMark/>
          </w:tcPr>
          <w:p w14:paraId="0B54D710"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51.28</w:t>
            </w:r>
          </w:p>
        </w:tc>
        <w:tc>
          <w:tcPr>
            <w:tcW w:w="1530" w:type="dxa"/>
            <w:noWrap/>
            <w:vAlign w:val="bottom"/>
            <w:hideMark/>
          </w:tcPr>
          <w:p w14:paraId="50CB3436"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55.53</w:t>
            </w:r>
          </w:p>
        </w:tc>
        <w:tc>
          <w:tcPr>
            <w:tcW w:w="1530" w:type="dxa"/>
            <w:noWrap/>
            <w:vAlign w:val="bottom"/>
            <w:hideMark/>
          </w:tcPr>
          <w:p w14:paraId="1E9EECB0"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F8254A" w:rsidRPr="0062457D" w14:paraId="63B1807F" w14:textId="77777777" w:rsidTr="0014403D">
        <w:trPr>
          <w:trHeight w:val="144"/>
          <w:jc w:val="center"/>
        </w:trPr>
        <w:tc>
          <w:tcPr>
            <w:tcW w:w="960" w:type="dxa"/>
            <w:noWrap/>
            <w:vAlign w:val="bottom"/>
            <w:hideMark/>
          </w:tcPr>
          <w:p w14:paraId="38B0C0D8"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5</w:t>
            </w:r>
          </w:p>
        </w:tc>
        <w:tc>
          <w:tcPr>
            <w:tcW w:w="1645" w:type="dxa"/>
            <w:noWrap/>
            <w:vAlign w:val="bottom"/>
            <w:hideMark/>
          </w:tcPr>
          <w:p w14:paraId="6FE2EDBE"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56.48</w:t>
            </w:r>
          </w:p>
        </w:tc>
        <w:tc>
          <w:tcPr>
            <w:tcW w:w="1530" w:type="dxa"/>
            <w:noWrap/>
            <w:vAlign w:val="bottom"/>
            <w:hideMark/>
          </w:tcPr>
          <w:p w14:paraId="6FC7729A"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51.64</w:t>
            </w:r>
          </w:p>
        </w:tc>
        <w:tc>
          <w:tcPr>
            <w:tcW w:w="1530" w:type="dxa"/>
            <w:noWrap/>
            <w:vAlign w:val="bottom"/>
            <w:hideMark/>
          </w:tcPr>
          <w:p w14:paraId="51848364"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F8254A" w:rsidRPr="0062457D" w14:paraId="0A1307AE" w14:textId="77777777" w:rsidTr="0014403D">
        <w:trPr>
          <w:trHeight w:val="144"/>
          <w:jc w:val="center"/>
        </w:trPr>
        <w:tc>
          <w:tcPr>
            <w:tcW w:w="960" w:type="dxa"/>
            <w:noWrap/>
            <w:vAlign w:val="bottom"/>
            <w:hideMark/>
          </w:tcPr>
          <w:p w14:paraId="2B9B7AEE"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6</w:t>
            </w:r>
          </w:p>
        </w:tc>
        <w:tc>
          <w:tcPr>
            <w:tcW w:w="1645" w:type="dxa"/>
            <w:noWrap/>
            <w:vAlign w:val="bottom"/>
            <w:hideMark/>
          </w:tcPr>
          <w:p w14:paraId="06C7BA6E"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39.22</w:t>
            </w:r>
          </w:p>
        </w:tc>
        <w:tc>
          <w:tcPr>
            <w:tcW w:w="1530" w:type="dxa"/>
            <w:noWrap/>
            <w:vAlign w:val="bottom"/>
            <w:hideMark/>
          </w:tcPr>
          <w:p w14:paraId="3747C9C1"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42.46</w:t>
            </w:r>
          </w:p>
        </w:tc>
        <w:tc>
          <w:tcPr>
            <w:tcW w:w="1530" w:type="dxa"/>
            <w:noWrap/>
            <w:vAlign w:val="bottom"/>
            <w:hideMark/>
          </w:tcPr>
          <w:p w14:paraId="5813C901"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F8254A" w:rsidRPr="0062457D" w14:paraId="3B50960F" w14:textId="77777777" w:rsidTr="0014403D">
        <w:trPr>
          <w:trHeight w:val="144"/>
          <w:jc w:val="center"/>
        </w:trPr>
        <w:tc>
          <w:tcPr>
            <w:tcW w:w="960" w:type="dxa"/>
            <w:noWrap/>
            <w:vAlign w:val="bottom"/>
            <w:hideMark/>
          </w:tcPr>
          <w:p w14:paraId="171A494C"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7</w:t>
            </w:r>
          </w:p>
        </w:tc>
        <w:tc>
          <w:tcPr>
            <w:tcW w:w="1645" w:type="dxa"/>
            <w:noWrap/>
            <w:vAlign w:val="bottom"/>
            <w:hideMark/>
          </w:tcPr>
          <w:p w14:paraId="667AAD18"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35.56</w:t>
            </w:r>
          </w:p>
        </w:tc>
        <w:tc>
          <w:tcPr>
            <w:tcW w:w="1530" w:type="dxa"/>
            <w:noWrap/>
            <w:vAlign w:val="bottom"/>
            <w:hideMark/>
          </w:tcPr>
          <w:p w14:paraId="0B4F4C50"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15.55</w:t>
            </w:r>
          </w:p>
        </w:tc>
        <w:tc>
          <w:tcPr>
            <w:tcW w:w="1530" w:type="dxa"/>
            <w:noWrap/>
            <w:vAlign w:val="bottom"/>
            <w:hideMark/>
          </w:tcPr>
          <w:p w14:paraId="7C2F3D53"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Petrol</w:t>
            </w:r>
          </w:p>
        </w:tc>
      </w:tr>
      <w:tr w:rsidR="00F8254A" w:rsidRPr="0062457D" w14:paraId="638019BC" w14:textId="77777777" w:rsidTr="0014403D">
        <w:trPr>
          <w:trHeight w:val="144"/>
          <w:jc w:val="center"/>
        </w:trPr>
        <w:tc>
          <w:tcPr>
            <w:tcW w:w="960" w:type="dxa"/>
            <w:shd w:val="clear" w:color="000000" w:fill="FFFF00"/>
            <w:noWrap/>
            <w:vAlign w:val="bottom"/>
            <w:hideMark/>
          </w:tcPr>
          <w:p w14:paraId="1D998F80"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8</w:t>
            </w:r>
          </w:p>
        </w:tc>
        <w:tc>
          <w:tcPr>
            <w:tcW w:w="1645" w:type="dxa"/>
            <w:shd w:val="clear" w:color="000000" w:fill="FFFF00"/>
            <w:noWrap/>
            <w:vAlign w:val="bottom"/>
            <w:hideMark/>
          </w:tcPr>
          <w:p w14:paraId="2722D102"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55.17</w:t>
            </w:r>
          </w:p>
        </w:tc>
        <w:tc>
          <w:tcPr>
            <w:tcW w:w="1530" w:type="dxa"/>
            <w:shd w:val="clear" w:color="000000" w:fill="FFFF00"/>
            <w:noWrap/>
            <w:vAlign w:val="bottom"/>
            <w:hideMark/>
          </w:tcPr>
          <w:p w14:paraId="7DB8F358"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23.5</w:t>
            </w:r>
          </w:p>
        </w:tc>
        <w:tc>
          <w:tcPr>
            <w:tcW w:w="1530" w:type="dxa"/>
            <w:shd w:val="clear" w:color="000000" w:fill="FFFF00"/>
            <w:noWrap/>
            <w:vAlign w:val="bottom"/>
            <w:hideMark/>
          </w:tcPr>
          <w:p w14:paraId="3B5C6AF5"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Diesel</w:t>
            </w:r>
          </w:p>
        </w:tc>
      </w:tr>
      <w:tr w:rsidR="00F8254A" w:rsidRPr="0062457D" w14:paraId="3454125E" w14:textId="77777777" w:rsidTr="0014403D">
        <w:trPr>
          <w:trHeight w:val="144"/>
          <w:jc w:val="center"/>
        </w:trPr>
        <w:tc>
          <w:tcPr>
            <w:tcW w:w="960" w:type="dxa"/>
            <w:noWrap/>
            <w:vAlign w:val="bottom"/>
            <w:hideMark/>
          </w:tcPr>
          <w:p w14:paraId="44682E3E"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9</w:t>
            </w:r>
          </w:p>
        </w:tc>
        <w:tc>
          <w:tcPr>
            <w:tcW w:w="1645" w:type="dxa"/>
            <w:noWrap/>
            <w:vAlign w:val="bottom"/>
            <w:hideMark/>
          </w:tcPr>
          <w:p w14:paraId="6BC2DE68"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87.83</w:t>
            </w:r>
          </w:p>
        </w:tc>
        <w:tc>
          <w:tcPr>
            <w:tcW w:w="1530" w:type="dxa"/>
            <w:noWrap/>
            <w:vAlign w:val="bottom"/>
            <w:hideMark/>
          </w:tcPr>
          <w:p w14:paraId="2DDB2C7A"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58.32</w:t>
            </w:r>
          </w:p>
        </w:tc>
        <w:tc>
          <w:tcPr>
            <w:tcW w:w="1530" w:type="dxa"/>
            <w:noWrap/>
            <w:vAlign w:val="bottom"/>
            <w:hideMark/>
          </w:tcPr>
          <w:p w14:paraId="4C45FEFD"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Diesel</w:t>
            </w:r>
          </w:p>
        </w:tc>
      </w:tr>
      <w:tr w:rsidR="00F8254A" w:rsidRPr="0062457D" w14:paraId="6CC209FE" w14:textId="77777777" w:rsidTr="0014403D">
        <w:trPr>
          <w:trHeight w:val="144"/>
          <w:jc w:val="center"/>
        </w:trPr>
        <w:tc>
          <w:tcPr>
            <w:tcW w:w="960" w:type="dxa"/>
            <w:tcBorders>
              <w:bottom w:val="single" w:sz="4" w:space="0" w:color="auto"/>
            </w:tcBorders>
            <w:noWrap/>
            <w:vAlign w:val="bottom"/>
            <w:hideMark/>
          </w:tcPr>
          <w:p w14:paraId="18516D8D"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Pump 10</w:t>
            </w:r>
          </w:p>
        </w:tc>
        <w:tc>
          <w:tcPr>
            <w:tcW w:w="1645" w:type="dxa"/>
            <w:tcBorders>
              <w:bottom w:val="single" w:sz="4" w:space="0" w:color="auto"/>
            </w:tcBorders>
            <w:noWrap/>
            <w:vAlign w:val="bottom"/>
            <w:hideMark/>
          </w:tcPr>
          <w:p w14:paraId="06E4860E"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77.82</w:t>
            </w:r>
          </w:p>
        </w:tc>
        <w:tc>
          <w:tcPr>
            <w:tcW w:w="1530" w:type="dxa"/>
            <w:tcBorders>
              <w:bottom w:val="single" w:sz="4" w:space="0" w:color="auto"/>
            </w:tcBorders>
            <w:noWrap/>
            <w:vAlign w:val="bottom"/>
            <w:hideMark/>
          </w:tcPr>
          <w:p w14:paraId="07F773AC"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42</w:t>
            </w:r>
          </w:p>
        </w:tc>
        <w:tc>
          <w:tcPr>
            <w:tcW w:w="1530" w:type="dxa"/>
            <w:tcBorders>
              <w:bottom w:val="single" w:sz="4" w:space="0" w:color="auto"/>
            </w:tcBorders>
            <w:noWrap/>
            <w:vAlign w:val="bottom"/>
            <w:hideMark/>
          </w:tcPr>
          <w:p w14:paraId="3B1D43E2" w14:textId="77777777" w:rsidR="00F8254A" w:rsidRPr="0062457D" w:rsidRDefault="00F8254A" w:rsidP="0014403D">
            <w:pPr>
              <w:jc w:val="center"/>
              <w:rPr>
                <w:rFonts w:asciiTheme="majorBidi" w:hAnsiTheme="majorBidi" w:cstheme="majorBidi"/>
                <w:color w:val="000000"/>
                <w:sz w:val="18"/>
                <w:szCs w:val="18"/>
              </w:rPr>
            </w:pPr>
            <w:r w:rsidRPr="0062457D">
              <w:rPr>
                <w:rFonts w:asciiTheme="majorBidi" w:hAnsiTheme="majorBidi" w:cstheme="majorBidi"/>
                <w:color w:val="000000"/>
                <w:sz w:val="18"/>
                <w:szCs w:val="18"/>
              </w:rPr>
              <w:t>Diesel</w:t>
            </w:r>
          </w:p>
        </w:tc>
      </w:tr>
    </w:tbl>
    <w:p w14:paraId="6B064DC1" w14:textId="77777777" w:rsidR="00F8254A" w:rsidRPr="002F2742" w:rsidRDefault="00F8254A" w:rsidP="00F8254A">
      <w:pPr>
        <w:pStyle w:val="Paragraph"/>
      </w:pPr>
    </w:p>
    <w:p w14:paraId="43750047" w14:textId="3250633E" w:rsidR="000F45FC" w:rsidRDefault="000F45FC" w:rsidP="000F45FC">
      <w:pPr>
        <w:pStyle w:val="Paragraph"/>
      </w:pPr>
      <w:r>
        <w:t>Table 4 highlight the impact of the intervention on both petrol and diesel pumps</w:t>
      </w:r>
      <w:r w:rsidR="001C2EFC">
        <w:t xml:space="preserve"> in terms of </w:t>
      </w:r>
      <w:r w:rsidR="00F8254A">
        <w:t xml:space="preserve">pump </w:t>
      </w:r>
      <w:r w:rsidR="001C2EFC">
        <w:t>utilization</w:t>
      </w:r>
      <w:r>
        <w:t>. For the petrol pumps, the changes in utilization were mixed. Pumps 1, 3, 4, and 6 showed slight increases in utilization, with Pump 3 recording the highest jump from 63.64% to 70.08%. This indicates that these pumps absorbed a greater portion of petrol demand after Pump 8 was reassigned to diesel service. Overall, petrol utilization became more imbalanced, as some pumps became more heavily loaded while others were underused.</w:t>
      </w:r>
    </w:p>
    <w:p w14:paraId="554C37D6" w14:textId="77777777" w:rsidR="002F2742" w:rsidRDefault="002F2742" w:rsidP="002F2742">
      <w:pPr>
        <w:pStyle w:val="Paragraph"/>
      </w:pPr>
      <w:r>
        <w:lastRenderedPageBreak/>
        <w:t>For the diesel pumps, the intervention produced a more balanced distribution of utilization. In the base case, diesel pumps were highly overburdened, with Pump 9 at 87.83% and Pump 10 at 77.82%, indicating excessive congestion. After the intervention, both pumps experienced large reductions in utilization, dropping to 58.32% and 42% respectively, which reflects a more sustainable workload. Pump 8, now serving diesel, recorded a utilization of 23.5%, showing that it helped absorb some of the diesel demand. Although Pump 8 is underutilized compared to the others, the redistribution successfully eased the previously high strain on diesel pumps.</w:t>
      </w:r>
    </w:p>
    <w:p w14:paraId="77B50C49" w14:textId="09115940" w:rsidR="006C07CD" w:rsidRDefault="002F2742" w:rsidP="00532796">
      <w:pPr>
        <w:pStyle w:val="Paragraph"/>
      </w:pPr>
      <w:r>
        <w:t>When comparing these findings with the waiting time results, the intervention achieved its intended effect of reducing long delays for diesel customers, but it also introduced inefficiencies in pump utilization for petrol. Diesel pumps shifted from being heavily congested to more balanced, resulting in waiting times dropping from an average of 7.08 minutes to 1.60 minutes. However, petrol pumps became slightly less efficient overall, with average waiting times increasing from 1.92 minutes to 2.51 minutes. In conclusion, while the intervention improved fairness in service between petrol and diesel users, it also created underutilization in some petrol pumps. A refined adjustment, such as redistributing demand more evenly among petrol pumps or encouraging better pump assignment strategies, could further optimize overall system performance.</w:t>
      </w:r>
    </w:p>
    <w:p w14:paraId="2DD1948B" w14:textId="0655FF81" w:rsidR="006C07CD" w:rsidRDefault="006C07CD" w:rsidP="006C07CD">
      <w:pPr>
        <w:pStyle w:val="Heading1"/>
        <w:rPr>
          <w:b w:val="0"/>
          <w:caps w:val="0"/>
          <w:sz w:val="20"/>
        </w:rPr>
      </w:pPr>
      <w:r>
        <w:t>conclusion, limitation and future research</w:t>
      </w:r>
    </w:p>
    <w:p w14:paraId="51F6C81E" w14:textId="60AEDF24" w:rsidR="006C07CD" w:rsidRDefault="006C07CD" w:rsidP="006C07CD">
      <w:pPr>
        <w:pStyle w:val="Paragraph"/>
      </w:pPr>
      <w:r>
        <w:t xml:space="preserve">This study analyzed the queuing system at a petrol station </w:t>
      </w:r>
      <w:r w:rsidR="001C2EFC">
        <w:t xml:space="preserve">to </w:t>
      </w:r>
      <w:r>
        <w:t>assess waiting times, pump utilization, and overall efficiency. The findings revealed that peak hours, particularly on Fridays and Saturdays, resulted in significantly longer waiting times and uneven pump utilization, with some pumps overburdened while others were underutilized. The simulation demonstrated that interventions such as reallocating pump capacity and optimizing service times could improve system performance, reducing delays and balancing utilization across pumps. These insights provide practical recommendations for enhancing operational efficiency and customer satisfaction at petrol stations.</w:t>
      </w:r>
    </w:p>
    <w:p w14:paraId="464A9758" w14:textId="1999F186" w:rsidR="006C07CD" w:rsidRDefault="006C07CD" w:rsidP="006C07CD">
      <w:pPr>
        <w:pStyle w:val="Paragraph"/>
      </w:pPr>
      <w:r>
        <w:t xml:space="preserve">Despite these valuable findings, the study faced several limitations. The data collection was restricted to </w:t>
      </w:r>
      <w:r w:rsidR="001C2EFC">
        <w:t xml:space="preserve">seven </w:t>
      </w:r>
      <w:r>
        <w:t>days</w:t>
      </w:r>
      <w:r w:rsidR="001C2EFC">
        <w:t xml:space="preserve"> with different time frames</w:t>
      </w:r>
      <w:r>
        <w:t>, limiting the generalizability of the results. Assumptions made about arrival patterns and service times may not fully reflect real-world variability, while external factors such as weather conditions or unexpected customer behaviors were excluded. Furthermore, the study focused solely on technical aspects of queuing performance, without considering other important dimensions of customer experience, such as service quality or the availability of amenities. These limitations suggest the need for broader and more comprehensive analyses in future research.</w:t>
      </w:r>
    </w:p>
    <w:p w14:paraId="183E6C68" w14:textId="3ABDD97C" w:rsidR="006C07CD" w:rsidRDefault="006C07CD" w:rsidP="006C07CD">
      <w:pPr>
        <w:pStyle w:val="Paragraph"/>
      </w:pPr>
      <w:r>
        <w:t>To build on this work, future studies should extend the data collection period across different times, seasons, and multiple petrol stations to capture more representative customer patterns and operational variations. Comparative studies across locations could uncover best practices, while integrating advanced technologies such as real-time analytics and machine learning could enable dynamic optimization of queuing systems. Additionally, incorporating customer satisfaction surveys alongside technical analyses would provide a holistic perspective, combining efficiency improvements with service quality enhancements. Such research would not only strengthen the understanding of petrol station operations but also contribute to broader advancements in service system optimization.</w:t>
      </w:r>
    </w:p>
    <w:p w14:paraId="74D4F45E" w14:textId="16F0AE5C" w:rsidR="00613B4D" w:rsidRPr="00A24F3D" w:rsidRDefault="0016385D" w:rsidP="001B5C26">
      <w:pPr>
        <w:pStyle w:val="Heading1"/>
      </w:pPr>
      <w:r w:rsidRPr="00075EA6">
        <w:rPr>
          <w:rFonts w:asciiTheme="majorBidi" w:hAnsiTheme="majorBidi" w:cstheme="majorBidi"/>
        </w:rPr>
        <w:t>References</w:t>
      </w:r>
    </w:p>
    <w:p w14:paraId="340CD7A6" w14:textId="7EDE9FB3" w:rsidR="009C3C63" w:rsidRDefault="007D5C79" w:rsidP="00AE7500">
      <w:pPr>
        <w:pStyle w:val="Reference"/>
      </w:pPr>
      <w:r>
        <w:t xml:space="preserve">J. </w:t>
      </w:r>
      <w:r w:rsidRPr="007D5C79">
        <w:t>Zulkepl</w:t>
      </w:r>
      <w:r w:rsidR="00670954">
        <w:t>i et al.</w:t>
      </w:r>
      <w:r w:rsidRPr="007D5C79">
        <w:t>, Int</w:t>
      </w:r>
      <w:r w:rsidR="00FD0BDD">
        <w:t>.</w:t>
      </w:r>
      <w:r w:rsidRPr="007D5C79">
        <w:t xml:space="preserve"> Journal of Supply Chain Management, </w:t>
      </w:r>
      <w:r w:rsidRPr="007D5C79">
        <w:rPr>
          <w:b/>
          <w:bCs/>
        </w:rPr>
        <w:t>7</w:t>
      </w:r>
      <w:r w:rsidRPr="007D5C79">
        <w:t>(5), 477-484</w:t>
      </w:r>
      <w:r>
        <w:t xml:space="preserve"> (2018)</w:t>
      </w:r>
      <w:r w:rsidR="009C3C63" w:rsidRPr="009C3C63">
        <w:t>.</w:t>
      </w:r>
    </w:p>
    <w:p w14:paraId="3EBA0B76" w14:textId="6F7D49E8" w:rsidR="009C3C63" w:rsidRDefault="00804F6B" w:rsidP="00AE7500">
      <w:pPr>
        <w:pStyle w:val="Reference"/>
      </w:pPr>
      <w:r>
        <w:t xml:space="preserve">R. K. </w:t>
      </w:r>
      <w:r w:rsidR="009C3C63" w:rsidRPr="009C3C63">
        <w:t>Palvannan,</w:t>
      </w:r>
      <w:r>
        <w:t xml:space="preserve"> and K. L.</w:t>
      </w:r>
      <w:r w:rsidR="009C3C63" w:rsidRPr="009C3C63">
        <w:t xml:space="preserve"> Teow</w:t>
      </w:r>
      <w:r>
        <w:t>,</w:t>
      </w:r>
      <w:r w:rsidR="009C3C63" w:rsidRPr="009C3C63">
        <w:t xml:space="preserve"> Journal of medical systems </w:t>
      </w:r>
      <w:r w:rsidR="009C3C63" w:rsidRPr="00CB3240">
        <w:rPr>
          <w:b/>
          <w:bCs/>
        </w:rPr>
        <w:t>36</w:t>
      </w:r>
      <w:r w:rsidR="009C3C63" w:rsidRPr="009C3C63">
        <w:t>(2), 541-547</w:t>
      </w:r>
      <w:r>
        <w:t xml:space="preserve"> (2012)</w:t>
      </w:r>
      <w:r w:rsidR="009C3C63" w:rsidRPr="009C3C63">
        <w:t>.</w:t>
      </w:r>
    </w:p>
    <w:p w14:paraId="52173B29" w14:textId="0BF8D69A" w:rsidR="009C3C63" w:rsidRDefault="00804F6B" w:rsidP="00AE7500">
      <w:pPr>
        <w:pStyle w:val="Reference"/>
      </w:pPr>
      <w:r>
        <w:t xml:space="preserve">M. </w:t>
      </w:r>
      <w:r w:rsidR="009C3C63" w:rsidRPr="009C3C63">
        <w:t>Dahm</w:t>
      </w:r>
      <w:r w:rsidR="00670954">
        <w:t xml:space="preserve"> et al.,</w:t>
      </w:r>
      <w:r w:rsidR="009C3C63" w:rsidRPr="009C3C63">
        <w:t xml:space="preserve"> A. Journal of Retailing </w:t>
      </w:r>
      <w:r w:rsidR="009C3C63" w:rsidRPr="00804F6B">
        <w:rPr>
          <w:b/>
          <w:bCs/>
        </w:rPr>
        <w:t>94</w:t>
      </w:r>
      <w:r w:rsidR="009C3C63" w:rsidRPr="009C3C63">
        <w:t>(2), 217-230</w:t>
      </w:r>
      <w:r>
        <w:t xml:space="preserve"> </w:t>
      </w:r>
      <w:r w:rsidRPr="009C3C63">
        <w:t>(2018)</w:t>
      </w:r>
      <w:r w:rsidR="009C3C63" w:rsidRPr="009C3C63">
        <w:t>.</w:t>
      </w:r>
    </w:p>
    <w:p w14:paraId="28AFA659" w14:textId="4000B394" w:rsidR="003A61B1" w:rsidRDefault="00C64F81" w:rsidP="00AE7500">
      <w:pPr>
        <w:pStyle w:val="Reference"/>
      </w:pPr>
      <w:r>
        <w:t xml:space="preserve">I. B. </w:t>
      </w:r>
      <w:r w:rsidR="00710035" w:rsidRPr="00710035">
        <w:t>Dewandaru</w:t>
      </w:r>
      <w:r w:rsidR="00670954">
        <w:t xml:space="preserve"> et al.</w:t>
      </w:r>
      <w:r w:rsidR="00710035" w:rsidRPr="00710035">
        <w:t xml:space="preserve">, </w:t>
      </w:r>
      <w:r>
        <w:t>“</w:t>
      </w:r>
      <w:r w:rsidR="00710035" w:rsidRPr="00710035">
        <w:t>Analysis of Waiting Time and Worker Utilization on A Gas Station in Indonesia</w:t>
      </w:r>
      <w:r>
        <w:t>”</w:t>
      </w:r>
      <w:r w:rsidR="00E02297">
        <w:t>,</w:t>
      </w:r>
      <w:r w:rsidR="00710035" w:rsidRPr="00710035">
        <w:t xml:space="preserve"> </w:t>
      </w:r>
      <w:r w:rsidR="00E02297">
        <w:t>i</w:t>
      </w:r>
      <w:r w:rsidR="00710035" w:rsidRPr="00710035">
        <w:t xml:space="preserve">n </w:t>
      </w:r>
      <w:r w:rsidR="00710035" w:rsidRPr="00E02297">
        <w:rPr>
          <w:i/>
        </w:rPr>
        <w:t>Proceedings of the Second Asia Pacific International Conference on Industrial Engineering and Operations Management</w:t>
      </w:r>
      <w:r w:rsidR="00710035" w:rsidRPr="00710035">
        <w:t xml:space="preserve">, </w:t>
      </w:r>
      <w:r w:rsidR="00FD0BDD">
        <w:t>(IEOM Society International, Surakarta</w:t>
      </w:r>
      <w:r w:rsidR="00FD0BDD" w:rsidRPr="00075EA6">
        <w:t xml:space="preserve">, </w:t>
      </w:r>
      <w:r w:rsidR="00FD0BDD">
        <w:t>Indonesia</w:t>
      </w:r>
      <w:r w:rsidR="00FD0BDD" w:rsidRPr="00075EA6">
        <w:t>, 20</w:t>
      </w:r>
      <w:r w:rsidR="00FD0BDD">
        <w:t>21)</w:t>
      </w:r>
      <w:r w:rsidR="00FD0BDD" w:rsidRPr="00075EA6">
        <w:t>,</w:t>
      </w:r>
      <w:r w:rsidR="00FD0BDD">
        <w:t xml:space="preserve"> </w:t>
      </w:r>
      <w:r w:rsidR="00710035" w:rsidRPr="00710035">
        <w:t>pp. 1976-198</w:t>
      </w:r>
      <w:r w:rsidR="00E02297">
        <w:t>6.</w:t>
      </w:r>
    </w:p>
    <w:p w14:paraId="067A25A4" w14:textId="48103188" w:rsidR="00431C11" w:rsidRPr="00075EA6" w:rsidRDefault="00431C11" w:rsidP="00AE7500">
      <w:pPr>
        <w:pStyle w:val="Reference"/>
      </w:pPr>
      <w:r w:rsidRPr="00431C11">
        <w:t>N. N. Hawari</w:t>
      </w:r>
      <w:r w:rsidR="00670954">
        <w:t xml:space="preserve"> et al.</w:t>
      </w:r>
      <w:r w:rsidRPr="00431C11">
        <w:t xml:space="preserve">, </w:t>
      </w:r>
      <w:r w:rsidRPr="00E02297">
        <w:rPr>
          <w:iCs/>
        </w:rPr>
        <w:t>ASM Sci. J</w:t>
      </w:r>
      <w:r w:rsidRPr="00E02297">
        <w:t>.</w:t>
      </w:r>
      <w:r w:rsidRPr="00E02297">
        <w:rPr>
          <w:b/>
          <w:bCs/>
        </w:rPr>
        <w:t xml:space="preserve"> </w:t>
      </w:r>
      <w:r w:rsidRPr="00431C11">
        <w:rPr>
          <w:b/>
          <w:bCs/>
        </w:rPr>
        <w:t>20</w:t>
      </w:r>
      <w:r w:rsidRPr="00431C11">
        <w:t>, 1–11 (2025).</w:t>
      </w:r>
    </w:p>
    <w:p w14:paraId="758D62E5" w14:textId="2CC01E3A" w:rsidR="003A61B1" w:rsidRPr="00075EA6" w:rsidRDefault="00745485" w:rsidP="00AE7500">
      <w:pPr>
        <w:pStyle w:val="Reference"/>
      </w:pPr>
      <w:r>
        <w:t xml:space="preserve">I. </w:t>
      </w:r>
      <w:r w:rsidR="00710035" w:rsidRPr="00710035">
        <w:t xml:space="preserve">Amalina, </w:t>
      </w:r>
      <w:r>
        <w:t xml:space="preserve">B. </w:t>
      </w:r>
      <w:r w:rsidR="00710035" w:rsidRPr="00710035">
        <w:t>Siburian,</w:t>
      </w:r>
      <w:r w:rsidR="005072E5">
        <w:t xml:space="preserve"> A. N.</w:t>
      </w:r>
      <w:r w:rsidR="00710035" w:rsidRPr="00710035">
        <w:t xml:space="preserve"> Zaman,</w:t>
      </w:r>
      <w:r w:rsidR="005072E5">
        <w:t xml:space="preserve"> and</w:t>
      </w:r>
      <w:r w:rsidR="00710035" w:rsidRPr="00710035">
        <w:t xml:space="preserve"> </w:t>
      </w:r>
      <w:r>
        <w:t xml:space="preserve">F. </w:t>
      </w:r>
      <w:r w:rsidR="00710035" w:rsidRPr="00710035">
        <w:t>Lestari</w:t>
      </w:r>
      <w:r>
        <w:t>,</w:t>
      </w:r>
      <w:r w:rsidR="00710035" w:rsidRPr="00710035">
        <w:t xml:space="preserve"> </w:t>
      </w:r>
      <w:r w:rsidR="005072E5">
        <w:t>“</w:t>
      </w:r>
      <w:r w:rsidR="00710035" w:rsidRPr="00710035">
        <w:t>Analysis of queue system simulation on banks with arena system modeling</w:t>
      </w:r>
      <w:r w:rsidR="005072E5">
        <w:t>”</w:t>
      </w:r>
      <w:r w:rsidR="00E02297">
        <w:t xml:space="preserve">, </w:t>
      </w:r>
      <w:r w:rsidR="00E02297" w:rsidRPr="00E02297">
        <w:rPr>
          <w:i/>
        </w:rPr>
        <w:t>i</w:t>
      </w:r>
      <w:r w:rsidR="00710035" w:rsidRPr="00E02297">
        <w:rPr>
          <w:i/>
        </w:rPr>
        <w:t>n Proceedings of the Second Asia Pacific International Conference on Industrial Engineering and Operations Management</w:t>
      </w:r>
      <w:r w:rsidR="00FD0BDD">
        <w:t>, (IEOM Society International, Surakarta</w:t>
      </w:r>
      <w:r w:rsidR="00FD0BDD" w:rsidRPr="00075EA6">
        <w:t xml:space="preserve">, </w:t>
      </w:r>
      <w:r w:rsidR="00FD0BDD">
        <w:t>Indonesia</w:t>
      </w:r>
      <w:r w:rsidR="00FD0BDD" w:rsidRPr="00075EA6">
        <w:t>, 20</w:t>
      </w:r>
      <w:r w:rsidR="00FD0BDD">
        <w:t>21)</w:t>
      </w:r>
      <w:r w:rsidR="00FD0BDD" w:rsidRPr="00075EA6">
        <w:t>,</w:t>
      </w:r>
      <w:r>
        <w:t xml:space="preserve"> </w:t>
      </w:r>
      <w:r w:rsidR="00710035" w:rsidRPr="00710035">
        <w:t xml:space="preserve">pp. </w:t>
      </w:r>
      <w:r w:rsidR="00FD0BDD">
        <w:t>1987-1997</w:t>
      </w:r>
      <w:r w:rsidR="00710035" w:rsidRPr="00710035">
        <w:t>.</w:t>
      </w:r>
    </w:p>
    <w:p w14:paraId="4C17DEBB" w14:textId="139917CA" w:rsidR="003A61B1" w:rsidRPr="00075EA6" w:rsidRDefault="00A97D68" w:rsidP="00AE7500">
      <w:pPr>
        <w:pStyle w:val="Reference"/>
      </w:pPr>
      <w:r w:rsidRPr="00A97D68">
        <w:t>A</w:t>
      </w:r>
      <w:r w:rsidR="008B2F0F">
        <w:t xml:space="preserve">. </w:t>
      </w:r>
      <w:r w:rsidRPr="00A97D68">
        <w:t>O Odior</w:t>
      </w:r>
      <w:r w:rsidR="008B2F0F">
        <w:t>,</w:t>
      </w:r>
      <w:r w:rsidRPr="00A97D68">
        <w:t xml:space="preserve"> Nigerian Journal of Technology </w:t>
      </w:r>
      <w:r w:rsidRPr="008B2F0F">
        <w:rPr>
          <w:b/>
          <w:bCs/>
        </w:rPr>
        <w:t>32</w:t>
      </w:r>
      <w:r w:rsidRPr="00A97D68">
        <w:t>(2), 325–332</w:t>
      </w:r>
      <w:r w:rsidR="008B2F0F">
        <w:t xml:space="preserve"> (2019)</w:t>
      </w:r>
      <w:r w:rsidR="003A61B1" w:rsidRPr="00075EA6">
        <w:t>.</w:t>
      </w:r>
    </w:p>
    <w:p w14:paraId="4AC8895E" w14:textId="458ED425" w:rsidR="003A61B1" w:rsidRPr="00075EA6" w:rsidRDefault="005072E5" w:rsidP="00FD0BDD">
      <w:pPr>
        <w:pStyle w:val="Reference"/>
      </w:pPr>
      <w:r>
        <w:t xml:space="preserve">S. S. </w:t>
      </w:r>
      <w:r w:rsidR="00710035" w:rsidRPr="00710035">
        <w:t>Al Mahrooqi,</w:t>
      </w:r>
      <w:r>
        <w:t xml:space="preserve"> and S. Z. </w:t>
      </w:r>
      <w:r w:rsidR="00710035" w:rsidRPr="00710035">
        <w:t xml:space="preserve">Ali. </w:t>
      </w:r>
      <w:r>
        <w:t>“</w:t>
      </w:r>
      <w:r w:rsidR="00710035" w:rsidRPr="00710035">
        <w:t>Petrol Pump Queue Management System for Sultanate of Oman Using Artificial Intelligence Technique</w:t>
      </w:r>
      <w:r>
        <w:t>”</w:t>
      </w:r>
      <w:r w:rsidR="00FD0BDD">
        <w:t>, i</w:t>
      </w:r>
      <w:r w:rsidR="00710035" w:rsidRPr="00710035">
        <w:t xml:space="preserve">n </w:t>
      </w:r>
      <w:r w:rsidR="00710035" w:rsidRPr="00FD0BDD">
        <w:rPr>
          <w:i/>
        </w:rPr>
        <w:t>2019 China-Qatar International Workshop on Artificial Intelligence and Applications to Intelligent Manufacturing (AIAIM</w:t>
      </w:r>
      <w:r w:rsidR="00FD0BDD">
        <w:rPr>
          <w:i/>
        </w:rPr>
        <w:t>),</w:t>
      </w:r>
      <w:r w:rsidR="00FD0BDD">
        <w:t xml:space="preserve"> (IEEE, Doha, Qatar, 2019),</w:t>
      </w:r>
      <w:r w:rsidR="00710035" w:rsidRPr="00FD0BDD">
        <w:t xml:space="preserve"> </w:t>
      </w:r>
      <w:r w:rsidR="00710035" w:rsidRPr="00710035">
        <w:t>pp. 22-</w:t>
      </w:r>
      <w:r w:rsidR="00FD0BDD">
        <w:t>29.</w:t>
      </w:r>
    </w:p>
    <w:sectPr w:rsidR="003A61B1" w:rsidRPr="00075EA6"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9A3AC6A-35BB-41D6-8E90-19093F66D2A9}"/>
  </w:font>
  <w:font w:name="Times New Roman">
    <w:panose1 w:val="02020603050405020304"/>
    <w:charset w:val="00"/>
    <w:family w:val="roman"/>
    <w:pitch w:val="variable"/>
    <w:sig w:usb0="E0002EFF" w:usb1="C000785B" w:usb2="00000009" w:usb3="00000000" w:csb0="000001FF" w:csb1="00000000"/>
    <w:embedRegular r:id="rId2" w:fontKey="{AB2525F5-E0A7-4F92-8CFB-FA95C88191B4}"/>
    <w:embedBold r:id="rId3" w:fontKey="{039ADB85-382D-4392-8ECC-010743FB9A5B}"/>
    <w:embedItalic r:id="rId4" w:fontKey="{854EA6E3-2118-4FA0-9BD9-B33B2030D592}"/>
  </w:font>
  <w:font w:name="Courier New">
    <w:panose1 w:val="02070309020205020404"/>
    <w:charset w:val="00"/>
    <w:family w:val="modern"/>
    <w:pitch w:val="fixed"/>
    <w:sig w:usb0="E0002EFF" w:usb1="C0007843" w:usb2="00000009" w:usb3="00000000" w:csb0="000001FF" w:csb1="00000000"/>
    <w:embedRegular r:id="rId5" w:fontKey="{8042D497-D370-4967-B016-E5842D789716}"/>
  </w:font>
  <w:font w:name="Wingdings">
    <w:panose1 w:val="05000000000000000000"/>
    <w:charset w:val="02"/>
    <w:family w:val="auto"/>
    <w:pitch w:val="variable"/>
    <w:sig w:usb0="00000000" w:usb1="10000000" w:usb2="00000000" w:usb3="00000000" w:csb0="80000000" w:csb1="00000000"/>
    <w:embedRegular r:id="rId6" w:fontKey="{52B044FA-B49B-4983-896A-BD656DB79782}"/>
  </w:font>
  <w:font w:name="Tahoma">
    <w:panose1 w:val="020B0604030504040204"/>
    <w:charset w:val="00"/>
    <w:family w:val="swiss"/>
    <w:pitch w:val="variable"/>
    <w:sig w:usb0="E1002EFF" w:usb1="C000605B" w:usb2="00000029" w:usb3="00000000" w:csb0="000101FF" w:csb1="00000000"/>
    <w:embedRegular r:id="rId7" w:fontKey="{D928EFD6-804E-4D2A-9BC5-9ADE4303EE7E}"/>
  </w:font>
  <w:font w:name="Cambria Math">
    <w:panose1 w:val="02040503050406030204"/>
    <w:charset w:val="00"/>
    <w:family w:val="roman"/>
    <w:pitch w:val="variable"/>
    <w:sig w:usb0="E00006FF" w:usb1="420024FF" w:usb2="02000000" w:usb3="00000000" w:csb0="0000019F" w:csb1="00000000"/>
    <w:embedItalic r:id="rId8" w:fontKey="{74A65A68-FD13-4D8F-897D-4F7749B7523B}"/>
  </w:font>
  <w:font w:name="Cambria">
    <w:panose1 w:val="02040503050406030204"/>
    <w:charset w:val="00"/>
    <w:family w:val="roman"/>
    <w:pitch w:val="variable"/>
    <w:sig w:usb0="E00006FF" w:usb1="420024FF" w:usb2="02000000" w:usb3="00000000" w:csb0="0000019F" w:csb1="00000000"/>
    <w:embedRegular r:id="rId9" w:fontKey="{EA5879CA-4052-4D12-A55E-E7B7943DF181}"/>
  </w:font>
  <w:font w:name="Calibri">
    <w:panose1 w:val="020F0502020204030204"/>
    <w:charset w:val="00"/>
    <w:family w:val="swiss"/>
    <w:pitch w:val="variable"/>
    <w:sig w:usb0="E4002EFF" w:usb1="C000247B" w:usb2="00000009" w:usb3="00000000" w:csb0="000001FF" w:csb1="00000000"/>
    <w:embedRegular r:id="rId10" w:fontKey="{AE73A6CD-BD97-41DB-957A-9D309482468A}"/>
  </w:font>
  <w:font w:name="Arial">
    <w:panose1 w:val="020B0604020202020204"/>
    <w:charset w:val="00"/>
    <w:family w:val="swiss"/>
    <w:pitch w:val="variable"/>
    <w:sig w:usb0="E0002EFF" w:usb1="C000785B" w:usb2="00000009" w:usb3="00000000" w:csb0="000001FF" w:csb1="00000000"/>
    <w:embedRegular r:id="rId11" w:fontKey="{D1170A9D-2B86-495F-BE7A-8994B13091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04AE7"/>
    <w:multiLevelType w:val="hybridMultilevel"/>
    <w:tmpl w:val="69D23A30"/>
    <w:lvl w:ilvl="0" w:tplc="C5946878">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03F79"/>
    <w:multiLevelType w:val="hybridMultilevel"/>
    <w:tmpl w:val="EA9ACAB6"/>
    <w:lvl w:ilvl="0" w:tplc="04EC48F8">
      <w:numFmt w:val="bullet"/>
      <w:lvlText w:val="•"/>
      <w:lvlJc w:val="left"/>
      <w:pPr>
        <w:ind w:left="719" w:hanging="435"/>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6"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5"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840996636">
    <w:abstractNumId w:val="17"/>
  </w:num>
  <w:num w:numId="2" w16cid:durableId="1897619938">
    <w:abstractNumId w:val="5"/>
  </w:num>
  <w:num w:numId="3" w16cid:durableId="1336810936">
    <w:abstractNumId w:val="14"/>
  </w:num>
  <w:num w:numId="4" w16cid:durableId="637222735">
    <w:abstractNumId w:val="9"/>
  </w:num>
  <w:num w:numId="5" w16cid:durableId="1238319634">
    <w:abstractNumId w:val="13"/>
  </w:num>
  <w:num w:numId="6" w16cid:durableId="103696747">
    <w:abstractNumId w:val="6"/>
  </w:num>
  <w:num w:numId="7" w16cid:durableId="1544562592">
    <w:abstractNumId w:val="8"/>
  </w:num>
  <w:num w:numId="8" w16cid:durableId="1424955068">
    <w:abstractNumId w:val="2"/>
  </w:num>
  <w:num w:numId="9" w16cid:durableId="4746977">
    <w:abstractNumId w:val="16"/>
  </w:num>
  <w:num w:numId="10" w16cid:durableId="863594854">
    <w:abstractNumId w:val="11"/>
  </w:num>
  <w:num w:numId="11" w16cid:durableId="1171095031">
    <w:abstractNumId w:val="15"/>
  </w:num>
  <w:num w:numId="12" w16cid:durableId="345447139">
    <w:abstractNumId w:val="12"/>
  </w:num>
  <w:num w:numId="13" w16cid:durableId="754668560">
    <w:abstractNumId w:val="7"/>
  </w:num>
  <w:num w:numId="14" w16cid:durableId="732237337">
    <w:abstractNumId w:val="16"/>
  </w:num>
  <w:num w:numId="15" w16cid:durableId="1836872038">
    <w:abstractNumId w:val="10"/>
  </w:num>
  <w:num w:numId="16" w16cid:durableId="1579712500">
    <w:abstractNumId w:val="7"/>
  </w:num>
  <w:num w:numId="17" w16cid:durableId="1979602902">
    <w:abstractNumId w:val="7"/>
  </w:num>
  <w:num w:numId="18" w16cid:durableId="935484332">
    <w:abstractNumId w:val="7"/>
  </w:num>
  <w:num w:numId="19" w16cid:durableId="464666579">
    <w:abstractNumId w:val="7"/>
  </w:num>
  <w:num w:numId="20" w16cid:durableId="866452512">
    <w:abstractNumId w:val="7"/>
  </w:num>
  <w:num w:numId="21" w16cid:durableId="1094860242">
    <w:abstractNumId w:val="7"/>
  </w:num>
  <w:num w:numId="22" w16cid:durableId="907769551">
    <w:abstractNumId w:val="7"/>
  </w:num>
  <w:num w:numId="23" w16cid:durableId="1980451274">
    <w:abstractNumId w:val="7"/>
  </w:num>
  <w:num w:numId="24" w16cid:durableId="1781728229">
    <w:abstractNumId w:val="7"/>
  </w:num>
  <w:num w:numId="25" w16cid:durableId="671563849">
    <w:abstractNumId w:val="7"/>
  </w:num>
  <w:num w:numId="26" w16cid:durableId="498161747">
    <w:abstractNumId w:val="7"/>
  </w:num>
  <w:num w:numId="27" w16cid:durableId="1748071142">
    <w:abstractNumId w:val="7"/>
  </w:num>
  <w:num w:numId="28" w16cid:durableId="1598169981">
    <w:abstractNumId w:val="7"/>
  </w:num>
  <w:num w:numId="29" w16cid:durableId="1096249423">
    <w:abstractNumId w:val="13"/>
  </w:num>
  <w:num w:numId="30" w16cid:durableId="1851531272">
    <w:abstractNumId w:val="13"/>
  </w:num>
  <w:num w:numId="31" w16cid:durableId="1539388749">
    <w:abstractNumId w:val="13"/>
    <w:lvlOverride w:ilvl="0">
      <w:startOverride w:val="1"/>
    </w:lvlOverride>
  </w:num>
  <w:num w:numId="32" w16cid:durableId="1395081304">
    <w:abstractNumId w:val="13"/>
  </w:num>
  <w:num w:numId="33" w16cid:durableId="1642274254">
    <w:abstractNumId w:val="13"/>
    <w:lvlOverride w:ilvl="0">
      <w:startOverride w:val="1"/>
    </w:lvlOverride>
  </w:num>
  <w:num w:numId="34" w16cid:durableId="1579363297">
    <w:abstractNumId w:val="13"/>
    <w:lvlOverride w:ilvl="0">
      <w:startOverride w:val="1"/>
    </w:lvlOverride>
  </w:num>
  <w:num w:numId="35" w16cid:durableId="441069832">
    <w:abstractNumId w:val="14"/>
    <w:lvlOverride w:ilvl="0">
      <w:startOverride w:val="1"/>
    </w:lvlOverride>
  </w:num>
  <w:num w:numId="36" w16cid:durableId="412708239">
    <w:abstractNumId w:val="14"/>
  </w:num>
  <w:num w:numId="37" w16cid:durableId="840580779">
    <w:abstractNumId w:val="14"/>
    <w:lvlOverride w:ilvl="0">
      <w:startOverride w:val="1"/>
    </w:lvlOverride>
  </w:num>
  <w:num w:numId="38" w16cid:durableId="1660158002">
    <w:abstractNumId w:val="14"/>
  </w:num>
  <w:num w:numId="39" w16cid:durableId="61368889">
    <w:abstractNumId w:val="14"/>
    <w:lvlOverride w:ilvl="0">
      <w:startOverride w:val="1"/>
    </w:lvlOverride>
  </w:num>
  <w:num w:numId="40" w16cid:durableId="1757244101">
    <w:abstractNumId w:val="14"/>
    <w:lvlOverride w:ilvl="0">
      <w:startOverride w:val="1"/>
    </w:lvlOverride>
  </w:num>
  <w:num w:numId="41" w16cid:durableId="1516190227">
    <w:abstractNumId w:val="14"/>
    <w:lvlOverride w:ilvl="0">
      <w:startOverride w:val="1"/>
    </w:lvlOverride>
  </w:num>
  <w:num w:numId="42" w16cid:durableId="1431005161">
    <w:abstractNumId w:val="14"/>
  </w:num>
  <w:num w:numId="43" w16cid:durableId="1108618110">
    <w:abstractNumId w:val="14"/>
  </w:num>
  <w:num w:numId="44" w16cid:durableId="1907955975">
    <w:abstractNumId w:val="4"/>
  </w:num>
  <w:num w:numId="45" w16cid:durableId="236019362">
    <w:abstractNumId w:val="0"/>
  </w:num>
  <w:num w:numId="46" w16cid:durableId="1703633315">
    <w:abstractNumId w:val="1"/>
  </w:num>
  <w:num w:numId="47" w16cid:durableId="11371851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2115"/>
    <w:rsid w:val="00014140"/>
    <w:rsid w:val="00027428"/>
    <w:rsid w:val="00031EC9"/>
    <w:rsid w:val="000324F8"/>
    <w:rsid w:val="00056B82"/>
    <w:rsid w:val="00064CAC"/>
    <w:rsid w:val="00066FED"/>
    <w:rsid w:val="00075EA6"/>
    <w:rsid w:val="0007709F"/>
    <w:rsid w:val="00086F62"/>
    <w:rsid w:val="00090674"/>
    <w:rsid w:val="0009320B"/>
    <w:rsid w:val="00096AE0"/>
    <w:rsid w:val="000B1B74"/>
    <w:rsid w:val="000B3A2D"/>
    <w:rsid w:val="000B49C0"/>
    <w:rsid w:val="000D10C8"/>
    <w:rsid w:val="000D1419"/>
    <w:rsid w:val="000E382F"/>
    <w:rsid w:val="000E75CD"/>
    <w:rsid w:val="000F45FC"/>
    <w:rsid w:val="001036BA"/>
    <w:rsid w:val="001146DC"/>
    <w:rsid w:val="00114AB1"/>
    <w:rsid w:val="001230FF"/>
    <w:rsid w:val="00130BD7"/>
    <w:rsid w:val="00154857"/>
    <w:rsid w:val="00155B67"/>
    <w:rsid w:val="001562AF"/>
    <w:rsid w:val="00161A5B"/>
    <w:rsid w:val="0016385D"/>
    <w:rsid w:val="0016782F"/>
    <w:rsid w:val="001937E9"/>
    <w:rsid w:val="001964E5"/>
    <w:rsid w:val="001A4638"/>
    <w:rsid w:val="001B263B"/>
    <w:rsid w:val="001B476A"/>
    <w:rsid w:val="001B5C26"/>
    <w:rsid w:val="001B7486"/>
    <w:rsid w:val="001C2EFC"/>
    <w:rsid w:val="001C764F"/>
    <w:rsid w:val="001C7BB3"/>
    <w:rsid w:val="001D469C"/>
    <w:rsid w:val="001D5714"/>
    <w:rsid w:val="0021619E"/>
    <w:rsid w:val="0023171B"/>
    <w:rsid w:val="00236BFC"/>
    <w:rsid w:val="00237437"/>
    <w:rsid w:val="002502FD"/>
    <w:rsid w:val="002549AE"/>
    <w:rsid w:val="00274622"/>
    <w:rsid w:val="00285D24"/>
    <w:rsid w:val="00290390"/>
    <w:rsid w:val="002915D3"/>
    <w:rsid w:val="002924DB"/>
    <w:rsid w:val="002941DA"/>
    <w:rsid w:val="002A305A"/>
    <w:rsid w:val="002B5648"/>
    <w:rsid w:val="002E3C35"/>
    <w:rsid w:val="002F2742"/>
    <w:rsid w:val="002F5298"/>
    <w:rsid w:val="00303EDF"/>
    <w:rsid w:val="00317A6E"/>
    <w:rsid w:val="00317C27"/>
    <w:rsid w:val="00321A88"/>
    <w:rsid w:val="00326AE0"/>
    <w:rsid w:val="00337E4F"/>
    <w:rsid w:val="00340C36"/>
    <w:rsid w:val="00346A9D"/>
    <w:rsid w:val="003735E6"/>
    <w:rsid w:val="0039376F"/>
    <w:rsid w:val="003A287B"/>
    <w:rsid w:val="003A5C85"/>
    <w:rsid w:val="003A61B1"/>
    <w:rsid w:val="003B0050"/>
    <w:rsid w:val="003C3F1F"/>
    <w:rsid w:val="003D6312"/>
    <w:rsid w:val="003E7C74"/>
    <w:rsid w:val="003F31C6"/>
    <w:rsid w:val="0040225B"/>
    <w:rsid w:val="00402DA2"/>
    <w:rsid w:val="004046F2"/>
    <w:rsid w:val="00425AC2"/>
    <w:rsid w:val="00431C11"/>
    <w:rsid w:val="0044771F"/>
    <w:rsid w:val="004B151D"/>
    <w:rsid w:val="004C7243"/>
    <w:rsid w:val="004E21DE"/>
    <w:rsid w:val="004E3C57"/>
    <w:rsid w:val="004E3CB2"/>
    <w:rsid w:val="004F148A"/>
    <w:rsid w:val="004F63C6"/>
    <w:rsid w:val="00502E19"/>
    <w:rsid w:val="005072E5"/>
    <w:rsid w:val="00525813"/>
    <w:rsid w:val="00532796"/>
    <w:rsid w:val="0053513F"/>
    <w:rsid w:val="00560606"/>
    <w:rsid w:val="00574405"/>
    <w:rsid w:val="005854B0"/>
    <w:rsid w:val="00587E74"/>
    <w:rsid w:val="005A0E21"/>
    <w:rsid w:val="005A2544"/>
    <w:rsid w:val="005B3A34"/>
    <w:rsid w:val="005B66A0"/>
    <w:rsid w:val="005D49AF"/>
    <w:rsid w:val="005D5716"/>
    <w:rsid w:val="005E415C"/>
    <w:rsid w:val="005E71ED"/>
    <w:rsid w:val="005E7946"/>
    <w:rsid w:val="005F69D2"/>
    <w:rsid w:val="005F7475"/>
    <w:rsid w:val="005F7D3F"/>
    <w:rsid w:val="00611299"/>
    <w:rsid w:val="00613B4D"/>
    <w:rsid w:val="00616365"/>
    <w:rsid w:val="00616F3B"/>
    <w:rsid w:val="0062457D"/>
    <w:rsid w:val="006249A7"/>
    <w:rsid w:val="0064225B"/>
    <w:rsid w:val="00670954"/>
    <w:rsid w:val="006763F9"/>
    <w:rsid w:val="006949BC"/>
    <w:rsid w:val="006C07CD"/>
    <w:rsid w:val="006C3555"/>
    <w:rsid w:val="006D1229"/>
    <w:rsid w:val="006D372F"/>
    <w:rsid w:val="006D7A18"/>
    <w:rsid w:val="006E4474"/>
    <w:rsid w:val="00701388"/>
    <w:rsid w:val="00710035"/>
    <w:rsid w:val="00723B7F"/>
    <w:rsid w:val="00725861"/>
    <w:rsid w:val="0073393A"/>
    <w:rsid w:val="0073539D"/>
    <w:rsid w:val="00735B81"/>
    <w:rsid w:val="00745485"/>
    <w:rsid w:val="00767B8A"/>
    <w:rsid w:val="00775481"/>
    <w:rsid w:val="007A233B"/>
    <w:rsid w:val="007B4863"/>
    <w:rsid w:val="007C65E6"/>
    <w:rsid w:val="007D406B"/>
    <w:rsid w:val="007D4407"/>
    <w:rsid w:val="007D5170"/>
    <w:rsid w:val="007D5C79"/>
    <w:rsid w:val="007D72A5"/>
    <w:rsid w:val="007E1CA3"/>
    <w:rsid w:val="007E379E"/>
    <w:rsid w:val="00804F6B"/>
    <w:rsid w:val="00812D62"/>
    <w:rsid w:val="00812F29"/>
    <w:rsid w:val="00821713"/>
    <w:rsid w:val="00827050"/>
    <w:rsid w:val="0083278B"/>
    <w:rsid w:val="00834538"/>
    <w:rsid w:val="00850E89"/>
    <w:rsid w:val="008930E4"/>
    <w:rsid w:val="00893821"/>
    <w:rsid w:val="00896BD8"/>
    <w:rsid w:val="008A7B9C"/>
    <w:rsid w:val="008B00E2"/>
    <w:rsid w:val="008B2F0F"/>
    <w:rsid w:val="008B39FA"/>
    <w:rsid w:val="008B4754"/>
    <w:rsid w:val="008D1428"/>
    <w:rsid w:val="008E6A7A"/>
    <w:rsid w:val="008F1038"/>
    <w:rsid w:val="008F103A"/>
    <w:rsid w:val="008F7046"/>
    <w:rsid w:val="009005FC"/>
    <w:rsid w:val="00922E5A"/>
    <w:rsid w:val="00943315"/>
    <w:rsid w:val="00946C27"/>
    <w:rsid w:val="0096538E"/>
    <w:rsid w:val="0096729D"/>
    <w:rsid w:val="009A4F3D"/>
    <w:rsid w:val="009B696B"/>
    <w:rsid w:val="009B7671"/>
    <w:rsid w:val="009C3C63"/>
    <w:rsid w:val="009E5BA1"/>
    <w:rsid w:val="009F056E"/>
    <w:rsid w:val="00A040BA"/>
    <w:rsid w:val="00A24F3D"/>
    <w:rsid w:val="00A26DCD"/>
    <w:rsid w:val="00A314BB"/>
    <w:rsid w:val="00A32B7D"/>
    <w:rsid w:val="00A32DBE"/>
    <w:rsid w:val="00A45863"/>
    <w:rsid w:val="00A5596B"/>
    <w:rsid w:val="00A5780E"/>
    <w:rsid w:val="00A646B3"/>
    <w:rsid w:val="00A64AE4"/>
    <w:rsid w:val="00A6739B"/>
    <w:rsid w:val="00A76E0A"/>
    <w:rsid w:val="00A90413"/>
    <w:rsid w:val="00A97D68"/>
    <w:rsid w:val="00AA728C"/>
    <w:rsid w:val="00AB0A9C"/>
    <w:rsid w:val="00AB7119"/>
    <w:rsid w:val="00AD5855"/>
    <w:rsid w:val="00AE49D0"/>
    <w:rsid w:val="00AE7500"/>
    <w:rsid w:val="00AE7F87"/>
    <w:rsid w:val="00AF1B11"/>
    <w:rsid w:val="00AF3542"/>
    <w:rsid w:val="00AF5ABE"/>
    <w:rsid w:val="00B00415"/>
    <w:rsid w:val="00B03C2A"/>
    <w:rsid w:val="00B05133"/>
    <w:rsid w:val="00B1000D"/>
    <w:rsid w:val="00B10134"/>
    <w:rsid w:val="00B16BFE"/>
    <w:rsid w:val="00B44991"/>
    <w:rsid w:val="00B4534F"/>
    <w:rsid w:val="00B46B25"/>
    <w:rsid w:val="00B500E5"/>
    <w:rsid w:val="00B50316"/>
    <w:rsid w:val="00B673CE"/>
    <w:rsid w:val="00B9652B"/>
    <w:rsid w:val="00BA39BB"/>
    <w:rsid w:val="00BA3B3D"/>
    <w:rsid w:val="00BB4266"/>
    <w:rsid w:val="00BB7EEA"/>
    <w:rsid w:val="00BC2F6F"/>
    <w:rsid w:val="00BD1909"/>
    <w:rsid w:val="00BE5E16"/>
    <w:rsid w:val="00BE5FD1"/>
    <w:rsid w:val="00C06E05"/>
    <w:rsid w:val="00C14B14"/>
    <w:rsid w:val="00C17370"/>
    <w:rsid w:val="00C2054D"/>
    <w:rsid w:val="00C252EB"/>
    <w:rsid w:val="00C26EC0"/>
    <w:rsid w:val="00C56C77"/>
    <w:rsid w:val="00C64F81"/>
    <w:rsid w:val="00C84923"/>
    <w:rsid w:val="00C9383D"/>
    <w:rsid w:val="00CB3240"/>
    <w:rsid w:val="00CB7B3E"/>
    <w:rsid w:val="00CC739D"/>
    <w:rsid w:val="00CD38BC"/>
    <w:rsid w:val="00CF311F"/>
    <w:rsid w:val="00CF3BFE"/>
    <w:rsid w:val="00D04468"/>
    <w:rsid w:val="00D30640"/>
    <w:rsid w:val="00D36257"/>
    <w:rsid w:val="00D4687E"/>
    <w:rsid w:val="00D46C18"/>
    <w:rsid w:val="00D53054"/>
    <w:rsid w:val="00D53A12"/>
    <w:rsid w:val="00D837F3"/>
    <w:rsid w:val="00D87E2A"/>
    <w:rsid w:val="00DB0C43"/>
    <w:rsid w:val="00DE3354"/>
    <w:rsid w:val="00DF7DCD"/>
    <w:rsid w:val="00E02297"/>
    <w:rsid w:val="00E105B9"/>
    <w:rsid w:val="00E50B7D"/>
    <w:rsid w:val="00E70D60"/>
    <w:rsid w:val="00E904A1"/>
    <w:rsid w:val="00EB7D28"/>
    <w:rsid w:val="00EC0D0C"/>
    <w:rsid w:val="00ED4A2C"/>
    <w:rsid w:val="00EE3DD4"/>
    <w:rsid w:val="00EF6940"/>
    <w:rsid w:val="00F2044A"/>
    <w:rsid w:val="00F20BFC"/>
    <w:rsid w:val="00F22145"/>
    <w:rsid w:val="00F24D5F"/>
    <w:rsid w:val="00F44BD7"/>
    <w:rsid w:val="00F55FBD"/>
    <w:rsid w:val="00F726C3"/>
    <w:rsid w:val="00F820CA"/>
    <w:rsid w:val="00F8254A"/>
    <w:rsid w:val="00F8554C"/>
    <w:rsid w:val="00F926B8"/>
    <w:rsid w:val="00F95F82"/>
    <w:rsid w:val="00F97A90"/>
    <w:rsid w:val="00FA0BD1"/>
    <w:rsid w:val="00FC2F35"/>
    <w:rsid w:val="00FC3FD7"/>
    <w:rsid w:val="00FC4502"/>
    <w:rsid w:val="00FD0BDD"/>
    <w:rsid w:val="00FD1FC6"/>
    <w:rsid w:val="00FE0E48"/>
    <w:rsid w:val="00FE1A15"/>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2Char">
    <w:name w:val="Heading 2 Char"/>
    <w:basedOn w:val="DefaultParagraphFont"/>
    <w:link w:val="Heading2"/>
    <w:rsid w:val="00B05133"/>
    <w:rPr>
      <w:b/>
      <w:sz w:val="24"/>
      <w:lang w:val="en-US" w:eastAsia="en-US"/>
    </w:rPr>
  </w:style>
  <w:style w:type="character" w:customStyle="1" w:styleId="Heading1Char">
    <w:name w:val="Heading 1 Char"/>
    <w:basedOn w:val="DefaultParagraphFont"/>
    <w:link w:val="Heading1"/>
    <w:rsid w:val="002549AE"/>
    <w:rPr>
      <w:b/>
      <w:caps/>
      <w:sz w:val="24"/>
      <w:lang w:val="en-US" w:eastAsia="en-US"/>
    </w:rPr>
  </w:style>
  <w:style w:type="character" w:styleId="PlaceholderText">
    <w:name w:val="Placeholder Text"/>
    <w:basedOn w:val="DefaultParagraphFont"/>
    <w:uiPriority w:val="99"/>
    <w:semiHidden/>
    <w:rsid w:val="00E105B9"/>
    <w:rPr>
      <w:color w:val="808080"/>
    </w:rPr>
  </w:style>
  <w:style w:type="paragraph" w:styleId="Caption">
    <w:name w:val="caption"/>
    <w:basedOn w:val="Normal"/>
    <w:next w:val="Normal"/>
    <w:unhideWhenUsed/>
    <w:qFormat/>
    <w:rsid w:val="00317A6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833332">
      <w:bodyDiv w:val="1"/>
      <w:marLeft w:val="0"/>
      <w:marRight w:val="0"/>
      <w:marTop w:val="0"/>
      <w:marBottom w:val="0"/>
      <w:divBdr>
        <w:top w:val="none" w:sz="0" w:space="0" w:color="auto"/>
        <w:left w:val="none" w:sz="0" w:space="0" w:color="auto"/>
        <w:bottom w:val="none" w:sz="0" w:space="0" w:color="auto"/>
        <w:right w:val="none" w:sz="0" w:space="0" w:color="auto"/>
      </w:divBdr>
    </w:div>
    <w:div w:id="1123500433">
      <w:bodyDiv w:val="1"/>
      <w:marLeft w:val="0"/>
      <w:marRight w:val="0"/>
      <w:marTop w:val="0"/>
      <w:marBottom w:val="0"/>
      <w:divBdr>
        <w:top w:val="none" w:sz="0" w:space="0" w:color="auto"/>
        <w:left w:val="none" w:sz="0" w:space="0" w:color="auto"/>
        <w:bottom w:val="none" w:sz="0" w:space="0" w:color="auto"/>
        <w:right w:val="none" w:sz="0" w:space="0" w:color="auto"/>
      </w:divBdr>
    </w:div>
    <w:div w:id="1176383899">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202227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621772-F596-46CB-ADFA-844273CC39CF}">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3338</Words>
  <Characters>19029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2025-11-19T11:36:00Z</cp:lastPrinted>
  <dcterms:created xsi:type="dcterms:W3CDTF">2026-01-15T14:13:00Z</dcterms:created>
  <dcterms:modified xsi:type="dcterms:W3CDTF">2026-01-15T14:13:00Z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