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6478EA" w14:textId="42CAB2FC" w:rsidR="00471170" w:rsidRPr="00471170" w:rsidRDefault="00471170" w:rsidP="006E0BF0">
      <w:pPr>
        <w:pStyle w:val="2"/>
        <w:numPr>
          <w:ilvl w:val="0"/>
          <w:numId w:val="0"/>
        </w:numPr>
        <w:spacing w:before="1200"/>
        <w:jc w:val="center"/>
        <w:rPr>
          <w:sz w:val="36"/>
          <w:szCs w:val="36"/>
        </w:rPr>
      </w:pPr>
      <w:r w:rsidRPr="00471170">
        <w:rPr>
          <w:sz w:val="36"/>
          <w:szCs w:val="36"/>
        </w:rPr>
        <w:t>Analysis of the Spatial Distribution of Gold</w:t>
      </w:r>
      <w:r>
        <w:rPr>
          <w:sz w:val="36"/>
          <w:szCs w:val="36"/>
        </w:rPr>
        <w:t>-</w:t>
      </w:r>
      <w:r w:rsidRPr="00471170">
        <w:rPr>
          <w:sz w:val="36"/>
          <w:szCs w:val="36"/>
        </w:rPr>
        <w:t>Platinum Mineralization and Geological</w:t>
      </w:r>
      <w:r>
        <w:rPr>
          <w:sz w:val="36"/>
          <w:szCs w:val="36"/>
        </w:rPr>
        <w:t>-</w:t>
      </w:r>
      <w:r w:rsidRPr="00471170">
        <w:rPr>
          <w:sz w:val="36"/>
          <w:szCs w:val="36"/>
        </w:rPr>
        <w:t xml:space="preserve">Structural Controls in the </w:t>
      </w:r>
      <w:proofErr w:type="spellStart"/>
      <w:r w:rsidRPr="00471170">
        <w:rPr>
          <w:sz w:val="36"/>
          <w:szCs w:val="36"/>
        </w:rPr>
        <w:t>Kaspaktao</w:t>
      </w:r>
      <w:proofErr w:type="spellEnd"/>
      <w:r w:rsidRPr="00471170">
        <w:rPr>
          <w:sz w:val="36"/>
          <w:szCs w:val="36"/>
        </w:rPr>
        <w:t xml:space="preserve"> Prospective Area Using Digital Remote Sensing Data</w:t>
      </w:r>
    </w:p>
    <w:p w14:paraId="737F8491" w14:textId="0F5DA331" w:rsidR="00471170" w:rsidRPr="006E0BF0" w:rsidRDefault="00471170" w:rsidP="006E0BF0">
      <w:pPr>
        <w:pStyle w:val="a8"/>
        <w:spacing w:before="240" w:beforeAutospacing="0" w:after="200" w:afterAutospacing="0"/>
        <w:jc w:val="center"/>
        <w:rPr>
          <w:b/>
          <w:bCs/>
          <w:sz w:val="28"/>
          <w:szCs w:val="28"/>
        </w:rPr>
      </w:pPr>
      <w:r w:rsidRPr="006E0BF0">
        <w:rPr>
          <w:rStyle w:val="a9"/>
          <w:b w:val="0"/>
          <w:bCs w:val="0"/>
          <w:sz w:val="28"/>
          <w:szCs w:val="28"/>
        </w:rPr>
        <w:t>Nafisa Umarova</w:t>
      </w:r>
      <w:r w:rsidR="006E0BF0">
        <w:rPr>
          <w:rStyle w:val="a9"/>
          <w:b w:val="0"/>
          <w:bCs w:val="0"/>
          <w:sz w:val="28"/>
          <w:szCs w:val="28"/>
          <w:vertAlign w:val="superscript"/>
        </w:rPr>
        <w:t xml:space="preserve"> </w:t>
      </w:r>
      <w:r w:rsidRPr="006E0BF0">
        <w:rPr>
          <w:rStyle w:val="a9"/>
          <w:b w:val="0"/>
          <w:bCs w:val="0"/>
          <w:sz w:val="28"/>
          <w:szCs w:val="28"/>
          <w:vertAlign w:val="superscript"/>
        </w:rPr>
        <w:t>a)</w:t>
      </w:r>
      <w:r w:rsidRPr="006E0BF0">
        <w:rPr>
          <w:rStyle w:val="a9"/>
          <w:b w:val="0"/>
          <w:bCs w:val="0"/>
          <w:sz w:val="28"/>
          <w:szCs w:val="28"/>
        </w:rPr>
        <w:t xml:space="preserve">, </w:t>
      </w:r>
      <w:proofErr w:type="spellStart"/>
      <w:r w:rsidR="006E0BF0" w:rsidRPr="006E0BF0">
        <w:rPr>
          <w:rStyle w:val="a9"/>
          <w:b w:val="0"/>
          <w:bCs w:val="0"/>
          <w:sz w:val="28"/>
          <w:szCs w:val="28"/>
        </w:rPr>
        <w:t>Odiljon</w:t>
      </w:r>
      <w:proofErr w:type="spellEnd"/>
      <w:r w:rsidR="006E0BF0" w:rsidRPr="006E0BF0">
        <w:rPr>
          <w:rStyle w:val="a9"/>
          <w:b w:val="0"/>
          <w:bCs w:val="0"/>
          <w:sz w:val="28"/>
          <w:szCs w:val="28"/>
        </w:rPr>
        <w:t xml:space="preserve"> </w:t>
      </w:r>
      <w:r w:rsidRPr="006E0BF0">
        <w:rPr>
          <w:rStyle w:val="a9"/>
          <w:b w:val="0"/>
          <w:bCs w:val="0"/>
          <w:sz w:val="28"/>
          <w:szCs w:val="28"/>
        </w:rPr>
        <w:t xml:space="preserve">Achilov, </w:t>
      </w:r>
      <w:proofErr w:type="spellStart"/>
      <w:r w:rsidR="006E0BF0" w:rsidRPr="006E0BF0">
        <w:rPr>
          <w:rStyle w:val="a9"/>
          <w:b w:val="0"/>
          <w:bCs w:val="0"/>
          <w:sz w:val="28"/>
          <w:szCs w:val="28"/>
        </w:rPr>
        <w:t>Fazliddin</w:t>
      </w:r>
      <w:proofErr w:type="spellEnd"/>
      <w:r w:rsidR="006E0BF0" w:rsidRPr="006E0BF0">
        <w:rPr>
          <w:rStyle w:val="a9"/>
          <w:b w:val="0"/>
          <w:bCs w:val="0"/>
          <w:sz w:val="28"/>
          <w:szCs w:val="28"/>
        </w:rPr>
        <w:t xml:space="preserve"> </w:t>
      </w:r>
      <w:proofErr w:type="gramStart"/>
      <w:r w:rsidRPr="006E0BF0">
        <w:rPr>
          <w:rStyle w:val="a9"/>
          <w:b w:val="0"/>
          <w:bCs w:val="0"/>
          <w:sz w:val="28"/>
          <w:szCs w:val="28"/>
        </w:rPr>
        <w:t>To‘</w:t>
      </w:r>
      <w:proofErr w:type="gramEnd"/>
      <w:r w:rsidRPr="006E0BF0">
        <w:rPr>
          <w:rStyle w:val="a9"/>
          <w:b w:val="0"/>
          <w:bCs w:val="0"/>
          <w:sz w:val="28"/>
          <w:szCs w:val="28"/>
        </w:rPr>
        <w:t xml:space="preserve">rayev, </w:t>
      </w:r>
      <w:proofErr w:type="spellStart"/>
      <w:r w:rsidR="006E0BF0" w:rsidRPr="006E0BF0">
        <w:rPr>
          <w:rStyle w:val="a9"/>
          <w:b w:val="0"/>
          <w:bCs w:val="0"/>
          <w:sz w:val="28"/>
          <w:szCs w:val="28"/>
        </w:rPr>
        <w:t>Shahzod</w:t>
      </w:r>
      <w:proofErr w:type="spellEnd"/>
      <w:r w:rsidR="006E0BF0" w:rsidRPr="006E0BF0">
        <w:rPr>
          <w:rStyle w:val="a9"/>
          <w:b w:val="0"/>
          <w:bCs w:val="0"/>
          <w:sz w:val="28"/>
          <w:szCs w:val="28"/>
        </w:rPr>
        <w:t xml:space="preserve"> </w:t>
      </w:r>
      <w:r w:rsidRPr="006E0BF0">
        <w:rPr>
          <w:rStyle w:val="a9"/>
          <w:b w:val="0"/>
          <w:bCs w:val="0"/>
          <w:sz w:val="28"/>
          <w:szCs w:val="28"/>
        </w:rPr>
        <w:t xml:space="preserve">Ahmedov </w:t>
      </w:r>
    </w:p>
    <w:p w14:paraId="7E0DAD87" w14:textId="5ED1E5EC" w:rsidR="00471170" w:rsidRPr="00471170" w:rsidRDefault="006E0BF0" w:rsidP="00471170">
      <w:pPr>
        <w:pStyle w:val="a8"/>
        <w:jc w:val="center"/>
        <w:rPr>
          <w:i/>
          <w:iCs/>
          <w:sz w:val="20"/>
          <w:szCs w:val="20"/>
        </w:rPr>
      </w:pPr>
      <w:r w:rsidRPr="006E0BF0">
        <w:rPr>
          <w:i/>
          <w:iCs/>
          <w:sz w:val="20"/>
          <w:szCs w:val="20"/>
        </w:rPr>
        <w:t>University of Geological Sciences, Tashkent, Uzbekistan</w:t>
      </w:r>
    </w:p>
    <w:p w14:paraId="34033280" w14:textId="6F45EBAA" w:rsidR="00471170" w:rsidRDefault="00471170" w:rsidP="00471170">
      <w:pPr>
        <w:pStyle w:val="a8"/>
        <w:jc w:val="center"/>
        <w:rPr>
          <w:i/>
          <w:iCs/>
          <w:color w:val="2E74B5" w:themeColor="accent5" w:themeShade="BF"/>
          <w:sz w:val="20"/>
          <w:szCs w:val="20"/>
        </w:rPr>
      </w:pPr>
      <w:r w:rsidRPr="00471170">
        <w:rPr>
          <w:rStyle w:val="a9"/>
          <w:b w:val="0"/>
          <w:bCs w:val="0"/>
          <w:i/>
          <w:iCs/>
          <w:vertAlign w:val="superscript"/>
        </w:rPr>
        <w:t>a)</w:t>
      </w:r>
      <w:r>
        <w:rPr>
          <w:rStyle w:val="a9"/>
          <w:b w:val="0"/>
          <w:bCs w:val="0"/>
          <w:vertAlign w:val="superscript"/>
        </w:rPr>
        <w:t xml:space="preserve"> </w:t>
      </w:r>
      <w:r w:rsidRPr="00471170">
        <w:rPr>
          <w:rStyle w:val="a9"/>
          <w:b w:val="0"/>
          <w:bCs w:val="0"/>
          <w:i/>
          <w:iCs/>
          <w:sz w:val="20"/>
          <w:szCs w:val="20"/>
        </w:rPr>
        <w:t>Corresponding author:</w:t>
      </w:r>
      <w:r w:rsidRPr="00471170">
        <w:rPr>
          <w:i/>
          <w:iCs/>
          <w:sz w:val="20"/>
          <w:szCs w:val="20"/>
        </w:rPr>
        <w:t xml:space="preserve"> </w:t>
      </w:r>
      <w:hyperlink r:id="rId8" w:history="1">
        <w:r w:rsidRPr="0091423A">
          <w:rPr>
            <w:rStyle w:val="ab"/>
            <w:i/>
            <w:iCs/>
            <w:color w:val="034990" w:themeColor="hyperlink" w:themeShade="BF"/>
            <w:sz w:val="20"/>
            <w:szCs w:val="20"/>
          </w:rPr>
          <w:t>umarovanafisa45@gmail.com</w:t>
        </w:r>
      </w:hyperlink>
    </w:p>
    <w:p w14:paraId="69C310B6" w14:textId="120A664C" w:rsidR="00471170" w:rsidRPr="006E0BF0" w:rsidRDefault="00471170" w:rsidP="006E0BF0">
      <w:pPr>
        <w:pStyle w:val="a8"/>
        <w:spacing w:before="360" w:beforeAutospacing="0" w:after="360" w:afterAutospacing="0"/>
        <w:ind w:left="284" w:right="284"/>
        <w:jc w:val="both"/>
        <w:rPr>
          <w:i/>
          <w:iCs/>
          <w:color w:val="2E74B5" w:themeColor="accent5" w:themeShade="BF"/>
          <w:sz w:val="18"/>
          <w:szCs w:val="18"/>
        </w:rPr>
      </w:pPr>
      <w:r w:rsidRPr="006E0BF0">
        <w:rPr>
          <w:b/>
          <w:bCs/>
          <w:sz w:val="18"/>
          <w:szCs w:val="18"/>
        </w:rPr>
        <w:t>Abstract.</w:t>
      </w:r>
      <w:r w:rsidRPr="006E0BF0">
        <w:rPr>
          <w:sz w:val="18"/>
          <w:szCs w:val="18"/>
        </w:rPr>
        <w:t xml:space="preserve"> This study investigates the spatial characteristics and structural controls of gold–platinum mineralization within the </w:t>
      </w:r>
      <w:proofErr w:type="spellStart"/>
      <w:r w:rsidRPr="006E0BF0">
        <w:rPr>
          <w:sz w:val="18"/>
          <w:szCs w:val="18"/>
        </w:rPr>
        <w:t>Kaspaktao</w:t>
      </w:r>
      <w:proofErr w:type="spellEnd"/>
      <w:r w:rsidRPr="006E0BF0">
        <w:rPr>
          <w:sz w:val="18"/>
          <w:szCs w:val="18"/>
        </w:rPr>
        <w:t xml:space="preserve"> prospective area of the Navoi region, Uzbekistan, through the application of advanced Remote Sensing (RS) and Geographic Information System (GIS) techniques. Multispectral satellite datasets acquired from Landsat-8 OLI, Sentinel-2 MSI, and ASTER sensors were processed using spectral enhancement, Principal Component Analysis (PCA), Intensity–Tone–Saturation (ITS) transformation, and directional edge-detection filtering. These methods enabled the extraction of lithological contrasts, tectonic lineaments, and hydrothermal alteration features that govern ore localization. The results demonstrate a strong correlation between mineralized zones and dominant structural elements, particularly synclinal axes and associated fracture networks. The applied methodological framework significantly improves the reliability of early-stage mineral prospecting in arid and structurally complex regions.</w:t>
      </w:r>
    </w:p>
    <w:p w14:paraId="6688A6D3" w14:textId="216F2D5F" w:rsidR="00471170" w:rsidRPr="00121874" w:rsidRDefault="00471170" w:rsidP="00CD79FC">
      <w:pPr>
        <w:pStyle w:val="a8"/>
        <w:jc w:val="center"/>
        <w:rPr>
          <w:b/>
          <w:bCs/>
        </w:rPr>
      </w:pPr>
      <w:r w:rsidRPr="00121874">
        <w:rPr>
          <w:b/>
          <w:bCs/>
        </w:rPr>
        <w:t>INTRODUCTION</w:t>
      </w:r>
    </w:p>
    <w:p w14:paraId="2374DF5F" w14:textId="01BF7916" w:rsidR="00471170" w:rsidRPr="00486E3B" w:rsidRDefault="00471170" w:rsidP="006E0BF0">
      <w:pPr>
        <w:pStyle w:val="a8"/>
        <w:spacing w:before="0" w:beforeAutospacing="0" w:after="0" w:afterAutospacing="0"/>
        <w:ind w:firstLine="284"/>
        <w:jc w:val="both"/>
        <w:rPr>
          <w:sz w:val="20"/>
          <w:szCs w:val="20"/>
        </w:rPr>
      </w:pPr>
      <w:r w:rsidRPr="00486E3B">
        <w:rPr>
          <w:sz w:val="20"/>
          <w:szCs w:val="20"/>
        </w:rPr>
        <w:t>The rapid advancement of satellite</w:t>
      </w:r>
      <w:r w:rsidR="00CD79FC" w:rsidRPr="00486E3B">
        <w:rPr>
          <w:sz w:val="20"/>
          <w:szCs w:val="20"/>
        </w:rPr>
        <w:t xml:space="preserve"> </w:t>
      </w:r>
      <w:r w:rsidRPr="00486E3B">
        <w:rPr>
          <w:sz w:val="20"/>
          <w:szCs w:val="20"/>
        </w:rPr>
        <w:t>-</w:t>
      </w:r>
      <w:r w:rsidR="00CD79FC" w:rsidRPr="00486E3B">
        <w:rPr>
          <w:sz w:val="20"/>
          <w:szCs w:val="20"/>
        </w:rPr>
        <w:t xml:space="preserve"> </w:t>
      </w:r>
      <w:r w:rsidRPr="00486E3B">
        <w:rPr>
          <w:sz w:val="20"/>
          <w:szCs w:val="20"/>
        </w:rPr>
        <w:t>based remote sensing technologies has fundamentally transformed modern geological exploration. High</w:t>
      </w:r>
      <w:r w:rsidR="00CD79FC" w:rsidRPr="00486E3B">
        <w:rPr>
          <w:sz w:val="20"/>
          <w:szCs w:val="20"/>
        </w:rPr>
        <w:t xml:space="preserve"> </w:t>
      </w:r>
      <w:r w:rsidRPr="00486E3B">
        <w:rPr>
          <w:sz w:val="20"/>
          <w:szCs w:val="20"/>
        </w:rPr>
        <w:t>-</w:t>
      </w:r>
      <w:r w:rsidR="00CD79FC" w:rsidRPr="00486E3B">
        <w:rPr>
          <w:sz w:val="20"/>
          <w:szCs w:val="20"/>
        </w:rPr>
        <w:t xml:space="preserve"> </w:t>
      </w:r>
      <w:r w:rsidRPr="00486E3B">
        <w:rPr>
          <w:sz w:val="20"/>
          <w:szCs w:val="20"/>
        </w:rPr>
        <w:t>resolution multispectral data now allow for detailed interpretation of surface lithology, structural frameworks, and alteration processes over extensive territories. When integrated with GIS platforms, these datasets provide a powerful analytical environment for identifying ore-controlling factors with high spatial accuracy.</w:t>
      </w:r>
    </w:p>
    <w:p w14:paraId="55A9F682" w14:textId="520BF5EC" w:rsidR="00471170" w:rsidRPr="00486E3B" w:rsidRDefault="00471170" w:rsidP="006E0BF0">
      <w:pPr>
        <w:pStyle w:val="a8"/>
        <w:spacing w:before="0" w:beforeAutospacing="0" w:after="0" w:afterAutospacing="0"/>
        <w:ind w:firstLine="284"/>
        <w:jc w:val="both"/>
        <w:rPr>
          <w:sz w:val="20"/>
          <w:szCs w:val="20"/>
        </w:rPr>
      </w:pPr>
      <w:r w:rsidRPr="00486E3B">
        <w:rPr>
          <w:sz w:val="20"/>
          <w:szCs w:val="20"/>
        </w:rPr>
        <w:t xml:space="preserve">The Central </w:t>
      </w:r>
      <w:proofErr w:type="spellStart"/>
      <w:r w:rsidRPr="00486E3B">
        <w:rPr>
          <w:sz w:val="20"/>
          <w:szCs w:val="20"/>
        </w:rPr>
        <w:t>Kyzylkum</w:t>
      </w:r>
      <w:proofErr w:type="spellEnd"/>
      <w:r w:rsidRPr="00486E3B">
        <w:rPr>
          <w:sz w:val="20"/>
          <w:szCs w:val="20"/>
        </w:rPr>
        <w:t xml:space="preserve"> region of Uzbekistan is recognized for its metallogenic potential and complex tectonic evolution. Within this region, the </w:t>
      </w:r>
      <w:proofErr w:type="spellStart"/>
      <w:r w:rsidRPr="00486E3B">
        <w:rPr>
          <w:sz w:val="20"/>
          <w:szCs w:val="20"/>
        </w:rPr>
        <w:t>Kaspaktao</w:t>
      </w:r>
      <w:proofErr w:type="spellEnd"/>
      <w:r w:rsidRPr="00486E3B">
        <w:rPr>
          <w:sz w:val="20"/>
          <w:szCs w:val="20"/>
        </w:rPr>
        <w:t xml:space="preserve"> prospective area exhibits pronounced synclinal structures, fault systems, and hydrothermal alteration zones, which collectively influence the formation and distribution of gold</w:t>
      </w:r>
      <w:r w:rsidR="00CD79FC" w:rsidRPr="00486E3B">
        <w:rPr>
          <w:sz w:val="20"/>
          <w:szCs w:val="20"/>
        </w:rPr>
        <w:t xml:space="preserve"> - </w:t>
      </w:r>
      <w:r w:rsidRPr="00486E3B">
        <w:rPr>
          <w:sz w:val="20"/>
          <w:szCs w:val="20"/>
        </w:rPr>
        <w:t>platinum mineralization. Conventional field</w:t>
      </w:r>
      <w:r w:rsidR="00CD79FC" w:rsidRPr="00486E3B">
        <w:rPr>
          <w:sz w:val="20"/>
          <w:szCs w:val="20"/>
        </w:rPr>
        <w:t xml:space="preserve"> </w:t>
      </w:r>
      <w:r w:rsidRPr="00486E3B">
        <w:rPr>
          <w:sz w:val="20"/>
          <w:szCs w:val="20"/>
        </w:rPr>
        <w:t>-</w:t>
      </w:r>
      <w:r w:rsidR="00CD79FC" w:rsidRPr="00486E3B">
        <w:rPr>
          <w:sz w:val="20"/>
          <w:szCs w:val="20"/>
        </w:rPr>
        <w:t xml:space="preserve"> </w:t>
      </w:r>
      <w:r w:rsidRPr="00486E3B">
        <w:rPr>
          <w:sz w:val="20"/>
          <w:szCs w:val="20"/>
        </w:rPr>
        <w:t>based exploration methods in such environments are often limited by accessibility and cost, highlighting the importance of RS and GIS approaches for preliminary assessment and targeting.</w:t>
      </w:r>
    </w:p>
    <w:p w14:paraId="0B598F62" w14:textId="438B1C7A" w:rsidR="00471170" w:rsidRPr="00486E3B" w:rsidRDefault="00471170" w:rsidP="006E0BF0">
      <w:pPr>
        <w:pStyle w:val="a8"/>
        <w:spacing w:before="0" w:beforeAutospacing="0" w:after="0" w:afterAutospacing="0"/>
        <w:ind w:firstLine="284"/>
        <w:jc w:val="both"/>
        <w:rPr>
          <w:sz w:val="20"/>
          <w:szCs w:val="20"/>
        </w:rPr>
      </w:pPr>
      <w:r w:rsidRPr="00486E3B">
        <w:rPr>
          <w:sz w:val="20"/>
          <w:szCs w:val="20"/>
        </w:rPr>
        <w:t xml:space="preserve">The aim of this research is to evaluate the geological and structural conditions of the </w:t>
      </w:r>
      <w:proofErr w:type="spellStart"/>
      <w:r w:rsidRPr="00486E3B">
        <w:rPr>
          <w:sz w:val="20"/>
          <w:szCs w:val="20"/>
        </w:rPr>
        <w:t>Kaspaktao</w:t>
      </w:r>
      <w:proofErr w:type="spellEnd"/>
      <w:r w:rsidRPr="00486E3B">
        <w:rPr>
          <w:sz w:val="20"/>
          <w:szCs w:val="20"/>
        </w:rPr>
        <w:t xml:space="preserve"> area using integrated RS and GIS techniques, and to delineate zones with elevated potential for gold</w:t>
      </w:r>
      <w:r w:rsidR="00CD79FC" w:rsidRPr="00486E3B">
        <w:rPr>
          <w:sz w:val="20"/>
          <w:szCs w:val="20"/>
        </w:rPr>
        <w:t xml:space="preserve"> - </w:t>
      </w:r>
      <w:r w:rsidRPr="00486E3B">
        <w:rPr>
          <w:sz w:val="20"/>
          <w:szCs w:val="20"/>
        </w:rPr>
        <w:t>platinum mineralization.</w:t>
      </w:r>
    </w:p>
    <w:p w14:paraId="05DE5C13" w14:textId="77777777" w:rsidR="00471170" w:rsidRPr="00486E3B" w:rsidRDefault="00471170" w:rsidP="00486E3B">
      <w:pPr>
        <w:pStyle w:val="2"/>
        <w:numPr>
          <w:ilvl w:val="0"/>
          <w:numId w:val="0"/>
        </w:numPr>
        <w:jc w:val="center"/>
        <w:rPr>
          <w:sz w:val="24"/>
          <w:szCs w:val="24"/>
        </w:rPr>
      </w:pPr>
      <w:r w:rsidRPr="00486E3B">
        <w:rPr>
          <w:sz w:val="24"/>
          <w:szCs w:val="24"/>
        </w:rPr>
        <w:t>EXPERIMENTAL RESEARCH</w:t>
      </w:r>
    </w:p>
    <w:p w14:paraId="0C85AC45" w14:textId="28ED59C1" w:rsidR="001D21B2" w:rsidRDefault="00471170" w:rsidP="006E0BF0">
      <w:pPr>
        <w:pStyle w:val="a8"/>
        <w:spacing w:before="0" w:beforeAutospacing="0" w:after="0" w:afterAutospacing="0"/>
        <w:ind w:firstLine="357"/>
        <w:jc w:val="both"/>
        <w:rPr>
          <w:color w:val="0066FF"/>
          <w:sz w:val="20"/>
          <w:szCs w:val="20"/>
        </w:rPr>
      </w:pPr>
      <w:r w:rsidRPr="00486E3B">
        <w:rPr>
          <w:sz w:val="20"/>
          <w:szCs w:val="20"/>
        </w:rPr>
        <w:t xml:space="preserve">The study area is situated within the </w:t>
      </w:r>
      <w:proofErr w:type="spellStart"/>
      <w:r w:rsidRPr="00486E3B">
        <w:rPr>
          <w:sz w:val="20"/>
          <w:szCs w:val="20"/>
        </w:rPr>
        <w:t>Uch</w:t>
      </w:r>
      <w:r w:rsidR="00823F1A">
        <w:rPr>
          <w:sz w:val="20"/>
          <w:szCs w:val="20"/>
        </w:rPr>
        <w:t>k</w:t>
      </w:r>
      <w:r w:rsidRPr="00486E3B">
        <w:rPr>
          <w:sz w:val="20"/>
          <w:szCs w:val="20"/>
        </w:rPr>
        <w:t>udu</w:t>
      </w:r>
      <w:r w:rsidR="00823F1A">
        <w:rPr>
          <w:sz w:val="20"/>
          <w:szCs w:val="20"/>
        </w:rPr>
        <w:t>k</w:t>
      </w:r>
      <w:proofErr w:type="spellEnd"/>
      <w:r w:rsidRPr="00486E3B">
        <w:rPr>
          <w:sz w:val="20"/>
          <w:szCs w:val="20"/>
        </w:rPr>
        <w:t xml:space="preserve"> district of the </w:t>
      </w:r>
      <w:proofErr w:type="spellStart"/>
      <w:r w:rsidRPr="00486E3B">
        <w:rPr>
          <w:sz w:val="20"/>
          <w:szCs w:val="20"/>
        </w:rPr>
        <w:t>Navoi</w:t>
      </w:r>
      <w:r w:rsidR="00823F1A">
        <w:rPr>
          <w:sz w:val="20"/>
          <w:szCs w:val="20"/>
        </w:rPr>
        <w:t>y</w:t>
      </w:r>
      <w:proofErr w:type="spellEnd"/>
      <w:r w:rsidRPr="00486E3B">
        <w:rPr>
          <w:sz w:val="20"/>
          <w:szCs w:val="20"/>
        </w:rPr>
        <w:t xml:space="preserve"> region and encompasses approximately 20 km</w:t>
      </w:r>
      <w:r w:rsidR="00486E3B" w:rsidRPr="00486E3B">
        <w:rPr>
          <w:sz w:val="20"/>
          <w:szCs w:val="20"/>
          <w:vertAlign w:val="superscript"/>
        </w:rPr>
        <w:t>2</w:t>
      </w:r>
      <w:r w:rsidRPr="00486E3B">
        <w:rPr>
          <w:sz w:val="20"/>
          <w:szCs w:val="20"/>
        </w:rPr>
        <w:t xml:space="preserve">. From a geological perspective, it includes the Main Syncline, the </w:t>
      </w:r>
      <w:proofErr w:type="spellStart"/>
      <w:r w:rsidRPr="00486E3B">
        <w:rPr>
          <w:sz w:val="20"/>
          <w:szCs w:val="20"/>
        </w:rPr>
        <w:t>Promezhutochnaya</w:t>
      </w:r>
      <w:proofErr w:type="spellEnd"/>
      <w:r w:rsidRPr="00486E3B">
        <w:rPr>
          <w:sz w:val="20"/>
          <w:szCs w:val="20"/>
        </w:rPr>
        <w:t xml:space="preserve"> Anticline, and adjacent mineral occurrences such as </w:t>
      </w:r>
      <w:proofErr w:type="spellStart"/>
      <w:r w:rsidRPr="00486E3B">
        <w:rPr>
          <w:sz w:val="20"/>
          <w:szCs w:val="20"/>
        </w:rPr>
        <w:t>Blijnee</w:t>
      </w:r>
      <w:proofErr w:type="spellEnd"/>
      <w:r w:rsidRPr="00486E3B">
        <w:rPr>
          <w:sz w:val="20"/>
          <w:szCs w:val="20"/>
        </w:rPr>
        <w:t xml:space="preserve"> and </w:t>
      </w:r>
      <w:proofErr w:type="spellStart"/>
      <w:r w:rsidRPr="00486E3B">
        <w:rPr>
          <w:sz w:val="20"/>
          <w:szCs w:val="20"/>
        </w:rPr>
        <w:t>Peschanoe</w:t>
      </w:r>
      <w:proofErr w:type="spellEnd"/>
      <w:r w:rsidRPr="00486E3B">
        <w:rPr>
          <w:sz w:val="20"/>
          <w:szCs w:val="20"/>
        </w:rPr>
        <w:t>. The lithological assemblage primarily consists of siliceous</w:t>
      </w:r>
      <w:r w:rsidR="00486E3B">
        <w:rPr>
          <w:sz w:val="20"/>
          <w:szCs w:val="20"/>
        </w:rPr>
        <w:t xml:space="preserve"> </w:t>
      </w:r>
      <w:r w:rsidRPr="00486E3B">
        <w:rPr>
          <w:sz w:val="20"/>
          <w:szCs w:val="20"/>
        </w:rPr>
        <w:t>-</w:t>
      </w:r>
      <w:r w:rsidR="00486E3B">
        <w:rPr>
          <w:sz w:val="20"/>
          <w:szCs w:val="20"/>
        </w:rPr>
        <w:t xml:space="preserve"> </w:t>
      </w:r>
      <w:r w:rsidRPr="00486E3B">
        <w:rPr>
          <w:sz w:val="20"/>
          <w:szCs w:val="20"/>
        </w:rPr>
        <w:t>carbonate formations, flysch</w:t>
      </w:r>
      <w:r w:rsidR="00CD79FC" w:rsidRPr="00486E3B">
        <w:rPr>
          <w:sz w:val="20"/>
          <w:szCs w:val="20"/>
        </w:rPr>
        <w:t xml:space="preserve"> </w:t>
      </w:r>
      <w:r w:rsidRPr="00486E3B">
        <w:rPr>
          <w:sz w:val="20"/>
          <w:szCs w:val="20"/>
        </w:rPr>
        <w:t>-</w:t>
      </w:r>
      <w:r w:rsidR="00CD79FC" w:rsidRPr="00486E3B">
        <w:rPr>
          <w:sz w:val="20"/>
          <w:szCs w:val="20"/>
        </w:rPr>
        <w:t xml:space="preserve"> </w:t>
      </w:r>
      <w:r w:rsidRPr="00486E3B">
        <w:rPr>
          <w:sz w:val="20"/>
          <w:szCs w:val="20"/>
        </w:rPr>
        <w:t xml:space="preserve">type sequences, and </w:t>
      </w:r>
      <w:proofErr w:type="spellStart"/>
      <w:r w:rsidRPr="00486E3B">
        <w:rPr>
          <w:sz w:val="20"/>
          <w:szCs w:val="20"/>
        </w:rPr>
        <w:t>basaltoid</w:t>
      </w:r>
      <w:proofErr w:type="spellEnd"/>
      <w:r w:rsidRPr="00486E3B">
        <w:rPr>
          <w:sz w:val="20"/>
          <w:szCs w:val="20"/>
        </w:rPr>
        <w:t xml:space="preserve"> rocks, which are frequently associated with mineralization in the Central </w:t>
      </w:r>
      <w:proofErr w:type="spellStart"/>
      <w:r w:rsidRPr="00486E3B">
        <w:rPr>
          <w:sz w:val="20"/>
          <w:szCs w:val="20"/>
        </w:rPr>
        <w:t>Kyzylkum</w:t>
      </w:r>
      <w:proofErr w:type="spellEnd"/>
      <w:r w:rsidRPr="00486E3B">
        <w:rPr>
          <w:sz w:val="20"/>
          <w:szCs w:val="20"/>
        </w:rPr>
        <w:t>.</w:t>
      </w:r>
      <w:r w:rsidR="001D21B2" w:rsidRPr="001D21B2">
        <w:rPr>
          <w:color w:val="0066FF"/>
          <w:sz w:val="20"/>
          <w:szCs w:val="20"/>
        </w:rPr>
        <w:t xml:space="preserve"> </w:t>
      </w:r>
    </w:p>
    <w:p w14:paraId="06E19346" w14:textId="5662C313" w:rsidR="00823F1A" w:rsidRDefault="001D21B2" w:rsidP="006E0BF0">
      <w:pPr>
        <w:pStyle w:val="a8"/>
        <w:spacing w:before="0" w:beforeAutospacing="0" w:after="0" w:afterAutospacing="0"/>
        <w:ind w:firstLine="357"/>
        <w:jc w:val="both"/>
        <w:rPr>
          <w:sz w:val="20"/>
          <w:szCs w:val="20"/>
        </w:rPr>
      </w:pPr>
      <w:r w:rsidRPr="001D21B2">
        <w:rPr>
          <w:sz w:val="20"/>
          <w:szCs w:val="20"/>
        </w:rPr>
        <w:t xml:space="preserve">For instance, within the Central </w:t>
      </w:r>
      <w:proofErr w:type="spellStart"/>
      <w:r w:rsidRPr="001D21B2">
        <w:rPr>
          <w:sz w:val="20"/>
          <w:szCs w:val="20"/>
        </w:rPr>
        <w:t>Kyzylkum</w:t>
      </w:r>
      <w:proofErr w:type="spellEnd"/>
      <w:r w:rsidRPr="001D21B2">
        <w:rPr>
          <w:sz w:val="20"/>
          <w:szCs w:val="20"/>
        </w:rPr>
        <w:t xml:space="preserve"> region, the ore-bearing zones are spatially and genetically associated with hydrothermal alteration and </w:t>
      </w:r>
      <w:proofErr w:type="spellStart"/>
      <w:r w:rsidRPr="001D21B2">
        <w:rPr>
          <w:sz w:val="20"/>
          <w:szCs w:val="20"/>
        </w:rPr>
        <w:t>kaolinitization</w:t>
      </w:r>
      <w:proofErr w:type="spellEnd"/>
      <w:r w:rsidRPr="001D21B2">
        <w:rPr>
          <w:sz w:val="20"/>
          <w:szCs w:val="20"/>
        </w:rPr>
        <w:t xml:space="preserve"> processes (</w:t>
      </w:r>
      <w:proofErr w:type="spellStart"/>
      <w:r w:rsidRPr="001D21B2">
        <w:rPr>
          <w:sz w:val="20"/>
          <w:szCs w:val="20"/>
        </w:rPr>
        <w:t>Goipov</w:t>
      </w:r>
      <w:proofErr w:type="spellEnd"/>
      <w:r w:rsidRPr="001D21B2">
        <w:rPr>
          <w:sz w:val="20"/>
          <w:szCs w:val="20"/>
        </w:rPr>
        <w:t xml:space="preserve"> et al., 2024). The geological and structural framework of the area is distinctly reflected in the geophysical fields (Goipov, Akhmadov, and Yusupov, 2024), </w:t>
      </w:r>
      <w:r w:rsidRPr="001D21B2">
        <w:rPr>
          <w:sz w:val="20"/>
          <w:szCs w:val="20"/>
        </w:rPr>
        <w:lastRenderedPageBreak/>
        <w:t xml:space="preserve">exhibiting a well-defined correlation with the identified alteration zones and mineralization patterns (Goipov, Ashurov, and </w:t>
      </w:r>
      <w:proofErr w:type="spellStart"/>
      <w:r w:rsidRPr="001D21B2">
        <w:rPr>
          <w:sz w:val="20"/>
          <w:szCs w:val="20"/>
        </w:rPr>
        <w:t>Atabaev</w:t>
      </w:r>
      <w:proofErr w:type="spellEnd"/>
      <w:r w:rsidRPr="001D21B2">
        <w:rPr>
          <w:sz w:val="20"/>
          <w:szCs w:val="20"/>
        </w:rPr>
        <w:t>, 2024). The mapped magnetic anomalies reflect zones of progressive regional metamorphism, which collectively determined the location of gold ore mineralization (</w:t>
      </w:r>
      <w:proofErr w:type="spellStart"/>
      <w:r w:rsidRPr="001D21B2">
        <w:rPr>
          <w:sz w:val="20"/>
          <w:szCs w:val="20"/>
        </w:rPr>
        <w:t>Goipov</w:t>
      </w:r>
      <w:proofErr w:type="spellEnd"/>
      <w:r w:rsidRPr="001D21B2">
        <w:rPr>
          <w:sz w:val="20"/>
          <w:szCs w:val="20"/>
        </w:rPr>
        <w:t xml:space="preserve"> et al., 2025).</w:t>
      </w:r>
    </w:p>
    <w:p w14:paraId="5F135D51" w14:textId="77777777" w:rsidR="006E0BF0" w:rsidRDefault="006E0BF0" w:rsidP="006E0BF0">
      <w:pPr>
        <w:pStyle w:val="a8"/>
        <w:spacing w:before="0" w:beforeAutospacing="0" w:after="0" w:afterAutospacing="0"/>
        <w:ind w:firstLine="357"/>
        <w:jc w:val="both"/>
        <w:rPr>
          <w:sz w:val="20"/>
          <w:szCs w:val="20"/>
        </w:rPr>
      </w:pPr>
    </w:p>
    <w:p w14:paraId="01CA8D2B" w14:textId="7C96E17D" w:rsidR="006E0BF0" w:rsidRDefault="006E0BF0" w:rsidP="006E0BF0">
      <w:pPr>
        <w:pStyle w:val="a8"/>
        <w:spacing w:before="0" w:beforeAutospacing="0" w:after="0" w:afterAutospacing="0"/>
        <w:jc w:val="center"/>
        <w:rPr>
          <w:b/>
          <w:bCs/>
          <w:sz w:val="20"/>
          <w:szCs w:val="20"/>
        </w:rPr>
      </w:pPr>
      <w:r>
        <w:rPr>
          <w:b/>
          <w:bCs/>
          <w:noProof/>
          <w:sz w:val="20"/>
          <w:szCs w:val="20"/>
        </w:rPr>
        <w:drawing>
          <wp:inline distT="0" distB="0" distL="0" distR="0" wp14:anchorId="74E9A511" wp14:editId="3AA6AC05">
            <wp:extent cx="4399869" cy="2847975"/>
            <wp:effectExtent l="0" t="0" r="1270" b="0"/>
            <wp:docPr id="10961168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6113" cy="2852017"/>
                    </a:xfrm>
                    <a:prstGeom prst="rect">
                      <a:avLst/>
                    </a:prstGeom>
                    <a:noFill/>
                  </pic:spPr>
                </pic:pic>
              </a:graphicData>
            </a:graphic>
          </wp:inline>
        </w:drawing>
      </w:r>
    </w:p>
    <w:p w14:paraId="34991196" w14:textId="25E29DC0" w:rsidR="00823F1A" w:rsidRPr="00823F1A" w:rsidRDefault="00823F1A" w:rsidP="006E0BF0">
      <w:pPr>
        <w:pStyle w:val="a8"/>
        <w:spacing w:before="0" w:beforeAutospacing="0" w:after="0" w:afterAutospacing="0"/>
        <w:ind w:firstLine="357"/>
        <w:jc w:val="center"/>
        <w:rPr>
          <w:sz w:val="20"/>
          <w:szCs w:val="20"/>
        </w:rPr>
      </w:pPr>
      <w:r w:rsidRPr="00823F1A">
        <w:rPr>
          <w:b/>
          <w:bCs/>
          <w:sz w:val="20"/>
          <w:szCs w:val="20"/>
        </w:rPr>
        <w:t>Figure.1.</w:t>
      </w:r>
      <w:r w:rsidRPr="00823F1A">
        <w:rPr>
          <w:sz w:val="20"/>
          <w:szCs w:val="20"/>
        </w:rPr>
        <w:t xml:space="preserve"> Space image of the study area in channels 5/3/2 (Landsat-8)</w:t>
      </w:r>
    </w:p>
    <w:p w14:paraId="61752F14" w14:textId="77777777" w:rsidR="006E0BF0" w:rsidRDefault="006E0BF0" w:rsidP="006E0BF0">
      <w:pPr>
        <w:pStyle w:val="a8"/>
        <w:spacing w:before="0" w:beforeAutospacing="0" w:after="0" w:afterAutospacing="0"/>
        <w:ind w:firstLine="357"/>
        <w:jc w:val="both"/>
        <w:rPr>
          <w:sz w:val="20"/>
          <w:szCs w:val="20"/>
        </w:rPr>
      </w:pPr>
    </w:p>
    <w:p w14:paraId="0199B621" w14:textId="02DFDEDB" w:rsidR="001D21B2" w:rsidRDefault="00471170" w:rsidP="006E0BF0">
      <w:pPr>
        <w:pStyle w:val="a8"/>
        <w:spacing w:before="0" w:beforeAutospacing="0" w:after="0" w:afterAutospacing="0"/>
        <w:ind w:firstLine="357"/>
        <w:jc w:val="both"/>
        <w:rPr>
          <w:sz w:val="20"/>
          <w:szCs w:val="20"/>
        </w:rPr>
      </w:pPr>
      <w:r w:rsidRPr="00486E3B">
        <w:rPr>
          <w:sz w:val="20"/>
          <w:szCs w:val="20"/>
        </w:rPr>
        <w:t>Multisource satellite data were employed in this study, including Landsat-8 OLI imagery with 30 m spatial resolution, Sentinel</w:t>
      </w:r>
      <w:r w:rsidR="00CD79FC" w:rsidRPr="00486E3B">
        <w:rPr>
          <w:sz w:val="20"/>
          <w:szCs w:val="20"/>
        </w:rPr>
        <w:t xml:space="preserve"> </w:t>
      </w:r>
      <w:r w:rsidRPr="00486E3B">
        <w:rPr>
          <w:sz w:val="20"/>
          <w:szCs w:val="20"/>
        </w:rPr>
        <w:t>-</w:t>
      </w:r>
      <w:r w:rsidR="00CD79FC" w:rsidRPr="00486E3B">
        <w:rPr>
          <w:sz w:val="20"/>
          <w:szCs w:val="20"/>
        </w:rPr>
        <w:t xml:space="preserve"> </w:t>
      </w:r>
      <w:r w:rsidRPr="00486E3B">
        <w:rPr>
          <w:sz w:val="20"/>
          <w:szCs w:val="20"/>
        </w:rPr>
        <w:t>2 MSI data with 10</w:t>
      </w:r>
      <w:r w:rsidR="00CD79FC" w:rsidRPr="00486E3B">
        <w:rPr>
          <w:sz w:val="20"/>
          <w:szCs w:val="20"/>
        </w:rPr>
        <w:t xml:space="preserve"> - </w:t>
      </w:r>
      <w:r w:rsidRPr="00486E3B">
        <w:rPr>
          <w:sz w:val="20"/>
          <w:szCs w:val="20"/>
        </w:rPr>
        <w:t>20 m resolution, and ASTER imagery with 15 m resolution, particularly suited for mineralogical analysis. All datasets underwent standard radiometric and geometric corrections using ERDAS IMAGINE software to ensure spatial and spectral consistency.</w:t>
      </w:r>
    </w:p>
    <w:p w14:paraId="14842384" w14:textId="3B42B154" w:rsidR="00CD79FC" w:rsidRPr="00486E3B" w:rsidRDefault="00471170" w:rsidP="006E0BF0">
      <w:pPr>
        <w:pStyle w:val="a8"/>
        <w:spacing w:before="0" w:beforeAutospacing="0" w:after="0" w:afterAutospacing="0"/>
        <w:ind w:firstLine="357"/>
        <w:jc w:val="both"/>
        <w:rPr>
          <w:sz w:val="20"/>
          <w:szCs w:val="20"/>
        </w:rPr>
      </w:pPr>
      <w:r w:rsidRPr="00486E3B">
        <w:rPr>
          <w:sz w:val="20"/>
          <w:szCs w:val="20"/>
        </w:rPr>
        <w:t>Subsequently, selected spectral band combinations were applied to enhance lithological contrasts. PCA and ITS transformations were performed to isolate dominant spectral components related to geological structures and alteration zones. Directional Kirsch filtering was utilized to detect linear features indicative of faults and fracture systems. The resulting datasets were integrated within the ArcGIS environment to conduct spatial overlay analysis and identify prospective mineralization zones.</w:t>
      </w:r>
    </w:p>
    <w:p w14:paraId="48F53E09" w14:textId="76E64CA4" w:rsidR="00471170" w:rsidRPr="00486E3B" w:rsidRDefault="00471170" w:rsidP="00486E3B">
      <w:pPr>
        <w:pStyle w:val="a8"/>
        <w:jc w:val="center"/>
        <w:rPr>
          <w:b/>
          <w:bCs/>
        </w:rPr>
      </w:pPr>
      <w:r w:rsidRPr="00486E3B">
        <w:rPr>
          <w:b/>
          <w:bCs/>
        </w:rPr>
        <w:t>RESEARCH RESULTS AND DISCUSSION</w:t>
      </w:r>
    </w:p>
    <w:p w14:paraId="7E4617F2" w14:textId="7C05DFC8" w:rsidR="00823F1A" w:rsidRPr="00AF2DAA" w:rsidRDefault="00471170" w:rsidP="006E0BF0">
      <w:pPr>
        <w:pStyle w:val="a8"/>
        <w:spacing w:before="0" w:beforeAutospacing="0" w:after="0" w:afterAutospacing="0"/>
        <w:ind w:firstLine="284"/>
        <w:jc w:val="both"/>
        <w:rPr>
          <w:sz w:val="20"/>
          <w:szCs w:val="20"/>
        </w:rPr>
      </w:pPr>
      <w:r w:rsidRPr="00486E3B">
        <w:rPr>
          <w:sz w:val="20"/>
          <w:szCs w:val="20"/>
        </w:rPr>
        <w:t>The spectral enhancement of Landsat</w:t>
      </w:r>
      <w:r w:rsidR="00486E3B">
        <w:rPr>
          <w:sz w:val="20"/>
          <w:szCs w:val="20"/>
        </w:rPr>
        <w:t xml:space="preserve"> </w:t>
      </w:r>
      <w:r w:rsidRPr="00486E3B">
        <w:rPr>
          <w:sz w:val="20"/>
          <w:szCs w:val="20"/>
        </w:rPr>
        <w:t>-</w:t>
      </w:r>
      <w:r w:rsidR="00486E3B">
        <w:rPr>
          <w:sz w:val="20"/>
          <w:szCs w:val="20"/>
        </w:rPr>
        <w:t xml:space="preserve"> </w:t>
      </w:r>
      <w:r w:rsidRPr="00486E3B">
        <w:rPr>
          <w:sz w:val="20"/>
          <w:szCs w:val="20"/>
        </w:rPr>
        <w:t>8 and Sentinel</w:t>
      </w:r>
      <w:r w:rsidR="00CD79FC" w:rsidRPr="00486E3B">
        <w:rPr>
          <w:sz w:val="20"/>
          <w:szCs w:val="20"/>
        </w:rPr>
        <w:t xml:space="preserve"> </w:t>
      </w:r>
      <w:r w:rsidRPr="00486E3B">
        <w:rPr>
          <w:sz w:val="20"/>
          <w:szCs w:val="20"/>
        </w:rPr>
        <w:t>-</w:t>
      </w:r>
      <w:r w:rsidR="00CD79FC" w:rsidRPr="00486E3B">
        <w:rPr>
          <w:sz w:val="20"/>
          <w:szCs w:val="20"/>
        </w:rPr>
        <w:t xml:space="preserve"> </w:t>
      </w:r>
      <w:r w:rsidRPr="00486E3B">
        <w:rPr>
          <w:sz w:val="20"/>
          <w:szCs w:val="20"/>
        </w:rPr>
        <w:t>2 data revealed distinct surface anomalies associated with iron oxide enrichment and hydrothermal alteration. PCA</w:t>
      </w:r>
      <w:r w:rsidR="00823F1A">
        <w:rPr>
          <w:sz w:val="20"/>
          <w:szCs w:val="20"/>
        </w:rPr>
        <w:t xml:space="preserve"> </w:t>
      </w:r>
      <w:r w:rsidR="00823F1A" w:rsidRPr="00823F1A">
        <w:rPr>
          <w:rStyle w:val="a9"/>
          <w:b w:val="0"/>
          <w:bCs w:val="0"/>
          <w:sz w:val="20"/>
          <w:szCs w:val="20"/>
        </w:rPr>
        <w:t>(Principal Component Analysis)</w:t>
      </w:r>
      <w:r w:rsidRPr="00486E3B">
        <w:rPr>
          <w:sz w:val="20"/>
          <w:szCs w:val="20"/>
        </w:rPr>
        <w:t xml:space="preserve"> results effectively differentiated rock units of varying composition and age, while simultaneously emphasizing structurally controlled alteration patterns.</w:t>
      </w:r>
      <w:r w:rsidR="00823F1A">
        <w:rPr>
          <w:sz w:val="20"/>
          <w:szCs w:val="20"/>
        </w:rPr>
        <w:t xml:space="preserve"> </w:t>
      </w:r>
      <w:r w:rsidR="00823F1A" w:rsidRPr="00AF2DAA">
        <w:rPr>
          <w:b/>
          <w:bCs/>
          <w:sz w:val="20"/>
          <w:szCs w:val="20"/>
        </w:rPr>
        <w:t>F</w:t>
      </w:r>
      <w:r w:rsidR="00823F1A" w:rsidRPr="00AF2DAA">
        <w:rPr>
          <w:rStyle w:val="a9"/>
          <w:b w:val="0"/>
          <w:bCs w:val="0"/>
          <w:sz w:val="20"/>
          <w:szCs w:val="20"/>
        </w:rPr>
        <w:t>alse-color</w:t>
      </w:r>
      <w:r w:rsidR="00823F1A" w:rsidRPr="00AF2DAA">
        <w:rPr>
          <w:rStyle w:val="a9"/>
          <w:sz w:val="20"/>
          <w:szCs w:val="20"/>
        </w:rPr>
        <w:t xml:space="preserve"> </w:t>
      </w:r>
      <w:r w:rsidR="00823F1A" w:rsidRPr="00AF2DAA">
        <w:rPr>
          <w:rStyle w:val="a9"/>
          <w:b w:val="0"/>
          <w:bCs w:val="0"/>
          <w:sz w:val="20"/>
          <w:szCs w:val="20"/>
        </w:rPr>
        <w:t>composite images</w:t>
      </w:r>
      <w:r w:rsidR="00823F1A" w:rsidRPr="00AF2DAA">
        <w:rPr>
          <w:sz w:val="20"/>
          <w:szCs w:val="20"/>
        </w:rPr>
        <w:t xml:space="preserve"> from </w:t>
      </w:r>
      <w:r w:rsidR="00823F1A" w:rsidRPr="00AF2DAA">
        <w:rPr>
          <w:rStyle w:val="a9"/>
          <w:b w:val="0"/>
          <w:bCs w:val="0"/>
          <w:sz w:val="20"/>
          <w:szCs w:val="20"/>
        </w:rPr>
        <w:t>Landsat TM</w:t>
      </w:r>
      <w:r w:rsidR="00823F1A" w:rsidRPr="00AF2DAA">
        <w:rPr>
          <w:sz w:val="20"/>
          <w:szCs w:val="20"/>
        </w:rPr>
        <w:t xml:space="preserve"> were utilized, created by combining spectral bands assigned to the primary color channels as follows:</w:t>
      </w:r>
    </w:p>
    <w:p w14:paraId="6211A9AE" w14:textId="676C5888" w:rsidR="00823F1A" w:rsidRPr="00AF2DAA" w:rsidRDefault="00823F1A" w:rsidP="006E0BF0">
      <w:pPr>
        <w:ind w:firstLine="284"/>
        <w:jc w:val="both"/>
      </w:pPr>
      <w:r w:rsidRPr="00AF2DAA">
        <w:rPr>
          <w:rStyle w:val="a9"/>
          <w:b w:val="0"/>
          <w:bCs w:val="0"/>
        </w:rPr>
        <w:t>Band 5 (Infrared)</w:t>
      </w:r>
      <w:r w:rsidRPr="00AF2DAA">
        <w:t xml:space="preserve"> – assigned to the </w:t>
      </w:r>
      <w:r w:rsidRPr="00AF2DAA">
        <w:rPr>
          <w:rStyle w:val="a9"/>
          <w:b w:val="0"/>
          <w:bCs w:val="0"/>
        </w:rPr>
        <w:t>Red (R)</w:t>
      </w:r>
      <w:r w:rsidRPr="00AF2DAA">
        <w:t xml:space="preserve"> channel</w:t>
      </w:r>
    </w:p>
    <w:p w14:paraId="5AA76156" w14:textId="3F3F3265" w:rsidR="00823F1A" w:rsidRPr="00AF2DAA" w:rsidRDefault="00823F1A" w:rsidP="006E0BF0">
      <w:pPr>
        <w:ind w:firstLine="284"/>
        <w:jc w:val="both"/>
      </w:pPr>
      <w:r w:rsidRPr="00AF2DAA">
        <w:rPr>
          <w:rStyle w:val="a9"/>
          <w:b w:val="0"/>
          <w:bCs w:val="0"/>
        </w:rPr>
        <w:t>Band 4 (Red and Near-Infrared)</w:t>
      </w:r>
      <w:r w:rsidRPr="00AF2DAA">
        <w:t xml:space="preserve"> – assigned to the </w:t>
      </w:r>
      <w:r w:rsidRPr="00AF2DAA">
        <w:rPr>
          <w:rStyle w:val="a9"/>
          <w:b w:val="0"/>
          <w:bCs w:val="0"/>
        </w:rPr>
        <w:t>Green (G)</w:t>
      </w:r>
      <w:r w:rsidRPr="00AF2DAA">
        <w:t xml:space="preserve"> channel</w:t>
      </w:r>
    </w:p>
    <w:p w14:paraId="2A087CA7" w14:textId="51D2007B" w:rsidR="00AF2DAA" w:rsidRDefault="00823F1A" w:rsidP="006E0BF0">
      <w:pPr>
        <w:ind w:firstLine="284"/>
        <w:jc w:val="both"/>
      </w:pPr>
      <w:r w:rsidRPr="00AF2DAA">
        <w:rPr>
          <w:rStyle w:val="a9"/>
          <w:b w:val="0"/>
          <w:bCs w:val="0"/>
        </w:rPr>
        <w:t>Band 2 (Visible – from Yellow to Blue)</w:t>
      </w:r>
      <w:r w:rsidRPr="00AF2DAA">
        <w:t xml:space="preserve"> – assigned to the </w:t>
      </w:r>
      <w:r w:rsidRPr="00AF2DAA">
        <w:rPr>
          <w:rStyle w:val="a9"/>
          <w:b w:val="0"/>
          <w:bCs w:val="0"/>
        </w:rPr>
        <w:t>Blue (B)</w:t>
      </w:r>
      <w:r w:rsidRPr="00AF2DAA">
        <w:t xml:space="preserve"> channel</w:t>
      </w:r>
    </w:p>
    <w:p w14:paraId="47A9E8B1" w14:textId="77777777" w:rsidR="006E0BF0" w:rsidRDefault="006E0BF0" w:rsidP="006E0BF0">
      <w:pPr>
        <w:ind w:firstLine="284"/>
        <w:jc w:val="center"/>
        <w:rPr>
          <w:rStyle w:val="a9"/>
          <w:b w:val="0"/>
          <w:bCs w:val="0"/>
        </w:rPr>
      </w:pPr>
      <w:r>
        <w:rPr>
          <w:rStyle w:val="a9"/>
          <w:b w:val="0"/>
          <w:bCs w:val="0"/>
          <w:noProof/>
        </w:rPr>
        <w:lastRenderedPageBreak/>
        <w:drawing>
          <wp:inline distT="0" distB="0" distL="0" distR="0" wp14:anchorId="647CF26A" wp14:editId="06BCBC5E">
            <wp:extent cx="4770229" cy="3324225"/>
            <wp:effectExtent l="0" t="0" r="0" b="0"/>
            <wp:docPr id="19127131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3717" cy="3326656"/>
                    </a:xfrm>
                    <a:prstGeom prst="rect">
                      <a:avLst/>
                    </a:prstGeom>
                    <a:noFill/>
                  </pic:spPr>
                </pic:pic>
              </a:graphicData>
            </a:graphic>
          </wp:inline>
        </w:drawing>
      </w:r>
    </w:p>
    <w:p w14:paraId="5EC28F9F" w14:textId="42D534D5" w:rsidR="00AF2DAA" w:rsidRDefault="00AF2DAA" w:rsidP="006E0BF0">
      <w:pPr>
        <w:ind w:firstLine="284"/>
        <w:jc w:val="center"/>
        <w:rPr>
          <w:rStyle w:val="a9"/>
          <w:b w:val="0"/>
          <w:bCs w:val="0"/>
        </w:rPr>
      </w:pPr>
      <w:r w:rsidRPr="006E0BF0">
        <w:rPr>
          <w:rStyle w:val="a9"/>
        </w:rPr>
        <w:t>Figure</w:t>
      </w:r>
      <w:r w:rsidR="006E0BF0">
        <w:rPr>
          <w:rStyle w:val="a9"/>
        </w:rPr>
        <w:t xml:space="preserve"> </w:t>
      </w:r>
      <w:r w:rsidRPr="006E0BF0">
        <w:rPr>
          <w:rStyle w:val="a9"/>
        </w:rPr>
        <w:t>3.</w:t>
      </w:r>
      <w:r w:rsidR="006E0BF0" w:rsidRPr="006E0BF0">
        <w:rPr>
          <w:rStyle w:val="a9"/>
        </w:rPr>
        <w:t xml:space="preserve"> </w:t>
      </w:r>
      <w:r w:rsidRPr="00AF2DAA">
        <w:rPr>
          <w:rStyle w:val="a9"/>
          <w:b w:val="0"/>
          <w:bCs w:val="0"/>
        </w:rPr>
        <w:t>Result of processing using the PCA method</w:t>
      </w:r>
    </w:p>
    <w:p w14:paraId="1BC57078" w14:textId="77777777" w:rsidR="006E0BF0" w:rsidRDefault="006E0BF0" w:rsidP="006E0BF0">
      <w:pPr>
        <w:pStyle w:val="a8"/>
        <w:spacing w:before="0" w:beforeAutospacing="0" w:after="0" w:afterAutospacing="0"/>
        <w:ind w:firstLine="284"/>
        <w:jc w:val="both"/>
        <w:rPr>
          <w:sz w:val="20"/>
          <w:szCs w:val="20"/>
        </w:rPr>
      </w:pPr>
    </w:p>
    <w:p w14:paraId="78E16075" w14:textId="5C509DE0" w:rsidR="00AF2DAA" w:rsidRPr="00AF2DAA" w:rsidRDefault="00AF2DAA" w:rsidP="006E0BF0">
      <w:pPr>
        <w:pStyle w:val="a8"/>
        <w:spacing w:before="0" w:beforeAutospacing="0" w:after="0" w:afterAutospacing="0"/>
        <w:ind w:firstLine="284"/>
        <w:jc w:val="both"/>
        <w:rPr>
          <w:sz w:val="20"/>
          <w:szCs w:val="20"/>
        </w:rPr>
      </w:pPr>
      <w:r w:rsidRPr="00AF2DAA">
        <w:rPr>
          <w:sz w:val="20"/>
          <w:szCs w:val="20"/>
        </w:rPr>
        <w:t>The formation of a</w:t>
      </w:r>
      <w:r w:rsidRPr="00AF2DAA">
        <w:rPr>
          <w:b/>
          <w:bCs/>
          <w:sz w:val="20"/>
          <w:szCs w:val="20"/>
        </w:rPr>
        <w:t xml:space="preserve"> </w:t>
      </w:r>
      <w:r w:rsidRPr="00AF2DAA">
        <w:rPr>
          <w:rStyle w:val="a9"/>
          <w:b w:val="0"/>
          <w:bCs w:val="0"/>
          <w:sz w:val="20"/>
          <w:szCs w:val="20"/>
        </w:rPr>
        <w:t>seven-band composite satellite image</w:t>
      </w:r>
      <w:r w:rsidRPr="00AF2DAA">
        <w:rPr>
          <w:sz w:val="20"/>
          <w:szCs w:val="20"/>
        </w:rPr>
        <w:t xml:space="preserve"> is carried out using the </w:t>
      </w:r>
      <w:r w:rsidRPr="00AF2DAA">
        <w:rPr>
          <w:rStyle w:val="a9"/>
          <w:b w:val="0"/>
          <w:bCs w:val="0"/>
          <w:sz w:val="20"/>
          <w:szCs w:val="20"/>
        </w:rPr>
        <w:t>“Layer Selection</w:t>
      </w:r>
      <w:r>
        <w:rPr>
          <w:rStyle w:val="a9"/>
          <w:b w:val="0"/>
          <w:bCs w:val="0"/>
          <w:sz w:val="20"/>
          <w:szCs w:val="20"/>
        </w:rPr>
        <w:t> </w:t>
      </w:r>
      <w:r w:rsidRPr="00AF2DAA">
        <w:rPr>
          <w:rStyle w:val="a9"/>
          <w:b w:val="0"/>
          <w:bCs w:val="0"/>
          <w:sz w:val="20"/>
          <w:szCs w:val="20"/>
        </w:rPr>
        <w:t>and</w:t>
      </w:r>
      <w:r>
        <w:rPr>
          <w:rStyle w:val="a9"/>
          <w:b w:val="0"/>
          <w:bCs w:val="0"/>
          <w:sz w:val="20"/>
          <w:szCs w:val="20"/>
        </w:rPr>
        <w:t> </w:t>
      </w:r>
      <w:r w:rsidRPr="00AF2DAA">
        <w:rPr>
          <w:rStyle w:val="a9"/>
          <w:b w:val="0"/>
          <w:bCs w:val="0"/>
          <w:sz w:val="20"/>
          <w:szCs w:val="20"/>
        </w:rPr>
        <w:t>Stacking”</w:t>
      </w:r>
      <w:r>
        <w:rPr>
          <w:b/>
          <w:bCs/>
          <w:sz w:val="20"/>
          <w:szCs w:val="20"/>
        </w:rPr>
        <w:t> </w:t>
      </w:r>
      <w:r w:rsidRPr="00AF2DAA">
        <w:rPr>
          <w:sz w:val="20"/>
          <w:szCs w:val="20"/>
        </w:rPr>
        <w:t>module</w:t>
      </w:r>
      <w:r>
        <w:rPr>
          <w:sz w:val="20"/>
          <w:szCs w:val="20"/>
        </w:rPr>
        <w:t> </w:t>
      </w:r>
      <w:r w:rsidRPr="00AF2DAA">
        <w:rPr>
          <w:sz w:val="20"/>
          <w:szCs w:val="20"/>
        </w:rPr>
        <w:t>in</w:t>
      </w:r>
      <w:r>
        <w:rPr>
          <w:b/>
          <w:bCs/>
          <w:sz w:val="20"/>
          <w:szCs w:val="20"/>
        </w:rPr>
        <w:t> </w:t>
      </w:r>
      <w:r w:rsidRPr="00AF2DAA">
        <w:rPr>
          <w:rStyle w:val="a9"/>
          <w:b w:val="0"/>
          <w:bCs w:val="0"/>
          <w:sz w:val="20"/>
          <w:szCs w:val="20"/>
        </w:rPr>
        <w:t>ERDAS</w:t>
      </w:r>
      <w:r>
        <w:rPr>
          <w:rStyle w:val="a9"/>
          <w:b w:val="0"/>
          <w:bCs w:val="0"/>
          <w:sz w:val="20"/>
          <w:szCs w:val="20"/>
        </w:rPr>
        <w:t> </w:t>
      </w:r>
      <w:r w:rsidRPr="00AF2DAA">
        <w:rPr>
          <w:rStyle w:val="a9"/>
          <w:b w:val="0"/>
          <w:bCs w:val="0"/>
          <w:sz w:val="20"/>
          <w:szCs w:val="20"/>
        </w:rPr>
        <w:t>IMAGINE</w:t>
      </w:r>
      <w:r w:rsidR="0010065E">
        <w:rPr>
          <w:rStyle w:val="a9"/>
          <w:b w:val="0"/>
          <w:bCs w:val="0"/>
          <w:sz w:val="20"/>
          <w:szCs w:val="20"/>
        </w:rPr>
        <w:t> </w:t>
      </w:r>
      <w:r w:rsidRPr="00AF2DAA">
        <w:rPr>
          <w:rStyle w:val="a9"/>
          <w:b w:val="0"/>
          <w:bCs w:val="0"/>
          <w:sz w:val="20"/>
          <w:szCs w:val="20"/>
        </w:rPr>
        <w:t>2014</w:t>
      </w:r>
      <w:r w:rsidRPr="00AF2DAA">
        <w:rPr>
          <w:sz w:val="20"/>
          <w:szCs w:val="20"/>
        </w:rPr>
        <w:t>.</w:t>
      </w:r>
      <w:r w:rsidR="0010065E">
        <w:rPr>
          <w:sz w:val="20"/>
          <w:szCs w:val="20"/>
        </w:rPr>
        <w:t xml:space="preserve"> </w:t>
      </w:r>
      <w:r w:rsidRPr="00AF2DAA">
        <w:rPr>
          <w:sz w:val="20"/>
          <w:szCs w:val="20"/>
        </w:rPr>
        <w:t xml:space="preserve">The algorithm of this module is illustrated in </w:t>
      </w:r>
      <w:r w:rsidRPr="00AF2DAA">
        <w:rPr>
          <w:rStyle w:val="a9"/>
          <w:b w:val="0"/>
          <w:bCs w:val="0"/>
          <w:sz w:val="20"/>
          <w:szCs w:val="20"/>
        </w:rPr>
        <w:t>Figure 2.</w:t>
      </w:r>
      <w:r w:rsidRPr="00AF2DAA">
        <w:rPr>
          <w:sz w:val="20"/>
          <w:szCs w:val="20"/>
        </w:rPr>
        <w:t xml:space="preserve"> </w:t>
      </w:r>
    </w:p>
    <w:p w14:paraId="2FEB81DA" w14:textId="7F7E960E" w:rsidR="00AF2DAA" w:rsidRPr="00AF2DAA" w:rsidRDefault="00AF2DAA" w:rsidP="006E0BF0">
      <w:pPr>
        <w:pStyle w:val="a8"/>
        <w:spacing w:before="0" w:beforeAutospacing="0" w:after="0" w:afterAutospacing="0"/>
        <w:ind w:firstLine="284"/>
        <w:jc w:val="both"/>
        <w:rPr>
          <w:rStyle w:val="a9"/>
          <w:sz w:val="20"/>
          <w:szCs w:val="20"/>
        </w:rPr>
      </w:pPr>
      <w:r w:rsidRPr="00AF2DAA">
        <w:rPr>
          <w:sz w:val="20"/>
          <w:szCs w:val="20"/>
        </w:rPr>
        <w:t>This procedure enables the integration of multiple spectral bands into a single multispectral image, which serves as the foundation for subsequent visual interpretation and quantitative analysis.</w:t>
      </w:r>
    </w:p>
    <w:p w14:paraId="24A372E6" w14:textId="6DFAC110" w:rsidR="00471170" w:rsidRDefault="00AF2DAA" w:rsidP="006E0BF0">
      <w:pPr>
        <w:ind w:firstLine="284"/>
        <w:jc w:val="both"/>
      </w:pPr>
      <w:r w:rsidRPr="00486E3B">
        <w:t xml:space="preserve"> </w:t>
      </w:r>
      <w:r w:rsidR="00471170" w:rsidRPr="00486E3B">
        <w:t>Directional filtering highlighted several major lineament systems extending over distances exceeding 1 km. These lineaments predominantly follow the orientation of the Main Syncline and intersect known mineral occurrences, suggesting their critical role in controlling fluid migration and ore deposition.</w:t>
      </w:r>
    </w:p>
    <w:p w14:paraId="23E5B66D" w14:textId="77777777" w:rsidR="006E0BF0" w:rsidRDefault="006E0BF0" w:rsidP="006E0BF0">
      <w:pPr>
        <w:ind w:firstLine="284"/>
        <w:jc w:val="both"/>
        <w:rPr>
          <w:noProof/>
        </w:rPr>
      </w:pPr>
    </w:p>
    <w:p w14:paraId="317E69C2" w14:textId="2CD60321" w:rsidR="006E0BF0" w:rsidRPr="00486E3B" w:rsidRDefault="006E0BF0" w:rsidP="006E0BF0">
      <w:pPr>
        <w:jc w:val="center"/>
      </w:pPr>
      <w:r>
        <w:rPr>
          <w:noProof/>
        </w:rPr>
        <w:drawing>
          <wp:inline distT="0" distB="0" distL="0" distR="0" wp14:anchorId="35416EB7" wp14:editId="3C1A34B9">
            <wp:extent cx="4288022" cy="2943225"/>
            <wp:effectExtent l="0" t="0" r="0" b="0"/>
            <wp:docPr id="8298137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0000" cy="2958310"/>
                    </a:xfrm>
                    <a:prstGeom prst="rect">
                      <a:avLst/>
                    </a:prstGeom>
                    <a:noFill/>
                  </pic:spPr>
                </pic:pic>
              </a:graphicData>
            </a:graphic>
          </wp:inline>
        </w:drawing>
      </w:r>
    </w:p>
    <w:p w14:paraId="5C40CE89" w14:textId="54657579" w:rsidR="006E0BF0" w:rsidRDefault="00AF2DAA" w:rsidP="006E0BF0">
      <w:pPr>
        <w:pStyle w:val="6"/>
        <w:numPr>
          <w:ilvl w:val="0"/>
          <w:numId w:val="0"/>
        </w:numPr>
        <w:spacing w:before="0" w:after="0"/>
        <w:ind w:firstLine="284"/>
        <w:jc w:val="center"/>
      </w:pPr>
      <w:r w:rsidRPr="002F398D">
        <w:rPr>
          <w:rStyle w:val="y2iqfc"/>
          <w:bCs/>
          <w:color w:val="1F1F1F"/>
          <w:lang w:val="en"/>
        </w:rPr>
        <w:t>Fig</w:t>
      </w:r>
      <w:r>
        <w:rPr>
          <w:rStyle w:val="y2iqfc"/>
          <w:bCs/>
          <w:color w:val="1F1F1F"/>
          <w:lang w:val="en"/>
        </w:rPr>
        <w:t>ure</w:t>
      </w:r>
      <w:r w:rsidR="006E0BF0">
        <w:rPr>
          <w:rStyle w:val="y2iqfc"/>
          <w:bCs/>
          <w:color w:val="1F1F1F"/>
          <w:lang w:val="en"/>
        </w:rPr>
        <w:t xml:space="preserve"> </w:t>
      </w:r>
      <w:r w:rsidRPr="002F398D">
        <w:rPr>
          <w:rStyle w:val="y2iqfc"/>
          <w:bCs/>
          <w:color w:val="1F1F1F"/>
          <w:lang w:val="en"/>
        </w:rPr>
        <w:t>2.</w:t>
      </w:r>
      <w:r w:rsidRPr="00F470B3">
        <w:t xml:space="preserve"> </w:t>
      </w:r>
      <w:r w:rsidRPr="00F470B3">
        <w:rPr>
          <w:b w:val="0"/>
          <w:bCs/>
        </w:rPr>
        <w:t>Result of processing by the Mineral Composition method</w:t>
      </w:r>
    </w:p>
    <w:p w14:paraId="04903199" w14:textId="77777777" w:rsidR="006E0BF0" w:rsidRDefault="006E0BF0" w:rsidP="006E0BF0">
      <w:pPr>
        <w:pStyle w:val="a8"/>
        <w:spacing w:before="0" w:beforeAutospacing="0" w:after="0" w:afterAutospacing="0"/>
        <w:ind w:firstLine="284"/>
        <w:jc w:val="both"/>
        <w:rPr>
          <w:sz w:val="20"/>
          <w:szCs w:val="20"/>
        </w:rPr>
      </w:pPr>
    </w:p>
    <w:p w14:paraId="2D7B96D5" w14:textId="53587BBF" w:rsidR="00471170" w:rsidRPr="00486E3B" w:rsidRDefault="00471170" w:rsidP="006E0BF0">
      <w:pPr>
        <w:pStyle w:val="a8"/>
        <w:spacing w:before="0" w:beforeAutospacing="0" w:after="0" w:afterAutospacing="0"/>
        <w:ind w:firstLine="284"/>
        <w:jc w:val="both"/>
        <w:rPr>
          <w:sz w:val="20"/>
          <w:szCs w:val="20"/>
        </w:rPr>
      </w:pPr>
      <w:r w:rsidRPr="00486E3B">
        <w:rPr>
          <w:sz w:val="20"/>
          <w:szCs w:val="20"/>
        </w:rPr>
        <w:lastRenderedPageBreak/>
        <w:t>GIS</w:t>
      </w:r>
      <w:r w:rsidR="00AF2DAA">
        <w:rPr>
          <w:sz w:val="20"/>
          <w:szCs w:val="20"/>
        </w:rPr>
        <w:t xml:space="preserve"> </w:t>
      </w:r>
      <w:r w:rsidRPr="00486E3B">
        <w:rPr>
          <w:sz w:val="20"/>
          <w:szCs w:val="20"/>
        </w:rPr>
        <w:t>-</w:t>
      </w:r>
      <w:r w:rsidR="00AF2DAA">
        <w:rPr>
          <w:sz w:val="20"/>
          <w:szCs w:val="20"/>
        </w:rPr>
        <w:t xml:space="preserve"> </w:t>
      </w:r>
      <w:r w:rsidRPr="00486E3B">
        <w:rPr>
          <w:sz w:val="20"/>
          <w:szCs w:val="20"/>
        </w:rPr>
        <w:t xml:space="preserve">based overlay analysis integrating spectral, structural, and geological layers enabled the delineation of four prospective ore-bearing zones. Among these, the areas corresponding to the </w:t>
      </w:r>
      <w:proofErr w:type="spellStart"/>
      <w:r w:rsidRPr="00486E3B">
        <w:rPr>
          <w:sz w:val="20"/>
          <w:szCs w:val="20"/>
        </w:rPr>
        <w:t>Blijnee</w:t>
      </w:r>
      <w:proofErr w:type="spellEnd"/>
      <w:r w:rsidRPr="00486E3B">
        <w:rPr>
          <w:sz w:val="20"/>
          <w:szCs w:val="20"/>
        </w:rPr>
        <w:t xml:space="preserve"> and </w:t>
      </w:r>
      <w:proofErr w:type="spellStart"/>
      <w:r w:rsidRPr="00486E3B">
        <w:rPr>
          <w:sz w:val="20"/>
          <w:szCs w:val="20"/>
        </w:rPr>
        <w:t>Peschanoe</w:t>
      </w:r>
      <w:proofErr w:type="spellEnd"/>
      <w:r w:rsidRPr="00486E3B">
        <w:rPr>
          <w:sz w:val="20"/>
          <w:szCs w:val="20"/>
        </w:rPr>
        <w:t xml:space="preserve"> occurrences exhibited the highest mineralization potential. The observed spatial relationships confirm that gold–platinum mineralization in the </w:t>
      </w:r>
      <w:proofErr w:type="spellStart"/>
      <w:r w:rsidRPr="00486E3B">
        <w:rPr>
          <w:sz w:val="20"/>
          <w:szCs w:val="20"/>
        </w:rPr>
        <w:t>Kaspaktao</w:t>
      </w:r>
      <w:proofErr w:type="spellEnd"/>
      <w:r w:rsidRPr="00486E3B">
        <w:rPr>
          <w:sz w:val="20"/>
          <w:szCs w:val="20"/>
        </w:rPr>
        <w:t xml:space="preserve"> area is strongly influenced by tectonic architecture and hydrothermal processes.</w:t>
      </w:r>
    </w:p>
    <w:p w14:paraId="79562279" w14:textId="30AAF048" w:rsidR="00471170" w:rsidRPr="00486E3B" w:rsidRDefault="00471170" w:rsidP="006E0BF0">
      <w:pPr>
        <w:pStyle w:val="a8"/>
        <w:spacing w:before="0" w:beforeAutospacing="0" w:after="0" w:afterAutospacing="0"/>
        <w:ind w:firstLine="284"/>
        <w:jc w:val="both"/>
        <w:rPr>
          <w:sz w:val="20"/>
          <w:szCs w:val="20"/>
        </w:rPr>
      </w:pPr>
      <w:r w:rsidRPr="00486E3B">
        <w:rPr>
          <w:sz w:val="20"/>
          <w:szCs w:val="20"/>
        </w:rPr>
        <w:t>The results obtained are consistent with findings from comparable metallogenic provinces, indicating that the applied RS</w:t>
      </w:r>
      <w:r w:rsidR="00823F1A">
        <w:rPr>
          <w:sz w:val="20"/>
          <w:szCs w:val="20"/>
        </w:rPr>
        <w:t xml:space="preserve"> - </w:t>
      </w:r>
      <w:r w:rsidRPr="00486E3B">
        <w:rPr>
          <w:sz w:val="20"/>
          <w:szCs w:val="20"/>
        </w:rPr>
        <w:t>GIS methodology provides a robust framework for early-stage exploration in arid and structurally complex terrains.</w:t>
      </w:r>
    </w:p>
    <w:p w14:paraId="4AC4E9B3" w14:textId="59D27BC3" w:rsidR="00471170" w:rsidRPr="00486E3B" w:rsidRDefault="00471170" w:rsidP="00486E3B">
      <w:pPr>
        <w:jc w:val="center"/>
        <w:rPr>
          <w:b/>
          <w:bCs/>
          <w:sz w:val="24"/>
          <w:szCs w:val="24"/>
        </w:rPr>
      </w:pPr>
      <w:r w:rsidRPr="00486E3B">
        <w:rPr>
          <w:b/>
          <w:bCs/>
          <w:sz w:val="24"/>
          <w:szCs w:val="24"/>
        </w:rPr>
        <w:t>CONCLUSIONS</w:t>
      </w:r>
    </w:p>
    <w:p w14:paraId="7F464307" w14:textId="77777777" w:rsidR="00471170" w:rsidRPr="00486E3B" w:rsidRDefault="00471170" w:rsidP="006E0BF0">
      <w:pPr>
        <w:pStyle w:val="a8"/>
        <w:tabs>
          <w:tab w:val="left" w:pos="426"/>
        </w:tabs>
        <w:spacing w:before="0" w:beforeAutospacing="0" w:after="0" w:afterAutospacing="0"/>
        <w:ind w:firstLine="284"/>
        <w:jc w:val="both"/>
        <w:rPr>
          <w:sz w:val="20"/>
          <w:szCs w:val="20"/>
        </w:rPr>
      </w:pPr>
      <w:r w:rsidRPr="00486E3B">
        <w:rPr>
          <w:sz w:val="20"/>
          <w:szCs w:val="20"/>
        </w:rPr>
        <w:t xml:space="preserve">The integrated application of Remote Sensing and GIS techniques enabled a comprehensive assessment of the geological and structural framework of the </w:t>
      </w:r>
      <w:proofErr w:type="spellStart"/>
      <w:r w:rsidRPr="00486E3B">
        <w:rPr>
          <w:sz w:val="20"/>
          <w:szCs w:val="20"/>
        </w:rPr>
        <w:t>Kaspaktao</w:t>
      </w:r>
      <w:proofErr w:type="spellEnd"/>
      <w:r w:rsidRPr="00486E3B">
        <w:rPr>
          <w:sz w:val="20"/>
          <w:szCs w:val="20"/>
        </w:rPr>
        <w:t xml:space="preserve"> prospective area. The main conclusions are as follows:</w:t>
      </w:r>
    </w:p>
    <w:p w14:paraId="45865CED" w14:textId="3C52B30D" w:rsidR="00471170" w:rsidRPr="00486E3B" w:rsidRDefault="00471170" w:rsidP="006E0BF0">
      <w:pPr>
        <w:pStyle w:val="a8"/>
        <w:numPr>
          <w:ilvl w:val="0"/>
          <w:numId w:val="36"/>
        </w:numPr>
        <w:tabs>
          <w:tab w:val="left" w:pos="426"/>
        </w:tabs>
        <w:spacing w:before="0" w:beforeAutospacing="0" w:after="0" w:afterAutospacing="0"/>
        <w:ind w:left="0" w:firstLine="284"/>
        <w:jc w:val="both"/>
        <w:rPr>
          <w:sz w:val="20"/>
          <w:szCs w:val="20"/>
        </w:rPr>
      </w:pPr>
      <w:r w:rsidRPr="00486E3B">
        <w:rPr>
          <w:sz w:val="20"/>
          <w:szCs w:val="20"/>
        </w:rPr>
        <w:t>Multispectral satellite data effectively delineate ore-controlling structures and lithological variations.</w:t>
      </w:r>
    </w:p>
    <w:p w14:paraId="609FAEB2" w14:textId="77777777" w:rsidR="00486E3B" w:rsidRPr="00486E3B" w:rsidRDefault="00471170" w:rsidP="006E0BF0">
      <w:pPr>
        <w:pStyle w:val="a8"/>
        <w:numPr>
          <w:ilvl w:val="0"/>
          <w:numId w:val="36"/>
        </w:numPr>
        <w:tabs>
          <w:tab w:val="left" w:pos="426"/>
        </w:tabs>
        <w:spacing w:before="0" w:beforeAutospacing="0" w:after="0" w:afterAutospacing="0"/>
        <w:ind w:left="0" w:firstLine="284"/>
        <w:jc w:val="both"/>
        <w:rPr>
          <w:sz w:val="20"/>
          <w:szCs w:val="20"/>
        </w:rPr>
      </w:pPr>
      <w:r w:rsidRPr="00486E3B">
        <w:rPr>
          <w:sz w:val="20"/>
          <w:szCs w:val="20"/>
        </w:rPr>
        <w:t>PCA and ITS transformations are highly efficient in identifying hydrothermal alteration zones associated with gold–platinum mineralization.</w:t>
      </w:r>
    </w:p>
    <w:p w14:paraId="5954CF57" w14:textId="77777777" w:rsidR="00486E3B" w:rsidRPr="00486E3B" w:rsidRDefault="00471170" w:rsidP="006E0BF0">
      <w:pPr>
        <w:pStyle w:val="a8"/>
        <w:numPr>
          <w:ilvl w:val="0"/>
          <w:numId w:val="36"/>
        </w:numPr>
        <w:tabs>
          <w:tab w:val="left" w:pos="426"/>
        </w:tabs>
        <w:spacing w:before="0" w:beforeAutospacing="0" w:after="0" w:afterAutospacing="0"/>
        <w:ind w:left="0" w:firstLine="284"/>
        <w:jc w:val="both"/>
        <w:rPr>
          <w:sz w:val="20"/>
          <w:szCs w:val="20"/>
        </w:rPr>
      </w:pPr>
      <w:r w:rsidRPr="00486E3B">
        <w:rPr>
          <w:sz w:val="20"/>
          <w:szCs w:val="20"/>
        </w:rPr>
        <w:t>Structural lineament analysis reveals a strong spatial correlation between mineralized zones and major tectonic elements.</w:t>
      </w:r>
    </w:p>
    <w:p w14:paraId="5C520888" w14:textId="6E4E9FC9" w:rsidR="00CD79FC" w:rsidRPr="00486E3B" w:rsidRDefault="00471170" w:rsidP="006E0BF0">
      <w:pPr>
        <w:pStyle w:val="a8"/>
        <w:numPr>
          <w:ilvl w:val="0"/>
          <w:numId w:val="36"/>
        </w:numPr>
        <w:tabs>
          <w:tab w:val="left" w:pos="426"/>
        </w:tabs>
        <w:spacing w:before="0" w:beforeAutospacing="0" w:after="0" w:afterAutospacing="0"/>
        <w:ind w:left="0" w:firstLine="284"/>
        <w:jc w:val="both"/>
        <w:rPr>
          <w:sz w:val="20"/>
          <w:szCs w:val="20"/>
        </w:rPr>
      </w:pPr>
      <w:r w:rsidRPr="00486E3B">
        <w:rPr>
          <w:sz w:val="20"/>
          <w:szCs w:val="20"/>
        </w:rPr>
        <w:t>The proposed methodological approach is suitable for guiding further detailed exploration and drilling programs in the study area.</w:t>
      </w:r>
    </w:p>
    <w:p w14:paraId="33D16B55" w14:textId="77777777" w:rsidR="00486E3B" w:rsidRPr="00486E3B" w:rsidRDefault="00471170" w:rsidP="006E0BF0">
      <w:pPr>
        <w:pStyle w:val="a8"/>
        <w:tabs>
          <w:tab w:val="left" w:pos="426"/>
        </w:tabs>
        <w:spacing w:before="0" w:beforeAutospacing="0" w:after="0" w:afterAutospacing="0"/>
        <w:ind w:firstLine="284"/>
        <w:jc w:val="both"/>
        <w:rPr>
          <w:sz w:val="20"/>
          <w:szCs w:val="20"/>
        </w:rPr>
      </w:pPr>
      <w:r w:rsidRPr="00486E3B">
        <w:rPr>
          <w:sz w:val="20"/>
          <w:szCs w:val="20"/>
        </w:rPr>
        <w:t>All satellite datasets used in this study, including Landsat-8, Sentinel-2, and ASTER imagery, are publicly accessible through the United States Geological Survey (USGS) and the European Space Agency (ESA) data repositories.</w:t>
      </w:r>
    </w:p>
    <w:p w14:paraId="65A1D8A1" w14:textId="45E3340A" w:rsidR="00E275D9" w:rsidRDefault="00471170" w:rsidP="00486E3B">
      <w:pPr>
        <w:pStyle w:val="a8"/>
        <w:jc w:val="center"/>
        <w:rPr>
          <w:b/>
          <w:bCs/>
        </w:rPr>
      </w:pPr>
      <w:r w:rsidRPr="00486E3B">
        <w:rPr>
          <w:b/>
          <w:bCs/>
        </w:rPr>
        <w:t>REFERENCES</w:t>
      </w:r>
    </w:p>
    <w:p w14:paraId="4413FF2A" w14:textId="77777777" w:rsidR="006E0BF0" w:rsidRDefault="00486E3B" w:rsidP="006E0BF0">
      <w:pPr>
        <w:pStyle w:val="a8"/>
        <w:spacing w:before="0" w:beforeAutospacing="0" w:after="0" w:afterAutospacing="0"/>
        <w:jc w:val="both"/>
        <w:rPr>
          <w:sz w:val="20"/>
          <w:szCs w:val="20"/>
        </w:rPr>
      </w:pPr>
      <w:r w:rsidRPr="00486E3B">
        <w:rPr>
          <w:sz w:val="20"/>
          <w:szCs w:val="20"/>
        </w:rPr>
        <w:t>1</w:t>
      </w:r>
      <w:r w:rsidRPr="006E0BF0">
        <w:rPr>
          <w:sz w:val="20"/>
          <w:szCs w:val="20"/>
        </w:rPr>
        <w:t>.</w:t>
      </w:r>
      <w:r w:rsidR="00F93D38" w:rsidRPr="006E0BF0">
        <w:rPr>
          <w:sz w:val="20"/>
          <w:szCs w:val="20"/>
        </w:rPr>
        <w:t xml:space="preserve">  </w:t>
      </w:r>
      <w:r w:rsidRPr="006E0BF0">
        <w:rPr>
          <w:sz w:val="20"/>
          <w:szCs w:val="20"/>
        </w:rPr>
        <w:t xml:space="preserve">Abrams, M. (2000). The Advanced Spaceborne Thermal Emission and Reflection Radiometer (ASTER): Data products for the high spatial resolution era. </w:t>
      </w:r>
      <w:r w:rsidRPr="006E0BF0">
        <w:rPr>
          <w:rStyle w:val="aa"/>
          <w:sz w:val="20"/>
          <w:szCs w:val="20"/>
        </w:rPr>
        <w:t>International Journal of Remote Sensing</w:t>
      </w:r>
      <w:r w:rsidRPr="006E0BF0">
        <w:rPr>
          <w:sz w:val="20"/>
          <w:szCs w:val="20"/>
        </w:rPr>
        <w:t>,</w:t>
      </w:r>
      <w:r w:rsidR="00F93D38" w:rsidRPr="006E0BF0">
        <w:rPr>
          <w:sz w:val="20"/>
          <w:szCs w:val="20"/>
        </w:rPr>
        <w:t> </w:t>
      </w:r>
      <w:r w:rsidRPr="006E0BF0">
        <w:rPr>
          <w:sz w:val="20"/>
          <w:szCs w:val="20"/>
        </w:rPr>
        <w:t>21(5),</w:t>
      </w:r>
      <w:r w:rsidR="00F93D38" w:rsidRPr="006E0BF0">
        <w:rPr>
          <w:sz w:val="20"/>
          <w:szCs w:val="20"/>
        </w:rPr>
        <w:t> </w:t>
      </w:r>
      <w:r w:rsidRPr="006E0BF0">
        <w:rPr>
          <w:sz w:val="20"/>
          <w:szCs w:val="20"/>
        </w:rPr>
        <w:t>847</w:t>
      </w:r>
      <w:r w:rsidR="00F93D38" w:rsidRPr="006E0BF0">
        <w:rPr>
          <w:sz w:val="20"/>
          <w:szCs w:val="20"/>
        </w:rPr>
        <w:t> - </w:t>
      </w:r>
      <w:r w:rsidRPr="006E0BF0">
        <w:rPr>
          <w:sz w:val="20"/>
          <w:szCs w:val="20"/>
        </w:rPr>
        <w:t>859.</w:t>
      </w:r>
    </w:p>
    <w:p w14:paraId="55EBEA42" w14:textId="77777777" w:rsidR="006E0BF0" w:rsidRDefault="00486E3B" w:rsidP="006E0BF0">
      <w:pPr>
        <w:pStyle w:val="a8"/>
        <w:spacing w:before="0" w:beforeAutospacing="0" w:after="0" w:afterAutospacing="0"/>
        <w:jc w:val="both"/>
        <w:rPr>
          <w:sz w:val="20"/>
          <w:szCs w:val="20"/>
        </w:rPr>
      </w:pPr>
      <w:r w:rsidRPr="006E0BF0">
        <w:rPr>
          <w:sz w:val="20"/>
          <w:szCs w:val="20"/>
        </w:rPr>
        <w:t xml:space="preserve">2. Carranza, E. J. M. (2009). </w:t>
      </w:r>
      <w:r w:rsidRPr="006E0BF0">
        <w:rPr>
          <w:rStyle w:val="aa"/>
          <w:sz w:val="20"/>
          <w:szCs w:val="20"/>
        </w:rPr>
        <w:t>Geochemical anomaly and mineral prospectivity mapping in GIS</w:t>
      </w:r>
      <w:r w:rsidRPr="006E0BF0">
        <w:rPr>
          <w:sz w:val="20"/>
          <w:szCs w:val="20"/>
        </w:rPr>
        <w:t>. Elsevier.</w:t>
      </w:r>
    </w:p>
    <w:p w14:paraId="33C38FAF" w14:textId="77777777" w:rsidR="006E0BF0" w:rsidRDefault="00486E3B" w:rsidP="006E0BF0">
      <w:pPr>
        <w:pStyle w:val="a8"/>
        <w:spacing w:before="0" w:beforeAutospacing="0" w:after="0" w:afterAutospacing="0"/>
        <w:jc w:val="both"/>
        <w:rPr>
          <w:sz w:val="20"/>
          <w:szCs w:val="20"/>
        </w:rPr>
      </w:pPr>
      <w:r w:rsidRPr="006E0BF0">
        <w:rPr>
          <w:sz w:val="20"/>
          <w:szCs w:val="20"/>
        </w:rPr>
        <w:t xml:space="preserve">3. Goipov, A. B., Akhmadov, S. I., </w:t>
      </w:r>
      <w:proofErr w:type="spellStart"/>
      <w:r w:rsidRPr="006E0BF0">
        <w:rPr>
          <w:sz w:val="20"/>
          <w:szCs w:val="20"/>
        </w:rPr>
        <w:t>Tevelev</w:t>
      </w:r>
      <w:proofErr w:type="spellEnd"/>
      <w:r w:rsidRPr="006E0BF0">
        <w:rPr>
          <w:sz w:val="20"/>
          <w:szCs w:val="20"/>
        </w:rPr>
        <w:t xml:space="preserve">, A. V., et al. (2024). Application of innovative spectral and structural interpretation methods in mineral exploration. </w:t>
      </w:r>
      <w:r w:rsidRPr="006E0BF0">
        <w:rPr>
          <w:rStyle w:val="aa"/>
          <w:sz w:val="20"/>
          <w:szCs w:val="20"/>
        </w:rPr>
        <w:t>Moscow University Geology Bulletin</w:t>
      </w:r>
      <w:r w:rsidRPr="006E0BF0">
        <w:rPr>
          <w:sz w:val="20"/>
          <w:szCs w:val="20"/>
        </w:rPr>
        <w:t>,</w:t>
      </w:r>
      <w:r w:rsidR="00F93D38" w:rsidRPr="006E0BF0">
        <w:rPr>
          <w:sz w:val="20"/>
          <w:szCs w:val="20"/>
        </w:rPr>
        <w:t> </w:t>
      </w:r>
      <w:r w:rsidRPr="006E0BF0">
        <w:rPr>
          <w:sz w:val="20"/>
          <w:szCs w:val="20"/>
        </w:rPr>
        <w:t>79(6),</w:t>
      </w:r>
      <w:r w:rsidR="00F93D38" w:rsidRPr="006E0BF0">
        <w:rPr>
          <w:sz w:val="20"/>
          <w:szCs w:val="20"/>
        </w:rPr>
        <w:t> </w:t>
      </w:r>
      <w:r w:rsidRPr="006E0BF0">
        <w:rPr>
          <w:sz w:val="20"/>
          <w:szCs w:val="20"/>
        </w:rPr>
        <w:t>798</w:t>
      </w:r>
      <w:r w:rsidR="00F93D38" w:rsidRPr="006E0BF0">
        <w:rPr>
          <w:sz w:val="20"/>
          <w:szCs w:val="20"/>
        </w:rPr>
        <w:t> - </w:t>
      </w:r>
      <w:r w:rsidRPr="006E0BF0">
        <w:rPr>
          <w:sz w:val="20"/>
          <w:szCs w:val="20"/>
        </w:rPr>
        <w:t>809.</w:t>
      </w:r>
    </w:p>
    <w:p w14:paraId="1B1CB091" w14:textId="77777777" w:rsidR="006E0BF0" w:rsidRDefault="00486E3B" w:rsidP="006E0BF0">
      <w:pPr>
        <w:pStyle w:val="a8"/>
        <w:spacing w:before="0" w:beforeAutospacing="0" w:after="0" w:afterAutospacing="0"/>
        <w:jc w:val="both"/>
        <w:rPr>
          <w:sz w:val="20"/>
          <w:szCs w:val="20"/>
        </w:rPr>
      </w:pPr>
      <w:r w:rsidRPr="006E0BF0">
        <w:rPr>
          <w:sz w:val="20"/>
          <w:szCs w:val="20"/>
        </w:rPr>
        <w:t xml:space="preserve">4. Goipov, A. B., Akhmadov, S. I., Yusupov, V. R. (2024). Geophysical indicators of mineralization in the </w:t>
      </w:r>
      <w:proofErr w:type="spellStart"/>
      <w:r w:rsidRPr="006E0BF0">
        <w:rPr>
          <w:sz w:val="20"/>
          <w:szCs w:val="20"/>
        </w:rPr>
        <w:t>Bukantau</w:t>
      </w:r>
      <w:proofErr w:type="spellEnd"/>
      <w:r w:rsidRPr="006E0BF0">
        <w:rPr>
          <w:sz w:val="20"/>
          <w:szCs w:val="20"/>
        </w:rPr>
        <w:t xml:space="preserve"> Mountains. </w:t>
      </w:r>
      <w:r w:rsidRPr="006E0BF0">
        <w:rPr>
          <w:rStyle w:val="aa"/>
          <w:sz w:val="20"/>
          <w:szCs w:val="20"/>
        </w:rPr>
        <w:t>ANAS Transactions, Earth Sciences</w:t>
      </w:r>
      <w:r w:rsidRPr="006E0BF0">
        <w:rPr>
          <w:sz w:val="20"/>
          <w:szCs w:val="20"/>
        </w:rPr>
        <w:t>, (2), 77</w:t>
      </w:r>
      <w:r w:rsidR="00F93D38" w:rsidRPr="006E0BF0">
        <w:rPr>
          <w:sz w:val="20"/>
          <w:szCs w:val="20"/>
        </w:rPr>
        <w:t xml:space="preserve"> - </w:t>
      </w:r>
      <w:r w:rsidRPr="006E0BF0">
        <w:rPr>
          <w:sz w:val="20"/>
          <w:szCs w:val="20"/>
        </w:rPr>
        <w:t>91.</w:t>
      </w:r>
    </w:p>
    <w:p w14:paraId="3CDC5BB2" w14:textId="77777777" w:rsidR="006E0BF0" w:rsidRDefault="00486E3B" w:rsidP="006E0BF0">
      <w:pPr>
        <w:pStyle w:val="a8"/>
        <w:spacing w:before="0" w:beforeAutospacing="0" w:after="0" w:afterAutospacing="0"/>
        <w:jc w:val="both"/>
        <w:rPr>
          <w:sz w:val="20"/>
          <w:szCs w:val="20"/>
        </w:rPr>
      </w:pPr>
      <w:r w:rsidRPr="006E0BF0">
        <w:rPr>
          <w:sz w:val="20"/>
          <w:szCs w:val="20"/>
        </w:rPr>
        <w:t xml:space="preserve">5. Goipov, A., </w:t>
      </w:r>
      <w:proofErr w:type="spellStart"/>
      <w:r w:rsidRPr="006E0BF0">
        <w:rPr>
          <w:sz w:val="20"/>
          <w:szCs w:val="20"/>
        </w:rPr>
        <w:t>Małolepszy</w:t>
      </w:r>
      <w:proofErr w:type="spellEnd"/>
      <w:r w:rsidRPr="006E0BF0">
        <w:rPr>
          <w:sz w:val="20"/>
          <w:szCs w:val="20"/>
        </w:rPr>
        <w:t>, Z., Isokov, M., et al. (2025). Three-dimensional geological and geophysical</w:t>
      </w:r>
      <w:r w:rsidR="00F93D38" w:rsidRPr="006E0BF0">
        <w:rPr>
          <w:sz w:val="20"/>
          <w:szCs w:val="20"/>
        </w:rPr>
        <w:t> </w:t>
      </w:r>
      <w:r w:rsidRPr="006E0BF0">
        <w:rPr>
          <w:sz w:val="20"/>
          <w:szCs w:val="20"/>
        </w:rPr>
        <w:t>model</w:t>
      </w:r>
      <w:r w:rsidR="00F93D38" w:rsidRPr="006E0BF0">
        <w:rPr>
          <w:sz w:val="20"/>
          <w:szCs w:val="20"/>
        </w:rPr>
        <w:t> </w:t>
      </w:r>
      <w:r w:rsidRPr="006E0BF0">
        <w:rPr>
          <w:sz w:val="20"/>
          <w:szCs w:val="20"/>
        </w:rPr>
        <w:t>of</w:t>
      </w:r>
      <w:r w:rsidR="00F93D38" w:rsidRPr="006E0BF0">
        <w:rPr>
          <w:sz w:val="20"/>
          <w:szCs w:val="20"/>
        </w:rPr>
        <w:t> </w:t>
      </w:r>
      <w:r w:rsidRPr="006E0BF0">
        <w:rPr>
          <w:sz w:val="20"/>
          <w:szCs w:val="20"/>
        </w:rPr>
        <w:t>the</w:t>
      </w:r>
      <w:r w:rsidR="00F93D38" w:rsidRPr="006E0BF0">
        <w:rPr>
          <w:sz w:val="20"/>
          <w:szCs w:val="20"/>
        </w:rPr>
        <w:t> </w:t>
      </w:r>
      <w:r w:rsidRPr="006E0BF0">
        <w:rPr>
          <w:sz w:val="20"/>
          <w:szCs w:val="20"/>
        </w:rPr>
        <w:t>Myutenbay</w:t>
      </w:r>
      <w:r w:rsidR="00F93D38" w:rsidRPr="006E0BF0">
        <w:rPr>
          <w:sz w:val="20"/>
          <w:szCs w:val="20"/>
        </w:rPr>
        <w:t> </w:t>
      </w:r>
      <w:r w:rsidRPr="006E0BF0">
        <w:rPr>
          <w:sz w:val="20"/>
          <w:szCs w:val="20"/>
        </w:rPr>
        <w:t>gold</w:t>
      </w:r>
      <w:r w:rsidR="00F93D38" w:rsidRPr="006E0BF0">
        <w:rPr>
          <w:sz w:val="20"/>
          <w:szCs w:val="20"/>
        </w:rPr>
        <w:t> </w:t>
      </w:r>
      <w:r w:rsidRPr="006E0BF0">
        <w:rPr>
          <w:sz w:val="20"/>
          <w:szCs w:val="20"/>
        </w:rPr>
        <w:t>deposit.</w:t>
      </w:r>
      <w:r w:rsidR="00F93D38" w:rsidRPr="006E0BF0">
        <w:rPr>
          <w:sz w:val="20"/>
          <w:szCs w:val="20"/>
        </w:rPr>
        <w:t> </w:t>
      </w:r>
      <w:r w:rsidRPr="006E0BF0">
        <w:rPr>
          <w:rStyle w:val="aa"/>
          <w:sz w:val="20"/>
          <w:szCs w:val="20"/>
        </w:rPr>
        <w:t>Geological</w:t>
      </w:r>
      <w:r w:rsidR="00F93D38" w:rsidRPr="006E0BF0">
        <w:rPr>
          <w:rStyle w:val="aa"/>
          <w:sz w:val="20"/>
          <w:szCs w:val="20"/>
        </w:rPr>
        <w:t> </w:t>
      </w:r>
      <w:r w:rsidRPr="006E0BF0">
        <w:rPr>
          <w:rStyle w:val="aa"/>
          <w:sz w:val="20"/>
          <w:szCs w:val="20"/>
        </w:rPr>
        <w:t>Quarterly</w:t>
      </w:r>
      <w:r w:rsidRPr="006E0BF0">
        <w:rPr>
          <w:sz w:val="20"/>
          <w:szCs w:val="20"/>
        </w:rPr>
        <w:t xml:space="preserve">. </w:t>
      </w:r>
      <w:hyperlink r:id="rId12" w:tgtFrame="_new" w:history="1">
        <w:r w:rsidRPr="006E0BF0">
          <w:rPr>
            <w:rStyle w:val="ab"/>
            <w:sz w:val="20"/>
            <w:szCs w:val="20"/>
          </w:rPr>
          <w:t>https://doi.org/10.7306/gq.1809</w:t>
        </w:r>
      </w:hyperlink>
    </w:p>
    <w:p w14:paraId="47462B1E" w14:textId="77777777" w:rsidR="006E0BF0" w:rsidRDefault="00486E3B" w:rsidP="006E0BF0">
      <w:pPr>
        <w:pStyle w:val="a8"/>
        <w:spacing w:before="0" w:beforeAutospacing="0" w:after="0" w:afterAutospacing="0"/>
        <w:jc w:val="both"/>
        <w:rPr>
          <w:sz w:val="20"/>
          <w:szCs w:val="20"/>
        </w:rPr>
      </w:pPr>
      <w:r w:rsidRPr="006E0BF0">
        <w:rPr>
          <w:sz w:val="20"/>
          <w:szCs w:val="20"/>
        </w:rPr>
        <w:t>6. Liu, Y., Sun, X., Chen, J. (2022). Detection of mineralized zones using PCA and band ratio techniques based on Sentinel</w:t>
      </w:r>
      <w:r w:rsidR="00F93D38" w:rsidRPr="006E0BF0">
        <w:rPr>
          <w:sz w:val="20"/>
          <w:szCs w:val="20"/>
        </w:rPr>
        <w:t xml:space="preserve"> </w:t>
      </w:r>
      <w:r w:rsidRPr="006E0BF0">
        <w:rPr>
          <w:sz w:val="20"/>
          <w:szCs w:val="20"/>
        </w:rPr>
        <w:t>-</w:t>
      </w:r>
      <w:r w:rsidR="00F93D38" w:rsidRPr="006E0BF0">
        <w:rPr>
          <w:sz w:val="20"/>
          <w:szCs w:val="20"/>
        </w:rPr>
        <w:t xml:space="preserve"> </w:t>
      </w:r>
      <w:r w:rsidRPr="006E0BF0">
        <w:rPr>
          <w:sz w:val="20"/>
          <w:szCs w:val="20"/>
        </w:rPr>
        <w:t xml:space="preserve">2 data. </w:t>
      </w:r>
      <w:r w:rsidRPr="006E0BF0">
        <w:rPr>
          <w:rStyle w:val="aa"/>
          <w:sz w:val="20"/>
          <w:szCs w:val="20"/>
        </w:rPr>
        <w:t>Remote Sensing Applications: Society and Environment</w:t>
      </w:r>
      <w:r w:rsidRPr="006E0BF0">
        <w:rPr>
          <w:sz w:val="20"/>
          <w:szCs w:val="20"/>
        </w:rPr>
        <w:t>, 26,</w:t>
      </w:r>
      <w:r w:rsidR="00F93D38" w:rsidRPr="006E0BF0">
        <w:rPr>
          <w:sz w:val="20"/>
          <w:szCs w:val="20"/>
        </w:rPr>
        <w:t> </w:t>
      </w:r>
      <w:r w:rsidRPr="006E0BF0">
        <w:rPr>
          <w:sz w:val="20"/>
          <w:szCs w:val="20"/>
        </w:rPr>
        <w:t>100750.</w:t>
      </w:r>
    </w:p>
    <w:p w14:paraId="75DD7E80" w14:textId="77777777" w:rsidR="006E0BF0" w:rsidRDefault="00486E3B" w:rsidP="006E0BF0">
      <w:pPr>
        <w:pStyle w:val="a8"/>
        <w:spacing w:before="0" w:beforeAutospacing="0" w:after="0" w:afterAutospacing="0"/>
        <w:jc w:val="both"/>
        <w:rPr>
          <w:sz w:val="20"/>
          <w:szCs w:val="20"/>
        </w:rPr>
      </w:pPr>
      <w:r w:rsidRPr="006E0BF0">
        <w:rPr>
          <w:sz w:val="20"/>
          <w:szCs w:val="20"/>
        </w:rPr>
        <w:t xml:space="preserve">7. Pour, A. B., Hashim, M. (2015). ASTER data for geological mapping and mineral exploration. </w:t>
      </w:r>
      <w:r w:rsidRPr="006E0BF0">
        <w:rPr>
          <w:rStyle w:val="aa"/>
          <w:sz w:val="20"/>
          <w:szCs w:val="20"/>
        </w:rPr>
        <w:t>International Journal of Applied Earth Observation and Geoinformation</w:t>
      </w:r>
      <w:r w:rsidRPr="006E0BF0">
        <w:rPr>
          <w:sz w:val="20"/>
          <w:szCs w:val="20"/>
        </w:rPr>
        <w:t>, 38, 254</w:t>
      </w:r>
      <w:r w:rsidR="00F93D38" w:rsidRPr="006E0BF0">
        <w:rPr>
          <w:sz w:val="20"/>
          <w:szCs w:val="20"/>
        </w:rPr>
        <w:t xml:space="preserve"> -</w:t>
      </w:r>
      <w:r w:rsidRPr="006E0BF0">
        <w:rPr>
          <w:sz w:val="20"/>
          <w:szCs w:val="20"/>
        </w:rPr>
        <w:t>277.</w:t>
      </w:r>
    </w:p>
    <w:p w14:paraId="41A4CF31" w14:textId="77777777" w:rsidR="006E0BF0" w:rsidRDefault="00486E3B" w:rsidP="006E0BF0">
      <w:pPr>
        <w:pStyle w:val="a8"/>
        <w:spacing w:before="0" w:beforeAutospacing="0" w:after="0" w:afterAutospacing="0"/>
        <w:jc w:val="both"/>
        <w:rPr>
          <w:sz w:val="20"/>
          <w:szCs w:val="20"/>
        </w:rPr>
      </w:pPr>
      <w:r w:rsidRPr="006E0BF0">
        <w:rPr>
          <w:sz w:val="20"/>
          <w:szCs w:val="20"/>
        </w:rPr>
        <w:t xml:space="preserve">8. Rajesh, H. M. (2008). Application of Remote Sensing and GIS in mineral resource mapping. </w:t>
      </w:r>
      <w:r w:rsidRPr="006E0BF0">
        <w:rPr>
          <w:rStyle w:val="aa"/>
          <w:sz w:val="20"/>
          <w:szCs w:val="20"/>
        </w:rPr>
        <w:t>Journal</w:t>
      </w:r>
      <w:r w:rsidR="00F93D38" w:rsidRPr="006E0BF0">
        <w:rPr>
          <w:rStyle w:val="aa"/>
          <w:sz w:val="20"/>
          <w:szCs w:val="20"/>
        </w:rPr>
        <w:t> </w:t>
      </w:r>
      <w:r w:rsidRPr="006E0BF0">
        <w:rPr>
          <w:rStyle w:val="aa"/>
          <w:sz w:val="20"/>
          <w:szCs w:val="20"/>
        </w:rPr>
        <w:t>of</w:t>
      </w:r>
      <w:r w:rsidR="00F93D38" w:rsidRPr="006E0BF0">
        <w:rPr>
          <w:rStyle w:val="aa"/>
          <w:sz w:val="20"/>
          <w:szCs w:val="20"/>
        </w:rPr>
        <w:t> </w:t>
      </w:r>
      <w:r w:rsidRPr="006E0BF0">
        <w:rPr>
          <w:rStyle w:val="aa"/>
          <w:sz w:val="20"/>
          <w:szCs w:val="20"/>
        </w:rPr>
        <w:t>African</w:t>
      </w:r>
      <w:r w:rsidR="00F93D38" w:rsidRPr="006E0BF0">
        <w:rPr>
          <w:rStyle w:val="aa"/>
          <w:sz w:val="20"/>
          <w:szCs w:val="20"/>
        </w:rPr>
        <w:t> </w:t>
      </w:r>
      <w:r w:rsidRPr="006E0BF0">
        <w:rPr>
          <w:rStyle w:val="aa"/>
          <w:sz w:val="20"/>
          <w:szCs w:val="20"/>
        </w:rPr>
        <w:t>Earth</w:t>
      </w:r>
      <w:r w:rsidR="00F93D38" w:rsidRPr="006E0BF0">
        <w:rPr>
          <w:rStyle w:val="aa"/>
          <w:sz w:val="20"/>
          <w:szCs w:val="20"/>
        </w:rPr>
        <w:t> </w:t>
      </w:r>
      <w:r w:rsidRPr="006E0BF0">
        <w:rPr>
          <w:rStyle w:val="aa"/>
          <w:sz w:val="20"/>
          <w:szCs w:val="20"/>
        </w:rPr>
        <w:t>Sciences</w:t>
      </w:r>
      <w:r w:rsidRPr="006E0BF0">
        <w:rPr>
          <w:sz w:val="20"/>
          <w:szCs w:val="20"/>
        </w:rPr>
        <w:t>,</w:t>
      </w:r>
      <w:r w:rsidR="00F93D38" w:rsidRPr="006E0BF0">
        <w:rPr>
          <w:sz w:val="20"/>
          <w:szCs w:val="20"/>
        </w:rPr>
        <w:t> </w:t>
      </w:r>
      <w:r w:rsidRPr="006E0BF0">
        <w:rPr>
          <w:sz w:val="20"/>
          <w:szCs w:val="20"/>
        </w:rPr>
        <w:t>50(2),</w:t>
      </w:r>
      <w:r w:rsidR="00F93D38" w:rsidRPr="006E0BF0">
        <w:rPr>
          <w:sz w:val="20"/>
          <w:szCs w:val="20"/>
        </w:rPr>
        <w:t> </w:t>
      </w:r>
      <w:r w:rsidRPr="006E0BF0">
        <w:rPr>
          <w:sz w:val="20"/>
          <w:szCs w:val="20"/>
        </w:rPr>
        <w:t>217</w:t>
      </w:r>
      <w:r w:rsidR="00F93D38" w:rsidRPr="006E0BF0">
        <w:rPr>
          <w:sz w:val="20"/>
          <w:szCs w:val="20"/>
        </w:rPr>
        <w:t> - </w:t>
      </w:r>
      <w:r w:rsidRPr="006E0BF0">
        <w:rPr>
          <w:sz w:val="20"/>
          <w:szCs w:val="20"/>
        </w:rPr>
        <w:t>226.</w:t>
      </w:r>
    </w:p>
    <w:p w14:paraId="147E2A3F" w14:textId="77777777" w:rsidR="006E0BF0" w:rsidRDefault="00486E3B" w:rsidP="006E0BF0">
      <w:pPr>
        <w:pStyle w:val="a8"/>
        <w:spacing w:before="0" w:beforeAutospacing="0" w:after="0" w:afterAutospacing="0"/>
        <w:jc w:val="both"/>
        <w:rPr>
          <w:sz w:val="20"/>
          <w:szCs w:val="20"/>
        </w:rPr>
      </w:pPr>
      <w:r w:rsidRPr="006E0BF0">
        <w:rPr>
          <w:sz w:val="20"/>
          <w:szCs w:val="20"/>
        </w:rPr>
        <w:t xml:space="preserve">9. Rowan, L. C., Mars, J. C. (2003). Hydrothermal alteration mapping using ASTER data. </w:t>
      </w:r>
      <w:r w:rsidRPr="006E0BF0">
        <w:rPr>
          <w:rStyle w:val="aa"/>
          <w:sz w:val="20"/>
          <w:szCs w:val="20"/>
        </w:rPr>
        <w:t>Economic</w:t>
      </w:r>
      <w:r w:rsidR="00F93D38" w:rsidRPr="006E0BF0">
        <w:rPr>
          <w:rStyle w:val="aa"/>
          <w:sz w:val="20"/>
          <w:szCs w:val="20"/>
        </w:rPr>
        <w:t> </w:t>
      </w:r>
      <w:r w:rsidRPr="006E0BF0">
        <w:rPr>
          <w:rStyle w:val="aa"/>
          <w:sz w:val="20"/>
          <w:szCs w:val="20"/>
        </w:rPr>
        <w:t>Geology</w:t>
      </w:r>
      <w:r w:rsidRPr="006E0BF0">
        <w:rPr>
          <w:sz w:val="20"/>
          <w:szCs w:val="20"/>
        </w:rPr>
        <w:t>,</w:t>
      </w:r>
      <w:r w:rsidR="00F93D38" w:rsidRPr="006E0BF0">
        <w:rPr>
          <w:sz w:val="20"/>
          <w:szCs w:val="20"/>
        </w:rPr>
        <w:t> </w:t>
      </w:r>
      <w:r w:rsidRPr="006E0BF0">
        <w:rPr>
          <w:sz w:val="20"/>
          <w:szCs w:val="20"/>
        </w:rPr>
        <w:t>98(5),</w:t>
      </w:r>
      <w:r w:rsidR="00F93D38" w:rsidRPr="006E0BF0">
        <w:rPr>
          <w:sz w:val="20"/>
          <w:szCs w:val="20"/>
        </w:rPr>
        <w:t> </w:t>
      </w:r>
      <w:r w:rsidRPr="006E0BF0">
        <w:rPr>
          <w:sz w:val="20"/>
          <w:szCs w:val="20"/>
        </w:rPr>
        <w:t>1047</w:t>
      </w:r>
      <w:r w:rsidR="00F93D38" w:rsidRPr="006E0BF0">
        <w:rPr>
          <w:sz w:val="20"/>
          <w:szCs w:val="20"/>
        </w:rPr>
        <w:t> - </w:t>
      </w:r>
      <w:r w:rsidRPr="006E0BF0">
        <w:rPr>
          <w:sz w:val="20"/>
          <w:szCs w:val="20"/>
        </w:rPr>
        <w:t>1057.</w:t>
      </w:r>
    </w:p>
    <w:p w14:paraId="38503827" w14:textId="0CF191BA" w:rsidR="00486E3B" w:rsidRPr="00810A1B" w:rsidRDefault="00486E3B" w:rsidP="00810A1B">
      <w:pPr>
        <w:pStyle w:val="a8"/>
        <w:spacing w:before="0" w:beforeAutospacing="0" w:after="0" w:afterAutospacing="0"/>
        <w:jc w:val="both"/>
        <w:rPr>
          <w:sz w:val="20"/>
          <w:szCs w:val="20"/>
        </w:rPr>
      </w:pPr>
      <w:r w:rsidRPr="006E0BF0">
        <w:rPr>
          <w:sz w:val="20"/>
          <w:szCs w:val="20"/>
        </w:rPr>
        <w:t xml:space="preserve">10. Sabins, F. F. (1999). Remote sensing for mineral exploration. </w:t>
      </w:r>
      <w:r w:rsidRPr="006E0BF0">
        <w:rPr>
          <w:rStyle w:val="aa"/>
          <w:sz w:val="20"/>
          <w:szCs w:val="20"/>
        </w:rPr>
        <w:t>Ore Geology Reviews</w:t>
      </w:r>
      <w:r w:rsidRPr="006E0BF0">
        <w:rPr>
          <w:sz w:val="20"/>
          <w:szCs w:val="20"/>
        </w:rPr>
        <w:t>, 14(3</w:t>
      </w:r>
      <w:r w:rsidR="00F93D38" w:rsidRPr="006E0BF0">
        <w:rPr>
          <w:sz w:val="20"/>
          <w:szCs w:val="20"/>
        </w:rPr>
        <w:t xml:space="preserve"> -</w:t>
      </w:r>
      <w:r w:rsidRPr="006E0BF0">
        <w:rPr>
          <w:sz w:val="20"/>
          <w:szCs w:val="20"/>
        </w:rPr>
        <w:t>4), 157</w:t>
      </w:r>
      <w:r w:rsidR="00F93D38" w:rsidRPr="006E0BF0">
        <w:rPr>
          <w:sz w:val="20"/>
          <w:szCs w:val="20"/>
        </w:rPr>
        <w:t xml:space="preserve"> - </w:t>
      </w:r>
      <w:r w:rsidRPr="006E0BF0">
        <w:rPr>
          <w:sz w:val="20"/>
          <w:szCs w:val="20"/>
        </w:rPr>
        <w:t>183.</w:t>
      </w:r>
    </w:p>
    <w:sectPr w:rsidR="00486E3B" w:rsidRPr="00810A1B" w:rsidSect="006E0BF0">
      <w:footerReference w:type="default" r:id="rId13"/>
      <w:pgSz w:w="12242" w:h="15842" w:code="1"/>
      <w:pgMar w:top="1440" w:right="1440" w:bottom="1701" w:left="1440" w:header="510" w:footer="680" w:gutter="0"/>
      <w:pgNumType w:start="1"/>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4E67D" w14:textId="77777777" w:rsidR="006A7A5C" w:rsidRDefault="006A7A5C" w:rsidP="000E727F">
      <w:r>
        <w:separator/>
      </w:r>
    </w:p>
  </w:endnote>
  <w:endnote w:type="continuationSeparator" w:id="0">
    <w:p w14:paraId="5BCFC4C3" w14:textId="77777777" w:rsidR="006A7A5C" w:rsidRDefault="006A7A5C" w:rsidP="000E7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5FBFA" w14:textId="3B9B940D" w:rsidR="000E727F" w:rsidRDefault="000E727F" w:rsidP="000E727F">
    <w:pPr>
      <w:pStyle w:val="a4"/>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9A06CD" w14:textId="77777777" w:rsidR="006A7A5C" w:rsidRDefault="006A7A5C" w:rsidP="000E727F">
      <w:r>
        <w:separator/>
      </w:r>
    </w:p>
  </w:footnote>
  <w:footnote w:type="continuationSeparator" w:id="0">
    <w:p w14:paraId="0C79C8CA" w14:textId="77777777" w:rsidR="006A7A5C" w:rsidRDefault="006A7A5C" w:rsidP="000E72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0703E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4254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8CC63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388F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D695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402C2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800D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44FB4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D676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6EF2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3D4C98"/>
    <w:multiLevelType w:val="singleLevel"/>
    <w:tmpl w:val="D72E7E6A"/>
    <w:name w:val="References Numbering"/>
    <w:lvl w:ilvl="0">
      <w:start w:val="1"/>
      <w:numFmt w:val="decimal"/>
      <w:pStyle w:val="JVEReferences"/>
      <w:lvlText w:val="[%1]"/>
      <w:lvlJc w:val="left"/>
      <w:pPr>
        <w:tabs>
          <w:tab w:val="num" w:pos="880"/>
        </w:tabs>
        <w:ind w:left="880" w:hanging="454"/>
      </w:pPr>
      <w:rPr>
        <w:rFonts w:ascii="Times New Roman" w:hAnsi="Times New Roman" w:cs="Times New Roman"/>
        <w:b/>
        <w:i w:val="0"/>
        <w:sz w:val="18"/>
        <w:u w:val="none"/>
      </w:rPr>
    </w:lvl>
  </w:abstractNum>
  <w:abstractNum w:abstractNumId="11" w15:restartNumberingAfterBreak="0">
    <w:nsid w:val="084F6B21"/>
    <w:multiLevelType w:val="multilevel"/>
    <w:tmpl w:val="49B89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3D4906"/>
    <w:multiLevelType w:val="hybridMultilevel"/>
    <w:tmpl w:val="5420D1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48A6D1F"/>
    <w:multiLevelType w:val="multilevel"/>
    <w:tmpl w:val="BE185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6E5B23"/>
    <w:multiLevelType w:val="hybridMultilevel"/>
    <w:tmpl w:val="304405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0185693"/>
    <w:multiLevelType w:val="multilevel"/>
    <w:tmpl w:val="11E4D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29581F"/>
    <w:multiLevelType w:val="hybridMultilevel"/>
    <w:tmpl w:val="C206D5F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44F07A50"/>
    <w:multiLevelType w:val="hybridMultilevel"/>
    <w:tmpl w:val="8382A3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C46F38"/>
    <w:multiLevelType w:val="multilevel"/>
    <w:tmpl w:val="EB408B90"/>
    <w:name w:val="Heading Numbering"/>
    <w:lvl w:ilvl="0">
      <w:start w:val="1"/>
      <w:numFmt w:val="decimal"/>
      <w:pStyle w:val="1"/>
      <w:suff w:val="space"/>
      <w:lvlText w:val="%1."/>
      <w:lvlJc w:val="left"/>
      <w:pPr>
        <w:ind w:left="0" w:firstLine="0"/>
      </w:pPr>
      <w:rPr>
        <w:rFonts w:ascii="Times New Roman" w:hAnsi="Times New Roman" w:cs="Times New Roman"/>
        <w:b/>
        <w:i w:val="0"/>
        <w:color w:val="auto"/>
        <w:sz w:val="20"/>
        <w:u w:val="none"/>
        <w:effect w:val="none"/>
      </w:rPr>
    </w:lvl>
    <w:lvl w:ilvl="1">
      <w:start w:val="1"/>
      <w:numFmt w:val="decimal"/>
      <w:pStyle w:val="2"/>
      <w:suff w:val="space"/>
      <w:lvlText w:val="%1.%2."/>
      <w:lvlJc w:val="left"/>
      <w:pPr>
        <w:ind w:left="0" w:firstLine="0"/>
      </w:pPr>
      <w:rPr>
        <w:rFonts w:ascii="Times New Roman" w:hAnsi="Times New Roman" w:cs="Times New Roman"/>
        <w:b/>
        <w:i w:val="0"/>
        <w:color w:val="auto"/>
        <w:sz w:val="20"/>
        <w:u w:val="none"/>
        <w:effect w:val="none"/>
      </w:rPr>
    </w:lvl>
    <w:lvl w:ilvl="2">
      <w:start w:val="1"/>
      <w:numFmt w:val="decimal"/>
      <w:pStyle w:val="3"/>
      <w:suff w:val="space"/>
      <w:lvlText w:val="%1.%2.%3."/>
      <w:lvlJc w:val="left"/>
      <w:pPr>
        <w:ind w:left="0" w:firstLine="0"/>
      </w:pPr>
      <w:rPr>
        <w:rFonts w:ascii="Times New Roman" w:hAnsi="Times New Roman" w:cs="Times New Roman"/>
        <w:b/>
        <w:i w:val="0"/>
        <w:color w:val="auto"/>
        <w:sz w:val="20"/>
        <w:u w:val="none"/>
        <w:effect w:val="none"/>
      </w:rPr>
    </w:lvl>
    <w:lvl w:ilvl="3">
      <w:start w:val="1"/>
      <w:numFmt w:val="decimal"/>
      <w:pStyle w:val="4"/>
      <w:suff w:val="space"/>
      <w:lvlText w:val="%1.%2.%3.%4."/>
      <w:lvlJc w:val="left"/>
      <w:pPr>
        <w:ind w:left="0" w:firstLine="0"/>
      </w:pPr>
      <w:rPr>
        <w:rFonts w:ascii="Times New Roman" w:hAnsi="Times New Roman" w:cs="Times New Roman"/>
        <w:b/>
        <w:i w:val="0"/>
        <w:color w:val="auto"/>
        <w:sz w:val="20"/>
        <w:u w:val="none"/>
        <w:effect w:val="none"/>
      </w:rPr>
    </w:lvl>
    <w:lvl w:ilvl="4">
      <w:start w:val="1"/>
      <w:numFmt w:val="decimal"/>
      <w:pStyle w:val="5"/>
      <w:suff w:val="space"/>
      <w:lvlText w:val="%1.%2.%3.%4.%5."/>
      <w:lvlJc w:val="left"/>
      <w:pPr>
        <w:ind w:left="0" w:firstLine="0"/>
      </w:pPr>
      <w:rPr>
        <w:rFonts w:ascii="Times New Roman" w:hAnsi="Times New Roman" w:cs="Times New Roman"/>
        <w:b/>
        <w:i w:val="0"/>
        <w:color w:val="auto"/>
        <w:sz w:val="20"/>
        <w:u w:val="none"/>
        <w:effect w:val="none"/>
      </w:rPr>
    </w:lvl>
    <w:lvl w:ilvl="5">
      <w:start w:val="1"/>
      <w:numFmt w:val="decimal"/>
      <w:pStyle w:val="6"/>
      <w:suff w:val="space"/>
      <w:lvlText w:val="%1.%2.%3.%4.%5.%6."/>
      <w:lvlJc w:val="left"/>
      <w:pPr>
        <w:ind w:left="0" w:firstLine="0"/>
      </w:pPr>
      <w:rPr>
        <w:rFonts w:ascii="Times New Roman" w:hAnsi="Times New Roman" w:cs="Times New Roman"/>
        <w:b/>
        <w:i w:val="0"/>
        <w:color w:val="auto"/>
        <w:sz w:val="20"/>
        <w:u w:val="none"/>
        <w:effect w:val="none"/>
      </w:rPr>
    </w:lvl>
    <w:lvl w:ilvl="6">
      <w:start w:val="1"/>
      <w:numFmt w:val="decimal"/>
      <w:pStyle w:val="7"/>
      <w:suff w:val="space"/>
      <w:lvlText w:val="%1.%2.%3.%4.%5.%6.%7."/>
      <w:lvlJc w:val="left"/>
      <w:pPr>
        <w:ind w:left="0" w:firstLine="0"/>
      </w:pPr>
      <w:rPr>
        <w:rFonts w:ascii="Times New Roman" w:hAnsi="Times New Roman" w:cs="Times New Roman"/>
        <w:b/>
        <w:i w:val="0"/>
        <w:color w:val="auto"/>
        <w:sz w:val="20"/>
        <w:u w:val="none"/>
        <w:effect w:val="none"/>
      </w:rPr>
    </w:lvl>
    <w:lvl w:ilvl="7">
      <w:start w:val="1"/>
      <w:numFmt w:val="decimal"/>
      <w:pStyle w:val="8"/>
      <w:suff w:val="space"/>
      <w:lvlText w:val="%1.%2.%3.%4.%5.%6.%7.%8."/>
      <w:lvlJc w:val="left"/>
      <w:pPr>
        <w:ind w:left="0" w:firstLine="0"/>
      </w:pPr>
      <w:rPr>
        <w:rFonts w:ascii="Times New Roman" w:hAnsi="Times New Roman" w:cs="Times New Roman"/>
        <w:b/>
        <w:i w:val="0"/>
        <w:color w:val="auto"/>
        <w:sz w:val="20"/>
        <w:u w:val="none"/>
        <w:effect w:val="none"/>
      </w:rPr>
    </w:lvl>
    <w:lvl w:ilvl="8">
      <w:start w:val="1"/>
      <w:numFmt w:val="decimal"/>
      <w:pStyle w:val="9"/>
      <w:suff w:val="space"/>
      <w:lvlText w:val="%1.%2.%3.%4.%5.%6.%7.%8.%9."/>
      <w:lvlJc w:val="left"/>
      <w:pPr>
        <w:ind w:left="0" w:firstLine="0"/>
      </w:pPr>
      <w:rPr>
        <w:rFonts w:ascii="Times New Roman" w:hAnsi="Times New Roman" w:cs="Times New Roman"/>
        <w:b/>
        <w:i w:val="0"/>
        <w:color w:val="auto"/>
        <w:sz w:val="20"/>
        <w:u w:val="none"/>
        <w:effect w:val="none"/>
      </w:rPr>
    </w:lvl>
  </w:abstractNum>
  <w:abstractNum w:abstractNumId="19" w15:restartNumberingAfterBreak="0">
    <w:nsid w:val="49533F4E"/>
    <w:multiLevelType w:val="multilevel"/>
    <w:tmpl w:val="915AB6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4BAB17CC"/>
    <w:multiLevelType w:val="hybridMultilevel"/>
    <w:tmpl w:val="C6A05E00"/>
    <w:lvl w:ilvl="0" w:tplc="F2FC498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286075"/>
    <w:multiLevelType w:val="hybridMultilevel"/>
    <w:tmpl w:val="722EE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4D2CBC"/>
    <w:multiLevelType w:val="multilevel"/>
    <w:tmpl w:val="C8AC0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E51E80"/>
    <w:multiLevelType w:val="hybridMultilevel"/>
    <w:tmpl w:val="9438B1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3A50A0C"/>
    <w:multiLevelType w:val="multilevel"/>
    <w:tmpl w:val="36DE7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A521E44"/>
    <w:multiLevelType w:val="multilevel"/>
    <w:tmpl w:val="BE185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FDD1D1E"/>
    <w:multiLevelType w:val="multilevel"/>
    <w:tmpl w:val="5D76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0977565">
    <w:abstractNumId w:val="18"/>
  </w:num>
  <w:num w:numId="2" w16cid:durableId="1791052691">
    <w:abstractNumId w:val="10"/>
  </w:num>
  <w:num w:numId="3" w16cid:durableId="1424884068">
    <w:abstractNumId w:val="19"/>
  </w:num>
  <w:num w:numId="4" w16cid:durableId="40877139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987079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8895929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993985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198864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692428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07830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904575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7042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34278764">
    <w:abstractNumId w:val="9"/>
  </w:num>
  <w:num w:numId="14" w16cid:durableId="1921140100">
    <w:abstractNumId w:val="7"/>
  </w:num>
  <w:num w:numId="15" w16cid:durableId="1807117570">
    <w:abstractNumId w:val="6"/>
  </w:num>
  <w:num w:numId="16" w16cid:durableId="2050105583">
    <w:abstractNumId w:val="5"/>
  </w:num>
  <w:num w:numId="17" w16cid:durableId="1475098354">
    <w:abstractNumId w:val="4"/>
  </w:num>
  <w:num w:numId="18" w16cid:durableId="940333533">
    <w:abstractNumId w:val="8"/>
  </w:num>
  <w:num w:numId="19" w16cid:durableId="1627272710">
    <w:abstractNumId w:val="3"/>
  </w:num>
  <w:num w:numId="20" w16cid:durableId="651835973">
    <w:abstractNumId w:val="2"/>
  </w:num>
  <w:num w:numId="21" w16cid:durableId="2136366586">
    <w:abstractNumId w:val="1"/>
  </w:num>
  <w:num w:numId="22" w16cid:durableId="1399792563">
    <w:abstractNumId w:val="0"/>
  </w:num>
  <w:num w:numId="23" w16cid:durableId="1461415779">
    <w:abstractNumId w:val="15"/>
  </w:num>
  <w:num w:numId="24" w16cid:durableId="217085578">
    <w:abstractNumId w:val="22"/>
  </w:num>
  <w:num w:numId="25" w16cid:durableId="1955556446">
    <w:abstractNumId w:val="14"/>
  </w:num>
  <w:num w:numId="26" w16cid:durableId="1626277067">
    <w:abstractNumId w:val="23"/>
  </w:num>
  <w:num w:numId="27" w16cid:durableId="1099985356">
    <w:abstractNumId w:val="26"/>
  </w:num>
  <w:num w:numId="28" w16cid:durableId="2036804363">
    <w:abstractNumId w:val="11"/>
  </w:num>
  <w:num w:numId="29" w16cid:durableId="1610355494">
    <w:abstractNumId w:val="25"/>
  </w:num>
  <w:num w:numId="30" w16cid:durableId="772749571">
    <w:abstractNumId w:val="13"/>
  </w:num>
  <w:num w:numId="31" w16cid:durableId="439647897">
    <w:abstractNumId w:val="21"/>
  </w:num>
  <w:num w:numId="32" w16cid:durableId="1509252510">
    <w:abstractNumId w:val="16"/>
  </w:num>
  <w:num w:numId="33" w16cid:durableId="2110420382">
    <w:abstractNumId w:val="24"/>
  </w:num>
  <w:num w:numId="34" w16cid:durableId="1854800855">
    <w:abstractNumId w:val="17"/>
  </w:num>
  <w:num w:numId="35" w16cid:durableId="367990725">
    <w:abstractNumId w:val="12"/>
  </w:num>
  <w:num w:numId="36" w16cid:durableId="120725788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27F"/>
    <w:rsid w:val="00070B69"/>
    <w:rsid w:val="000E727F"/>
    <w:rsid w:val="000F447B"/>
    <w:rsid w:val="000F519E"/>
    <w:rsid w:val="0010065E"/>
    <w:rsid w:val="00112DC9"/>
    <w:rsid w:val="00121874"/>
    <w:rsid w:val="00155A15"/>
    <w:rsid w:val="0018109B"/>
    <w:rsid w:val="001A4A70"/>
    <w:rsid w:val="001D21B2"/>
    <w:rsid w:val="001F2DA8"/>
    <w:rsid w:val="002273DB"/>
    <w:rsid w:val="00277CDD"/>
    <w:rsid w:val="002F398D"/>
    <w:rsid w:val="0033168B"/>
    <w:rsid w:val="00353B3B"/>
    <w:rsid w:val="00382272"/>
    <w:rsid w:val="003A5052"/>
    <w:rsid w:val="003D635B"/>
    <w:rsid w:val="003E2188"/>
    <w:rsid w:val="004426D8"/>
    <w:rsid w:val="00461B8D"/>
    <w:rsid w:val="00471170"/>
    <w:rsid w:val="00486E3B"/>
    <w:rsid w:val="00537221"/>
    <w:rsid w:val="0057570E"/>
    <w:rsid w:val="005D76EB"/>
    <w:rsid w:val="00661398"/>
    <w:rsid w:val="00686D91"/>
    <w:rsid w:val="006956BE"/>
    <w:rsid w:val="006A7A5C"/>
    <w:rsid w:val="006D3055"/>
    <w:rsid w:val="006E0074"/>
    <w:rsid w:val="006E0BF0"/>
    <w:rsid w:val="0078691C"/>
    <w:rsid w:val="007A46FB"/>
    <w:rsid w:val="007A5F52"/>
    <w:rsid w:val="00806E1F"/>
    <w:rsid w:val="00810A1B"/>
    <w:rsid w:val="008124D3"/>
    <w:rsid w:val="00823F1A"/>
    <w:rsid w:val="00841C11"/>
    <w:rsid w:val="00846336"/>
    <w:rsid w:val="008C355D"/>
    <w:rsid w:val="008D7594"/>
    <w:rsid w:val="00922F43"/>
    <w:rsid w:val="009C4F07"/>
    <w:rsid w:val="009F2F7E"/>
    <w:rsid w:val="00A572DD"/>
    <w:rsid w:val="00AA374C"/>
    <w:rsid w:val="00AC6DF5"/>
    <w:rsid w:val="00AF1317"/>
    <w:rsid w:val="00AF2DAA"/>
    <w:rsid w:val="00B56D4D"/>
    <w:rsid w:val="00B853EE"/>
    <w:rsid w:val="00B97606"/>
    <w:rsid w:val="00C3629B"/>
    <w:rsid w:val="00C7081F"/>
    <w:rsid w:val="00C97BB0"/>
    <w:rsid w:val="00CB3661"/>
    <w:rsid w:val="00CC7C98"/>
    <w:rsid w:val="00CD79FC"/>
    <w:rsid w:val="00D17BE8"/>
    <w:rsid w:val="00DC5745"/>
    <w:rsid w:val="00DF04C0"/>
    <w:rsid w:val="00E275D9"/>
    <w:rsid w:val="00ED17CA"/>
    <w:rsid w:val="00F470B3"/>
    <w:rsid w:val="00F6282D"/>
    <w:rsid w:val="00F93D38"/>
    <w:rsid w:val="00FA3566"/>
    <w:rsid w:val="00FB6D5B"/>
    <w:rsid w:val="00FD1FDB"/>
  </w:rsids>
  <m:mathPr>
    <m:mathFont m:val="Cambria Math"/>
    <m:brkBin m:val="before"/>
    <m:brkBinSub m:val="--"/>
    <m:smallFrac m:val="0"/>
    <m:dispDef/>
    <m:lMargin m:val="0"/>
    <m:rMargin m:val="0"/>
    <m:defJc m:val="left"/>
    <m:wrapIndent m:val="283"/>
    <m:intLim m:val="subSup"/>
    <m:naryLim m:val="undOvr"/>
  </m:mathPr>
  <w:themeFontLang w:val="en-US" w:bidi="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6CF1A7"/>
  <w14:discardImageEditingData/>
  <w14:defaultImageDpi w14:val="32767"/>
  <w15:docId w15:val="{5299E9B9-822B-4D13-A231-701556982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kern w:val="2"/>
        <w:lang w:val="en-US" w:eastAsia="en-US" w:bidi="en-US"/>
      </w:rPr>
    </w:rPrDefault>
    <w:pPrDefault/>
  </w:docDefaults>
  <w:latentStyles w:defLockedState="0" w:defUIPriority="99" w:defSemiHidden="0" w:defUnhideWhenUsed="0" w:defQFormat="0" w:count="376">
    <w:lsdException w:name="Normal" w:uiPriority="0" w:unhideWhenUsed="1"/>
    <w:lsdException w:name="heading 1" w:uiPriority="13" w:unhideWhenUsed="1"/>
    <w:lsdException w:name="heading 2" w:semiHidden="1" w:uiPriority="14" w:unhideWhenUsed="1"/>
    <w:lsdException w:name="heading 3" w:semiHidden="1" w:uiPriority="15" w:unhideWhenUsed="1"/>
    <w:lsdException w:name="heading 4" w:semiHidden="1" w:uiPriority="16" w:unhideWhenUsed="1"/>
    <w:lsdException w:name="heading 5" w:semiHidden="1" w:uiPriority="17"/>
    <w:lsdException w:name="heading 6" w:semiHidden="1" w:uiPriority="18"/>
    <w:lsdException w:name="heading 7" w:semiHidden="1" w:uiPriority="19"/>
    <w:lsdException w:name="heading 8" w:semiHidden="1" w:uiPriority="20"/>
    <w:lsdException w:name="heading 9" w:semiHidden="1" w:uiPriority="21"/>
    <w:lsdException w:name="header" w:semiHidden="1"/>
    <w:lsdException w:name="footer" w:semiHidden="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atentStyles>
  <w:style w:type="paragraph" w:default="1" w:styleId="a">
    <w:name w:val="Normal"/>
    <w:rsid w:val="00AE7233"/>
    <w:pPr>
      <w:widowControl w:val="0"/>
    </w:pPr>
  </w:style>
  <w:style w:type="paragraph" w:styleId="1">
    <w:name w:val="heading 1"/>
    <w:next w:val="JVEParagraph"/>
    <w:uiPriority w:val="13"/>
    <w:semiHidden/>
    <w:rsid w:val="00286865"/>
    <w:pPr>
      <w:keepNext/>
      <w:numPr>
        <w:numId w:val="1"/>
      </w:numPr>
      <w:spacing w:before="200" w:after="200"/>
      <w:jc w:val="both"/>
      <w:outlineLvl w:val="0"/>
    </w:pPr>
    <w:rPr>
      <w:b/>
      <w:kern w:val="0"/>
    </w:rPr>
  </w:style>
  <w:style w:type="paragraph" w:styleId="2">
    <w:name w:val="heading 2"/>
    <w:next w:val="JVEParagraph"/>
    <w:uiPriority w:val="14"/>
    <w:semiHidden/>
    <w:rsid w:val="00286865"/>
    <w:pPr>
      <w:keepNext/>
      <w:numPr>
        <w:ilvl w:val="1"/>
        <w:numId w:val="1"/>
      </w:numPr>
      <w:spacing w:before="200" w:after="200"/>
      <w:jc w:val="both"/>
      <w:outlineLvl w:val="1"/>
    </w:pPr>
    <w:rPr>
      <w:b/>
      <w:kern w:val="0"/>
    </w:rPr>
  </w:style>
  <w:style w:type="paragraph" w:styleId="3">
    <w:name w:val="heading 3"/>
    <w:next w:val="JVEParagraph"/>
    <w:uiPriority w:val="15"/>
    <w:semiHidden/>
    <w:rsid w:val="00286865"/>
    <w:pPr>
      <w:keepNext/>
      <w:numPr>
        <w:ilvl w:val="2"/>
        <w:numId w:val="1"/>
      </w:numPr>
      <w:spacing w:before="200" w:after="200"/>
      <w:jc w:val="both"/>
      <w:outlineLvl w:val="2"/>
    </w:pPr>
    <w:rPr>
      <w:b/>
      <w:kern w:val="0"/>
    </w:rPr>
  </w:style>
  <w:style w:type="paragraph" w:styleId="4">
    <w:name w:val="heading 4"/>
    <w:next w:val="JVEParagraph"/>
    <w:uiPriority w:val="16"/>
    <w:semiHidden/>
    <w:rsid w:val="00286865"/>
    <w:pPr>
      <w:keepNext/>
      <w:numPr>
        <w:ilvl w:val="3"/>
        <w:numId w:val="1"/>
      </w:numPr>
      <w:spacing w:before="200" w:after="200"/>
      <w:jc w:val="both"/>
      <w:outlineLvl w:val="3"/>
    </w:pPr>
    <w:rPr>
      <w:b/>
      <w:kern w:val="0"/>
    </w:rPr>
  </w:style>
  <w:style w:type="paragraph" w:styleId="5">
    <w:name w:val="heading 5"/>
    <w:next w:val="JVEParagraph"/>
    <w:uiPriority w:val="17"/>
    <w:semiHidden/>
    <w:rsid w:val="00286865"/>
    <w:pPr>
      <w:keepNext/>
      <w:numPr>
        <w:ilvl w:val="4"/>
        <w:numId w:val="1"/>
      </w:numPr>
      <w:spacing w:before="200" w:after="200"/>
      <w:jc w:val="both"/>
      <w:outlineLvl w:val="4"/>
    </w:pPr>
    <w:rPr>
      <w:b/>
      <w:kern w:val="0"/>
    </w:rPr>
  </w:style>
  <w:style w:type="paragraph" w:styleId="6">
    <w:name w:val="heading 6"/>
    <w:next w:val="JVEParagraph"/>
    <w:uiPriority w:val="18"/>
    <w:semiHidden/>
    <w:rsid w:val="00286865"/>
    <w:pPr>
      <w:keepNext/>
      <w:numPr>
        <w:ilvl w:val="5"/>
        <w:numId w:val="1"/>
      </w:numPr>
      <w:spacing w:before="200" w:after="200"/>
      <w:jc w:val="both"/>
      <w:outlineLvl w:val="5"/>
    </w:pPr>
    <w:rPr>
      <w:b/>
      <w:kern w:val="0"/>
    </w:rPr>
  </w:style>
  <w:style w:type="paragraph" w:styleId="7">
    <w:name w:val="heading 7"/>
    <w:next w:val="JVEParagraph"/>
    <w:uiPriority w:val="19"/>
    <w:semiHidden/>
    <w:rsid w:val="00286865"/>
    <w:pPr>
      <w:keepNext/>
      <w:numPr>
        <w:ilvl w:val="6"/>
        <w:numId w:val="1"/>
      </w:numPr>
      <w:spacing w:before="200" w:after="200"/>
      <w:jc w:val="both"/>
      <w:outlineLvl w:val="6"/>
    </w:pPr>
    <w:rPr>
      <w:b/>
      <w:kern w:val="0"/>
    </w:rPr>
  </w:style>
  <w:style w:type="paragraph" w:styleId="8">
    <w:name w:val="heading 8"/>
    <w:next w:val="JVEParagraph"/>
    <w:uiPriority w:val="20"/>
    <w:semiHidden/>
    <w:rsid w:val="00286865"/>
    <w:pPr>
      <w:keepNext/>
      <w:numPr>
        <w:ilvl w:val="7"/>
        <w:numId w:val="1"/>
      </w:numPr>
      <w:spacing w:before="200" w:after="200"/>
      <w:jc w:val="both"/>
      <w:outlineLvl w:val="7"/>
    </w:pPr>
    <w:rPr>
      <w:b/>
      <w:kern w:val="0"/>
    </w:rPr>
  </w:style>
  <w:style w:type="paragraph" w:styleId="9">
    <w:name w:val="heading 9"/>
    <w:next w:val="JVEParagraph"/>
    <w:uiPriority w:val="21"/>
    <w:semiHidden/>
    <w:rsid w:val="00286865"/>
    <w:pPr>
      <w:keepNext/>
      <w:numPr>
        <w:ilvl w:val="8"/>
        <w:numId w:val="1"/>
      </w:numPr>
      <w:spacing w:before="200" w:after="200"/>
      <w:jc w:val="both"/>
      <w:outlineLvl w:val="8"/>
    </w:pPr>
    <w:rPr>
      <w:b/>
      <w:kern w:val="0"/>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JVEParagraph">
    <w:name w:val="JVE Paragraph"/>
    <w:uiPriority w:val="1"/>
    <w:qFormat/>
    <w:rsid w:val="001B613A"/>
    <w:pPr>
      <w:widowControl w:val="0"/>
      <w:spacing w:before="200" w:after="200"/>
      <w:ind w:firstLine="283"/>
      <w:contextualSpacing/>
      <w:jc w:val="both"/>
    </w:pPr>
    <w:rPr>
      <w:kern w:val="0"/>
    </w:rPr>
  </w:style>
  <w:style w:type="paragraph" w:customStyle="1" w:styleId="JVEAuthors">
    <w:name w:val="JVE Authors"/>
    <w:next w:val="JVEAffiliations"/>
    <w:uiPriority w:val="23"/>
    <w:rsid w:val="00CA30F0"/>
    <w:pPr>
      <w:keepNext/>
      <w:keepLines/>
      <w:contextualSpacing/>
    </w:pPr>
    <w:rPr>
      <w:b/>
      <w:kern w:val="0"/>
    </w:rPr>
  </w:style>
  <w:style w:type="paragraph" w:customStyle="1" w:styleId="JVEAffiliations">
    <w:name w:val="JVE Affiliations"/>
    <w:next w:val="JVEEmails"/>
    <w:uiPriority w:val="24"/>
    <w:rsid w:val="00D76CF0"/>
    <w:pPr>
      <w:keepNext/>
      <w:keepLines/>
      <w:contextualSpacing/>
    </w:pPr>
    <w:rPr>
      <w:kern w:val="0"/>
    </w:rPr>
  </w:style>
  <w:style w:type="paragraph" w:customStyle="1" w:styleId="JVEEmails">
    <w:name w:val="JVE Emails"/>
    <w:next w:val="a"/>
    <w:uiPriority w:val="25"/>
    <w:rsid w:val="00DD0ADF"/>
    <w:pPr>
      <w:keepNext/>
      <w:keepLines/>
      <w:spacing w:after="80"/>
      <w:contextualSpacing/>
    </w:pPr>
    <w:rPr>
      <w:i/>
    </w:rPr>
  </w:style>
  <w:style w:type="paragraph" w:customStyle="1" w:styleId="JVEAbstract">
    <w:name w:val="JVE Abstract"/>
    <w:next w:val="JVEKeywords"/>
    <w:uiPriority w:val="28"/>
    <w:rsid w:val="00DD0ADF"/>
    <w:pPr>
      <w:keepLines/>
      <w:spacing w:before="140" w:after="80"/>
      <w:contextualSpacing/>
      <w:jc w:val="both"/>
    </w:pPr>
    <w:rPr>
      <w:kern w:val="0"/>
    </w:rPr>
  </w:style>
  <w:style w:type="paragraph" w:customStyle="1" w:styleId="JVEKeywords">
    <w:name w:val="JVE Keywords"/>
    <w:next w:val="1"/>
    <w:uiPriority w:val="29"/>
    <w:rsid w:val="00DD0ADF"/>
    <w:pPr>
      <w:keepLines/>
      <w:spacing w:before="80" w:after="200"/>
      <w:contextualSpacing/>
      <w:jc w:val="both"/>
    </w:pPr>
    <w:rPr>
      <w:kern w:val="0"/>
    </w:rPr>
  </w:style>
  <w:style w:type="paragraph" w:styleId="a3">
    <w:name w:val="Title"/>
    <w:next w:val="JVEAuthors"/>
    <w:uiPriority w:val="22"/>
    <w:semiHidden/>
    <w:rsid w:val="00CA30F0"/>
    <w:pPr>
      <w:keepNext/>
      <w:spacing w:after="320"/>
    </w:pPr>
    <w:rPr>
      <w:b/>
      <w:kern w:val="0"/>
      <w:sz w:val="32"/>
      <w:szCs w:val="56"/>
    </w:rPr>
  </w:style>
  <w:style w:type="paragraph" w:customStyle="1" w:styleId="JVETableCaption">
    <w:name w:val="JVE Table Caption"/>
    <w:next w:val="a"/>
    <w:uiPriority w:val="6"/>
    <w:qFormat/>
    <w:rsid w:val="00B93C80"/>
    <w:pPr>
      <w:keepNext/>
      <w:spacing w:before="200"/>
      <w:contextualSpacing/>
      <w:jc w:val="center"/>
    </w:pPr>
    <w:rPr>
      <w:kern w:val="0"/>
      <w:sz w:val="18"/>
    </w:rPr>
  </w:style>
  <w:style w:type="paragraph" w:customStyle="1" w:styleId="JVEEquationCaption">
    <w:name w:val="JVE Equation Caption"/>
    <w:basedOn w:val="a"/>
    <w:uiPriority w:val="8"/>
    <w:rsid w:val="00A0540C"/>
    <w:pPr>
      <w:keepNext/>
      <w:widowControl/>
      <w:contextualSpacing/>
      <w:jc w:val="right"/>
    </w:pPr>
    <w:rPr>
      <w:kern w:val="0"/>
    </w:rPr>
  </w:style>
  <w:style w:type="paragraph" w:customStyle="1" w:styleId="JVEBiographies">
    <w:name w:val="JVE Biographies"/>
    <w:basedOn w:val="a"/>
    <w:uiPriority w:val="10"/>
    <w:rsid w:val="00CF0C07"/>
    <w:pPr>
      <w:keepLines/>
      <w:widowControl/>
      <w:spacing w:after="200"/>
      <w:ind w:right="28"/>
      <w:jc w:val="both"/>
    </w:pPr>
    <w:rPr>
      <w:kern w:val="0"/>
      <w:sz w:val="18"/>
      <w:szCs w:val="22"/>
    </w:rPr>
  </w:style>
  <w:style w:type="paragraph" w:customStyle="1" w:styleId="JVEFigureCaption">
    <w:name w:val="JVE Figure Caption"/>
    <w:next w:val="JVEParagraph"/>
    <w:uiPriority w:val="3"/>
    <w:qFormat/>
    <w:rsid w:val="00895E9E"/>
    <w:pPr>
      <w:keepLines/>
      <w:widowControl w:val="0"/>
      <w:autoSpaceDN w:val="0"/>
      <w:spacing w:after="200"/>
      <w:contextualSpacing/>
      <w:jc w:val="center"/>
    </w:pPr>
    <w:rPr>
      <w:kern w:val="0"/>
      <w:sz w:val="18"/>
    </w:rPr>
  </w:style>
  <w:style w:type="paragraph" w:customStyle="1" w:styleId="JVEEquation">
    <w:name w:val="JVE Equation"/>
    <w:uiPriority w:val="7"/>
    <w:qFormat/>
    <w:rsid w:val="001526AA"/>
    <w:pPr>
      <w:keepLines/>
      <w:autoSpaceDN w:val="0"/>
      <w:contextualSpacing/>
    </w:pPr>
  </w:style>
  <w:style w:type="paragraph" w:customStyle="1" w:styleId="JVEFigure">
    <w:name w:val="JVE Figure"/>
    <w:next w:val="JVEFigureCaption"/>
    <w:uiPriority w:val="2"/>
    <w:qFormat/>
    <w:rsid w:val="009959BA"/>
    <w:pPr>
      <w:keepNext/>
      <w:keepLines/>
      <w:spacing w:before="200"/>
      <w:contextualSpacing/>
      <w:jc w:val="center"/>
    </w:pPr>
    <w:rPr>
      <w:kern w:val="0"/>
      <w:sz w:val="18"/>
    </w:rPr>
  </w:style>
  <w:style w:type="paragraph" w:customStyle="1" w:styleId="JVEFigureintable">
    <w:name w:val="JVE Figure (in table)"/>
    <w:uiPriority w:val="4"/>
    <w:qFormat/>
    <w:rsid w:val="004A282E"/>
    <w:pPr>
      <w:keepLines/>
      <w:contextualSpacing/>
      <w:jc w:val="center"/>
    </w:pPr>
    <w:rPr>
      <w:kern w:val="0"/>
      <w:sz w:val="18"/>
    </w:rPr>
  </w:style>
  <w:style w:type="paragraph" w:customStyle="1" w:styleId="JVEHeadingappendix">
    <w:name w:val="JVE Heading (appendix)"/>
    <w:basedOn w:val="a"/>
    <w:uiPriority w:val="12"/>
    <w:rsid w:val="00A0540C"/>
    <w:pPr>
      <w:keepNext/>
      <w:widowControl/>
      <w:spacing w:before="200" w:after="200"/>
      <w:jc w:val="both"/>
      <w:outlineLvl w:val="0"/>
    </w:pPr>
    <w:rPr>
      <w:b/>
      <w:kern w:val="0"/>
      <w:szCs w:val="56"/>
    </w:rPr>
  </w:style>
  <w:style w:type="table" w:customStyle="1" w:styleId="EquationTable1">
    <w:name w:val="Equation Table 1"/>
    <w:uiPriority w:val="99"/>
    <w:rsid w:val="00270B18"/>
    <w:tblPr>
      <w:tblCellMar>
        <w:top w:w="0" w:type="dxa"/>
        <w:left w:w="0" w:type="dxa"/>
        <w:bottom w:w="0" w:type="dxa"/>
        <w:right w:w="0" w:type="dxa"/>
      </w:tblCellMar>
    </w:tblPr>
    <w:trPr>
      <w:cantSplit/>
    </w:trPr>
    <w:tcPr>
      <w:vAlign w:val="center"/>
    </w:tcPr>
    <w:tblStylePr w:type="firstCol">
      <w:pPr>
        <w:jc w:val="left"/>
      </w:pPr>
      <w:rPr>
        <w:rFonts w:ascii="Cambria Math"/>
        <w:sz w:val="24"/>
      </w:rPr>
    </w:tblStylePr>
    <w:tblStylePr w:type="lastCol">
      <w:pPr>
        <w:jc w:val="right"/>
      </w:pPr>
      <w:rPr>
        <w:rFonts w:ascii="Times New Roman"/>
        <w:sz w:val="24"/>
      </w:rPr>
    </w:tblStylePr>
  </w:style>
  <w:style w:type="paragraph" w:customStyle="1" w:styleId="JVEReferences">
    <w:name w:val="JVE References"/>
    <w:uiPriority w:val="9"/>
    <w:qFormat/>
    <w:rsid w:val="00286865"/>
    <w:pPr>
      <w:numPr>
        <w:numId w:val="2"/>
      </w:numPr>
      <w:spacing w:before="200" w:after="200"/>
      <w:contextualSpacing/>
      <w:jc w:val="both"/>
    </w:pPr>
    <w:rPr>
      <w:kern w:val="0"/>
      <w:sz w:val="18"/>
      <w:szCs w:val="16"/>
    </w:rPr>
  </w:style>
  <w:style w:type="paragraph" w:styleId="a4">
    <w:name w:val="footer"/>
    <w:basedOn w:val="a"/>
    <w:link w:val="a5"/>
    <w:uiPriority w:val="99"/>
    <w:semiHidden/>
    <w:rsid w:val="007223A8"/>
    <w:pPr>
      <w:tabs>
        <w:tab w:val="center" w:pos="4513"/>
        <w:tab w:val="right" w:pos="9026"/>
      </w:tabs>
    </w:pPr>
  </w:style>
  <w:style w:type="paragraph" w:styleId="a6">
    <w:name w:val="header"/>
    <w:basedOn w:val="a"/>
    <w:uiPriority w:val="99"/>
    <w:semiHidden/>
    <w:rsid w:val="007223A8"/>
    <w:pPr>
      <w:tabs>
        <w:tab w:val="center" w:pos="4513"/>
        <w:tab w:val="right" w:pos="9026"/>
      </w:tabs>
    </w:pPr>
  </w:style>
  <w:style w:type="paragraph" w:styleId="a7">
    <w:name w:val="No Spacing"/>
    <w:rsid w:val="007223A8"/>
    <w:pPr>
      <w:widowControl w:val="0"/>
    </w:pPr>
  </w:style>
  <w:style w:type="paragraph" w:customStyle="1" w:styleId="JVEHeading1">
    <w:name w:val="JVE Heading 1"/>
    <w:basedOn w:val="1"/>
    <w:next w:val="JVEParagraph"/>
    <w:uiPriority w:val="11"/>
    <w:qFormat/>
    <w:rsid w:val="00BB2FFE"/>
  </w:style>
  <w:style w:type="paragraph" w:customStyle="1" w:styleId="JVEHeading2">
    <w:name w:val="JVE Heading 2"/>
    <w:basedOn w:val="2"/>
    <w:next w:val="JVEParagraph"/>
    <w:uiPriority w:val="11"/>
    <w:qFormat/>
    <w:rsid w:val="00BB2FFE"/>
  </w:style>
  <w:style w:type="paragraph" w:customStyle="1" w:styleId="JVEHeading3">
    <w:name w:val="JVE Heading 3"/>
    <w:basedOn w:val="3"/>
    <w:next w:val="JVEParagraph"/>
    <w:uiPriority w:val="11"/>
    <w:qFormat/>
    <w:rsid w:val="00BB2FFE"/>
  </w:style>
  <w:style w:type="paragraph" w:customStyle="1" w:styleId="JVEHeading4">
    <w:name w:val="JVE Heading 4"/>
    <w:basedOn w:val="4"/>
    <w:next w:val="JVEParagraph"/>
    <w:uiPriority w:val="11"/>
    <w:qFormat/>
    <w:rsid w:val="00BB2FFE"/>
  </w:style>
  <w:style w:type="paragraph" w:customStyle="1" w:styleId="JVETitle">
    <w:name w:val="JVE Title"/>
    <w:basedOn w:val="a3"/>
    <w:next w:val="JVEAuthors"/>
    <w:uiPriority w:val="22"/>
    <w:rsid w:val="003D0F24"/>
  </w:style>
  <w:style w:type="paragraph" w:customStyle="1" w:styleId="JVETableHeader">
    <w:name w:val="JVE Table Header"/>
    <w:next w:val="a"/>
    <w:uiPriority w:val="6"/>
    <w:rsid w:val="00241AD3"/>
    <w:pPr>
      <w:jc w:val="center"/>
    </w:pPr>
    <w:rPr>
      <w:kern w:val="0"/>
      <w:sz w:val="18"/>
      <w:szCs w:val="56"/>
    </w:rPr>
  </w:style>
  <w:style w:type="paragraph" w:customStyle="1" w:styleId="JVETable">
    <w:name w:val="JVE Table"/>
    <w:basedOn w:val="a"/>
    <w:uiPriority w:val="5"/>
    <w:rsid w:val="00A0540C"/>
    <w:pPr>
      <w:keepNext/>
      <w:widowControl/>
      <w:contextualSpacing/>
    </w:pPr>
    <w:rPr>
      <w:kern w:val="0"/>
      <w:sz w:val="18"/>
      <w:szCs w:val="56"/>
    </w:rPr>
  </w:style>
  <w:style w:type="paragraph" w:customStyle="1" w:styleId="JVEHeadingnonumbering">
    <w:name w:val="JVE Heading (no numbering)"/>
    <w:next w:val="JVEParagraph"/>
    <w:uiPriority w:val="12"/>
    <w:rsid w:val="00AC6DF5"/>
    <w:pPr>
      <w:keepNext/>
      <w:spacing w:before="200" w:after="200"/>
    </w:pPr>
    <w:rPr>
      <w:b/>
      <w:kern w:val="0"/>
      <w:szCs w:val="56"/>
    </w:rPr>
  </w:style>
  <w:style w:type="character" w:customStyle="1" w:styleId="a5">
    <w:name w:val="Нижний колонтитул Знак"/>
    <w:basedOn w:val="a0"/>
    <w:link w:val="a4"/>
    <w:uiPriority w:val="99"/>
    <w:rsid w:val="000E727F"/>
  </w:style>
  <w:style w:type="paragraph" w:styleId="a8">
    <w:name w:val="Normal (Web)"/>
    <w:basedOn w:val="a"/>
    <w:uiPriority w:val="99"/>
    <w:unhideWhenUsed/>
    <w:rsid w:val="00806E1F"/>
    <w:pPr>
      <w:widowControl/>
      <w:spacing w:before="100" w:beforeAutospacing="1" w:after="100" w:afterAutospacing="1"/>
    </w:pPr>
    <w:rPr>
      <w:kern w:val="0"/>
      <w:sz w:val="24"/>
      <w:szCs w:val="24"/>
      <w:lang w:bidi="ar-SA"/>
    </w:rPr>
  </w:style>
  <w:style w:type="character" w:styleId="a9">
    <w:name w:val="Strong"/>
    <w:basedOn w:val="a0"/>
    <w:uiPriority w:val="22"/>
    <w:qFormat/>
    <w:rsid w:val="00806E1F"/>
    <w:rPr>
      <w:b/>
      <w:bCs/>
    </w:rPr>
  </w:style>
  <w:style w:type="paragraph" w:styleId="HTML">
    <w:name w:val="HTML Preformatted"/>
    <w:basedOn w:val="a"/>
    <w:link w:val="HTML0"/>
    <w:uiPriority w:val="99"/>
    <w:unhideWhenUsed/>
    <w:rsid w:val="00112D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kern w:val="0"/>
      <w:lang w:bidi="ar-SA"/>
    </w:rPr>
  </w:style>
  <w:style w:type="character" w:customStyle="1" w:styleId="HTML0">
    <w:name w:val="Стандартный HTML Знак"/>
    <w:basedOn w:val="a0"/>
    <w:link w:val="HTML"/>
    <w:uiPriority w:val="99"/>
    <w:rsid w:val="00112DC9"/>
    <w:rPr>
      <w:rFonts w:ascii="Courier New" w:hAnsi="Courier New" w:cs="Courier New"/>
      <w:kern w:val="0"/>
      <w:lang w:bidi="ar-SA"/>
    </w:rPr>
  </w:style>
  <w:style w:type="character" w:customStyle="1" w:styleId="y2iqfc">
    <w:name w:val="y2iqfc"/>
    <w:basedOn w:val="a0"/>
    <w:rsid w:val="00112DC9"/>
  </w:style>
  <w:style w:type="character" w:styleId="aa">
    <w:name w:val="Emphasis"/>
    <w:basedOn w:val="a0"/>
    <w:uiPriority w:val="20"/>
    <w:qFormat/>
    <w:rsid w:val="009C4F07"/>
    <w:rPr>
      <w:i/>
      <w:iCs/>
    </w:rPr>
  </w:style>
  <w:style w:type="character" w:styleId="ab">
    <w:name w:val="Hyperlink"/>
    <w:basedOn w:val="a0"/>
    <w:uiPriority w:val="99"/>
    <w:unhideWhenUsed/>
    <w:rsid w:val="009F2F7E"/>
    <w:rPr>
      <w:color w:val="0563C1" w:themeColor="hyperlink"/>
      <w:u w:val="single"/>
    </w:rPr>
  </w:style>
  <w:style w:type="character" w:styleId="ac">
    <w:name w:val="Unresolved Mention"/>
    <w:basedOn w:val="a0"/>
    <w:uiPriority w:val="99"/>
    <w:rsid w:val="009F2F7E"/>
    <w:rPr>
      <w:color w:val="605E5C"/>
      <w:shd w:val="clear" w:color="auto" w:fill="E1DFDD"/>
    </w:rPr>
  </w:style>
  <w:style w:type="paragraph" w:styleId="ad">
    <w:name w:val="List Paragraph"/>
    <w:basedOn w:val="a"/>
    <w:uiPriority w:val="99"/>
    <w:rsid w:val="001F2D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420417">
      <w:bodyDiv w:val="1"/>
      <w:marLeft w:val="0"/>
      <w:marRight w:val="0"/>
      <w:marTop w:val="0"/>
      <w:marBottom w:val="0"/>
      <w:divBdr>
        <w:top w:val="none" w:sz="0" w:space="0" w:color="auto"/>
        <w:left w:val="none" w:sz="0" w:space="0" w:color="auto"/>
        <w:bottom w:val="none" w:sz="0" w:space="0" w:color="auto"/>
        <w:right w:val="none" w:sz="0" w:space="0" w:color="auto"/>
      </w:divBdr>
    </w:div>
    <w:div w:id="206917532">
      <w:bodyDiv w:val="1"/>
      <w:marLeft w:val="0"/>
      <w:marRight w:val="0"/>
      <w:marTop w:val="0"/>
      <w:marBottom w:val="0"/>
      <w:divBdr>
        <w:top w:val="none" w:sz="0" w:space="0" w:color="auto"/>
        <w:left w:val="none" w:sz="0" w:space="0" w:color="auto"/>
        <w:bottom w:val="none" w:sz="0" w:space="0" w:color="auto"/>
        <w:right w:val="none" w:sz="0" w:space="0" w:color="auto"/>
      </w:divBdr>
    </w:div>
    <w:div w:id="233588082">
      <w:bodyDiv w:val="1"/>
      <w:marLeft w:val="0"/>
      <w:marRight w:val="0"/>
      <w:marTop w:val="0"/>
      <w:marBottom w:val="0"/>
      <w:divBdr>
        <w:top w:val="none" w:sz="0" w:space="0" w:color="auto"/>
        <w:left w:val="none" w:sz="0" w:space="0" w:color="auto"/>
        <w:bottom w:val="none" w:sz="0" w:space="0" w:color="auto"/>
        <w:right w:val="none" w:sz="0" w:space="0" w:color="auto"/>
      </w:divBdr>
    </w:div>
    <w:div w:id="237058343">
      <w:bodyDiv w:val="1"/>
      <w:marLeft w:val="0"/>
      <w:marRight w:val="0"/>
      <w:marTop w:val="0"/>
      <w:marBottom w:val="0"/>
      <w:divBdr>
        <w:top w:val="none" w:sz="0" w:space="0" w:color="auto"/>
        <w:left w:val="none" w:sz="0" w:space="0" w:color="auto"/>
        <w:bottom w:val="none" w:sz="0" w:space="0" w:color="auto"/>
        <w:right w:val="none" w:sz="0" w:space="0" w:color="auto"/>
      </w:divBdr>
    </w:div>
    <w:div w:id="240527590">
      <w:bodyDiv w:val="1"/>
      <w:marLeft w:val="0"/>
      <w:marRight w:val="0"/>
      <w:marTop w:val="0"/>
      <w:marBottom w:val="0"/>
      <w:divBdr>
        <w:top w:val="none" w:sz="0" w:space="0" w:color="auto"/>
        <w:left w:val="none" w:sz="0" w:space="0" w:color="auto"/>
        <w:bottom w:val="none" w:sz="0" w:space="0" w:color="auto"/>
        <w:right w:val="none" w:sz="0" w:space="0" w:color="auto"/>
      </w:divBdr>
    </w:div>
    <w:div w:id="251159581">
      <w:bodyDiv w:val="1"/>
      <w:marLeft w:val="0"/>
      <w:marRight w:val="0"/>
      <w:marTop w:val="0"/>
      <w:marBottom w:val="0"/>
      <w:divBdr>
        <w:top w:val="none" w:sz="0" w:space="0" w:color="auto"/>
        <w:left w:val="none" w:sz="0" w:space="0" w:color="auto"/>
        <w:bottom w:val="none" w:sz="0" w:space="0" w:color="auto"/>
        <w:right w:val="none" w:sz="0" w:space="0" w:color="auto"/>
      </w:divBdr>
      <w:divsChild>
        <w:div w:id="888801327">
          <w:marLeft w:val="0"/>
          <w:marRight w:val="0"/>
          <w:marTop w:val="0"/>
          <w:marBottom w:val="0"/>
          <w:divBdr>
            <w:top w:val="none" w:sz="0" w:space="0" w:color="auto"/>
            <w:left w:val="none" w:sz="0" w:space="0" w:color="auto"/>
            <w:bottom w:val="none" w:sz="0" w:space="0" w:color="auto"/>
            <w:right w:val="none" w:sz="0" w:space="0" w:color="auto"/>
          </w:divBdr>
          <w:divsChild>
            <w:div w:id="266885901">
              <w:marLeft w:val="0"/>
              <w:marRight w:val="0"/>
              <w:marTop w:val="0"/>
              <w:marBottom w:val="0"/>
              <w:divBdr>
                <w:top w:val="none" w:sz="0" w:space="0" w:color="auto"/>
                <w:left w:val="none" w:sz="0" w:space="0" w:color="auto"/>
                <w:bottom w:val="none" w:sz="0" w:space="0" w:color="auto"/>
                <w:right w:val="none" w:sz="0" w:space="0" w:color="auto"/>
              </w:divBdr>
              <w:divsChild>
                <w:div w:id="1272392287">
                  <w:marLeft w:val="0"/>
                  <w:marRight w:val="0"/>
                  <w:marTop w:val="0"/>
                  <w:marBottom w:val="0"/>
                  <w:divBdr>
                    <w:top w:val="none" w:sz="0" w:space="0" w:color="auto"/>
                    <w:left w:val="none" w:sz="0" w:space="0" w:color="auto"/>
                    <w:bottom w:val="none" w:sz="0" w:space="0" w:color="auto"/>
                    <w:right w:val="none" w:sz="0" w:space="0" w:color="auto"/>
                  </w:divBdr>
                  <w:divsChild>
                    <w:div w:id="1663313768">
                      <w:marLeft w:val="0"/>
                      <w:marRight w:val="0"/>
                      <w:marTop w:val="0"/>
                      <w:marBottom w:val="0"/>
                      <w:divBdr>
                        <w:top w:val="none" w:sz="0" w:space="0" w:color="auto"/>
                        <w:left w:val="none" w:sz="0" w:space="0" w:color="auto"/>
                        <w:bottom w:val="none" w:sz="0" w:space="0" w:color="auto"/>
                        <w:right w:val="none" w:sz="0" w:space="0" w:color="auto"/>
                      </w:divBdr>
                      <w:divsChild>
                        <w:div w:id="854198769">
                          <w:marLeft w:val="0"/>
                          <w:marRight w:val="0"/>
                          <w:marTop w:val="0"/>
                          <w:marBottom w:val="0"/>
                          <w:divBdr>
                            <w:top w:val="none" w:sz="0" w:space="0" w:color="auto"/>
                            <w:left w:val="none" w:sz="0" w:space="0" w:color="auto"/>
                            <w:bottom w:val="none" w:sz="0" w:space="0" w:color="auto"/>
                            <w:right w:val="none" w:sz="0" w:space="0" w:color="auto"/>
                          </w:divBdr>
                          <w:divsChild>
                            <w:div w:id="84135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412477">
      <w:bodyDiv w:val="1"/>
      <w:marLeft w:val="0"/>
      <w:marRight w:val="0"/>
      <w:marTop w:val="0"/>
      <w:marBottom w:val="0"/>
      <w:divBdr>
        <w:top w:val="none" w:sz="0" w:space="0" w:color="auto"/>
        <w:left w:val="none" w:sz="0" w:space="0" w:color="auto"/>
        <w:bottom w:val="none" w:sz="0" w:space="0" w:color="auto"/>
        <w:right w:val="none" w:sz="0" w:space="0" w:color="auto"/>
      </w:divBdr>
    </w:div>
    <w:div w:id="349650655">
      <w:bodyDiv w:val="1"/>
      <w:marLeft w:val="0"/>
      <w:marRight w:val="0"/>
      <w:marTop w:val="0"/>
      <w:marBottom w:val="0"/>
      <w:divBdr>
        <w:top w:val="none" w:sz="0" w:space="0" w:color="auto"/>
        <w:left w:val="none" w:sz="0" w:space="0" w:color="auto"/>
        <w:bottom w:val="none" w:sz="0" w:space="0" w:color="auto"/>
        <w:right w:val="none" w:sz="0" w:space="0" w:color="auto"/>
      </w:divBdr>
    </w:div>
    <w:div w:id="365251697">
      <w:bodyDiv w:val="1"/>
      <w:marLeft w:val="0"/>
      <w:marRight w:val="0"/>
      <w:marTop w:val="0"/>
      <w:marBottom w:val="0"/>
      <w:divBdr>
        <w:top w:val="none" w:sz="0" w:space="0" w:color="auto"/>
        <w:left w:val="none" w:sz="0" w:space="0" w:color="auto"/>
        <w:bottom w:val="none" w:sz="0" w:space="0" w:color="auto"/>
        <w:right w:val="none" w:sz="0" w:space="0" w:color="auto"/>
      </w:divBdr>
    </w:div>
    <w:div w:id="489492412">
      <w:bodyDiv w:val="1"/>
      <w:marLeft w:val="0"/>
      <w:marRight w:val="0"/>
      <w:marTop w:val="0"/>
      <w:marBottom w:val="0"/>
      <w:divBdr>
        <w:top w:val="none" w:sz="0" w:space="0" w:color="auto"/>
        <w:left w:val="none" w:sz="0" w:space="0" w:color="auto"/>
        <w:bottom w:val="none" w:sz="0" w:space="0" w:color="auto"/>
        <w:right w:val="none" w:sz="0" w:space="0" w:color="auto"/>
      </w:divBdr>
    </w:div>
    <w:div w:id="535890626">
      <w:bodyDiv w:val="1"/>
      <w:marLeft w:val="0"/>
      <w:marRight w:val="0"/>
      <w:marTop w:val="0"/>
      <w:marBottom w:val="0"/>
      <w:divBdr>
        <w:top w:val="none" w:sz="0" w:space="0" w:color="auto"/>
        <w:left w:val="none" w:sz="0" w:space="0" w:color="auto"/>
        <w:bottom w:val="none" w:sz="0" w:space="0" w:color="auto"/>
        <w:right w:val="none" w:sz="0" w:space="0" w:color="auto"/>
      </w:divBdr>
      <w:divsChild>
        <w:div w:id="1571621112">
          <w:marLeft w:val="0"/>
          <w:marRight w:val="0"/>
          <w:marTop w:val="0"/>
          <w:marBottom w:val="0"/>
          <w:divBdr>
            <w:top w:val="none" w:sz="0" w:space="0" w:color="auto"/>
            <w:left w:val="none" w:sz="0" w:space="0" w:color="auto"/>
            <w:bottom w:val="none" w:sz="0" w:space="0" w:color="auto"/>
            <w:right w:val="none" w:sz="0" w:space="0" w:color="auto"/>
          </w:divBdr>
          <w:divsChild>
            <w:div w:id="597058826">
              <w:marLeft w:val="0"/>
              <w:marRight w:val="0"/>
              <w:marTop w:val="0"/>
              <w:marBottom w:val="0"/>
              <w:divBdr>
                <w:top w:val="none" w:sz="0" w:space="0" w:color="auto"/>
                <w:left w:val="none" w:sz="0" w:space="0" w:color="auto"/>
                <w:bottom w:val="none" w:sz="0" w:space="0" w:color="auto"/>
                <w:right w:val="none" w:sz="0" w:space="0" w:color="auto"/>
              </w:divBdr>
              <w:divsChild>
                <w:div w:id="1276601272">
                  <w:marLeft w:val="0"/>
                  <w:marRight w:val="0"/>
                  <w:marTop w:val="0"/>
                  <w:marBottom w:val="0"/>
                  <w:divBdr>
                    <w:top w:val="none" w:sz="0" w:space="0" w:color="auto"/>
                    <w:left w:val="none" w:sz="0" w:space="0" w:color="auto"/>
                    <w:bottom w:val="none" w:sz="0" w:space="0" w:color="auto"/>
                    <w:right w:val="none" w:sz="0" w:space="0" w:color="auto"/>
                  </w:divBdr>
                  <w:divsChild>
                    <w:div w:id="1443378395">
                      <w:marLeft w:val="0"/>
                      <w:marRight w:val="0"/>
                      <w:marTop w:val="0"/>
                      <w:marBottom w:val="0"/>
                      <w:divBdr>
                        <w:top w:val="none" w:sz="0" w:space="0" w:color="auto"/>
                        <w:left w:val="none" w:sz="0" w:space="0" w:color="auto"/>
                        <w:bottom w:val="none" w:sz="0" w:space="0" w:color="auto"/>
                        <w:right w:val="none" w:sz="0" w:space="0" w:color="auto"/>
                      </w:divBdr>
                      <w:divsChild>
                        <w:div w:id="1967540438">
                          <w:marLeft w:val="0"/>
                          <w:marRight w:val="0"/>
                          <w:marTop w:val="0"/>
                          <w:marBottom w:val="0"/>
                          <w:divBdr>
                            <w:top w:val="none" w:sz="0" w:space="0" w:color="auto"/>
                            <w:left w:val="none" w:sz="0" w:space="0" w:color="auto"/>
                            <w:bottom w:val="none" w:sz="0" w:space="0" w:color="auto"/>
                            <w:right w:val="none" w:sz="0" w:space="0" w:color="auto"/>
                          </w:divBdr>
                          <w:divsChild>
                            <w:div w:id="85827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022080">
      <w:bodyDiv w:val="1"/>
      <w:marLeft w:val="0"/>
      <w:marRight w:val="0"/>
      <w:marTop w:val="0"/>
      <w:marBottom w:val="0"/>
      <w:divBdr>
        <w:top w:val="none" w:sz="0" w:space="0" w:color="auto"/>
        <w:left w:val="none" w:sz="0" w:space="0" w:color="auto"/>
        <w:bottom w:val="none" w:sz="0" w:space="0" w:color="auto"/>
        <w:right w:val="none" w:sz="0" w:space="0" w:color="auto"/>
      </w:divBdr>
    </w:div>
    <w:div w:id="837186580">
      <w:bodyDiv w:val="1"/>
      <w:marLeft w:val="0"/>
      <w:marRight w:val="0"/>
      <w:marTop w:val="0"/>
      <w:marBottom w:val="0"/>
      <w:divBdr>
        <w:top w:val="none" w:sz="0" w:space="0" w:color="auto"/>
        <w:left w:val="none" w:sz="0" w:space="0" w:color="auto"/>
        <w:bottom w:val="none" w:sz="0" w:space="0" w:color="auto"/>
        <w:right w:val="none" w:sz="0" w:space="0" w:color="auto"/>
      </w:divBdr>
    </w:div>
    <w:div w:id="876745511">
      <w:bodyDiv w:val="1"/>
      <w:marLeft w:val="0"/>
      <w:marRight w:val="0"/>
      <w:marTop w:val="0"/>
      <w:marBottom w:val="0"/>
      <w:divBdr>
        <w:top w:val="none" w:sz="0" w:space="0" w:color="auto"/>
        <w:left w:val="none" w:sz="0" w:space="0" w:color="auto"/>
        <w:bottom w:val="none" w:sz="0" w:space="0" w:color="auto"/>
        <w:right w:val="none" w:sz="0" w:space="0" w:color="auto"/>
      </w:divBdr>
      <w:divsChild>
        <w:div w:id="1327629717">
          <w:marLeft w:val="0"/>
          <w:marRight w:val="0"/>
          <w:marTop w:val="0"/>
          <w:marBottom w:val="0"/>
          <w:divBdr>
            <w:top w:val="none" w:sz="0" w:space="0" w:color="auto"/>
            <w:left w:val="none" w:sz="0" w:space="0" w:color="auto"/>
            <w:bottom w:val="none" w:sz="0" w:space="0" w:color="auto"/>
            <w:right w:val="none" w:sz="0" w:space="0" w:color="auto"/>
          </w:divBdr>
          <w:divsChild>
            <w:div w:id="32267029">
              <w:marLeft w:val="0"/>
              <w:marRight w:val="0"/>
              <w:marTop w:val="0"/>
              <w:marBottom w:val="0"/>
              <w:divBdr>
                <w:top w:val="none" w:sz="0" w:space="0" w:color="auto"/>
                <w:left w:val="none" w:sz="0" w:space="0" w:color="auto"/>
                <w:bottom w:val="none" w:sz="0" w:space="0" w:color="auto"/>
                <w:right w:val="none" w:sz="0" w:space="0" w:color="auto"/>
              </w:divBdr>
              <w:divsChild>
                <w:div w:id="662392737">
                  <w:marLeft w:val="0"/>
                  <w:marRight w:val="0"/>
                  <w:marTop w:val="0"/>
                  <w:marBottom w:val="0"/>
                  <w:divBdr>
                    <w:top w:val="none" w:sz="0" w:space="0" w:color="auto"/>
                    <w:left w:val="none" w:sz="0" w:space="0" w:color="auto"/>
                    <w:bottom w:val="none" w:sz="0" w:space="0" w:color="auto"/>
                    <w:right w:val="none" w:sz="0" w:space="0" w:color="auto"/>
                  </w:divBdr>
                  <w:divsChild>
                    <w:div w:id="926309867">
                      <w:marLeft w:val="0"/>
                      <w:marRight w:val="0"/>
                      <w:marTop w:val="0"/>
                      <w:marBottom w:val="0"/>
                      <w:divBdr>
                        <w:top w:val="none" w:sz="0" w:space="0" w:color="auto"/>
                        <w:left w:val="none" w:sz="0" w:space="0" w:color="auto"/>
                        <w:bottom w:val="none" w:sz="0" w:space="0" w:color="auto"/>
                        <w:right w:val="none" w:sz="0" w:space="0" w:color="auto"/>
                      </w:divBdr>
                      <w:divsChild>
                        <w:div w:id="1799951923">
                          <w:marLeft w:val="0"/>
                          <w:marRight w:val="0"/>
                          <w:marTop w:val="0"/>
                          <w:marBottom w:val="0"/>
                          <w:divBdr>
                            <w:top w:val="none" w:sz="0" w:space="0" w:color="auto"/>
                            <w:left w:val="none" w:sz="0" w:space="0" w:color="auto"/>
                            <w:bottom w:val="none" w:sz="0" w:space="0" w:color="auto"/>
                            <w:right w:val="none" w:sz="0" w:space="0" w:color="auto"/>
                          </w:divBdr>
                          <w:divsChild>
                            <w:div w:id="117926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516206">
      <w:bodyDiv w:val="1"/>
      <w:marLeft w:val="0"/>
      <w:marRight w:val="0"/>
      <w:marTop w:val="0"/>
      <w:marBottom w:val="0"/>
      <w:divBdr>
        <w:top w:val="none" w:sz="0" w:space="0" w:color="auto"/>
        <w:left w:val="none" w:sz="0" w:space="0" w:color="auto"/>
        <w:bottom w:val="none" w:sz="0" w:space="0" w:color="auto"/>
        <w:right w:val="none" w:sz="0" w:space="0" w:color="auto"/>
      </w:divBdr>
    </w:div>
    <w:div w:id="1090201409">
      <w:bodyDiv w:val="1"/>
      <w:marLeft w:val="0"/>
      <w:marRight w:val="0"/>
      <w:marTop w:val="0"/>
      <w:marBottom w:val="0"/>
      <w:divBdr>
        <w:top w:val="none" w:sz="0" w:space="0" w:color="auto"/>
        <w:left w:val="none" w:sz="0" w:space="0" w:color="auto"/>
        <w:bottom w:val="none" w:sz="0" w:space="0" w:color="auto"/>
        <w:right w:val="none" w:sz="0" w:space="0" w:color="auto"/>
      </w:divBdr>
    </w:div>
    <w:div w:id="1159232533">
      <w:bodyDiv w:val="1"/>
      <w:marLeft w:val="0"/>
      <w:marRight w:val="0"/>
      <w:marTop w:val="0"/>
      <w:marBottom w:val="0"/>
      <w:divBdr>
        <w:top w:val="none" w:sz="0" w:space="0" w:color="auto"/>
        <w:left w:val="none" w:sz="0" w:space="0" w:color="auto"/>
        <w:bottom w:val="none" w:sz="0" w:space="0" w:color="auto"/>
        <w:right w:val="none" w:sz="0" w:space="0" w:color="auto"/>
      </w:divBdr>
      <w:divsChild>
        <w:div w:id="2146925128">
          <w:marLeft w:val="0"/>
          <w:marRight w:val="0"/>
          <w:marTop w:val="0"/>
          <w:marBottom w:val="0"/>
          <w:divBdr>
            <w:top w:val="none" w:sz="0" w:space="0" w:color="auto"/>
            <w:left w:val="none" w:sz="0" w:space="0" w:color="auto"/>
            <w:bottom w:val="none" w:sz="0" w:space="0" w:color="auto"/>
            <w:right w:val="none" w:sz="0" w:space="0" w:color="auto"/>
          </w:divBdr>
          <w:divsChild>
            <w:div w:id="152962238">
              <w:marLeft w:val="0"/>
              <w:marRight w:val="0"/>
              <w:marTop w:val="0"/>
              <w:marBottom w:val="0"/>
              <w:divBdr>
                <w:top w:val="none" w:sz="0" w:space="0" w:color="auto"/>
                <w:left w:val="none" w:sz="0" w:space="0" w:color="auto"/>
                <w:bottom w:val="none" w:sz="0" w:space="0" w:color="auto"/>
                <w:right w:val="none" w:sz="0" w:space="0" w:color="auto"/>
              </w:divBdr>
              <w:divsChild>
                <w:div w:id="101998038">
                  <w:marLeft w:val="0"/>
                  <w:marRight w:val="0"/>
                  <w:marTop w:val="0"/>
                  <w:marBottom w:val="0"/>
                  <w:divBdr>
                    <w:top w:val="none" w:sz="0" w:space="0" w:color="auto"/>
                    <w:left w:val="none" w:sz="0" w:space="0" w:color="auto"/>
                    <w:bottom w:val="none" w:sz="0" w:space="0" w:color="auto"/>
                    <w:right w:val="none" w:sz="0" w:space="0" w:color="auto"/>
                  </w:divBdr>
                  <w:divsChild>
                    <w:div w:id="559559887">
                      <w:marLeft w:val="0"/>
                      <w:marRight w:val="0"/>
                      <w:marTop w:val="0"/>
                      <w:marBottom w:val="0"/>
                      <w:divBdr>
                        <w:top w:val="none" w:sz="0" w:space="0" w:color="auto"/>
                        <w:left w:val="none" w:sz="0" w:space="0" w:color="auto"/>
                        <w:bottom w:val="none" w:sz="0" w:space="0" w:color="auto"/>
                        <w:right w:val="none" w:sz="0" w:space="0" w:color="auto"/>
                      </w:divBdr>
                      <w:divsChild>
                        <w:div w:id="170032685">
                          <w:marLeft w:val="0"/>
                          <w:marRight w:val="0"/>
                          <w:marTop w:val="0"/>
                          <w:marBottom w:val="0"/>
                          <w:divBdr>
                            <w:top w:val="none" w:sz="0" w:space="0" w:color="auto"/>
                            <w:left w:val="none" w:sz="0" w:space="0" w:color="auto"/>
                            <w:bottom w:val="none" w:sz="0" w:space="0" w:color="auto"/>
                            <w:right w:val="none" w:sz="0" w:space="0" w:color="auto"/>
                          </w:divBdr>
                          <w:divsChild>
                            <w:div w:id="87878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303356">
      <w:bodyDiv w:val="1"/>
      <w:marLeft w:val="0"/>
      <w:marRight w:val="0"/>
      <w:marTop w:val="0"/>
      <w:marBottom w:val="0"/>
      <w:divBdr>
        <w:top w:val="none" w:sz="0" w:space="0" w:color="auto"/>
        <w:left w:val="none" w:sz="0" w:space="0" w:color="auto"/>
        <w:bottom w:val="none" w:sz="0" w:space="0" w:color="auto"/>
        <w:right w:val="none" w:sz="0" w:space="0" w:color="auto"/>
      </w:divBdr>
    </w:div>
    <w:div w:id="1460949037">
      <w:bodyDiv w:val="1"/>
      <w:marLeft w:val="0"/>
      <w:marRight w:val="0"/>
      <w:marTop w:val="0"/>
      <w:marBottom w:val="0"/>
      <w:divBdr>
        <w:top w:val="none" w:sz="0" w:space="0" w:color="auto"/>
        <w:left w:val="none" w:sz="0" w:space="0" w:color="auto"/>
        <w:bottom w:val="none" w:sz="0" w:space="0" w:color="auto"/>
        <w:right w:val="none" w:sz="0" w:space="0" w:color="auto"/>
      </w:divBdr>
    </w:div>
    <w:div w:id="1602492837">
      <w:bodyDiv w:val="1"/>
      <w:marLeft w:val="0"/>
      <w:marRight w:val="0"/>
      <w:marTop w:val="0"/>
      <w:marBottom w:val="0"/>
      <w:divBdr>
        <w:top w:val="none" w:sz="0" w:space="0" w:color="auto"/>
        <w:left w:val="none" w:sz="0" w:space="0" w:color="auto"/>
        <w:bottom w:val="none" w:sz="0" w:space="0" w:color="auto"/>
        <w:right w:val="none" w:sz="0" w:space="0" w:color="auto"/>
      </w:divBdr>
    </w:div>
    <w:div w:id="1722366222">
      <w:bodyDiv w:val="1"/>
      <w:marLeft w:val="0"/>
      <w:marRight w:val="0"/>
      <w:marTop w:val="0"/>
      <w:marBottom w:val="0"/>
      <w:divBdr>
        <w:top w:val="none" w:sz="0" w:space="0" w:color="auto"/>
        <w:left w:val="none" w:sz="0" w:space="0" w:color="auto"/>
        <w:bottom w:val="none" w:sz="0" w:space="0" w:color="auto"/>
        <w:right w:val="none" w:sz="0" w:space="0" w:color="auto"/>
      </w:divBdr>
    </w:div>
    <w:div w:id="1830977274">
      <w:bodyDiv w:val="1"/>
      <w:marLeft w:val="0"/>
      <w:marRight w:val="0"/>
      <w:marTop w:val="0"/>
      <w:marBottom w:val="0"/>
      <w:divBdr>
        <w:top w:val="none" w:sz="0" w:space="0" w:color="auto"/>
        <w:left w:val="none" w:sz="0" w:space="0" w:color="auto"/>
        <w:bottom w:val="none" w:sz="0" w:space="0" w:color="auto"/>
        <w:right w:val="none" w:sz="0" w:space="0" w:color="auto"/>
      </w:divBdr>
    </w:div>
    <w:div w:id="19293831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marovanafisa45@gmai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7306/gq.1809"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EA885B5-B6EA-4089-B6F4-78113E4A4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1454</Words>
  <Characters>8289</Characters>
  <Application>Microsoft Office Word</Application>
  <DocSecurity>0</DocSecurity>
  <Lines>69</Lines>
  <Paragraphs>19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Formatting requirements for the JVE article</vt:lpstr>
      <vt:lpstr>Formatting requirements for the JVE article</vt:lpstr>
    </vt:vector>
  </TitlesOfParts>
  <Company/>
  <LinksUpToDate>false</LinksUpToDate>
  <CharactersWithSpaces>9724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Formatting requirements for the JVE article</dc:title>
  <dc:subject/>
  <dc:creator>Martynas Vaidelys</dc:creator>
  <cp:keywords> </cp:keywords>
  <dc:description/>
  <cp:lastModifiedBy>Пользователь</cp:lastModifiedBy>
  <cp:revision>7</cp:revision>
  <dcterms:created xsi:type="dcterms:W3CDTF">2025-12-30T13:34:00Z</dcterms:created>
  <dcterms:modified xsi:type="dcterms:W3CDTF">2026-01-09T04:30:00Z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UseMTPrefs">
    <vt:lpwstr>1</vt:lpwstr>
  </property>
  <property fmtid="{D5CDD505-2E9C-101B-9397-08002B2CF9AE}" pid="4" name="MTWinEqns">
    <vt:bool>true</vt:bool>
  </property>
</Properties>
</file>