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D6CC8" w14:textId="5744531A" w:rsidR="00F36125" w:rsidRPr="00717618" w:rsidRDefault="00F36125" w:rsidP="008E7165">
      <w:pPr>
        <w:spacing w:before="2040" w:line="240" w:lineRule="auto"/>
        <w:jc w:val="center"/>
        <w:textDirection w:val="btLr"/>
        <w:rPr>
          <w:rFonts w:ascii="Times New Roman" w:hAnsi="Times New Roman" w:cs="Times New Roman"/>
          <w:b/>
          <w:sz w:val="36"/>
          <w:szCs w:val="36"/>
        </w:rPr>
      </w:pPr>
      <w:r w:rsidRPr="00717618">
        <w:rPr>
          <w:rFonts w:ascii="Times New Roman" w:hAnsi="Times New Roman" w:cs="Times New Roman"/>
          <w:b/>
          <w:sz w:val="36"/>
          <w:szCs w:val="36"/>
        </w:rPr>
        <w:t>Ensuring the operational reliability of the Central Asian power system under large scale deployment of renewable energy sources</w:t>
      </w:r>
    </w:p>
    <w:p w14:paraId="2BDE2996" w14:textId="43419F39" w:rsidR="00F36125" w:rsidRPr="00F36125" w:rsidRDefault="00F36125" w:rsidP="00F36125">
      <w:pPr>
        <w:spacing w:before="240" w:after="80" w:line="240" w:lineRule="auto"/>
        <w:jc w:val="center"/>
        <w:textDirection w:val="btLr"/>
        <w:rPr>
          <w:rFonts w:ascii="Times New Roman" w:hAnsi="Times New Roman" w:cs="Times New Roman"/>
          <w:bCs/>
          <w:color w:val="000000"/>
          <w:sz w:val="28"/>
          <w:szCs w:val="28"/>
        </w:rPr>
      </w:pPr>
      <w:r w:rsidRPr="00CA7A6A">
        <w:rPr>
          <w:rFonts w:ascii="Times New Roman" w:hAnsi="Times New Roman" w:cs="Times New Roman"/>
          <w:bCs/>
          <w:color w:val="000000"/>
          <w:sz w:val="28"/>
          <w:szCs w:val="28"/>
        </w:rPr>
        <w:t>Shu</w:t>
      </w:r>
      <w:r>
        <w:rPr>
          <w:rFonts w:ascii="Times New Roman" w:hAnsi="Times New Roman" w:cs="Times New Roman"/>
          <w:bCs/>
          <w:color w:val="000000"/>
          <w:sz w:val="28"/>
          <w:szCs w:val="28"/>
        </w:rPr>
        <w:t>k</w:t>
      </w:r>
      <w:r w:rsidRPr="00CA7A6A">
        <w:rPr>
          <w:rFonts w:ascii="Times New Roman" w:hAnsi="Times New Roman" w:cs="Times New Roman"/>
          <w:bCs/>
          <w:color w:val="000000"/>
          <w:sz w:val="28"/>
          <w:szCs w:val="28"/>
        </w:rPr>
        <w:t xml:space="preserve">hrat </w:t>
      </w:r>
      <w:r>
        <w:rPr>
          <w:rFonts w:ascii="Times New Roman" w:hAnsi="Times New Roman" w:cs="Times New Roman"/>
          <w:bCs/>
          <w:color w:val="000000"/>
          <w:sz w:val="28"/>
          <w:szCs w:val="28"/>
        </w:rPr>
        <w:t>Kh</w:t>
      </w:r>
      <w:r w:rsidRPr="00CA7A6A">
        <w:rPr>
          <w:rFonts w:ascii="Times New Roman" w:hAnsi="Times New Roman" w:cs="Times New Roman"/>
          <w:bCs/>
          <w:color w:val="000000"/>
          <w:sz w:val="28"/>
          <w:szCs w:val="28"/>
        </w:rPr>
        <w:t>amidov</w:t>
      </w:r>
      <w:r w:rsidR="00980EB3">
        <w:rPr>
          <w:rFonts w:ascii="Times New Roman" w:hAnsi="Times New Roman" w:cs="Times New Roman"/>
          <w:bCs/>
          <w:color w:val="000000"/>
          <w:sz w:val="28"/>
          <w:szCs w:val="28"/>
        </w:rPr>
        <w:t xml:space="preserve"> </w:t>
      </w:r>
      <w:r w:rsidRPr="00CA7A6A">
        <w:rPr>
          <w:rFonts w:ascii="Times New Roman" w:hAnsi="Times New Roman" w:cs="Times New Roman"/>
          <w:bCs/>
          <w:color w:val="000000"/>
          <w:sz w:val="28"/>
          <w:szCs w:val="28"/>
          <w:vertAlign w:val="superscript"/>
        </w:rPr>
        <w:t>1</w:t>
      </w:r>
      <w:r>
        <w:rPr>
          <w:rFonts w:ascii="Times New Roman" w:hAnsi="Times New Roman" w:cs="Times New Roman"/>
          <w:bCs/>
          <w:color w:val="000000"/>
          <w:sz w:val="28"/>
          <w:szCs w:val="28"/>
          <w:vertAlign w:val="superscript"/>
        </w:rPr>
        <w:t>,</w:t>
      </w:r>
      <w:r w:rsidR="00980EB3">
        <w:rPr>
          <w:rFonts w:ascii="Times New Roman" w:hAnsi="Times New Roman" w:cs="Times New Roman"/>
          <w:bCs/>
          <w:color w:val="000000"/>
          <w:sz w:val="28"/>
          <w:szCs w:val="28"/>
          <w:vertAlign w:val="superscript"/>
        </w:rPr>
        <w:t xml:space="preserve"> </w:t>
      </w:r>
      <w:r>
        <w:rPr>
          <w:rFonts w:ascii="Times New Roman" w:hAnsi="Times New Roman" w:cs="Times New Roman"/>
          <w:bCs/>
          <w:color w:val="000000"/>
          <w:sz w:val="28"/>
          <w:szCs w:val="28"/>
          <w:vertAlign w:val="superscript"/>
        </w:rPr>
        <w:t>a)</w:t>
      </w:r>
      <w:r w:rsidRPr="00CA7A6A">
        <w:rPr>
          <w:rFonts w:ascii="Times New Roman" w:hAnsi="Times New Roman" w:cs="Times New Roman"/>
          <w:bCs/>
          <w:color w:val="000000"/>
          <w:sz w:val="28"/>
          <w:szCs w:val="28"/>
        </w:rPr>
        <w:t xml:space="preserve">, </w:t>
      </w:r>
      <w:proofErr w:type="spellStart"/>
      <w:r w:rsidRPr="00CA7A6A">
        <w:rPr>
          <w:rFonts w:ascii="Times New Roman" w:hAnsi="Times New Roman" w:cs="Times New Roman"/>
          <w:bCs/>
          <w:color w:val="000000"/>
          <w:sz w:val="28"/>
          <w:szCs w:val="28"/>
        </w:rPr>
        <w:t>Rasulbek</w:t>
      </w:r>
      <w:proofErr w:type="spellEnd"/>
      <w:r w:rsidRPr="00CA7A6A">
        <w:rPr>
          <w:rFonts w:ascii="Times New Roman" w:hAnsi="Times New Roman" w:cs="Times New Roman"/>
          <w:bCs/>
          <w:color w:val="000000"/>
          <w:sz w:val="28"/>
          <w:szCs w:val="28"/>
        </w:rPr>
        <w:t xml:space="preserve"> </w:t>
      </w:r>
      <w:proofErr w:type="spellStart"/>
      <w:r w:rsidRPr="00CA7A6A">
        <w:rPr>
          <w:rFonts w:ascii="Times New Roman" w:hAnsi="Times New Roman" w:cs="Times New Roman"/>
          <w:bCs/>
          <w:color w:val="000000"/>
          <w:sz w:val="28"/>
          <w:szCs w:val="28"/>
        </w:rPr>
        <w:t>Tanirbergenov</w:t>
      </w:r>
      <w:proofErr w:type="spellEnd"/>
      <w:r w:rsidR="00980EB3">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vertAlign w:val="superscript"/>
        </w:rPr>
        <w:t>1</w:t>
      </w:r>
      <w:r w:rsidRPr="00F3612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Bakhrom Normuratov</w:t>
      </w:r>
      <w:r w:rsidRPr="00F36125">
        <w:rPr>
          <w:rFonts w:ascii="Times New Roman" w:hAnsi="Times New Roman" w:cs="Times New Roman"/>
          <w:bCs/>
          <w:color w:val="000000"/>
          <w:sz w:val="28"/>
          <w:szCs w:val="28"/>
          <w:vertAlign w:val="superscript"/>
        </w:rPr>
        <w:t>2</w:t>
      </w:r>
      <w:r w:rsidR="00980EB3">
        <w:rPr>
          <w:rFonts w:ascii="Times New Roman" w:hAnsi="Times New Roman" w:cs="Times New Roman"/>
          <w:bCs/>
          <w:color w:val="000000"/>
          <w:sz w:val="28"/>
          <w:szCs w:val="28"/>
          <w:vertAlign w:val="superscript"/>
        </w:rPr>
        <w:t xml:space="preserve"> </w:t>
      </w:r>
    </w:p>
    <w:p w14:paraId="04EE2986" w14:textId="478632EF" w:rsidR="00F36125" w:rsidRDefault="00F36125" w:rsidP="00F36125">
      <w:pPr>
        <w:pStyle w:val="AuthorAffiliation"/>
        <w:textDirection w:val="btLr"/>
      </w:pPr>
      <w:r>
        <w:rPr>
          <w:vertAlign w:val="superscript"/>
        </w:rPr>
        <w:t>1</w:t>
      </w:r>
      <w:r w:rsidR="00980EB3">
        <w:rPr>
          <w:vertAlign w:val="superscript"/>
        </w:rPr>
        <w:t xml:space="preserve"> </w:t>
      </w:r>
      <w:r w:rsidRPr="00E91842">
        <w:t>Academy of Sciences of Uzbekistan, Tashkent, Uzbekistan</w:t>
      </w:r>
    </w:p>
    <w:p w14:paraId="3A4515B3" w14:textId="025CE3E1" w:rsidR="00F36125" w:rsidRPr="00F36125" w:rsidRDefault="00F36125" w:rsidP="00F36125">
      <w:pPr>
        <w:pStyle w:val="AuthorAffiliation"/>
        <w:textDirection w:val="btLr"/>
      </w:pPr>
      <w:r>
        <w:rPr>
          <w:vertAlign w:val="superscript"/>
        </w:rPr>
        <w:t>2</w:t>
      </w:r>
      <w:r w:rsidR="00980EB3">
        <w:rPr>
          <w:vertAlign w:val="superscript"/>
        </w:rPr>
        <w:t xml:space="preserve"> </w:t>
      </w:r>
      <w:r>
        <w:t xml:space="preserve">Tashkent State Technical University, </w:t>
      </w:r>
      <w:r w:rsidRPr="00E91842">
        <w:t>Tashkent, Uzbekistan</w:t>
      </w:r>
    </w:p>
    <w:p w14:paraId="3FBBBED7" w14:textId="77777777" w:rsidR="00F36125" w:rsidRPr="00E91842" w:rsidRDefault="00F36125" w:rsidP="00F36125">
      <w:pPr>
        <w:pStyle w:val="AuthorAffiliation"/>
        <w:spacing w:before="200" w:after="200"/>
      </w:pPr>
      <w:r w:rsidRPr="00FE6DBA">
        <w:rPr>
          <w:szCs w:val="18"/>
          <w:vertAlign w:val="superscript"/>
        </w:rPr>
        <w:t>a)</w:t>
      </w:r>
      <w:r w:rsidRPr="00FE6DBA">
        <w:rPr>
          <w:szCs w:val="18"/>
        </w:rPr>
        <w:t xml:space="preserve"> Corresponding author: </w:t>
      </w:r>
      <w:hyperlink r:id="rId5" w:history="1">
        <w:r w:rsidRPr="00C2435E">
          <w:rPr>
            <w:rStyle w:val="a6"/>
            <w:szCs w:val="18"/>
          </w:rPr>
          <w:t>khamidov_sh@mail.ru</w:t>
        </w:r>
      </w:hyperlink>
      <w:r>
        <w:rPr>
          <w:szCs w:val="18"/>
        </w:rPr>
        <w:t xml:space="preserve"> </w:t>
      </w:r>
    </w:p>
    <w:p w14:paraId="041A633B" w14:textId="654BF480" w:rsidR="00F36125" w:rsidRPr="006B0022" w:rsidRDefault="00F36125" w:rsidP="00F36125">
      <w:pPr>
        <w:pStyle w:val="leading-8"/>
        <w:spacing w:before="0" w:beforeAutospacing="0" w:after="0" w:afterAutospacing="0"/>
        <w:ind w:firstLine="284"/>
        <w:jc w:val="both"/>
        <w:rPr>
          <w:bCs/>
          <w:sz w:val="18"/>
          <w:szCs w:val="18"/>
          <w:lang w:val="en-US"/>
        </w:rPr>
      </w:pPr>
      <w:r w:rsidRPr="00500914">
        <w:rPr>
          <w:b/>
          <w:bCs/>
          <w:iCs/>
          <w:sz w:val="18"/>
          <w:szCs w:val="18"/>
          <w:lang w:val="uz-Cyrl-UZ"/>
        </w:rPr>
        <w:t>Abstract.</w:t>
      </w:r>
      <w:r w:rsidRPr="00287E0A">
        <w:rPr>
          <w:iCs/>
          <w:sz w:val="18"/>
          <w:szCs w:val="18"/>
          <w:lang w:val="uz-Cyrl-UZ"/>
        </w:rPr>
        <w:t xml:space="preserve"> </w:t>
      </w:r>
      <w:r>
        <w:rPr>
          <w:iCs/>
          <w:sz w:val="18"/>
          <w:szCs w:val="18"/>
          <w:lang w:val="en-US"/>
        </w:rPr>
        <w:t>L</w:t>
      </w:r>
      <w:r w:rsidRPr="00945E64">
        <w:rPr>
          <w:iCs/>
          <w:sz w:val="18"/>
          <w:szCs w:val="18"/>
          <w:lang w:val="uz-Cyrl-UZ"/>
        </w:rPr>
        <w:t>arge scale expansion of renewable energy in the Central Asian interconnected power system requires a systematic justification of tools for maintaining power and energy balance. Short term unpredictable fluctuations and daily variability of wind and solar generation may increase stability risks and lead to curtailments or shortages.</w:t>
      </w:r>
      <w:r w:rsidRPr="006B0022">
        <w:rPr>
          <w:bCs/>
          <w:sz w:val="18"/>
          <w:szCs w:val="18"/>
          <w:lang w:val="en-US"/>
        </w:rPr>
        <w:t xml:space="preserve"> </w:t>
      </w:r>
      <w:r w:rsidRPr="00D36A8C">
        <w:rPr>
          <w:iCs/>
          <w:sz w:val="18"/>
          <w:szCs w:val="18"/>
          <w:lang w:val="uz-Cyrl-UZ"/>
        </w:rPr>
        <w:t>The article indicates that</w:t>
      </w:r>
      <w:r>
        <w:rPr>
          <w:iCs/>
          <w:sz w:val="18"/>
          <w:szCs w:val="18"/>
          <w:lang w:val="en-US"/>
        </w:rPr>
        <w:t xml:space="preserve"> </w:t>
      </w:r>
      <w:r w:rsidRPr="00D36A8C">
        <w:rPr>
          <w:iCs/>
          <w:sz w:val="18"/>
          <w:szCs w:val="18"/>
          <w:lang w:val="uz-Cyrl-UZ"/>
        </w:rPr>
        <w:t xml:space="preserve">coordinated </w:t>
      </w:r>
      <w:r w:rsidRPr="006B0022">
        <w:rPr>
          <w:bCs/>
          <w:sz w:val="18"/>
          <w:szCs w:val="18"/>
          <w:lang w:val="en-US"/>
        </w:rPr>
        <w:t>integration of ESS with renewable and conventional generation reduces uncompensated imbalances, improves system stability, decreases losses and defers grid reinforcement investments. Scenario estimates of capacity deficit coverage under different renewable growth trajectories are provided.</w:t>
      </w:r>
    </w:p>
    <w:p w14:paraId="61870707" w14:textId="1ED93274" w:rsidR="008A22AB" w:rsidRPr="00287E0A" w:rsidRDefault="00CA398A" w:rsidP="008E7165">
      <w:pPr>
        <w:spacing w:before="240" w:after="240" w:line="240" w:lineRule="auto"/>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547497E9" w14:textId="38D313AE" w:rsidR="00A8276E" w:rsidRPr="00A8276E" w:rsidRDefault="00A8276E" w:rsidP="00F36125">
      <w:pPr>
        <w:spacing w:before="240" w:after="0" w:line="240" w:lineRule="auto"/>
        <w:ind w:firstLine="284"/>
        <w:jc w:val="both"/>
        <w:rPr>
          <w:rFonts w:ascii="Times New Roman" w:hAnsi="Times New Roman" w:cs="Times New Roman"/>
          <w:bCs/>
          <w:sz w:val="20"/>
          <w:szCs w:val="20"/>
        </w:rPr>
      </w:pPr>
      <w:r w:rsidRPr="00A8276E">
        <w:rPr>
          <w:rFonts w:ascii="Times New Roman" w:hAnsi="Times New Roman" w:cs="Times New Roman"/>
          <w:bCs/>
          <w:sz w:val="20"/>
          <w:szCs w:val="20"/>
        </w:rPr>
        <w:t>The energy security of Central Asian countries is vulnerable to resource and price risks, while accelerated integration of renewable energy sources can simultaneously reduce dependence and increase energy system resilience. In Uzbekistan, approximately 85% of annual electricity generation comes from gas-fired power plants, and the Uzbekistan-2030 strategy aims to increase production to 120 TWh and raise the share of renewable energy to 40% [1]. This shifts the task of integrating solar and wind energy systems from pilot projects to a systematic transformation of networks, operational modes, and market mechanisms.</w:t>
      </w:r>
    </w:p>
    <w:p w14:paraId="275BBB08" w14:textId="77777777" w:rsidR="00A8276E" w:rsidRPr="00C12E09" w:rsidRDefault="00A8276E" w:rsidP="00F36125">
      <w:pPr>
        <w:spacing w:after="0" w:line="240" w:lineRule="auto"/>
        <w:ind w:firstLine="284"/>
        <w:jc w:val="both"/>
        <w:rPr>
          <w:rFonts w:ascii="Times New Roman" w:hAnsi="Times New Roman" w:cs="Times New Roman"/>
          <w:bCs/>
          <w:sz w:val="20"/>
          <w:szCs w:val="20"/>
        </w:rPr>
      </w:pPr>
      <w:r w:rsidRPr="00A8276E">
        <w:rPr>
          <w:rFonts w:ascii="Times New Roman" w:hAnsi="Times New Roman" w:cs="Times New Roman"/>
          <w:bCs/>
          <w:sz w:val="20"/>
          <w:szCs w:val="20"/>
        </w:rPr>
        <w:t>For reliable parallel operation of the region's unified power system, modernization of substations and power lines, implementation of SCADA/EMS, development of emergency control systems, expansion of reserves, and deployment of ESS portfolios are required. Practice shows that without adequate regulation, distributed solar and wind generation leads to voltage fluctuations, frequency deviations, increased forced limitations, and the risk of cascading failures. Therefore, technological integration of renewable energy sources should rely on forecasting, intelligent control, and energy storage as sources of flexibility [2].</w:t>
      </w:r>
    </w:p>
    <w:p w14:paraId="60B75155" w14:textId="77777777" w:rsidR="00A8276E" w:rsidRPr="00C12E09" w:rsidRDefault="00A8276E" w:rsidP="00F36125">
      <w:pPr>
        <w:spacing w:after="240" w:line="240" w:lineRule="auto"/>
        <w:ind w:firstLine="284"/>
        <w:jc w:val="both"/>
        <w:rPr>
          <w:rFonts w:ascii="Times New Roman" w:hAnsi="Times New Roman" w:cs="Times New Roman"/>
          <w:bCs/>
          <w:sz w:val="20"/>
          <w:szCs w:val="20"/>
        </w:rPr>
      </w:pPr>
      <w:r w:rsidRPr="00A8276E">
        <w:rPr>
          <w:rFonts w:ascii="Times New Roman" w:hAnsi="Times New Roman" w:cs="Times New Roman"/>
          <w:bCs/>
          <w:sz w:val="20"/>
          <w:szCs w:val="20"/>
        </w:rPr>
        <w:t>The dynamics of installed capacity in Uzbekistan for 2022–2025 and the structure by source types serve as a starting point for framing the system integration task and can be visualized in a diagram for readers.</w:t>
      </w:r>
    </w:p>
    <w:p w14:paraId="6F060381" w14:textId="77777777" w:rsidR="00F36125" w:rsidRPr="00CC3E55" w:rsidRDefault="00F36125" w:rsidP="00F36125">
      <w:pPr>
        <w:pStyle w:val="Text"/>
        <w:spacing w:after="120" w:line="240" w:lineRule="auto"/>
        <w:ind w:firstLine="0"/>
        <w:jc w:val="center"/>
      </w:pPr>
      <w:r w:rsidRPr="008745D5">
        <w:rPr>
          <w:b/>
          <w:lang w:eastAsia="de-DE"/>
        </w:rPr>
        <w:t>TABLE</w:t>
      </w:r>
      <w:r w:rsidRPr="00CC3E55">
        <w:rPr>
          <w:b/>
          <w:bCs/>
        </w:rPr>
        <w:t xml:space="preserve"> 1.</w:t>
      </w:r>
      <w:r w:rsidRPr="00CC3E55">
        <w:t xml:space="preserve"> Structure of installed capacity of Uzbekistan by generation types and years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51"/>
        <w:gridCol w:w="1671"/>
        <w:gridCol w:w="1387"/>
        <w:gridCol w:w="1530"/>
        <w:gridCol w:w="1464"/>
      </w:tblGrid>
      <w:tr w:rsidR="00F36125" w:rsidRPr="00836288" w14:paraId="3E541D6E" w14:textId="77777777" w:rsidTr="00485568">
        <w:trPr>
          <w:tblHeader/>
          <w:jc w:val="center"/>
        </w:trPr>
        <w:tc>
          <w:tcPr>
            <w:tcW w:w="851" w:type="dxa"/>
            <w:vAlign w:val="center"/>
            <w:hideMark/>
          </w:tcPr>
          <w:p w14:paraId="54C157AF" w14:textId="77777777" w:rsidR="00F36125" w:rsidRPr="00CC3E55" w:rsidRDefault="00F36125" w:rsidP="00485568">
            <w:pPr>
              <w:pStyle w:val="Text"/>
              <w:spacing w:line="240" w:lineRule="auto"/>
              <w:rPr>
                <w:b/>
                <w:bCs/>
              </w:rPr>
            </w:pPr>
            <w:r>
              <w:rPr>
                <w:b/>
                <w:bCs/>
              </w:rPr>
              <w:t>Year</w:t>
            </w:r>
          </w:p>
        </w:tc>
        <w:tc>
          <w:tcPr>
            <w:tcW w:w="1671" w:type="dxa"/>
            <w:vAlign w:val="center"/>
            <w:hideMark/>
          </w:tcPr>
          <w:p w14:paraId="184DBD1A" w14:textId="77777777" w:rsidR="00F36125" w:rsidRPr="00810D0E" w:rsidRDefault="00F36125" w:rsidP="00485568">
            <w:pPr>
              <w:pStyle w:val="Text"/>
              <w:spacing w:line="240" w:lineRule="auto"/>
              <w:rPr>
                <w:b/>
                <w:bCs/>
              </w:rPr>
            </w:pPr>
            <w:r>
              <w:rPr>
                <w:b/>
                <w:bCs/>
              </w:rPr>
              <w:t>TPP</w:t>
            </w:r>
            <w:r w:rsidRPr="00585205">
              <w:rPr>
                <w:lang w:val="ru-RU"/>
              </w:rPr>
              <w:t>,</w:t>
            </w:r>
            <w:r w:rsidRPr="00836288">
              <w:rPr>
                <w:b/>
                <w:bCs/>
                <w:lang w:val="ru-RU"/>
              </w:rPr>
              <w:t xml:space="preserve"> </w:t>
            </w:r>
            <w:r w:rsidRPr="00810D0E">
              <w:t>MW</w:t>
            </w:r>
          </w:p>
        </w:tc>
        <w:tc>
          <w:tcPr>
            <w:tcW w:w="1387" w:type="dxa"/>
            <w:vAlign w:val="center"/>
            <w:hideMark/>
          </w:tcPr>
          <w:p w14:paraId="795C50D4" w14:textId="77777777" w:rsidR="00F36125" w:rsidRPr="00810D0E" w:rsidRDefault="00F36125" w:rsidP="00485568">
            <w:pPr>
              <w:pStyle w:val="Text"/>
              <w:spacing w:line="240" w:lineRule="auto"/>
              <w:rPr>
                <w:b/>
                <w:bCs/>
              </w:rPr>
            </w:pPr>
            <w:r>
              <w:rPr>
                <w:b/>
                <w:bCs/>
              </w:rPr>
              <w:t>HPP</w:t>
            </w:r>
            <w:r w:rsidRPr="00585205">
              <w:rPr>
                <w:lang w:val="ru-RU"/>
              </w:rPr>
              <w:t>,</w:t>
            </w:r>
            <w:r w:rsidRPr="00836288">
              <w:rPr>
                <w:b/>
                <w:bCs/>
                <w:lang w:val="ru-RU"/>
              </w:rPr>
              <w:t xml:space="preserve"> </w:t>
            </w:r>
            <w:r w:rsidRPr="00810D0E">
              <w:t>MW</w:t>
            </w:r>
          </w:p>
        </w:tc>
        <w:tc>
          <w:tcPr>
            <w:tcW w:w="1530" w:type="dxa"/>
            <w:vAlign w:val="center"/>
            <w:hideMark/>
          </w:tcPr>
          <w:p w14:paraId="6595D2AB" w14:textId="77777777" w:rsidR="00F36125" w:rsidRPr="000219F8" w:rsidRDefault="00F36125" w:rsidP="00485568">
            <w:pPr>
              <w:pStyle w:val="Text"/>
              <w:spacing w:line="240" w:lineRule="auto"/>
              <w:rPr>
                <w:b/>
                <w:bCs/>
              </w:rPr>
            </w:pPr>
            <w:r>
              <w:rPr>
                <w:b/>
                <w:bCs/>
              </w:rPr>
              <w:t>SPS</w:t>
            </w:r>
            <w:r w:rsidRPr="00585205">
              <w:rPr>
                <w:lang w:val="ru-RU"/>
              </w:rPr>
              <w:t>,</w:t>
            </w:r>
            <w:r w:rsidRPr="00836288">
              <w:rPr>
                <w:b/>
                <w:bCs/>
                <w:lang w:val="ru-RU"/>
              </w:rPr>
              <w:t xml:space="preserve"> </w:t>
            </w:r>
            <w:r w:rsidRPr="000219F8">
              <w:t>MW</w:t>
            </w:r>
          </w:p>
        </w:tc>
        <w:tc>
          <w:tcPr>
            <w:tcW w:w="1464" w:type="dxa"/>
            <w:vAlign w:val="center"/>
            <w:hideMark/>
          </w:tcPr>
          <w:p w14:paraId="3FBFDB7D" w14:textId="77777777" w:rsidR="00F36125" w:rsidRPr="000219F8" w:rsidRDefault="00F36125" w:rsidP="00485568">
            <w:pPr>
              <w:pStyle w:val="Text"/>
              <w:spacing w:line="240" w:lineRule="auto"/>
              <w:rPr>
                <w:b/>
                <w:bCs/>
              </w:rPr>
            </w:pPr>
            <w:r>
              <w:rPr>
                <w:b/>
                <w:bCs/>
              </w:rPr>
              <w:t>WPS</w:t>
            </w:r>
            <w:r w:rsidRPr="00585205">
              <w:rPr>
                <w:lang w:val="ru-RU"/>
              </w:rPr>
              <w:t xml:space="preserve">, </w:t>
            </w:r>
            <w:r w:rsidRPr="00585205">
              <w:t>MW</w:t>
            </w:r>
          </w:p>
        </w:tc>
      </w:tr>
      <w:tr w:rsidR="00F36125" w:rsidRPr="00836288" w14:paraId="22A78E34" w14:textId="77777777" w:rsidTr="00485568">
        <w:trPr>
          <w:jc w:val="center"/>
        </w:trPr>
        <w:tc>
          <w:tcPr>
            <w:tcW w:w="851" w:type="dxa"/>
            <w:vAlign w:val="center"/>
            <w:hideMark/>
          </w:tcPr>
          <w:p w14:paraId="3BF9E8B1" w14:textId="77777777" w:rsidR="00F36125" w:rsidRPr="00836288" w:rsidRDefault="00F36125" w:rsidP="00485568">
            <w:pPr>
              <w:pStyle w:val="Text"/>
              <w:spacing w:line="240" w:lineRule="auto"/>
              <w:rPr>
                <w:lang w:val="ru-RU"/>
              </w:rPr>
            </w:pPr>
            <w:r w:rsidRPr="00836288">
              <w:rPr>
                <w:lang w:val="ru-RU"/>
              </w:rPr>
              <w:t>2022</w:t>
            </w:r>
          </w:p>
        </w:tc>
        <w:tc>
          <w:tcPr>
            <w:tcW w:w="1671" w:type="dxa"/>
            <w:vAlign w:val="center"/>
            <w:hideMark/>
          </w:tcPr>
          <w:p w14:paraId="7D609F12" w14:textId="77777777" w:rsidR="00F36125" w:rsidRPr="00836288" w:rsidRDefault="00F36125" w:rsidP="00485568">
            <w:pPr>
              <w:pStyle w:val="Text"/>
              <w:spacing w:line="240" w:lineRule="auto"/>
              <w:ind w:firstLine="53"/>
              <w:jc w:val="center"/>
              <w:rPr>
                <w:lang w:val="ru-RU"/>
              </w:rPr>
            </w:pPr>
            <w:r w:rsidRPr="00836288">
              <w:rPr>
                <w:lang w:val="ru-RU"/>
              </w:rPr>
              <w:t>14915</w:t>
            </w:r>
          </w:p>
        </w:tc>
        <w:tc>
          <w:tcPr>
            <w:tcW w:w="1387" w:type="dxa"/>
            <w:vAlign w:val="center"/>
            <w:hideMark/>
          </w:tcPr>
          <w:p w14:paraId="7EC36E65" w14:textId="77777777" w:rsidR="00F36125" w:rsidRPr="00836288" w:rsidRDefault="00F36125" w:rsidP="00485568">
            <w:pPr>
              <w:pStyle w:val="Text"/>
              <w:spacing w:line="240" w:lineRule="auto"/>
              <w:ind w:firstLine="54"/>
              <w:jc w:val="center"/>
              <w:rPr>
                <w:lang w:val="ru-RU"/>
              </w:rPr>
            </w:pPr>
            <w:r w:rsidRPr="00836288">
              <w:rPr>
                <w:lang w:val="ru-RU"/>
              </w:rPr>
              <w:t>2033</w:t>
            </w:r>
          </w:p>
        </w:tc>
        <w:tc>
          <w:tcPr>
            <w:tcW w:w="1530" w:type="dxa"/>
            <w:vAlign w:val="center"/>
            <w:hideMark/>
          </w:tcPr>
          <w:p w14:paraId="2A6F1872" w14:textId="77777777" w:rsidR="00F36125" w:rsidRPr="00836288" w:rsidRDefault="00F36125" w:rsidP="00485568">
            <w:pPr>
              <w:pStyle w:val="Text"/>
              <w:spacing w:line="240" w:lineRule="auto"/>
              <w:ind w:firstLine="51"/>
              <w:jc w:val="center"/>
              <w:rPr>
                <w:lang w:val="ru-RU"/>
              </w:rPr>
            </w:pPr>
            <w:r w:rsidRPr="00836288">
              <w:rPr>
                <w:lang w:val="ru-RU"/>
              </w:rPr>
              <w:t>100</w:t>
            </w:r>
          </w:p>
        </w:tc>
        <w:tc>
          <w:tcPr>
            <w:tcW w:w="1464" w:type="dxa"/>
            <w:vAlign w:val="center"/>
            <w:hideMark/>
          </w:tcPr>
          <w:p w14:paraId="03099BB8" w14:textId="77777777" w:rsidR="00F36125" w:rsidRPr="00836288" w:rsidRDefault="00F36125" w:rsidP="00485568">
            <w:pPr>
              <w:pStyle w:val="Text"/>
              <w:spacing w:line="240" w:lineRule="auto"/>
              <w:ind w:firstLine="50"/>
              <w:jc w:val="center"/>
              <w:rPr>
                <w:lang w:val="ru-RU"/>
              </w:rPr>
            </w:pPr>
            <w:r w:rsidRPr="00836288">
              <w:rPr>
                <w:lang w:val="ru-RU"/>
              </w:rPr>
              <w:t>0</w:t>
            </w:r>
          </w:p>
        </w:tc>
      </w:tr>
      <w:tr w:rsidR="00F36125" w:rsidRPr="00836288" w14:paraId="694C34DC" w14:textId="77777777" w:rsidTr="00485568">
        <w:trPr>
          <w:jc w:val="center"/>
        </w:trPr>
        <w:tc>
          <w:tcPr>
            <w:tcW w:w="851" w:type="dxa"/>
            <w:vAlign w:val="center"/>
            <w:hideMark/>
          </w:tcPr>
          <w:p w14:paraId="110728C1" w14:textId="77777777" w:rsidR="00F36125" w:rsidRPr="00836288" w:rsidRDefault="00F36125" w:rsidP="00485568">
            <w:pPr>
              <w:pStyle w:val="Text"/>
              <w:spacing w:line="240" w:lineRule="auto"/>
              <w:rPr>
                <w:lang w:val="ru-RU"/>
              </w:rPr>
            </w:pPr>
            <w:r w:rsidRPr="00836288">
              <w:rPr>
                <w:lang w:val="ru-RU"/>
              </w:rPr>
              <w:t>2024</w:t>
            </w:r>
          </w:p>
        </w:tc>
        <w:tc>
          <w:tcPr>
            <w:tcW w:w="1671" w:type="dxa"/>
            <w:vAlign w:val="center"/>
            <w:hideMark/>
          </w:tcPr>
          <w:p w14:paraId="5AB31FA5" w14:textId="77777777" w:rsidR="00F36125" w:rsidRPr="00836288" w:rsidRDefault="00F36125" w:rsidP="00485568">
            <w:pPr>
              <w:pStyle w:val="Text"/>
              <w:spacing w:line="240" w:lineRule="auto"/>
              <w:ind w:firstLine="53"/>
              <w:jc w:val="center"/>
              <w:rPr>
                <w:lang w:val="ru-RU"/>
              </w:rPr>
            </w:pPr>
            <w:r w:rsidRPr="00836288">
              <w:rPr>
                <w:lang w:val="ru-RU"/>
              </w:rPr>
              <w:t>17568</w:t>
            </w:r>
          </w:p>
        </w:tc>
        <w:tc>
          <w:tcPr>
            <w:tcW w:w="1387" w:type="dxa"/>
            <w:vAlign w:val="center"/>
            <w:hideMark/>
          </w:tcPr>
          <w:p w14:paraId="24D1EB3D" w14:textId="77777777" w:rsidR="00F36125" w:rsidRPr="00836288" w:rsidRDefault="00F36125" w:rsidP="00485568">
            <w:pPr>
              <w:pStyle w:val="Text"/>
              <w:spacing w:line="240" w:lineRule="auto"/>
              <w:ind w:firstLine="54"/>
              <w:jc w:val="center"/>
              <w:rPr>
                <w:lang w:val="ru-RU"/>
              </w:rPr>
            </w:pPr>
            <w:r w:rsidRPr="00836288">
              <w:rPr>
                <w:lang w:val="ru-RU"/>
              </w:rPr>
              <w:t>4067</w:t>
            </w:r>
          </w:p>
        </w:tc>
        <w:tc>
          <w:tcPr>
            <w:tcW w:w="1530" w:type="dxa"/>
            <w:vAlign w:val="center"/>
            <w:hideMark/>
          </w:tcPr>
          <w:p w14:paraId="243A4506" w14:textId="77777777" w:rsidR="00F36125" w:rsidRPr="00836288" w:rsidRDefault="00F36125" w:rsidP="00485568">
            <w:pPr>
              <w:pStyle w:val="Text"/>
              <w:spacing w:line="240" w:lineRule="auto"/>
              <w:ind w:firstLine="51"/>
              <w:jc w:val="center"/>
              <w:rPr>
                <w:lang w:val="ru-RU"/>
              </w:rPr>
            </w:pPr>
            <w:r w:rsidRPr="00836288">
              <w:rPr>
                <w:lang w:val="ru-RU"/>
              </w:rPr>
              <w:t>300</w:t>
            </w:r>
          </w:p>
        </w:tc>
        <w:tc>
          <w:tcPr>
            <w:tcW w:w="1464" w:type="dxa"/>
            <w:vAlign w:val="center"/>
            <w:hideMark/>
          </w:tcPr>
          <w:p w14:paraId="6A76C40E" w14:textId="77777777" w:rsidR="00F36125" w:rsidRPr="00836288" w:rsidRDefault="00F36125" w:rsidP="00485568">
            <w:pPr>
              <w:pStyle w:val="Text"/>
              <w:spacing w:line="240" w:lineRule="auto"/>
              <w:ind w:firstLine="50"/>
              <w:jc w:val="center"/>
              <w:rPr>
                <w:lang w:val="ru-RU"/>
              </w:rPr>
            </w:pPr>
            <w:r w:rsidRPr="00836288">
              <w:rPr>
                <w:lang w:val="ru-RU"/>
              </w:rPr>
              <w:t>2247</w:t>
            </w:r>
          </w:p>
        </w:tc>
      </w:tr>
    </w:tbl>
    <w:p w14:paraId="76D50B9B" w14:textId="746138F6" w:rsidR="00A8276E" w:rsidRPr="00C12E09" w:rsidRDefault="00A8276E" w:rsidP="00F36125">
      <w:pPr>
        <w:spacing w:before="240" w:after="0" w:line="240" w:lineRule="auto"/>
        <w:ind w:firstLine="284"/>
        <w:jc w:val="both"/>
        <w:rPr>
          <w:rFonts w:ascii="Times New Roman" w:hAnsi="Times New Roman" w:cs="Times New Roman"/>
          <w:bCs/>
          <w:sz w:val="20"/>
          <w:szCs w:val="20"/>
        </w:rPr>
      </w:pPr>
      <w:r w:rsidRPr="00A8276E">
        <w:rPr>
          <w:rFonts w:ascii="Times New Roman" w:hAnsi="Times New Roman" w:cs="Times New Roman"/>
          <w:bCs/>
          <w:sz w:val="20"/>
          <w:szCs w:val="20"/>
        </w:rPr>
        <w:t xml:space="preserve">The historical context emphasizes the importance of inter-system coordination. The transition to energy self-balancing after 1991 weakened the advantages of the Central Asian Unified Power System (UPS), narrowed the scope </w:t>
      </w:r>
      <w:r w:rsidRPr="00A8276E">
        <w:rPr>
          <w:rFonts w:ascii="Times New Roman" w:hAnsi="Times New Roman" w:cs="Times New Roman"/>
          <w:bCs/>
          <w:sz w:val="20"/>
          <w:szCs w:val="20"/>
        </w:rPr>
        <w:lastRenderedPageBreak/>
        <w:t>for mutual assistance, and increased sensitivity to major disturbances. The system-wide failure on 25 January 2022 demonstrated the vulnerability of transit routes during significant imbalances and lack of flexibility [2, 3].</w:t>
      </w:r>
    </w:p>
    <w:p w14:paraId="37742957" w14:textId="6F4DE5E0" w:rsidR="00A8276E" w:rsidRPr="00A8276E" w:rsidRDefault="00A8276E" w:rsidP="00A8276E">
      <w:pPr>
        <w:spacing w:after="0" w:line="240" w:lineRule="auto"/>
        <w:ind w:firstLine="284"/>
        <w:jc w:val="both"/>
        <w:rPr>
          <w:rFonts w:ascii="Times New Roman" w:hAnsi="Times New Roman" w:cs="Times New Roman"/>
          <w:bCs/>
          <w:sz w:val="20"/>
          <w:szCs w:val="20"/>
        </w:rPr>
      </w:pPr>
      <w:r w:rsidRPr="00A8276E">
        <w:rPr>
          <w:rFonts w:ascii="Times New Roman" w:hAnsi="Times New Roman" w:cs="Times New Roman"/>
          <w:bCs/>
          <w:sz w:val="20"/>
          <w:szCs w:val="20"/>
        </w:rPr>
        <w:t>Population and economic growth, rapid introduction of renewable energy sources, and limited maneuverability of thermal generation are creating a chronic shortage of flexible capacity. This is being addressed through a combination of reserves, ESS, and targeted network reinforcements [2, 3]. The geography and scope of renewable energy plans in the Central Asian UPS countries up to 2030 define initial "hot spots" of network integration.</w:t>
      </w:r>
    </w:p>
    <w:p w14:paraId="79DC6BF1" w14:textId="77777777" w:rsidR="00F36125" w:rsidRPr="008C280E" w:rsidRDefault="00F36125" w:rsidP="00C067B6">
      <w:pPr>
        <w:pStyle w:val="Text"/>
        <w:spacing w:before="240" w:after="120" w:line="240" w:lineRule="auto"/>
        <w:ind w:firstLine="0"/>
        <w:jc w:val="center"/>
      </w:pPr>
      <w:r w:rsidRPr="008745D5">
        <w:rPr>
          <w:b/>
          <w:lang w:eastAsia="de-DE"/>
        </w:rPr>
        <w:t>TABLE</w:t>
      </w:r>
      <w:r w:rsidRPr="008C280E">
        <w:rPr>
          <w:b/>
          <w:bCs/>
        </w:rPr>
        <w:t xml:space="preserve"> 2.</w:t>
      </w:r>
      <w:r w:rsidRPr="008C280E">
        <w:t xml:space="preserve"> Solar and wind power projects in the Central Asian IPS countries by 2030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1"/>
        <w:gridCol w:w="1530"/>
        <w:gridCol w:w="1387"/>
        <w:gridCol w:w="1529"/>
        <w:gridCol w:w="1798"/>
      </w:tblGrid>
      <w:tr w:rsidR="00F36125" w:rsidRPr="00634DFB" w14:paraId="0A1EEE7F" w14:textId="77777777" w:rsidTr="00485568">
        <w:trPr>
          <w:tblHeader/>
          <w:jc w:val="center"/>
        </w:trPr>
        <w:tc>
          <w:tcPr>
            <w:tcW w:w="1701" w:type="dxa"/>
            <w:vAlign w:val="center"/>
            <w:hideMark/>
          </w:tcPr>
          <w:p w14:paraId="1825EBD2" w14:textId="77777777" w:rsidR="00F36125" w:rsidRPr="00634DFB" w:rsidRDefault="00F36125" w:rsidP="00485568">
            <w:pPr>
              <w:pStyle w:val="Text"/>
              <w:spacing w:line="240" w:lineRule="auto"/>
              <w:rPr>
                <w:b/>
                <w:bCs/>
                <w:sz w:val="18"/>
                <w:szCs w:val="18"/>
              </w:rPr>
            </w:pPr>
            <w:r w:rsidRPr="00634DFB">
              <w:rPr>
                <w:b/>
                <w:bCs/>
                <w:sz w:val="18"/>
                <w:szCs w:val="18"/>
              </w:rPr>
              <w:t>Country</w:t>
            </w:r>
          </w:p>
        </w:tc>
        <w:tc>
          <w:tcPr>
            <w:tcW w:w="1530" w:type="dxa"/>
            <w:vAlign w:val="center"/>
            <w:hideMark/>
          </w:tcPr>
          <w:p w14:paraId="01D4A718" w14:textId="77777777" w:rsidR="00F36125" w:rsidRPr="00634DFB" w:rsidRDefault="00F36125" w:rsidP="00485568">
            <w:pPr>
              <w:pStyle w:val="Text"/>
              <w:spacing w:line="240" w:lineRule="auto"/>
              <w:rPr>
                <w:b/>
                <w:bCs/>
                <w:sz w:val="18"/>
                <w:szCs w:val="18"/>
              </w:rPr>
            </w:pPr>
            <w:r w:rsidRPr="00634DFB">
              <w:rPr>
                <w:b/>
                <w:bCs/>
                <w:sz w:val="18"/>
                <w:szCs w:val="18"/>
              </w:rPr>
              <w:t>Uzbekistan</w:t>
            </w:r>
          </w:p>
        </w:tc>
        <w:tc>
          <w:tcPr>
            <w:tcW w:w="1387" w:type="dxa"/>
            <w:vAlign w:val="center"/>
            <w:hideMark/>
          </w:tcPr>
          <w:p w14:paraId="561AE1FD" w14:textId="77777777" w:rsidR="00F36125" w:rsidRPr="00634DFB" w:rsidRDefault="00F36125" w:rsidP="00485568">
            <w:pPr>
              <w:pStyle w:val="Text"/>
              <w:spacing w:line="240" w:lineRule="auto"/>
              <w:rPr>
                <w:b/>
                <w:bCs/>
                <w:sz w:val="18"/>
                <w:szCs w:val="18"/>
              </w:rPr>
            </w:pPr>
            <w:proofErr w:type="spellStart"/>
            <w:r w:rsidRPr="00634DFB">
              <w:rPr>
                <w:b/>
                <w:bCs/>
                <w:sz w:val="18"/>
                <w:szCs w:val="18"/>
              </w:rPr>
              <w:t>Kazahstan</w:t>
            </w:r>
            <w:proofErr w:type="spellEnd"/>
          </w:p>
        </w:tc>
        <w:tc>
          <w:tcPr>
            <w:tcW w:w="1529" w:type="dxa"/>
            <w:vAlign w:val="center"/>
            <w:hideMark/>
          </w:tcPr>
          <w:p w14:paraId="605C8F70" w14:textId="77777777" w:rsidR="00F36125" w:rsidRPr="00634DFB" w:rsidRDefault="00F36125" w:rsidP="00485568">
            <w:pPr>
              <w:pStyle w:val="Text"/>
              <w:spacing w:line="240" w:lineRule="auto"/>
              <w:rPr>
                <w:b/>
                <w:bCs/>
                <w:sz w:val="18"/>
                <w:szCs w:val="18"/>
              </w:rPr>
            </w:pPr>
            <w:r w:rsidRPr="00634DFB">
              <w:rPr>
                <w:b/>
                <w:bCs/>
                <w:sz w:val="18"/>
                <w:szCs w:val="18"/>
              </w:rPr>
              <w:t>Kirgizstan</w:t>
            </w:r>
          </w:p>
        </w:tc>
        <w:tc>
          <w:tcPr>
            <w:tcW w:w="1798" w:type="dxa"/>
            <w:vAlign w:val="center"/>
            <w:hideMark/>
          </w:tcPr>
          <w:p w14:paraId="59F79513" w14:textId="77777777" w:rsidR="00F36125" w:rsidRPr="00634DFB" w:rsidRDefault="00F36125" w:rsidP="00485568">
            <w:pPr>
              <w:pStyle w:val="Text"/>
              <w:spacing w:line="240" w:lineRule="auto"/>
              <w:rPr>
                <w:b/>
                <w:bCs/>
                <w:sz w:val="18"/>
                <w:szCs w:val="18"/>
              </w:rPr>
            </w:pPr>
            <w:proofErr w:type="spellStart"/>
            <w:r w:rsidRPr="00634DFB">
              <w:rPr>
                <w:b/>
                <w:bCs/>
                <w:sz w:val="18"/>
                <w:szCs w:val="18"/>
              </w:rPr>
              <w:t>Tadjikistan</w:t>
            </w:r>
            <w:proofErr w:type="spellEnd"/>
          </w:p>
        </w:tc>
      </w:tr>
      <w:tr w:rsidR="00F36125" w:rsidRPr="00634DFB" w14:paraId="45F8853D" w14:textId="77777777" w:rsidTr="00485568">
        <w:trPr>
          <w:jc w:val="center"/>
        </w:trPr>
        <w:tc>
          <w:tcPr>
            <w:tcW w:w="1701" w:type="dxa"/>
            <w:vAlign w:val="center"/>
            <w:hideMark/>
          </w:tcPr>
          <w:p w14:paraId="5FB02386" w14:textId="77777777" w:rsidR="00F36125" w:rsidRPr="00634DFB" w:rsidRDefault="00F36125" w:rsidP="00485568">
            <w:pPr>
              <w:pStyle w:val="Text"/>
              <w:spacing w:line="240" w:lineRule="auto"/>
              <w:rPr>
                <w:sz w:val="18"/>
                <w:szCs w:val="18"/>
              </w:rPr>
            </w:pPr>
            <w:r w:rsidRPr="00634DFB">
              <w:rPr>
                <w:sz w:val="18"/>
                <w:szCs w:val="18"/>
              </w:rPr>
              <w:t>Power</w:t>
            </w:r>
            <w:r w:rsidRPr="00634DFB">
              <w:rPr>
                <w:sz w:val="18"/>
                <w:szCs w:val="18"/>
                <w:lang w:val="ru-RU"/>
              </w:rPr>
              <w:t xml:space="preserve">, </w:t>
            </w:r>
            <w:r w:rsidRPr="00634DFB">
              <w:rPr>
                <w:sz w:val="18"/>
                <w:szCs w:val="18"/>
              </w:rPr>
              <w:t>MW</w:t>
            </w:r>
          </w:p>
        </w:tc>
        <w:tc>
          <w:tcPr>
            <w:tcW w:w="1530" w:type="dxa"/>
            <w:vAlign w:val="center"/>
            <w:hideMark/>
          </w:tcPr>
          <w:p w14:paraId="034FBE06" w14:textId="77777777" w:rsidR="00F36125" w:rsidRPr="00634DFB" w:rsidRDefault="00F36125" w:rsidP="00485568">
            <w:pPr>
              <w:pStyle w:val="Text"/>
              <w:spacing w:line="240" w:lineRule="auto"/>
              <w:ind w:firstLine="53"/>
              <w:jc w:val="center"/>
              <w:rPr>
                <w:sz w:val="18"/>
                <w:szCs w:val="18"/>
                <w:lang w:val="ru-RU"/>
              </w:rPr>
            </w:pPr>
            <w:r w:rsidRPr="00634DFB">
              <w:rPr>
                <w:sz w:val="18"/>
                <w:szCs w:val="18"/>
                <w:lang w:val="ru-RU"/>
              </w:rPr>
              <w:t>6500</w:t>
            </w:r>
          </w:p>
        </w:tc>
        <w:tc>
          <w:tcPr>
            <w:tcW w:w="1387" w:type="dxa"/>
            <w:vAlign w:val="center"/>
            <w:hideMark/>
          </w:tcPr>
          <w:p w14:paraId="2539A6B3" w14:textId="77777777" w:rsidR="00F36125" w:rsidRPr="00634DFB" w:rsidRDefault="00F36125" w:rsidP="00485568">
            <w:pPr>
              <w:pStyle w:val="Text"/>
              <w:spacing w:line="240" w:lineRule="auto"/>
              <w:ind w:firstLine="52"/>
              <w:jc w:val="center"/>
              <w:rPr>
                <w:sz w:val="18"/>
                <w:szCs w:val="18"/>
                <w:lang w:val="ru-RU"/>
              </w:rPr>
            </w:pPr>
            <w:r w:rsidRPr="00634DFB">
              <w:rPr>
                <w:sz w:val="18"/>
                <w:szCs w:val="18"/>
                <w:lang w:val="ru-RU"/>
              </w:rPr>
              <w:t>3000</w:t>
            </w:r>
          </w:p>
        </w:tc>
        <w:tc>
          <w:tcPr>
            <w:tcW w:w="1529" w:type="dxa"/>
            <w:vAlign w:val="center"/>
            <w:hideMark/>
          </w:tcPr>
          <w:p w14:paraId="2FBCF58D" w14:textId="77777777" w:rsidR="00F36125" w:rsidRPr="00634DFB" w:rsidRDefault="00F36125" w:rsidP="00485568">
            <w:pPr>
              <w:pStyle w:val="Text"/>
              <w:spacing w:line="240" w:lineRule="auto"/>
              <w:ind w:firstLine="50"/>
              <w:jc w:val="center"/>
              <w:rPr>
                <w:sz w:val="18"/>
                <w:szCs w:val="18"/>
                <w:lang w:val="ru-RU"/>
              </w:rPr>
            </w:pPr>
            <w:r w:rsidRPr="00634DFB">
              <w:rPr>
                <w:sz w:val="18"/>
                <w:szCs w:val="18"/>
                <w:lang w:val="ru-RU"/>
              </w:rPr>
              <w:t>1000</w:t>
            </w:r>
          </w:p>
        </w:tc>
        <w:tc>
          <w:tcPr>
            <w:tcW w:w="1798" w:type="dxa"/>
            <w:vAlign w:val="center"/>
            <w:hideMark/>
          </w:tcPr>
          <w:p w14:paraId="7F24E880" w14:textId="77777777" w:rsidR="00F36125" w:rsidRPr="00634DFB" w:rsidRDefault="00F36125" w:rsidP="00485568">
            <w:pPr>
              <w:pStyle w:val="Text"/>
              <w:spacing w:line="240" w:lineRule="auto"/>
              <w:ind w:firstLine="49"/>
              <w:jc w:val="center"/>
              <w:rPr>
                <w:sz w:val="18"/>
                <w:szCs w:val="18"/>
                <w:lang w:val="ru-RU"/>
              </w:rPr>
            </w:pPr>
            <w:r w:rsidRPr="00634DFB">
              <w:rPr>
                <w:sz w:val="18"/>
                <w:szCs w:val="18"/>
                <w:lang w:val="ru-RU"/>
              </w:rPr>
              <w:t>200</w:t>
            </w:r>
          </w:p>
        </w:tc>
      </w:tr>
    </w:tbl>
    <w:p w14:paraId="1CCF9436" w14:textId="77777777" w:rsidR="00F52CFC" w:rsidRPr="00F52CFC" w:rsidRDefault="00F52CFC" w:rsidP="00F52CFC">
      <w:pPr>
        <w:spacing w:before="240" w:after="0" w:line="240" w:lineRule="auto"/>
        <w:ind w:firstLine="284"/>
        <w:jc w:val="both"/>
        <w:rPr>
          <w:rFonts w:ascii="Times New Roman" w:hAnsi="Times New Roman" w:cs="Times New Roman"/>
          <w:bCs/>
          <w:sz w:val="20"/>
          <w:szCs w:val="20"/>
        </w:rPr>
      </w:pPr>
      <w:r w:rsidRPr="00F52CFC">
        <w:rPr>
          <w:rFonts w:ascii="Times New Roman" w:hAnsi="Times New Roman" w:cs="Times New Roman"/>
          <w:bCs/>
          <w:sz w:val="20"/>
          <w:szCs w:val="20"/>
        </w:rPr>
        <w:t>High rates of renewable energy integration without synchronous flexibility growth create daily imbalances and increase accident risks, especially in narrow intersystem connections. The region needs a market mechanism that stimulates the deployment of ESS and mobile maneuverable capacities to cover primary, secondary, and tertiary reserves.</w:t>
      </w:r>
    </w:p>
    <w:p w14:paraId="7100EBA8" w14:textId="77777777" w:rsidR="00F52CFC" w:rsidRPr="00C12E09" w:rsidRDefault="00F52CFC" w:rsidP="00F52CFC">
      <w:pPr>
        <w:spacing w:after="0" w:line="240" w:lineRule="auto"/>
        <w:ind w:firstLine="284"/>
        <w:jc w:val="both"/>
        <w:rPr>
          <w:rFonts w:ascii="Times New Roman" w:hAnsi="Times New Roman" w:cs="Times New Roman"/>
          <w:bCs/>
          <w:sz w:val="20"/>
          <w:szCs w:val="20"/>
        </w:rPr>
      </w:pPr>
      <w:r w:rsidRPr="00F52CFC">
        <w:rPr>
          <w:rFonts w:ascii="Times New Roman" w:hAnsi="Times New Roman" w:cs="Times New Roman"/>
          <w:bCs/>
          <w:sz w:val="20"/>
          <w:szCs w:val="20"/>
        </w:rPr>
        <w:t>International experience illustrates both extremes. A quick response from a large battery in South Australia (</w:t>
      </w:r>
      <w:proofErr w:type="spellStart"/>
      <w:r w:rsidRPr="00F52CFC">
        <w:rPr>
          <w:rFonts w:ascii="Times New Roman" w:hAnsi="Times New Roman" w:cs="Times New Roman"/>
          <w:bCs/>
          <w:sz w:val="20"/>
          <w:szCs w:val="20"/>
        </w:rPr>
        <w:t>Hornsdale</w:t>
      </w:r>
      <w:proofErr w:type="spellEnd"/>
      <w:r w:rsidRPr="00F52CFC">
        <w:rPr>
          <w:rFonts w:ascii="Times New Roman" w:hAnsi="Times New Roman" w:cs="Times New Roman"/>
          <w:bCs/>
          <w:sz w:val="20"/>
          <w:szCs w:val="20"/>
        </w:rPr>
        <w:t xml:space="preserve">) stabilized frequency and reduced system costs in its first year of operation [13]. </w:t>
      </w:r>
    </w:p>
    <w:p w14:paraId="62759DA1" w14:textId="66FC1D67" w:rsidR="00F52CFC" w:rsidRPr="00F52CFC" w:rsidRDefault="00F52CFC" w:rsidP="00F52CFC">
      <w:pPr>
        <w:spacing w:after="0" w:line="240" w:lineRule="auto"/>
        <w:ind w:firstLine="284"/>
        <w:jc w:val="both"/>
        <w:rPr>
          <w:rFonts w:ascii="Times New Roman" w:hAnsi="Times New Roman" w:cs="Times New Roman"/>
          <w:bCs/>
          <w:sz w:val="20"/>
          <w:szCs w:val="20"/>
        </w:rPr>
      </w:pPr>
      <w:r w:rsidRPr="00F52CFC">
        <w:rPr>
          <w:rFonts w:ascii="Times New Roman" w:hAnsi="Times New Roman" w:cs="Times New Roman"/>
          <w:bCs/>
          <w:sz w:val="20"/>
          <w:szCs w:val="20"/>
        </w:rPr>
        <w:t>Conversely, excessive wind and solar generation without sufficient reserves and storage led to power imbalances and large-scale disconnections, highlighting the sensitivity of high renewable shares to flexibility deficits [5].</w:t>
      </w:r>
    </w:p>
    <w:p w14:paraId="552D044D" w14:textId="77777777" w:rsidR="00F52CFC" w:rsidRPr="00F52CFC" w:rsidRDefault="00F52CFC" w:rsidP="00F52CFC">
      <w:pPr>
        <w:spacing w:after="0" w:line="240" w:lineRule="auto"/>
        <w:ind w:firstLine="284"/>
        <w:jc w:val="both"/>
        <w:rPr>
          <w:rFonts w:ascii="Times New Roman" w:hAnsi="Times New Roman" w:cs="Times New Roman"/>
          <w:bCs/>
          <w:sz w:val="20"/>
          <w:szCs w:val="20"/>
        </w:rPr>
      </w:pPr>
      <w:r w:rsidRPr="00F52CFC">
        <w:rPr>
          <w:rFonts w:ascii="Times New Roman" w:hAnsi="Times New Roman" w:cs="Times New Roman"/>
          <w:bCs/>
          <w:sz w:val="20"/>
          <w:szCs w:val="20"/>
        </w:rPr>
        <w:t>Uzbekistan's installed capacity increased from 17,048 MW in 2022 to 24,182 MW in 2024 and is expected to reach 29,479 MW by the end of 2025, making system integration and management top priorities. The scientific problem is the justification of a flexibility architecture for the Central Asian UPS under accelerated renewable energy growth. The research gap lies in the lack of scenario estimates for ESS portfolios, considering network limitations, gas generation, and intersystem flows, and the absence of a coordinated reserve mechanism linked to development planning [2, 3, 4].</w:t>
      </w:r>
    </w:p>
    <w:p w14:paraId="3B0ADD82" w14:textId="77777777" w:rsidR="00F52CFC" w:rsidRPr="00F52CFC" w:rsidRDefault="00F52CFC" w:rsidP="00F52CFC">
      <w:pPr>
        <w:spacing w:after="0" w:line="240" w:lineRule="auto"/>
        <w:ind w:firstLine="284"/>
        <w:jc w:val="both"/>
        <w:rPr>
          <w:rFonts w:ascii="Times New Roman" w:hAnsi="Times New Roman" w:cs="Times New Roman"/>
          <w:bCs/>
          <w:sz w:val="20"/>
          <w:szCs w:val="20"/>
        </w:rPr>
      </w:pPr>
      <w:r w:rsidRPr="00F52CFC">
        <w:rPr>
          <w:rFonts w:ascii="Times New Roman" w:hAnsi="Times New Roman" w:cs="Times New Roman"/>
          <w:bCs/>
          <w:sz w:val="20"/>
          <w:szCs w:val="20"/>
        </w:rPr>
        <w:t>The research questions are formulated as follows: which energy storage configurations and scales minimize uncompensated imbalances with targeted renewable energy shares; how to combine storage location with network bottlenecks and intersystem cross-sections; what requirements for response speed and discharge duration are necessary to ensure frequency and voltage stability in the operational horizon; what design of the regional reserve and imbalance compensation market economically stimulates flexibility without increasing systemic risks [2, 3, 4].</w:t>
      </w:r>
    </w:p>
    <w:p w14:paraId="2AE08E68" w14:textId="77777777" w:rsidR="00F52CFC" w:rsidRPr="00F52CFC" w:rsidRDefault="00F52CFC" w:rsidP="00F52CFC">
      <w:pPr>
        <w:spacing w:after="0" w:line="240" w:lineRule="auto"/>
        <w:ind w:firstLine="284"/>
        <w:jc w:val="both"/>
        <w:rPr>
          <w:rFonts w:ascii="Times New Roman" w:hAnsi="Times New Roman" w:cs="Times New Roman"/>
          <w:bCs/>
          <w:sz w:val="20"/>
          <w:szCs w:val="20"/>
        </w:rPr>
      </w:pPr>
      <w:r w:rsidRPr="00F52CFC">
        <w:rPr>
          <w:rFonts w:ascii="Times New Roman" w:hAnsi="Times New Roman" w:cs="Times New Roman"/>
          <w:bCs/>
          <w:sz w:val="20"/>
          <w:szCs w:val="20"/>
        </w:rPr>
        <w:t>The results of the article aim to create an evidence base for the development plans of the Central Asian Unified Power System, where energy storage facilities act as a central tool for sustainability, reliability, and cost-effectiveness of energy supply while achieving renewable energy targets.</w:t>
      </w:r>
    </w:p>
    <w:p w14:paraId="053B5E59" w14:textId="522B9523" w:rsidR="00F36125" w:rsidRPr="00634DFB" w:rsidRDefault="008E7165" w:rsidP="008E7165">
      <w:pPr>
        <w:spacing w:before="240" w:after="240" w:line="240" w:lineRule="auto"/>
        <w:jc w:val="center"/>
        <w:rPr>
          <w:rFonts w:ascii="Times New Roman" w:hAnsi="Times New Roman" w:cs="Times New Roman"/>
          <w:b/>
          <w:sz w:val="24"/>
          <w:szCs w:val="24"/>
        </w:rPr>
      </w:pPr>
      <w:r w:rsidRPr="00634DFB">
        <w:rPr>
          <w:rFonts w:ascii="Times New Roman" w:hAnsi="Times New Roman" w:cs="Times New Roman"/>
          <w:b/>
          <w:sz w:val="24"/>
          <w:szCs w:val="24"/>
        </w:rPr>
        <w:t>METHODS AND MATERIALS</w:t>
      </w:r>
    </w:p>
    <w:p w14:paraId="15464872" w14:textId="77777777" w:rsidR="00F52CFC" w:rsidRPr="00F52CFC" w:rsidRDefault="00F52CFC" w:rsidP="00F52CFC">
      <w:pPr>
        <w:spacing w:after="0" w:line="240" w:lineRule="auto"/>
        <w:ind w:firstLine="284"/>
        <w:jc w:val="both"/>
        <w:rPr>
          <w:rFonts w:ascii="Times New Roman" w:hAnsi="Times New Roman" w:cs="Times New Roman"/>
          <w:sz w:val="20"/>
          <w:szCs w:val="20"/>
        </w:rPr>
      </w:pPr>
      <w:r w:rsidRPr="00F52CFC">
        <w:rPr>
          <w:rFonts w:ascii="Times New Roman" w:hAnsi="Times New Roman" w:cs="Times New Roman"/>
          <w:sz w:val="20"/>
          <w:szCs w:val="20"/>
        </w:rPr>
        <w:t>A synthesis of regional studies indicates an increase in the frequency and magnitude of active power imbalances as the share of RES grows and intersystem transfer capabilities become limited. Significant imbalances can rapidly destabilize key transit routes and trigger cascading outages, as demonstrated by the event on January 25, 2022 [2, 3, 4].</w:t>
      </w:r>
    </w:p>
    <w:p w14:paraId="4455FE87" w14:textId="77777777" w:rsidR="00F52CFC" w:rsidRPr="00F52CFC" w:rsidRDefault="00F52CFC" w:rsidP="00F52CFC">
      <w:pPr>
        <w:spacing w:after="0" w:line="240" w:lineRule="auto"/>
        <w:ind w:firstLine="284"/>
        <w:jc w:val="both"/>
        <w:rPr>
          <w:rFonts w:ascii="Times New Roman" w:hAnsi="Times New Roman" w:cs="Times New Roman"/>
          <w:sz w:val="20"/>
          <w:szCs w:val="20"/>
        </w:rPr>
      </w:pPr>
      <w:r w:rsidRPr="00F52CFC">
        <w:rPr>
          <w:rFonts w:ascii="Times New Roman" w:hAnsi="Times New Roman" w:cs="Times New Roman"/>
          <w:sz w:val="20"/>
          <w:szCs w:val="20"/>
        </w:rPr>
        <w:t>The presence of approximate limits of 700–1000 MW on cross-border interconnections during periods of high generation and consumption gradients necessitates targeted flexibility enhancement and the application of automated control systems, FACTS devices, and energy storage systems [2, 3, 4].</w:t>
      </w:r>
    </w:p>
    <w:p w14:paraId="321254F7" w14:textId="77777777" w:rsidR="00F52CFC" w:rsidRPr="00C12E09" w:rsidRDefault="00F52CFC" w:rsidP="00F52CFC">
      <w:pPr>
        <w:spacing w:after="0" w:line="240" w:lineRule="auto"/>
        <w:ind w:firstLine="284"/>
        <w:jc w:val="both"/>
        <w:rPr>
          <w:rFonts w:ascii="Times New Roman" w:hAnsi="Times New Roman" w:cs="Times New Roman"/>
          <w:sz w:val="20"/>
          <w:szCs w:val="20"/>
        </w:rPr>
      </w:pPr>
      <w:r w:rsidRPr="00F52CFC">
        <w:rPr>
          <w:rFonts w:ascii="Times New Roman" w:hAnsi="Times New Roman" w:cs="Times New Roman"/>
          <w:sz w:val="20"/>
          <w:szCs w:val="20"/>
        </w:rPr>
        <w:t>To concisely capture bottlenecks and regulatory conditions, we present a tabular summary of critical intersystem corridors, indicating voltage levels, transfer limits, and seasonal restrictions with references to sources [2, 4].</w:t>
      </w:r>
    </w:p>
    <w:p w14:paraId="29BDBBA0" w14:textId="77777777" w:rsidR="00215DAB" w:rsidRPr="00F52CFC" w:rsidRDefault="00215DAB" w:rsidP="00215DAB">
      <w:pPr>
        <w:spacing w:after="0" w:line="240" w:lineRule="auto"/>
        <w:ind w:firstLine="284"/>
        <w:jc w:val="both"/>
        <w:rPr>
          <w:rFonts w:ascii="Times New Roman" w:hAnsi="Times New Roman" w:cs="Times New Roman"/>
          <w:sz w:val="20"/>
          <w:szCs w:val="20"/>
        </w:rPr>
      </w:pPr>
      <w:r w:rsidRPr="00F52CFC">
        <w:rPr>
          <w:rFonts w:ascii="Times New Roman" w:hAnsi="Times New Roman" w:cs="Times New Roman"/>
          <w:sz w:val="20"/>
          <w:szCs w:val="20"/>
        </w:rPr>
        <w:t>Global reviews note a consistent shift from purely economic arbitrage towards valuing system-level storage services. Modern energy storage systems are viewed as providers of fast response, frequency regulation, synthetic inertia, and local voltage support [7].</w:t>
      </w:r>
    </w:p>
    <w:p w14:paraId="6ED3A284" w14:textId="77777777" w:rsidR="00215DAB" w:rsidRPr="00F52CFC" w:rsidRDefault="00215DAB" w:rsidP="00215DAB">
      <w:pPr>
        <w:spacing w:after="0" w:line="240" w:lineRule="auto"/>
        <w:ind w:firstLine="284"/>
        <w:jc w:val="both"/>
        <w:rPr>
          <w:rFonts w:ascii="Times New Roman" w:hAnsi="Times New Roman" w:cs="Times New Roman"/>
          <w:sz w:val="20"/>
          <w:szCs w:val="20"/>
        </w:rPr>
      </w:pPr>
      <w:r w:rsidRPr="00F52CFC">
        <w:rPr>
          <w:rFonts w:ascii="Times New Roman" w:hAnsi="Times New Roman" w:cs="Times New Roman"/>
          <w:sz w:val="20"/>
          <w:szCs w:val="20"/>
        </w:rPr>
        <w:t xml:space="preserve">Publicly available analytical and overview publications by Uzbek scientist K.R. </w:t>
      </w:r>
      <w:proofErr w:type="spellStart"/>
      <w:r w:rsidRPr="00F52CFC">
        <w:rPr>
          <w:rFonts w:ascii="Times New Roman" w:hAnsi="Times New Roman" w:cs="Times New Roman"/>
          <w:sz w:val="20"/>
          <w:szCs w:val="20"/>
        </w:rPr>
        <w:t>Allayev</w:t>
      </w:r>
      <w:proofErr w:type="spellEnd"/>
      <w:r w:rsidRPr="00F52CFC">
        <w:rPr>
          <w:rFonts w:ascii="Times New Roman" w:hAnsi="Times New Roman" w:cs="Times New Roman"/>
          <w:sz w:val="20"/>
          <w:szCs w:val="20"/>
        </w:rPr>
        <w:t xml:space="preserve"> systematically describe the current state of the energy sector, addressing issues of diversification and integration of RES [11]. IRENA's global statistics for 2024 confirm record growth in renewable energy and the dominance of solar and wind power, which reinforces the importance of storage facilities for hourly balancing [12, 16].</w:t>
      </w:r>
    </w:p>
    <w:p w14:paraId="32B22F65" w14:textId="77777777" w:rsidR="00634DFB" w:rsidRDefault="00634DFB">
      <w:pPr>
        <w:rPr>
          <w:rFonts w:ascii="Times New Roman" w:hAnsi="Times New Roman" w:cs="Times New Roman"/>
          <w:b/>
          <w:sz w:val="20"/>
          <w:szCs w:val="20"/>
          <w:lang w:eastAsia="de-DE"/>
        </w:rPr>
      </w:pPr>
      <w:r>
        <w:rPr>
          <w:rFonts w:ascii="Times New Roman" w:hAnsi="Times New Roman" w:cs="Times New Roman"/>
          <w:b/>
          <w:sz w:val="20"/>
          <w:szCs w:val="20"/>
          <w:lang w:eastAsia="de-DE"/>
        </w:rPr>
        <w:br w:type="page"/>
      </w:r>
    </w:p>
    <w:p w14:paraId="0B2CC0B3" w14:textId="235FF120" w:rsidR="00F36125" w:rsidRDefault="00F36125" w:rsidP="00F52CFC">
      <w:pPr>
        <w:spacing w:before="240" w:after="240" w:line="240" w:lineRule="auto"/>
        <w:jc w:val="center"/>
        <w:rPr>
          <w:rFonts w:ascii="Times New Roman" w:hAnsi="Times New Roman" w:cs="Times New Roman"/>
          <w:sz w:val="20"/>
          <w:szCs w:val="20"/>
        </w:rPr>
      </w:pPr>
      <w:r w:rsidRPr="002D7186">
        <w:rPr>
          <w:rFonts w:ascii="Times New Roman" w:hAnsi="Times New Roman" w:cs="Times New Roman"/>
          <w:b/>
          <w:sz w:val="20"/>
          <w:szCs w:val="20"/>
          <w:lang w:eastAsia="de-DE"/>
        </w:rPr>
        <w:lastRenderedPageBreak/>
        <w:t>TABLE</w:t>
      </w:r>
      <w:r w:rsidRPr="00B675A4">
        <w:rPr>
          <w:rFonts w:ascii="Times New Roman" w:hAnsi="Times New Roman" w:cs="Times New Roman"/>
          <w:b/>
          <w:bCs/>
          <w:sz w:val="20"/>
          <w:szCs w:val="20"/>
        </w:rPr>
        <w:t xml:space="preserve"> 3. </w:t>
      </w:r>
      <w:r w:rsidRPr="00500914">
        <w:rPr>
          <w:rFonts w:ascii="Times New Roman" w:hAnsi="Times New Roman" w:cs="Times New Roman"/>
          <w:sz w:val="20"/>
          <w:szCs w:val="20"/>
        </w:rPr>
        <w:t>Key intersystem corridors of the Central Asian IPS and approximate transfer limits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8"/>
        <w:gridCol w:w="665"/>
        <w:gridCol w:w="1745"/>
        <w:gridCol w:w="875"/>
        <w:gridCol w:w="1733"/>
        <w:gridCol w:w="2070"/>
      </w:tblGrid>
      <w:tr w:rsidR="00F36125" w:rsidRPr="00634DFB" w14:paraId="2565B058" w14:textId="77777777" w:rsidTr="00634DFB">
        <w:trPr>
          <w:tblHeader/>
          <w:jc w:val="center"/>
        </w:trPr>
        <w:tc>
          <w:tcPr>
            <w:tcW w:w="1838" w:type="dxa"/>
            <w:vAlign w:val="center"/>
            <w:hideMark/>
          </w:tcPr>
          <w:p w14:paraId="4EE94168" w14:textId="77777777" w:rsidR="00F36125" w:rsidRPr="00634DFB" w:rsidRDefault="00F36125" w:rsidP="00634DFB">
            <w:pPr>
              <w:spacing w:after="0" w:line="240" w:lineRule="auto"/>
              <w:jc w:val="center"/>
              <w:rPr>
                <w:rFonts w:ascii="Times New Roman" w:hAnsi="Times New Roman" w:cs="Times New Roman"/>
                <w:b/>
                <w:bCs/>
                <w:sz w:val="18"/>
                <w:szCs w:val="18"/>
              </w:rPr>
            </w:pPr>
            <w:r w:rsidRPr="00634DFB">
              <w:rPr>
                <w:rFonts w:ascii="Times New Roman" w:hAnsi="Times New Roman" w:cs="Times New Roman"/>
                <w:b/>
                <w:bCs/>
                <w:sz w:val="18"/>
                <w:szCs w:val="18"/>
              </w:rPr>
              <w:t>Cross-section</w:t>
            </w:r>
          </w:p>
        </w:tc>
        <w:tc>
          <w:tcPr>
            <w:tcW w:w="665" w:type="dxa"/>
            <w:vAlign w:val="center"/>
            <w:hideMark/>
          </w:tcPr>
          <w:p w14:paraId="657F1D54" w14:textId="77777777" w:rsidR="00F36125" w:rsidRPr="00634DFB" w:rsidRDefault="00F36125" w:rsidP="00634DFB">
            <w:pPr>
              <w:spacing w:after="0" w:line="240" w:lineRule="auto"/>
              <w:jc w:val="center"/>
              <w:rPr>
                <w:rFonts w:ascii="Times New Roman" w:hAnsi="Times New Roman" w:cs="Times New Roman"/>
                <w:b/>
                <w:bCs/>
                <w:sz w:val="18"/>
                <w:szCs w:val="18"/>
              </w:rPr>
            </w:pPr>
            <w:r w:rsidRPr="00634DFB">
              <w:rPr>
                <w:rFonts w:ascii="Times New Roman" w:hAnsi="Times New Roman" w:cs="Times New Roman"/>
                <w:b/>
                <w:bCs/>
                <w:sz w:val="18"/>
                <w:szCs w:val="18"/>
              </w:rPr>
              <w:t>Voltage, kV</w:t>
            </w:r>
          </w:p>
        </w:tc>
        <w:tc>
          <w:tcPr>
            <w:tcW w:w="1745" w:type="dxa"/>
            <w:vAlign w:val="center"/>
            <w:hideMark/>
          </w:tcPr>
          <w:p w14:paraId="58950498" w14:textId="77777777" w:rsidR="00F36125" w:rsidRPr="00634DFB" w:rsidRDefault="00F36125" w:rsidP="00634DFB">
            <w:pPr>
              <w:spacing w:after="0" w:line="240" w:lineRule="auto"/>
              <w:jc w:val="center"/>
              <w:rPr>
                <w:rFonts w:ascii="Times New Roman" w:hAnsi="Times New Roman" w:cs="Times New Roman"/>
                <w:b/>
                <w:bCs/>
                <w:sz w:val="18"/>
                <w:szCs w:val="18"/>
              </w:rPr>
            </w:pPr>
            <w:r w:rsidRPr="00634DFB">
              <w:rPr>
                <w:rFonts w:ascii="Times New Roman" w:hAnsi="Times New Roman" w:cs="Times New Roman"/>
                <w:b/>
                <w:bCs/>
                <w:sz w:val="18"/>
                <w:szCs w:val="18"/>
              </w:rPr>
              <w:t>Flow direction</w:t>
            </w:r>
          </w:p>
        </w:tc>
        <w:tc>
          <w:tcPr>
            <w:tcW w:w="875" w:type="dxa"/>
            <w:vAlign w:val="center"/>
            <w:hideMark/>
          </w:tcPr>
          <w:p w14:paraId="67DE1654" w14:textId="77777777" w:rsidR="00F36125" w:rsidRPr="00634DFB" w:rsidRDefault="00F36125" w:rsidP="00634DFB">
            <w:pPr>
              <w:spacing w:after="0" w:line="240" w:lineRule="auto"/>
              <w:jc w:val="center"/>
              <w:rPr>
                <w:rFonts w:ascii="Times New Roman" w:hAnsi="Times New Roman" w:cs="Times New Roman"/>
                <w:b/>
                <w:bCs/>
                <w:sz w:val="18"/>
                <w:szCs w:val="18"/>
              </w:rPr>
            </w:pPr>
            <w:r w:rsidRPr="00634DFB">
              <w:rPr>
                <w:rFonts w:ascii="Times New Roman" w:hAnsi="Times New Roman" w:cs="Times New Roman"/>
                <w:b/>
                <w:bCs/>
                <w:sz w:val="18"/>
                <w:szCs w:val="18"/>
              </w:rPr>
              <w:t>Limit, MW</w:t>
            </w:r>
          </w:p>
        </w:tc>
        <w:tc>
          <w:tcPr>
            <w:tcW w:w="1733" w:type="dxa"/>
            <w:vAlign w:val="center"/>
            <w:hideMark/>
          </w:tcPr>
          <w:p w14:paraId="4E0B8FEC" w14:textId="77777777" w:rsidR="00F36125" w:rsidRPr="00634DFB" w:rsidRDefault="00F36125" w:rsidP="00634DFB">
            <w:pPr>
              <w:spacing w:after="0" w:line="240" w:lineRule="auto"/>
              <w:jc w:val="center"/>
              <w:rPr>
                <w:rFonts w:ascii="Times New Roman" w:hAnsi="Times New Roman" w:cs="Times New Roman"/>
                <w:b/>
                <w:bCs/>
                <w:sz w:val="18"/>
                <w:szCs w:val="18"/>
              </w:rPr>
            </w:pPr>
            <w:r w:rsidRPr="00634DFB">
              <w:rPr>
                <w:rFonts w:ascii="Times New Roman" w:hAnsi="Times New Roman" w:cs="Times New Roman"/>
                <w:b/>
                <w:bCs/>
                <w:sz w:val="18"/>
                <w:szCs w:val="18"/>
              </w:rPr>
              <w:t>Restrictions</w:t>
            </w:r>
          </w:p>
        </w:tc>
        <w:tc>
          <w:tcPr>
            <w:tcW w:w="2070" w:type="dxa"/>
            <w:vAlign w:val="center"/>
            <w:hideMark/>
          </w:tcPr>
          <w:p w14:paraId="2C9D30CB" w14:textId="77777777" w:rsidR="00F36125" w:rsidRPr="00634DFB" w:rsidRDefault="00F36125" w:rsidP="00634DFB">
            <w:pPr>
              <w:spacing w:after="0" w:line="240" w:lineRule="auto"/>
              <w:jc w:val="center"/>
              <w:rPr>
                <w:rFonts w:ascii="Times New Roman" w:hAnsi="Times New Roman" w:cs="Times New Roman"/>
                <w:b/>
                <w:bCs/>
                <w:sz w:val="18"/>
                <w:szCs w:val="18"/>
              </w:rPr>
            </w:pPr>
            <w:r w:rsidRPr="00634DFB">
              <w:rPr>
                <w:rFonts w:ascii="Times New Roman" w:hAnsi="Times New Roman" w:cs="Times New Roman"/>
                <w:b/>
                <w:bCs/>
                <w:sz w:val="18"/>
                <w:szCs w:val="18"/>
              </w:rPr>
              <w:t>Notes</w:t>
            </w:r>
          </w:p>
        </w:tc>
      </w:tr>
      <w:tr w:rsidR="00F36125" w:rsidRPr="00634DFB" w14:paraId="19081419" w14:textId="77777777" w:rsidTr="00634DFB">
        <w:trPr>
          <w:jc w:val="center"/>
        </w:trPr>
        <w:tc>
          <w:tcPr>
            <w:tcW w:w="1838" w:type="dxa"/>
            <w:vAlign w:val="center"/>
            <w:hideMark/>
          </w:tcPr>
          <w:p w14:paraId="492AD637"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Kazakhstan North-East-South</w:t>
            </w:r>
          </w:p>
        </w:tc>
        <w:tc>
          <w:tcPr>
            <w:tcW w:w="665" w:type="dxa"/>
            <w:vAlign w:val="center"/>
            <w:hideMark/>
          </w:tcPr>
          <w:p w14:paraId="0B68E94E"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500</w:t>
            </w:r>
          </w:p>
        </w:tc>
        <w:tc>
          <w:tcPr>
            <w:tcW w:w="1745" w:type="dxa"/>
            <w:vAlign w:val="center"/>
            <w:hideMark/>
          </w:tcPr>
          <w:p w14:paraId="52CB0956"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North ↔ South</w:t>
            </w:r>
          </w:p>
        </w:tc>
        <w:tc>
          <w:tcPr>
            <w:tcW w:w="875" w:type="dxa"/>
            <w:vAlign w:val="center"/>
            <w:hideMark/>
          </w:tcPr>
          <w:p w14:paraId="52320454"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700–1000</w:t>
            </w:r>
          </w:p>
        </w:tc>
        <w:tc>
          <w:tcPr>
            <w:tcW w:w="1733" w:type="dxa"/>
            <w:vAlign w:val="center"/>
            <w:hideMark/>
          </w:tcPr>
          <w:p w14:paraId="63DCED6B"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Current, angular stability</w:t>
            </w:r>
          </w:p>
        </w:tc>
        <w:tc>
          <w:tcPr>
            <w:tcW w:w="2070" w:type="dxa"/>
            <w:vAlign w:val="center"/>
            <w:hideMark/>
          </w:tcPr>
          <w:p w14:paraId="2D8D1915"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Winter maximum, summer low of renewable energy; frequency coordination</w:t>
            </w:r>
          </w:p>
        </w:tc>
      </w:tr>
      <w:tr w:rsidR="00F36125" w:rsidRPr="00634DFB" w14:paraId="629C82A2" w14:textId="77777777" w:rsidTr="00634DFB">
        <w:trPr>
          <w:trHeight w:val="843"/>
          <w:jc w:val="center"/>
        </w:trPr>
        <w:tc>
          <w:tcPr>
            <w:tcW w:w="1838" w:type="dxa"/>
            <w:vAlign w:val="center"/>
            <w:hideMark/>
          </w:tcPr>
          <w:p w14:paraId="65F7B1E9"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Uzbekistan - Kazakhstan (Shymkent-</w:t>
            </w:r>
            <w:proofErr w:type="spellStart"/>
            <w:r w:rsidRPr="00634DFB">
              <w:rPr>
                <w:rFonts w:ascii="Times New Roman" w:hAnsi="Times New Roman" w:cs="Times New Roman"/>
                <w:sz w:val="18"/>
                <w:szCs w:val="18"/>
              </w:rPr>
              <w:t>Syrdarya</w:t>
            </w:r>
            <w:proofErr w:type="spellEnd"/>
            <w:r w:rsidRPr="00634DFB">
              <w:rPr>
                <w:rFonts w:ascii="Times New Roman" w:hAnsi="Times New Roman" w:cs="Times New Roman"/>
                <w:sz w:val="18"/>
                <w:szCs w:val="18"/>
              </w:rPr>
              <w:t>)</w:t>
            </w:r>
          </w:p>
        </w:tc>
        <w:tc>
          <w:tcPr>
            <w:tcW w:w="665" w:type="dxa"/>
            <w:vAlign w:val="center"/>
            <w:hideMark/>
          </w:tcPr>
          <w:p w14:paraId="6A7125A3"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500</w:t>
            </w:r>
          </w:p>
        </w:tc>
        <w:tc>
          <w:tcPr>
            <w:tcW w:w="1745" w:type="dxa"/>
            <w:vAlign w:val="center"/>
            <w:hideMark/>
          </w:tcPr>
          <w:p w14:paraId="11BDD0EF"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South of Uzbekistan → South of Kazakhstan</w:t>
            </w:r>
          </w:p>
        </w:tc>
        <w:tc>
          <w:tcPr>
            <w:tcW w:w="875" w:type="dxa"/>
            <w:vAlign w:val="center"/>
            <w:hideMark/>
          </w:tcPr>
          <w:p w14:paraId="3A0517D3"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600–800</w:t>
            </w:r>
          </w:p>
        </w:tc>
        <w:tc>
          <w:tcPr>
            <w:tcW w:w="1733" w:type="dxa"/>
            <w:vAlign w:val="center"/>
            <w:hideMark/>
          </w:tcPr>
          <w:p w14:paraId="706FB990"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Conductor current, transformer thermal stability</w:t>
            </w:r>
          </w:p>
        </w:tc>
        <w:tc>
          <w:tcPr>
            <w:tcW w:w="2070" w:type="dxa"/>
            <w:vAlign w:val="center"/>
            <w:hideMark/>
          </w:tcPr>
          <w:p w14:paraId="092EC732"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Reverse flows during high solar power generation</w:t>
            </w:r>
          </w:p>
        </w:tc>
      </w:tr>
      <w:tr w:rsidR="00F36125" w:rsidRPr="00634DFB" w14:paraId="346C5678" w14:textId="77777777" w:rsidTr="00634DFB">
        <w:trPr>
          <w:jc w:val="center"/>
        </w:trPr>
        <w:tc>
          <w:tcPr>
            <w:tcW w:w="1838" w:type="dxa"/>
            <w:vAlign w:val="center"/>
            <w:hideMark/>
          </w:tcPr>
          <w:p w14:paraId="294C66E8"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Uzbekistan - Kyrgyzstan (Fergana Valley)</w:t>
            </w:r>
          </w:p>
        </w:tc>
        <w:tc>
          <w:tcPr>
            <w:tcW w:w="665" w:type="dxa"/>
            <w:vAlign w:val="center"/>
            <w:hideMark/>
          </w:tcPr>
          <w:p w14:paraId="731494E4"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220</w:t>
            </w:r>
          </w:p>
        </w:tc>
        <w:tc>
          <w:tcPr>
            <w:tcW w:w="1745" w:type="dxa"/>
            <w:vAlign w:val="center"/>
            <w:hideMark/>
          </w:tcPr>
          <w:p w14:paraId="77A0DB06"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Uzbekistan ↔ Kyrgyzstan</w:t>
            </w:r>
          </w:p>
        </w:tc>
        <w:tc>
          <w:tcPr>
            <w:tcW w:w="875" w:type="dxa"/>
            <w:vAlign w:val="center"/>
            <w:hideMark/>
          </w:tcPr>
          <w:p w14:paraId="70FF5A1B"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200–300</w:t>
            </w:r>
          </w:p>
        </w:tc>
        <w:tc>
          <w:tcPr>
            <w:tcW w:w="1733" w:type="dxa"/>
            <w:vAlign w:val="center"/>
            <w:hideMark/>
          </w:tcPr>
          <w:p w14:paraId="0F30B16D"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Longitudinal reactivity, emergency automation</w:t>
            </w:r>
          </w:p>
        </w:tc>
        <w:tc>
          <w:tcPr>
            <w:tcW w:w="2070" w:type="dxa"/>
            <w:vAlign w:val="center"/>
            <w:hideMark/>
          </w:tcPr>
          <w:p w14:paraId="5A136090"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Spring flood at hydroelectric power stations increases nighttime flows</w:t>
            </w:r>
          </w:p>
        </w:tc>
      </w:tr>
      <w:tr w:rsidR="00F36125" w:rsidRPr="00634DFB" w14:paraId="713C9A11" w14:textId="77777777" w:rsidTr="00634DFB">
        <w:trPr>
          <w:jc w:val="center"/>
        </w:trPr>
        <w:tc>
          <w:tcPr>
            <w:tcW w:w="1838" w:type="dxa"/>
            <w:vAlign w:val="center"/>
            <w:hideMark/>
          </w:tcPr>
          <w:p w14:paraId="3B3E117C"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Uzbekistan - Tajikistan</w:t>
            </w:r>
          </w:p>
        </w:tc>
        <w:tc>
          <w:tcPr>
            <w:tcW w:w="665" w:type="dxa"/>
            <w:vAlign w:val="center"/>
            <w:hideMark/>
          </w:tcPr>
          <w:p w14:paraId="57319E5C"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500</w:t>
            </w:r>
          </w:p>
        </w:tc>
        <w:tc>
          <w:tcPr>
            <w:tcW w:w="1745" w:type="dxa"/>
            <w:vAlign w:val="center"/>
            <w:hideMark/>
          </w:tcPr>
          <w:p w14:paraId="259500DF"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Tajikistan → Uzbekistan</w:t>
            </w:r>
          </w:p>
        </w:tc>
        <w:tc>
          <w:tcPr>
            <w:tcW w:w="875" w:type="dxa"/>
            <w:vAlign w:val="center"/>
            <w:hideMark/>
          </w:tcPr>
          <w:p w14:paraId="604F2F7F"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400–600</w:t>
            </w:r>
          </w:p>
        </w:tc>
        <w:tc>
          <w:tcPr>
            <w:tcW w:w="1733" w:type="dxa"/>
            <w:vAlign w:val="center"/>
            <w:hideMark/>
          </w:tcPr>
          <w:p w14:paraId="58DDF5B9"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Angle at low damping, current</w:t>
            </w:r>
          </w:p>
        </w:tc>
        <w:tc>
          <w:tcPr>
            <w:tcW w:w="2070" w:type="dxa"/>
            <w:vAlign w:val="center"/>
            <w:hideMark/>
          </w:tcPr>
          <w:p w14:paraId="5628AB33"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Summer high hydropower generation; coordination of schedules</w:t>
            </w:r>
          </w:p>
        </w:tc>
      </w:tr>
      <w:tr w:rsidR="00F36125" w:rsidRPr="00634DFB" w14:paraId="2DDA4F35" w14:textId="77777777" w:rsidTr="00634DFB">
        <w:trPr>
          <w:jc w:val="center"/>
        </w:trPr>
        <w:tc>
          <w:tcPr>
            <w:tcW w:w="1838" w:type="dxa"/>
            <w:vAlign w:val="center"/>
            <w:hideMark/>
          </w:tcPr>
          <w:p w14:paraId="3CEF7683"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Uzbekistan - Turkmenistan</w:t>
            </w:r>
          </w:p>
        </w:tc>
        <w:tc>
          <w:tcPr>
            <w:tcW w:w="665" w:type="dxa"/>
            <w:vAlign w:val="center"/>
            <w:hideMark/>
          </w:tcPr>
          <w:p w14:paraId="49A24EA4"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220</w:t>
            </w:r>
          </w:p>
        </w:tc>
        <w:tc>
          <w:tcPr>
            <w:tcW w:w="1745" w:type="dxa"/>
            <w:vAlign w:val="center"/>
            <w:hideMark/>
          </w:tcPr>
          <w:p w14:paraId="72AFB541"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Bilateral</w:t>
            </w:r>
          </w:p>
        </w:tc>
        <w:tc>
          <w:tcPr>
            <w:tcW w:w="875" w:type="dxa"/>
            <w:vAlign w:val="center"/>
            <w:hideMark/>
          </w:tcPr>
          <w:p w14:paraId="59C969FC"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150–250</w:t>
            </w:r>
          </w:p>
        </w:tc>
        <w:tc>
          <w:tcPr>
            <w:tcW w:w="1733" w:type="dxa"/>
            <w:vAlign w:val="center"/>
            <w:hideMark/>
          </w:tcPr>
          <w:p w14:paraId="1EF3CDA1"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Current, local voltages</w:t>
            </w:r>
          </w:p>
        </w:tc>
        <w:tc>
          <w:tcPr>
            <w:tcW w:w="2070" w:type="dxa"/>
            <w:vAlign w:val="center"/>
            <w:hideMark/>
          </w:tcPr>
          <w:p w14:paraId="0A244E3E"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Restrictions during repairs of the Bukhara-Navoi node</w:t>
            </w:r>
          </w:p>
        </w:tc>
      </w:tr>
      <w:tr w:rsidR="00F36125" w:rsidRPr="00634DFB" w14:paraId="38D9D654" w14:textId="77777777" w:rsidTr="00634DFB">
        <w:trPr>
          <w:jc w:val="center"/>
        </w:trPr>
        <w:tc>
          <w:tcPr>
            <w:tcW w:w="1838" w:type="dxa"/>
            <w:vAlign w:val="center"/>
            <w:hideMark/>
          </w:tcPr>
          <w:p w14:paraId="2B1D5DF3"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Kazakhstan - Kyrgyzstan (North-Chuy Valley)</w:t>
            </w:r>
          </w:p>
        </w:tc>
        <w:tc>
          <w:tcPr>
            <w:tcW w:w="665" w:type="dxa"/>
            <w:vAlign w:val="center"/>
            <w:hideMark/>
          </w:tcPr>
          <w:p w14:paraId="20AA07E0"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220</w:t>
            </w:r>
          </w:p>
        </w:tc>
        <w:tc>
          <w:tcPr>
            <w:tcW w:w="1745" w:type="dxa"/>
            <w:vAlign w:val="center"/>
            <w:hideMark/>
          </w:tcPr>
          <w:p w14:paraId="35FCD2A0"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Kazakhstan → Kyrgyzstan</w:t>
            </w:r>
          </w:p>
        </w:tc>
        <w:tc>
          <w:tcPr>
            <w:tcW w:w="875" w:type="dxa"/>
            <w:vAlign w:val="center"/>
            <w:hideMark/>
          </w:tcPr>
          <w:p w14:paraId="3F290B15"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200–300</w:t>
            </w:r>
          </w:p>
        </w:tc>
        <w:tc>
          <w:tcPr>
            <w:tcW w:w="1733" w:type="dxa"/>
            <w:vAlign w:val="center"/>
            <w:hideMark/>
          </w:tcPr>
          <w:p w14:paraId="249AFEFF"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Current, angle, Chuy HPP mode</w:t>
            </w:r>
          </w:p>
        </w:tc>
        <w:tc>
          <w:tcPr>
            <w:tcW w:w="2070" w:type="dxa"/>
            <w:vAlign w:val="center"/>
            <w:hideMark/>
          </w:tcPr>
          <w:p w14:paraId="6935325C"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Peak restrictions in winter</w:t>
            </w:r>
          </w:p>
        </w:tc>
      </w:tr>
      <w:tr w:rsidR="00F36125" w:rsidRPr="00634DFB" w14:paraId="110E6C9A" w14:textId="77777777" w:rsidTr="00634DFB">
        <w:trPr>
          <w:jc w:val="center"/>
        </w:trPr>
        <w:tc>
          <w:tcPr>
            <w:tcW w:w="1838" w:type="dxa"/>
            <w:vAlign w:val="center"/>
            <w:hideMark/>
          </w:tcPr>
          <w:p w14:paraId="1800255E"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Kazakhstan - Uzbekistan (</w:t>
            </w:r>
            <w:proofErr w:type="spellStart"/>
            <w:r w:rsidRPr="00634DFB">
              <w:rPr>
                <w:rFonts w:ascii="Times New Roman" w:hAnsi="Times New Roman" w:cs="Times New Roman"/>
                <w:sz w:val="18"/>
                <w:szCs w:val="18"/>
              </w:rPr>
              <w:t>Syrdarya-Zhanakorgan</w:t>
            </w:r>
            <w:proofErr w:type="spellEnd"/>
            <w:r w:rsidRPr="00634DFB">
              <w:rPr>
                <w:rFonts w:ascii="Times New Roman" w:hAnsi="Times New Roman" w:cs="Times New Roman"/>
                <w:sz w:val="18"/>
                <w:szCs w:val="18"/>
              </w:rPr>
              <w:t>)</w:t>
            </w:r>
          </w:p>
        </w:tc>
        <w:tc>
          <w:tcPr>
            <w:tcW w:w="665" w:type="dxa"/>
            <w:vAlign w:val="center"/>
            <w:hideMark/>
          </w:tcPr>
          <w:p w14:paraId="58A63A40"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220</w:t>
            </w:r>
          </w:p>
        </w:tc>
        <w:tc>
          <w:tcPr>
            <w:tcW w:w="1745" w:type="dxa"/>
            <w:vAlign w:val="center"/>
            <w:hideMark/>
          </w:tcPr>
          <w:p w14:paraId="7C157E71"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Bilateral</w:t>
            </w:r>
          </w:p>
        </w:tc>
        <w:tc>
          <w:tcPr>
            <w:tcW w:w="875" w:type="dxa"/>
            <w:vAlign w:val="center"/>
            <w:hideMark/>
          </w:tcPr>
          <w:p w14:paraId="5FA0A30B"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150–250</w:t>
            </w:r>
          </w:p>
        </w:tc>
        <w:tc>
          <w:tcPr>
            <w:tcW w:w="1733" w:type="dxa"/>
            <w:vAlign w:val="center"/>
            <w:hideMark/>
          </w:tcPr>
          <w:p w14:paraId="309BCFB6"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Current, thermal load of transformers</w:t>
            </w:r>
          </w:p>
        </w:tc>
        <w:tc>
          <w:tcPr>
            <w:tcW w:w="2070" w:type="dxa"/>
            <w:vAlign w:val="center"/>
            <w:hideMark/>
          </w:tcPr>
          <w:p w14:paraId="647C567A"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Local balancing of 220 kV nodes</w:t>
            </w:r>
          </w:p>
        </w:tc>
      </w:tr>
      <w:tr w:rsidR="00F36125" w:rsidRPr="00634DFB" w14:paraId="0815B061" w14:textId="77777777" w:rsidTr="00634DFB">
        <w:trPr>
          <w:jc w:val="center"/>
        </w:trPr>
        <w:tc>
          <w:tcPr>
            <w:tcW w:w="1838" w:type="dxa"/>
            <w:vAlign w:val="center"/>
            <w:hideMark/>
          </w:tcPr>
          <w:p w14:paraId="71690118"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Interstate corridor of Central Asian UPS - CEP</w:t>
            </w:r>
          </w:p>
        </w:tc>
        <w:tc>
          <w:tcPr>
            <w:tcW w:w="665" w:type="dxa"/>
            <w:vAlign w:val="center"/>
            <w:hideMark/>
          </w:tcPr>
          <w:p w14:paraId="645BFBEA"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500</w:t>
            </w:r>
          </w:p>
        </w:tc>
        <w:tc>
          <w:tcPr>
            <w:tcW w:w="1745" w:type="dxa"/>
            <w:vAlign w:val="center"/>
            <w:hideMark/>
          </w:tcPr>
          <w:p w14:paraId="37DC2623"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Central Asian UPS ↔ CEP</w:t>
            </w:r>
          </w:p>
        </w:tc>
        <w:tc>
          <w:tcPr>
            <w:tcW w:w="875" w:type="dxa"/>
            <w:vAlign w:val="center"/>
            <w:hideMark/>
          </w:tcPr>
          <w:p w14:paraId="13AFD64C"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500–800</w:t>
            </w:r>
          </w:p>
        </w:tc>
        <w:tc>
          <w:tcPr>
            <w:tcW w:w="1733" w:type="dxa"/>
            <w:vAlign w:val="center"/>
            <w:hideMark/>
          </w:tcPr>
          <w:p w14:paraId="5BBCE352"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Parallel operation, synchronization, emergency automation</w:t>
            </w:r>
          </w:p>
        </w:tc>
        <w:tc>
          <w:tcPr>
            <w:tcW w:w="2070" w:type="dxa"/>
            <w:vAlign w:val="center"/>
            <w:hideMark/>
          </w:tcPr>
          <w:p w14:paraId="7869A617" w14:textId="77777777" w:rsidR="00F36125" w:rsidRPr="00634DFB" w:rsidRDefault="00F36125" w:rsidP="00634DFB">
            <w:pPr>
              <w:spacing w:after="0" w:line="240" w:lineRule="auto"/>
              <w:jc w:val="center"/>
              <w:rPr>
                <w:rFonts w:ascii="Times New Roman" w:hAnsi="Times New Roman" w:cs="Times New Roman"/>
                <w:sz w:val="18"/>
                <w:szCs w:val="18"/>
              </w:rPr>
            </w:pPr>
            <w:r w:rsidRPr="00634DFB">
              <w:rPr>
                <w:rFonts w:ascii="Times New Roman" w:hAnsi="Times New Roman" w:cs="Times New Roman"/>
                <w:sz w:val="18"/>
                <w:szCs w:val="18"/>
              </w:rPr>
              <w:t>Limits depend on agreements and operational conditions</w:t>
            </w:r>
          </w:p>
        </w:tc>
      </w:tr>
    </w:tbl>
    <w:p w14:paraId="72CBD447" w14:textId="77777777" w:rsidR="00634DFB" w:rsidRDefault="00634DFB" w:rsidP="00634DFB">
      <w:pPr>
        <w:spacing w:after="0" w:line="240" w:lineRule="auto"/>
        <w:ind w:firstLine="284"/>
        <w:jc w:val="both"/>
        <w:rPr>
          <w:rFonts w:ascii="Times New Roman" w:hAnsi="Times New Roman" w:cs="Times New Roman"/>
          <w:sz w:val="20"/>
          <w:szCs w:val="20"/>
        </w:rPr>
      </w:pPr>
    </w:p>
    <w:p w14:paraId="2E0B0FE2" w14:textId="344FC1D5" w:rsidR="00F52CFC" w:rsidRPr="00634DFB" w:rsidRDefault="00F52CFC" w:rsidP="00634DFB">
      <w:pPr>
        <w:spacing w:after="0" w:line="240" w:lineRule="auto"/>
        <w:ind w:firstLine="284"/>
        <w:jc w:val="both"/>
        <w:rPr>
          <w:rFonts w:ascii="Times New Roman" w:hAnsi="Times New Roman" w:cs="Times New Roman"/>
          <w:sz w:val="20"/>
          <w:szCs w:val="20"/>
        </w:rPr>
      </w:pPr>
      <w:r w:rsidRPr="00634DFB">
        <w:rPr>
          <w:rFonts w:ascii="Times New Roman" w:hAnsi="Times New Roman" w:cs="Times New Roman"/>
          <w:sz w:val="20"/>
          <w:szCs w:val="20"/>
        </w:rPr>
        <w:t>For a comprehensive picture, let's compare energy storage technologies in terms of response time, discharge duration, efficiency, lifespan, and application limitations, which can be conveniently verified in the summary table before proceeding to the methodology.</w:t>
      </w:r>
    </w:p>
    <w:p w14:paraId="7A3060C7" w14:textId="77777777" w:rsidR="00215DAB" w:rsidRPr="00634DFB" w:rsidRDefault="00F52CFC" w:rsidP="00634DFB">
      <w:pPr>
        <w:spacing w:after="0" w:line="240" w:lineRule="auto"/>
        <w:ind w:firstLine="284"/>
        <w:jc w:val="both"/>
        <w:rPr>
          <w:rFonts w:ascii="Times New Roman" w:hAnsi="Times New Roman" w:cs="Times New Roman"/>
          <w:sz w:val="20"/>
          <w:szCs w:val="20"/>
        </w:rPr>
      </w:pPr>
      <w:r w:rsidRPr="00634DFB">
        <w:rPr>
          <w:rFonts w:ascii="Times New Roman" w:hAnsi="Times New Roman" w:cs="Times New Roman"/>
          <w:sz w:val="20"/>
          <w:szCs w:val="20"/>
        </w:rPr>
        <w:t xml:space="preserve">The purpose of the calculations is to quantitatively assess the effects of energy storage system portfolios and network management tools for the Central Asian Integrated Power System under accelerated growth in the share of renewable energy sources. </w:t>
      </w:r>
    </w:p>
    <w:p w14:paraId="796D1B6D" w14:textId="101113C7" w:rsidR="00F52CFC" w:rsidRPr="00634DFB" w:rsidRDefault="00F52CFC" w:rsidP="00634DFB">
      <w:pPr>
        <w:spacing w:after="0" w:line="240" w:lineRule="auto"/>
        <w:ind w:firstLine="284"/>
        <w:jc w:val="both"/>
        <w:rPr>
          <w:rFonts w:ascii="Times New Roman" w:hAnsi="Times New Roman" w:cs="Times New Roman"/>
          <w:sz w:val="20"/>
          <w:szCs w:val="20"/>
        </w:rPr>
      </w:pPr>
      <w:r w:rsidRPr="00634DFB">
        <w:rPr>
          <w:rFonts w:ascii="Times New Roman" w:hAnsi="Times New Roman" w:cs="Times New Roman"/>
          <w:sz w:val="20"/>
          <w:szCs w:val="20"/>
        </w:rPr>
        <w:t>The initial setup is based on an hourly quasi-dynamic scheme with load and generation profiles, which takes into account active power balance, primary frequency regulation, network flow constraints, and local voltage support.</w:t>
      </w:r>
    </w:p>
    <w:p w14:paraId="484A4526" w14:textId="77777777" w:rsidR="00634DFB" w:rsidRPr="00634DFB" w:rsidRDefault="00634DFB" w:rsidP="00634DFB">
      <w:pPr>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The computational problem is formulated through a system of balance equations and constraints. The active power balance at each time step is determined by the following relationship:</w:t>
      </w:r>
    </w:p>
    <w:p w14:paraId="644BAFD3" w14:textId="77777777" w:rsidR="00634DFB" w:rsidRPr="00634DFB" w:rsidRDefault="00000000" w:rsidP="00634DFB">
      <w:pPr>
        <w:spacing w:after="0" w:line="240" w:lineRule="auto"/>
        <w:jc w:val="right"/>
        <w:rPr>
          <w:rFonts w:ascii="Times New Roman" w:eastAsiaTheme="minorEastAsia" w:hAnsi="Times New Roman" w:cs="Times New Roman"/>
          <w:sz w:val="20"/>
          <w:szCs w:val="20"/>
        </w:rPr>
      </w:p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G</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imp</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dis</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ch</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L</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loss</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 xml:space="preserve">=0                            </m:t>
        </m:r>
      </m:oMath>
      <w:r w:rsidR="00634DFB" w:rsidRPr="00634DFB">
        <w:rPr>
          <w:rFonts w:ascii="Times New Roman" w:eastAsiaTheme="minorEastAsia" w:hAnsi="Times New Roman" w:cs="Times New Roman"/>
          <w:sz w:val="20"/>
          <w:szCs w:val="20"/>
        </w:rPr>
        <w:t xml:space="preserve">     (1)</w:t>
      </w:r>
    </w:p>
    <w:p w14:paraId="46A51681" w14:textId="77777777" w:rsidR="00634DFB" w:rsidRPr="00634DFB" w:rsidRDefault="00634DFB" w:rsidP="00634DFB">
      <w:pPr>
        <w:spacing w:after="0" w:line="240" w:lineRule="auto"/>
        <w:ind w:firstLine="284"/>
        <w:jc w:val="both"/>
        <w:rPr>
          <w:rFonts w:ascii="Times New Roman" w:eastAsiaTheme="minorEastAsia" w:hAnsi="Times New Roman" w:cs="Times New Roman"/>
          <w:sz w:val="20"/>
          <w:szCs w:val="20"/>
        </w:rPr>
      </w:pPr>
      <w:r w:rsidRPr="00634DFB">
        <w:rPr>
          <w:rFonts w:ascii="Times New Roman" w:eastAsiaTheme="minorEastAsia" w:hAnsi="Times New Roman" w:cs="Times New Roman"/>
          <w:sz w:val="20"/>
          <w:szCs w:val="20"/>
        </w:rPr>
        <w:t xml:space="preserve">where </w:t>
      </w: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G</m:t>
            </m:r>
          </m:sub>
        </m:sSub>
      </m:oMath>
      <w:r w:rsidRPr="00634DFB">
        <w:rPr>
          <w:rFonts w:ascii="Times New Roman" w:eastAsiaTheme="minorEastAsia" w:hAnsi="Times New Roman" w:cs="Times New Roman"/>
          <w:sz w:val="20"/>
          <w:szCs w:val="20"/>
        </w:rPr>
        <w:t xml:space="preserve"> is the total generation from traditional sources, </w:t>
      </w:r>
      <m:oMath>
        <m:sSub>
          <m:sSubPr>
            <m:ctrlPr>
              <w:rPr>
                <w:rFonts w:ascii="Cambria Math" w:hAnsi="Cambria Math" w:cs="Times New Roman"/>
                <w:sz w:val="20"/>
                <w:szCs w:val="20"/>
              </w:rPr>
            </m:ctrlPr>
          </m:sSubPr>
          <m:e>
            <m:r>
              <w:rPr>
                <w:rFonts w:ascii="Cambria Math" w:hAnsi="Cambria Math" w:cs="Times New Roman"/>
                <w:sz w:val="20"/>
                <w:szCs w:val="20"/>
              </w:rPr>
              <m:t>P</m:t>
            </m:r>
          </m:e>
          <m:sub>
            <m:r>
              <m:rPr>
                <m:sty m:val="p"/>
              </m:rPr>
              <w:rPr>
                <w:rFonts w:ascii="Cambria Math" w:hAnsi="Cambria Math" w:cs="Times New Roman"/>
                <w:sz w:val="20"/>
                <w:szCs w:val="20"/>
              </w:rPr>
              <m:t>imp</m:t>
            </m:r>
          </m:sub>
        </m:sSub>
      </m:oMath>
      <w:r w:rsidRPr="00634DFB">
        <w:rPr>
          <w:rFonts w:ascii="Times New Roman" w:eastAsiaTheme="minorEastAsia" w:hAnsi="Times New Roman" w:cs="Times New Roman"/>
          <w:sz w:val="20"/>
          <w:szCs w:val="20"/>
        </w:rPr>
        <w:t xml:space="preserve"> is the intersystem power flow, </w:t>
      </w:r>
      <m:oMath>
        <m:sSub>
          <m:sSubPr>
            <m:ctrlPr>
              <w:rPr>
                <w:rFonts w:ascii="Cambria Math" w:hAnsi="Cambria Math" w:cs="Times New Roman"/>
                <w:sz w:val="20"/>
                <w:szCs w:val="20"/>
              </w:rPr>
            </m:ctrlPr>
          </m:sSubPr>
          <m:e>
            <m:r>
              <w:rPr>
                <w:rFonts w:ascii="Cambria Math" w:hAnsi="Cambria Math" w:cs="Times New Roman"/>
                <w:sz w:val="20"/>
                <w:szCs w:val="20"/>
              </w:rPr>
              <m:t>P</m:t>
            </m:r>
          </m:e>
          <m:sub>
            <m:r>
              <m:rPr>
                <m:sty m:val="p"/>
              </m:rPr>
              <w:rPr>
                <w:rFonts w:ascii="Cambria Math" w:hAnsi="Cambria Math" w:cs="Times New Roman"/>
                <w:sz w:val="20"/>
                <w:szCs w:val="20"/>
              </w:rPr>
              <m:t>dis</m:t>
            </m:r>
          </m:sub>
        </m:sSub>
      </m:oMath>
      <w:r w:rsidRPr="00634DFB">
        <w:rPr>
          <w:rFonts w:ascii="Times New Roman" w:eastAsiaTheme="minorEastAsia" w:hAnsi="Times New Roman" w:cs="Times New Roman"/>
          <w:sz w:val="20"/>
          <w:szCs w:val="20"/>
        </w:rPr>
        <w:t xml:space="preserve"> is the storage discharge, </w:t>
      </w:r>
      <m:oMath>
        <m:sSub>
          <m:sSubPr>
            <m:ctrlPr>
              <w:rPr>
                <w:rFonts w:ascii="Cambria Math" w:hAnsi="Cambria Math" w:cs="Times New Roman"/>
                <w:sz w:val="20"/>
                <w:szCs w:val="20"/>
              </w:rPr>
            </m:ctrlPr>
          </m:sSubPr>
          <m:e>
            <m:r>
              <w:rPr>
                <w:rFonts w:ascii="Cambria Math" w:hAnsi="Cambria Math" w:cs="Times New Roman"/>
                <w:sz w:val="20"/>
                <w:szCs w:val="20"/>
              </w:rPr>
              <m:t>P</m:t>
            </m:r>
          </m:e>
          <m:sub>
            <m:r>
              <m:rPr>
                <m:sty m:val="p"/>
              </m:rPr>
              <w:rPr>
                <w:rFonts w:ascii="Cambria Math" w:hAnsi="Cambria Math" w:cs="Times New Roman"/>
                <w:sz w:val="20"/>
                <w:szCs w:val="20"/>
              </w:rPr>
              <m:t>ch</m:t>
            </m:r>
          </m:sub>
        </m:sSub>
        <m:r>
          <w:rPr>
            <w:rFonts w:ascii="Cambria Math" w:hAnsi="Cambria Math" w:cs="Times New Roman"/>
            <w:sz w:val="20"/>
            <w:szCs w:val="20"/>
          </w:rPr>
          <m:t>(t)</m:t>
        </m:r>
      </m:oMath>
      <w:r w:rsidRPr="00634DFB">
        <w:rPr>
          <w:rFonts w:ascii="Times New Roman" w:eastAsiaTheme="minorEastAsia" w:hAnsi="Times New Roman" w:cs="Times New Roman"/>
          <w:sz w:val="20"/>
          <w:szCs w:val="20"/>
        </w:rPr>
        <w:t xml:space="preserve"> is the storage charge,</w:t>
      </w:r>
      <w:r w:rsidRPr="00634DFB">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L</m:t>
            </m:r>
          </m:sub>
        </m:sSub>
      </m:oMath>
      <w:r w:rsidRPr="00634DFB">
        <w:rPr>
          <w:rFonts w:ascii="Times New Roman" w:eastAsiaTheme="minorEastAsia" w:hAnsi="Times New Roman" w:cs="Times New Roman"/>
          <w:sz w:val="20"/>
          <w:szCs w:val="20"/>
        </w:rPr>
        <w:t xml:space="preserve"> is the load, and</w:t>
      </w:r>
      <m:oMath>
        <m:r>
          <w:rPr>
            <w:rFonts w:ascii="Cambria Math" w:eastAsiaTheme="minorEastAsia"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P</m:t>
            </m:r>
          </m:e>
          <m:sub>
            <m:r>
              <m:rPr>
                <m:sty m:val="p"/>
              </m:rPr>
              <w:rPr>
                <w:rFonts w:ascii="Cambria Math" w:hAnsi="Cambria Math" w:cs="Times New Roman"/>
                <w:sz w:val="20"/>
                <w:szCs w:val="20"/>
              </w:rPr>
              <m:t>loss</m:t>
            </m:r>
          </m:sub>
        </m:sSub>
      </m:oMath>
      <w:r w:rsidRPr="00634DFB">
        <w:rPr>
          <w:rFonts w:ascii="Times New Roman" w:eastAsiaTheme="minorEastAsia" w:hAnsi="Times New Roman" w:cs="Times New Roman"/>
          <w:sz w:val="20"/>
          <w:szCs w:val="20"/>
        </w:rPr>
        <w:t xml:space="preserve"> represents network losses.</w:t>
      </w:r>
    </w:p>
    <w:p w14:paraId="465D3F6F" w14:textId="77777777" w:rsidR="00634DFB" w:rsidRPr="00634DFB" w:rsidRDefault="00634DFB" w:rsidP="00634DFB">
      <w:pPr>
        <w:spacing w:after="0" w:line="240" w:lineRule="auto"/>
        <w:ind w:firstLine="284"/>
        <w:jc w:val="both"/>
        <w:rPr>
          <w:rFonts w:ascii="Times New Roman" w:hAnsi="Times New Roman" w:cs="Times New Roman"/>
          <w:sz w:val="20"/>
          <w:szCs w:val="20"/>
        </w:rPr>
      </w:pPr>
      <w:r w:rsidRPr="00634DFB">
        <w:rPr>
          <w:rFonts w:ascii="Times New Roman" w:hAnsi="Times New Roman" w:cs="Times New Roman"/>
          <w:sz w:val="20"/>
          <w:szCs w:val="20"/>
        </w:rPr>
        <w:t>To account for the fast-acting response of generation and storage systems to frequency disturbances, a linearized model of frequency dynamics (2) is used, with inertia and damping parameters that are valid for the regional generation structure [2, 4]:</w:t>
      </w:r>
    </w:p>
    <w:p w14:paraId="025766BC" w14:textId="77777777" w:rsidR="00634DFB" w:rsidRPr="00634DFB" w:rsidRDefault="00000000" w:rsidP="00634DFB">
      <w:pPr>
        <w:spacing w:after="0" w:line="240" w:lineRule="auto"/>
        <w:jc w:val="right"/>
        <w:rPr>
          <w:rFonts w:ascii="Times New Roman" w:eastAsiaTheme="minorEastAsia" w:hAnsi="Times New Roman" w:cs="Times New Roman"/>
          <w:sz w:val="20"/>
          <w:szCs w:val="20"/>
        </w:rPr>
      </w:pPr>
      <m:oMath>
        <m:f>
          <m:fPr>
            <m:ctrlPr>
              <w:rPr>
                <w:rFonts w:ascii="Cambria Math" w:hAnsi="Cambria Math"/>
                <w:i/>
              </w:rPr>
            </m:ctrlPr>
          </m:fPr>
          <m:num>
            <m:r>
              <w:rPr>
                <w:rFonts w:ascii="Cambria Math" w:hAnsi="Cambria Math"/>
              </w:rPr>
              <m:t>d</m:t>
            </m:r>
            <m:r>
              <m:rPr>
                <m:nor/>
              </m:rPr>
              <w:rPr>
                <w:rFonts w:ascii="Cambria Math" w:hAnsi="Cambria Math"/>
                <w:i/>
              </w:rPr>
              <m:t> </m:t>
            </m:r>
            <m:r>
              <w:rPr>
                <w:rFonts w:ascii="Cambria Math" w:hAnsi="Cambria Math"/>
              </w:rPr>
              <m:t>Δf(t)</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(t)+</m:t>
            </m:r>
            <m:sSub>
              <m:sSubPr>
                <m:ctrlPr>
                  <w:rPr>
                    <w:rFonts w:ascii="Cambria Math" w:hAnsi="Cambria Math"/>
                    <w:i/>
                  </w:rPr>
                </m:ctrlPr>
              </m:sSubPr>
              <m:e>
                <m:r>
                  <w:rPr>
                    <w:rFonts w:ascii="Cambria Math" w:hAnsi="Cambria Math"/>
                  </w:rPr>
                  <m:t>P</m:t>
                </m:r>
              </m:e>
              <m:sub>
                <m:r>
                  <w:rPr>
                    <w:rFonts w:ascii="Cambria Math" w:hAnsi="Cambria Math"/>
                  </w:rPr>
                  <m:t>dis</m:t>
                </m:r>
              </m:sub>
            </m:sSub>
            <m:r>
              <w:rPr>
                <w:rFonts w:ascii="Cambria Math" w:hAnsi="Cambria Math"/>
              </w:rPr>
              <m:t>(t)-</m:t>
            </m:r>
            <m:sSub>
              <m:sSubPr>
                <m:ctrlPr>
                  <w:rPr>
                    <w:rFonts w:ascii="Cambria Math" w:hAnsi="Cambria Math"/>
                    <w:i/>
                  </w:rPr>
                </m:ctrlPr>
              </m:sSubPr>
              <m:e>
                <m:r>
                  <w:rPr>
                    <w:rFonts w:ascii="Cambria Math" w:hAnsi="Cambria Math"/>
                  </w:rPr>
                  <m:t>P</m:t>
                </m:r>
              </m:e>
              <m:sub>
                <m:r>
                  <w:rPr>
                    <w:rFonts w:ascii="Cambria Math" w:hAnsi="Cambria Math"/>
                  </w:rPr>
                  <m:t>ch</m:t>
                </m:r>
              </m:sub>
            </m:sSub>
            <m:r>
              <w:rPr>
                <w:rFonts w:ascii="Cambria Math" w:hAnsi="Cambria Math"/>
              </w:rPr>
              <m:t>(t)-Δ</m:t>
            </m:r>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(t)-D</m:t>
            </m:r>
            <m:r>
              <m:rPr>
                <m:nor/>
              </m:rPr>
              <w:rPr>
                <w:rFonts w:ascii="Cambria Math" w:hAnsi="Cambria Math"/>
                <w:i/>
              </w:rPr>
              <m:t> </m:t>
            </m:r>
            <m:r>
              <w:rPr>
                <w:rFonts w:ascii="Cambria Math" w:hAnsi="Cambria Math"/>
              </w:rPr>
              <m:t>Δf(t)</m:t>
            </m:r>
          </m:num>
          <m:den>
            <m:r>
              <w:rPr>
                <w:rFonts w:ascii="Cambria Math" w:hAnsi="Cambria Math"/>
              </w:rPr>
              <m:t>2H</m:t>
            </m:r>
            <m:r>
              <m:rPr>
                <m:nor/>
              </m:rPr>
              <w:rPr>
                <w:rFonts w:ascii="Cambria Math" w:hAnsi="Cambria Math"/>
                <w:i/>
              </w:rPr>
              <m:t> </m:t>
            </m:r>
            <m:sSub>
              <m:sSubPr>
                <m:ctrlPr>
                  <w:rPr>
                    <w:rFonts w:ascii="Cambria Math" w:hAnsi="Cambria Math"/>
                    <w:i/>
                  </w:rPr>
                </m:ctrlPr>
              </m:sSubPr>
              <m:e>
                <m:r>
                  <w:rPr>
                    <w:rFonts w:ascii="Cambria Math" w:hAnsi="Cambria Math"/>
                  </w:rPr>
                  <m:t>S</m:t>
                </m:r>
              </m:e>
              <m:sub>
                <m:r>
                  <w:rPr>
                    <w:rFonts w:ascii="Cambria Math" w:hAnsi="Cambria Math"/>
                  </w:rPr>
                  <m:t>base</m:t>
                </m:r>
              </m:sub>
            </m:sSub>
          </m:den>
        </m:f>
      </m:oMath>
      <w:r w:rsidR="00634DFB" w:rsidRPr="00634DFB">
        <w:rPr>
          <w:rFonts w:ascii="Times New Roman" w:eastAsiaTheme="minorEastAsia" w:hAnsi="Times New Roman" w:cs="Times New Roman"/>
          <w:sz w:val="20"/>
          <w:szCs w:val="20"/>
        </w:rPr>
        <w:t xml:space="preserve">                                              (2)</w:t>
      </w:r>
    </w:p>
    <w:p w14:paraId="6E0CF2DE" w14:textId="77777777" w:rsidR="00634DFB" w:rsidRPr="00634DFB" w:rsidRDefault="00634DFB" w:rsidP="00634DFB">
      <w:pPr>
        <w:spacing w:after="0" w:line="240" w:lineRule="auto"/>
        <w:ind w:firstLine="284"/>
        <w:jc w:val="both"/>
        <w:rPr>
          <w:rFonts w:ascii="Times New Roman" w:hAnsi="Times New Roman" w:cs="Times New Roman"/>
          <w:sz w:val="20"/>
          <w:szCs w:val="20"/>
        </w:rPr>
      </w:pPr>
      <w:r w:rsidRPr="00634DFB">
        <w:rPr>
          <w:rFonts w:ascii="Times New Roman" w:hAnsi="Times New Roman" w:cs="Times New Roman"/>
          <w:sz w:val="20"/>
          <w:szCs w:val="20"/>
        </w:rPr>
        <w:t xml:space="preserve">Where </w:t>
      </w:r>
      <m:oMath>
        <m:r>
          <m:rPr>
            <m:sty m:val="p"/>
          </m:rPr>
          <w:rPr>
            <w:rFonts w:ascii="Cambria Math" w:hAnsi="Cambria Math"/>
            <w:sz w:val="20"/>
            <w:szCs w:val="20"/>
          </w:rPr>
          <m:t>Δ</m:t>
        </m:r>
        <m:r>
          <w:rPr>
            <w:rFonts w:ascii="Cambria Math" w:hAnsi="Cambria Math"/>
            <w:sz w:val="20"/>
            <w:szCs w:val="20"/>
          </w:rPr>
          <m:t>f</m:t>
        </m:r>
      </m:oMath>
      <w:r w:rsidRPr="00634DFB">
        <w:rPr>
          <w:rFonts w:ascii="Times New Roman" w:hAnsi="Times New Roman" w:cs="Times New Roman"/>
          <w:sz w:val="20"/>
          <w:szCs w:val="20"/>
        </w:rPr>
        <w:t xml:space="preserve"> is the frequency deviation, </w:t>
      </w:r>
      <m:oMath>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m</m:t>
            </m:r>
          </m:sub>
        </m:sSub>
      </m:oMath>
      <w:r w:rsidRPr="00634DFB">
        <w:rPr>
          <w:rFonts w:ascii="Times New Roman" w:hAnsi="Times New Roman" w:cs="Times New Roman"/>
          <w:sz w:val="20"/>
          <w:szCs w:val="20"/>
        </w:rPr>
        <w:t xml:space="preserve"> is the change in mechanical power of the units,</w:t>
      </w:r>
      <w:r w:rsidRPr="00634DFB">
        <w:rPr>
          <w:rFonts w:ascii="Cambria Math" w:hAnsi="Cambria Math"/>
          <w:sz w:val="20"/>
          <w:szCs w:val="20"/>
        </w:rPr>
        <w:t xml:space="preserve"> </w:t>
      </w:r>
      <m:oMath>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L</m:t>
            </m:r>
          </m:sub>
        </m:sSub>
      </m:oMath>
      <w:r w:rsidRPr="00634DFB">
        <w:rPr>
          <w:rFonts w:ascii="Times New Roman" w:hAnsi="Times New Roman" w:cs="Times New Roman"/>
          <w:sz w:val="20"/>
          <w:szCs w:val="20"/>
        </w:rPr>
        <w:t xml:space="preserve"> is the load disturbance, </w:t>
      </w:r>
      <w:r w:rsidRPr="00634DFB">
        <w:rPr>
          <w:rFonts w:ascii="Times New Roman" w:hAnsi="Times New Roman" w:cs="Times New Roman"/>
          <w:i/>
          <w:iCs/>
          <w:sz w:val="20"/>
          <w:szCs w:val="20"/>
        </w:rPr>
        <w:t>D</w:t>
      </w:r>
      <w:r w:rsidRPr="00634DFB">
        <w:rPr>
          <w:rFonts w:ascii="Times New Roman" w:hAnsi="Times New Roman" w:cs="Times New Roman"/>
          <w:sz w:val="20"/>
          <w:szCs w:val="20"/>
        </w:rPr>
        <w:t xml:space="preserve"> is the damping coefficient, </w:t>
      </w:r>
      <w:r w:rsidRPr="00634DFB">
        <w:rPr>
          <w:rFonts w:ascii="Times New Roman" w:hAnsi="Times New Roman" w:cs="Times New Roman"/>
          <w:i/>
          <w:iCs/>
          <w:sz w:val="20"/>
          <w:szCs w:val="20"/>
        </w:rPr>
        <w:t>H</w:t>
      </w:r>
      <w:r w:rsidRPr="00634DFB">
        <w:rPr>
          <w:rFonts w:ascii="Times New Roman" w:hAnsi="Times New Roman" w:cs="Times New Roman"/>
          <w:sz w:val="20"/>
          <w:szCs w:val="20"/>
        </w:rPr>
        <w:t xml:space="preserve"> is the specific inertia constant, </w:t>
      </w:r>
      <m:oMath>
        <m:sSub>
          <m:sSubPr>
            <m:ctrlPr>
              <w:rPr>
                <w:rFonts w:ascii="Cambria Math" w:hAnsi="Cambria Math"/>
                <w:sz w:val="20"/>
                <w:szCs w:val="20"/>
              </w:rPr>
            </m:ctrlPr>
          </m:sSubPr>
          <m:e>
            <m:r>
              <w:rPr>
                <w:rFonts w:ascii="Cambria Math" w:hAnsi="Cambria Math"/>
                <w:sz w:val="20"/>
                <w:szCs w:val="20"/>
              </w:rPr>
              <m:t>S</m:t>
            </m:r>
          </m:e>
          <m:sub>
            <m:r>
              <m:rPr>
                <m:sty m:val="p"/>
              </m:rPr>
              <w:rPr>
                <w:rFonts w:ascii="Cambria Math" w:hAnsi="Cambria Math"/>
                <w:sz w:val="20"/>
                <w:szCs w:val="20"/>
              </w:rPr>
              <m:t>base</m:t>
            </m:r>
          </m:sub>
        </m:sSub>
      </m:oMath>
      <w:r w:rsidRPr="00634DFB">
        <w:rPr>
          <w:rFonts w:ascii="Times New Roman" w:hAnsi="Times New Roman" w:cs="Times New Roman"/>
          <w:sz w:val="20"/>
          <w:szCs w:val="20"/>
        </w:rPr>
        <w:t xml:space="preserve"> is the base power.</w:t>
      </w:r>
    </w:p>
    <w:p w14:paraId="01CE0DD0" w14:textId="77777777" w:rsidR="00634DFB" w:rsidRPr="00634DFB" w:rsidRDefault="00634DFB" w:rsidP="00634DFB">
      <w:pPr>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The energy of the storage device is integrated over time steps based on the discrete energy balance (3), taking into account the efficiency of charging and discharging.</w:t>
      </w:r>
    </w:p>
    <w:p w14:paraId="58F4A2FA" w14:textId="77777777" w:rsidR="00634DFB" w:rsidRPr="00634DFB" w:rsidRDefault="00634DFB" w:rsidP="00634DFB">
      <w:pPr>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Discrete energy balance of the storage device at the</w:t>
      </w:r>
      <w:r w:rsidRPr="00634DFB">
        <w:rPr>
          <w:rFonts w:ascii="Cambria Math" w:hAnsi="Cambria Math"/>
          <w:sz w:val="20"/>
          <w:szCs w:val="20"/>
        </w:rPr>
        <w:t xml:space="preserve"> </w:t>
      </w:r>
      <m:oMath>
        <m:r>
          <m:rPr>
            <m:sty m:val="p"/>
          </m:rPr>
          <w:rPr>
            <w:rFonts w:ascii="Cambria Math" w:hAnsi="Cambria Math"/>
            <w:sz w:val="20"/>
            <w:szCs w:val="20"/>
          </w:rPr>
          <m:t>Δ</m:t>
        </m:r>
        <m:r>
          <w:rPr>
            <w:rFonts w:ascii="Cambria Math" w:hAnsi="Cambria Math"/>
            <w:sz w:val="20"/>
            <w:szCs w:val="20"/>
          </w:rPr>
          <m:t>t</m:t>
        </m:r>
      </m:oMath>
    </w:p>
    <w:p w14:paraId="3C1D366D" w14:textId="77777777" w:rsidR="00634DFB" w:rsidRPr="00634DFB" w:rsidRDefault="00634DFB" w:rsidP="00634DFB">
      <w:pPr>
        <w:spacing w:after="0" w:line="240" w:lineRule="auto"/>
        <w:jc w:val="right"/>
        <w:rPr>
          <w:rFonts w:ascii="Times New Roman" w:eastAsiaTheme="minorEastAsia" w:hAnsi="Times New Roman" w:cs="Times New Roman"/>
          <w:sz w:val="20"/>
          <w:szCs w:val="20"/>
        </w:rPr>
      </w:pPr>
      <m:oMath>
        <m:r>
          <w:rPr>
            <w:rFonts w:ascii="Cambria Math" w:hAnsi="Cambria Math"/>
            <w:sz w:val="20"/>
            <w:szCs w:val="20"/>
          </w:rPr>
          <m:t>E(t+</m:t>
        </m:r>
        <m:r>
          <m:rPr>
            <m:sty m:val="p"/>
          </m:rPr>
          <w:rPr>
            <w:rFonts w:ascii="Cambria Math" w:hAnsi="Cambria Math"/>
            <w:sz w:val="20"/>
            <w:szCs w:val="20"/>
          </w:rPr>
          <m:t>Δ</m:t>
        </m:r>
        <m:r>
          <w:rPr>
            <w:rFonts w:ascii="Cambria Math" w:hAnsi="Cambria Math"/>
            <w:sz w:val="20"/>
            <w:szCs w:val="20"/>
          </w:rPr>
          <m:t>t)=E(t)+</m:t>
        </m:r>
        <m:sSub>
          <m:sSubPr>
            <m:ctrlPr>
              <w:rPr>
                <w:rFonts w:ascii="Cambria Math" w:hAnsi="Cambria Math"/>
                <w:sz w:val="20"/>
                <w:szCs w:val="20"/>
              </w:rPr>
            </m:ctrlPr>
          </m:sSubPr>
          <m:e>
            <m:r>
              <w:rPr>
                <w:rFonts w:ascii="Cambria Math" w:hAnsi="Cambria Math"/>
                <w:sz w:val="20"/>
                <w:szCs w:val="20"/>
              </w:rPr>
              <m:t>η</m:t>
            </m:r>
          </m:e>
          <m:sub>
            <m:r>
              <m:rPr>
                <m:sty m:val="p"/>
              </m:rPr>
              <w:rPr>
                <w:rFonts w:ascii="Cambria Math" w:hAnsi="Cambria Math"/>
                <w:sz w:val="20"/>
                <w:szCs w:val="20"/>
              </w:rPr>
              <m:t>ch</m:t>
            </m:r>
          </m:sub>
        </m:sSub>
        <m:r>
          <m:rPr>
            <m:nor/>
          </m:rPr>
          <w:rPr>
            <w:sz w:val="20"/>
            <w:szCs w:val="20"/>
          </w:rPr>
          <m:t> </m:t>
        </m:r>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ch</m:t>
            </m:r>
          </m:sub>
        </m:sSub>
        <m:r>
          <w:rPr>
            <w:rFonts w:ascii="Cambria Math" w:hAnsi="Cambria Math"/>
            <w:sz w:val="20"/>
            <w:szCs w:val="20"/>
          </w:rPr>
          <m:t>(t)</m:t>
        </m:r>
        <m:r>
          <m:rPr>
            <m:nor/>
          </m:rPr>
          <w:rPr>
            <w:sz w:val="20"/>
            <w:szCs w:val="20"/>
          </w:rPr>
          <m:t> </m:t>
        </m:r>
        <m:r>
          <m:rPr>
            <m:sty m:val="p"/>
          </m:rPr>
          <w:rPr>
            <w:rFonts w:ascii="Cambria Math" w:hAnsi="Cambria Math"/>
            <w:sz w:val="20"/>
            <w:szCs w:val="20"/>
          </w:rPr>
          <m:t>Δ</m:t>
        </m:r>
        <m:r>
          <w:rPr>
            <w:rFonts w:ascii="Cambria Math" w:hAnsi="Cambria Math"/>
            <w:sz w:val="20"/>
            <w:szCs w:val="20"/>
          </w:rPr>
          <m:t>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dis</m:t>
                </m:r>
              </m:sub>
            </m:sSub>
            <m:r>
              <w:rPr>
                <w:rFonts w:ascii="Cambria Math" w:hAnsi="Cambria Math"/>
                <w:sz w:val="20"/>
                <w:szCs w:val="20"/>
              </w:rPr>
              <m:t>(t)</m:t>
            </m:r>
            <m:r>
              <m:rPr>
                <m:nor/>
              </m:rPr>
              <w:rPr>
                <w:sz w:val="20"/>
                <w:szCs w:val="20"/>
              </w:rPr>
              <m:t> </m:t>
            </m:r>
            <m:r>
              <m:rPr>
                <m:sty m:val="p"/>
              </m:rPr>
              <w:rPr>
                <w:rFonts w:ascii="Cambria Math" w:hAnsi="Cambria Math"/>
                <w:sz w:val="20"/>
                <w:szCs w:val="20"/>
              </w:rPr>
              <m:t>Δ</m:t>
            </m:r>
            <m:r>
              <w:rPr>
                <w:rFonts w:ascii="Cambria Math" w:hAnsi="Cambria Math"/>
                <w:sz w:val="20"/>
                <w:szCs w:val="20"/>
              </w:rPr>
              <m:t>t</m:t>
            </m:r>
          </m:num>
          <m:den>
            <m:sSub>
              <m:sSubPr>
                <m:ctrlPr>
                  <w:rPr>
                    <w:rFonts w:ascii="Cambria Math" w:hAnsi="Cambria Math"/>
                    <w:sz w:val="20"/>
                    <w:szCs w:val="20"/>
                  </w:rPr>
                </m:ctrlPr>
              </m:sSubPr>
              <m:e>
                <m:r>
                  <w:rPr>
                    <w:rFonts w:ascii="Cambria Math" w:hAnsi="Cambria Math"/>
                    <w:sz w:val="20"/>
                    <w:szCs w:val="20"/>
                  </w:rPr>
                  <m:t>η</m:t>
                </m:r>
              </m:e>
              <m:sub>
                <m:r>
                  <m:rPr>
                    <m:sty m:val="p"/>
                  </m:rPr>
                  <w:rPr>
                    <w:rFonts w:ascii="Cambria Math" w:hAnsi="Cambria Math"/>
                    <w:sz w:val="20"/>
                    <w:szCs w:val="20"/>
                  </w:rPr>
                  <m:t>dis</m:t>
                </m:r>
              </m:sub>
            </m:sSub>
          </m:den>
        </m:f>
      </m:oMath>
      <w:r w:rsidRPr="00634DFB">
        <w:rPr>
          <w:rFonts w:ascii="Times New Roman" w:eastAsiaTheme="minorEastAsia" w:hAnsi="Times New Roman" w:cs="Times New Roman"/>
          <w:sz w:val="20"/>
          <w:szCs w:val="20"/>
        </w:rPr>
        <w:t xml:space="preserve">                                           (3)</w:t>
      </w:r>
    </w:p>
    <w:p w14:paraId="47BDC9C4" w14:textId="77777777" w:rsidR="00634DFB" w:rsidRPr="00634DFB" w:rsidRDefault="00634DFB" w:rsidP="00634DFB">
      <w:pPr>
        <w:spacing w:after="0" w:line="240" w:lineRule="auto"/>
        <w:ind w:firstLine="284"/>
        <w:jc w:val="both"/>
        <w:rPr>
          <w:rFonts w:ascii="Times New Roman" w:hAnsi="Times New Roman" w:cs="Times New Roman"/>
          <w:sz w:val="20"/>
          <w:szCs w:val="20"/>
        </w:rPr>
      </w:pPr>
      <w:r w:rsidRPr="00634DFB">
        <w:rPr>
          <w:rFonts w:ascii="Times New Roman" w:hAnsi="Times New Roman" w:cs="Times New Roman"/>
          <w:sz w:val="20"/>
          <w:szCs w:val="20"/>
        </w:rPr>
        <w:t xml:space="preserve">where </w:t>
      </w:r>
      <w:r w:rsidRPr="00634DFB">
        <w:rPr>
          <w:rFonts w:ascii="Times New Roman" w:hAnsi="Times New Roman" w:cs="Times New Roman"/>
          <w:i/>
          <w:iCs/>
          <w:sz w:val="20"/>
          <w:szCs w:val="20"/>
        </w:rPr>
        <w:t>E</w:t>
      </w:r>
      <w:r w:rsidRPr="00634DFB">
        <w:rPr>
          <w:rFonts w:ascii="Times New Roman" w:hAnsi="Times New Roman" w:cs="Times New Roman"/>
          <w:sz w:val="20"/>
          <w:szCs w:val="20"/>
        </w:rPr>
        <w:t xml:space="preserve"> is the energy reserve,</w:t>
      </w:r>
      <w:r w:rsidRPr="00634DFB">
        <w:rPr>
          <w:rFonts w:ascii="Cambria Math" w:hAnsi="Cambria Math"/>
          <w:sz w:val="20"/>
          <w:szCs w:val="20"/>
        </w:rPr>
        <w:t xml:space="preserve"> </w:t>
      </w:r>
      <m:oMath>
        <m:sSub>
          <m:sSubPr>
            <m:ctrlPr>
              <w:rPr>
                <w:rFonts w:ascii="Cambria Math" w:hAnsi="Cambria Math"/>
                <w:sz w:val="20"/>
                <w:szCs w:val="20"/>
              </w:rPr>
            </m:ctrlPr>
          </m:sSubPr>
          <m:e>
            <m:r>
              <w:rPr>
                <w:rFonts w:ascii="Cambria Math" w:hAnsi="Cambria Math"/>
                <w:sz w:val="20"/>
                <w:szCs w:val="20"/>
              </w:rPr>
              <m:t>η</m:t>
            </m:r>
          </m:e>
          <m:sub>
            <m:r>
              <m:rPr>
                <m:sty m:val="p"/>
              </m:rPr>
              <w:rPr>
                <w:rFonts w:ascii="Cambria Math" w:hAnsi="Cambria Math"/>
                <w:sz w:val="20"/>
                <w:szCs w:val="20"/>
              </w:rPr>
              <m:t>ch</m:t>
            </m:r>
          </m:sub>
        </m:sSub>
      </m:oMath>
      <w:r w:rsidRPr="00634DFB">
        <w:rPr>
          <w:rFonts w:ascii="Times New Roman" w:hAnsi="Times New Roman" w:cs="Times New Roman"/>
          <w:sz w:val="20"/>
          <w:szCs w:val="20"/>
        </w:rPr>
        <w:t xml:space="preserve"> and </w:t>
      </w:r>
      <m:oMath>
        <m:sSub>
          <m:sSubPr>
            <m:ctrlPr>
              <w:rPr>
                <w:rFonts w:ascii="Cambria Math" w:hAnsi="Cambria Math"/>
                <w:sz w:val="20"/>
                <w:szCs w:val="20"/>
              </w:rPr>
            </m:ctrlPr>
          </m:sSubPr>
          <m:e>
            <m:r>
              <w:rPr>
                <w:rFonts w:ascii="Cambria Math" w:hAnsi="Cambria Math"/>
                <w:sz w:val="20"/>
                <w:szCs w:val="20"/>
              </w:rPr>
              <m:t>η</m:t>
            </m:r>
          </m:e>
          <m:sub>
            <m:r>
              <m:rPr>
                <m:sty m:val="p"/>
              </m:rPr>
              <w:rPr>
                <w:rFonts w:ascii="Cambria Math" w:hAnsi="Cambria Math"/>
                <w:sz w:val="20"/>
                <w:szCs w:val="20"/>
              </w:rPr>
              <m:t>dis</m:t>
            </m:r>
          </m:sub>
        </m:sSub>
        <m:r>
          <w:rPr>
            <w:rFonts w:ascii="Cambria Math" w:hAnsi="Cambria Math"/>
            <w:sz w:val="20"/>
            <w:szCs w:val="20"/>
          </w:rPr>
          <m:t xml:space="preserve"> </m:t>
        </m:r>
      </m:oMath>
      <w:r w:rsidRPr="00634DFB">
        <w:rPr>
          <w:rFonts w:ascii="Times New Roman" w:hAnsi="Times New Roman" w:cs="Times New Roman"/>
          <w:sz w:val="20"/>
          <w:szCs w:val="20"/>
        </w:rPr>
        <w:t>are charge and discharge efficiency.</w:t>
      </w:r>
    </w:p>
    <w:p w14:paraId="56F239B2" w14:textId="77777777" w:rsidR="00634DFB" w:rsidRPr="00634DFB" w:rsidRDefault="00634DFB" w:rsidP="00634DFB">
      <w:pPr>
        <w:spacing w:after="0" w:line="240" w:lineRule="auto"/>
        <w:ind w:firstLine="284"/>
        <w:jc w:val="both"/>
        <w:rPr>
          <w:rFonts w:ascii="Times New Roman" w:eastAsiaTheme="minorEastAsia" w:hAnsi="Times New Roman" w:cs="Times New Roman"/>
          <w:sz w:val="20"/>
          <w:szCs w:val="20"/>
        </w:rPr>
      </w:pPr>
      <w:r w:rsidRPr="00634DFB">
        <w:rPr>
          <w:rFonts w:ascii="Times New Roman" w:hAnsi="Times New Roman" w:cs="Times New Roman"/>
          <w:sz w:val="20"/>
          <w:szCs w:val="20"/>
        </w:rPr>
        <w:t>Constraints on storage state and power</w:t>
      </w:r>
    </w:p>
    <w:p w14:paraId="259C452C" w14:textId="77777777" w:rsidR="00634DFB" w:rsidRPr="00634DFB" w:rsidRDefault="00634DFB" w:rsidP="00634DFB">
      <w:pPr>
        <w:spacing w:after="0" w:line="240" w:lineRule="auto"/>
        <w:jc w:val="right"/>
        <w:rPr>
          <w:rFonts w:ascii="Times New Roman" w:eastAsiaTheme="minorEastAsia" w:hAnsi="Times New Roman" w:cs="Times New Roman"/>
          <w:color w:val="EE0000"/>
          <w:sz w:val="20"/>
          <w:szCs w:val="20"/>
        </w:rPr>
      </w:pPr>
      <m:oMath>
        <m:r>
          <w:rPr>
            <w:rFonts w:ascii="Cambria Math" w:hAnsi="Cambria Math"/>
            <w:sz w:val="20"/>
            <w:szCs w:val="20"/>
          </w:rPr>
          <m:t>0≤E(t)≤</m:t>
        </m:r>
        <m:sSub>
          <m:sSubPr>
            <m:ctrlPr>
              <w:rPr>
                <w:rFonts w:ascii="Cambria Math" w:hAnsi="Cambria Math"/>
                <w:sz w:val="20"/>
                <w:szCs w:val="20"/>
              </w:rPr>
            </m:ctrlPr>
          </m:sSubPr>
          <m:e>
            <m:r>
              <w:rPr>
                <w:rFonts w:ascii="Cambria Math" w:hAnsi="Cambria Math"/>
                <w:sz w:val="20"/>
                <w:szCs w:val="20"/>
              </w:rPr>
              <m:t>E</m:t>
            </m:r>
          </m:e>
          <m:sub>
            <m:r>
              <m:rPr>
                <m:sty m:val="p"/>
              </m:rPr>
              <w:rPr>
                <w:rFonts w:ascii="Cambria Math" w:hAnsi="Cambria Math"/>
                <w:sz w:val="20"/>
                <w:szCs w:val="20"/>
              </w:rPr>
              <m:t>max</m:t>
            </m:r>
          </m:sub>
        </m:sSub>
        <m:r>
          <w:rPr>
            <w:rFonts w:ascii="Cambria Math" w:hAnsi="Cambria Math"/>
            <w:sz w:val="20"/>
            <w:szCs w:val="20"/>
          </w:rPr>
          <m:t>,0≤</m:t>
        </m:r>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ch</m:t>
            </m:r>
          </m:sub>
        </m:sSub>
        <m:r>
          <w:rPr>
            <w:rFonts w:ascii="Cambria Math" w:hAnsi="Cambria Math"/>
            <w:sz w:val="20"/>
            <w:szCs w:val="20"/>
          </w:rPr>
          <m:t>(t)≤</m:t>
        </m:r>
        <m:sSubSup>
          <m:sSubSupPr>
            <m:ctrlPr>
              <w:rPr>
                <w:rFonts w:ascii="Cambria Math" w:hAnsi="Cambria Math"/>
                <w:sz w:val="20"/>
                <w:szCs w:val="20"/>
              </w:rPr>
            </m:ctrlPr>
          </m:sSubSupPr>
          <m:e>
            <m:r>
              <w:rPr>
                <w:rFonts w:ascii="Cambria Math" w:hAnsi="Cambria Math"/>
                <w:sz w:val="20"/>
                <w:szCs w:val="20"/>
              </w:rPr>
              <m:t>P</m:t>
            </m:r>
          </m:e>
          <m:sub>
            <m:r>
              <m:rPr>
                <m:sty m:val="p"/>
              </m:rPr>
              <w:rPr>
                <w:rFonts w:ascii="Cambria Math" w:hAnsi="Cambria Math"/>
                <w:sz w:val="20"/>
                <w:szCs w:val="20"/>
              </w:rPr>
              <m:t>ch</m:t>
            </m:r>
          </m:sub>
          <m:sup>
            <m:r>
              <m:rPr>
                <m:sty m:val="p"/>
              </m:rPr>
              <w:rPr>
                <w:rFonts w:ascii="Cambria Math" w:hAnsi="Cambria Math"/>
                <w:sz w:val="20"/>
                <w:szCs w:val="20"/>
              </w:rPr>
              <m:t>max</m:t>
            </m:r>
          </m:sup>
        </m:sSubSup>
        <m:r>
          <w:rPr>
            <w:rFonts w:ascii="Cambria Math" w:hAnsi="Cambria Math"/>
            <w:sz w:val="20"/>
            <w:szCs w:val="20"/>
          </w:rPr>
          <m:t>,0≤</m:t>
        </m:r>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dis</m:t>
            </m:r>
          </m:sub>
        </m:sSub>
        <m:r>
          <w:rPr>
            <w:rFonts w:ascii="Cambria Math" w:hAnsi="Cambria Math"/>
            <w:sz w:val="20"/>
            <w:szCs w:val="20"/>
          </w:rPr>
          <m:t>(t)≤</m:t>
        </m:r>
        <m:sSubSup>
          <m:sSubSupPr>
            <m:ctrlPr>
              <w:rPr>
                <w:rFonts w:ascii="Cambria Math" w:hAnsi="Cambria Math"/>
                <w:sz w:val="20"/>
                <w:szCs w:val="20"/>
              </w:rPr>
            </m:ctrlPr>
          </m:sSubSupPr>
          <m:e>
            <m:r>
              <w:rPr>
                <w:rFonts w:ascii="Cambria Math" w:hAnsi="Cambria Math"/>
                <w:sz w:val="20"/>
                <w:szCs w:val="20"/>
              </w:rPr>
              <m:t>P</m:t>
            </m:r>
          </m:e>
          <m:sub>
            <m:r>
              <m:rPr>
                <m:sty m:val="p"/>
              </m:rPr>
              <w:rPr>
                <w:rFonts w:ascii="Cambria Math" w:hAnsi="Cambria Math"/>
                <w:sz w:val="20"/>
                <w:szCs w:val="20"/>
              </w:rPr>
              <m:t>dis</m:t>
            </m:r>
          </m:sub>
          <m:sup>
            <m:r>
              <m:rPr>
                <m:sty m:val="p"/>
              </m:rPr>
              <w:rPr>
                <w:rFonts w:ascii="Cambria Math" w:hAnsi="Cambria Math"/>
                <w:sz w:val="20"/>
                <w:szCs w:val="20"/>
              </w:rPr>
              <m:t>max</m:t>
            </m:r>
          </m:sup>
        </m:sSubSup>
        <m:r>
          <m:rPr>
            <m:sty m:val="p"/>
          </m:rPr>
          <w:rPr>
            <w:rFonts w:ascii="Cambria Math" w:hAnsi="Cambria Math" w:cs="Times New Roman"/>
            <w:sz w:val="20"/>
            <w:szCs w:val="20"/>
          </w:rPr>
          <m:t xml:space="preserve"> </m:t>
        </m:r>
      </m:oMath>
      <w:r w:rsidRPr="00634DFB">
        <w:rPr>
          <w:rFonts w:ascii="Times New Roman" w:eastAsiaTheme="minorEastAsia" w:hAnsi="Times New Roman" w:cs="Times New Roman"/>
          <w:sz w:val="20"/>
          <w:szCs w:val="20"/>
        </w:rPr>
        <w:t xml:space="preserve">                        (4)</w:t>
      </w:r>
    </w:p>
    <w:p w14:paraId="285CD7A4" w14:textId="77777777" w:rsidR="00F36125" w:rsidRPr="00634DFB" w:rsidRDefault="00F36125" w:rsidP="00634DFB">
      <w:pPr>
        <w:spacing w:after="0" w:line="240" w:lineRule="auto"/>
        <w:jc w:val="center"/>
        <w:rPr>
          <w:rFonts w:ascii="Times New Roman" w:eastAsiaTheme="minorEastAsia" w:hAnsi="Times New Roman" w:cs="Times New Roman"/>
          <w:b/>
          <w:bCs/>
          <w:sz w:val="20"/>
          <w:szCs w:val="20"/>
        </w:rPr>
      </w:pPr>
      <w:r w:rsidRPr="00634DFB">
        <w:rPr>
          <w:rFonts w:ascii="Times New Roman" w:hAnsi="Times New Roman" w:cs="Times New Roman"/>
          <w:b/>
          <w:sz w:val="20"/>
          <w:szCs w:val="20"/>
          <w:lang w:eastAsia="de-DE"/>
        </w:rPr>
        <w:lastRenderedPageBreak/>
        <w:t>TABLE</w:t>
      </w:r>
      <w:r w:rsidRPr="00634DFB">
        <w:rPr>
          <w:rFonts w:ascii="Times New Roman" w:eastAsiaTheme="minorEastAsia" w:hAnsi="Times New Roman" w:cs="Times New Roman"/>
          <w:b/>
          <w:bCs/>
          <w:sz w:val="20"/>
          <w:szCs w:val="20"/>
        </w:rPr>
        <w:t xml:space="preserve"> 4. </w:t>
      </w:r>
      <w:r w:rsidRPr="00634DFB">
        <w:rPr>
          <w:rFonts w:ascii="Times New Roman" w:eastAsiaTheme="minorEastAsia" w:hAnsi="Times New Roman" w:cs="Times New Roman"/>
          <w:sz w:val="20"/>
          <w:szCs w:val="20"/>
        </w:rPr>
        <w:t>Comparison of energy storage system technologies by key parameters</w:t>
      </w: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88"/>
        <w:gridCol w:w="992"/>
        <w:gridCol w:w="850"/>
        <w:gridCol w:w="851"/>
        <w:gridCol w:w="1224"/>
        <w:gridCol w:w="750"/>
        <w:gridCol w:w="1288"/>
        <w:gridCol w:w="1132"/>
        <w:gridCol w:w="1118"/>
      </w:tblGrid>
      <w:tr w:rsidR="00F36125" w:rsidRPr="00634DFB" w14:paraId="63C88859" w14:textId="77777777" w:rsidTr="00634DFB">
        <w:trPr>
          <w:trHeight w:val="20"/>
          <w:jc w:val="center"/>
        </w:trPr>
        <w:tc>
          <w:tcPr>
            <w:tcW w:w="988" w:type="dxa"/>
            <w:vAlign w:val="center"/>
            <w:hideMark/>
          </w:tcPr>
          <w:p w14:paraId="0CC9747D" w14:textId="77777777" w:rsidR="00F36125" w:rsidRPr="00634DFB" w:rsidRDefault="00F36125" w:rsidP="00634DFB">
            <w:pPr>
              <w:spacing w:after="0" w:line="240" w:lineRule="auto"/>
              <w:jc w:val="center"/>
              <w:rPr>
                <w:rFonts w:ascii="Times New Roman" w:hAnsi="Times New Roman" w:cs="Times New Roman"/>
                <w:b/>
                <w:bCs/>
                <w:spacing w:val="-2"/>
                <w:sz w:val="18"/>
                <w:szCs w:val="18"/>
              </w:rPr>
            </w:pPr>
            <w:r w:rsidRPr="00634DFB">
              <w:rPr>
                <w:rFonts w:ascii="Times New Roman" w:eastAsiaTheme="minorEastAsia" w:hAnsi="Times New Roman" w:cs="Times New Roman"/>
                <w:sz w:val="18"/>
                <w:szCs w:val="18"/>
              </w:rPr>
              <w:t>Technology</w:t>
            </w:r>
            <w:r w:rsidRPr="00634DFB">
              <w:rPr>
                <w:rFonts w:ascii="Times New Roman" w:hAnsi="Times New Roman" w:cs="Times New Roman"/>
                <w:b/>
                <w:bCs/>
                <w:spacing w:val="-2"/>
                <w:sz w:val="18"/>
                <w:szCs w:val="18"/>
              </w:rPr>
              <w:t xml:space="preserve"> </w:t>
            </w:r>
          </w:p>
        </w:tc>
        <w:tc>
          <w:tcPr>
            <w:tcW w:w="992" w:type="dxa"/>
            <w:vAlign w:val="center"/>
            <w:hideMark/>
          </w:tcPr>
          <w:p w14:paraId="2786A4F2" w14:textId="77777777" w:rsidR="00F36125" w:rsidRPr="00634DFB" w:rsidRDefault="00F36125" w:rsidP="00634DFB">
            <w:pPr>
              <w:spacing w:after="0" w:line="240" w:lineRule="auto"/>
              <w:jc w:val="center"/>
              <w:rPr>
                <w:rFonts w:ascii="Times New Roman" w:hAnsi="Times New Roman" w:cs="Times New Roman"/>
                <w:b/>
                <w:bCs/>
                <w:spacing w:val="-2"/>
                <w:sz w:val="18"/>
                <w:szCs w:val="18"/>
              </w:rPr>
            </w:pPr>
            <w:r w:rsidRPr="00634DFB">
              <w:rPr>
                <w:rFonts w:ascii="Times New Roman" w:eastAsiaTheme="minorEastAsia" w:hAnsi="Times New Roman" w:cs="Times New Roman"/>
                <w:sz w:val="18"/>
                <w:szCs w:val="18"/>
              </w:rPr>
              <w:t xml:space="preserve">Response Time </w:t>
            </w:r>
          </w:p>
        </w:tc>
        <w:tc>
          <w:tcPr>
            <w:tcW w:w="850" w:type="dxa"/>
            <w:vAlign w:val="center"/>
            <w:hideMark/>
          </w:tcPr>
          <w:p w14:paraId="7372A0F7" w14:textId="77777777" w:rsidR="00F36125" w:rsidRPr="00634DFB" w:rsidRDefault="00F36125" w:rsidP="00634DFB">
            <w:pPr>
              <w:spacing w:after="0" w:line="240" w:lineRule="auto"/>
              <w:jc w:val="center"/>
              <w:rPr>
                <w:rFonts w:ascii="Times New Roman" w:hAnsi="Times New Roman" w:cs="Times New Roman"/>
                <w:b/>
                <w:bCs/>
                <w:spacing w:val="-2"/>
                <w:sz w:val="18"/>
                <w:szCs w:val="18"/>
              </w:rPr>
            </w:pPr>
            <w:r w:rsidRPr="00634DFB">
              <w:rPr>
                <w:rFonts w:ascii="Times New Roman" w:eastAsiaTheme="minorEastAsia" w:hAnsi="Times New Roman" w:cs="Times New Roman"/>
                <w:sz w:val="18"/>
                <w:szCs w:val="18"/>
              </w:rPr>
              <w:t xml:space="preserve">Discharge, h </w:t>
            </w:r>
          </w:p>
        </w:tc>
        <w:tc>
          <w:tcPr>
            <w:tcW w:w="851" w:type="dxa"/>
            <w:vAlign w:val="center"/>
            <w:hideMark/>
          </w:tcPr>
          <w:p w14:paraId="0F9627C2" w14:textId="77777777" w:rsidR="00F36125" w:rsidRPr="00634DFB" w:rsidRDefault="00F36125" w:rsidP="00634DFB">
            <w:pPr>
              <w:spacing w:after="0" w:line="240" w:lineRule="auto"/>
              <w:jc w:val="center"/>
              <w:rPr>
                <w:rFonts w:ascii="Times New Roman" w:hAnsi="Times New Roman" w:cs="Times New Roman"/>
                <w:b/>
                <w:bCs/>
                <w:spacing w:val="-2"/>
                <w:sz w:val="18"/>
                <w:szCs w:val="18"/>
              </w:rPr>
            </w:pPr>
            <w:r w:rsidRPr="00634DFB">
              <w:rPr>
                <w:rFonts w:ascii="Times New Roman" w:eastAsiaTheme="minorEastAsia" w:hAnsi="Times New Roman" w:cs="Times New Roman"/>
                <w:sz w:val="18"/>
                <w:szCs w:val="18"/>
              </w:rPr>
              <w:t xml:space="preserve">Efficiency, % </w:t>
            </w:r>
          </w:p>
        </w:tc>
        <w:tc>
          <w:tcPr>
            <w:tcW w:w="1224" w:type="dxa"/>
            <w:vAlign w:val="center"/>
            <w:hideMark/>
          </w:tcPr>
          <w:p w14:paraId="0E7FF30E" w14:textId="77777777" w:rsidR="00F36125" w:rsidRPr="00634DFB" w:rsidRDefault="00F36125" w:rsidP="00634DFB">
            <w:pPr>
              <w:spacing w:after="0" w:line="240" w:lineRule="auto"/>
              <w:jc w:val="center"/>
              <w:rPr>
                <w:rFonts w:ascii="Times New Roman" w:hAnsi="Times New Roman" w:cs="Times New Roman"/>
                <w:b/>
                <w:bCs/>
                <w:spacing w:val="-2"/>
                <w:sz w:val="18"/>
                <w:szCs w:val="18"/>
              </w:rPr>
            </w:pPr>
            <w:r w:rsidRPr="00634DFB">
              <w:rPr>
                <w:rFonts w:ascii="Times New Roman" w:eastAsiaTheme="minorEastAsia" w:hAnsi="Times New Roman" w:cs="Times New Roman"/>
                <w:sz w:val="18"/>
                <w:szCs w:val="18"/>
              </w:rPr>
              <w:t xml:space="preserve">Lifespan, cycles/years </w:t>
            </w:r>
          </w:p>
        </w:tc>
        <w:tc>
          <w:tcPr>
            <w:tcW w:w="750" w:type="dxa"/>
            <w:vAlign w:val="center"/>
            <w:hideMark/>
          </w:tcPr>
          <w:p w14:paraId="5D9C0EB1" w14:textId="77777777" w:rsidR="00F36125" w:rsidRPr="00634DFB" w:rsidRDefault="00F36125" w:rsidP="00634DFB">
            <w:pPr>
              <w:spacing w:after="0" w:line="240" w:lineRule="auto"/>
              <w:jc w:val="center"/>
              <w:rPr>
                <w:rFonts w:ascii="Times New Roman" w:hAnsi="Times New Roman" w:cs="Times New Roman"/>
                <w:b/>
                <w:bCs/>
                <w:spacing w:val="-2"/>
                <w:sz w:val="18"/>
                <w:szCs w:val="18"/>
              </w:rPr>
            </w:pPr>
            <w:r w:rsidRPr="00634DFB">
              <w:rPr>
                <w:rFonts w:ascii="Times New Roman" w:eastAsiaTheme="minorEastAsia" w:hAnsi="Times New Roman" w:cs="Times New Roman"/>
                <w:sz w:val="18"/>
                <w:szCs w:val="18"/>
              </w:rPr>
              <w:t xml:space="preserve">Scale, MW </w:t>
            </w:r>
          </w:p>
        </w:tc>
        <w:tc>
          <w:tcPr>
            <w:tcW w:w="1288" w:type="dxa"/>
            <w:vAlign w:val="center"/>
            <w:hideMark/>
          </w:tcPr>
          <w:p w14:paraId="46EC7564" w14:textId="77777777" w:rsidR="00F36125" w:rsidRPr="00634DFB" w:rsidRDefault="00F36125" w:rsidP="00634DFB">
            <w:pPr>
              <w:spacing w:after="0" w:line="240" w:lineRule="auto"/>
              <w:jc w:val="center"/>
              <w:rPr>
                <w:rFonts w:ascii="Times New Roman" w:hAnsi="Times New Roman" w:cs="Times New Roman"/>
                <w:b/>
                <w:bCs/>
                <w:spacing w:val="-2"/>
                <w:sz w:val="18"/>
                <w:szCs w:val="18"/>
              </w:rPr>
            </w:pPr>
            <w:r w:rsidRPr="00634DFB">
              <w:rPr>
                <w:rFonts w:ascii="Times New Roman" w:eastAsiaTheme="minorEastAsia" w:hAnsi="Times New Roman" w:cs="Times New Roman"/>
                <w:sz w:val="18"/>
                <w:szCs w:val="18"/>
              </w:rPr>
              <w:t xml:space="preserve">Main Services </w:t>
            </w:r>
          </w:p>
        </w:tc>
        <w:tc>
          <w:tcPr>
            <w:tcW w:w="1132" w:type="dxa"/>
            <w:vAlign w:val="center"/>
            <w:hideMark/>
          </w:tcPr>
          <w:p w14:paraId="7860560A" w14:textId="77777777" w:rsidR="00F36125" w:rsidRPr="00634DFB" w:rsidRDefault="00F36125" w:rsidP="00634DFB">
            <w:pPr>
              <w:spacing w:after="0" w:line="240" w:lineRule="auto"/>
              <w:jc w:val="center"/>
              <w:rPr>
                <w:rFonts w:ascii="Times New Roman" w:hAnsi="Times New Roman" w:cs="Times New Roman"/>
                <w:b/>
                <w:bCs/>
                <w:spacing w:val="-2"/>
                <w:sz w:val="18"/>
                <w:szCs w:val="18"/>
              </w:rPr>
            </w:pPr>
            <w:r w:rsidRPr="00634DFB">
              <w:rPr>
                <w:rFonts w:ascii="Times New Roman" w:eastAsiaTheme="minorEastAsia" w:hAnsi="Times New Roman" w:cs="Times New Roman"/>
                <w:sz w:val="18"/>
                <w:szCs w:val="18"/>
              </w:rPr>
              <w:t xml:space="preserve">Limitations/Risks </w:t>
            </w:r>
          </w:p>
        </w:tc>
        <w:tc>
          <w:tcPr>
            <w:tcW w:w="1118" w:type="dxa"/>
            <w:vAlign w:val="center"/>
            <w:hideMark/>
          </w:tcPr>
          <w:p w14:paraId="22D1C03C" w14:textId="77777777" w:rsidR="00F36125" w:rsidRPr="00634DFB" w:rsidRDefault="00F36125" w:rsidP="00634DFB">
            <w:pPr>
              <w:spacing w:after="0" w:line="240" w:lineRule="auto"/>
              <w:jc w:val="center"/>
              <w:rPr>
                <w:rFonts w:ascii="Times New Roman" w:eastAsiaTheme="minorEastAsia" w:hAnsi="Times New Roman" w:cs="Times New Roman"/>
                <w:sz w:val="18"/>
                <w:szCs w:val="18"/>
              </w:rPr>
            </w:pPr>
            <w:r w:rsidRPr="00634DFB">
              <w:rPr>
                <w:rFonts w:ascii="Times New Roman" w:eastAsiaTheme="minorEastAsia" w:hAnsi="Times New Roman" w:cs="Times New Roman"/>
                <w:sz w:val="18"/>
                <w:szCs w:val="18"/>
              </w:rPr>
              <w:t>Maturity</w:t>
            </w:r>
          </w:p>
        </w:tc>
      </w:tr>
      <w:tr w:rsidR="00F36125" w:rsidRPr="00634DFB" w14:paraId="3965D52F" w14:textId="77777777" w:rsidTr="00634DFB">
        <w:trPr>
          <w:trHeight w:val="20"/>
          <w:jc w:val="center"/>
        </w:trPr>
        <w:tc>
          <w:tcPr>
            <w:tcW w:w="988" w:type="dxa"/>
            <w:vAlign w:val="center"/>
            <w:hideMark/>
          </w:tcPr>
          <w:p w14:paraId="1F23B446"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Li-ion BESS (LFP, NMC) </w:t>
            </w:r>
          </w:p>
        </w:tc>
        <w:tc>
          <w:tcPr>
            <w:tcW w:w="992" w:type="dxa"/>
            <w:vAlign w:val="center"/>
            <w:hideMark/>
          </w:tcPr>
          <w:p w14:paraId="37C79129" w14:textId="77777777" w:rsidR="00F36125" w:rsidRPr="00634DFB" w:rsidRDefault="00F36125" w:rsidP="00634DFB">
            <w:pPr>
              <w:spacing w:after="0" w:line="240" w:lineRule="auto"/>
              <w:jc w:val="center"/>
              <w:rPr>
                <w:rFonts w:ascii="Times New Roman" w:hAnsi="Times New Roman" w:cs="Times New Roman"/>
                <w:spacing w:val="-2"/>
                <w:sz w:val="18"/>
                <w:szCs w:val="18"/>
              </w:rPr>
            </w:pPr>
            <w:proofErr w:type="spellStart"/>
            <w:r w:rsidRPr="00634DFB">
              <w:rPr>
                <w:rFonts w:ascii="Times New Roman" w:eastAsiaTheme="minorEastAsia" w:hAnsi="Times New Roman" w:cs="Times New Roman"/>
                <w:sz w:val="18"/>
                <w:szCs w:val="18"/>
              </w:rPr>
              <w:t>ms</w:t>
            </w:r>
            <w:proofErr w:type="spellEnd"/>
            <w:r w:rsidRPr="00634DFB">
              <w:rPr>
                <w:rFonts w:ascii="Times New Roman" w:eastAsiaTheme="minorEastAsia" w:hAnsi="Times New Roman" w:cs="Times New Roman"/>
                <w:sz w:val="18"/>
                <w:szCs w:val="18"/>
              </w:rPr>
              <w:t xml:space="preserve">-s </w:t>
            </w:r>
          </w:p>
        </w:tc>
        <w:tc>
          <w:tcPr>
            <w:tcW w:w="850" w:type="dxa"/>
            <w:vAlign w:val="center"/>
            <w:hideMark/>
          </w:tcPr>
          <w:p w14:paraId="7E18A06A"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0.5-4 (up to 8) </w:t>
            </w:r>
          </w:p>
        </w:tc>
        <w:tc>
          <w:tcPr>
            <w:tcW w:w="851" w:type="dxa"/>
            <w:vAlign w:val="center"/>
            <w:hideMark/>
          </w:tcPr>
          <w:p w14:paraId="11CF1080"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85-94</w:t>
            </w:r>
          </w:p>
        </w:tc>
        <w:tc>
          <w:tcPr>
            <w:tcW w:w="1224" w:type="dxa"/>
            <w:vAlign w:val="center"/>
            <w:hideMark/>
          </w:tcPr>
          <w:p w14:paraId="4FB8BA11"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3000-8000 / 6-12</w:t>
            </w:r>
          </w:p>
        </w:tc>
        <w:tc>
          <w:tcPr>
            <w:tcW w:w="750" w:type="dxa"/>
            <w:vAlign w:val="center"/>
            <w:hideMark/>
          </w:tcPr>
          <w:p w14:paraId="7CC70786"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kW-GW </w:t>
            </w:r>
          </w:p>
        </w:tc>
        <w:tc>
          <w:tcPr>
            <w:tcW w:w="1288" w:type="dxa"/>
            <w:vAlign w:val="center"/>
            <w:hideMark/>
          </w:tcPr>
          <w:p w14:paraId="7A78885A"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Frequency regulation, arbitrage, RES, primary reserve</w:t>
            </w:r>
          </w:p>
        </w:tc>
        <w:tc>
          <w:tcPr>
            <w:tcW w:w="1132" w:type="dxa"/>
            <w:vAlign w:val="center"/>
            <w:hideMark/>
          </w:tcPr>
          <w:p w14:paraId="7D13DB74"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Degradation, fire, raw materials </w:t>
            </w:r>
          </w:p>
        </w:tc>
        <w:tc>
          <w:tcPr>
            <w:tcW w:w="1118" w:type="dxa"/>
            <w:vAlign w:val="center"/>
            <w:hideMark/>
          </w:tcPr>
          <w:p w14:paraId="7DD6ED98"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Commercially mature</w:t>
            </w:r>
            <w:r w:rsidRPr="00634DFB">
              <w:rPr>
                <w:rFonts w:ascii="Times New Roman" w:hAnsi="Times New Roman" w:cs="Times New Roman"/>
                <w:spacing w:val="-2"/>
                <w:sz w:val="18"/>
                <w:szCs w:val="18"/>
              </w:rPr>
              <w:t xml:space="preserve"> </w:t>
            </w:r>
          </w:p>
        </w:tc>
      </w:tr>
      <w:tr w:rsidR="00F36125" w:rsidRPr="00634DFB" w14:paraId="41F9638F" w14:textId="77777777" w:rsidTr="00634DFB">
        <w:trPr>
          <w:trHeight w:val="20"/>
          <w:jc w:val="center"/>
        </w:trPr>
        <w:tc>
          <w:tcPr>
            <w:tcW w:w="988" w:type="dxa"/>
            <w:vAlign w:val="center"/>
            <w:hideMark/>
          </w:tcPr>
          <w:p w14:paraId="12B03462"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Flow batteries (vanadium, Zn-Br) </w:t>
            </w:r>
          </w:p>
        </w:tc>
        <w:tc>
          <w:tcPr>
            <w:tcW w:w="992" w:type="dxa"/>
            <w:vAlign w:val="center"/>
            <w:hideMark/>
          </w:tcPr>
          <w:p w14:paraId="0CD651F2"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с</w:t>
            </w:r>
          </w:p>
        </w:tc>
        <w:tc>
          <w:tcPr>
            <w:tcW w:w="850" w:type="dxa"/>
            <w:vAlign w:val="center"/>
            <w:hideMark/>
          </w:tcPr>
          <w:p w14:paraId="15126930"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2-10</w:t>
            </w:r>
          </w:p>
        </w:tc>
        <w:tc>
          <w:tcPr>
            <w:tcW w:w="851" w:type="dxa"/>
            <w:vAlign w:val="center"/>
            <w:hideMark/>
          </w:tcPr>
          <w:p w14:paraId="7E5A19B8"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65-85</w:t>
            </w:r>
          </w:p>
        </w:tc>
        <w:tc>
          <w:tcPr>
            <w:tcW w:w="1224" w:type="dxa"/>
            <w:vAlign w:val="center"/>
            <w:hideMark/>
          </w:tcPr>
          <w:p w14:paraId="6199AC64"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10 000-20 000 / 10-20</w:t>
            </w:r>
          </w:p>
        </w:tc>
        <w:tc>
          <w:tcPr>
            <w:tcW w:w="750" w:type="dxa"/>
            <w:vAlign w:val="center"/>
            <w:hideMark/>
          </w:tcPr>
          <w:p w14:paraId="5F775E9B"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hundreds of kW-tens of MW </w:t>
            </w:r>
          </w:p>
        </w:tc>
        <w:tc>
          <w:tcPr>
            <w:tcW w:w="1288" w:type="dxa"/>
            <w:vAlign w:val="center"/>
            <w:hideMark/>
          </w:tcPr>
          <w:p w14:paraId="017537D4"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Load leveling, RES integration, secondary and tertiary reserves </w:t>
            </w:r>
          </w:p>
        </w:tc>
        <w:tc>
          <w:tcPr>
            <w:tcW w:w="1132" w:type="dxa"/>
            <w:vAlign w:val="center"/>
            <w:hideMark/>
          </w:tcPr>
          <w:p w14:paraId="08EB797D"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Low energy density, CAPEX </w:t>
            </w:r>
          </w:p>
        </w:tc>
        <w:tc>
          <w:tcPr>
            <w:tcW w:w="1118" w:type="dxa"/>
            <w:vAlign w:val="center"/>
            <w:hideMark/>
          </w:tcPr>
          <w:p w14:paraId="4CA0701A"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Pilot-commercial</w:t>
            </w:r>
            <w:r w:rsidRPr="00634DFB">
              <w:rPr>
                <w:rFonts w:ascii="Times New Roman" w:hAnsi="Times New Roman" w:cs="Times New Roman"/>
                <w:spacing w:val="-2"/>
                <w:sz w:val="18"/>
                <w:szCs w:val="18"/>
              </w:rPr>
              <w:t xml:space="preserve"> </w:t>
            </w:r>
          </w:p>
        </w:tc>
      </w:tr>
      <w:tr w:rsidR="00F36125" w:rsidRPr="00634DFB" w14:paraId="4DF6378E" w14:textId="77777777" w:rsidTr="00634DFB">
        <w:trPr>
          <w:trHeight w:val="20"/>
          <w:jc w:val="center"/>
        </w:trPr>
        <w:tc>
          <w:tcPr>
            <w:tcW w:w="988" w:type="dxa"/>
            <w:vAlign w:val="center"/>
            <w:hideMark/>
          </w:tcPr>
          <w:p w14:paraId="176D3979"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PHES</w:t>
            </w:r>
            <w:r w:rsidRPr="00634DFB">
              <w:rPr>
                <w:rFonts w:ascii="Times New Roman" w:hAnsi="Times New Roman" w:cs="Times New Roman"/>
                <w:spacing w:val="-2"/>
                <w:sz w:val="18"/>
                <w:szCs w:val="18"/>
              </w:rPr>
              <w:t xml:space="preserve"> </w:t>
            </w:r>
          </w:p>
        </w:tc>
        <w:tc>
          <w:tcPr>
            <w:tcW w:w="992" w:type="dxa"/>
            <w:vAlign w:val="center"/>
            <w:hideMark/>
          </w:tcPr>
          <w:p w14:paraId="5442863C"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s-min </w:t>
            </w:r>
          </w:p>
        </w:tc>
        <w:tc>
          <w:tcPr>
            <w:tcW w:w="850" w:type="dxa"/>
            <w:vAlign w:val="center"/>
            <w:hideMark/>
          </w:tcPr>
          <w:p w14:paraId="17249D3E"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4-12+</w:t>
            </w:r>
          </w:p>
        </w:tc>
        <w:tc>
          <w:tcPr>
            <w:tcW w:w="851" w:type="dxa"/>
            <w:vAlign w:val="center"/>
            <w:hideMark/>
          </w:tcPr>
          <w:p w14:paraId="72B10725"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70-85</w:t>
            </w:r>
          </w:p>
        </w:tc>
        <w:tc>
          <w:tcPr>
            <w:tcW w:w="1224" w:type="dxa"/>
            <w:vAlign w:val="center"/>
            <w:hideMark/>
          </w:tcPr>
          <w:p w14:paraId="0C6C1C6B"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40-60 years </w:t>
            </w:r>
          </w:p>
        </w:tc>
        <w:tc>
          <w:tcPr>
            <w:tcW w:w="750" w:type="dxa"/>
            <w:vAlign w:val="center"/>
            <w:hideMark/>
          </w:tcPr>
          <w:p w14:paraId="2A8ADFA8"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tens of MW-GW </w:t>
            </w:r>
          </w:p>
        </w:tc>
        <w:tc>
          <w:tcPr>
            <w:tcW w:w="1288" w:type="dxa"/>
            <w:vAlign w:val="center"/>
            <w:hideMark/>
          </w:tcPr>
          <w:p w14:paraId="2CB2FF02"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Daily/weekly leveling, inertia, system reserves Terrain</w:t>
            </w:r>
            <w:r w:rsidRPr="00634DFB">
              <w:rPr>
                <w:rFonts w:ascii="Times New Roman" w:hAnsi="Times New Roman" w:cs="Times New Roman"/>
                <w:spacing w:val="-2"/>
                <w:sz w:val="18"/>
                <w:szCs w:val="18"/>
              </w:rPr>
              <w:t xml:space="preserve"> </w:t>
            </w:r>
          </w:p>
        </w:tc>
        <w:tc>
          <w:tcPr>
            <w:tcW w:w="1132" w:type="dxa"/>
            <w:vAlign w:val="center"/>
            <w:hideMark/>
          </w:tcPr>
          <w:p w14:paraId="69EDB46F"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water resources, </w:t>
            </w:r>
          </w:p>
        </w:tc>
        <w:tc>
          <w:tcPr>
            <w:tcW w:w="1118" w:type="dxa"/>
            <w:vAlign w:val="center"/>
            <w:hideMark/>
          </w:tcPr>
          <w:p w14:paraId="5F2FF5D1"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Highly mature</w:t>
            </w:r>
            <w:r w:rsidRPr="00634DFB">
              <w:rPr>
                <w:rFonts w:ascii="Times New Roman" w:hAnsi="Times New Roman" w:cs="Times New Roman"/>
                <w:spacing w:val="-2"/>
                <w:sz w:val="18"/>
                <w:szCs w:val="18"/>
              </w:rPr>
              <w:t xml:space="preserve"> </w:t>
            </w:r>
          </w:p>
        </w:tc>
      </w:tr>
      <w:tr w:rsidR="00F36125" w:rsidRPr="00634DFB" w14:paraId="79B1DAEC" w14:textId="77777777" w:rsidTr="00634DFB">
        <w:trPr>
          <w:trHeight w:val="20"/>
          <w:jc w:val="center"/>
        </w:trPr>
        <w:tc>
          <w:tcPr>
            <w:tcW w:w="988" w:type="dxa"/>
            <w:vAlign w:val="center"/>
            <w:hideMark/>
          </w:tcPr>
          <w:p w14:paraId="79BE1A40"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CAES</w:t>
            </w:r>
          </w:p>
        </w:tc>
        <w:tc>
          <w:tcPr>
            <w:tcW w:w="992" w:type="dxa"/>
            <w:vAlign w:val="center"/>
            <w:hideMark/>
          </w:tcPr>
          <w:p w14:paraId="0D01F706"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min</w:t>
            </w:r>
            <w:r w:rsidRPr="00634DFB">
              <w:rPr>
                <w:rFonts w:ascii="Times New Roman" w:hAnsi="Times New Roman" w:cs="Times New Roman"/>
                <w:spacing w:val="-2"/>
                <w:sz w:val="18"/>
                <w:szCs w:val="18"/>
              </w:rPr>
              <w:t xml:space="preserve"> </w:t>
            </w:r>
          </w:p>
        </w:tc>
        <w:tc>
          <w:tcPr>
            <w:tcW w:w="850" w:type="dxa"/>
            <w:vAlign w:val="center"/>
            <w:hideMark/>
          </w:tcPr>
          <w:p w14:paraId="1F6E58B4"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2-24</w:t>
            </w:r>
          </w:p>
        </w:tc>
        <w:tc>
          <w:tcPr>
            <w:tcW w:w="851" w:type="dxa"/>
            <w:vAlign w:val="center"/>
            <w:hideMark/>
          </w:tcPr>
          <w:p w14:paraId="674DBBB8"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40-70</w:t>
            </w:r>
          </w:p>
        </w:tc>
        <w:tc>
          <w:tcPr>
            <w:tcW w:w="1224" w:type="dxa"/>
            <w:vAlign w:val="center"/>
            <w:hideMark/>
          </w:tcPr>
          <w:p w14:paraId="2C2762E1"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25-40 years </w:t>
            </w:r>
          </w:p>
        </w:tc>
        <w:tc>
          <w:tcPr>
            <w:tcW w:w="750" w:type="dxa"/>
            <w:vAlign w:val="center"/>
            <w:hideMark/>
          </w:tcPr>
          <w:p w14:paraId="7E090DD4"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MW-tens of MW </w:t>
            </w:r>
          </w:p>
        </w:tc>
        <w:tc>
          <w:tcPr>
            <w:tcW w:w="1288" w:type="dxa"/>
            <w:vAlign w:val="center"/>
            <w:hideMark/>
          </w:tcPr>
          <w:p w14:paraId="3C6471C8"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Long-term storage, arbitrage, reserve </w:t>
            </w:r>
          </w:p>
        </w:tc>
        <w:tc>
          <w:tcPr>
            <w:tcW w:w="1132" w:type="dxa"/>
            <w:vAlign w:val="center"/>
            <w:hideMark/>
          </w:tcPr>
          <w:p w14:paraId="746DD18E"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Cavern geology, efficiency depends on heat </w:t>
            </w:r>
          </w:p>
        </w:tc>
        <w:tc>
          <w:tcPr>
            <w:tcW w:w="1118" w:type="dxa"/>
            <w:vAlign w:val="center"/>
            <w:hideMark/>
          </w:tcPr>
          <w:p w14:paraId="340D34DD" w14:textId="77777777" w:rsidR="00F36125" w:rsidRPr="00634DFB" w:rsidRDefault="00F36125" w:rsidP="00634DFB">
            <w:pPr>
              <w:spacing w:after="0" w:line="240" w:lineRule="auto"/>
              <w:jc w:val="both"/>
              <w:rPr>
                <w:rFonts w:ascii="Times New Roman" w:eastAsiaTheme="minorEastAsia" w:hAnsi="Times New Roman" w:cs="Times New Roman"/>
                <w:sz w:val="18"/>
                <w:szCs w:val="18"/>
              </w:rPr>
            </w:pPr>
            <w:r w:rsidRPr="00634DFB">
              <w:rPr>
                <w:rFonts w:ascii="Times New Roman" w:eastAsiaTheme="minorEastAsia" w:hAnsi="Times New Roman" w:cs="Times New Roman"/>
                <w:sz w:val="18"/>
                <w:szCs w:val="18"/>
              </w:rPr>
              <w:t>Commercial niche</w:t>
            </w:r>
          </w:p>
        </w:tc>
      </w:tr>
      <w:tr w:rsidR="00F36125" w:rsidRPr="00634DFB" w14:paraId="6B0D2F75" w14:textId="77777777" w:rsidTr="00634DFB">
        <w:trPr>
          <w:trHeight w:val="20"/>
          <w:jc w:val="center"/>
        </w:trPr>
        <w:tc>
          <w:tcPr>
            <w:tcW w:w="988" w:type="dxa"/>
            <w:vAlign w:val="center"/>
            <w:hideMark/>
          </w:tcPr>
          <w:p w14:paraId="37288B5E"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LAES</w:t>
            </w:r>
          </w:p>
        </w:tc>
        <w:tc>
          <w:tcPr>
            <w:tcW w:w="992" w:type="dxa"/>
            <w:vAlign w:val="center"/>
            <w:hideMark/>
          </w:tcPr>
          <w:p w14:paraId="297763E6"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s-min </w:t>
            </w:r>
          </w:p>
        </w:tc>
        <w:tc>
          <w:tcPr>
            <w:tcW w:w="850" w:type="dxa"/>
            <w:vAlign w:val="center"/>
            <w:hideMark/>
          </w:tcPr>
          <w:p w14:paraId="644044B8"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2-10</w:t>
            </w:r>
          </w:p>
        </w:tc>
        <w:tc>
          <w:tcPr>
            <w:tcW w:w="851" w:type="dxa"/>
            <w:vAlign w:val="center"/>
            <w:hideMark/>
          </w:tcPr>
          <w:p w14:paraId="109942B4"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50-70</w:t>
            </w:r>
          </w:p>
        </w:tc>
        <w:tc>
          <w:tcPr>
            <w:tcW w:w="1224" w:type="dxa"/>
            <w:vAlign w:val="center"/>
            <w:hideMark/>
          </w:tcPr>
          <w:p w14:paraId="62A0B088"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20-30 years </w:t>
            </w:r>
          </w:p>
        </w:tc>
        <w:tc>
          <w:tcPr>
            <w:tcW w:w="750" w:type="dxa"/>
            <w:vAlign w:val="center"/>
            <w:hideMark/>
          </w:tcPr>
          <w:p w14:paraId="49A133A3"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MW-tens of MW</w:t>
            </w:r>
          </w:p>
        </w:tc>
        <w:tc>
          <w:tcPr>
            <w:tcW w:w="1288" w:type="dxa"/>
            <w:vAlign w:val="center"/>
            <w:hideMark/>
          </w:tcPr>
          <w:p w14:paraId="4846D313"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Multi-hour balancing, cold/heat utilization </w:t>
            </w:r>
          </w:p>
        </w:tc>
        <w:tc>
          <w:tcPr>
            <w:tcW w:w="1132" w:type="dxa"/>
            <w:vAlign w:val="center"/>
            <w:hideMark/>
          </w:tcPr>
          <w:p w14:paraId="601C5817"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Low efficiency, CAPEX </w:t>
            </w:r>
          </w:p>
        </w:tc>
        <w:tc>
          <w:tcPr>
            <w:tcW w:w="1118" w:type="dxa"/>
            <w:vAlign w:val="center"/>
            <w:hideMark/>
          </w:tcPr>
          <w:p w14:paraId="3A6C628B"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Demonstration-commercial</w:t>
            </w:r>
            <w:r w:rsidRPr="00634DFB">
              <w:rPr>
                <w:rFonts w:ascii="Times New Roman" w:hAnsi="Times New Roman" w:cs="Times New Roman"/>
                <w:spacing w:val="-2"/>
                <w:sz w:val="18"/>
                <w:szCs w:val="18"/>
              </w:rPr>
              <w:t xml:space="preserve"> </w:t>
            </w:r>
          </w:p>
        </w:tc>
      </w:tr>
      <w:tr w:rsidR="00F36125" w:rsidRPr="00634DFB" w14:paraId="614AEC59" w14:textId="77777777" w:rsidTr="00634DFB">
        <w:trPr>
          <w:trHeight w:val="20"/>
          <w:jc w:val="center"/>
        </w:trPr>
        <w:tc>
          <w:tcPr>
            <w:tcW w:w="988" w:type="dxa"/>
            <w:vAlign w:val="center"/>
            <w:hideMark/>
          </w:tcPr>
          <w:p w14:paraId="73E287D9"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Supercapacitors</w:t>
            </w:r>
            <w:r w:rsidRPr="00634DFB">
              <w:rPr>
                <w:rFonts w:ascii="Times New Roman" w:hAnsi="Times New Roman" w:cs="Times New Roman"/>
                <w:spacing w:val="-2"/>
                <w:sz w:val="18"/>
                <w:szCs w:val="18"/>
              </w:rPr>
              <w:t xml:space="preserve"> </w:t>
            </w:r>
          </w:p>
        </w:tc>
        <w:tc>
          <w:tcPr>
            <w:tcW w:w="992" w:type="dxa"/>
            <w:vAlign w:val="center"/>
            <w:hideMark/>
          </w:tcPr>
          <w:p w14:paraId="548282D9" w14:textId="77777777" w:rsidR="00F36125" w:rsidRPr="00634DFB" w:rsidRDefault="00F36125" w:rsidP="00634DFB">
            <w:pPr>
              <w:spacing w:after="0" w:line="240" w:lineRule="auto"/>
              <w:jc w:val="center"/>
              <w:rPr>
                <w:rFonts w:ascii="Times New Roman" w:hAnsi="Times New Roman" w:cs="Times New Roman"/>
                <w:spacing w:val="-2"/>
                <w:sz w:val="18"/>
                <w:szCs w:val="18"/>
              </w:rPr>
            </w:pPr>
            <w:proofErr w:type="spellStart"/>
            <w:r w:rsidRPr="00634DFB">
              <w:rPr>
                <w:rFonts w:ascii="Times New Roman" w:hAnsi="Times New Roman" w:cs="Times New Roman"/>
                <w:spacing w:val="-2"/>
                <w:sz w:val="18"/>
                <w:szCs w:val="18"/>
              </w:rPr>
              <w:t>мс</w:t>
            </w:r>
            <w:proofErr w:type="spellEnd"/>
          </w:p>
        </w:tc>
        <w:tc>
          <w:tcPr>
            <w:tcW w:w="850" w:type="dxa"/>
            <w:vAlign w:val="center"/>
            <w:hideMark/>
          </w:tcPr>
          <w:p w14:paraId="2DE291C7"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s-min </w:t>
            </w:r>
          </w:p>
        </w:tc>
        <w:tc>
          <w:tcPr>
            <w:tcW w:w="851" w:type="dxa"/>
            <w:vAlign w:val="center"/>
            <w:hideMark/>
          </w:tcPr>
          <w:p w14:paraId="67FF5C0D"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90-98</w:t>
            </w:r>
          </w:p>
        </w:tc>
        <w:tc>
          <w:tcPr>
            <w:tcW w:w="1224" w:type="dxa"/>
            <w:vAlign w:val="center"/>
            <w:hideMark/>
          </w:tcPr>
          <w:p w14:paraId="4A7B59FB"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up to 1e6 / 10-15 </w:t>
            </w:r>
          </w:p>
        </w:tc>
        <w:tc>
          <w:tcPr>
            <w:tcW w:w="750" w:type="dxa"/>
            <w:vAlign w:val="center"/>
            <w:hideMark/>
          </w:tcPr>
          <w:p w14:paraId="7937C44D"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kW-MW </w:t>
            </w:r>
          </w:p>
        </w:tc>
        <w:tc>
          <w:tcPr>
            <w:tcW w:w="1288" w:type="dxa"/>
            <w:vAlign w:val="center"/>
            <w:hideMark/>
          </w:tcPr>
          <w:p w14:paraId="6B72C12B"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Instant response, peak shifting </w:t>
            </w:r>
          </w:p>
        </w:tc>
        <w:tc>
          <w:tcPr>
            <w:tcW w:w="1132" w:type="dxa"/>
            <w:vAlign w:val="center"/>
            <w:hideMark/>
          </w:tcPr>
          <w:p w14:paraId="2C6990EC"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Low energy capacity, high cost </w:t>
            </w:r>
          </w:p>
        </w:tc>
        <w:tc>
          <w:tcPr>
            <w:tcW w:w="1118" w:type="dxa"/>
            <w:vAlign w:val="center"/>
            <w:hideMark/>
          </w:tcPr>
          <w:p w14:paraId="68E982C7"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Commercial</w:t>
            </w:r>
            <w:r w:rsidRPr="00634DFB">
              <w:rPr>
                <w:rFonts w:ascii="Times New Roman" w:hAnsi="Times New Roman" w:cs="Times New Roman"/>
                <w:spacing w:val="-2"/>
                <w:sz w:val="18"/>
                <w:szCs w:val="18"/>
              </w:rPr>
              <w:t xml:space="preserve"> </w:t>
            </w:r>
          </w:p>
        </w:tc>
      </w:tr>
      <w:tr w:rsidR="00F36125" w:rsidRPr="00634DFB" w14:paraId="04A3D04C" w14:textId="77777777" w:rsidTr="00634DFB">
        <w:trPr>
          <w:trHeight w:val="20"/>
          <w:jc w:val="center"/>
        </w:trPr>
        <w:tc>
          <w:tcPr>
            <w:tcW w:w="988" w:type="dxa"/>
            <w:vAlign w:val="center"/>
            <w:hideMark/>
          </w:tcPr>
          <w:p w14:paraId="125A0D4B"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Power-to-H2-to-Power </w:t>
            </w:r>
          </w:p>
        </w:tc>
        <w:tc>
          <w:tcPr>
            <w:tcW w:w="992" w:type="dxa"/>
            <w:vAlign w:val="center"/>
            <w:hideMark/>
          </w:tcPr>
          <w:p w14:paraId="23BCAC7F"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min-h</w:t>
            </w:r>
            <w:r w:rsidRPr="00634DFB">
              <w:rPr>
                <w:rFonts w:ascii="Times New Roman" w:hAnsi="Times New Roman" w:cs="Times New Roman"/>
                <w:spacing w:val="-2"/>
                <w:sz w:val="18"/>
                <w:szCs w:val="18"/>
              </w:rPr>
              <w:t xml:space="preserve"> </w:t>
            </w:r>
          </w:p>
        </w:tc>
        <w:tc>
          <w:tcPr>
            <w:tcW w:w="850" w:type="dxa"/>
            <w:vAlign w:val="center"/>
            <w:hideMark/>
          </w:tcPr>
          <w:p w14:paraId="18324B19"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h-day-season </w:t>
            </w:r>
          </w:p>
        </w:tc>
        <w:tc>
          <w:tcPr>
            <w:tcW w:w="851" w:type="dxa"/>
            <w:vAlign w:val="center"/>
            <w:hideMark/>
          </w:tcPr>
          <w:p w14:paraId="5C77B215"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25-45</w:t>
            </w:r>
          </w:p>
        </w:tc>
        <w:tc>
          <w:tcPr>
            <w:tcW w:w="1224" w:type="dxa"/>
            <w:vAlign w:val="center"/>
            <w:hideMark/>
          </w:tcPr>
          <w:p w14:paraId="76F7ABB6"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10-20 years </w:t>
            </w:r>
          </w:p>
        </w:tc>
        <w:tc>
          <w:tcPr>
            <w:tcW w:w="750" w:type="dxa"/>
            <w:vAlign w:val="center"/>
            <w:hideMark/>
          </w:tcPr>
          <w:p w14:paraId="16836E63"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MW–GW</w:t>
            </w:r>
          </w:p>
        </w:tc>
        <w:tc>
          <w:tcPr>
            <w:tcW w:w="1288" w:type="dxa"/>
            <w:vAlign w:val="center"/>
            <w:hideMark/>
          </w:tcPr>
          <w:p w14:paraId="4B2E9CD0"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Long-term storage, tertiary reserve </w:t>
            </w:r>
          </w:p>
        </w:tc>
        <w:tc>
          <w:tcPr>
            <w:tcW w:w="1132" w:type="dxa"/>
            <w:vAlign w:val="center"/>
            <w:hideMark/>
          </w:tcPr>
          <w:p w14:paraId="5642B107"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Low efficiency, infrastructure, cost </w:t>
            </w:r>
          </w:p>
        </w:tc>
        <w:tc>
          <w:tcPr>
            <w:tcW w:w="1118" w:type="dxa"/>
            <w:vAlign w:val="center"/>
            <w:hideMark/>
          </w:tcPr>
          <w:p w14:paraId="578E2EBC"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Actively developing</w:t>
            </w:r>
            <w:r w:rsidRPr="00634DFB">
              <w:rPr>
                <w:rFonts w:ascii="Times New Roman" w:hAnsi="Times New Roman" w:cs="Times New Roman"/>
                <w:spacing w:val="-2"/>
                <w:sz w:val="18"/>
                <w:szCs w:val="18"/>
              </w:rPr>
              <w:t xml:space="preserve"> </w:t>
            </w:r>
          </w:p>
        </w:tc>
      </w:tr>
      <w:tr w:rsidR="00F36125" w:rsidRPr="00634DFB" w14:paraId="1A1D34D9" w14:textId="77777777" w:rsidTr="00634DFB">
        <w:trPr>
          <w:trHeight w:val="55"/>
          <w:jc w:val="center"/>
        </w:trPr>
        <w:tc>
          <w:tcPr>
            <w:tcW w:w="988" w:type="dxa"/>
            <w:vAlign w:val="center"/>
            <w:hideMark/>
          </w:tcPr>
          <w:p w14:paraId="1B7A999A"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Gravity energy storage </w:t>
            </w:r>
          </w:p>
        </w:tc>
        <w:tc>
          <w:tcPr>
            <w:tcW w:w="992" w:type="dxa"/>
            <w:vAlign w:val="center"/>
            <w:hideMark/>
          </w:tcPr>
          <w:p w14:paraId="49635FF1"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с</w:t>
            </w:r>
          </w:p>
        </w:tc>
        <w:tc>
          <w:tcPr>
            <w:tcW w:w="850" w:type="dxa"/>
            <w:vAlign w:val="center"/>
            <w:hideMark/>
          </w:tcPr>
          <w:p w14:paraId="046486D5"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0.5-8</w:t>
            </w:r>
          </w:p>
        </w:tc>
        <w:tc>
          <w:tcPr>
            <w:tcW w:w="851" w:type="dxa"/>
            <w:vAlign w:val="center"/>
            <w:hideMark/>
          </w:tcPr>
          <w:p w14:paraId="1F954A89"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70-90</w:t>
            </w:r>
          </w:p>
        </w:tc>
        <w:tc>
          <w:tcPr>
            <w:tcW w:w="1224" w:type="dxa"/>
            <w:vAlign w:val="center"/>
            <w:hideMark/>
          </w:tcPr>
          <w:p w14:paraId="3D59233D"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20-40 years </w:t>
            </w:r>
          </w:p>
        </w:tc>
        <w:tc>
          <w:tcPr>
            <w:tcW w:w="750" w:type="dxa"/>
            <w:vAlign w:val="center"/>
            <w:hideMark/>
          </w:tcPr>
          <w:p w14:paraId="1FA9C137"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MW-tens of MW </w:t>
            </w:r>
          </w:p>
        </w:tc>
        <w:tc>
          <w:tcPr>
            <w:tcW w:w="1288" w:type="dxa"/>
            <w:vAlign w:val="center"/>
            <w:hideMark/>
          </w:tcPr>
          <w:p w14:paraId="4E661D97"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Multi-cycle balancing, peak shifting </w:t>
            </w:r>
          </w:p>
        </w:tc>
        <w:tc>
          <w:tcPr>
            <w:tcW w:w="1132" w:type="dxa"/>
            <w:vAlign w:val="center"/>
            <w:hideMark/>
          </w:tcPr>
          <w:p w14:paraId="3E8A160D"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Sites, mechatronics, scale </w:t>
            </w:r>
          </w:p>
        </w:tc>
        <w:tc>
          <w:tcPr>
            <w:tcW w:w="1118" w:type="dxa"/>
            <w:vAlign w:val="center"/>
            <w:hideMark/>
          </w:tcPr>
          <w:p w14:paraId="527CD5A6"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Demonstration</w:t>
            </w:r>
            <w:r w:rsidRPr="00634DFB">
              <w:rPr>
                <w:rFonts w:ascii="Times New Roman" w:hAnsi="Times New Roman" w:cs="Times New Roman"/>
                <w:spacing w:val="-2"/>
                <w:sz w:val="18"/>
                <w:szCs w:val="18"/>
              </w:rPr>
              <w:t xml:space="preserve"> </w:t>
            </w:r>
          </w:p>
        </w:tc>
      </w:tr>
      <w:tr w:rsidR="00F36125" w:rsidRPr="00634DFB" w14:paraId="50BCA47D" w14:textId="77777777" w:rsidTr="00634DFB">
        <w:trPr>
          <w:trHeight w:val="20"/>
          <w:jc w:val="center"/>
        </w:trPr>
        <w:tc>
          <w:tcPr>
            <w:tcW w:w="988" w:type="dxa"/>
            <w:vAlign w:val="center"/>
            <w:hideMark/>
          </w:tcPr>
          <w:p w14:paraId="6D811FC1"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SMES</w:t>
            </w:r>
          </w:p>
        </w:tc>
        <w:tc>
          <w:tcPr>
            <w:tcW w:w="992" w:type="dxa"/>
            <w:vAlign w:val="center"/>
            <w:hideMark/>
          </w:tcPr>
          <w:p w14:paraId="0DAC0E6D" w14:textId="77777777" w:rsidR="00F36125" w:rsidRPr="00634DFB" w:rsidRDefault="00F36125" w:rsidP="00634DFB">
            <w:pPr>
              <w:spacing w:after="0" w:line="240" w:lineRule="auto"/>
              <w:jc w:val="center"/>
              <w:rPr>
                <w:rFonts w:ascii="Times New Roman" w:hAnsi="Times New Roman" w:cs="Times New Roman"/>
                <w:spacing w:val="-2"/>
                <w:sz w:val="18"/>
                <w:szCs w:val="18"/>
              </w:rPr>
            </w:pPr>
            <w:proofErr w:type="spellStart"/>
            <w:r w:rsidRPr="00634DFB">
              <w:rPr>
                <w:rFonts w:ascii="Times New Roman" w:hAnsi="Times New Roman" w:cs="Times New Roman"/>
                <w:spacing w:val="-2"/>
                <w:sz w:val="18"/>
                <w:szCs w:val="18"/>
              </w:rPr>
              <w:t>мс</w:t>
            </w:r>
            <w:proofErr w:type="spellEnd"/>
          </w:p>
        </w:tc>
        <w:tc>
          <w:tcPr>
            <w:tcW w:w="850" w:type="dxa"/>
            <w:vAlign w:val="center"/>
            <w:hideMark/>
          </w:tcPr>
          <w:p w14:paraId="1CB220E0" w14:textId="3DD3945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s-min </w:t>
            </w:r>
          </w:p>
        </w:tc>
        <w:tc>
          <w:tcPr>
            <w:tcW w:w="851" w:type="dxa"/>
            <w:vAlign w:val="center"/>
            <w:hideMark/>
          </w:tcPr>
          <w:p w14:paraId="78A3EA78"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hAnsi="Times New Roman" w:cs="Times New Roman"/>
                <w:spacing w:val="-2"/>
                <w:sz w:val="18"/>
                <w:szCs w:val="18"/>
              </w:rPr>
              <w:t>90-98</w:t>
            </w:r>
          </w:p>
        </w:tc>
        <w:tc>
          <w:tcPr>
            <w:tcW w:w="1224" w:type="dxa"/>
            <w:vAlign w:val="center"/>
            <w:hideMark/>
          </w:tcPr>
          <w:p w14:paraId="4366E72B"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20+ years </w:t>
            </w:r>
          </w:p>
        </w:tc>
        <w:tc>
          <w:tcPr>
            <w:tcW w:w="750" w:type="dxa"/>
            <w:vAlign w:val="center"/>
            <w:hideMark/>
          </w:tcPr>
          <w:p w14:paraId="5DBF33E9"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kW-MW </w:t>
            </w:r>
          </w:p>
        </w:tc>
        <w:tc>
          <w:tcPr>
            <w:tcW w:w="1288" w:type="dxa"/>
            <w:vAlign w:val="center"/>
            <w:hideMark/>
          </w:tcPr>
          <w:p w14:paraId="0B3762F1"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Instant stabilization, power quality </w:t>
            </w:r>
          </w:p>
        </w:tc>
        <w:tc>
          <w:tcPr>
            <w:tcW w:w="1132" w:type="dxa"/>
            <w:vAlign w:val="center"/>
            <w:hideMark/>
          </w:tcPr>
          <w:p w14:paraId="66DB5D3D"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 xml:space="preserve">Cryogenics, cost </w:t>
            </w:r>
          </w:p>
        </w:tc>
        <w:tc>
          <w:tcPr>
            <w:tcW w:w="1118" w:type="dxa"/>
            <w:vAlign w:val="center"/>
            <w:hideMark/>
          </w:tcPr>
          <w:p w14:paraId="0894D504" w14:textId="77777777" w:rsidR="00F36125" w:rsidRPr="00634DFB" w:rsidRDefault="00F36125" w:rsidP="00634DFB">
            <w:pPr>
              <w:spacing w:after="0" w:line="240" w:lineRule="auto"/>
              <w:jc w:val="center"/>
              <w:rPr>
                <w:rFonts w:ascii="Times New Roman" w:hAnsi="Times New Roman" w:cs="Times New Roman"/>
                <w:spacing w:val="-2"/>
                <w:sz w:val="18"/>
                <w:szCs w:val="18"/>
              </w:rPr>
            </w:pPr>
            <w:r w:rsidRPr="00634DFB">
              <w:rPr>
                <w:rFonts w:ascii="Times New Roman" w:eastAsiaTheme="minorEastAsia" w:hAnsi="Times New Roman" w:cs="Times New Roman"/>
                <w:sz w:val="18"/>
                <w:szCs w:val="18"/>
              </w:rPr>
              <w:t>Niche, special applications</w:t>
            </w:r>
            <w:r w:rsidRPr="00634DFB">
              <w:rPr>
                <w:rFonts w:ascii="Times New Roman" w:hAnsi="Times New Roman" w:cs="Times New Roman"/>
                <w:spacing w:val="-2"/>
                <w:sz w:val="18"/>
                <w:szCs w:val="18"/>
              </w:rPr>
              <w:t xml:space="preserve"> </w:t>
            </w:r>
          </w:p>
        </w:tc>
      </w:tr>
    </w:tbl>
    <w:p w14:paraId="6FFF256D" w14:textId="77777777" w:rsidR="00F36125" w:rsidRPr="00634DFB" w:rsidRDefault="00F36125" w:rsidP="00634DFB">
      <w:pPr>
        <w:spacing w:after="0" w:line="240" w:lineRule="auto"/>
        <w:ind w:firstLine="284"/>
        <w:jc w:val="both"/>
        <w:rPr>
          <w:rFonts w:ascii="Times New Roman" w:hAnsi="Times New Roman" w:cs="Times New Roman"/>
          <w:sz w:val="20"/>
          <w:szCs w:val="20"/>
        </w:rPr>
      </w:pPr>
    </w:p>
    <w:p w14:paraId="56B081AE" w14:textId="0B13F649" w:rsidR="00F52CFC" w:rsidRPr="00634DFB" w:rsidRDefault="00F52CFC" w:rsidP="00634DFB">
      <w:pPr>
        <w:pStyle w:val="Text"/>
        <w:spacing w:line="240" w:lineRule="auto"/>
        <w:ind w:firstLine="284"/>
      </w:pPr>
      <w:r w:rsidRPr="00634DFB">
        <w:t xml:space="preserve">Active power flows in main transmission links are evaluated using DC approximation according to expression (5), followed by verification of compliance with current limits and permissible phase angle differences. This is necessary due to the limited transfer capacity of inter-system cross-sections, which is typically in the range of 700–1000 MW [2, 4]. DC-approximation of power flow along the </w:t>
      </w:r>
      <w:proofErr w:type="spellStart"/>
      <w:r w:rsidRPr="00634DFB">
        <w:rPr>
          <w:b/>
          <w:bCs/>
          <w:i/>
          <w:iCs/>
        </w:rPr>
        <w:t>i</w:t>
      </w:r>
      <w:proofErr w:type="spellEnd"/>
      <w:r w:rsidRPr="00634DFB">
        <w:rPr>
          <w:b/>
          <w:bCs/>
          <w:i/>
          <w:iCs/>
        </w:rPr>
        <w:t>-j</w:t>
      </w:r>
      <w:r w:rsidRPr="00634DFB">
        <w:t xml:space="preserve"> line:</w:t>
      </w:r>
    </w:p>
    <w:p w14:paraId="3FA497B3" w14:textId="77777777" w:rsidR="00F36125" w:rsidRPr="00634DFB" w:rsidRDefault="00000000" w:rsidP="00634DFB">
      <w:pPr>
        <w:pStyle w:val="Text"/>
        <w:spacing w:line="240" w:lineRule="auto"/>
        <w:jc w:val="right"/>
      </w:pP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ij</m:t>
            </m:r>
          </m:sub>
        </m:sSub>
        <m:r>
          <w:rPr>
            <w:rFonts w:ascii="Cambria Math" w:hAnsi="Cambria Math"/>
          </w:rPr>
          <m:t>(</m:t>
        </m:r>
        <m:r>
          <w:rPr>
            <w:rFonts w:ascii="Cambria Math" w:hAnsi="Cambria Math"/>
            <w:lang w:val="ru-RU"/>
          </w:rPr>
          <m:t>t</m:t>
        </m:r>
        <m:r>
          <w:rPr>
            <w:rFonts w:ascii="Cambria Math" w:hAnsi="Cambria Math"/>
          </w:rPr>
          <m:t>)=</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δ</m:t>
                </m:r>
              </m:e>
              <m:sub>
                <m:r>
                  <w:rPr>
                    <w:rFonts w:ascii="Cambria Math" w:hAnsi="Cambria Math"/>
                    <w:lang w:val="ru-RU"/>
                  </w:rPr>
                  <m:t>i</m:t>
                </m:r>
              </m:sub>
            </m:sSub>
            <m:r>
              <w:rPr>
                <w:rFonts w:ascii="Cambria Math" w:hAnsi="Cambria Math"/>
              </w:rPr>
              <m:t>(</m:t>
            </m:r>
            <m:r>
              <w:rPr>
                <w:rFonts w:ascii="Cambria Math" w:hAnsi="Cambria Math"/>
                <w:lang w:val="ru-RU"/>
              </w:rPr>
              <m:t>t</m:t>
            </m:r>
            <m:r>
              <w:rPr>
                <w:rFonts w:ascii="Cambria Math" w:hAnsi="Cambria Math"/>
              </w:rPr>
              <m:t>)-</m:t>
            </m:r>
            <m:sSub>
              <m:sSubPr>
                <m:ctrlPr>
                  <w:rPr>
                    <w:rFonts w:ascii="Cambria Math" w:hAnsi="Cambria Math"/>
                    <w:lang w:val="ru-RU"/>
                  </w:rPr>
                </m:ctrlPr>
              </m:sSubPr>
              <m:e>
                <m:r>
                  <w:rPr>
                    <w:rFonts w:ascii="Cambria Math" w:hAnsi="Cambria Math"/>
                    <w:lang w:val="ru-RU"/>
                  </w:rPr>
                  <m:t>δ</m:t>
                </m:r>
              </m:e>
              <m:sub>
                <m:r>
                  <w:rPr>
                    <w:rFonts w:ascii="Cambria Math" w:hAnsi="Cambria Math"/>
                    <w:lang w:val="ru-RU"/>
                  </w:rPr>
                  <m:t>j</m:t>
                </m:r>
              </m:sub>
            </m:sSub>
            <m:r>
              <w:rPr>
                <w:rFonts w:ascii="Cambria Math" w:hAnsi="Cambria Math"/>
              </w:rPr>
              <m:t>(</m:t>
            </m:r>
            <m:r>
              <w:rPr>
                <w:rFonts w:ascii="Cambria Math" w:hAnsi="Cambria Math"/>
                <w:lang w:val="ru-RU"/>
              </w:rPr>
              <m:t>t</m:t>
            </m:r>
            <m:r>
              <w:rPr>
                <w:rFonts w:ascii="Cambria Math" w:hAnsi="Cambria Math"/>
              </w:rPr>
              <m:t>)</m:t>
            </m:r>
          </m:num>
          <m:den>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ij</m:t>
                </m:r>
              </m:sub>
            </m:sSub>
          </m:den>
        </m:f>
      </m:oMath>
      <w:r w:rsidR="00F36125" w:rsidRPr="00634DFB">
        <w:t xml:space="preserve">                                                                   </w:t>
      </w:r>
      <w:bookmarkStart w:id="0" w:name="_Hlk215141685"/>
      <w:r w:rsidR="00F36125" w:rsidRPr="00634DFB">
        <w:rPr>
          <w:rFonts w:eastAsiaTheme="minorEastAsia"/>
        </w:rPr>
        <w:t>(5)</w:t>
      </w:r>
      <w:bookmarkEnd w:id="0"/>
    </w:p>
    <w:p w14:paraId="285C7D27" w14:textId="77777777" w:rsidR="00F36125" w:rsidRPr="00634DFB" w:rsidRDefault="00F36125" w:rsidP="00634DFB">
      <w:pPr>
        <w:pStyle w:val="Text"/>
        <w:spacing w:line="240" w:lineRule="auto"/>
        <w:ind w:firstLine="284"/>
      </w:pPr>
      <w:r w:rsidRPr="00634DFB">
        <w:t xml:space="preserve">where </w:t>
      </w: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ij</m:t>
            </m:r>
          </m:sub>
        </m:sSub>
      </m:oMath>
      <w:r w:rsidRPr="00634DFB">
        <w:t xml:space="preserve"> is the active power across branch i-j, </w:t>
      </w:r>
      <m:oMath>
        <m:sSub>
          <m:sSubPr>
            <m:ctrlPr>
              <w:rPr>
                <w:rFonts w:ascii="Cambria Math" w:hAnsi="Cambria Math"/>
                <w:lang w:val="ru-RU"/>
              </w:rPr>
            </m:ctrlPr>
          </m:sSubPr>
          <m:e>
            <m:r>
              <w:rPr>
                <w:rFonts w:ascii="Cambria Math" w:hAnsi="Cambria Math"/>
                <w:lang w:val="ru-RU"/>
              </w:rPr>
              <m:t>δ</m:t>
            </m:r>
          </m:e>
          <m:sub>
            <m:r>
              <w:rPr>
                <w:rFonts w:ascii="Cambria Math" w:hAnsi="Cambria Math"/>
                <w:lang w:val="ru-RU"/>
              </w:rPr>
              <m:t>i</m:t>
            </m:r>
          </m:sub>
        </m:sSub>
        <m:r>
          <w:rPr>
            <w:rFonts w:ascii="Cambria Math" w:hAnsi="Cambria Math"/>
          </w:rPr>
          <m:t>,</m:t>
        </m:r>
        <m:sSub>
          <m:sSubPr>
            <m:ctrlPr>
              <w:rPr>
                <w:rFonts w:ascii="Cambria Math" w:hAnsi="Cambria Math"/>
                <w:lang w:val="ru-RU"/>
              </w:rPr>
            </m:ctrlPr>
          </m:sSubPr>
          <m:e>
            <m:r>
              <w:rPr>
                <w:rFonts w:ascii="Cambria Math" w:hAnsi="Cambria Math"/>
                <w:lang w:val="ru-RU"/>
              </w:rPr>
              <m:t>δ</m:t>
            </m:r>
          </m:e>
          <m:sub>
            <m:r>
              <w:rPr>
                <w:rFonts w:ascii="Cambria Math" w:hAnsi="Cambria Math"/>
                <w:lang w:val="ru-RU"/>
              </w:rPr>
              <m:t>j</m:t>
            </m:r>
          </m:sub>
        </m:sSub>
        <m:r>
          <w:rPr>
            <w:rFonts w:ascii="Cambria Math" w:hAnsi="Cambria Math"/>
          </w:rPr>
          <m:t xml:space="preserve"> </m:t>
        </m:r>
      </m:oMath>
      <w:r w:rsidRPr="00634DFB">
        <w:t>are the nodal voltage angles, and</w:t>
      </w:r>
      <m:oMath>
        <m:r>
          <w:rPr>
            <w:rFonts w:ascii="Cambria Math" w:hAnsi="Cambria Math"/>
          </w:rPr>
          <m:t xml:space="preserve"> </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ij</m:t>
            </m:r>
          </m:sub>
        </m:sSub>
      </m:oMath>
      <w:r w:rsidRPr="00634DFB">
        <w:t xml:space="preserve"> is the branch's reactive impedance. </w:t>
      </w:r>
    </w:p>
    <w:p w14:paraId="5230953D" w14:textId="77777777" w:rsidR="002621A1" w:rsidRPr="00634DFB" w:rsidRDefault="002621A1" w:rsidP="00634DFB">
      <w:pPr>
        <w:pStyle w:val="Text"/>
        <w:spacing w:line="240" w:lineRule="auto"/>
        <w:ind w:firstLine="284"/>
      </w:pPr>
      <w:r w:rsidRPr="00634DFB">
        <w:t xml:space="preserve">The scenario base includes two classes. The first reflects the current network constraints and the growth of RES share without an ESS portfolio. The second provides for coordinated implementation of ESS at distribution nodes and transmission substations, linked to RES sites and network bottlenecks. Both classes use unified hourly consumption and generation profiles based on regional balances up to 2030 [11]. </w:t>
      </w:r>
    </w:p>
    <w:p w14:paraId="2CDA3721" w14:textId="77777777" w:rsidR="002621A1" w:rsidRPr="00634DFB" w:rsidRDefault="002621A1" w:rsidP="00634DFB">
      <w:pPr>
        <w:pStyle w:val="Text"/>
        <w:spacing w:line="240" w:lineRule="auto"/>
        <w:ind w:firstLine="284"/>
      </w:pPr>
      <w:r w:rsidRPr="00634DFB">
        <w:t>A summary of initial assumptions and parameters is presented in tabular form for result reproducibility and ease of review.</w:t>
      </w:r>
    </w:p>
    <w:p w14:paraId="4A81AB07" w14:textId="77777777" w:rsidR="002621A1" w:rsidRPr="00634DFB" w:rsidRDefault="002621A1" w:rsidP="00634DFB">
      <w:pPr>
        <w:pStyle w:val="Text"/>
        <w:spacing w:line="240" w:lineRule="auto"/>
        <w:ind w:firstLine="284"/>
      </w:pPr>
      <w:r w:rsidRPr="00634DFB">
        <w:t>Local voltage support at the RES connection nodes and in weak sections of the network is provided by the reactive component of inverter sources and compensators according to the reactive power assignment ratio (6), which is consistent with the practice of applying FACTS devices [2, 6-10].</w:t>
      </w:r>
    </w:p>
    <w:p w14:paraId="6B8B14AA" w14:textId="77777777" w:rsidR="002621A1" w:rsidRPr="00634DFB" w:rsidRDefault="002621A1" w:rsidP="00634DFB">
      <w:pPr>
        <w:pStyle w:val="Text"/>
        <w:spacing w:line="240" w:lineRule="auto"/>
        <w:ind w:firstLine="284"/>
      </w:pPr>
      <w:r w:rsidRPr="00634DFB">
        <w:t xml:space="preserve">Reactive voltage support at node </w:t>
      </w:r>
      <w:proofErr w:type="spellStart"/>
      <w:r w:rsidRPr="00634DFB">
        <w:t>i</w:t>
      </w:r>
      <w:proofErr w:type="spellEnd"/>
      <w:r w:rsidRPr="00634DFB">
        <w:t xml:space="preserve"> by an inverter source or compensator</w:t>
      </w:r>
    </w:p>
    <w:p w14:paraId="51A4B7E4" w14:textId="77777777" w:rsidR="002621A1" w:rsidRPr="00634DFB" w:rsidRDefault="00000000" w:rsidP="00634DFB">
      <w:pPr>
        <w:pStyle w:val="Text"/>
        <w:spacing w:line="240" w:lineRule="auto"/>
        <w:ind w:firstLine="204"/>
        <w:jc w:val="right"/>
      </w:pPr>
      <m:oMath>
        <m:sSubSup>
          <m:sSubSupPr>
            <m:ctrlPr>
              <w:rPr>
                <w:rFonts w:ascii="Cambria Math" w:hAnsi="Cambria Math"/>
                <w:lang w:val="ru-RU"/>
              </w:rPr>
            </m:ctrlPr>
          </m:sSubSupPr>
          <m:e>
            <m:r>
              <w:rPr>
                <w:rFonts w:ascii="Cambria Math" w:hAnsi="Cambria Math"/>
                <w:lang w:val="ru-RU"/>
              </w:rPr>
              <m:t>Q</m:t>
            </m:r>
          </m:e>
          <m:sub>
            <m:r>
              <w:rPr>
                <w:rFonts w:ascii="Cambria Math" w:hAnsi="Cambria Math"/>
                <w:lang w:val="ru-RU"/>
              </w:rPr>
              <m:t>i</m:t>
            </m:r>
          </m:sub>
          <m:sup>
            <m:r>
              <m:rPr>
                <m:sty m:val="p"/>
              </m:rPr>
              <w:rPr>
                <w:rFonts w:ascii="Cambria Math" w:hAnsi="Cambria Math"/>
              </w:rPr>
              <m:t>set</m:t>
            </m:r>
          </m:sup>
        </m:sSubSup>
        <m:r>
          <w:rPr>
            <w:rFonts w:ascii="Cambria Math" w:hAnsi="Cambria Math"/>
          </w:rPr>
          <m:t>(</m:t>
        </m:r>
        <m:r>
          <w:rPr>
            <w:rFonts w:ascii="Cambria Math" w:hAnsi="Cambria Math"/>
            <w:lang w:val="ru-RU"/>
          </w:rPr>
          <m:t>t</m:t>
        </m:r>
        <m:r>
          <w:rPr>
            <w:rFonts w:ascii="Cambria Math" w:hAnsi="Cambria Math"/>
          </w:rPr>
          <m:t>)=</m:t>
        </m:r>
        <m:sSubSup>
          <m:sSubSupPr>
            <m:ctrlPr>
              <w:rPr>
                <w:rFonts w:ascii="Cambria Math" w:hAnsi="Cambria Math"/>
                <w:lang w:val="ru-RU"/>
              </w:rPr>
            </m:ctrlPr>
          </m:sSubSupPr>
          <m:e>
            <m:r>
              <w:rPr>
                <w:rFonts w:ascii="Cambria Math" w:hAnsi="Cambria Math"/>
                <w:lang w:val="ru-RU"/>
              </w:rPr>
              <m:t>B</m:t>
            </m:r>
          </m:e>
          <m:sub>
            <m:r>
              <w:rPr>
                <w:rFonts w:ascii="Cambria Math" w:hAnsi="Cambria Math"/>
                <w:lang w:val="ru-RU"/>
              </w:rPr>
              <m:t>i</m:t>
            </m:r>
          </m:sub>
          <m:sup>
            <m:r>
              <m:rPr>
                <m:sty m:val="p"/>
              </m:rPr>
              <w:rPr>
                <w:rFonts w:ascii="Cambria Math" w:hAnsi="Cambria Math"/>
              </w:rPr>
              <m:t>add</m:t>
            </m:r>
          </m:sup>
        </m:sSubSup>
        <m:r>
          <w:rPr>
            <w:rFonts w:ascii="Cambria Math" w:hAnsi="Cambria Math"/>
          </w:rPr>
          <m:t>∣</m:t>
        </m:r>
        <m:sSub>
          <m:sSubPr>
            <m:ctrlPr>
              <w:rPr>
                <w:rFonts w:ascii="Cambria Math" w:hAnsi="Cambria Math"/>
                <w:lang w:val="ru-RU"/>
              </w:rPr>
            </m:ctrlPr>
          </m:sSubPr>
          <m:e>
            <m:r>
              <w:rPr>
                <w:rFonts w:ascii="Cambria Math" w:hAnsi="Cambria Math"/>
                <w:lang w:val="ru-RU"/>
              </w:rPr>
              <m:t>V</m:t>
            </m:r>
          </m:e>
          <m:sub>
            <m:r>
              <w:rPr>
                <w:rFonts w:ascii="Cambria Math" w:hAnsi="Cambria Math"/>
                <w:lang w:val="ru-RU"/>
              </w:rPr>
              <m:t>i</m:t>
            </m:r>
          </m:sub>
        </m:sSub>
        <m:r>
          <w:rPr>
            <w:rFonts w:ascii="Cambria Math" w:hAnsi="Cambria Math"/>
          </w:rPr>
          <m:t>(</m:t>
        </m:r>
        <m:r>
          <w:rPr>
            <w:rFonts w:ascii="Cambria Math" w:hAnsi="Cambria Math"/>
            <w:lang w:val="ru-RU"/>
          </w:rPr>
          <m:t>t</m:t>
        </m:r>
        <m:r>
          <w:rPr>
            <w:rFonts w:ascii="Cambria Math" w:hAnsi="Cambria Math"/>
          </w:rPr>
          <m:t>)</m:t>
        </m:r>
        <m:sSup>
          <m:sSupPr>
            <m:ctrlPr>
              <w:rPr>
                <w:rFonts w:ascii="Cambria Math" w:hAnsi="Cambria Math"/>
                <w:lang w:val="ru-RU"/>
              </w:rPr>
            </m:ctrlPr>
          </m:sSupPr>
          <m:e>
            <m:r>
              <w:rPr>
                <w:rFonts w:ascii="Cambria Math" w:hAnsi="Cambria Math"/>
              </w:rPr>
              <m:t>∣</m:t>
            </m:r>
          </m:e>
          <m:sup>
            <m:r>
              <w:rPr>
                <w:rFonts w:ascii="Cambria Math" w:hAnsi="Cambria Math"/>
              </w:rPr>
              <m:t>2</m:t>
            </m:r>
          </m:sup>
        </m:sSup>
      </m:oMath>
      <w:r w:rsidR="002621A1" w:rsidRPr="00634DFB">
        <w:t xml:space="preserve">                                                               (6)</w:t>
      </w:r>
    </w:p>
    <w:p w14:paraId="372F82AA" w14:textId="77777777" w:rsidR="002621A1" w:rsidRPr="00634DFB" w:rsidRDefault="002621A1" w:rsidP="00634DFB">
      <w:pPr>
        <w:pStyle w:val="Text"/>
        <w:spacing w:line="240" w:lineRule="auto"/>
        <w:ind w:firstLine="284"/>
      </w:pPr>
      <w:r w:rsidRPr="00634DFB">
        <w:t>where</w:t>
      </w:r>
      <m:oMath>
        <m:r>
          <w:rPr>
            <w:rFonts w:ascii="Cambria Math" w:hAnsi="Cambria Math"/>
          </w:rPr>
          <m:t xml:space="preserve"> </m:t>
        </m:r>
        <m:sSubSup>
          <m:sSubSupPr>
            <m:ctrlPr>
              <w:rPr>
                <w:rFonts w:ascii="Cambria Math" w:hAnsi="Cambria Math"/>
                <w:lang w:val="ru-RU"/>
              </w:rPr>
            </m:ctrlPr>
          </m:sSubSupPr>
          <m:e>
            <m:r>
              <w:rPr>
                <w:rFonts w:ascii="Cambria Math" w:hAnsi="Cambria Math"/>
                <w:lang w:val="ru-RU"/>
              </w:rPr>
              <m:t>Q</m:t>
            </m:r>
          </m:e>
          <m:sub>
            <m:r>
              <w:rPr>
                <w:rFonts w:ascii="Cambria Math" w:hAnsi="Cambria Math"/>
                <w:lang w:val="ru-RU"/>
              </w:rPr>
              <m:t>i</m:t>
            </m:r>
          </m:sub>
          <m:sup>
            <m:r>
              <m:rPr>
                <m:sty m:val="p"/>
              </m:rPr>
              <w:rPr>
                <w:rFonts w:ascii="Cambria Math" w:hAnsi="Cambria Math"/>
              </w:rPr>
              <m:t>set</m:t>
            </m:r>
          </m:sup>
        </m:sSubSup>
      </m:oMath>
      <w:r w:rsidRPr="00634DFB">
        <w:t xml:space="preserve"> is the reactive power setpoint at node i, </w:t>
      </w:r>
      <m:oMath>
        <m:sSubSup>
          <m:sSubSupPr>
            <m:ctrlPr>
              <w:rPr>
                <w:rFonts w:ascii="Cambria Math" w:hAnsi="Cambria Math"/>
                <w:lang w:val="ru-RU"/>
              </w:rPr>
            </m:ctrlPr>
          </m:sSubSupPr>
          <m:e>
            <m:r>
              <w:rPr>
                <w:rFonts w:ascii="Cambria Math" w:hAnsi="Cambria Math"/>
                <w:lang w:val="ru-RU"/>
              </w:rPr>
              <m:t>B</m:t>
            </m:r>
          </m:e>
          <m:sub>
            <m:r>
              <w:rPr>
                <w:rFonts w:ascii="Cambria Math" w:hAnsi="Cambria Math"/>
                <w:lang w:val="ru-RU"/>
              </w:rPr>
              <m:t>i</m:t>
            </m:r>
          </m:sub>
          <m:sup>
            <m:r>
              <m:rPr>
                <m:sty m:val="p"/>
              </m:rPr>
              <w:rPr>
                <w:rFonts w:ascii="Cambria Math" w:hAnsi="Cambria Math"/>
              </w:rPr>
              <m:t>add</m:t>
            </m:r>
          </m:sup>
        </m:sSubSup>
      </m:oMath>
      <w:r w:rsidRPr="00634DFB">
        <w:t xml:space="preserve"> is the adjustable susceptance, and </w:t>
      </w:r>
      <m:oMath>
        <m:r>
          <w:rPr>
            <w:rFonts w:ascii="Cambria Math" w:hAnsi="Cambria Math"/>
          </w:rPr>
          <m:t>∣</m:t>
        </m:r>
        <m:sSub>
          <m:sSubPr>
            <m:ctrlPr>
              <w:rPr>
                <w:rFonts w:ascii="Cambria Math" w:hAnsi="Cambria Math"/>
                <w:lang w:val="ru-RU"/>
              </w:rPr>
            </m:ctrlPr>
          </m:sSubPr>
          <m:e>
            <m:r>
              <w:rPr>
                <w:rFonts w:ascii="Cambria Math" w:hAnsi="Cambria Math"/>
                <w:lang w:val="ru-RU"/>
              </w:rPr>
              <m:t>V</m:t>
            </m:r>
          </m:e>
          <m:sub>
            <m:r>
              <w:rPr>
                <w:rFonts w:ascii="Cambria Math" w:hAnsi="Cambria Math"/>
                <w:lang w:val="ru-RU"/>
              </w:rPr>
              <m:t>i</m:t>
            </m:r>
          </m:sub>
        </m:sSub>
        <m:r>
          <w:rPr>
            <w:rFonts w:ascii="Cambria Math" w:hAnsi="Cambria Math"/>
          </w:rPr>
          <m:t>∣</m:t>
        </m:r>
      </m:oMath>
      <w:r w:rsidRPr="00634DFB">
        <w:t xml:space="preserve">  is the voltage magnitude. To compare options, an operational efficiency objective function is formulated, which aggregates the volume of forced RES curtailments, network losses, frequency and voltage deviation metrics, as well as the reduced costs of using energy storage devices.</w:t>
      </w:r>
    </w:p>
    <w:p w14:paraId="037F0DEE" w14:textId="77777777" w:rsidR="002621A1" w:rsidRPr="0037571B" w:rsidRDefault="002621A1" w:rsidP="00634DFB">
      <w:pPr>
        <w:pStyle w:val="Text"/>
        <w:spacing w:line="240" w:lineRule="auto"/>
        <w:ind w:firstLine="284"/>
      </w:pPr>
      <w:r w:rsidRPr="00634DFB">
        <w:t xml:space="preserve">The calculation algorithm consists of a sequence of steps. At each hourly step, the forecast load and renewable energy generation are set, a simplified economic dispatch is performed, and the residual imbalance is compensated by primary and secondary regulation reserves. This imbalance is distributed between charging and discharging of energy storage systems (ESS) while adhering to power and energy state constraints according to equations (3) and (4). </w:t>
      </w:r>
    </w:p>
    <w:p w14:paraId="2C0FA336" w14:textId="77777777" w:rsidR="00271156" w:rsidRPr="00271156" w:rsidRDefault="00271156" w:rsidP="00271156">
      <w:pPr>
        <w:spacing w:after="0" w:line="240" w:lineRule="auto"/>
        <w:ind w:firstLine="284"/>
        <w:jc w:val="both"/>
        <w:rPr>
          <w:rFonts w:ascii="Times New Roman" w:hAnsi="Times New Roman" w:cs="Times New Roman"/>
          <w:sz w:val="20"/>
          <w:szCs w:val="20"/>
        </w:rPr>
      </w:pPr>
      <w:r w:rsidRPr="00271156">
        <w:rPr>
          <w:rFonts w:ascii="Times New Roman" w:hAnsi="Times New Roman" w:cs="Times New Roman"/>
          <w:sz w:val="20"/>
          <w:szCs w:val="20"/>
        </w:rPr>
        <w:t>To formalize the target metric, the operational efficiency objective function is defined as follows:</w:t>
      </w:r>
    </w:p>
    <w:p w14:paraId="6EF525AE" w14:textId="77777777" w:rsidR="00271156" w:rsidRPr="00271156" w:rsidRDefault="00000000" w:rsidP="00271156">
      <w:pPr>
        <w:spacing w:after="0" w:line="240" w:lineRule="auto"/>
        <w:ind w:firstLine="284"/>
        <w:jc w:val="right"/>
        <w:rPr>
          <w:rFonts w:ascii="Times New Roman" w:hAnsi="Times New Roman" w:cs="Times New Roman"/>
          <w:sz w:val="20"/>
          <w:szCs w:val="20"/>
        </w:rPr>
      </w:pPr>
      <m:oMath>
        <m:m>
          <m:mPr>
            <m:plcHide m:val="1"/>
            <m:mcs>
              <m:mc>
                <m:mcPr>
                  <m:count m:val="4"/>
                  <m:mcJc m:val="center"/>
                </m:mcPr>
              </m:mc>
            </m:mcs>
            <m:ctrlPr>
              <w:rPr>
                <w:rFonts w:ascii="Cambria Math" w:hAnsi="Cambria Math" w:cs="Times New Roman"/>
                <w:sz w:val="20"/>
                <w:szCs w:val="20"/>
                <w:lang w:val="ru-RU"/>
              </w:rPr>
            </m:ctrlPr>
          </m:mPr>
          <m:mr>
            <m:e/>
            <m:e>
              <m:r>
                <w:rPr>
                  <w:rFonts w:ascii="Cambria Math" w:hAnsi="Cambria Math" w:cs="Times New Roman"/>
                  <w:sz w:val="20"/>
                  <w:szCs w:val="20"/>
                  <w:lang w:val="ru-RU"/>
                </w:rPr>
                <m:t>J</m:t>
              </m:r>
              <m:r>
                <w:rPr>
                  <w:rFonts w:ascii="Cambria Math" w:hAnsi="Cambria Math" w:cs="Times New Roman"/>
                  <w:sz w:val="20"/>
                  <w:szCs w:val="20"/>
                </w:rPr>
                <m:t>=</m:t>
              </m:r>
              <m:sSub>
                <m:sSubPr>
                  <m:ctrlPr>
                    <w:rPr>
                      <w:rFonts w:ascii="Cambria Math" w:hAnsi="Cambria Math" w:cs="Times New Roman"/>
                      <w:sz w:val="20"/>
                      <w:szCs w:val="20"/>
                      <w:lang w:val="ru-RU"/>
                    </w:rPr>
                  </m:ctrlPr>
                </m:sSubPr>
                <m:e>
                  <m:r>
                    <w:rPr>
                      <w:rFonts w:ascii="Cambria Math" w:hAnsi="Cambria Math" w:cs="Times New Roman"/>
                      <w:sz w:val="20"/>
                      <w:szCs w:val="20"/>
                      <w:lang w:val="ru-RU"/>
                    </w:rPr>
                    <m:t>w</m:t>
                  </m:r>
                </m:e>
                <m:sub>
                  <m:r>
                    <w:rPr>
                      <w:rFonts w:ascii="Cambria Math" w:hAnsi="Cambria Math" w:cs="Times New Roman"/>
                      <w:sz w:val="20"/>
                      <w:szCs w:val="20"/>
                    </w:rPr>
                    <m:t>1</m:t>
                  </m:r>
                </m:sub>
              </m:sSub>
              <m:r>
                <w:rPr>
                  <w:rFonts w:ascii="Cambria Math" w:hAnsi="Cambria Math" w:cs="Times New Roman"/>
                  <w:sz w:val="20"/>
                  <w:szCs w:val="20"/>
                </w:rPr>
                <m:t>⋅</m:t>
              </m:r>
              <m:r>
                <m:rPr>
                  <m:nor/>
                </m:rPr>
                <w:rPr>
                  <w:rFonts w:ascii="Times New Roman" w:hAnsi="Times New Roman" w:cs="Times New Roman"/>
                  <w:sz w:val="20"/>
                  <w:szCs w:val="20"/>
                </w:rPr>
                <m:t>Curt</m:t>
              </m:r>
              <m:r>
                <w:rPr>
                  <w:rFonts w:ascii="Cambria Math" w:hAnsi="Cambria Math" w:cs="Times New Roman"/>
                  <w:sz w:val="20"/>
                  <w:szCs w:val="20"/>
                </w:rPr>
                <m:t>+</m:t>
              </m:r>
              <m:sSub>
                <m:sSubPr>
                  <m:ctrlPr>
                    <w:rPr>
                      <w:rFonts w:ascii="Cambria Math" w:hAnsi="Cambria Math" w:cs="Times New Roman"/>
                      <w:sz w:val="20"/>
                      <w:szCs w:val="20"/>
                      <w:lang w:val="ru-RU"/>
                    </w:rPr>
                  </m:ctrlPr>
                </m:sSubPr>
                <m:e>
                  <m:r>
                    <w:rPr>
                      <w:rFonts w:ascii="Cambria Math" w:hAnsi="Cambria Math" w:cs="Times New Roman"/>
                      <w:sz w:val="20"/>
                      <w:szCs w:val="20"/>
                      <w:lang w:val="ru-RU"/>
                    </w:rPr>
                    <m:t>w</m:t>
                  </m:r>
                </m:e>
                <m:sub>
                  <m:r>
                    <w:rPr>
                      <w:rFonts w:ascii="Cambria Math" w:hAnsi="Cambria Math" w:cs="Times New Roman"/>
                      <w:sz w:val="20"/>
                      <w:szCs w:val="20"/>
                    </w:rPr>
                    <m:t>2</m:t>
                  </m:r>
                </m:sub>
              </m:sSub>
              <m:r>
                <w:rPr>
                  <w:rFonts w:ascii="Cambria Math" w:hAnsi="Cambria Math" w:cs="Times New Roman"/>
                  <w:sz w:val="20"/>
                  <w:szCs w:val="20"/>
                </w:rPr>
                <m:t>⋅</m:t>
              </m:r>
              <m:r>
                <m:rPr>
                  <m:nor/>
                </m:rPr>
                <w:rPr>
                  <w:rFonts w:ascii="Times New Roman" w:hAnsi="Times New Roman" w:cs="Times New Roman"/>
                  <w:sz w:val="20"/>
                  <w:szCs w:val="20"/>
                </w:rPr>
                <m:t>Loss</m:t>
              </m:r>
              <m:r>
                <w:rPr>
                  <w:rFonts w:ascii="Cambria Math" w:hAnsi="Cambria Math" w:cs="Times New Roman"/>
                  <w:sz w:val="20"/>
                  <w:szCs w:val="20"/>
                </w:rPr>
                <m:t>+</m:t>
              </m:r>
              <m:sSub>
                <m:sSubPr>
                  <m:ctrlPr>
                    <w:rPr>
                      <w:rFonts w:ascii="Cambria Math" w:hAnsi="Cambria Math" w:cs="Times New Roman"/>
                      <w:sz w:val="20"/>
                      <w:szCs w:val="20"/>
                      <w:lang w:val="ru-RU"/>
                    </w:rPr>
                  </m:ctrlPr>
                </m:sSubPr>
                <m:e>
                  <m:r>
                    <w:rPr>
                      <w:rFonts w:ascii="Cambria Math" w:hAnsi="Cambria Math" w:cs="Times New Roman"/>
                      <w:sz w:val="20"/>
                      <w:szCs w:val="20"/>
                      <w:lang w:val="ru-RU"/>
                    </w:rPr>
                    <m:t>w</m:t>
                  </m:r>
                </m:e>
                <m:sub>
                  <m:r>
                    <w:rPr>
                      <w:rFonts w:ascii="Cambria Math" w:hAnsi="Cambria Math" w:cs="Times New Roman"/>
                      <w:sz w:val="20"/>
                      <w:szCs w:val="20"/>
                    </w:rPr>
                    <m:t>3</m:t>
                  </m:r>
                </m:sub>
              </m:sSub>
              <m:r>
                <w:rPr>
                  <w:rFonts w:ascii="Cambria Math" w:hAnsi="Cambria Math" w:cs="Times New Roman"/>
                  <w:sz w:val="20"/>
                  <w:szCs w:val="20"/>
                </w:rPr>
                <m:t>⋅∫</m:t>
              </m:r>
              <m:r>
                <m:rPr>
                  <m:sty m:val="p"/>
                </m:rPr>
                <w:rPr>
                  <w:rFonts w:ascii="Cambria Math" w:hAnsi="Cambria Math" w:cs="Times New Roman"/>
                  <w:sz w:val="20"/>
                  <w:szCs w:val="20"/>
                </w:rPr>
                <m:t>∣</m:t>
              </m:r>
              <m:r>
                <m:rPr>
                  <m:sty m:val="p"/>
                </m:rPr>
                <w:rPr>
                  <w:rFonts w:ascii="Cambria Math" w:hAnsi="Cambria Math" w:cs="Times New Roman"/>
                  <w:sz w:val="20"/>
                  <w:szCs w:val="20"/>
                  <w:lang w:val="ru-RU"/>
                </w:rPr>
                <m:t>Δ</m:t>
              </m:r>
              <m:r>
                <w:rPr>
                  <w:rFonts w:ascii="Cambria Math" w:hAnsi="Cambria Math" w:cs="Times New Roman"/>
                  <w:sz w:val="20"/>
                  <w:szCs w:val="20"/>
                  <w:lang w:val="ru-RU"/>
                </w:rPr>
                <m:t>f</m:t>
              </m:r>
              <m:r>
                <m:rPr>
                  <m:sty m:val="p"/>
                </m:rPr>
                <w:rPr>
                  <w:rFonts w:ascii="Cambria Math" w:hAnsi="Cambria Math" w:cs="Times New Roman"/>
                  <w:sz w:val="20"/>
                  <w:szCs w:val="20"/>
                </w:rPr>
                <m:t>∣</m:t>
              </m:r>
              <m:r>
                <w:rPr>
                  <w:rFonts w:ascii="Cambria Math" w:hAnsi="Cambria Math" w:cs="Times New Roman"/>
                  <w:sz w:val="20"/>
                  <w:szCs w:val="20"/>
                  <w:lang w:val="ru-RU"/>
                </w:rPr>
                <m:t>dt</m:t>
              </m:r>
              <m:r>
                <w:rPr>
                  <w:rFonts w:ascii="Cambria Math" w:hAnsi="Cambria Math" w:cs="Times New Roman"/>
                  <w:sz w:val="20"/>
                  <w:szCs w:val="20"/>
                </w:rPr>
                <m:t>+</m:t>
              </m:r>
              <m:sSub>
                <m:sSubPr>
                  <m:ctrlPr>
                    <w:rPr>
                      <w:rFonts w:ascii="Cambria Math" w:hAnsi="Cambria Math" w:cs="Times New Roman"/>
                      <w:sz w:val="20"/>
                      <w:szCs w:val="20"/>
                      <w:lang w:val="ru-RU"/>
                    </w:rPr>
                  </m:ctrlPr>
                </m:sSubPr>
                <m:e>
                  <m:r>
                    <w:rPr>
                      <w:rFonts w:ascii="Cambria Math" w:hAnsi="Cambria Math" w:cs="Times New Roman"/>
                      <w:sz w:val="20"/>
                      <w:szCs w:val="20"/>
                      <w:lang w:val="ru-RU"/>
                    </w:rPr>
                    <m:t>w</m:t>
                  </m:r>
                </m:e>
                <m:sub>
                  <m:r>
                    <w:rPr>
                      <w:rFonts w:ascii="Cambria Math" w:hAnsi="Cambria Math" w:cs="Times New Roman"/>
                      <w:sz w:val="20"/>
                      <w:szCs w:val="20"/>
                    </w:rPr>
                    <m:t>4</m:t>
                  </m:r>
                </m:sub>
              </m:sSub>
              <m:r>
                <w:rPr>
                  <w:rFonts w:ascii="Cambria Math" w:hAnsi="Cambria Math" w:cs="Times New Roman"/>
                  <w:sz w:val="20"/>
                  <w:szCs w:val="20"/>
                </w:rPr>
                <m:t>⋅</m:t>
              </m:r>
              <m:sSub>
                <m:sSubPr>
                  <m:ctrlPr>
                    <w:rPr>
                      <w:rFonts w:ascii="Cambria Math" w:hAnsi="Cambria Math" w:cs="Times New Roman"/>
                      <w:sz w:val="20"/>
                      <w:szCs w:val="20"/>
                      <w:lang w:val="ru-RU"/>
                    </w:rPr>
                  </m:ctrlPr>
                </m:sSubPr>
                <m:e>
                  <m:r>
                    <m:rPr>
                      <m:nor/>
                    </m:rPr>
                    <w:rPr>
                      <w:rFonts w:ascii="Times New Roman" w:hAnsi="Times New Roman" w:cs="Times New Roman"/>
                      <w:sz w:val="20"/>
                      <w:szCs w:val="20"/>
                    </w:rPr>
                    <m:t>Cost</m:t>
                  </m:r>
                </m:e>
                <m:sub>
                  <m:r>
                    <w:rPr>
                      <w:rFonts w:ascii="Cambria Math" w:hAnsi="Cambria Math" w:cs="Times New Roman"/>
                      <w:sz w:val="20"/>
                      <w:szCs w:val="20"/>
                      <w:lang w:val="ru-RU"/>
                    </w:rPr>
                    <m:t>ESS</m:t>
                  </m:r>
                </m:sub>
              </m:sSub>
            </m:e>
            <m:e/>
            <m:e/>
          </m:mr>
        </m:m>
      </m:oMath>
      <w:r w:rsidR="00271156" w:rsidRPr="00271156">
        <w:rPr>
          <w:rFonts w:ascii="Times New Roman" w:eastAsiaTheme="minorEastAsia" w:hAnsi="Times New Roman" w:cs="Times New Roman"/>
          <w:sz w:val="20"/>
          <w:szCs w:val="20"/>
        </w:rPr>
        <w:t xml:space="preserve">                  (7)</w:t>
      </w:r>
    </w:p>
    <w:p w14:paraId="4DB386F6" w14:textId="5DBFD6E5" w:rsidR="00271156" w:rsidRPr="00271156" w:rsidRDefault="00271156" w:rsidP="00271156">
      <w:pPr>
        <w:spacing w:after="0" w:line="240" w:lineRule="auto"/>
        <w:ind w:firstLine="284"/>
        <w:jc w:val="both"/>
        <w:rPr>
          <w:rFonts w:ascii="Times New Roman" w:hAnsi="Times New Roman" w:cs="Times New Roman"/>
          <w:sz w:val="20"/>
          <w:szCs w:val="20"/>
        </w:rPr>
      </w:pPr>
      <w:r w:rsidRPr="00271156">
        <w:rPr>
          <w:rFonts w:ascii="Times New Roman" w:hAnsi="Times New Roman" w:cs="Times New Roman"/>
          <w:sz w:val="20"/>
          <w:szCs w:val="20"/>
        </w:rPr>
        <w:t xml:space="preserve">where </w:t>
      </w:r>
      <m:oMath>
        <m:r>
          <w:rPr>
            <w:rFonts w:ascii="Cambria Math" w:hAnsi="Cambria Math" w:cs="Times New Roman"/>
            <w:sz w:val="20"/>
            <w:szCs w:val="20"/>
            <w:lang w:val="ru-RU"/>
          </w:rPr>
          <m:t>J</m:t>
        </m:r>
      </m:oMath>
      <w:r w:rsidRPr="00271156">
        <w:rPr>
          <w:rFonts w:ascii="Times New Roman" w:hAnsi="Times New Roman" w:cs="Times New Roman"/>
          <w:sz w:val="20"/>
          <w:szCs w:val="20"/>
        </w:rPr>
        <w:t xml:space="preserve">is the overall performance indicator in relative units, </w:t>
      </w:r>
      <m:oMath>
        <m:r>
          <m:rPr>
            <m:nor/>
          </m:rPr>
          <w:rPr>
            <w:rFonts w:ascii="Times New Roman" w:hAnsi="Times New Roman" w:cs="Times New Roman"/>
            <w:sz w:val="20"/>
            <w:szCs w:val="20"/>
          </w:rPr>
          <m:t>Curt</m:t>
        </m:r>
      </m:oMath>
      <w:r w:rsidRPr="00271156">
        <w:rPr>
          <w:rFonts w:ascii="Times New Roman" w:hAnsi="Times New Roman" w:cs="Times New Roman"/>
          <w:sz w:val="20"/>
          <w:szCs w:val="20"/>
        </w:rPr>
        <w:t xml:space="preserve">is the total annual forced renewable energy curtailment (GWh/year), </w:t>
      </w:r>
      <m:oMath>
        <m:r>
          <m:rPr>
            <m:nor/>
          </m:rPr>
          <w:rPr>
            <w:rFonts w:ascii="Times New Roman" w:hAnsi="Times New Roman" w:cs="Times New Roman"/>
            <w:sz w:val="20"/>
            <w:szCs w:val="20"/>
          </w:rPr>
          <m:t>Loss</m:t>
        </m:r>
      </m:oMath>
      <w:r w:rsidRPr="00271156">
        <w:rPr>
          <w:rFonts w:ascii="Times New Roman" w:eastAsiaTheme="minorEastAsia" w:hAnsi="Times New Roman" w:cs="Times New Roman"/>
          <w:sz w:val="20"/>
          <w:szCs w:val="20"/>
        </w:rPr>
        <w:t xml:space="preserve"> </w:t>
      </w:r>
      <w:r w:rsidRPr="00271156">
        <w:rPr>
          <w:rFonts w:ascii="Times New Roman" w:hAnsi="Times New Roman" w:cs="Times New Roman"/>
          <w:sz w:val="20"/>
          <w:szCs w:val="20"/>
        </w:rPr>
        <w:t xml:space="preserve">is the total active power losses (GWh/year), </w:t>
      </w:r>
      <m:oMath>
        <m:r>
          <w:rPr>
            <w:rFonts w:ascii="Cambria Math" w:hAnsi="Cambria Math" w:cs="Times New Roman"/>
            <w:sz w:val="20"/>
            <w:szCs w:val="20"/>
          </w:rPr>
          <m:t>∫</m:t>
        </m:r>
        <m:r>
          <m:rPr>
            <m:sty m:val="p"/>
          </m:rPr>
          <w:rPr>
            <w:rFonts w:ascii="Cambria Math" w:hAnsi="Cambria Math" w:cs="Times New Roman"/>
            <w:sz w:val="20"/>
            <w:szCs w:val="20"/>
          </w:rPr>
          <m:t>∣</m:t>
        </m:r>
        <m:r>
          <m:rPr>
            <m:sty m:val="p"/>
          </m:rPr>
          <w:rPr>
            <w:rFonts w:ascii="Cambria Math" w:hAnsi="Cambria Math" w:cs="Times New Roman"/>
            <w:sz w:val="20"/>
            <w:szCs w:val="20"/>
            <w:lang w:val="ru-RU"/>
          </w:rPr>
          <m:t>Δ</m:t>
        </m:r>
        <m:r>
          <w:rPr>
            <w:rFonts w:ascii="Cambria Math" w:hAnsi="Cambria Math" w:cs="Times New Roman"/>
            <w:sz w:val="20"/>
            <w:szCs w:val="20"/>
            <w:lang w:val="ru-RU"/>
          </w:rPr>
          <m:t>f</m:t>
        </m:r>
        <m:r>
          <m:rPr>
            <m:sty m:val="p"/>
          </m:rPr>
          <w:rPr>
            <w:rFonts w:ascii="Cambria Math" w:hAnsi="Cambria Math" w:cs="Times New Roman"/>
            <w:sz w:val="20"/>
            <w:szCs w:val="20"/>
          </w:rPr>
          <m:t>∣</m:t>
        </m:r>
        <m:r>
          <w:rPr>
            <w:rFonts w:ascii="Cambria Math" w:hAnsi="Cambria Math" w:cs="Times New Roman"/>
            <w:sz w:val="20"/>
            <w:szCs w:val="20"/>
            <w:lang w:val="ru-RU"/>
          </w:rPr>
          <m:t>dt</m:t>
        </m:r>
      </m:oMath>
      <w:r w:rsidRPr="00271156">
        <w:rPr>
          <w:rFonts w:ascii="Times New Roman" w:eastAsiaTheme="minorEastAsia" w:hAnsi="Times New Roman" w:cs="Times New Roman"/>
          <w:sz w:val="20"/>
          <w:szCs w:val="20"/>
        </w:rPr>
        <w:t xml:space="preserve"> </w:t>
      </w:r>
      <w:r w:rsidRPr="00271156">
        <w:rPr>
          <w:rFonts w:ascii="Times New Roman" w:hAnsi="Times New Roman" w:cs="Times New Roman"/>
          <w:sz w:val="20"/>
          <w:szCs w:val="20"/>
        </w:rPr>
        <w:t xml:space="preserve">is the integral of frequency deviations over the considered time horizon (Hz·h), </w:t>
      </w:r>
      <m:oMath>
        <m:sSub>
          <m:sSubPr>
            <m:ctrlPr>
              <w:rPr>
                <w:rFonts w:ascii="Cambria Math" w:hAnsi="Cambria Math" w:cs="Times New Roman"/>
                <w:sz w:val="20"/>
                <w:szCs w:val="20"/>
                <w:lang w:val="ru-RU"/>
              </w:rPr>
            </m:ctrlPr>
          </m:sSubPr>
          <m:e>
            <m:r>
              <m:rPr>
                <m:nor/>
              </m:rPr>
              <w:rPr>
                <w:rFonts w:ascii="Times New Roman" w:hAnsi="Times New Roman" w:cs="Times New Roman"/>
                <w:sz w:val="20"/>
                <w:szCs w:val="20"/>
              </w:rPr>
              <m:t>Cost</m:t>
            </m:r>
          </m:e>
          <m:sub>
            <m:r>
              <w:rPr>
                <w:rFonts w:ascii="Cambria Math" w:hAnsi="Cambria Math" w:cs="Times New Roman"/>
                <w:sz w:val="20"/>
                <w:szCs w:val="20"/>
                <w:lang w:val="ru-RU"/>
              </w:rPr>
              <m:t>ESS</m:t>
            </m:r>
          </m:sub>
        </m:sSub>
      </m:oMath>
      <w:r w:rsidRPr="00271156">
        <w:rPr>
          <w:rFonts w:ascii="Times New Roman" w:eastAsiaTheme="minorEastAsia" w:hAnsi="Times New Roman" w:cs="Times New Roman"/>
          <w:sz w:val="20"/>
          <w:szCs w:val="20"/>
        </w:rPr>
        <w:t xml:space="preserve"> </w:t>
      </w:r>
      <w:r w:rsidRPr="00271156">
        <w:rPr>
          <w:rFonts w:ascii="Times New Roman" w:hAnsi="Times New Roman" w:cs="Times New Roman"/>
          <w:sz w:val="20"/>
          <w:szCs w:val="20"/>
        </w:rPr>
        <w:t xml:space="preserve">represents the economic cost of the deployed energy storage systems (million $/year), and </w:t>
      </w:r>
      <m:oMath>
        <m:sSub>
          <m:sSubPr>
            <m:ctrlPr>
              <w:rPr>
                <w:rFonts w:ascii="Cambria Math" w:hAnsi="Cambria Math" w:cs="Times New Roman"/>
                <w:sz w:val="20"/>
                <w:szCs w:val="20"/>
                <w:lang w:val="ru-RU"/>
              </w:rPr>
            </m:ctrlPr>
          </m:sSubPr>
          <m:e>
            <m:r>
              <w:rPr>
                <w:rFonts w:ascii="Cambria Math" w:hAnsi="Cambria Math" w:cs="Times New Roman"/>
                <w:sz w:val="20"/>
                <w:szCs w:val="20"/>
                <w:lang w:val="ru-RU"/>
              </w:rPr>
              <m:t>w</m:t>
            </m:r>
          </m:e>
          <m:sub>
            <m:r>
              <w:rPr>
                <w:rFonts w:ascii="Cambria Math" w:hAnsi="Cambria Math" w:cs="Times New Roman"/>
                <w:sz w:val="20"/>
                <w:szCs w:val="20"/>
              </w:rPr>
              <m:t>1</m:t>
            </m:r>
          </m:sub>
        </m:sSub>
      </m:oMath>
      <w:r w:rsidRPr="00271156">
        <w:rPr>
          <w:rFonts w:ascii="Times New Roman" w:hAnsi="Times New Roman" w:cs="Times New Roman"/>
          <w:sz w:val="20"/>
          <w:szCs w:val="20"/>
        </w:rPr>
        <w:t>–</w:t>
      </w:r>
      <m:oMath>
        <m:sSub>
          <m:sSubPr>
            <m:ctrlPr>
              <w:rPr>
                <w:rFonts w:ascii="Cambria Math" w:hAnsi="Cambria Math" w:cs="Times New Roman"/>
                <w:sz w:val="20"/>
                <w:szCs w:val="20"/>
                <w:lang w:val="ru-RU"/>
              </w:rPr>
            </m:ctrlPr>
          </m:sSubPr>
          <m:e>
            <m:r>
              <w:rPr>
                <w:rFonts w:ascii="Cambria Math" w:hAnsi="Cambria Math" w:cs="Times New Roman"/>
                <w:sz w:val="20"/>
                <w:szCs w:val="20"/>
                <w:lang w:val="ru-RU"/>
              </w:rPr>
              <m:t>w</m:t>
            </m:r>
          </m:e>
          <m:sub>
            <m:r>
              <w:rPr>
                <w:rFonts w:ascii="Cambria Math" w:hAnsi="Cambria Math" w:cs="Times New Roman"/>
                <w:sz w:val="20"/>
                <w:szCs w:val="20"/>
              </w:rPr>
              <m:t>4</m:t>
            </m:r>
          </m:sub>
        </m:sSub>
      </m:oMath>
      <w:r w:rsidRPr="00271156">
        <w:rPr>
          <w:rFonts w:ascii="Times New Roman" w:hAnsi="Times New Roman" w:cs="Times New Roman"/>
          <w:sz w:val="20"/>
          <w:szCs w:val="20"/>
        </w:rPr>
        <w:t xml:space="preserve"> are weighting factors reflecting the relative priority of each term.</w:t>
      </w:r>
    </w:p>
    <w:p w14:paraId="084DE6C4" w14:textId="77777777" w:rsidR="00215DAB" w:rsidRPr="00634DFB" w:rsidRDefault="00215DAB" w:rsidP="00634DFB">
      <w:pPr>
        <w:pStyle w:val="Text"/>
        <w:spacing w:line="240" w:lineRule="auto"/>
        <w:ind w:firstLine="0"/>
        <w:jc w:val="center"/>
        <w:rPr>
          <w:b/>
          <w:lang w:eastAsia="de-DE"/>
        </w:rPr>
      </w:pPr>
    </w:p>
    <w:p w14:paraId="7DE14100" w14:textId="51F392A7" w:rsidR="00F36125" w:rsidRPr="00634DFB" w:rsidRDefault="00F36125" w:rsidP="00634DFB">
      <w:pPr>
        <w:pStyle w:val="Text"/>
        <w:spacing w:line="240" w:lineRule="auto"/>
        <w:ind w:firstLine="0"/>
        <w:jc w:val="center"/>
      </w:pPr>
      <w:r w:rsidRPr="00634DFB">
        <w:rPr>
          <w:b/>
          <w:lang w:eastAsia="de-DE"/>
        </w:rPr>
        <w:t>TABLE</w:t>
      </w:r>
      <w:r w:rsidRPr="00634DFB">
        <w:rPr>
          <w:b/>
          <w:bCs/>
        </w:rPr>
        <w:t xml:space="preserve"> 5. </w:t>
      </w:r>
      <w:r w:rsidRPr="00634DFB">
        <w:t>Scenario assumptions and general modeling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6"/>
        <w:gridCol w:w="1498"/>
        <w:gridCol w:w="1787"/>
        <w:gridCol w:w="2401"/>
        <w:gridCol w:w="1858"/>
      </w:tblGrid>
      <w:tr w:rsidR="00F36125" w:rsidRPr="00634DFB" w14:paraId="03444560" w14:textId="77777777" w:rsidTr="00485568">
        <w:trPr>
          <w:tblHeader/>
          <w:jc w:val="center"/>
        </w:trPr>
        <w:tc>
          <w:tcPr>
            <w:tcW w:w="0" w:type="auto"/>
            <w:vAlign w:val="center"/>
            <w:hideMark/>
          </w:tcPr>
          <w:p w14:paraId="4587A572" w14:textId="77777777" w:rsidR="00F36125" w:rsidRPr="00634DFB" w:rsidRDefault="00F36125" w:rsidP="00634DFB">
            <w:pPr>
              <w:pStyle w:val="Text"/>
              <w:spacing w:line="240" w:lineRule="auto"/>
              <w:ind w:firstLine="0"/>
              <w:jc w:val="center"/>
              <w:rPr>
                <w:b/>
                <w:bCs/>
                <w:sz w:val="18"/>
                <w:szCs w:val="18"/>
              </w:rPr>
            </w:pPr>
            <w:r w:rsidRPr="00634DFB">
              <w:rPr>
                <w:b/>
                <w:bCs/>
                <w:sz w:val="18"/>
                <w:szCs w:val="18"/>
              </w:rPr>
              <w:t>Block</w:t>
            </w:r>
          </w:p>
        </w:tc>
        <w:tc>
          <w:tcPr>
            <w:tcW w:w="0" w:type="auto"/>
            <w:vAlign w:val="center"/>
            <w:hideMark/>
          </w:tcPr>
          <w:p w14:paraId="7FE2D768" w14:textId="77777777" w:rsidR="00F36125" w:rsidRPr="00634DFB" w:rsidRDefault="00F36125" w:rsidP="00634DFB">
            <w:pPr>
              <w:pStyle w:val="Text"/>
              <w:spacing w:line="240" w:lineRule="auto"/>
              <w:ind w:firstLine="0"/>
              <w:jc w:val="center"/>
              <w:rPr>
                <w:b/>
                <w:bCs/>
                <w:sz w:val="18"/>
                <w:szCs w:val="18"/>
              </w:rPr>
            </w:pPr>
            <w:r w:rsidRPr="00634DFB">
              <w:rPr>
                <w:b/>
                <w:bCs/>
                <w:sz w:val="18"/>
                <w:szCs w:val="18"/>
              </w:rPr>
              <w:t>Parameter</w:t>
            </w:r>
          </w:p>
        </w:tc>
        <w:tc>
          <w:tcPr>
            <w:tcW w:w="0" w:type="auto"/>
            <w:vAlign w:val="center"/>
            <w:hideMark/>
          </w:tcPr>
          <w:p w14:paraId="3C6EBE8C" w14:textId="77777777" w:rsidR="00F36125" w:rsidRPr="00634DFB" w:rsidRDefault="00F36125" w:rsidP="00634DFB">
            <w:pPr>
              <w:pStyle w:val="Text"/>
              <w:spacing w:line="240" w:lineRule="auto"/>
              <w:ind w:firstLine="0"/>
              <w:jc w:val="center"/>
              <w:rPr>
                <w:b/>
                <w:bCs/>
                <w:sz w:val="18"/>
                <w:szCs w:val="18"/>
              </w:rPr>
            </w:pPr>
            <w:r w:rsidRPr="00634DFB">
              <w:rPr>
                <w:b/>
                <w:bCs/>
                <w:sz w:val="18"/>
                <w:szCs w:val="18"/>
              </w:rPr>
              <w:t>Scenario A</w:t>
            </w:r>
          </w:p>
        </w:tc>
        <w:tc>
          <w:tcPr>
            <w:tcW w:w="0" w:type="auto"/>
            <w:vAlign w:val="center"/>
            <w:hideMark/>
          </w:tcPr>
          <w:p w14:paraId="7F90CDCF" w14:textId="77777777" w:rsidR="00F36125" w:rsidRPr="00634DFB" w:rsidRDefault="00F36125" w:rsidP="00634DFB">
            <w:pPr>
              <w:pStyle w:val="Text"/>
              <w:spacing w:line="240" w:lineRule="auto"/>
              <w:ind w:firstLine="0"/>
              <w:jc w:val="center"/>
              <w:rPr>
                <w:b/>
                <w:bCs/>
                <w:sz w:val="18"/>
                <w:szCs w:val="18"/>
              </w:rPr>
            </w:pPr>
            <w:r w:rsidRPr="00634DFB">
              <w:rPr>
                <w:b/>
                <w:bCs/>
                <w:sz w:val="18"/>
                <w:szCs w:val="18"/>
              </w:rPr>
              <w:t>Scenario B</w:t>
            </w:r>
          </w:p>
        </w:tc>
        <w:tc>
          <w:tcPr>
            <w:tcW w:w="0" w:type="auto"/>
            <w:vAlign w:val="center"/>
            <w:hideMark/>
          </w:tcPr>
          <w:p w14:paraId="71346CF1" w14:textId="77777777" w:rsidR="00F36125" w:rsidRPr="00634DFB" w:rsidRDefault="00F36125" w:rsidP="00634DFB">
            <w:pPr>
              <w:pStyle w:val="Text"/>
              <w:spacing w:line="240" w:lineRule="auto"/>
              <w:ind w:firstLine="0"/>
              <w:jc w:val="center"/>
              <w:rPr>
                <w:b/>
                <w:bCs/>
                <w:sz w:val="18"/>
                <w:szCs w:val="18"/>
              </w:rPr>
            </w:pPr>
            <w:r w:rsidRPr="00634DFB">
              <w:rPr>
                <w:b/>
                <w:bCs/>
                <w:sz w:val="18"/>
                <w:szCs w:val="18"/>
              </w:rPr>
              <w:t>Notes</w:t>
            </w:r>
          </w:p>
        </w:tc>
      </w:tr>
      <w:tr w:rsidR="00F36125" w:rsidRPr="00634DFB" w14:paraId="5C229D54" w14:textId="77777777" w:rsidTr="00485568">
        <w:trPr>
          <w:jc w:val="center"/>
        </w:trPr>
        <w:tc>
          <w:tcPr>
            <w:tcW w:w="0" w:type="auto"/>
            <w:vAlign w:val="center"/>
            <w:hideMark/>
          </w:tcPr>
          <w:p w14:paraId="6D263609" w14:textId="48C9EA6C" w:rsidR="00F36125" w:rsidRPr="00634DFB" w:rsidRDefault="00F36125" w:rsidP="00634DFB">
            <w:pPr>
              <w:pStyle w:val="Text"/>
              <w:spacing w:line="240" w:lineRule="auto"/>
              <w:ind w:firstLine="0"/>
              <w:jc w:val="center"/>
              <w:rPr>
                <w:sz w:val="18"/>
                <w:szCs w:val="18"/>
              </w:rPr>
            </w:pPr>
            <w:r w:rsidRPr="00634DFB">
              <w:rPr>
                <w:sz w:val="18"/>
                <w:szCs w:val="18"/>
              </w:rPr>
              <w:t xml:space="preserve">Modeling horizon </w:t>
            </w:r>
            <w:r w:rsidR="00B71B11" w:rsidRPr="00634DFB">
              <w:rPr>
                <w:sz w:val="18"/>
                <w:szCs w:val="18"/>
              </w:rPr>
              <w:t>and</w:t>
            </w:r>
            <w:r w:rsidRPr="00634DFB">
              <w:rPr>
                <w:sz w:val="18"/>
                <w:szCs w:val="18"/>
              </w:rPr>
              <w:t xml:space="preserve"> discretization</w:t>
            </w:r>
          </w:p>
        </w:tc>
        <w:tc>
          <w:tcPr>
            <w:tcW w:w="0" w:type="auto"/>
            <w:vAlign w:val="center"/>
            <w:hideMark/>
          </w:tcPr>
          <w:p w14:paraId="6DF3E005" w14:textId="77777777" w:rsidR="00F36125" w:rsidRPr="00634DFB" w:rsidRDefault="00F36125" w:rsidP="00634DFB">
            <w:pPr>
              <w:pStyle w:val="Text"/>
              <w:spacing w:line="240" w:lineRule="auto"/>
              <w:ind w:firstLine="0"/>
              <w:jc w:val="center"/>
              <w:rPr>
                <w:sz w:val="18"/>
                <w:szCs w:val="18"/>
              </w:rPr>
            </w:pPr>
            <w:r w:rsidRPr="00634DFB">
              <w:rPr>
                <w:sz w:val="18"/>
                <w:szCs w:val="18"/>
              </w:rPr>
              <w:t>Time range / step</w:t>
            </w:r>
          </w:p>
        </w:tc>
        <w:tc>
          <w:tcPr>
            <w:tcW w:w="0" w:type="auto"/>
            <w:vAlign w:val="center"/>
            <w:hideMark/>
          </w:tcPr>
          <w:p w14:paraId="3FE60E30" w14:textId="77777777" w:rsidR="00F36125" w:rsidRPr="00634DFB" w:rsidRDefault="00F36125" w:rsidP="00634DFB">
            <w:pPr>
              <w:pStyle w:val="Text"/>
              <w:spacing w:line="240" w:lineRule="auto"/>
              <w:ind w:firstLine="0"/>
              <w:jc w:val="center"/>
              <w:rPr>
                <w:sz w:val="18"/>
                <w:szCs w:val="18"/>
              </w:rPr>
            </w:pPr>
            <w:r w:rsidRPr="00634DFB">
              <w:rPr>
                <w:sz w:val="18"/>
                <w:szCs w:val="18"/>
              </w:rPr>
              <w:t>Calendar year, 1 h</w:t>
            </w:r>
          </w:p>
        </w:tc>
        <w:tc>
          <w:tcPr>
            <w:tcW w:w="0" w:type="auto"/>
            <w:vAlign w:val="center"/>
            <w:hideMark/>
          </w:tcPr>
          <w:p w14:paraId="77BB1057" w14:textId="77777777" w:rsidR="00F36125" w:rsidRPr="00634DFB" w:rsidRDefault="00F36125" w:rsidP="00634DFB">
            <w:pPr>
              <w:pStyle w:val="Text"/>
              <w:spacing w:line="240" w:lineRule="auto"/>
              <w:ind w:firstLine="0"/>
              <w:jc w:val="center"/>
              <w:rPr>
                <w:sz w:val="18"/>
                <w:szCs w:val="18"/>
              </w:rPr>
            </w:pPr>
            <w:r w:rsidRPr="00634DFB">
              <w:rPr>
                <w:sz w:val="18"/>
                <w:szCs w:val="18"/>
              </w:rPr>
              <w:t>Same</w:t>
            </w:r>
          </w:p>
        </w:tc>
        <w:tc>
          <w:tcPr>
            <w:tcW w:w="0" w:type="auto"/>
            <w:vAlign w:val="center"/>
            <w:hideMark/>
          </w:tcPr>
          <w:p w14:paraId="5E6ECFB1" w14:textId="77777777" w:rsidR="00F36125" w:rsidRPr="00634DFB" w:rsidRDefault="00F36125" w:rsidP="00634DFB">
            <w:pPr>
              <w:pStyle w:val="Text"/>
              <w:spacing w:line="240" w:lineRule="auto"/>
              <w:ind w:firstLine="0"/>
              <w:jc w:val="center"/>
              <w:rPr>
                <w:sz w:val="18"/>
                <w:szCs w:val="18"/>
              </w:rPr>
            </w:pPr>
            <w:r w:rsidRPr="00634DFB">
              <w:rPr>
                <w:sz w:val="18"/>
                <w:szCs w:val="18"/>
              </w:rPr>
              <w:t>Representative weeks by seasons</w:t>
            </w:r>
          </w:p>
        </w:tc>
      </w:tr>
      <w:tr w:rsidR="00F36125" w:rsidRPr="00634DFB" w14:paraId="477ABBC4" w14:textId="77777777" w:rsidTr="00485568">
        <w:trPr>
          <w:jc w:val="center"/>
        </w:trPr>
        <w:tc>
          <w:tcPr>
            <w:tcW w:w="0" w:type="auto"/>
            <w:vAlign w:val="center"/>
            <w:hideMark/>
          </w:tcPr>
          <w:p w14:paraId="36FA8C2A" w14:textId="133C7E11" w:rsidR="00F36125" w:rsidRPr="00634DFB" w:rsidRDefault="00F36125" w:rsidP="00634DFB">
            <w:pPr>
              <w:pStyle w:val="Text"/>
              <w:spacing w:line="240" w:lineRule="auto"/>
              <w:ind w:firstLine="0"/>
              <w:jc w:val="center"/>
              <w:rPr>
                <w:sz w:val="18"/>
                <w:szCs w:val="18"/>
              </w:rPr>
            </w:pPr>
            <w:r w:rsidRPr="00634DFB">
              <w:rPr>
                <w:sz w:val="18"/>
                <w:szCs w:val="18"/>
              </w:rPr>
              <w:t xml:space="preserve">Load </w:t>
            </w:r>
            <w:r w:rsidR="00B71B11" w:rsidRPr="00634DFB">
              <w:rPr>
                <w:sz w:val="18"/>
                <w:szCs w:val="18"/>
              </w:rPr>
              <w:t>and</w:t>
            </w:r>
            <w:r w:rsidRPr="00634DFB">
              <w:rPr>
                <w:sz w:val="18"/>
                <w:szCs w:val="18"/>
              </w:rPr>
              <w:t xml:space="preserve"> RES</w:t>
            </w:r>
          </w:p>
        </w:tc>
        <w:tc>
          <w:tcPr>
            <w:tcW w:w="0" w:type="auto"/>
            <w:vAlign w:val="center"/>
            <w:hideMark/>
          </w:tcPr>
          <w:p w14:paraId="44DFE945" w14:textId="7B042D04" w:rsidR="00F36125" w:rsidRPr="00634DFB" w:rsidRDefault="00000000" w:rsidP="00634DFB">
            <w:pPr>
              <w:pStyle w:val="Text"/>
              <w:spacing w:line="240" w:lineRule="auto"/>
              <w:ind w:firstLine="0"/>
              <w:jc w:val="center"/>
              <w:rPr>
                <w:sz w:val="18"/>
                <w:szCs w:val="18"/>
              </w:rPr>
            </w:p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L</m:t>
                  </m:r>
                </m:sub>
              </m:sSub>
              <m:r>
                <w:rPr>
                  <w:rFonts w:ascii="Cambria Math" w:hAnsi="Cambria Math"/>
                  <w:sz w:val="18"/>
                  <w:szCs w:val="18"/>
                </w:rPr>
                <m:t>(t)</m:t>
              </m:r>
            </m:oMath>
            <w:r w:rsidR="00F36125" w:rsidRPr="00634DFB">
              <w:rPr>
                <w:sz w:val="18"/>
                <w:szCs w:val="18"/>
              </w:rPr>
              <w:t xml:space="preserve">/ PV </w:t>
            </w:r>
            <w:r w:rsidR="00B71B11" w:rsidRPr="00634DFB">
              <w:rPr>
                <w:sz w:val="18"/>
                <w:szCs w:val="18"/>
              </w:rPr>
              <w:t>and</w:t>
            </w:r>
            <w:r w:rsidR="00F36125" w:rsidRPr="00634DFB">
              <w:rPr>
                <w:sz w:val="18"/>
                <w:szCs w:val="18"/>
              </w:rPr>
              <w:t xml:space="preserve"> wind profiles</w:t>
            </w:r>
          </w:p>
        </w:tc>
        <w:tc>
          <w:tcPr>
            <w:tcW w:w="0" w:type="auto"/>
            <w:vAlign w:val="center"/>
            <w:hideMark/>
          </w:tcPr>
          <w:p w14:paraId="5D04D6E1" w14:textId="77777777" w:rsidR="00F36125" w:rsidRPr="00634DFB" w:rsidRDefault="00F36125" w:rsidP="00634DFB">
            <w:pPr>
              <w:pStyle w:val="Text"/>
              <w:spacing w:line="240" w:lineRule="auto"/>
              <w:ind w:firstLine="0"/>
              <w:jc w:val="center"/>
              <w:rPr>
                <w:sz w:val="18"/>
                <w:szCs w:val="18"/>
              </w:rPr>
            </w:pPr>
            <w:r w:rsidRPr="00634DFB">
              <w:rPr>
                <w:sz w:val="18"/>
                <w:szCs w:val="18"/>
              </w:rPr>
              <w:t>Regional daily/seasonal</w:t>
            </w:r>
          </w:p>
        </w:tc>
        <w:tc>
          <w:tcPr>
            <w:tcW w:w="0" w:type="auto"/>
            <w:vAlign w:val="center"/>
            <w:hideMark/>
          </w:tcPr>
          <w:p w14:paraId="1DB45546" w14:textId="77777777" w:rsidR="00F36125" w:rsidRPr="00634DFB" w:rsidRDefault="00F36125" w:rsidP="00634DFB">
            <w:pPr>
              <w:pStyle w:val="Text"/>
              <w:spacing w:line="240" w:lineRule="auto"/>
              <w:ind w:firstLine="0"/>
              <w:jc w:val="center"/>
              <w:rPr>
                <w:sz w:val="18"/>
                <w:szCs w:val="18"/>
              </w:rPr>
            </w:pPr>
            <w:r w:rsidRPr="00634DFB">
              <w:rPr>
                <w:sz w:val="18"/>
                <w:szCs w:val="18"/>
              </w:rPr>
              <w:t>Same</w:t>
            </w:r>
          </w:p>
        </w:tc>
        <w:tc>
          <w:tcPr>
            <w:tcW w:w="0" w:type="auto"/>
            <w:vAlign w:val="center"/>
            <w:hideMark/>
          </w:tcPr>
          <w:p w14:paraId="2A38289C" w14:textId="77777777" w:rsidR="00F36125" w:rsidRPr="00634DFB" w:rsidRDefault="00F36125" w:rsidP="00634DFB">
            <w:pPr>
              <w:pStyle w:val="Text"/>
              <w:spacing w:line="240" w:lineRule="auto"/>
              <w:ind w:firstLine="0"/>
              <w:jc w:val="center"/>
              <w:rPr>
                <w:sz w:val="18"/>
                <w:szCs w:val="18"/>
              </w:rPr>
            </w:pPr>
            <w:r w:rsidRPr="00634DFB">
              <w:rPr>
                <w:sz w:val="18"/>
                <w:szCs w:val="18"/>
              </w:rPr>
              <w:t>Unified set for comparability</w:t>
            </w:r>
          </w:p>
        </w:tc>
      </w:tr>
      <w:tr w:rsidR="00F36125" w:rsidRPr="00634DFB" w14:paraId="135B7518" w14:textId="77777777" w:rsidTr="00485568">
        <w:trPr>
          <w:jc w:val="center"/>
        </w:trPr>
        <w:tc>
          <w:tcPr>
            <w:tcW w:w="0" w:type="auto"/>
            <w:vAlign w:val="center"/>
            <w:hideMark/>
          </w:tcPr>
          <w:p w14:paraId="4A8238E7" w14:textId="2F366C45" w:rsidR="00F36125" w:rsidRPr="00634DFB" w:rsidRDefault="00F36125" w:rsidP="00634DFB">
            <w:pPr>
              <w:pStyle w:val="Text"/>
              <w:spacing w:line="240" w:lineRule="auto"/>
              <w:ind w:firstLine="0"/>
              <w:jc w:val="center"/>
              <w:rPr>
                <w:sz w:val="18"/>
                <w:szCs w:val="18"/>
              </w:rPr>
            </w:pPr>
            <w:r w:rsidRPr="00634DFB">
              <w:rPr>
                <w:sz w:val="18"/>
                <w:szCs w:val="18"/>
              </w:rPr>
              <w:t xml:space="preserve">Power balance </w:t>
            </w:r>
            <w:r w:rsidR="00B71B11" w:rsidRPr="00634DFB">
              <w:rPr>
                <w:sz w:val="18"/>
                <w:szCs w:val="18"/>
              </w:rPr>
              <w:t>and</w:t>
            </w:r>
            <w:r w:rsidRPr="00634DFB">
              <w:rPr>
                <w:sz w:val="18"/>
                <w:szCs w:val="18"/>
              </w:rPr>
              <w:t xml:space="preserve"> frequency</w:t>
            </w:r>
          </w:p>
        </w:tc>
        <w:tc>
          <w:tcPr>
            <w:tcW w:w="0" w:type="auto"/>
            <w:vAlign w:val="center"/>
            <w:hideMark/>
          </w:tcPr>
          <w:p w14:paraId="00CDC293" w14:textId="77777777" w:rsidR="00F36125" w:rsidRPr="00634DFB" w:rsidRDefault="00F36125" w:rsidP="00634DFB">
            <w:pPr>
              <w:pStyle w:val="Text"/>
              <w:spacing w:line="240" w:lineRule="auto"/>
              <w:ind w:firstLine="0"/>
              <w:jc w:val="center"/>
              <w:rPr>
                <w:sz w:val="18"/>
                <w:szCs w:val="18"/>
              </w:rPr>
            </w:pPr>
            <w:r w:rsidRPr="00634DFB">
              <w:rPr>
                <w:sz w:val="18"/>
                <w:szCs w:val="18"/>
              </w:rPr>
              <w:t xml:space="preserve">eq. (1), </w:t>
            </w:r>
            <m:oMath>
              <m:r>
                <w:rPr>
                  <w:rFonts w:ascii="Cambria Math" w:hAnsi="Cambria Math"/>
                  <w:sz w:val="18"/>
                  <w:szCs w:val="18"/>
                </w:rPr>
                <m:t>d</m:t>
              </m:r>
              <m:r>
                <m:rPr>
                  <m:sty m:val="p"/>
                </m:rPr>
                <w:rPr>
                  <w:rFonts w:ascii="Cambria Math" w:hAnsi="Cambria Math"/>
                  <w:sz w:val="18"/>
                  <w:szCs w:val="18"/>
                </w:rPr>
                <m:t>Δ</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dt</m:t>
              </m:r>
            </m:oMath>
          </w:p>
        </w:tc>
        <w:tc>
          <w:tcPr>
            <w:tcW w:w="0" w:type="auto"/>
            <w:vAlign w:val="center"/>
            <w:hideMark/>
          </w:tcPr>
          <w:p w14:paraId="70AE2DE8" w14:textId="77777777" w:rsidR="00F36125" w:rsidRPr="00634DFB" w:rsidRDefault="00F36125" w:rsidP="00634DFB">
            <w:pPr>
              <w:pStyle w:val="Text"/>
              <w:spacing w:line="240" w:lineRule="auto"/>
              <w:ind w:firstLine="0"/>
              <w:jc w:val="center"/>
              <w:rPr>
                <w:sz w:val="18"/>
                <w:szCs w:val="18"/>
              </w:rPr>
            </w:pPr>
            <w:r w:rsidRPr="00634DFB">
              <w:rPr>
                <w:sz w:val="18"/>
                <w:szCs w:val="18"/>
              </w:rPr>
              <w:t>eq. (1), eq. (2)</w:t>
            </w:r>
          </w:p>
        </w:tc>
        <w:tc>
          <w:tcPr>
            <w:tcW w:w="0" w:type="auto"/>
            <w:vAlign w:val="center"/>
            <w:hideMark/>
          </w:tcPr>
          <w:p w14:paraId="65241970" w14:textId="77777777" w:rsidR="00F36125" w:rsidRPr="00634DFB" w:rsidRDefault="00F36125" w:rsidP="00634DFB">
            <w:pPr>
              <w:pStyle w:val="Text"/>
              <w:spacing w:line="240" w:lineRule="auto"/>
              <w:ind w:firstLine="0"/>
              <w:jc w:val="center"/>
              <w:rPr>
                <w:sz w:val="18"/>
                <w:szCs w:val="18"/>
              </w:rPr>
            </w:pPr>
            <w:r w:rsidRPr="00634DFB">
              <w:rPr>
                <w:sz w:val="18"/>
                <w:szCs w:val="18"/>
              </w:rPr>
              <w:t>eq. (</w:t>
            </w:r>
            <w:proofErr w:type="gramStart"/>
            <w:r w:rsidRPr="00634DFB">
              <w:rPr>
                <w:sz w:val="18"/>
                <w:szCs w:val="18"/>
              </w:rPr>
              <w:t>1)+</w:t>
            </w:r>
            <w:proofErr w:type="gramEnd"/>
            <w:r w:rsidRPr="00634DFB">
              <w:rPr>
                <w:sz w:val="18"/>
                <w:szCs w:val="18"/>
              </w:rPr>
              <w:t>ESS, eq. (2)</w:t>
            </w:r>
          </w:p>
        </w:tc>
        <w:tc>
          <w:tcPr>
            <w:tcW w:w="0" w:type="auto"/>
            <w:vAlign w:val="center"/>
            <w:hideMark/>
          </w:tcPr>
          <w:p w14:paraId="34F0C251" w14:textId="77777777" w:rsidR="00F36125" w:rsidRPr="00634DFB" w:rsidRDefault="00F36125" w:rsidP="00634DFB">
            <w:pPr>
              <w:pStyle w:val="Text"/>
              <w:spacing w:line="240" w:lineRule="auto"/>
              <w:ind w:firstLine="0"/>
              <w:jc w:val="center"/>
              <w:rPr>
                <w:sz w:val="18"/>
                <w:szCs w:val="18"/>
              </w:rPr>
            </w:pPr>
            <w:r w:rsidRPr="00634DFB">
              <w:rPr>
                <w:sz w:val="18"/>
                <w:szCs w:val="18"/>
              </w:rPr>
              <w:t xml:space="preserve">Aggregated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loss</m:t>
                  </m:r>
                </m:sub>
              </m:sSub>
            </m:oMath>
            <w:r w:rsidRPr="00634DFB">
              <w:rPr>
                <w:sz w:val="18"/>
                <w:szCs w:val="18"/>
              </w:rPr>
              <w:t>, linearization</w:t>
            </w:r>
          </w:p>
        </w:tc>
      </w:tr>
      <w:tr w:rsidR="00F36125" w:rsidRPr="00634DFB" w14:paraId="15A32969" w14:textId="77777777" w:rsidTr="00485568">
        <w:trPr>
          <w:jc w:val="center"/>
        </w:trPr>
        <w:tc>
          <w:tcPr>
            <w:tcW w:w="0" w:type="auto"/>
            <w:vAlign w:val="center"/>
            <w:hideMark/>
          </w:tcPr>
          <w:p w14:paraId="36A7E120" w14:textId="347E111F" w:rsidR="00F36125" w:rsidRPr="00634DFB" w:rsidRDefault="00F36125" w:rsidP="00634DFB">
            <w:pPr>
              <w:pStyle w:val="Text"/>
              <w:spacing w:line="240" w:lineRule="auto"/>
              <w:ind w:firstLine="0"/>
              <w:jc w:val="center"/>
              <w:rPr>
                <w:sz w:val="18"/>
                <w:szCs w:val="18"/>
              </w:rPr>
            </w:pPr>
            <w:r w:rsidRPr="00634DFB">
              <w:rPr>
                <w:sz w:val="18"/>
                <w:szCs w:val="18"/>
              </w:rPr>
              <w:t xml:space="preserve">System inertia </w:t>
            </w:r>
            <w:r w:rsidR="00B71B11" w:rsidRPr="00634DFB">
              <w:rPr>
                <w:sz w:val="18"/>
                <w:szCs w:val="18"/>
              </w:rPr>
              <w:t>and</w:t>
            </w:r>
            <w:r w:rsidRPr="00634DFB">
              <w:rPr>
                <w:sz w:val="18"/>
                <w:szCs w:val="18"/>
              </w:rPr>
              <w:t xml:space="preserve"> damping</w:t>
            </w:r>
          </w:p>
        </w:tc>
        <w:tc>
          <w:tcPr>
            <w:tcW w:w="0" w:type="auto"/>
            <w:vAlign w:val="center"/>
            <w:hideMark/>
          </w:tcPr>
          <w:p w14:paraId="6174666F" w14:textId="77777777" w:rsidR="00F36125" w:rsidRPr="00634DFB" w:rsidRDefault="00F36125" w:rsidP="00634DFB">
            <w:pPr>
              <w:pStyle w:val="Text"/>
              <w:spacing w:line="240" w:lineRule="auto"/>
              <w:ind w:firstLine="0"/>
              <w:jc w:val="center"/>
              <w:rPr>
                <w:sz w:val="18"/>
                <w:szCs w:val="18"/>
              </w:rPr>
            </w:pPr>
            <m:oMathPara>
              <m:oMath>
                <m:r>
                  <w:rPr>
                    <w:rFonts w:ascii="Cambria Math" w:hAnsi="Cambria Math"/>
                    <w:sz w:val="18"/>
                    <w:szCs w:val="18"/>
                  </w:rPr>
                  <m:t>H,D</m:t>
                </m:r>
              </m:oMath>
            </m:oMathPara>
          </w:p>
        </w:tc>
        <w:tc>
          <w:tcPr>
            <w:tcW w:w="0" w:type="auto"/>
            <w:vAlign w:val="center"/>
            <w:hideMark/>
          </w:tcPr>
          <w:p w14:paraId="498A9A0C" w14:textId="77777777" w:rsidR="00F36125" w:rsidRPr="00634DFB" w:rsidRDefault="00F36125" w:rsidP="00634DFB">
            <w:pPr>
              <w:pStyle w:val="Text"/>
              <w:spacing w:line="240" w:lineRule="auto"/>
              <w:ind w:firstLine="0"/>
              <w:jc w:val="center"/>
              <w:rPr>
                <w:sz w:val="18"/>
                <w:szCs w:val="18"/>
              </w:rPr>
            </w:pPr>
            <w:r w:rsidRPr="00634DFB">
              <w:rPr>
                <w:sz w:val="18"/>
                <w:szCs w:val="18"/>
              </w:rPr>
              <w:t>Typical</w:t>
            </w:r>
          </w:p>
        </w:tc>
        <w:tc>
          <w:tcPr>
            <w:tcW w:w="0" w:type="auto"/>
            <w:vAlign w:val="center"/>
            <w:hideMark/>
          </w:tcPr>
          <w:p w14:paraId="6544A383" w14:textId="77777777" w:rsidR="00F36125" w:rsidRPr="00634DFB" w:rsidRDefault="00F36125" w:rsidP="00634DFB">
            <w:pPr>
              <w:pStyle w:val="Text"/>
              <w:spacing w:line="240" w:lineRule="auto"/>
              <w:ind w:firstLine="0"/>
              <w:jc w:val="center"/>
              <w:rPr>
                <w:sz w:val="18"/>
                <w:szCs w:val="18"/>
              </w:rPr>
            </w:pPr>
            <w:r w:rsidRPr="00634DFB">
              <w:rPr>
                <w:sz w:val="18"/>
                <w:szCs w:val="18"/>
              </w:rPr>
              <w:t>Same</w:t>
            </w:r>
          </w:p>
        </w:tc>
        <w:tc>
          <w:tcPr>
            <w:tcW w:w="0" w:type="auto"/>
            <w:vAlign w:val="center"/>
            <w:hideMark/>
          </w:tcPr>
          <w:p w14:paraId="1541BAAD" w14:textId="77777777" w:rsidR="00F36125" w:rsidRPr="00634DFB" w:rsidRDefault="00F36125" w:rsidP="00634DFB">
            <w:pPr>
              <w:pStyle w:val="Text"/>
              <w:spacing w:line="240" w:lineRule="auto"/>
              <w:ind w:firstLine="0"/>
              <w:jc w:val="center"/>
              <w:rPr>
                <w:sz w:val="18"/>
                <w:szCs w:val="18"/>
              </w:rPr>
            </w:pPr>
            <w:proofErr w:type="spellStart"/>
            <w:r w:rsidRPr="00634DFB">
              <w:rPr>
                <w:sz w:val="18"/>
                <w:szCs w:val="18"/>
              </w:rPr>
              <w:t>DIgSILENT</w:t>
            </w:r>
            <w:proofErr w:type="spellEnd"/>
            <w:r w:rsidRPr="00634DFB">
              <w:rPr>
                <w:sz w:val="18"/>
                <w:szCs w:val="18"/>
              </w:rPr>
              <w:t xml:space="preserve"> validation</w:t>
            </w:r>
          </w:p>
        </w:tc>
      </w:tr>
      <w:tr w:rsidR="00F36125" w:rsidRPr="00634DFB" w14:paraId="74200FF8" w14:textId="77777777" w:rsidTr="00485568">
        <w:trPr>
          <w:jc w:val="center"/>
        </w:trPr>
        <w:tc>
          <w:tcPr>
            <w:tcW w:w="0" w:type="auto"/>
            <w:vAlign w:val="center"/>
            <w:hideMark/>
          </w:tcPr>
          <w:p w14:paraId="2F785B37" w14:textId="01191B45" w:rsidR="00F36125" w:rsidRPr="00634DFB" w:rsidRDefault="00F36125" w:rsidP="00634DFB">
            <w:pPr>
              <w:pStyle w:val="Text"/>
              <w:spacing w:line="240" w:lineRule="auto"/>
              <w:ind w:firstLine="0"/>
              <w:jc w:val="center"/>
              <w:rPr>
                <w:sz w:val="18"/>
                <w:szCs w:val="18"/>
              </w:rPr>
            </w:pPr>
            <w:r w:rsidRPr="00634DFB">
              <w:rPr>
                <w:sz w:val="18"/>
                <w:szCs w:val="18"/>
              </w:rPr>
              <w:t xml:space="preserve">Network </w:t>
            </w:r>
            <w:r w:rsidR="00B71B11" w:rsidRPr="00634DFB">
              <w:rPr>
                <w:sz w:val="18"/>
                <w:szCs w:val="18"/>
              </w:rPr>
              <w:t>and</w:t>
            </w:r>
            <w:r w:rsidRPr="00634DFB">
              <w:rPr>
                <w:sz w:val="18"/>
                <w:szCs w:val="18"/>
              </w:rPr>
              <w:t xml:space="preserve"> cross-sections</w:t>
            </w:r>
          </w:p>
        </w:tc>
        <w:tc>
          <w:tcPr>
            <w:tcW w:w="0" w:type="auto"/>
            <w:vAlign w:val="center"/>
            <w:hideMark/>
          </w:tcPr>
          <w:p w14:paraId="37501E0E" w14:textId="77777777" w:rsidR="00F36125" w:rsidRPr="00634DFB" w:rsidRDefault="00F36125" w:rsidP="00634DFB">
            <w:pPr>
              <w:pStyle w:val="Text"/>
              <w:spacing w:line="240" w:lineRule="auto"/>
              <w:ind w:firstLine="0"/>
              <w:jc w:val="center"/>
              <w:rPr>
                <w:sz w:val="18"/>
                <w:szCs w:val="18"/>
              </w:rPr>
            </w:pPr>
            <w:r w:rsidRPr="00634DFB">
              <w:rPr>
                <w:sz w:val="18"/>
                <w:szCs w:val="18"/>
              </w:rPr>
              <w:t>Power flow / limits</w:t>
            </w:r>
          </w:p>
        </w:tc>
        <w:tc>
          <w:tcPr>
            <w:tcW w:w="0" w:type="auto"/>
            <w:vAlign w:val="center"/>
            <w:hideMark/>
          </w:tcPr>
          <w:p w14:paraId="179DC718" w14:textId="77777777" w:rsidR="00F36125" w:rsidRPr="00634DFB" w:rsidRDefault="00F36125" w:rsidP="00634DFB">
            <w:pPr>
              <w:pStyle w:val="Text"/>
              <w:spacing w:line="240" w:lineRule="auto"/>
              <w:ind w:firstLine="0"/>
              <w:jc w:val="center"/>
              <w:rPr>
                <w:sz w:val="18"/>
                <w:szCs w:val="18"/>
              </w:rPr>
            </w:pPr>
            <w:r w:rsidRPr="00634DFB">
              <w:rPr>
                <w:sz w:val="18"/>
                <w:szCs w:val="18"/>
              </w:rPr>
              <w:t>DC eq. (5) / 700–1000 MW</w:t>
            </w:r>
          </w:p>
        </w:tc>
        <w:tc>
          <w:tcPr>
            <w:tcW w:w="0" w:type="auto"/>
            <w:vAlign w:val="center"/>
            <w:hideMark/>
          </w:tcPr>
          <w:p w14:paraId="1AEBAC8D" w14:textId="77777777" w:rsidR="00F36125" w:rsidRPr="00634DFB" w:rsidRDefault="00F36125" w:rsidP="00634DFB">
            <w:pPr>
              <w:pStyle w:val="Text"/>
              <w:spacing w:line="240" w:lineRule="auto"/>
              <w:ind w:firstLine="0"/>
              <w:jc w:val="center"/>
              <w:rPr>
                <w:sz w:val="18"/>
                <w:szCs w:val="18"/>
              </w:rPr>
            </w:pPr>
            <w:r w:rsidRPr="00634DFB">
              <w:rPr>
                <w:sz w:val="18"/>
                <w:szCs w:val="18"/>
              </w:rPr>
              <w:t>Same</w:t>
            </w:r>
          </w:p>
        </w:tc>
        <w:tc>
          <w:tcPr>
            <w:tcW w:w="0" w:type="auto"/>
            <w:vAlign w:val="center"/>
            <w:hideMark/>
          </w:tcPr>
          <w:p w14:paraId="5E4765FA" w14:textId="77777777" w:rsidR="00F36125" w:rsidRPr="00634DFB" w:rsidRDefault="00F36125" w:rsidP="00634DFB">
            <w:pPr>
              <w:pStyle w:val="Text"/>
              <w:spacing w:line="240" w:lineRule="auto"/>
              <w:ind w:firstLine="0"/>
              <w:jc w:val="center"/>
              <w:rPr>
                <w:sz w:val="18"/>
                <w:szCs w:val="18"/>
              </w:rPr>
            </w:pPr>
            <w:r w:rsidRPr="00634DFB">
              <w:rPr>
                <w:sz w:val="18"/>
                <w:szCs w:val="18"/>
              </w:rPr>
              <w:t>Hourly overload control</w:t>
            </w:r>
          </w:p>
        </w:tc>
      </w:tr>
      <w:tr w:rsidR="00F36125" w:rsidRPr="00634DFB" w14:paraId="6835B69E" w14:textId="77777777" w:rsidTr="00485568">
        <w:trPr>
          <w:jc w:val="center"/>
        </w:trPr>
        <w:tc>
          <w:tcPr>
            <w:tcW w:w="0" w:type="auto"/>
            <w:vAlign w:val="center"/>
            <w:hideMark/>
          </w:tcPr>
          <w:p w14:paraId="0D11895E" w14:textId="673A2B55" w:rsidR="00F36125" w:rsidRPr="00634DFB" w:rsidRDefault="00F36125" w:rsidP="00634DFB">
            <w:pPr>
              <w:pStyle w:val="Text"/>
              <w:spacing w:line="240" w:lineRule="auto"/>
              <w:ind w:firstLine="0"/>
              <w:jc w:val="center"/>
              <w:rPr>
                <w:sz w:val="18"/>
                <w:szCs w:val="18"/>
              </w:rPr>
            </w:pPr>
            <w:r w:rsidRPr="00634DFB">
              <w:rPr>
                <w:sz w:val="18"/>
                <w:szCs w:val="18"/>
              </w:rPr>
              <w:t xml:space="preserve">Voltage </w:t>
            </w:r>
            <w:r w:rsidR="00B71B11" w:rsidRPr="00634DFB">
              <w:rPr>
                <w:sz w:val="18"/>
                <w:szCs w:val="18"/>
              </w:rPr>
              <w:t>and</w:t>
            </w:r>
            <w:r w:rsidRPr="00634DFB">
              <w:rPr>
                <w:sz w:val="18"/>
                <w:szCs w:val="18"/>
              </w:rPr>
              <w:t xml:space="preserve"> local support</w:t>
            </w:r>
          </w:p>
        </w:tc>
        <w:tc>
          <w:tcPr>
            <w:tcW w:w="0" w:type="auto"/>
            <w:vAlign w:val="center"/>
            <w:hideMark/>
          </w:tcPr>
          <w:p w14:paraId="74CFA0C1" w14:textId="77777777" w:rsidR="00F36125" w:rsidRPr="00634DFB" w:rsidRDefault="00000000" w:rsidP="00634DFB">
            <w:pPr>
              <w:pStyle w:val="Text"/>
              <w:spacing w:line="240" w:lineRule="auto"/>
              <w:ind w:firstLine="0"/>
              <w:jc w:val="center"/>
              <w:rPr>
                <w:sz w:val="18"/>
                <w:szCs w:val="18"/>
              </w:rPr>
            </w:pPr>
            <m:oMathPara>
              <m:oMath>
                <m:sSubSup>
                  <m:sSubSupPr>
                    <m:ctrlPr>
                      <w:rPr>
                        <w:rFonts w:ascii="Cambria Math" w:hAnsi="Cambria Math"/>
                        <w:sz w:val="18"/>
                        <w:szCs w:val="18"/>
                      </w:rPr>
                    </m:ctrlPr>
                  </m:sSubSupPr>
                  <m:e>
                    <m:r>
                      <w:rPr>
                        <w:rFonts w:ascii="Cambria Math" w:hAnsi="Cambria Math"/>
                        <w:sz w:val="18"/>
                        <w:szCs w:val="18"/>
                      </w:rPr>
                      <m:t>Q</m:t>
                    </m:r>
                  </m:e>
                  <m:sub>
                    <m:r>
                      <w:rPr>
                        <w:rFonts w:ascii="Cambria Math" w:hAnsi="Cambria Math"/>
                        <w:sz w:val="18"/>
                        <w:szCs w:val="18"/>
                      </w:rPr>
                      <m:t>i</m:t>
                    </m:r>
                  </m:sub>
                  <m:sup>
                    <m:r>
                      <m:rPr>
                        <m:nor/>
                      </m:rPr>
                      <w:rPr>
                        <w:sz w:val="18"/>
                        <w:szCs w:val="18"/>
                      </w:rPr>
                      <m:t>set</m:t>
                    </m:r>
                  </m:sup>
                </m:sSubSup>
                <m:r>
                  <w:rPr>
                    <w:rFonts w:ascii="Cambria Math" w:hAnsi="Cambria Math"/>
                    <w:sz w:val="18"/>
                    <w:szCs w:val="18"/>
                  </w:rPr>
                  <m:t>(t),</m:t>
                </m:r>
                <m:sSubSup>
                  <m:sSubSupPr>
                    <m:ctrlPr>
                      <w:rPr>
                        <w:rFonts w:ascii="Cambria Math" w:hAnsi="Cambria Math"/>
                        <w:sz w:val="18"/>
                        <w:szCs w:val="18"/>
                      </w:rPr>
                    </m:ctrlPr>
                  </m:sSubSupPr>
                  <m:e>
                    <m:r>
                      <w:rPr>
                        <w:rFonts w:ascii="Cambria Math" w:hAnsi="Cambria Math"/>
                        <w:sz w:val="18"/>
                        <w:szCs w:val="18"/>
                      </w:rPr>
                      <m:t>V</m:t>
                    </m:r>
                  </m:e>
                  <m:sub>
                    <m:r>
                      <w:rPr>
                        <w:rFonts w:ascii="Cambria Math" w:hAnsi="Cambria Math"/>
                        <w:sz w:val="18"/>
                        <w:szCs w:val="18"/>
                      </w:rPr>
                      <m:t>i</m:t>
                    </m:r>
                  </m:sub>
                  <m:sup>
                    <m:r>
                      <w:rPr>
                        <w:rFonts w:ascii="Cambria Math" w:hAnsi="Cambria Math"/>
                        <w:sz w:val="18"/>
                        <w:szCs w:val="18"/>
                      </w:rPr>
                      <m:t>2</m:t>
                    </m:r>
                  </m:sup>
                </m:sSubSup>
              </m:oMath>
            </m:oMathPara>
          </w:p>
        </w:tc>
        <w:tc>
          <w:tcPr>
            <w:tcW w:w="0" w:type="auto"/>
            <w:vAlign w:val="center"/>
            <w:hideMark/>
          </w:tcPr>
          <w:p w14:paraId="5C570280" w14:textId="77777777" w:rsidR="00F36125" w:rsidRPr="00634DFB" w:rsidRDefault="00F36125" w:rsidP="00634DFB">
            <w:pPr>
              <w:pStyle w:val="Text"/>
              <w:spacing w:line="240" w:lineRule="auto"/>
              <w:ind w:firstLine="0"/>
              <w:jc w:val="center"/>
              <w:rPr>
                <w:sz w:val="18"/>
                <w:szCs w:val="18"/>
              </w:rPr>
            </w:pPr>
            <w:r w:rsidRPr="00634DFB">
              <w:rPr>
                <w:sz w:val="18"/>
                <w:szCs w:val="18"/>
              </w:rPr>
              <w:t>Without support</w:t>
            </w:r>
          </w:p>
        </w:tc>
        <w:tc>
          <w:tcPr>
            <w:tcW w:w="0" w:type="auto"/>
            <w:vAlign w:val="center"/>
            <w:hideMark/>
          </w:tcPr>
          <w:p w14:paraId="1107C20B" w14:textId="77777777" w:rsidR="00F36125" w:rsidRPr="00634DFB" w:rsidRDefault="00F36125" w:rsidP="00634DFB">
            <w:pPr>
              <w:pStyle w:val="Text"/>
              <w:spacing w:line="240" w:lineRule="auto"/>
              <w:ind w:firstLine="0"/>
              <w:jc w:val="center"/>
              <w:rPr>
                <w:sz w:val="18"/>
                <w:szCs w:val="18"/>
              </w:rPr>
            </w:pPr>
            <w:r w:rsidRPr="00634DFB">
              <w:rPr>
                <w:sz w:val="18"/>
                <w:szCs w:val="18"/>
              </w:rPr>
              <w:t>With support</w:t>
            </w:r>
          </w:p>
        </w:tc>
        <w:tc>
          <w:tcPr>
            <w:tcW w:w="0" w:type="auto"/>
            <w:vAlign w:val="center"/>
            <w:hideMark/>
          </w:tcPr>
          <w:p w14:paraId="71ABD5CB" w14:textId="77777777" w:rsidR="00F36125" w:rsidRPr="00634DFB" w:rsidRDefault="00F36125" w:rsidP="00634DFB">
            <w:pPr>
              <w:pStyle w:val="Text"/>
              <w:spacing w:line="240" w:lineRule="auto"/>
              <w:ind w:firstLine="0"/>
              <w:jc w:val="center"/>
              <w:rPr>
                <w:sz w:val="18"/>
                <w:szCs w:val="18"/>
              </w:rPr>
            </w:pPr>
            <w:r w:rsidRPr="00634DFB">
              <w:rPr>
                <w:sz w:val="18"/>
                <w:szCs w:val="18"/>
              </w:rPr>
              <w:t>eq. (6)</w:t>
            </w:r>
          </w:p>
        </w:tc>
      </w:tr>
      <w:tr w:rsidR="00F36125" w:rsidRPr="00634DFB" w14:paraId="301710DB" w14:textId="77777777" w:rsidTr="00485568">
        <w:trPr>
          <w:jc w:val="center"/>
        </w:trPr>
        <w:tc>
          <w:tcPr>
            <w:tcW w:w="0" w:type="auto"/>
            <w:vAlign w:val="center"/>
            <w:hideMark/>
          </w:tcPr>
          <w:p w14:paraId="6FABBE90" w14:textId="77777777" w:rsidR="00F36125" w:rsidRPr="00634DFB" w:rsidRDefault="00F36125" w:rsidP="00634DFB">
            <w:pPr>
              <w:pStyle w:val="Text"/>
              <w:spacing w:line="240" w:lineRule="auto"/>
              <w:ind w:firstLine="0"/>
              <w:jc w:val="center"/>
              <w:rPr>
                <w:sz w:val="18"/>
                <w:szCs w:val="18"/>
              </w:rPr>
            </w:pPr>
            <w:r w:rsidRPr="00634DFB">
              <w:rPr>
                <w:sz w:val="18"/>
                <w:szCs w:val="18"/>
              </w:rPr>
              <w:t>ESS</w:t>
            </w:r>
          </w:p>
        </w:tc>
        <w:tc>
          <w:tcPr>
            <w:tcW w:w="0" w:type="auto"/>
            <w:vAlign w:val="center"/>
            <w:hideMark/>
          </w:tcPr>
          <w:p w14:paraId="2ABA7B1F" w14:textId="77777777" w:rsidR="00F36125" w:rsidRPr="00634DFB" w:rsidRDefault="00F36125" w:rsidP="00634DFB">
            <w:pPr>
              <w:pStyle w:val="Text"/>
              <w:spacing w:line="240" w:lineRule="auto"/>
              <w:ind w:firstLine="0"/>
              <w:jc w:val="center"/>
              <w:rPr>
                <w:sz w:val="18"/>
                <w:szCs w:val="18"/>
              </w:rPr>
            </w:pPr>
            <w:r w:rsidRPr="00634DFB">
              <w:rPr>
                <w:sz w:val="18"/>
                <w:szCs w:val="18"/>
              </w:rPr>
              <w:t>Efficiency / constraints</w:t>
            </w:r>
          </w:p>
        </w:tc>
        <w:tc>
          <w:tcPr>
            <w:tcW w:w="0" w:type="auto"/>
            <w:vAlign w:val="center"/>
            <w:hideMark/>
          </w:tcPr>
          <w:p w14:paraId="4F1221D0" w14:textId="77777777" w:rsidR="00F36125" w:rsidRPr="00634DFB" w:rsidRDefault="00F36125" w:rsidP="00634DFB">
            <w:pPr>
              <w:pStyle w:val="Text"/>
              <w:spacing w:line="240" w:lineRule="auto"/>
              <w:ind w:firstLine="0"/>
              <w:jc w:val="center"/>
              <w:rPr>
                <w:sz w:val="18"/>
                <w:szCs w:val="18"/>
              </w:rPr>
            </w:pPr>
            <w:r w:rsidRPr="00634DFB">
              <w:rPr>
                <w:sz w:val="18"/>
                <w:szCs w:val="18"/>
              </w:rPr>
              <w:t>–</w:t>
            </w:r>
          </w:p>
        </w:tc>
        <w:tc>
          <w:tcPr>
            <w:tcW w:w="0" w:type="auto"/>
            <w:vAlign w:val="center"/>
            <w:hideMark/>
          </w:tcPr>
          <w:p w14:paraId="05A80255" w14:textId="77777777" w:rsidR="00F36125" w:rsidRPr="00634DFB" w:rsidRDefault="00000000" w:rsidP="00634DFB">
            <w:pPr>
              <w:pStyle w:val="Text"/>
              <w:spacing w:line="240" w:lineRule="auto"/>
              <w:ind w:firstLine="0"/>
              <w:jc w:val="center"/>
              <w:rPr>
                <w:sz w:val="18"/>
                <w:szCs w:val="18"/>
              </w:rPr>
            </w:pPr>
            <m:oMath>
              <m:sSub>
                <m:sSubPr>
                  <m:ctrlPr>
                    <w:rPr>
                      <w:rFonts w:ascii="Cambria Math" w:hAnsi="Cambria Math"/>
                      <w:sz w:val="18"/>
                      <w:szCs w:val="18"/>
                    </w:rPr>
                  </m:ctrlPr>
                </m:sSubPr>
                <m:e>
                  <m:r>
                    <w:rPr>
                      <w:rFonts w:ascii="Cambria Math" w:hAnsi="Cambria Math"/>
                      <w:sz w:val="18"/>
                      <w:szCs w:val="18"/>
                    </w:rPr>
                    <m:t>η</m:t>
                  </m:r>
                </m:e>
                <m:sub>
                  <m:r>
                    <m:rPr>
                      <m:nor/>
                    </m:rPr>
                    <w:rPr>
                      <w:sz w:val="18"/>
                      <w:szCs w:val="18"/>
                    </w:rPr>
                    <m:t>ch</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η</m:t>
                  </m:r>
                </m:e>
                <m:sub>
                  <m:r>
                    <m:rPr>
                      <m:nor/>
                    </m:rPr>
                    <w:rPr>
                      <w:sz w:val="18"/>
                      <w:szCs w:val="18"/>
                    </w:rPr>
                    <m:t>dis</m:t>
                  </m:r>
                </m:sub>
              </m:sSub>
              <m:r>
                <w:rPr>
                  <w:rFonts w:ascii="Cambria Math" w:hAnsi="Cambria Math"/>
                  <w:sz w:val="18"/>
                  <w:szCs w:val="18"/>
                </w:rPr>
                <m:t>=0.9</m:t>
              </m:r>
              <m:r>
                <m:rPr>
                  <m:nor/>
                </m:rPr>
                <w:rPr>
                  <w:sz w:val="18"/>
                  <w:szCs w:val="18"/>
                </w:rPr>
                <m:t>–</m:t>
              </m:r>
              <m:r>
                <w:rPr>
                  <w:rFonts w:ascii="Cambria Math" w:hAnsi="Cambria Math"/>
                  <w:sz w:val="18"/>
                  <w:szCs w:val="18"/>
                </w:rPr>
                <m:t>0.95</m:t>
              </m:r>
            </m:oMath>
            <w:r w:rsidR="00F36125" w:rsidRPr="00634DFB">
              <w:rPr>
                <w:sz w:val="18"/>
                <w:szCs w:val="18"/>
              </w:rPr>
              <w:t xml:space="preserve">, </w:t>
            </w:r>
            <m:oMath>
              <m:r>
                <w:rPr>
                  <w:rFonts w:ascii="Cambria Math" w:hAnsi="Cambria Math"/>
                  <w:sz w:val="18"/>
                  <w:szCs w:val="18"/>
                </w:rPr>
                <m:t>0≤</m:t>
              </m:r>
              <m:sSub>
                <m:sSubPr>
                  <m:ctrlPr>
                    <w:rPr>
                      <w:rFonts w:ascii="Cambria Math" w:hAnsi="Cambria Math"/>
                      <w:sz w:val="18"/>
                      <w:szCs w:val="18"/>
                    </w:rPr>
                  </m:ctrlPr>
                </m:sSubPr>
                <m:e>
                  <m:r>
                    <w:rPr>
                      <w:rFonts w:ascii="Cambria Math" w:hAnsi="Cambria Math"/>
                      <w:sz w:val="18"/>
                      <w:szCs w:val="18"/>
                    </w:rPr>
                    <m:t>P</m:t>
                  </m:r>
                </m:e>
                <m:sub>
                  <m:r>
                    <m:rPr>
                      <m:nor/>
                    </m:rPr>
                    <w:rPr>
                      <w:sz w:val="18"/>
                      <w:szCs w:val="18"/>
                    </w:rPr>
                    <m:t>ch</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m:t>
                  </m:r>
                </m:e>
                <m:sub>
                  <m:r>
                    <m:rPr>
                      <m:nor/>
                    </m:rPr>
                    <w:rPr>
                      <w:sz w:val="18"/>
                      <w:szCs w:val="18"/>
                    </w:rPr>
                    <m:t>dis</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m:t>
                  </m:r>
                </m:e>
                <m:sub>
                  <m:r>
                    <m:rPr>
                      <m:nor/>
                    </m:rPr>
                    <w:rPr>
                      <w:sz w:val="18"/>
                      <w:szCs w:val="18"/>
                    </w:rPr>
                    <m:t>max</m:t>
                  </m:r>
                </m:sub>
              </m:sSub>
              <m:r>
                <w:rPr>
                  <w:rFonts w:ascii="Cambria Math" w:hAnsi="Cambria Math"/>
                  <w:sz w:val="18"/>
                  <w:szCs w:val="18"/>
                </w:rPr>
                <m:t>,0≤E≤</m:t>
              </m:r>
              <m:sSub>
                <m:sSubPr>
                  <m:ctrlPr>
                    <w:rPr>
                      <w:rFonts w:ascii="Cambria Math" w:hAnsi="Cambria Math"/>
                      <w:sz w:val="18"/>
                      <w:szCs w:val="18"/>
                    </w:rPr>
                  </m:ctrlPr>
                </m:sSubPr>
                <m:e>
                  <m:r>
                    <w:rPr>
                      <w:rFonts w:ascii="Cambria Math" w:hAnsi="Cambria Math"/>
                      <w:sz w:val="18"/>
                      <w:szCs w:val="18"/>
                    </w:rPr>
                    <m:t>E</m:t>
                  </m:r>
                </m:e>
                <m:sub>
                  <m:r>
                    <m:rPr>
                      <m:nor/>
                    </m:rPr>
                    <w:rPr>
                      <w:sz w:val="18"/>
                      <w:szCs w:val="18"/>
                    </w:rPr>
                    <m:t>max</m:t>
                  </m:r>
                </m:sub>
              </m:sSub>
            </m:oMath>
          </w:p>
        </w:tc>
        <w:tc>
          <w:tcPr>
            <w:tcW w:w="0" w:type="auto"/>
            <w:vAlign w:val="center"/>
            <w:hideMark/>
          </w:tcPr>
          <w:p w14:paraId="196E1B39" w14:textId="77777777" w:rsidR="00F36125" w:rsidRPr="00634DFB" w:rsidRDefault="00F36125" w:rsidP="00634DFB">
            <w:pPr>
              <w:pStyle w:val="Text"/>
              <w:spacing w:line="240" w:lineRule="auto"/>
              <w:ind w:firstLine="0"/>
              <w:jc w:val="center"/>
              <w:rPr>
                <w:sz w:val="18"/>
                <w:szCs w:val="18"/>
              </w:rPr>
            </w:pPr>
            <w:r w:rsidRPr="00634DFB">
              <w:rPr>
                <w:sz w:val="18"/>
                <w:szCs w:val="18"/>
              </w:rPr>
              <w:t>eq. (3)</w:t>
            </w:r>
            <w:proofErr w:type="gramStart"/>
            <w:r w:rsidRPr="00634DFB">
              <w:rPr>
                <w:sz w:val="18"/>
                <w:szCs w:val="18"/>
              </w:rPr>
              <w:t>–(</w:t>
            </w:r>
            <w:proofErr w:type="gramEnd"/>
            <w:r w:rsidRPr="00634DFB">
              <w:rPr>
                <w:sz w:val="18"/>
                <w:szCs w:val="18"/>
              </w:rPr>
              <w:t>4)</w:t>
            </w:r>
          </w:p>
        </w:tc>
      </w:tr>
      <w:tr w:rsidR="00F36125" w:rsidRPr="00634DFB" w14:paraId="6A0F3392" w14:textId="77777777" w:rsidTr="00485568">
        <w:trPr>
          <w:jc w:val="center"/>
        </w:trPr>
        <w:tc>
          <w:tcPr>
            <w:tcW w:w="0" w:type="auto"/>
            <w:vAlign w:val="center"/>
            <w:hideMark/>
          </w:tcPr>
          <w:p w14:paraId="7FEE6F68" w14:textId="573EB62E" w:rsidR="00F36125" w:rsidRPr="00634DFB" w:rsidRDefault="00F36125" w:rsidP="00634DFB">
            <w:pPr>
              <w:pStyle w:val="Text"/>
              <w:spacing w:line="240" w:lineRule="auto"/>
              <w:ind w:firstLine="0"/>
              <w:jc w:val="center"/>
              <w:rPr>
                <w:sz w:val="18"/>
                <w:szCs w:val="18"/>
              </w:rPr>
            </w:pPr>
            <w:r w:rsidRPr="00634DFB">
              <w:rPr>
                <w:sz w:val="18"/>
                <w:szCs w:val="18"/>
              </w:rPr>
              <w:t xml:space="preserve">EMS/VPP </w:t>
            </w:r>
            <w:r w:rsidR="00B71B11" w:rsidRPr="00634DFB">
              <w:rPr>
                <w:sz w:val="18"/>
                <w:szCs w:val="18"/>
              </w:rPr>
              <w:t>and</w:t>
            </w:r>
            <w:r w:rsidRPr="00634DFB">
              <w:rPr>
                <w:sz w:val="18"/>
                <w:szCs w:val="18"/>
              </w:rPr>
              <w:t xml:space="preserve"> target</w:t>
            </w:r>
          </w:p>
        </w:tc>
        <w:tc>
          <w:tcPr>
            <w:tcW w:w="0" w:type="auto"/>
            <w:vAlign w:val="center"/>
            <w:hideMark/>
          </w:tcPr>
          <w:p w14:paraId="7934DE6A" w14:textId="77777777" w:rsidR="00F36125" w:rsidRPr="00634DFB" w:rsidRDefault="00F36125" w:rsidP="00634DFB">
            <w:pPr>
              <w:pStyle w:val="Text"/>
              <w:spacing w:line="240" w:lineRule="auto"/>
              <w:ind w:firstLine="0"/>
              <w:jc w:val="center"/>
              <w:rPr>
                <w:sz w:val="18"/>
                <w:szCs w:val="18"/>
              </w:rPr>
            </w:pPr>
            <w:r w:rsidRPr="00634DFB">
              <w:rPr>
                <w:sz w:val="18"/>
                <w:szCs w:val="18"/>
              </w:rPr>
              <w:t xml:space="preserve">Coordination / </w:t>
            </w:r>
            <m:oMath>
              <m:r>
                <w:rPr>
                  <w:rFonts w:ascii="Cambria Math" w:hAnsi="Cambria Math"/>
                  <w:sz w:val="18"/>
                  <w:szCs w:val="18"/>
                </w:rPr>
                <m:t>J</m:t>
              </m:r>
            </m:oMath>
          </w:p>
        </w:tc>
        <w:tc>
          <w:tcPr>
            <w:tcW w:w="0" w:type="auto"/>
            <w:vAlign w:val="center"/>
            <w:hideMark/>
          </w:tcPr>
          <w:p w14:paraId="7C458F9A" w14:textId="77777777" w:rsidR="00F36125" w:rsidRPr="00634DFB" w:rsidRDefault="00F36125" w:rsidP="00634DFB">
            <w:pPr>
              <w:pStyle w:val="Text"/>
              <w:spacing w:line="240" w:lineRule="auto"/>
              <w:ind w:firstLine="0"/>
              <w:jc w:val="center"/>
              <w:rPr>
                <w:sz w:val="18"/>
                <w:szCs w:val="18"/>
              </w:rPr>
            </w:pPr>
            <w:r w:rsidRPr="00634DFB">
              <w:rPr>
                <w:sz w:val="18"/>
                <w:szCs w:val="18"/>
              </w:rPr>
              <w:t>–</w:t>
            </w:r>
          </w:p>
        </w:tc>
        <w:tc>
          <w:tcPr>
            <w:tcW w:w="0" w:type="auto"/>
            <w:vAlign w:val="center"/>
            <w:hideMark/>
          </w:tcPr>
          <w:p w14:paraId="13A2F3F8" w14:textId="77777777" w:rsidR="00F36125" w:rsidRPr="00634DFB" w:rsidRDefault="00F36125" w:rsidP="00634DFB">
            <w:pPr>
              <w:pStyle w:val="Text"/>
              <w:spacing w:line="240" w:lineRule="auto"/>
              <w:ind w:firstLine="0"/>
              <w:jc w:val="center"/>
              <w:rPr>
                <w:sz w:val="18"/>
                <w:szCs w:val="18"/>
              </w:rPr>
            </w:pPr>
            <w:r w:rsidRPr="00634DFB">
              <w:rPr>
                <w:sz w:val="18"/>
                <w:szCs w:val="18"/>
              </w:rPr>
              <w:t xml:space="preserve">Centralized dispatch, eq. (7) with </w:t>
            </w:r>
            <m:oMath>
              <m:sSub>
                <m:sSubPr>
                  <m:ctrlPr>
                    <w:rPr>
                      <w:rFonts w:ascii="Cambria Math" w:hAnsi="Cambria Math"/>
                      <w:sz w:val="18"/>
                      <w:szCs w:val="18"/>
                    </w:rPr>
                  </m:ctrlPr>
                </m:sSubPr>
                <m:e>
                  <m:r>
                    <w:rPr>
                      <w:rFonts w:ascii="Cambria Math" w:hAnsi="Cambria Math"/>
                      <w:sz w:val="18"/>
                      <w:szCs w:val="18"/>
                    </w:rPr>
                    <m:t>c</m:t>
                  </m:r>
                </m:e>
                <m:sub>
                  <m:r>
                    <m:rPr>
                      <m:nor/>
                    </m:rPr>
                    <w:rPr>
                      <w:sz w:val="18"/>
                      <w:szCs w:val="18"/>
                    </w:rPr>
                    <m:t>batt</m:t>
                  </m:r>
                </m:sub>
              </m:sSub>
            </m:oMath>
          </w:p>
        </w:tc>
        <w:tc>
          <w:tcPr>
            <w:tcW w:w="0" w:type="auto"/>
            <w:vAlign w:val="center"/>
            <w:hideMark/>
          </w:tcPr>
          <w:p w14:paraId="6D762FA8" w14:textId="79F9B267" w:rsidR="00F36125" w:rsidRPr="00634DFB" w:rsidRDefault="00F36125" w:rsidP="00634DFB">
            <w:pPr>
              <w:pStyle w:val="Text"/>
              <w:spacing w:line="240" w:lineRule="auto"/>
              <w:ind w:firstLine="0"/>
              <w:jc w:val="center"/>
              <w:rPr>
                <w:sz w:val="18"/>
                <w:szCs w:val="18"/>
              </w:rPr>
            </w:pPr>
            <w:r w:rsidRPr="00634DFB">
              <w:rPr>
                <w:sz w:val="18"/>
                <w:szCs w:val="18"/>
              </w:rPr>
              <w:t xml:space="preserve">Priority for overload </w:t>
            </w:r>
            <w:r w:rsidR="00B71B11" w:rsidRPr="00634DFB">
              <w:rPr>
                <w:sz w:val="18"/>
                <w:szCs w:val="18"/>
              </w:rPr>
              <w:t>and</w:t>
            </w:r>
            <w:r w:rsidRPr="00634DFB">
              <w:rPr>
                <w:sz w:val="18"/>
                <w:szCs w:val="18"/>
              </w:rPr>
              <w:t xml:space="preserve"> curtailment</w:t>
            </w:r>
          </w:p>
        </w:tc>
      </w:tr>
      <w:tr w:rsidR="00F36125" w:rsidRPr="00634DFB" w14:paraId="6AC6B9D0" w14:textId="77777777" w:rsidTr="00485568">
        <w:trPr>
          <w:jc w:val="center"/>
        </w:trPr>
        <w:tc>
          <w:tcPr>
            <w:tcW w:w="0" w:type="auto"/>
            <w:vAlign w:val="center"/>
            <w:hideMark/>
          </w:tcPr>
          <w:p w14:paraId="643A4579" w14:textId="189D782F" w:rsidR="00F36125" w:rsidRPr="00634DFB" w:rsidRDefault="00F36125" w:rsidP="00634DFB">
            <w:pPr>
              <w:pStyle w:val="Text"/>
              <w:spacing w:line="240" w:lineRule="auto"/>
              <w:ind w:firstLine="0"/>
              <w:jc w:val="center"/>
              <w:rPr>
                <w:sz w:val="18"/>
                <w:szCs w:val="18"/>
              </w:rPr>
            </w:pPr>
            <w:r w:rsidRPr="00634DFB">
              <w:rPr>
                <w:sz w:val="18"/>
                <w:szCs w:val="18"/>
              </w:rPr>
              <w:t xml:space="preserve">Calibration </w:t>
            </w:r>
            <w:r w:rsidR="00B71B11" w:rsidRPr="00634DFB">
              <w:rPr>
                <w:sz w:val="18"/>
                <w:szCs w:val="18"/>
              </w:rPr>
              <w:t>and</w:t>
            </w:r>
            <w:r w:rsidRPr="00634DFB">
              <w:rPr>
                <w:sz w:val="18"/>
                <w:szCs w:val="18"/>
              </w:rPr>
              <w:t xml:space="preserve"> comparability</w:t>
            </w:r>
          </w:p>
        </w:tc>
        <w:tc>
          <w:tcPr>
            <w:tcW w:w="0" w:type="auto"/>
            <w:vAlign w:val="center"/>
            <w:hideMark/>
          </w:tcPr>
          <w:p w14:paraId="2A882034" w14:textId="77777777" w:rsidR="00F36125" w:rsidRPr="00634DFB" w:rsidRDefault="00F36125" w:rsidP="00634DFB">
            <w:pPr>
              <w:pStyle w:val="Text"/>
              <w:spacing w:line="240" w:lineRule="auto"/>
              <w:ind w:firstLine="0"/>
              <w:jc w:val="center"/>
              <w:rPr>
                <w:sz w:val="18"/>
                <w:szCs w:val="18"/>
              </w:rPr>
            </w:pPr>
            <w:r w:rsidRPr="00634DFB">
              <w:rPr>
                <w:sz w:val="18"/>
                <w:szCs w:val="18"/>
              </w:rPr>
              <w:t>Approach / input</w:t>
            </w:r>
          </w:p>
        </w:tc>
        <w:tc>
          <w:tcPr>
            <w:tcW w:w="0" w:type="auto"/>
            <w:vAlign w:val="center"/>
            <w:hideMark/>
          </w:tcPr>
          <w:p w14:paraId="43483E49" w14:textId="77777777" w:rsidR="00F36125" w:rsidRPr="00634DFB" w:rsidRDefault="00F36125" w:rsidP="00634DFB">
            <w:pPr>
              <w:pStyle w:val="Text"/>
              <w:spacing w:line="240" w:lineRule="auto"/>
              <w:ind w:firstLine="0"/>
              <w:jc w:val="center"/>
              <w:rPr>
                <w:sz w:val="18"/>
                <w:szCs w:val="18"/>
              </w:rPr>
            </w:pPr>
            <w:r w:rsidRPr="00634DFB">
              <w:rPr>
                <w:sz w:val="18"/>
                <w:szCs w:val="18"/>
              </w:rPr>
              <w:t>H, D, losses / unified set</w:t>
            </w:r>
          </w:p>
        </w:tc>
        <w:tc>
          <w:tcPr>
            <w:tcW w:w="0" w:type="auto"/>
            <w:vAlign w:val="center"/>
            <w:hideMark/>
          </w:tcPr>
          <w:p w14:paraId="458A56BA" w14:textId="77777777" w:rsidR="00F36125" w:rsidRPr="00634DFB" w:rsidRDefault="00F36125" w:rsidP="00634DFB">
            <w:pPr>
              <w:pStyle w:val="Text"/>
              <w:spacing w:line="240" w:lineRule="auto"/>
              <w:ind w:firstLine="0"/>
              <w:jc w:val="center"/>
              <w:rPr>
                <w:sz w:val="18"/>
                <w:szCs w:val="18"/>
              </w:rPr>
            </w:pPr>
            <w:r w:rsidRPr="00634DFB">
              <w:rPr>
                <w:sz w:val="18"/>
                <w:szCs w:val="18"/>
              </w:rPr>
              <w:t>H, D, η, losses / same</w:t>
            </w:r>
          </w:p>
        </w:tc>
        <w:tc>
          <w:tcPr>
            <w:tcW w:w="0" w:type="auto"/>
            <w:vAlign w:val="center"/>
            <w:hideMark/>
          </w:tcPr>
          <w:p w14:paraId="672E0019" w14:textId="77777777" w:rsidR="00F36125" w:rsidRPr="00634DFB" w:rsidRDefault="00F36125" w:rsidP="00634DFB">
            <w:pPr>
              <w:pStyle w:val="Text"/>
              <w:spacing w:line="240" w:lineRule="auto"/>
              <w:ind w:firstLine="0"/>
              <w:jc w:val="center"/>
              <w:rPr>
                <w:sz w:val="18"/>
                <w:szCs w:val="18"/>
              </w:rPr>
            </w:pPr>
            <w:r w:rsidRPr="00634DFB">
              <w:rPr>
                <w:sz w:val="18"/>
                <w:szCs w:val="18"/>
              </w:rPr>
              <w:t xml:space="preserve">Validation in </w:t>
            </w:r>
            <w:proofErr w:type="spellStart"/>
            <w:r w:rsidRPr="00634DFB">
              <w:rPr>
                <w:sz w:val="18"/>
                <w:szCs w:val="18"/>
              </w:rPr>
              <w:t>DIgSILENT</w:t>
            </w:r>
            <w:proofErr w:type="spellEnd"/>
          </w:p>
        </w:tc>
      </w:tr>
      <w:tr w:rsidR="00F36125" w:rsidRPr="00634DFB" w14:paraId="0F4A1279" w14:textId="77777777" w:rsidTr="00485568">
        <w:trPr>
          <w:jc w:val="center"/>
        </w:trPr>
        <w:tc>
          <w:tcPr>
            <w:tcW w:w="0" w:type="auto"/>
            <w:vAlign w:val="center"/>
            <w:hideMark/>
          </w:tcPr>
          <w:p w14:paraId="64D34EA1" w14:textId="7E1BE11D" w:rsidR="00F36125" w:rsidRPr="00634DFB" w:rsidRDefault="00F36125" w:rsidP="00634DFB">
            <w:pPr>
              <w:pStyle w:val="Text"/>
              <w:spacing w:line="240" w:lineRule="auto"/>
              <w:ind w:firstLine="0"/>
              <w:jc w:val="center"/>
              <w:rPr>
                <w:sz w:val="18"/>
                <w:szCs w:val="18"/>
              </w:rPr>
            </w:pPr>
            <w:r w:rsidRPr="00634DFB">
              <w:rPr>
                <w:sz w:val="18"/>
                <w:szCs w:val="18"/>
              </w:rPr>
              <w:t xml:space="preserve">Sensitivity </w:t>
            </w:r>
            <w:r w:rsidR="00B71B11" w:rsidRPr="00634DFB">
              <w:rPr>
                <w:sz w:val="18"/>
                <w:szCs w:val="18"/>
              </w:rPr>
              <w:t>and</w:t>
            </w:r>
            <w:r w:rsidRPr="00634DFB">
              <w:rPr>
                <w:sz w:val="18"/>
                <w:szCs w:val="18"/>
              </w:rPr>
              <w:t xml:space="preserve"> reporting</w:t>
            </w:r>
          </w:p>
        </w:tc>
        <w:tc>
          <w:tcPr>
            <w:tcW w:w="0" w:type="auto"/>
            <w:vAlign w:val="center"/>
            <w:hideMark/>
          </w:tcPr>
          <w:p w14:paraId="197C7040" w14:textId="77777777" w:rsidR="00F36125" w:rsidRPr="00634DFB" w:rsidRDefault="00F36125" w:rsidP="00634DFB">
            <w:pPr>
              <w:pStyle w:val="Text"/>
              <w:spacing w:line="240" w:lineRule="auto"/>
              <w:ind w:firstLine="0"/>
              <w:jc w:val="center"/>
              <w:rPr>
                <w:sz w:val="18"/>
                <w:szCs w:val="18"/>
              </w:rPr>
            </w:pPr>
            <w:r w:rsidRPr="00634DFB">
              <w:rPr>
                <w:sz w:val="18"/>
                <w:szCs w:val="18"/>
              </w:rPr>
              <w:t>Test sets / metrics</w:t>
            </w:r>
          </w:p>
        </w:tc>
        <w:tc>
          <w:tcPr>
            <w:tcW w:w="0" w:type="auto"/>
            <w:vAlign w:val="center"/>
            <w:hideMark/>
          </w:tcPr>
          <w:p w14:paraId="55EB0118" w14:textId="77777777" w:rsidR="00F36125" w:rsidRPr="00634DFB" w:rsidRDefault="00F36125" w:rsidP="00634DFB">
            <w:pPr>
              <w:pStyle w:val="Text"/>
              <w:spacing w:line="240" w:lineRule="auto"/>
              <w:ind w:firstLine="0"/>
              <w:jc w:val="center"/>
              <w:rPr>
                <w:sz w:val="18"/>
                <w:szCs w:val="18"/>
              </w:rPr>
            </w:pPr>
            <w:r w:rsidRPr="00634DFB">
              <w:rPr>
                <w:sz w:val="18"/>
                <w:szCs w:val="18"/>
              </w:rPr>
              <w:t>Without ESS / Curt, Loss, overload</w:t>
            </w:r>
          </w:p>
        </w:tc>
        <w:tc>
          <w:tcPr>
            <w:tcW w:w="0" w:type="auto"/>
            <w:vAlign w:val="center"/>
            <w:hideMark/>
          </w:tcPr>
          <w:p w14:paraId="3395D840" w14:textId="77777777" w:rsidR="00F36125" w:rsidRPr="00634DFB" w:rsidRDefault="00F36125" w:rsidP="00634DFB">
            <w:pPr>
              <w:pStyle w:val="Text"/>
              <w:spacing w:line="240" w:lineRule="auto"/>
              <w:ind w:firstLine="0"/>
              <w:jc w:val="center"/>
              <w:rPr>
                <w:sz w:val="18"/>
                <w:szCs w:val="18"/>
              </w:rPr>
            </w:pPr>
            <w:r w:rsidRPr="00634DFB">
              <w:rPr>
                <w:sz w:val="18"/>
                <w:szCs w:val="18"/>
              </w:rPr>
              <w:t xml:space="preserve">Variation of ESS parameters / same + </w:t>
            </w:r>
            <m:oMath>
              <m:r>
                <w:rPr>
                  <w:rFonts w:ascii="Cambria Math" w:hAnsi="Cambria Math"/>
                  <w:sz w:val="18"/>
                  <w:szCs w:val="18"/>
                </w:rPr>
                <m:t>∫</m:t>
              </m:r>
              <m:r>
                <m:rPr>
                  <m:sty m:val="p"/>
                </m:rPr>
                <w:rPr>
                  <w:rFonts w:ascii="Cambria Math" w:hAnsi="Cambria Math"/>
                  <w:sz w:val="18"/>
                  <w:szCs w:val="18"/>
                </w:rPr>
                <m:t>Δ</m:t>
              </m:r>
              <m:r>
                <w:rPr>
                  <w:rFonts w:ascii="Cambria Math" w:hAnsi="Cambria Math"/>
                  <w:sz w:val="18"/>
                  <w:szCs w:val="18"/>
                </w:rPr>
                <m:t>fdt</m:t>
              </m:r>
            </m:oMath>
          </w:p>
        </w:tc>
        <w:tc>
          <w:tcPr>
            <w:tcW w:w="0" w:type="auto"/>
            <w:vAlign w:val="center"/>
            <w:hideMark/>
          </w:tcPr>
          <w:p w14:paraId="1695E39F" w14:textId="77777777" w:rsidR="00F36125" w:rsidRPr="00634DFB" w:rsidRDefault="00F36125" w:rsidP="00634DFB">
            <w:pPr>
              <w:pStyle w:val="Text"/>
              <w:spacing w:line="240" w:lineRule="auto"/>
              <w:ind w:firstLine="0"/>
              <w:jc w:val="center"/>
              <w:rPr>
                <w:sz w:val="18"/>
                <w:szCs w:val="18"/>
              </w:rPr>
            </w:pPr>
            <w:r w:rsidRPr="00634DFB">
              <w:rPr>
                <w:sz w:val="18"/>
                <w:szCs w:val="18"/>
              </w:rPr>
              <w:t>Robustness check</w:t>
            </w:r>
          </w:p>
        </w:tc>
      </w:tr>
    </w:tbl>
    <w:p w14:paraId="6732CF22" w14:textId="77777777" w:rsidR="002621A1" w:rsidRPr="00634DFB" w:rsidRDefault="002621A1" w:rsidP="00634DFB">
      <w:pPr>
        <w:pStyle w:val="Text"/>
        <w:spacing w:line="240" w:lineRule="auto"/>
        <w:ind w:firstLine="284"/>
        <w:rPr>
          <w:lang w:val="uz-Cyrl-UZ"/>
        </w:rPr>
      </w:pPr>
    </w:p>
    <w:p w14:paraId="4D293275" w14:textId="77777777" w:rsidR="00262292" w:rsidRPr="00634DFB" w:rsidRDefault="00F36125" w:rsidP="00634DFB">
      <w:pPr>
        <w:pStyle w:val="Text"/>
        <w:spacing w:line="240" w:lineRule="auto"/>
        <w:ind w:firstLine="284"/>
        <w:rPr>
          <w:lang w:val="uz-Cyrl-UZ"/>
        </w:rPr>
      </w:pPr>
      <w:r w:rsidRPr="00634DFB">
        <w:t xml:space="preserve">Updated active and reactive power injections are fed into the network model. A DC power flow is performed according to equation (5), and local reactive power support is adjusted according to equation (6) to maintain voltages within acceptable limits. </w:t>
      </w:r>
    </w:p>
    <w:p w14:paraId="4406283F" w14:textId="6DB5ABC6" w:rsidR="00262292" w:rsidRPr="00634DFB" w:rsidRDefault="00F36125" w:rsidP="00634DFB">
      <w:pPr>
        <w:pStyle w:val="Text"/>
        <w:spacing w:line="240" w:lineRule="auto"/>
        <w:ind w:firstLine="284"/>
        <w:rPr>
          <w:lang w:val="uz-Cyrl-UZ"/>
        </w:rPr>
      </w:pPr>
      <w:r w:rsidRPr="00634DFB">
        <w:t xml:space="preserve">To evaluate frequency, the response to the residual imbalance is calculated using equation (2), checking against tolerance criteria. Parameters </w:t>
      </w:r>
      <m:oMath>
        <m:r>
          <w:rPr>
            <w:rFonts w:ascii="Cambria Math" w:hAnsi="Cambria Math"/>
            <w:lang w:val="ru-RU"/>
          </w:rPr>
          <m:t>H</m:t>
        </m:r>
      </m:oMath>
      <w:r w:rsidRPr="00634DFB">
        <w:t xml:space="preserve">and </w:t>
      </w:r>
      <m:oMath>
        <m:r>
          <w:rPr>
            <w:rFonts w:ascii="Cambria Math" w:hAnsi="Cambria Math"/>
            <w:lang w:val="ru-RU"/>
          </w:rPr>
          <m:t>D</m:t>
        </m:r>
      </m:oMath>
      <w:r w:rsidRPr="00634DFB">
        <w:t xml:space="preserve">are calibrated using open sources and </w:t>
      </w:r>
      <w:proofErr w:type="spellStart"/>
      <w:r w:rsidRPr="00634DFB">
        <w:t>DIgSILENT</w:t>
      </w:r>
      <w:proofErr w:type="spellEnd"/>
      <w:r w:rsidRPr="00634DFB">
        <w:t xml:space="preserve"> </w:t>
      </w:r>
      <w:proofErr w:type="spellStart"/>
      <w:r w:rsidRPr="00634DFB">
        <w:t>PowerFactory</w:t>
      </w:r>
      <w:proofErr w:type="spellEnd"/>
      <w:r w:rsidRPr="00634DFB">
        <w:t xml:space="preserve"> practices [2, 11], while efficiencies </w:t>
      </w:r>
      <m:oMath>
        <m:sSub>
          <m:sSubPr>
            <m:ctrlPr>
              <w:rPr>
                <w:rFonts w:ascii="Cambria Math" w:hAnsi="Cambria Math"/>
                <w:lang w:val="ru-RU"/>
              </w:rPr>
            </m:ctrlPr>
          </m:sSubPr>
          <m:e>
            <m:r>
              <w:rPr>
                <w:rFonts w:ascii="Cambria Math" w:hAnsi="Cambria Math"/>
                <w:lang w:val="ru-RU"/>
              </w:rPr>
              <m:t>η</m:t>
            </m:r>
          </m:e>
          <m:sub>
            <m:r>
              <m:rPr>
                <m:nor/>
              </m:rPr>
              <m:t>ch</m:t>
            </m:r>
          </m:sub>
        </m:sSub>
      </m:oMath>
      <w:r w:rsidRPr="00634DFB">
        <w:t xml:space="preserve">, </w:t>
      </w:r>
      <m:oMath>
        <m:sSub>
          <m:sSubPr>
            <m:ctrlPr>
              <w:rPr>
                <w:rFonts w:ascii="Cambria Math" w:hAnsi="Cambria Math"/>
                <w:lang w:val="ru-RU"/>
              </w:rPr>
            </m:ctrlPr>
          </m:sSubPr>
          <m:e>
            <m:r>
              <w:rPr>
                <w:rFonts w:ascii="Cambria Math" w:hAnsi="Cambria Math"/>
                <w:lang w:val="ru-RU"/>
              </w:rPr>
              <m:t>η</m:t>
            </m:r>
          </m:e>
          <m:sub>
            <m:r>
              <m:rPr>
                <m:nor/>
              </m:rPr>
              <m:t>dis</m:t>
            </m:r>
          </m:sub>
        </m:sSub>
        <m:r>
          <w:rPr>
            <w:rFonts w:ascii="Cambria Math" w:hAnsi="Cambria Math"/>
          </w:rPr>
          <m:t xml:space="preserve"> </m:t>
        </m:r>
      </m:oMath>
      <w:r w:rsidRPr="00634DFB">
        <w:t>and limits</w:t>
      </w:r>
      <w:r w:rsidR="00930EB9" w:rsidRPr="00634DFB">
        <w:t xml:space="preserve"> </w:t>
      </w:r>
      <w:r w:rsidRPr="00634DFB">
        <w:t xml:space="preserve"> </w:t>
      </w:r>
      <m:oMath>
        <m:sSubSup>
          <m:sSubSupPr>
            <m:ctrlPr>
              <w:rPr>
                <w:rFonts w:ascii="Cambria Math" w:hAnsi="Cambria Math"/>
                <w:lang w:val="ru-RU"/>
              </w:rPr>
            </m:ctrlPr>
          </m:sSubSupPr>
          <m:e>
            <m:r>
              <w:rPr>
                <w:rFonts w:ascii="Cambria Math" w:hAnsi="Cambria Math"/>
                <w:lang w:val="ru-RU"/>
              </w:rPr>
              <m:t>P</m:t>
            </m:r>
          </m:e>
          <m:sub>
            <m:r>
              <m:rPr>
                <m:nor/>
              </m:rPr>
              <m:t>ch</m:t>
            </m:r>
          </m:sub>
          <m:sup>
            <m:r>
              <m:rPr>
                <m:nor/>
              </m:rPr>
              <m:t>max</m:t>
            </m:r>
          </m:sup>
        </m:sSubSup>
        <m:r>
          <w:rPr>
            <w:rFonts w:ascii="Cambria Math" w:hAnsi="Cambria Math"/>
          </w:rPr>
          <m:t xml:space="preserve"> </m:t>
        </m:r>
      </m:oMath>
      <w:r w:rsidR="00930EB9" w:rsidRPr="00634DFB">
        <w:t xml:space="preserve"> </w:t>
      </w:r>
      <w:r w:rsidRPr="00634DFB">
        <w:t xml:space="preserve">and </w:t>
      </w:r>
      <m:oMath>
        <m:sSubSup>
          <m:sSubSupPr>
            <m:ctrlPr>
              <w:rPr>
                <w:rFonts w:ascii="Cambria Math" w:hAnsi="Cambria Math"/>
                <w:lang w:val="ru-RU"/>
              </w:rPr>
            </m:ctrlPr>
          </m:sSubSupPr>
          <m:e>
            <m:r>
              <w:rPr>
                <w:rFonts w:ascii="Cambria Math" w:hAnsi="Cambria Math"/>
                <w:lang w:val="ru-RU"/>
              </w:rPr>
              <m:t>P</m:t>
            </m:r>
          </m:e>
          <m:sub>
            <m:r>
              <m:rPr>
                <m:nor/>
              </m:rPr>
              <m:t>dis</m:t>
            </m:r>
          </m:sub>
          <m:sup>
            <m:r>
              <m:rPr>
                <m:nor/>
              </m:rPr>
              <m:t>max</m:t>
            </m:r>
          </m:sup>
        </m:sSubSup>
        <m:r>
          <w:rPr>
            <w:rFonts w:ascii="Cambria Math" w:hAnsi="Cambria Math"/>
          </w:rPr>
          <m:t xml:space="preserve"> </m:t>
        </m:r>
      </m:oMath>
      <w:r w:rsidR="00930EB9" w:rsidRPr="00634DFB">
        <w:t xml:space="preserve"> </w:t>
      </w:r>
      <w:r w:rsidRPr="00634DFB">
        <w:t>are set based on typical storage technology specifications [7, 1</w:t>
      </w:r>
      <w:r w:rsidR="00F52CFC" w:rsidRPr="00634DFB">
        <w:t>6</w:t>
      </w:r>
      <w:r w:rsidRPr="00634DFB">
        <w:t xml:space="preserve">]. </w:t>
      </w:r>
    </w:p>
    <w:p w14:paraId="04215507" w14:textId="40818633" w:rsidR="00F36125" w:rsidRPr="00634DFB" w:rsidRDefault="00F36125" w:rsidP="00634DFB">
      <w:pPr>
        <w:pStyle w:val="Text"/>
        <w:spacing w:line="240" w:lineRule="auto"/>
        <w:ind w:firstLine="284"/>
      </w:pPr>
      <w:r w:rsidRPr="00634DFB">
        <w:t>Calibration values and voltage quality tolerances are summarized in a table before the results section for easy reference, facilitating the replication of experiments by independent groups.</w:t>
      </w:r>
    </w:p>
    <w:p w14:paraId="082CF625" w14:textId="77777777" w:rsidR="00262292" w:rsidRPr="00634DFB" w:rsidRDefault="00262292" w:rsidP="00634DFB">
      <w:pPr>
        <w:pStyle w:val="Text"/>
        <w:spacing w:line="240" w:lineRule="auto"/>
        <w:ind w:firstLine="284"/>
        <w:rPr>
          <w:lang w:val="uz-Cyrl-UZ"/>
        </w:rPr>
      </w:pPr>
      <w:r w:rsidRPr="00634DFB">
        <w:t xml:space="preserve">The ESS placement methodology combines criteria of nodal vulnerability and impact on main power flows. In the first step, nodes with the highest variability in net injection due to renewable energy sources and load profiles are selected. </w:t>
      </w:r>
    </w:p>
    <w:p w14:paraId="05CA24F8" w14:textId="36F8F71D" w:rsidR="00262292" w:rsidRPr="00634DFB" w:rsidRDefault="00262292" w:rsidP="00634DFB">
      <w:pPr>
        <w:pStyle w:val="Text"/>
        <w:spacing w:line="240" w:lineRule="auto"/>
        <w:ind w:firstLine="284"/>
      </w:pPr>
      <w:r w:rsidRPr="00634DFB">
        <w:t xml:space="preserve">The second step assesses the sensitivity of power flows to local injections and voltage tolerances. Candidate nodes are chosen where active power injection during shortage hours reduces the loading of congested lines and stabilizes voltage, while charging during surplus hours minimizes forced curtailment of renewable energy sources. To prevent </w:t>
      </w:r>
      <w:r w:rsidRPr="00634DFB">
        <w:lastRenderedPageBreak/>
        <w:t>local concentration of capacity, a penalty is introduced for geographically close placement. The list of candidate nodes and their expected effect on key metrics should be tabulated to link network topology with operational benefits of different scenarios.</w:t>
      </w:r>
    </w:p>
    <w:p w14:paraId="1B26B601" w14:textId="77777777" w:rsidR="00215DAB" w:rsidRPr="00634DFB" w:rsidRDefault="00215DAB" w:rsidP="00634DFB">
      <w:pPr>
        <w:pStyle w:val="Text"/>
        <w:spacing w:line="240" w:lineRule="auto"/>
        <w:ind w:firstLine="284"/>
      </w:pPr>
      <w:r w:rsidRPr="00634DFB">
        <w:t>The sizing of energy storage devices is calculated based on two coordinated criteria. The required power is determined by the distribution quantile of the residual imbalance after the action of reserves, to ensure coverage of a specified proportion of disturbances within the operational horizon without systematic underutilization of resources. The required capacity is selected based on the condition that the integral difference between charge and discharge profiles on the most challenging day of the year does not exceed the available energy reserve, considering efficiency according to (3), while maintaining the state of charge within an acceptable range to prevent deep cycling. These two criteria are tested on a set of characteristic days, including those with maximum renewable energy source (RES) penetration and days with extreme load.</w:t>
      </w:r>
    </w:p>
    <w:p w14:paraId="0DC79AF4" w14:textId="77777777" w:rsidR="00F36125" w:rsidRPr="00634DFB" w:rsidRDefault="00F36125" w:rsidP="00634DFB">
      <w:pPr>
        <w:pStyle w:val="Text"/>
        <w:spacing w:line="240" w:lineRule="auto"/>
      </w:pPr>
    </w:p>
    <w:p w14:paraId="60E629A7" w14:textId="0172F527" w:rsidR="00F36125" w:rsidRPr="00634DFB" w:rsidRDefault="00F36125" w:rsidP="00634DFB">
      <w:pPr>
        <w:pStyle w:val="Text"/>
        <w:spacing w:line="240" w:lineRule="auto"/>
        <w:ind w:firstLine="0"/>
        <w:jc w:val="center"/>
      </w:pPr>
      <w:r w:rsidRPr="00634DFB">
        <w:rPr>
          <w:b/>
          <w:lang w:eastAsia="de-DE"/>
        </w:rPr>
        <w:t>TABLE</w:t>
      </w:r>
      <w:r w:rsidRPr="00634DFB">
        <w:rPr>
          <w:b/>
        </w:rPr>
        <w:t xml:space="preserve"> 6</w:t>
      </w:r>
      <w:r w:rsidRPr="00634DFB">
        <w:t>. Calibration parameters of the frequency dynamics model and voltage quality tolerances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0"/>
        <w:gridCol w:w="941"/>
        <w:gridCol w:w="1775"/>
        <w:gridCol w:w="1468"/>
        <w:gridCol w:w="2299"/>
      </w:tblGrid>
      <w:tr w:rsidR="00F36125" w:rsidRPr="00634DFB" w14:paraId="6F642B59" w14:textId="77777777" w:rsidTr="00930EB9">
        <w:trPr>
          <w:tblHeader/>
          <w:jc w:val="center"/>
        </w:trPr>
        <w:tc>
          <w:tcPr>
            <w:tcW w:w="0" w:type="auto"/>
            <w:vAlign w:val="center"/>
            <w:hideMark/>
          </w:tcPr>
          <w:p w14:paraId="78D8E845" w14:textId="77777777" w:rsidR="00F36125" w:rsidRPr="00634DFB" w:rsidRDefault="00F36125" w:rsidP="00634DFB">
            <w:pPr>
              <w:pStyle w:val="Text"/>
              <w:spacing w:line="240" w:lineRule="auto"/>
              <w:ind w:firstLine="0"/>
              <w:jc w:val="center"/>
              <w:rPr>
                <w:b/>
                <w:bCs/>
                <w:sz w:val="18"/>
                <w:szCs w:val="18"/>
                <w:lang w:val="ru-RU"/>
              </w:rPr>
            </w:pPr>
            <w:proofErr w:type="spellStart"/>
            <w:r w:rsidRPr="00634DFB">
              <w:rPr>
                <w:b/>
                <w:bCs/>
                <w:sz w:val="18"/>
                <w:szCs w:val="18"/>
                <w:lang w:val="ru-RU"/>
              </w:rPr>
              <w:t>Parameter</w:t>
            </w:r>
            <w:proofErr w:type="spellEnd"/>
          </w:p>
        </w:tc>
        <w:tc>
          <w:tcPr>
            <w:tcW w:w="0" w:type="auto"/>
            <w:vAlign w:val="center"/>
            <w:hideMark/>
          </w:tcPr>
          <w:p w14:paraId="3453A1E4" w14:textId="77777777" w:rsidR="00F36125" w:rsidRPr="00634DFB" w:rsidRDefault="00F36125" w:rsidP="00634DFB">
            <w:pPr>
              <w:pStyle w:val="Text"/>
              <w:spacing w:line="240" w:lineRule="auto"/>
              <w:ind w:firstLine="0"/>
              <w:jc w:val="center"/>
              <w:rPr>
                <w:b/>
                <w:bCs/>
                <w:sz w:val="18"/>
                <w:szCs w:val="18"/>
                <w:lang w:val="ru-RU"/>
              </w:rPr>
            </w:pPr>
            <w:proofErr w:type="spellStart"/>
            <w:r w:rsidRPr="00634DFB">
              <w:rPr>
                <w:b/>
                <w:bCs/>
                <w:sz w:val="18"/>
                <w:szCs w:val="18"/>
                <w:lang w:val="ru-RU"/>
              </w:rPr>
              <w:t>Designation</w:t>
            </w:r>
            <w:proofErr w:type="spellEnd"/>
          </w:p>
        </w:tc>
        <w:tc>
          <w:tcPr>
            <w:tcW w:w="0" w:type="auto"/>
            <w:vAlign w:val="center"/>
            <w:hideMark/>
          </w:tcPr>
          <w:p w14:paraId="0776875E" w14:textId="77777777" w:rsidR="00F36125" w:rsidRPr="00634DFB" w:rsidRDefault="00F36125" w:rsidP="00634DFB">
            <w:pPr>
              <w:pStyle w:val="Text"/>
              <w:spacing w:line="240" w:lineRule="auto"/>
              <w:ind w:firstLine="0"/>
              <w:jc w:val="center"/>
              <w:rPr>
                <w:b/>
                <w:bCs/>
                <w:sz w:val="18"/>
                <w:szCs w:val="18"/>
                <w:lang w:val="ru-RU"/>
              </w:rPr>
            </w:pPr>
            <w:r w:rsidRPr="00634DFB">
              <w:rPr>
                <w:b/>
                <w:bCs/>
                <w:sz w:val="18"/>
                <w:szCs w:val="18"/>
                <w:lang w:val="ru-RU"/>
              </w:rPr>
              <w:t>Base Value</w:t>
            </w:r>
          </w:p>
        </w:tc>
        <w:tc>
          <w:tcPr>
            <w:tcW w:w="0" w:type="auto"/>
            <w:vAlign w:val="center"/>
            <w:hideMark/>
          </w:tcPr>
          <w:p w14:paraId="6933C4F6" w14:textId="77777777" w:rsidR="00F36125" w:rsidRPr="00634DFB" w:rsidRDefault="00F36125" w:rsidP="00634DFB">
            <w:pPr>
              <w:pStyle w:val="Text"/>
              <w:spacing w:line="240" w:lineRule="auto"/>
              <w:ind w:firstLine="0"/>
              <w:jc w:val="center"/>
              <w:rPr>
                <w:b/>
                <w:bCs/>
                <w:sz w:val="18"/>
                <w:szCs w:val="18"/>
                <w:lang w:val="ru-RU"/>
              </w:rPr>
            </w:pPr>
            <w:r w:rsidRPr="00634DFB">
              <w:rPr>
                <w:b/>
                <w:bCs/>
                <w:sz w:val="18"/>
                <w:szCs w:val="18"/>
                <w:lang w:val="ru-RU"/>
              </w:rPr>
              <w:t>Analysis Range</w:t>
            </w:r>
          </w:p>
        </w:tc>
        <w:tc>
          <w:tcPr>
            <w:tcW w:w="2299" w:type="dxa"/>
            <w:vAlign w:val="center"/>
            <w:hideMark/>
          </w:tcPr>
          <w:p w14:paraId="02180AD4" w14:textId="77777777" w:rsidR="00F36125" w:rsidRPr="00634DFB" w:rsidRDefault="00F36125" w:rsidP="00634DFB">
            <w:pPr>
              <w:pStyle w:val="Text"/>
              <w:spacing w:line="240" w:lineRule="auto"/>
              <w:ind w:firstLine="0"/>
              <w:jc w:val="center"/>
              <w:rPr>
                <w:b/>
                <w:bCs/>
                <w:sz w:val="18"/>
                <w:szCs w:val="18"/>
                <w:lang w:val="ru-RU"/>
              </w:rPr>
            </w:pPr>
            <w:r w:rsidRPr="00634DFB">
              <w:rPr>
                <w:b/>
                <w:bCs/>
                <w:sz w:val="18"/>
                <w:szCs w:val="18"/>
                <w:lang w:val="ru-RU"/>
              </w:rPr>
              <w:t>Note</w:t>
            </w:r>
          </w:p>
        </w:tc>
      </w:tr>
      <w:tr w:rsidR="00F36125" w:rsidRPr="00634DFB" w14:paraId="310177CA" w14:textId="77777777" w:rsidTr="00930EB9">
        <w:trPr>
          <w:jc w:val="center"/>
        </w:trPr>
        <w:tc>
          <w:tcPr>
            <w:tcW w:w="0" w:type="auto"/>
            <w:vAlign w:val="center"/>
            <w:hideMark/>
          </w:tcPr>
          <w:p w14:paraId="70DFE859"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Power </w:t>
            </w:r>
            <w:proofErr w:type="spellStart"/>
            <w:r w:rsidRPr="00634DFB">
              <w:rPr>
                <w:sz w:val="18"/>
                <w:szCs w:val="18"/>
                <w:lang w:val="ru-RU"/>
              </w:rPr>
              <w:t>base</w:t>
            </w:r>
            <w:proofErr w:type="spellEnd"/>
          </w:p>
        </w:tc>
        <w:tc>
          <w:tcPr>
            <w:tcW w:w="0" w:type="auto"/>
            <w:vAlign w:val="center"/>
            <w:hideMark/>
          </w:tcPr>
          <w:p w14:paraId="58E18834" w14:textId="234DD385" w:rsidR="00F36125" w:rsidRPr="00634DFB" w:rsidRDefault="00000000" w:rsidP="00634DFB">
            <w:pPr>
              <w:pStyle w:val="Text"/>
              <w:spacing w:line="240" w:lineRule="auto"/>
              <w:ind w:firstLine="0"/>
              <w:jc w:val="center"/>
              <w:rPr>
                <w:b/>
                <w:bCs/>
                <w:sz w:val="18"/>
                <w:szCs w:val="18"/>
                <w:lang w:val="ru-RU"/>
              </w:rPr>
            </w:pPr>
            <m:oMathPara>
              <m:oMath>
                <m:sSub>
                  <m:sSubPr>
                    <m:ctrlPr>
                      <w:rPr>
                        <w:rFonts w:ascii="Cambria Math" w:hAnsi="Cambria Math"/>
                        <w:b/>
                        <w:bCs/>
                        <w:sz w:val="18"/>
                        <w:szCs w:val="18"/>
                        <w:lang w:val="ru-RU"/>
                      </w:rPr>
                    </m:ctrlPr>
                  </m:sSubPr>
                  <m:e>
                    <m:r>
                      <m:rPr>
                        <m:sty m:val="bi"/>
                      </m:rPr>
                      <w:rPr>
                        <w:rFonts w:ascii="Cambria Math" w:hAnsi="Cambria Math"/>
                        <w:sz w:val="18"/>
                        <w:szCs w:val="18"/>
                        <w:lang w:val="ru-RU"/>
                      </w:rPr>
                      <m:t>S</m:t>
                    </m:r>
                  </m:e>
                  <m:sub>
                    <m:r>
                      <m:rPr>
                        <m:nor/>
                      </m:rPr>
                      <w:rPr>
                        <w:b/>
                        <w:bCs/>
                        <w:sz w:val="18"/>
                        <w:szCs w:val="18"/>
                        <w:lang w:val="ru-RU"/>
                      </w:rPr>
                      <m:t>base</m:t>
                    </m:r>
                  </m:sub>
                </m:sSub>
              </m:oMath>
            </m:oMathPara>
          </w:p>
        </w:tc>
        <w:tc>
          <w:tcPr>
            <w:tcW w:w="0" w:type="auto"/>
            <w:vAlign w:val="center"/>
            <w:hideMark/>
          </w:tcPr>
          <w:p w14:paraId="5F33260E"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10 000 MVA</w:t>
            </w:r>
          </w:p>
        </w:tc>
        <w:tc>
          <w:tcPr>
            <w:tcW w:w="0" w:type="auto"/>
            <w:vAlign w:val="center"/>
            <w:hideMark/>
          </w:tcPr>
          <w:p w14:paraId="4847C7E5"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5 000–15 000 MVA</w:t>
            </w:r>
          </w:p>
        </w:tc>
        <w:tc>
          <w:tcPr>
            <w:tcW w:w="2299" w:type="dxa"/>
            <w:vAlign w:val="center"/>
            <w:hideMark/>
          </w:tcPr>
          <w:p w14:paraId="04CC69BF" w14:textId="77777777" w:rsidR="00F36125" w:rsidRPr="00634DFB" w:rsidRDefault="00F36125" w:rsidP="00634DFB">
            <w:pPr>
              <w:pStyle w:val="Text"/>
              <w:spacing w:line="240" w:lineRule="auto"/>
              <w:ind w:firstLine="0"/>
              <w:jc w:val="center"/>
              <w:rPr>
                <w:sz w:val="18"/>
                <w:szCs w:val="18"/>
              </w:rPr>
            </w:pPr>
            <w:r w:rsidRPr="00634DFB">
              <w:rPr>
                <w:sz w:val="18"/>
                <w:szCs w:val="18"/>
              </w:rPr>
              <w:t>Aggregated base of Central Asian UPS</w:t>
            </w:r>
          </w:p>
        </w:tc>
      </w:tr>
      <w:tr w:rsidR="00F36125" w:rsidRPr="00634DFB" w14:paraId="0D178CAD" w14:textId="77777777" w:rsidTr="00930EB9">
        <w:trPr>
          <w:jc w:val="center"/>
        </w:trPr>
        <w:tc>
          <w:tcPr>
            <w:tcW w:w="0" w:type="auto"/>
            <w:vAlign w:val="center"/>
            <w:hideMark/>
          </w:tcPr>
          <w:p w14:paraId="205D4B17"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Nominal</w:t>
            </w:r>
            <w:proofErr w:type="spellEnd"/>
            <w:r w:rsidRPr="00634DFB">
              <w:rPr>
                <w:sz w:val="18"/>
                <w:szCs w:val="18"/>
                <w:lang w:val="ru-RU"/>
              </w:rPr>
              <w:t xml:space="preserve"> </w:t>
            </w:r>
            <w:proofErr w:type="spellStart"/>
            <w:r w:rsidRPr="00634DFB">
              <w:rPr>
                <w:sz w:val="18"/>
                <w:szCs w:val="18"/>
                <w:lang w:val="ru-RU"/>
              </w:rPr>
              <w:t>frequency</w:t>
            </w:r>
            <w:proofErr w:type="spellEnd"/>
          </w:p>
        </w:tc>
        <w:tc>
          <w:tcPr>
            <w:tcW w:w="0" w:type="auto"/>
            <w:vAlign w:val="center"/>
            <w:hideMark/>
          </w:tcPr>
          <w:p w14:paraId="36166881" w14:textId="6A234A84" w:rsidR="00F36125" w:rsidRPr="00634DFB" w:rsidRDefault="00000000" w:rsidP="00634DFB">
            <w:pPr>
              <w:pStyle w:val="Text"/>
              <w:spacing w:line="240" w:lineRule="auto"/>
              <w:ind w:firstLine="0"/>
              <w:jc w:val="center"/>
              <w:rPr>
                <w:b/>
                <w:bCs/>
                <w:sz w:val="18"/>
                <w:szCs w:val="18"/>
                <w:lang w:val="ru-RU"/>
              </w:rPr>
            </w:pPr>
            <m:oMathPara>
              <m:oMath>
                <m:sSub>
                  <m:sSubPr>
                    <m:ctrlPr>
                      <w:rPr>
                        <w:rFonts w:ascii="Cambria Math" w:hAnsi="Cambria Math"/>
                        <w:b/>
                        <w:bCs/>
                        <w:sz w:val="18"/>
                        <w:szCs w:val="18"/>
                        <w:lang w:val="ru-RU"/>
                      </w:rPr>
                    </m:ctrlPr>
                  </m:sSubPr>
                  <m:e>
                    <m:r>
                      <m:rPr>
                        <m:sty m:val="bi"/>
                      </m:rPr>
                      <w:rPr>
                        <w:rFonts w:ascii="Cambria Math" w:hAnsi="Cambria Math"/>
                        <w:sz w:val="18"/>
                        <w:szCs w:val="18"/>
                        <w:lang w:val="ru-RU"/>
                      </w:rPr>
                      <m:t>f</m:t>
                    </m:r>
                  </m:e>
                  <m:sub>
                    <m:r>
                      <m:rPr>
                        <m:nor/>
                      </m:rPr>
                      <w:rPr>
                        <w:b/>
                        <w:bCs/>
                        <w:sz w:val="18"/>
                        <w:szCs w:val="18"/>
                        <w:lang w:val="ru-RU"/>
                      </w:rPr>
                      <m:t>nom</m:t>
                    </m:r>
                  </m:sub>
                </m:sSub>
              </m:oMath>
            </m:oMathPara>
          </w:p>
        </w:tc>
        <w:tc>
          <w:tcPr>
            <w:tcW w:w="0" w:type="auto"/>
            <w:vAlign w:val="center"/>
            <w:hideMark/>
          </w:tcPr>
          <w:p w14:paraId="14B3EAB7"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50 </w:t>
            </w:r>
            <w:proofErr w:type="spellStart"/>
            <w:r w:rsidRPr="00634DFB">
              <w:rPr>
                <w:sz w:val="18"/>
                <w:szCs w:val="18"/>
                <w:lang w:val="ru-RU"/>
              </w:rPr>
              <w:t>Hz</w:t>
            </w:r>
            <w:proofErr w:type="spellEnd"/>
          </w:p>
        </w:tc>
        <w:tc>
          <w:tcPr>
            <w:tcW w:w="0" w:type="auto"/>
            <w:vAlign w:val="center"/>
            <w:hideMark/>
          </w:tcPr>
          <w:p w14:paraId="55403DC1"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50 </w:t>
            </w:r>
            <w:proofErr w:type="spellStart"/>
            <w:r w:rsidRPr="00634DFB">
              <w:rPr>
                <w:sz w:val="18"/>
                <w:szCs w:val="18"/>
                <w:lang w:val="ru-RU"/>
              </w:rPr>
              <w:t>Hz</w:t>
            </w:r>
            <w:proofErr w:type="spellEnd"/>
          </w:p>
        </w:tc>
        <w:tc>
          <w:tcPr>
            <w:tcW w:w="2299" w:type="dxa"/>
            <w:vAlign w:val="center"/>
            <w:hideMark/>
          </w:tcPr>
          <w:p w14:paraId="1C8DF5B3"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For </w:t>
            </w:r>
            <w:proofErr w:type="spellStart"/>
            <w:r w:rsidRPr="00634DFB">
              <w:rPr>
                <w:sz w:val="18"/>
                <w:szCs w:val="18"/>
                <w:lang w:val="ru-RU"/>
              </w:rPr>
              <w:t>all</w:t>
            </w:r>
            <w:proofErr w:type="spellEnd"/>
            <w:r w:rsidRPr="00634DFB">
              <w:rPr>
                <w:sz w:val="18"/>
                <w:szCs w:val="18"/>
                <w:lang w:val="ru-RU"/>
              </w:rPr>
              <w:t xml:space="preserve"> </w:t>
            </w:r>
            <w:proofErr w:type="spellStart"/>
            <w:r w:rsidRPr="00634DFB">
              <w:rPr>
                <w:sz w:val="18"/>
                <w:szCs w:val="18"/>
                <w:lang w:val="ru-RU"/>
              </w:rPr>
              <w:t>runs</w:t>
            </w:r>
            <w:proofErr w:type="spellEnd"/>
          </w:p>
        </w:tc>
      </w:tr>
      <w:tr w:rsidR="00F36125" w:rsidRPr="00634DFB" w14:paraId="6FD4DE80" w14:textId="77777777" w:rsidTr="00930EB9">
        <w:trPr>
          <w:jc w:val="center"/>
        </w:trPr>
        <w:tc>
          <w:tcPr>
            <w:tcW w:w="0" w:type="auto"/>
            <w:vAlign w:val="center"/>
            <w:hideMark/>
          </w:tcPr>
          <w:p w14:paraId="5B7C889C"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System </w:t>
            </w:r>
            <w:proofErr w:type="spellStart"/>
            <w:r w:rsidRPr="00634DFB">
              <w:rPr>
                <w:sz w:val="18"/>
                <w:szCs w:val="18"/>
                <w:lang w:val="ru-RU"/>
              </w:rPr>
              <w:t>specific</w:t>
            </w:r>
            <w:proofErr w:type="spellEnd"/>
            <w:r w:rsidRPr="00634DFB">
              <w:rPr>
                <w:sz w:val="18"/>
                <w:szCs w:val="18"/>
                <w:lang w:val="ru-RU"/>
              </w:rPr>
              <w:t xml:space="preserve"> </w:t>
            </w:r>
            <w:proofErr w:type="spellStart"/>
            <w:r w:rsidRPr="00634DFB">
              <w:rPr>
                <w:sz w:val="18"/>
                <w:szCs w:val="18"/>
                <w:lang w:val="ru-RU"/>
              </w:rPr>
              <w:t>inertia</w:t>
            </w:r>
            <w:proofErr w:type="spellEnd"/>
          </w:p>
        </w:tc>
        <w:tc>
          <w:tcPr>
            <w:tcW w:w="0" w:type="auto"/>
            <w:vAlign w:val="center"/>
            <w:hideMark/>
          </w:tcPr>
          <w:p w14:paraId="5391B89D" w14:textId="6AFD297B" w:rsidR="00F36125" w:rsidRPr="00634DFB" w:rsidRDefault="00F52CFC" w:rsidP="00634DFB">
            <w:pPr>
              <w:pStyle w:val="Text"/>
              <w:spacing w:line="240" w:lineRule="auto"/>
              <w:ind w:firstLine="0"/>
              <w:jc w:val="center"/>
              <w:rPr>
                <w:b/>
                <w:bCs/>
                <w:sz w:val="18"/>
                <w:szCs w:val="18"/>
                <w:lang w:val="ru-RU"/>
              </w:rPr>
            </w:pPr>
            <m:oMathPara>
              <m:oMath>
                <m:r>
                  <m:rPr>
                    <m:sty m:val="bi"/>
                  </m:rPr>
                  <w:rPr>
                    <w:rFonts w:ascii="Cambria Math" w:hAnsi="Cambria Math"/>
                    <w:sz w:val="18"/>
                    <w:szCs w:val="18"/>
                    <w:lang w:val="ru-RU"/>
                  </w:rPr>
                  <m:t>H</m:t>
                </m:r>
              </m:oMath>
            </m:oMathPara>
          </w:p>
        </w:tc>
        <w:tc>
          <w:tcPr>
            <w:tcW w:w="0" w:type="auto"/>
            <w:vAlign w:val="center"/>
            <w:hideMark/>
          </w:tcPr>
          <w:p w14:paraId="1864471D"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3.5 s</w:t>
            </w:r>
          </w:p>
        </w:tc>
        <w:tc>
          <w:tcPr>
            <w:tcW w:w="0" w:type="auto"/>
            <w:vAlign w:val="center"/>
            <w:hideMark/>
          </w:tcPr>
          <w:p w14:paraId="5A08E279"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2.0–5.0 s</w:t>
            </w:r>
          </w:p>
        </w:tc>
        <w:tc>
          <w:tcPr>
            <w:tcW w:w="2299" w:type="dxa"/>
            <w:vAlign w:val="center"/>
            <w:hideMark/>
          </w:tcPr>
          <w:p w14:paraId="21E52BFA" w14:textId="77777777" w:rsidR="00F36125" w:rsidRPr="00634DFB" w:rsidRDefault="00F36125" w:rsidP="00634DFB">
            <w:pPr>
              <w:pStyle w:val="Text"/>
              <w:spacing w:line="240" w:lineRule="auto"/>
              <w:ind w:firstLine="0"/>
              <w:jc w:val="center"/>
              <w:rPr>
                <w:sz w:val="18"/>
                <w:szCs w:val="18"/>
              </w:rPr>
            </w:pPr>
            <w:r w:rsidRPr="00634DFB">
              <w:rPr>
                <w:sz w:val="18"/>
                <w:szCs w:val="18"/>
              </w:rPr>
              <w:t>Aggregate based on generation structure</w:t>
            </w:r>
          </w:p>
        </w:tc>
      </w:tr>
      <w:tr w:rsidR="00F36125" w:rsidRPr="00634DFB" w14:paraId="3635B3C0" w14:textId="77777777" w:rsidTr="00930EB9">
        <w:trPr>
          <w:jc w:val="center"/>
        </w:trPr>
        <w:tc>
          <w:tcPr>
            <w:tcW w:w="0" w:type="auto"/>
            <w:vAlign w:val="center"/>
            <w:hideMark/>
          </w:tcPr>
          <w:p w14:paraId="5468B5AE"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Frequency </w:t>
            </w:r>
            <w:proofErr w:type="spellStart"/>
            <w:r w:rsidRPr="00634DFB">
              <w:rPr>
                <w:sz w:val="18"/>
                <w:szCs w:val="18"/>
                <w:lang w:val="ru-RU"/>
              </w:rPr>
              <w:t>damping</w:t>
            </w:r>
            <w:proofErr w:type="spellEnd"/>
          </w:p>
        </w:tc>
        <w:tc>
          <w:tcPr>
            <w:tcW w:w="0" w:type="auto"/>
            <w:vAlign w:val="center"/>
            <w:hideMark/>
          </w:tcPr>
          <w:p w14:paraId="500EC4AD" w14:textId="1B1569F6" w:rsidR="00F36125" w:rsidRPr="00634DFB" w:rsidRDefault="00F52CFC" w:rsidP="00634DFB">
            <w:pPr>
              <w:pStyle w:val="Text"/>
              <w:spacing w:line="240" w:lineRule="auto"/>
              <w:ind w:firstLine="0"/>
              <w:jc w:val="center"/>
              <w:rPr>
                <w:b/>
                <w:bCs/>
                <w:sz w:val="18"/>
                <w:szCs w:val="18"/>
                <w:lang w:val="ru-RU"/>
              </w:rPr>
            </w:pPr>
            <m:oMathPara>
              <m:oMath>
                <m:r>
                  <m:rPr>
                    <m:sty m:val="bi"/>
                  </m:rPr>
                  <w:rPr>
                    <w:rFonts w:ascii="Cambria Math" w:hAnsi="Cambria Math"/>
                    <w:sz w:val="18"/>
                    <w:szCs w:val="18"/>
                    <w:lang w:val="ru-RU"/>
                  </w:rPr>
                  <m:t>D</m:t>
                </m:r>
              </m:oMath>
            </m:oMathPara>
          </w:p>
        </w:tc>
        <w:tc>
          <w:tcPr>
            <w:tcW w:w="0" w:type="auto"/>
            <w:vAlign w:val="center"/>
            <w:hideMark/>
          </w:tcPr>
          <w:p w14:paraId="619C1356"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1.0 </w:t>
            </w:r>
            <w:proofErr w:type="spellStart"/>
            <w:r w:rsidRPr="00634DFB">
              <w:rPr>
                <w:sz w:val="18"/>
                <w:szCs w:val="18"/>
                <w:lang w:val="ru-RU"/>
              </w:rPr>
              <w:t>pu</w:t>
            </w:r>
            <w:proofErr w:type="spellEnd"/>
          </w:p>
        </w:tc>
        <w:tc>
          <w:tcPr>
            <w:tcW w:w="0" w:type="auto"/>
            <w:vAlign w:val="center"/>
            <w:hideMark/>
          </w:tcPr>
          <w:p w14:paraId="3B9EB910"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0.5–1.5 </w:t>
            </w:r>
            <w:proofErr w:type="spellStart"/>
            <w:r w:rsidRPr="00634DFB">
              <w:rPr>
                <w:sz w:val="18"/>
                <w:szCs w:val="18"/>
                <w:lang w:val="ru-RU"/>
              </w:rPr>
              <w:t>pu</w:t>
            </w:r>
            <w:proofErr w:type="spellEnd"/>
          </w:p>
        </w:tc>
        <w:tc>
          <w:tcPr>
            <w:tcW w:w="2299" w:type="dxa"/>
            <w:vAlign w:val="center"/>
            <w:hideMark/>
          </w:tcPr>
          <w:p w14:paraId="532E6717" w14:textId="42D43AC4"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Relative</w:t>
            </w:r>
            <w:proofErr w:type="spellEnd"/>
            <w:r w:rsidRPr="00634DFB">
              <w:rPr>
                <w:sz w:val="18"/>
                <w:szCs w:val="18"/>
                <w:lang w:val="ru-RU"/>
              </w:rPr>
              <w:t xml:space="preserve"> </w:t>
            </w:r>
            <w:proofErr w:type="spellStart"/>
            <w:r w:rsidRPr="00634DFB">
              <w:rPr>
                <w:sz w:val="18"/>
                <w:szCs w:val="18"/>
                <w:lang w:val="ru-RU"/>
              </w:rPr>
              <w:t>to</w:t>
            </w:r>
            <w:proofErr w:type="spellEnd"/>
            <w:r w:rsidRPr="00634DFB">
              <w:rPr>
                <w:sz w:val="18"/>
                <w:szCs w:val="18"/>
                <w:lang w:val="ru-RU"/>
              </w:rPr>
              <w:t xml:space="preserve"> </w:t>
            </w:r>
            <m:oMath>
              <m:r>
                <w:rPr>
                  <w:rFonts w:ascii="Cambria Math" w:hAnsi="Cambria Math"/>
                  <w:sz w:val="18"/>
                  <w:szCs w:val="18"/>
                  <w:lang w:val="ru-RU"/>
                </w:rPr>
                <m:t>S</m:t>
              </m:r>
            </m:oMath>
          </w:p>
        </w:tc>
      </w:tr>
      <w:tr w:rsidR="00F36125" w:rsidRPr="00634DFB" w14:paraId="032A0507" w14:textId="77777777" w:rsidTr="00930EB9">
        <w:trPr>
          <w:jc w:val="center"/>
        </w:trPr>
        <w:tc>
          <w:tcPr>
            <w:tcW w:w="0" w:type="auto"/>
            <w:vAlign w:val="center"/>
            <w:hideMark/>
          </w:tcPr>
          <w:p w14:paraId="453D90C9"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Permissible</w:t>
            </w:r>
            <w:proofErr w:type="spellEnd"/>
            <w:r w:rsidRPr="00634DFB">
              <w:rPr>
                <w:sz w:val="18"/>
                <w:szCs w:val="18"/>
                <w:lang w:val="ru-RU"/>
              </w:rPr>
              <w:t xml:space="preserve"> </w:t>
            </w:r>
            <w:proofErr w:type="spellStart"/>
            <w:r w:rsidRPr="00634DFB">
              <w:rPr>
                <w:sz w:val="18"/>
                <w:szCs w:val="18"/>
                <w:lang w:val="ru-RU"/>
              </w:rPr>
              <w:t>frequency</w:t>
            </w:r>
            <w:proofErr w:type="spellEnd"/>
            <w:r w:rsidRPr="00634DFB">
              <w:rPr>
                <w:sz w:val="18"/>
                <w:szCs w:val="18"/>
                <w:lang w:val="ru-RU"/>
              </w:rPr>
              <w:t xml:space="preserve"> </w:t>
            </w:r>
            <w:proofErr w:type="spellStart"/>
            <w:r w:rsidRPr="00634DFB">
              <w:rPr>
                <w:sz w:val="18"/>
                <w:szCs w:val="18"/>
                <w:lang w:val="ru-RU"/>
              </w:rPr>
              <w:t>deviation</w:t>
            </w:r>
            <w:proofErr w:type="spellEnd"/>
          </w:p>
        </w:tc>
        <w:tc>
          <w:tcPr>
            <w:tcW w:w="0" w:type="auto"/>
            <w:vAlign w:val="center"/>
            <w:hideMark/>
          </w:tcPr>
          <w:p w14:paraId="65E84629" w14:textId="77777777" w:rsidR="00F36125" w:rsidRPr="00634DFB" w:rsidRDefault="00F36125" w:rsidP="00634DFB">
            <w:pPr>
              <w:pStyle w:val="Text"/>
              <w:spacing w:line="240" w:lineRule="auto"/>
              <w:ind w:firstLine="0"/>
              <w:jc w:val="center"/>
              <w:rPr>
                <w:b/>
                <w:bCs/>
                <w:sz w:val="18"/>
                <w:szCs w:val="18"/>
                <w:lang w:val="ru-RU"/>
              </w:rPr>
            </w:pPr>
            <w:r w:rsidRPr="00634DFB">
              <w:rPr>
                <w:b/>
                <w:bCs/>
                <w:sz w:val="18"/>
                <w:szCs w:val="18"/>
                <w:lang w:val="ru-RU"/>
              </w:rPr>
              <w:t>–</w:t>
            </w:r>
          </w:p>
        </w:tc>
        <w:tc>
          <w:tcPr>
            <w:tcW w:w="0" w:type="auto"/>
            <w:vAlign w:val="center"/>
            <w:hideMark/>
          </w:tcPr>
          <w:p w14:paraId="1AD87641"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±0.2 </w:t>
            </w:r>
            <w:proofErr w:type="spellStart"/>
            <w:r w:rsidRPr="00634DFB">
              <w:rPr>
                <w:sz w:val="18"/>
                <w:szCs w:val="18"/>
                <w:lang w:val="ru-RU"/>
              </w:rPr>
              <w:t>Hz</w:t>
            </w:r>
            <w:proofErr w:type="spellEnd"/>
          </w:p>
        </w:tc>
        <w:tc>
          <w:tcPr>
            <w:tcW w:w="0" w:type="auto"/>
            <w:vAlign w:val="center"/>
            <w:hideMark/>
          </w:tcPr>
          <w:p w14:paraId="7D3D498A"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±0.1–±0.5 </w:t>
            </w:r>
            <w:proofErr w:type="spellStart"/>
            <w:r w:rsidRPr="00634DFB">
              <w:rPr>
                <w:sz w:val="18"/>
                <w:szCs w:val="18"/>
                <w:lang w:val="ru-RU"/>
              </w:rPr>
              <w:t>Hz</w:t>
            </w:r>
            <w:proofErr w:type="spellEnd"/>
          </w:p>
        </w:tc>
        <w:tc>
          <w:tcPr>
            <w:tcW w:w="2299" w:type="dxa"/>
            <w:vAlign w:val="center"/>
            <w:hideMark/>
          </w:tcPr>
          <w:p w14:paraId="333B4099"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Acceptability</w:t>
            </w:r>
            <w:proofErr w:type="spellEnd"/>
            <w:r w:rsidRPr="00634DFB">
              <w:rPr>
                <w:sz w:val="18"/>
                <w:szCs w:val="18"/>
                <w:lang w:val="ru-RU"/>
              </w:rPr>
              <w:t xml:space="preserve"> </w:t>
            </w:r>
            <w:proofErr w:type="spellStart"/>
            <w:r w:rsidRPr="00634DFB">
              <w:rPr>
                <w:sz w:val="18"/>
                <w:szCs w:val="18"/>
                <w:lang w:val="ru-RU"/>
              </w:rPr>
              <w:t>criterion</w:t>
            </w:r>
            <w:proofErr w:type="spellEnd"/>
          </w:p>
        </w:tc>
      </w:tr>
      <w:tr w:rsidR="00F36125" w:rsidRPr="00634DFB" w14:paraId="1DFDB978" w14:textId="77777777" w:rsidTr="00930EB9">
        <w:trPr>
          <w:jc w:val="center"/>
        </w:trPr>
        <w:tc>
          <w:tcPr>
            <w:tcW w:w="0" w:type="auto"/>
            <w:vAlign w:val="center"/>
            <w:hideMark/>
          </w:tcPr>
          <w:p w14:paraId="7E0F900B"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RoCoF</w:t>
            </w:r>
            <w:proofErr w:type="spellEnd"/>
            <w:r w:rsidRPr="00634DFB">
              <w:rPr>
                <w:sz w:val="18"/>
                <w:szCs w:val="18"/>
                <w:lang w:val="ru-RU"/>
              </w:rPr>
              <w:t xml:space="preserve"> </w:t>
            </w:r>
            <w:proofErr w:type="spellStart"/>
            <w:r w:rsidRPr="00634DFB">
              <w:rPr>
                <w:sz w:val="18"/>
                <w:szCs w:val="18"/>
                <w:lang w:val="ru-RU"/>
              </w:rPr>
              <w:t>limit</w:t>
            </w:r>
            <w:proofErr w:type="spellEnd"/>
          </w:p>
        </w:tc>
        <w:tc>
          <w:tcPr>
            <w:tcW w:w="0" w:type="auto"/>
            <w:vAlign w:val="center"/>
            <w:hideMark/>
          </w:tcPr>
          <w:p w14:paraId="3615E02C" w14:textId="77777777" w:rsidR="00F36125" w:rsidRPr="00634DFB" w:rsidRDefault="00F36125" w:rsidP="00634DFB">
            <w:pPr>
              <w:pStyle w:val="Text"/>
              <w:spacing w:line="240" w:lineRule="auto"/>
              <w:ind w:firstLine="0"/>
              <w:jc w:val="center"/>
              <w:rPr>
                <w:b/>
                <w:bCs/>
                <w:sz w:val="18"/>
                <w:szCs w:val="18"/>
                <w:lang w:val="ru-RU"/>
              </w:rPr>
            </w:pPr>
            <w:r w:rsidRPr="00634DFB">
              <w:rPr>
                <w:b/>
                <w:bCs/>
                <w:sz w:val="18"/>
                <w:szCs w:val="18"/>
                <w:lang w:val="ru-RU"/>
              </w:rPr>
              <w:t>–</w:t>
            </w:r>
          </w:p>
        </w:tc>
        <w:tc>
          <w:tcPr>
            <w:tcW w:w="0" w:type="auto"/>
            <w:vAlign w:val="center"/>
            <w:hideMark/>
          </w:tcPr>
          <w:p w14:paraId="0045D13A"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0.5 </w:t>
            </w:r>
            <w:proofErr w:type="spellStart"/>
            <w:r w:rsidRPr="00634DFB">
              <w:rPr>
                <w:sz w:val="18"/>
                <w:szCs w:val="18"/>
                <w:lang w:val="ru-RU"/>
              </w:rPr>
              <w:t>Hz</w:t>
            </w:r>
            <w:proofErr w:type="spellEnd"/>
            <w:r w:rsidRPr="00634DFB">
              <w:rPr>
                <w:sz w:val="18"/>
                <w:szCs w:val="18"/>
                <w:lang w:val="ru-RU"/>
              </w:rPr>
              <w:t>/s</w:t>
            </w:r>
          </w:p>
        </w:tc>
        <w:tc>
          <w:tcPr>
            <w:tcW w:w="0" w:type="auto"/>
            <w:vAlign w:val="center"/>
            <w:hideMark/>
          </w:tcPr>
          <w:p w14:paraId="11785E5D"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0.25–1.0 </w:t>
            </w:r>
            <w:proofErr w:type="spellStart"/>
            <w:r w:rsidRPr="00634DFB">
              <w:rPr>
                <w:sz w:val="18"/>
                <w:szCs w:val="18"/>
                <w:lang w:val="ru-RU"/>
              </w:rPr>
              <w:t>Hz</w:t>
            </w:r>
            <w:proofErr w:type="spellEnd"/>
            <w:r w:rsidRPr="00634DFB">
              <w:rPr>
                <w:sz w:val="18"/>
                <w:szCs w:val="18"/>
                <w:lang w:val="ru-RU"/>
              </w:rPr>
              <w:t>/s</w:t>
            </w:r>
          </w:p>
        </w:tc>
        <w:tc>
          <w:tcPr>
            <w:tcW w:w="2299" w:type="dxa"/>
            <w:vAlign w:val="center"/>
            <w:hideMark/>
          </w:tcPr>
          <w:p w14:paraId="51C8C36B"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Fast </w:t>
            </w:r>
            <w:proofErr w:type="spellStart"/>
            <w:r w:rsidRPr="00634DFB">
              <w:rPr>
                <w:sz w:val="18"/>
                <w:szCs w:val="18"/>
                <w:lang w:val="ru-RU"/>
              </w:rPr>
              <w:t>dynamics</w:t>
            </w:r>
            <w:proofErr w:type="spellEnd"/>
            <w:r w:rsidRPr="00634DFB">
              <w:rPr>
                <w:sz w:val="18"/>
                <w:szCs w:val="18"/>
                <w:lang w:val="ru-RU"/>
              </w:rPr>
              <w:t xml:space="preserve"> </w:t>
            </w:r>
            <w:proofErr w:type="spellStart"/>
            <w:r w:rsidRPr="00634DFB">
              <w:rPr>
                <w:sz w:val="18"/>
                <w:szCs w:val="18"/>
                <w:lang w:val="ru-RU"/>
              </w:rPr>
              <w:t>control</w:t>
            </w:r>
            <w:proofErr w:type="spellEnd"/>
          </w:p>
        </w:tc>
      </w:tr>
      <w:tr w:rsidR="00F36125" w:rsidRPr="00634DFB" w14:paraId="06222B3F" w14:textId="77777777" w:rsidTr="00930EB9">
        <w:trPr>
          <w:jc w:val="center"/>
        </w:trPr>
        <w:tc>
          <w:tcPr>
            <w:tcW w:w="0" w:type="auto"/>
            <w:vAlign w:val="center"/>
            <w:hideMark/>
          </w:tcPr>
          <w:p w14:paraId="29C0F53B"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Charge</w:t>
            </w:r>
            <w:proofErr w:type="spellEnd"/>
            <w:r w:rsidRPr="00634DFB">
              <w:rPr>
                <w:sz w:val="18"/>
                <w:szCs w:val="18"/>
                <w:lang w:val="ru-RU"/>
              </w:rPr>
              <w:t xml:space="preserve"> </w:t>
            </w:r>
            <w:proofErr w:type="spellStart"/>
            <w:r w:rsidRPr="00634DFB">
              <w:rPr>
                <w:sz w:val="18"/>
                <w:szCs w:val="18"/>
                <w:lang w:val="ru-RU"/>
              </w:rPr>
              <w:t>efficiency</w:t>
            </w:r>
            <w:proofErr w:type="spellEnd"/>
          </w:p>
        </w:tc>
        <w:tc>
          <w:tcPr>
            <w:tcW w:w="0" w:type="auto"/>
            <w:vAlign w:val="center"/>
            <w:hideMark/>
          </w:tcPr>
          <w:p w14:paraId="6A8C9A98" w14:textId="2DA1BBE6" w:rsidR="00F36125" w:rsidRPr="00634DFB" w:rsidRDefault="00000000" w:rsidP="00634DFB">
            <w:pPr>
              <w:pStyle w:val="Text"/>
              <w:spacing w:line="240" w:lineRule="auto"/>
              <w:ind w:firstLine="0"/>
              <w:jc w:val="center"/>
              <w:rPr>
                <w:b/>
                <w:bCs/>
                <w:sz w:val="18"/>
                <w:szCs w:val="18"/>
                <w:lang w:val="ru-RU"/>
              </w:rPr>
            </w:pPr>
            <m:oMathPara>
              <m:oMath>
                <m:sSub>
                  <m:sSubPr>
                    <m:ctrlPr>
                      <w:rPr>
                        <w:rFonts w:ascii="Cambria Math" w:hAnsi="Cambria Math"/>
                        <w:b/>
                        <w:bCs/>
                        <w:sz w:val="18"/>
                        <w:szCs w:val="18"/>
                        <w:lang w:val="ru-RU"/>
                      </w:rPr>
                    </m:ctrlPr>
                  </m:sSubPr>
                  <m:e>
                    <m:r>
                      <m:rPr>
                        <m:sty m:val="bi"/>
                      </m:rPr>
                      <w:rPr>
                        <w:rFonts w:ascii="Cambria Math" w:hAnsi="Cambria Math"/>
                        <w:sz w:val="18"/>
                        <w:szCs w:val="18"/>
                        <w:lang w:val="ru-RU"/>
                      </w:rPr>
                      <m:t>η</m:t>
                    </m:r>
                  </m:e>
                  <m:sub>
                    <m:r>
                      <m:rPr>
                        <m:nor/>
                      </m:rPr>
                      <w:rPr>
                        <w:b/>
                        <w:bCs/>
                        <w:sz w:val="18"/>
                        <w:szCs w:val="18"/>
                        <w:lang w:val="ru-RU"/>
                      </w:rPr>
                      <m:t>ch</m:t>
                    </m:r>
                  </m:sub>
                </m:sSub>
              </m:oMath>
            </m:oMathPara>
          </w:p>
        </w:tc>
        <w:tc>
          <w:tcPr>
            <w:tcW w:w="0" w:type="auto"/>
            <w:vAlign w:val="center"/>
            <w:hideMark/>
          </w:tcPr>
          <w:p w14:paraId="2F13A1F8"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0.95</w:t>
            </w:r>
          </w:p>
        </w:tc>
        <w:tc>
          <w:tcPr>
            <w:tcW w:w="0" w:type="auto"/>
            <w:vAlign w:val="center"/>
            <w:hideMark/>
          </w:tcPr>
          <w:p w14:paraId="1F397E63"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0.90–0.97</w:t>
            </w:r>
          </w:p>
        </w:tc>
        <w:tc>
          <w:tcPr>
            <w:tcW w:w="2299" w:type="dxa"/>
            <w:vAlign w:val="center"/>
            <w:hideMark/>
          </w:tcPr>
          <w:p w14:paraId="7BB266E4"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For BESS</w:t>
            </w:r>
          </w:p>
        </w:tc>
      </w:tr>
      <w:tr w:rsidR="00F36125" w:rsidRPr="00634DFB" w14:paraId="66254083" w14:textId="77777777" w:rsidTr="00930EB9">
        <w:trPr>
          <w:jc w:val="center"/>
        </w:trPr>
        <w:tc>
          <w:tcPr>
            <w:tcW w:w="0" w:type="auto"/>
            <w:vAlign w:val="center"/>
            <w:hideMark/>
          </w:tcPr>
          <w:p w14:paraId="67E1D172"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Discharge</w:t>
            </w:r>
            <w:proofErr w:type="spellEnd"/>
            <w:r w:rsidRPr="00634DFB">
              <w:rPr>
                <w:sz w:val="18"/>
                <w:szCs w:val="18"/>
                <w:lang w:val="ru-RU"/>
              </w:rPr>
              <w:t xml:space="preserve"> </w:t>
            </w:r>
            <w:proofErr w:type="spellStart"/>
            <w:r w:rsidRPr="00634DFB">
              <w:rPr>
                <w:sz w:val="18"/>
                <w:szCs w:val="18"/>
                <w:lang w:val="ru-RU"/>
              </w:rPr>
              <w:t>efficiency</w:t>
            </w:r>
            <w:proofErr w:type="spellEnd"/>
          </w:p>
        </w:tc>
        <w:tc>
          <w:tcPr>
            <w:tcW w:w="0" w:type="auto"/>
            <w:vAlign w:val="center"/>
            <w:hideMark/>
          </w:tcPr>
          <w:p w14:paraId="5D2D0024" w14:textId="3FF024CA" w:rsidR="00F36125" w:rsidRPr="00634DFB" w:rsidRDefault="00000000" w:rsidP="00634DFB">
            <w:pPr>
              <w:pStyle w:val="Text"/>
              <w:spacing w:line="240" w:lineRule="auto"/>
              <w:ind w:firstLine="0"/>
              <w:jc w:val="center"/>
              <w:rPr>
                <w:b/>
                <w:bCs/>
                <w:sz w:val="18"/>
                <w:szCs w:val="18"/>
                <w:lang w:val="ru-RU"/>
              </w:rPr>
            </w:pPr>
            <m:oMathPara>
              <m:oMath>
                <m:sSub>
                  <m:sSubPr>
                    <m:ctrlPr>
                      <w:rPr>
                        <w:rFonts w:ascii="Cambria Math" w:hAnsi="Cambria Math"/>
                        <w:b/>
                        <w:bCs/>
                        <w:sz w:val="18"/>
                        <w:szCs w:val="18"/>
                        <w:lang w:val="ru-RU"/>
                      </w:rPr>
                    </m:ctrlPr>
                  </m:sSubPr>
                  <m:e>
                    <m:r>
                      <m:rPr>
                        <m:sty m:val="bi"/>
                      </m:rPr>
                      <w:rPr>
                        <w:rFonts w:ascii="Cambria Math" w:hAnsi="Cambria Math"/>
                        <w:sz w:val="18"/>
                        <w:szCs w:val="18"/>
                        <w:lang w:val="ru-RU"/>
                      </w:rPr>
                      <m:t>η</m:t>
                    </m:r>
                  </m:e>
                  <m:sub>
                    <m:r>
                      <m:rPr>
                        <m:nor/>
                      </m:rPr>
                      <w:rPr>
                        <w:b/>
                        <w:bCs/>
                        <w:sz w:val="18"/>
                        <w:szCs w:val="18"/>
                        <w:lang w:val="ru-RU"/>
                      </w:rPr>
                      <m:t>dis</m:t>
                    </m:r>
                  </m:sub>
                </m:sSub>
              </m:oMath>
            </m:oMathPara>
          </w:p>
        </w:tc>
        <w:tc>
          <w:tcPr>
            <w:tcW w:w="0" w:type="auto"/>
            <w:vAlign w:val="center"/>
            <w:hideMark/>
          </w:tcPr>
          <w:p w14:paraId="226B5D57"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0.95</w:t>
            </w:r>
          </w:p>
        </w:tc>
        <w:tc>
          <w:tcPr>
            <w:tcW w:w="0" w:type="auto"/>
            <w:vAlign w:val="center"/>
            <w:hideMark/>
          </w:tcPr>
          <w:p w14:paraId="0BE89A8A"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0.90–0.97</w:t>
            </w:r>
          </w:p>
        </w:tc>
        <w:tc>
          <w:tcPr>
            <w:tcW w:w="2299" w:type="dxa"/>
            <w:vAlign w:val="center"/>
            <w:hideMark/>
          </w:tcPr>
          <w:p w14:paraId="757D61FE"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For BESS</w:t>
            </w:r>
          </w:p>
        </w:tc>
      </w:tr>
      <w:tr w:rsidR="00F36125" w:rsidRPr="00634DFB" w14:paraId="50936453" w14:textId="77777777" w:rsidTr="00930EB9">
        <w:trPr>
          <w:jc w:val="center"/>
        </w:trPr>
        <w:tc>
          <w:tcPr>
            <w:tcW w:w="0" w:type="auto"/>
            <w:vAlign w:val="center"/>
            <w:hideMark/>
          </w:tcPr>
          <w:p w14:paraId="3E28C984"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Charge</w:t>
            </w:r>
            <w:proofErr w:type="spellEnd"/>
            <w:r w:rsidRPr="00634DFB">
              <w:rPr>
                <w:sz w:val="18"/>
                <w:szCs w:val="18"/>
                <w:lang w:val="ru-RU"/>
              </w:rPr>
              <w:t xml:space="preserve"> </w:t>
            </w:r>
            <w:proofErr w:type="spellStart"/>
            <w:r w:rsidRPr="00634DFB">
              <w:rPr>
                <w:sz w:val="18"/>
                <w:szCs w:val="18"/>
                <w:lang w:val="ru-RU"/>
              </w:rPr>
              <w:t>power</w:t>
            </w:r>
            <w:proofErr w:type="spellEnd"/>
            <w:r w:rsidRPr="00634DFB">
              <w:rPr>
                <w:sz w:val="18"/>
                <w:szCs w:val="18"/>
                <w:lang w:val="ru-RU"/>
              </w:rPr>
              <w:t xml:space="preserve"> </w:t>
            </w:r>
            <w:proofErr w:type="spellStart"/>
            <w:r w:rsidRPr="00634DFB">
              <w:rPr>
                <w:sz w:val="18"/>
                <w:szCs w:val="18"/>
                <w:lang w:val="ru-RU"/>
              </w:rPr>
              <w:t>limit</w:t>
            </w:r>
            <w:proofErr w:type="spellEnd"/>
          </w:p>
        </w:tc>
        <w:tc>
          <w:tcPr>
            <w:tcW w:w="0" w:type="auto"/>
            <w:vAlign w:val="center"/>
            <w:hideMark/>
          </w:tcPr>
          <w:p w14:paraId="3DC7A452" w14:textId="385A9BD2" w:rsidR="00F36125" w:rsidRPr="00634DFB" w:rsidRDefault="00000000" w:rsidP="00634DFB">
            <w:pPr>
              <w:pStyle w:val="Text"/>
              <w:spacing w:line="240" w:lineRule="auto"/>
              <w:ind w:firstLine="0"/>
              <w:jc w:val="center"/>
              <w:rPr>
                <w:b/>
                <w:bCs/>
                <w:sz w:val="18"/>
                <w:szCs w:val="18"/>
                <w:lang w:val="ru-RU"/>
              </w:rPr>
            </w:pPr>
            <m:oMathPara>
              <m:oMath>
                <m:sSubSup>
                  <m:sSubSupPr>
                    <m:ctrlPr>
                      <w:rPr>
                        <w:rFonts w:ascii="Cambria Math" w:hAnsi="Cambria Math"/>
                        <w:b/>
                        <w:bCs/>
                        <w:sz w:val="18"/>
                        <w:szCs w:val="18"/>
                        <w:lang w:val="ru-RU"/>
                      </w:rPr>
                    </m:ctrlPr>
                  </m:sSubSupPr>
                  <m:e>
                    <m:r>
                      <m:rPr>
                        <m:sty m:val="bi"/>
                      </m:rPr>
                      <w:rPr>
                        <w:rFonts w:ascii="Cambria Math" w:hAnsi="Cambria Math"/>
                        <w:sz w:val="18"/>
                        <w:szCs w:val="18"/>
                        <w:lang w:val="ru-RU"/>
                      </w:rPr>
                      <m:t>P</m:t>
                    </m:r>
                  </m:e>
                  <m:sub>
                    <m:r>
                      <m:rPr>
                        <m:nor/>
                      </m:rPr>
                      <w:rPr>
                        <w:b/>
                        <w:bCs/>
                        <w:sz w:val="18"/>
                        <w:szCs w:val="18"/>
                        <w:lang w:val="ru-RU"/>
                      </w:rPr>
                      <m:t>ch</m:t>
                    </m:r>
                  </m:sub>
                  <m:sup>
                    <m:r>
                      <m:rPr>
                        <m:nor/>
                      </m:rPr>
                      <w:rPr>
                        <w:b/>
                        <w:bCs/>
                        <w:sz w:val="18"/>
                        <w:szCs w:val="18"/>
                        <w:lang w:val="ru-RU"/>
                      </w:rPr>
                      <m:t>max</m:t>
                    </m:r>
                  </m:sup>
                </m:sSubSup>
              </m:oMath>
            </m:oMathPara>
          </w:p>
        </w:tc>
        <w:tc>
          <w:tcPr>
            <w:tcW w:w="0" w:type="auto"/>
            <w:vAlign w:val="center"/>
            <w:hideMark/>
          </w:tcPr>
          <w:p w14:paraId="2EF7AFB0" w14:textId="58996D43"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1.0·</w:t>
            </w:r>
            <m:oMath>
              <m:sSub>
                <m:sSubPr>
                  <m:ctrlPr>
                    <w:rPr>
                      <w:rFonts w:ascii="Cambria Math" w:hAnsi="Cambria Math"/>
                      <w:sz w:val="18"/>
                      <w:szCs w:val="18"/>
                      <w:lang w:val="ru-RU"/>
                    </w:rPr>
                  </m:ctrlPr>
                </m:sSubPr>
                <m:e>
                  <m:r>
                    <w:rPr>
                      <w:rFonts w:ascii="Cambria Math" w:hAnsi="Cambria Math"/>
                      <w:sz w:val="18"/>
                      <w:szCs w:val="18"/>
                      <w:lang w:val="ru-RU"/>
                    </w:rPr>
                    <m:t>P</m:t>
                  </m:r>
                </m:e>
                <m:sub>
                  <m:r>
                    <m:rPr>
                      <m:nor/>
                    </m:rPr>
                    <w:rPr>
                      <w:sz w:val="18"/>
                      <w:szCs w:val="18"/>
                      <w:lang w:val="ru-RU"/>
                    </w:rPr>
                    <m:t>nom</m:t>
                  </m:r>
                </m:sub>
              </m:sSub>
            </m:oMath>
          </w:p>
        </w:tc>
        <w:tc>
          <w:tcPr>
            <w:tcW w:w="0" w:type="auto"/>
            <w:vAlign w:val="center"/>
            <w:hideMark/>
          </w:tcPr>
          <w:p w14:paraId="6F1BBADE" w14:textId="007427AA"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0.8–1.0·</w:t>
            </w:r>
            <m:oMath>
              <m:sSub>
                <m:sSubPr>
                  <m:ctrlPr>
                    <w:rPr>
                      <w:rFonts w:ascii="Cambria Math" w:hAnsi="Cambria Math"/>
                      <w:sz w:val="18"/>
                      <w:szCs w:val="18"/>
                      <w:lang w:val="ru-RU"/>
                    </w:rPr>
                  </m:ctrlPr>
                </m:sSubPr>
                <m:e>
                  <m:r>
                    <w:rPr>
                      <w:rFonts w:ascii="Cambria Math" w:hAnsi="Cambria Math"/>
                      <w:sz w:val="18"/>
                      <w:szCs w:val="18"/>
                      <w:lang w:val="ru-RU"/>
                    </w:rPr>
                    <m:t>P</m:t>
                  </m:r>
                </m:e>
                <m:sub>
                  <m:r>
                    <m:rPr>
                      <m:nor/>
                    </m:rPr>
                    <w:rPr>
                      <w:sz w:val="18"/>
                      <w:szCs w:val="18"/>
                      <w:lang w:val="ru-RU"/>
                    </w:rPr>
                    <m:t>nom</m:t>
                  </m:r>
                </m:sub>
              </m:sSub>
            </m:oMath>
          </w:p>
        </w:tc>
        <w:tc>
          <w:tcPr>
            <w:tcW w:w="2299" w:type="dxa"/>
            <w:vAlign w:val="center"/>
            <w:hideMark/>
          </w:tcPr>
          <w:p w14:paraId="15DCBEE0"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Per</w:t>
            </w:r>
            <w:proofErr w:type="spellEnd"/>
            <w:r w:rsidRPr="00634DFB">
              <w:rPr>
                <w:sz w:val="18"/>
                <w:szCs w:val="18"/>
                <w:lang w:val="ru-RU"/>
              </w:rPr>
              <w:t xml:space="preserve"> ESS </w:t>
            </w:r>
            <w:proofErr w:type="spellStart"/>
            <w:r w:rsidRPr="00634DFB">
              <w:rPr>
                <w:sz w:val="18"/>
                <w:szCs w:val="18"/>
                <w:lang w:val="ru-RU"/>
              </w:rPr>
              <w:t>node</w:t>
            </w:r>
            <w:proofErr w:type="spellEnd"/>
          </w:p>
        </w:tc>
      </w:tr>
      <w:tr w:rsidR="00F36125" w:rsidRPr="00634DFB" w14:paraId="49D7AC0D" w14:textId="77777777" w:rsidTr="00930EB9">
        <w:trPr>
          <w:jc w:val="center"/>
        </w:trPr>
        <w:tc>
          <w:tcPr>
            <w:tcW w:w="0" w:type="auto"/>
            <w:vAlign w:val="center"/>
            <w:hideMark/>
          </w:tcPr>
          <w:p w14:paraId="417CB2E6"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Discharge</w:t>
            </w:r>
            <w:proofErr w:type="spellEnd"/>
            <w:r w:rsidRPr="00634DFB">
              <w:rPr>
                <w:sz w:val="18"/>
                <w:szCs w:val="18"/>
                <w:lang w:val="ru-RU"/>
              </w:rPr>
              <w:t xml:space="preserve"> </w:t>
            </w:r>
            <w:proofErr w:type="spellStart"/>
            <w:r w:rsidRPr="00634DFB">
              <w:rPr>
                <w:sz w:val="18"/>
                <w:szCs w:val="18"/>
                <w:lang w:val="ru-RU"/>
              </w:rPr>
              <w:t>power</w:t>
            </w:r>
            <w:proofErr w:type="spellEnd"/>
            <w:r w:rsidRPr="00634DFB">
              <w:rPr>
                <w:sz w:val="18"/>
                <w:szCs w:val="18"/>
                <w:lang w:val="ru-RU"/>
              </w:rPr>
              <w:t xml:space="preserve"> </w:t>
            </w:r>
            <w:proofErr w:type="spellStart"/>
            <w:r w:rsidRPr="00634DFB">
              <w:rPr>
                <w:sz w:val="18"/>
                <w:szCs w:val="18"/>
                <w:lang w:val="ru-RU"/>
              </w:rPr>
              <w:t>limit</w:t>
            </w:r>
            <w:proofErr w:type="spellEnd"/>
          </w:p>
        </w:tc>
        <w:tc>
          <w:tcPr>
            <w:tcW w:w="0" w:type="auto"/>
            <w:vAlign w:val="center"/>
            <w:hideMark/>
          </w:tcPr>
          <w:p w14:paraId="67E7E6DC" w14:textId="56D69086" w:rsidR="00F36125" w:rsidRPr="00634DFB" w:rsidRDefault="00000000" w:rsidP="00634DFB">
            <w:pPr>
              <w:pStyle w:val="Text"/>
              <w:spacing w:line="240" w:lineRule="auto"/>
              <w:ind w:firstLine="0"/>
              <w:jc w:val="center"/>
              <w:rPr>
                <w:b/>
                <w:bCs/>
                <w:sz w:val="18"/>
                <w:szCs w:val="18"/>
                <w:lang w:val="ru-RU"/>
              </w:rPr>
            </w:pPr>
            <m:oMathPara>
              <m:oMath>
                <m:sSubSup>
                  <m:sSubSupPr>
                    <m:ctrlPr>
                      <w:rPr>
                        <w:rFonts w:ascii="Cambria Math" w:hAnsi="Cambria Math"/>
                        <w:b/>
                        <w:bCs/>
                        <w:sz w:val="18"/>
                        <w:szCs w:val="18"/>
                        <w:lang w:val="ru-RU"/>
                      </w:rPr>
                    </m:ctrlPr>
                  </m:sSubSupPr>
                  <m:e>
                    <m:r>
                      <m:rPr>
                        <m:sty m:val="bi"/>
                      </m:rPr>
                      <w:rPr>
                        <w:rFonts w:ascii="Cambria Math" w:hAnsi="Cambria Math"/>
                        <w:sz w:val="18"/>
                        <w:szCs w:val="18"/>
                        <w:lang w:val="ru-RU"/>
                      </w:rPr>
                      <m:t>P</m:t>
                    </m:r>
                  </m:e>
                  <m:sub>
                    <m:r>
                      <m:rPr>
                        <m:nor/>
                      </m:rPr>
                      <w:rPr>
                        <w:b/>
                        <w:bCs/>
                        <w:sz w:val="18"/>
                        <w:szCs w:val="18"/>
                        <w:lang w:val="ru-RU"/>
                      </w:rPr>
                      <m:t>dis</m:t>
                    </m:r>
                  </m:sub>
                  <m:sup>
                    <m:r>
                      <m:rPr>
                        <m:nor/>
                      </m:rPr>
                      <w:rPr>
                        <w:b/>
                        <w:bCs/>
                        <w:sz w:val="18"/>
                        <w:szCs w:val="18"/>
                        <w:lang w:val="ru-RU"/>
                      </w:rPr>
                      <m:t>max</m:t>
                    </m:r>
                  </m:sup>
                </m:sSubSup>
              </m:oMath>
            </m:oMathPara>
          </w:p>
        </w:tc>
        <w:tc>
          <w:tcPr>
            <w:tcW w:w="0" w:type="auto"/>
            <w:vAlign w:val="center"/>
            <w:hideMark/>
          </w:tcPr>
          <w:p w14:paraId="469086CC" w14:textId="5F170BC2"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1.0·</w:t>
            </w:r>
            <m:oMath>
              <m:sSub>
                <m:sSubPr>
                  <m:ctrlPr>
                    <w:rPr>
                      <w:rFonts w:ascii="Cambria Math" w:hAnsi="Cambria Math"/>
                      <w:sz w:val="18"/>
                      <w:szCs w:val="18"/>
                      <w:lang w:val="ru-RU"/>
                    </w:rPr>
                  </m:ctrlPr>
                </m:sSubPr>
                <m:e>
                  <m:r>
                    <w:rPr>
                      <w:rFonts w:ascii="Cambria Math" w:hAnsi="Cambria Math"/>
                      <w:sz w:val="18"/>
                      <w:szCs w:val="18"/>
                      <w:lang w:val="ru-RU"/>
                    </w:rPr>
                    <m:t>P</m:t>
                  </m:r>
                </m:e>
                <m:sub>
                  <m:r>
                    <m:rPr>
                      <m:nor/>
                    </m:rPr>
                    <w:rPr>
                      <w:sz w:val="18"/>
                      <w:szCs w:val="18"/>
                      <w:lang w:val="ru-RU"/>
                    </w:rPr>
                    <m:t>nom</m:t>
                  </m:r>
                </m:sub>
              </m:sSub>
            </m:oMath>
          </w:p>
        </w:tc>
        <w:tc>
          <w:tcPr>
            <w:tcW w:w="0" w:type="auto"/>
            <w:vAlign w:val="center"/>
            <w:hideMark/>
          </w:tcPr>
          <w:p w14:paraId="31902A22" w14:textId="18B9C434"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0.8–1.0·</w:t>
            </w:r>
            <m:oMath>
              <m:sSub>
                <m:sSubPr>
                  <m:ctrlPr>
                    <w:rPr>
                      <w:rFonts w:ascii="Cambria Math" w:hAnsi="Cambria Math"/>
                      <w:sz w:val="18"/>
                      <w:szCs w:val="18"/>
                      <w:lang w:val="ru-RU"/>
                    </w:rPr>
                  </m:ctrlPr>
                </m:sSubPr>
                <m:e>
                  <m:r>
                    <w:rPr>
                      <w:rFonts w:ascii="Cambria Math" w:hAnsi="Cambria Math"/>
                      <w:sz w:val="18"/>
                      <w:szCs w:val="18"/>
                      <w:lang w:val="ru-RU"/>
                    </w:rPr>
                    <m:t>P</m:t>
                  </m:r>
                </m:e>
                <m:sub>
                  <m:r>
                    <m:rPr>
                      <m:nor/>
                    </m:rPr>
                    <w:rPr>
                      <w:sz w:val="18"/>
                      <w:szCs w:val="18"/>
                      <w:lang w:val="ru-RU"/>
                    </w:rPr>
                    <m:t>nom</m:t>
                  </m:r>
                </m:sub>
              </m:sSub>
            </m:oMath>
          </w:p>
        </w:tc>
        <w:tc>
          <w:tcPr>
            <w:tcW w:w="2299" w:type="dxa"/>
            <w:vAlign w:val="center"/>
            <w:hideMark/>
          </w:tcPr>
          <w:p w14:paraId="02AD3505"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Per</w:t>
            </w:r>
            <w:proofErr w:type="spellEnd"/>
            <w:r w:rsidRPr="00634DFB">
              <w:rPr>
                <w:sz w:val="18"/>
                <w:szCs w:val="18"/>
                <w:lang w:val="ru-RU"/>
              </w:rPr>
              <w:t xml:space="preserve"> ESS </w:t>
            </w:r>
            <w:proofErr w:type="spellStart"/>
            <w:r w:rsidRPr="00634DFB">
              <w:rPr>
                <w:sz w:val="18"/>
                <w:szCs w:val="18"/>
                <w:lang w:val="ru-RU"/>
              </w:rPr>
              <w:t>node</w:t>
            </w:r>
            <w:proofErr w:type="spellEnd"/>
          </w:p>
        </w:tc>
      </w:tr>
      <w:tr w:rsidR="00F36125" w:rsidRPr="00634DFB" w14:paraId="29E80045" w14:textId="77777777" w:rsidTr="00930EB9">
        <w:trPr>
          <w:jc w:val="center"/>
        </w:trPr>
        <w:tc>
          <w:tcPr>
            <w:tcW w:w="0" w:type="auto"/>
            <w:vAlign w:val="center"/>
            <w:hideMark/>
          </w:tcPr>
          <w:p w14:paraId="71F04125"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Storage </w:t>
            </w:r>
            <w:proofErr w:type="spellStart"/>
            <w:r w:rsidRPr="00634DFB">
              <w:rPr>
                <w:sz w:val="18"/>
                <w:szCs w:val="18"/>
                <w:lang w:val="ru-RU"/>
              </w:rPr>
              <w:t>capacity</w:t>
            </w:r>
            <w:proofErr w:type="spellEnd"/>
          </w:p>
        </w:tc>
        <w:tc>
          <w:tcPr>
            <w:tcW w:w="0" w:type="auto"/>
            <w:vAlign w:val="center"/>
            <w:hideMark/>
          </w:tcPr>
          <w:p w14:paraId="290011CB" w14:textId="4A873286" w:rsidR="00F36125" w:rsidRPr="00634DFB" w:rsidRDefault="00000000" w:rsidP="00634DFB">
            <w:pPr>
              <w:pStyle w:val="Text"/>
              <w:spacing w:line="240" w:lineRule="auto"/>
              <w:ind w:firstLine="0"/>
              <w:jc w:val="center"/>
              <w:rPr>
                <w:b/>
                <w:bCs/>
                <w:sz w:val="18"/>
                <w:szCs w:val="18"/>
                <w:lang w:val="ru-RU"/>
              </w:rPr>
            </w:pPr>
            <m:oMathPara>
              <m:oMath>
                <m:sSub>
                  <m:sSubPr>
                    <m:ctrlPr>
                      <w:rPr>
                        <w:rFonts w:ascii="Cambria Math" w:hAnsi="Cambria Math"/>
                        <w:b/>
                        <w:bCs/>
                        <w:sz w:val="18"/>
                        <w:szCs w:val="18"/>
                        <w:lang w:val="ru-RU"/>
                      </w:rPr>
                    </m:ctrlPr>
                  </m:sSubPr>
                  <m:e>
                    <m:r>
                      <m:rPr>
                        <m:sty m:val="bi"/>
                      </m:rPr>
                      <w:rPr>
                        <w:rFonts w:ascii="Cambria Math" w:hAnsi="Cambria Math"/>
                        <w:sz w:val="18"/>
                        <w:szCs w:val="18"/>
                        <w:lang w:val="ru-RU"/>
                      </w:rPr>
                      <m:t>E</m:t>
                    </m:r>
                  </m:e>
                  <m:sub>
                    <m:r>
                      <m:rPr>
                        <m:nor/>
                      </m:rPr>
                      <w:rPr>
                        <w:b/>
                        <w:bCs/>
                        <w:sz w:val="18"/>
                        <w:szCs w:val="18"/>
                        <w:lang w:val="ru-RU"/>
                      </w:rPr>
                      <m:t>max</m:t>
                    </m:r>
                  </m:sub>
                </m:sSub>
              </m:oMath>
            </m:oMathPara>
          </w:p>
        </w:tc>
        <w:tc>
          <w:tcPr>
            <w:tcW w:w="0" w:type="auto"/>
            <w:vAlign w:val="center"/>
            <w:hideMark/>
          </w:tcPr>
          <w:p w14:paraId="02B75B36" w14:textId="7B6FF881"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4 </w:t>
            </w:r>
            <w:proofErr w:type="spellStart"/>
            <w:r w:rsidRPr="00634DFB">
              <w:rPr>
                <w:sz w:val="18"/>
                <w:szCs w:val="18"/>
                <w:lang w:val="ru-RU"/>
              </w:rPr>
              <w:t>hours</w:t>
            </w:r>
            <w:proofErr w:type="spellEnd"/>
            <w:r w:rsidRPr="00634DFB">
              <w:rPr>
                <w:sz w:val="18"/>
                <w:szCs w:val="18"/>
                <w:lang w:val="ru-RU"/>
              </w:rPr>
              <w:t xml:space="preserve"> </w:t>
            </w:r>
            <w:proofErr w:type="spellStart"/>
            <w:r w:rsidRPr="00634DFB">
              <w:rPr>
                <w:sz w:val="18"/>
                <w:szCs w:val="18"/>
                <w:lang w:val="ru-RU"/>
              </w:rPr>
              <w:t>at</w:t>
            </w:r>
            <w:proofErr w:type="spellEnd"/>
            <w:r w:rsidRPr="00634DFB">
              <w:rPr>
                <w:sz w:val="18"/>
                <w:szCs w:val="18"/>
                <w:lang w:val="ru-RU"/>
              </w:rPr>
              <w:t xml:space="preserve"> </w:t>
            </w:r>
            <m:oMath>
              <m:sSub>
                <m:sSubPr>
                  <m:ctrlPr>
                    <w:rPr>
                      <w:rFonts w:ascii="Cambria Math" w:hAnsi="Cambria Math"/>
                      <w:sz w:val="18"/>
                      <w:szCs w:val="18"/>
                      <w:lang w:val="ru-RU"/>
                    </w:rPr>
                  </m:ctrlPr>
                </m:sSubPr>
                <m:e>
                  <m:r>
                    <w:rPr>
                      <w:rFonts w:ascii="Cambria Math" w:hAnsi="Cambria Math"/>
                      <w:sz w:val="18"/>
                      <w:szCs w:val="18"/>
                      <w:lang w:val="ru-RU"/>
                    </w:rPr>
                    <m:t>P</m:t>
                  </m:r>
                </m:e>
                <m:sub>
                  <m:r>
                    <m:rPr>
                      <m:nor/>
                    </m:rPr>
                    <w:rPr>
                      <w:sz w:val="18"/>
                      <w:szCs w:val="18"/>
                      <w:lang w:val="ru-RU"/>
                    </w:rPr>
                    <m:t>nom</m:t>
                  </m:r>
                </m:sub>
              </m:sSub>
            </m:oMath>
          </w:p>
        </w:tc>
        <w:tc>
          <w:tcPr>
            <w:tcW w:w="0" w:type="auto"/>
            <w:vAlign w:val="center"/>
            <w:hideMark/>
          </w:tcPr>
          <w:p w14:paraId="4F32DE83" w14:textId="5C155D76"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2–6 </w:t>
            </w:r>
            <w:proofErr w:type="spellStart"/>
            <w:r w:rsidRPr="00634DFB">
              <w:rPr>
                <w:sz w:val="18"/>
                <w:szCs w:val="18"/>
                <w:lang w:val="ru-RU"/>
              </w:rPr>
              <w:t>hours</w:t>
            </w:r>
            <w:proofErr w:type="spellEnd"/>
            <w:r w:rsidRPr="00634DFB">
              <w:rPr>
                <w:sz w:val="18"/>
                <w:szCs w:val="18"/>
                <w:lang w:val="ru-RU"/>
              </w:rPr>
              <w:t xml:space="preserve"> </w:t>
            </w:r>
            <w:proofErr w:type="spellStart"/>
            <w:r w:rsidRPr="00634DFB">
              <w:rPr>
                <w:sz w:val="18"/>
                <w:szCs w:val="18"/>
                <w:lang w:val="ru-RU"/>
              </w:rPr>
              <w:t>at</w:t>
            </w:r>
            <w:proofErr w:type="spellEnd"/>
            <w:r w:rsidRPr="00634DFB">
              <w:rPr>
                <w:sz w:val="18"/>
                <w:szCs w:val="18"/>
                <w:lang w:val="ru-RU"/>
              </w:rPr>
              <w:t xml:space="preserve"> </w:t>
            </w:r>
            <m:oMath>
              <m:sSub>
                <m:sSubPr>
                  <m:ctrlPr>
                    <w:rPr>
                      <w:rFonts w:ascii="Cambria Math" w:hAnsi="Cambria Math"/>
                      <w:sz w:val="18"/>
                      <w:szCs w:val="18"/>
                      <w:lang w:val="ru-RU"/>
                    </w:rPr>
                  </m:ctrlPr>
                </m:sSubPr>
                <m:e>
                  <m:r>
                    <w:rPr>
                      <w:rFonts w:ascii="Cambria Math" w:hAnsi="Cambria Math"/>
                      <w:sz w:val="18"/>
                      <w:szCs w:val="18"/>
                      <w:lang w:val="ru-RU"/>
                    </w:rPr>
                    <m:t>P</m:t>
                  </m:r>
                </m:e>
                <m:sub>
                  <m:r>
                    <m:rPr>
                      <m:nor/>
                    </m:rPr>
                    <w:rPr>
                      <w:sz w:val="18"/>
                      <w:szCs w:val="18"/>
                      <w:lang w:val="ru-RU"/>
                    </w:rPr>
                    <m:t>nom</m:t>
                  </m:r>
                </m:sub>
              </m:sSub>
            </m:oMath>
          </w:p>
        </w:tc>
        <w:tc>
          <w:tcPr>
            <w:tcW w:w="2299" w:type="dxa"/>
            <w:vAlign w:val="center"/>
            <w:hideMark/>
          </w:tcPr>
          <w:p w14:paraId="6D8F34C3"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Discharge</w:t>
            </w:r>
            <w:proofErr w:type="spellEnd"/>
            <w:r w:rsidRPr="00634DFB">
              <w:rPr>
                <w:sz w:val="18"/>
                <w:szCs w:val="18"/>
                <w:lang w:val="ru-RU"/>
              </w:rPr>
              <w:t xml:space="preserve"> </w:t>
            </w:r>
            <w:proofErr w:type="spellStart"/>
            <w:r w:rsidRPr="00634DFB">
              <w:rPr>
                <w:sz w:val="18"/>
                <w:szCs w:val="18"/>
                <w:lang w:val="ru-RU"/>
              </w:rPr>
              <w:t>duration</w:t>
            </w:r>
            <w:proofErr w:type="spellEnd"/>
          </w:p>
        </w:tc>
      </w:tr>
      <w:tr w:rsidR="00F36125" w:rsidRPr="00634DFB" w14:paraId="5F13D5FD" w14:textId="77777777" w:rsidTr="00930EB9">
        <w:trPr>
          <w:jc w:val="center"/>
        </w:trPr>
        <w:tc>
          <w:tcPr>
            <w:tcW w:w="0" w:type="auto"/>
            <w:vAlign w:val="center"/>
            <w:hideMark/>
          </w:tcPr>
          <w:p w14:paraId="445F3267"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Nominal</w:t>
            </w:r>
            <w:proofErr w:type="spellEnd"/>
            <w:r w:rsidRPr="00634DFB">
              <w:rPr>
                <w:sz w:val="18"/>
                <w:szCs w:val="18"/>
                <w:lang w:val="ru-RU"/>
              </w:rPr>
              <w:t xml:space="preserve"> </w:t>
            </w:r>
            <w:proofErr w:type="spellStart"/>
            <w:r w:rsidRPr="00634DFB">
              <w:rPr>
                <w:sz w:val="18"/>
                <w:szCs w:val="18"/>
                <w:lang w:val="ru-RU"/>
              </w:rPr>
              <w:t>node</w:t>
            </w:r>
            <w:proofErr w:type="spellEnd"/>
            <w:r w:rsidRPr="00634DFB">
              <w:rPr>
                <w:sz w:val="18"/>
                <w:szCs w:val="18"/>
                <w:lang w:val="ru-RU"/>
              </w:rPr>
              <w:t xml:space="preserve"> </w:t>
            </w:r>
            <w:proofErr w:type="spellStart"/>
            <w:r w:rsidRPr="00634DFB">
              <w:rPr>
                <w:sz w:val="18"/>
                <w:szCs w:val="18"/>
                <w:lang w:val="ru-RU"/>
              </w:rPr>
              <w:t>voltage</w:t>
            </w:r>
            <w:proofErr w:type="spellEnd"/>
          </w:p>
        </w:tc>
        <w:tc>
          <w:tcPr>
            <w:tcW w:w="0" w:type="auto"/>
            <w:vAlign w:val="center"/>
            <w:hideMark/>
          </w:tcPr>
          <w:p w14:paraId="131D835F" w14:textId="73E9B265" w:rsidR="00F36125" w:rsidRPr="00634DFB" w:rsidRDefault="00000000" w:rsidP="00634DFB">
            <w:pPr>
              <w:pStyle w:val="Text"/>
              <w:spacing w:line="240" w:lineRule="auto"/>
              <w:ind w:firstLine="0"/>
              <w:jc w:val="center"/>
              <w:rPr>
                <w:b/>
                <w:bCs/>
                <w:sz w:val="18"/>
                <w:szCs w:val="18"/>
                <w:lang w:val="ru-RU"/>
              </w:rPr>
            </w:pPr>
            <m:oMathPara>
              <m:oMath>
                <m:sSub>
                  <m:sSubPr>
                    <m:ctrlPr>
                      <w:rPr>
                        <w:rFonts w:ascii="Cambria Math" w:hAnsi="Cambria Math"/>
                        <w:b/>
                        <w:bCs/>
                        <w:sz w:val="18"/>
                        <w:szCs w:val="18"/>
                        <w:lang w:val="ru-RU"/>
                      </w:rPr>
                    </m:ctrlPr>
                  </m:sSubPr>
                  <m:e>
                    <m:r>
                      <m:rPr>
                        <m:sty m:val="bi"/>
                      </m:rPr>
                      <w:rPr>
                        <w:rFonts w:ascii="Cambria Math" w:hAnsi="Cambria Math"/>
                        <w:sz w:val="18"/>
                        <w:szCs w:val="18"/>
                        <w:lang w:val="ru-RU"/>
                      </w:rPr>
                      <m:t>U</m:t>
                    </m:r>
                  </m:e>
                  <m:sub>
                    <m:r>
                      <m:rPr>
                        <m:nor/>
                      </m:rPr>
                      <w:rPr>
                        <w:b/>
                        <w:bCs/>
                        <w:sz w:val="18"/>
                        <w:szCs w:val="18"/>
                        <w:lang w:val="ru-RU"/>
                      </w:rPr>
                      <m:t>nom</m:t>
                    </m:r>
                  </m:sub>
                </m:sSub>
              </m:oMath>
            </m:oMathPara>
          </w:p>
        </w:tc>
        <w:tc>
          <w:tcPr>
            <w:tcW w:w="0" w:type="auto"/>
            <w:vAlign w:val="center"/>
            <w:hideMark/>
          </w:tcPr>
          <w:p w14:paraId="6E4580D7"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110–500 </w:t>
            </w:r>
            <w:proofErr w:type="spellStart"/>
            <w:r w:rsidRPr="00634DFB">
              <w:rPr>
                <w:sz w:val="18"/>
                <w:szCs w:val="18"/>
                <w:lang w:val="ru-RU"/>
              </w:rPr>
              <w:t>kV</w:t>
            </w:r>
            <w:proofErr w:type="spellEnd"/>
          </w:p>
        </w:tc>
        <w:tc>
          <w:tcPr>
            <w:tcW w:w="0" w:type="auto"/>
            <w:vAlign w:val="center"/>
            <w:hideMark/>
          </w:tcPr>
          <w:p w14:paraId="7B6CB42F"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110–500 </w:t>
            </w:r>
            <w:proofErr w:type="spellStart"/>
            <w:r w:rsidRPr="00634DFB">
              <w:rPr>
                <w:sz w:val="18"/>
                <w:szCs w:val="18"/>
                <w:lang w:val="ru-RU"/>
              </w:rPr>
              <w:t>kV</w:t>
            </w:r>
            <w:proofErr w:type="spellEnd"/>
          </w:p>
        </w:tc>
        <w:tc>
          <w:tcPr>
            <w:tcW w:w="2299" w:type="dxa"/>
            <w:vAlign w:val="center"/>
            <w:hideMark/>
          </w:tcPr>
          <w:p w14:paraId="1449677D"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By </w:t>
            </w:r>
            <w:proofErr w:type="spellStart"/>
            <w:r w:rsidRPr="00634DFB">
              <w:rPr>
                <w:sz w:val="18"/>
                <w:szCs w:val="18"/>
                <w:lang w:val="ru-RU"/>
              </w:rPr>
              <w:t>network</w:t>
            </w:r>
            <w:proofErr w:type="spellEnd"/>
            <w:r w:rsidRPr="00634DFB">
              <w:rPr>
                <w:sz w:val="18"/>
                <w:szCs w:val="18"/>
                <w:lang w:val="ru-RU"/>
              </w:rPr>
              <w:t xml:space="preserve"> </w:t>
            </w:r>
            <w:proofErr w:type="spellStart"/>
            <w:r w:rsidRPr="00634DFB">
              <w:rPr>
                <w:sz w:val="18"/>
                <w:szCs w:val="18"/>
                <w:lang w:val="ru-RU"/>
              </w:rPr>
              <w:t>class</w:t>
            </w:r>
            <w:proofErr w:type="spellEnd"/>
          </w:p>
        </w:tc>
      </w:tr>
      <w:tr w:rsidR="00F36125" w:rsidRPr="00634DFB" w14:paraId="2C83B762" w14:textId="77777777" w:rsidTr="00930EB9">
        <w:trPr>
          <w:jc w:val="center"/>
        </w:trPr>
        <w:tc>
          <w:tcPr>
            <w:tcW w:w="0" w:type="auto"/>
            <w:vAlign w:val="center"/>
            <w:hideMark/>
          </w:tcPr>
          <w:p w14:paraId="170531DD"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Voltage</w:t>
            </w:r>
            <w:proofErr w:type="spellEnd"/>
            <w:r w:rsidRPr="00634DFB">
              <w:rPr>
                <w:sz w:val="18"/>
                <w:szCs w:val="18"/>
                <w:lang w:val="ru-RU"/>
              </w:rPr>
              <w:t xml:space="preserve"> </w:t>
            </w:r>
            <w:proofErr w:type="spellStart"/>
            <w:r w:rsidRPr="00634DFB">
              <w:rPr>
                <w:sz w:val="18"/>
                <w:szCs w:val="18"/>
                <w:lang w:val="ru-RU"/>
              </w:rPr>
              <w:t>tolerance</w:t>
            </w:r>
            <w:proofErr w:type="spellEnd"/>
          </w:p>
        </w:tc>
        <w:tc>
          <w:tcPr>
            <w:tcW w:w="0" w:type="auto"/>
            <w:vAlign w:val="center"/>
            <w:hideMark/>
          </w:tcPr>
          <w:p w14:paraId="3D56B4CA" w14:textId="77777777" w:rsidR="00F36125" w:rsidRPr="00634DFB" w:rsidRDefault="00F36125" w:rsidP="00634DFB">
            <w:pPr>
              <w:pStyle w:val="Text"/>
              <w:spacing w:line="240" w:lineRule="auto"/>
              <w:ind w:firstLine="0"/>
              <w:jc w:val="center"/>
              <w:rPr>
                <w:b/>
                <w:bCs/>
                <w:sz w:val="18"/>
                <w:szCs w:val="18"/>
                <w:lang w:val="ru-RU"/>
              </w:rPr>
            </w:pPr>
            <w:r w:rsidRPr="00634DFB">
              <w:rPr>
                <w:b/>
                <w:bCs/>
                <w:sz w:val="18"/>
                <w:szCs w:val="18"/>
                <w:lang w:val="ru-RU"/>
              </w:rPr>
              <w:t>–</w:t>
            </w:r>
          </w:p>
        </w:tc>
        <w:tc>
          <w:tcPr>
            <w:tcW w:w="0" w:type="auto"/>
            <w:vAlign w:val="center"/>
            <w:hideMark/>
          </w:tcPr>
          <w:p w14:paraId="42628A7D"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±5 %</w:t>
            </w:r>
          </w:p>
        </w:tc>
        <w:tc>
          <w:tcPr>
            <w:tcW w:w="0" w:type="auto"/>
            <w:vAlign w:val="center"/>
            <w:hideMark/>
          </w:tcPr>
          <w:p w14:paraId="5967C6D5"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±3–±7 %</w:t>
            </w:r>
          </w:p>
        </w:tc>
        <w:tc>
          <w:tcPr>
            <w:tcW w:w="2299" w:type="dxa"/>
            <w:vAlign w:val="center"/>
            <w:hideMark/>
          </w:tcPr>
          <w:p w14:paraId="7D43C905"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ΔV </w:t>
            </w:r>
            <w:proofErr w:type="spellStart"/>
            <w:r w:rsidRPr="00634DFB">
              <w:rPr>
                <w:sz w:val="18"/>
                <w:szCs w:val="18"/>
                <w:lang w:val="ru-RU"/>
              </w:rPr>
              <w:t>criterion</w:t>
            </w:r>
            <w:proofErr w:type="spellEnd"/>
          </w:p>
        </w:tc>
      </w:tr>
      <w:tr w:rsidR="00F36125" w:rsidRPr="00634DFB" w14:paraId="3403FC88" w14:textId="77777777" w:rsidTr="00930EB9">
        <w:trPr>
          <w:jc w:val="center"/>
        </w:trPr>
        <w:tc>
          <w:tcPr>
            <w:tcW w:w="0" w:type="auto"/>
            <w:vAlign w:val="center"/>
            <w:hideMark/>
          </w:tcPr>
          <w:p w14:paraId="541EFA19"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DC </w:t>
            </w:r>
            <w:proofErr w:type="spellStart"/>
            <w:r w:rsidRPr="00634DFB">
              <w:rPr>
                <w:sz w:val="18"/>
                <w:szCs w:val="18"/>
                <w:lang w:val="ru-RU"/>
              </w:rPr>
              <w:t>branch</w:t>
            </w:r>
            <w:proofErr w:type="spellEnd"/>
            <w:r w:rsidRPr="00634DFB">
              <w:rPr>
                <w:sz w:val="18"/>
                <w:szCs w:val="18"/>
                <w:lang w:val="ru-RU"/>
              </w:rPr>
              <w:t xml:space="preserve"> </w:t>
            </w:r>
            <w:proofErr w:type="spellStart"/>
            <w:r w:rsidRPr="00634DFB">
              <w:rPr>
                <w:sz w:val="18"/>
                <w:szCs w:val="18"/>
                <w:lang w:val="ru-RU"/>
              </w:rPr>
              <w:t>reactance</w:t>
            </w:r>
            <w:proofErr w:type="spellEnd"/>
          </w:p>
        </w:tc>
        <w:tc>
          <w:tcPr>
            <w:tcW w:w="0" w:type="auto"/>
            <w:vAlign w:val="center"/>
            <w:hideMark/>
          </w:tcPr>
          <w:p w14:paraId="436D8692" w14:textId="1964A7CE" w:rsidR="00F36125" w:rsidRPr="00634DFB" w:rsidRDefault="00000000" w:rsidP="00634DFB">
            <w:pPr>
              <w:pStyle w:val="Text"/>
              <w:spacing w:line="240" w:lineRule="auto"/>
              <w:ind w:firstLine="0"/>
              <w:jc w:val="center"/>
              <w:rPr>
                <w:b/>
                <w:bCs/>
                <w:sz w:val="18"/>
                <w:szCs w:val="18"/>
                <w:lang w:val="ru-RU"/>
              </w:rPr>
            </w:pPr>
            <m:oMathPara>
              <m:oMath>
                <m:sSub>
                  <m:sSubPr>
                    <m:ctrlPr>
                      <w:rPr>
                        <w:rFonts w:ascii="Cambria Math" w:hAnsi="Cambria Math"/>
                        <w:b/>
                        <w:bCs/>
                        <w:sz w:val="18"/>
                        <w:szCs w:val="18"/>
                        <w:lang w:val="ru-RU"/>
                      </w:rPr>
                    </m:ctrlPr>
                  </m:sSubPr>
                  <m:e>
                    <m:r>
                      <m:rPr>
                        <m:sty m:val="bi"/>
                      </m:rPr>
                      <w:rPr>
                        <w:rFonts w:ascii="Cambria Math" w:hAnsi="Cambria Math"/>
                        <w:sz w:val="18"/>
                        <w:szCs w:val="18"/>
                        <w:lang w:val="ru-RU"/>
                      </w:rPr>
                      <m:t>X</m:t>
                    </m:r>
                  </m:e>
                  <m:sub>
                    <m:r>
                      <m:rPr>
                        <m:sty m:val="bi"/>
                      </m:rPr>
                      <w:rPr>
                        <w:rFonts w:ascii="Cambria Math" w:hAnsi="Cambria Math"/>
                        <w:sz w:val="18"/>
                        <w:szCs w:val="18"/>
                        <w:lang w:val="ru-RU"/>
                      </w:rPr>
                      <m:t>ij</m:t>
                    </m:r>
                  </m:sub>
                </m:sSub>
              </m:oMath>
            </m:oMathPara>
          </w:p>
        </w:tc>
        <w:tc>
          <w:tcPr>
            <w:tcW w:w="0" w:type="auto"/>
            <w:vAlign w:val="center"/>
            <w:hideMark/>
          </w:tcPr>
          <w:p w14:paraId="5BD061AF"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according</w:t>
            </w:r>
            <w:proofErr w:type="spellEnd"/>
            <w:r w:rsidRPr="00634DFB">
              <w:rPr>
                <w:sz w:val="18"/>
                <w:szCs w:val="18"/>
                <w:lang w:val="ru-RU"/>
              </w:rPr>
              <w:t xml:space="preserve"> </w:t>
            </w:r>
            <w:proofErr w:type="spellStart"/>
            <w:r w:rsidRPr="00634DFB">
              <w:rPr>
                <w:sz w:val="18"/>
                <w:szCs w:val="18"/>
                <w:lang w:val="ru-RU"/>
              </w:rPr>
              <w:t>to</w:t>
            </w:r>
            <w:proofErr w:type="spellEnd"/>
            <w:r w:rsidRPr="00634DFB">
              <w:rPr>
                <w:sz w:val="18"/>
                <w:szCs w:val="18"/>
                <w:lang w:val="ru-RU"/>
              </w:rPr>
              <w:t xml:space="preserve"> </w:t>
            </w:r>
            <w:proofErr w:type="spellStart"/>
            <w:r w:rsidRPr="00634DFB">
              <w:rPr>
                <w:sz w:val="18"/>
                <w:szCs w:val="18"/>
                <w:lang w:val="ru-RU"/>
              </w:rPr>
              <w:t>the</w:t>
            </w:r>
            <w:proofErr w:type="spellEnd"/>
            <w:r w:rsidRPr="00634DFB">
              <w:rPr>
                <w:sz w:val="18"/>
                <w:szCs w:val="18"/>
                <w:lang w:val="ru-RU"/>
              </w:rPr>
              <w:t xml:space="preserve"> </w:t>
            </w:r>
            <w:proofErr w:type="spellStart"/>
            <w:r w:rsidRPr="00634DFB">
              <w:rPr>
                <w:sz w:val="18"/>
                <w:szCs w:val="18"/>
                <w:lang w:val="ru-RU"/>
              </w:rPr>
              <w:t>scheme</w:t>
            </w:r>
            <w:proofErr w:type="spellEnd"/>
          </w:p>
        </w:tc>
        <w:tc>
          <w:tcPr>
            <w:tcW w:w="0" w:type="auto"/>
            <w:vAlign w:val="center"/>
            <w:hideMark/>
          </w:tcPr>
          <w:p w14:paraId="64405DD3"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±10 %</w:t>
            </w:r>
          </w:p>
        </w:tc>
        <w:tc>
          <w:tcPr>
            <w:tcW w:w="2299" w:type="dxa"/>
            <w:vAlign w:val="center"/>
            <w:hideMark/>
          </w:tcPr>
          <w:p w14:paraId="145C4D09"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For </w:t>
            </w:r>
            <w:proofErr w:type="spellStart"/>
            <w:r w:rsidRPr="00634DFB">
              <w:rPr>
                <w:sz w:val="18"/>
                <w:szCs w:val="18"/>
                <w:lang w:val="ru-RU"/>
              </w:rPr>
              <w:t>eq</w:t>
            </w:r>
            <w:proofErr w:type="spellEnd"/>
            <w:r w:rsidRPr="00634DFB">
              <w:rPr>
                <w:sz w:val="18"/>
                <w:szCs w:val="18"/>
                <w:lang w:val="ru-RU"/>
              </w:rPr>
              <w:t>. (5)</w:t>
            </w:r>
          </w:p>
        </w:tc>
      </w:tr>
      <w:tr w:rsidR="00F36125" w:rsidRPr="00634DFB" w14:paraId="122574E7" w14:textId="77777777" w:rsidTr="00930EB9">
        <w:trPr>
          <w:jc w:val="center"/>
        </w:trPr>
        <w:tc>
          <w:tcPr>
            <w:tcW w:w="0" w:type="auto"/>
            <w:vAlign w:val="center"/>
            <w:hideMark/>
          </w:tcPr>
          <w:p w14:paraId="17FBB1F8"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Susceptance</w:t>
            </w:r>
            <w:proofErr w:type="spellEnd"/>
            <w:r w:rsidRPr="00634DFB">
              <w:rPr>
                <w:sz w:val="18"/>
                <w:szCs w:val="18"/>
                <w:lang w:val="ru-RU"/>
              </w:rPr>
              <w:t xml:space="preserve"> </w:t>
            </w:r>
            <w:proofErr w:type="spellStart"/>
            <w:r w:rsidRPr="00634DFB">
              <w:rPr>
                <w:sz w:val="18"/>
                <w:szCs w:val="18"/>
                <w:lang w:val="ru-RU"/>
              </w:rPr>
              <w:t>adjustment</w:t>
            </w:r>
            <w:proofErr w:type="spellEnd"/>
          </w:p>
        </w:tc>
        <w:tc>
          <w:tcPr>
            <w:tcW w:w="0" w:type="auto"/>
            <w:vAlign w:val="center"/>
            <w:hideMark/>
          </w:tcPr>
          <w:p w14:paraId="2DE7324A" w14:textId="10082951" w:rsidR="00F36125" w:rsidRPr="00634DFB" w:rsidRDefault="00000000" w:rsidP="00634DFB">
            <w:pPr>
              <w:pStyle w:val="Text"/>
              <w:spacing w:line="240" w:lineRule="auto"/>
              <w:ind w:firstLine="0"/>
              <w:jc w:val="center"/>
              <w:rPr>
                <w:b/>
                <w:bCs/>
                <w:sz w:val="18"/>
                <w:szCs w:val="18"/>
                <w:lang w:val="ru-RU"/>
              </w:rPr>
            </w:pPr>
            <m:oMathPara>
              <m:oMath>
                <m:sSubSup>
                  <m:sSubSupPr>
                    <m:ctrlPr>
                      <w:rPr>
                        <w:rFonts w:ascii="Cambria Math" w:hAnsi="Cambria Math"/>
                        <w:b/>
                        <w:bCs/>
                        <w:sz w:val="18"/>
                        <w:szCs w:val="18"/>
                        <w:lang w:val="ru-RU"/>
                      </w:rPr>
                    </m:ctrlPr>
                  </m:sSubSupPr>
                  <m:e>
                    <m:r>
                      <m:rPr>
                        <m:sty m:val="bi"/>
                      </m:rPr>
                      <w:rPr>
                        <w:rFonts w:ascii="Cambria Math" w:hAnsi="Cambria Math"/>
                        <w:sz w:val="18"/>
                        <w:szCs w:val="18"/>
                        <w:lang w:val="ru-RU"/>
                      </w:rPr>
                      <m:t>B</m:t>
                    </m:r>
                  </m:e>
                  <m:sub>
                    <m:r>
                      <m:rPr>
                        <m:sty m:val="bi"/>
                      </m:rPr>
                      <w:rPr>
                        <w:rFonts w:ascii="Cambria Math" w:hAnsi="Cambria Math"/>
                        <w:sz w:val="18"/>
                        <w:szCs w:val="18"/>
                        <w:lang w:val="ru-RU"/>
                      </w:rPr>
                      <m:t>i</m:t>
                    </m:r>
                  </m:sub>
                  <m:sup>
                    <m:r>
                      <m:rPr>
                        <m:nor/>
                      </m:rPr>
                      <w:rPr>
                        <w:b/>
                        <w:bCs/>
                        <w:sz w:val="18"/>
                        <w:szCs w:val="18"/>
                        <w:lang w:val="ru-RU"/>
                      </w:rPr>
                      <m:t>add</m:t>
                    </m:r>
                  </m:sup>
                </m:sSubSup>
              </m:oMath>
            </m:oMathPara>
          </w:p>
        </w:tc>
        <w:tc>
          <w:tcPr>
            <w:tcW w:w="0" w:type="auto"/>
            <w:vAlign w:val="center"/>
            <w:hideMark/>
          </w:tcPr>
          <w:p w14:paraId="19810765"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0–0.3 </w:t>
            </w:r>
            <w:proofErr w:type="spellStart"/>
            <w:r w:rsidRPr="00634DFB">
              <w:rPr>
                <w:sz w:val="18"/>
                <w:szCs w:val="18"/>
                <w:lang w:val="ru-RU"/>
              </w:rPr>
              <w:t>pu</w:t>
            </w:r>
            <w:proofErr w:type="spellEnd"/>
          </w:p>
        </w:tc>
        <w:tc>
          <w:tcPr>
            <w:tcW w:w="0" w:type="auto"/>
            <w:vAlign w:val="center"/>
            <w:hideMark/>
          </w:tcPr>
          <w:p w14:paraId="06055E40"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0–0.5 </w:t>
            </w:r>
            <w:proofErr w:type="spellStart"/>
            <w:r w:rsidRPr="00634DFB">
              <w:rPr>
                <w:sz w:val="18"/>
                <w:szCs w:val="18"/>
                <w:lang w:val="ru-RU"/>
              </w:rPr>
              <w:t>pu</w:t>
            </w:r>
            <w:proofErr w:type="spellEnd"/>
          </w:p>
        </w:tc>
        <w:tc>
          <w:tcPr>
            <w:tcW w:w="2299" w:type="dxa"/>
            <w:vAlign w:val="center"/>
            <w:hideMark/>
          </w:tcPr>
          <w:p w14:paraId="16FD6557"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For </w:t>
            </w:r>
            <w:proofErr w:type="spellStart"/>
            <w:r w:rsidRPr="00634DFB">
              <w:rPr>
                <w:sz w:val="18"/>
                <w:szCs w:val="18"/>
                <w:lang w:val="ru-RU"/>
              </w:rPr>
              <w:t>eq</w:t>
            </w:r>
            <w:proofErr w:type="spellEnd"/>
            <w:r w:rsidRPr="00634DFB">
              <w:rPr>
                <w:sz w:val="18"/>
                <w:szCs w:val="18"/>
                <w:lang w:val="ru-RU"/>
              </w:rPr>
              <w:t xml:space="preserve">. (6), </w:t>
            </w:r>
            <w:proofErr w:type="spellStart"/>
            <w:r w:rsidRPr="00634DFB">
              <w:rPr>
                <w:sz w:val="18"/>
                <w:szCs w:val="18"/>
                <w:lang w:val="ru-RU"/>
              </w:rPr>
              <w:t>local</w:t>
            </w:r>
            <w:proofErr w:type="spellEnd"/>
            <w:r w:rsidRPr="00634DFB">
              <w:rPr>
                <w:sz w:val="18"/>
                <w:szCs w:val="18"/>
                <w:lang w:val="ru-RU"/>
              </w:rPr>
              <w:t xml:space="preserve"> </w:t>
            </w:r>
            <w:proofErr w:type="spellStart"/>
            <w:r w:rsidRPr="00634DFB">
              <w:rPr>
                <w:sz w:val="18"/>
                <w:szCs w:val="18"/>
                <w:lang w:val="ru-RU"/>
              </w:rPr>
              <w:t>support</w:t>
            </w:r>
            <w:proofErr w:type="spellEnd"/>
          </w:p>
        </w:tc>
      </w:tr>
      <w:tr w:rsidR="00F36125" w:rsidRPr="00634DFB" w14:paraId="767B903D" w14:textId="77777777" w:rsidTr="00930EB9">
        <w:trPr>
          <w:jc w:val="center"/>
        </w:trPr>
        <w:tc>
          <w:tcPr>
            <w:tcW w:w="0" w:type="auto"/>
            <w:vAlign w:val="center"/>
            <w:hideMark/>
          </w:tcPr>
          <w:p w14:paraId="42028188"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Integration</w:t>
            </w:r>
            <w:proofErr w:type="spellEnd"/>
            <w:r w:rsidRPr="00634DFB">
              <w:rPr>
                <w:sz w:val="18"/>
                <w:szCs w:val="18"/>
                <w:lang w:val="ru-RU"/>
              </w:rPr>
              <w:t xml:space="preserve"> </w:t>
            </w:r>
            <w:proofErr w:type="spellStart"/>
            <w:r w:rsidRPr="00634DFB">
              <w:rPr>
                <w:sz w:val="18"/>
                <w:szCs w:val="18"/>
                <w:lang w:val="ru-RU"/>
              </w:rPr>
              <w:t>step</w:t>
            </w:r>
            <w:proofErr w:type="spellEnd"/>
          </w:p>
        </w:tc>
        <w:tc>
          <w:tcPr>
            <w:tcW w:w="0" w:type="auto"/>
            <w:vAlign w:val="center"/>
            <w:hideMark/>
          </w:tcPr>
          <w:p w14:paraId="75302069" w14:textId="77777777" w:rsidR="00F36125" w:rsidRPr="00634DFB" w:rsidRDefault="00F36125" w:rsidP="00634DFB">
            <w:pPr>
              <w:pStyle w:val="Text"/>
              <w:spacing w:line="240" w:lineRule="auto"/>
              <w:ind w:firstLine="0"/>
              <w:jc w:val="center"/>
              <w:rPr>
                <w:b/>
                <w:bCs/>
                <w:sz w:val="18"/>
                <w:szCs w:val="18"/>
                <w:lang w:val="ru-RU"/>
              </w:rPr>
            </w:pPr>
            <w:proofErr w:type="spellStart"/>
            <w:r w:rsidRPr="00634DFB">
              <w:rPr>
                <w:b/>
                <w:bCs/>
                <w:sz w:val="18"/>
                <w:szCs w:val="18"/>
                <w:lang w:val="ru-RU"/>
              </w:rPr>
              <w:t>Δt</w:t>
            </w:r>
            <w:proofErr w:type="spellEnd"/>
          </w:p>
        </w:tc>
        <w:tc>
          <w:tcPr>
            <w:tcW w:w="0" w:type="auto"/>
            <w:vAlign w:val="center"/>
            <w:hideMark/>
          </w:tcPr>
          <w:p w14:paraId="52584C76"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1 h</w:t>
            </w:r>
          </w:p>
        </w:tc>
        <w:tc>
          <w:tcPr>
            <w:tcW w:w="0" w:type="auto"/>
            <w:vAlign w:val="center"/>
            <w:hideMark/>
          </w:tcPr>
          <w:p w14:paraId="207A2F80" w14:textId="77777777" w:rsidR="00F36125" w:rsidRPr="00634DFB" w:rsidRDefault="00F36125" w:rsidP="00634DFB">
            <w:pPr>
              <w:pStyle w:val="Text"/>
              <w:spacing w:line="240" w:lineRule="auto"/>
              <w:ind w:firstLine="0"/>
              <w:jc w:val="center"/>
              <w:rPr>
                <w:sz w:val="18"/>
                <w:szCs w:val="18"/>
                <w:lang w:val="ru-RU"/>
              </w:rPr>
            </w:pPr>
            <w:r w:rsidRPr="00634DFB">
              <w:rPr>
                <w:sz w:val="18"/>
                <w:szCs w:val="18"/>
                <w:lang w:val="ru-RU"/>
              </w:rPr>
              <w:t xml:space="preserve">15 </w:t>
            </w:r>
            <w:proofErr w:type="spellStart"/>
            <w:r w:rsidRPr="00634DFB">
              <w:rPr>
                <w:sz w:val="18"/>
                <w:szCs w:val="18"/>
                <w:lang w:val="ru-RU"/>
              </w:rPr>
              <w:t>min</w:t>
            </w:r>
            <w:proofErr w:type="spellEnd"/>
            <w:r w:rsidRPr="00634DFB">
              <w:rPr>
                <w:sz w:val="18"/>
                <w:szCs w:val="18"/>
                <w:lang w:val="ru-RU"/>
              </w:rPr>
              <w:t>–1 h</w:t>
            </w:r>
          </w:p>
        </w:tc>
        <w:tc>
          <w:tcPr>
            <w:tcW w:w="2299" w:type="dxa"/>
            <w:vAlign w:val="center"/>
            <w:hideMark/>
          </w:tcPr>
          <w:p w14:paraId="0A7CF2CE" w14:textId="77777777" w:rsidR="00F36125" w:rsidRPr="00634DFB" w:rsidRDefault="00F36125" w:rsidP="00634DFB">
            <w:pPr>
              <w:pStyle w:val="Text"/>
              <w:spacing w:line="240" w:lineRule="auto"/>
              <w:ind w:firstLine="0"/>
              <w:jc w:val="center"/>
              <w:rPr>
                <w:sz w:val="18"/>
                <w:szCs w:val="18"/>
                <w:lang w:val="ru-RU"/>
              </w:rPr>
            </w:pPr>
            <w:proofErr w:type="spellStart"/>
            <w:r w:rsidRPr="00634DFB">
              <w:rPr>
                <w:sz w:val="18"/>
                <w:szCs w:val="18"/>
                <w:lang w:val="ru-RU"/>
              </w:rPr>
              <w:t>Quasi-dynamic</w:t>
            </w:r>
            <w:proofErr w:type="spellEnd"/>
            <w:r w:rsidRPr="00634DFB">
              <w:rPr>
                <w:sz w:val="18"/>
                <w:szCs w:val="18"/>
                <w:lang w:val="ru-RU"/>
              </w:rPr>
              <w:t xml:space="preserve"> </w:t>
            </w:r>
            <w:proofErr w:type="spellStart"/>
            <w:r w:rsidRPr="00634DFB">
              <w:rPr>
                <w:sz w:val="18"/>
                <w:szCs w:val="18"/>
                <w:lang w:val="ru-RU"/>
              </w:rPr>
              <w:t>profiles</w:t>
            </w:r>
            <w:proofErr w:type="spellEnd"/>
          </w:p>
        </w:tc>
      </w:tr>
    </w:tbl>
    <w:p w14:paraId="7D597855" w14:textId="77777777" w:rsidR="00F36125" w:rsidRPr="00634DFB" w:rsidRDefault="00F36125" w:rsidP="00634DFB">
      <w:pPr>
        <w:pStyle w:val="Text"/>
        <w:spacing w:line="240" w:lineRule="auto"/>
        <w:ind w:firstLine="284"/>
        <w:rPr>
          <w:lang w:val="ru-RU"/>
        </w:rPr>
      </w:pPr>
    </w:p>
    <w:p w14:paraId="33E399F1" w14:textId="7BC4D19E" w:rsidR="00F36125" w:rsidRPr="00634DFB" w:rsidRDefault="00F36125" w:rsidP="00634DFB">
      <w:pPr>
        <w:pStyle w:val="Text"/>
        <w:spacing w:line="240" w:lineRule="auto"/>
        <w:ind w:firstLine="0"/>
        <w:jc w:val="center"/>
      </w:pPr>
      <w:r w:rsidRPr="00634DFB">
        <w:rPr>
          <w:b/>
          <w:lang w:eastAsia="de-DE"/>
        </w:rPr>
        <w:t>TABLE</w:t>
      </w:r>
      <w:r w:rsidRPr="00634DFB">
        <w:rPr>
          <w:b/>
          <w:bCs/>
        </w:rPr>
        <w:t xml:space="preserve"> 7. </w:t>
      </w:r>
      <w:r w:rsidRPr="00634DFB">
        <w:t>ESS candidate placement nodes and expected effects on power flows and voltages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8"/>
        <w:gridCol w:w="1045"/>
        <w:gridCol w:w="1936"/>
        <w:gridCol w:w="2458"/>
        <w:gridCol w:w="1225"/>
      </w:tblGrid>
      <w:tr w:rsidR="00F36125" w:rsidRPr="00634DFB" w14:paraId="430E4C07" w14:textId="77777777" w:rsidTr="00634DFB">
        <w:trPr>
          <w:tblHeader/>
          <w:jc w:val="center"/>
        </w:trPr>
        <w:tc>
          <w:tcPr>
            <w:tcW w:w="2368" w:type="dxa"/>
            <w:vAlign w:val="center"/>
            <w:hideMark/>
          </w:tcPr>
          <w:p w14:paraId="3D958F3D" w14:textId="77777777" w:rsidR="00F36125" w:rsidRPr="00634DFB" w:rsidRDefault="00F36125" w:rsidP="00634DFB">
            <w:pPr>
              <w:pStyle w:val="Text"/>
              <w:spacing w:line="240" w:lineRule="auto"/>
              <w:ind w:firstLine="0"/>
              <w:jc w:val="center"/>
              <w:rPr>
                <w:b/>
                <w:bCs/>
                <w:sz w:val="18"/>
                <w:szCs w:val="18"/>
              </w:rPr>
            </w:pPr>
            <w:r w:rsidRPr="00634DFB">
              <w:rPr>
                <w:b/>
                <w:bCs/>
                <w:sz w:val="18"/>
                <w:szCs w:val="18"/>
              </w:rPr>
              <w:t>Indicator</w:t>
            </w:r>
          </w:p>
        </w:tc>
        <w:tc>
          <w:tcPr>
            <w:tcW w:w="0" w:type="auto"/>
            <w:vAlign w:val="center"/>
            <w:hideMark/>
          </w:tcPr>
          <w:p w14:paraId="2DA4E516" w14:textId="77777777" w:rsidR="00F36125" w:rsidRPr="00634DFB" w:rsidRDefault="00F36125" w:rsidP="00634DFB">
            <w:pPr>
              <w:pStyle w:val="Text"/>
              <w:spacing w:line="240" w:lineRule="auto"/>
              <w:ind w:firstLine="0"/>
              <w:jc w:val="center"/>
              <w:rPr>
                <w:b/>
                <w:bCs/>
                <w:sz w:val="18"/>
                <w:szCs w:val="18"/>
              </w:rPr>
            </w:pPr>
            <w:r w:rsidRPr="00634DFB">
              <w:rPr>
                <w:b/>
                <w:bCs/>
                <w:sz w:val="18"/>
                <w:szCs w:val="18"/>
              </w:rPr>
              <w:t>Unit</w:t>
            </w:r>
          </w:p>
        </w:tc>
        <w:tc>
          <w:tcPr>
            <w:tcW w:w="0" w:type="auto"/>
            <w:vAlign w:val="center"/>
            <w:hideMark/>
          </w:tcPr>
          <w:p w14:paraId="29F5533C" w14:textId="77777777" w:rsidR="00F36125" w:rsidRPr="00634DFB" w:rsidRDefault="00F36125" w:rsidP="00634DFB">
            <w:pPr>
              <w:pStyle w:val="Text"/>
              <w:spacing w:line="240" w:lineRule="auto"/>
              <w:ind w:firstLine="0"/>
              <w:jc w:val="center"/>
              <w:rPr>
                <w:b/>
                <w:bCs/>
                <w:sz w:val="18"/>
                <w:szCs w:val="18"/>
              </w:rPr>
            </w:pPr>
            <w:r w:rsidRPr="00634DFB">
              <w:rPr>
                <w:b/>
                <w:bCs/>
                <w:sz w:val="18"/>
                <w:szCs w:val="18"/>
              </w:rPr>
              <w:t>Scenario A: without ESS</w:t>
            </w:r>
          </w:p>
        </w:tc>
        <w:tc>
          <w:tcPr>
            <w:tcW w:w="0" w:type="auto"/>
            <w:vAlign w:val="center"/>
            <w:hideMark/>
          </w:tcPr>
          <w:p w14:paraId="43870142" w14:textId="77777777" w:rsidR="00F36125" w:rsidRPr="00634DFB" w:rsidRDefault="00F36125" w:rsidP="00634DFB">
            <w:pPr>
              <w:pStyle w:val="Text"/>
              <w:spacing w:line="240" w:lineRule="auto"/>
              <w:ind w:firstLine="0"/>
              <w:jc w:val="center"/>
              <w:rPr>
                <w:b/>
                <w:bCs/>
                <w:sz w:val="18"/>
                <w:szCs w:val="18"/>
              </w:rPr>
            </w:pPr>
            <w:r w:rsidRPr="00634DFB">
              <w:rPr>
                <w:b/>
                <w:bCs/>
                <w:sz w:val="18"/>
                <w:szCs w:val="18"/>
              </w:rPr>
              <w:t>Scenario B: with ESS + FACTS</w:t>
            </w:r>
          </w:p>
        </w:tc>
        <w:tc>
          <w:tcPr>
            <w:tcW w:w="1225" w:type="dxa"/>
            <w:vAlign w:val="center"/>
            <w:hideMark/>
          </w:tcPr>
          <w:p w14:paraId="2D48205D" w14:textId="77777777" w:rsidR="00F36125" w:rsidRPr="00634DFB" w:rsidRDefault="00F36125" w:rsidP="00634DFB">
            <w:pPr>
              <w:pStyle w:val="Text"/>
              <w:spacing w:line="240" w:lineRule="auto"/>
              <w:ind w:firstLine="0"/>
              <w:jc w:val="center"/>
              <w:rPr>
                <w:b/>
                <w:bCs/>
                <w:sz w:val="18"/>
                <w:szCs w:val="18"/>
              </w:rPr>
            </w:pPr>
            <w:r w:rsidRPr="00634DFB">
              <w:rPr>
                <w:b/>
                <w:bCs/>
                <w:sz w:val="18"/>
                <w:szCs w:val="18"/>
              </w:rPr>
              <w:t>Improvement B vs A, %</w:t>
            </w:r>
          </w:p>
        </w:tc>
      </w:tr>
      <w:tr w:rsidR="00F36125" w:rsidRPr="00634DFB" w14:paraId="6528DBEF" w14:textId="77777777" w:rsidTr="00634DFB">
        <w:trPr>
          <w:jc w:val="center"/>
        </w:trPr>
        <w:tc>
          <w:tcPr>
            <w:tcW w:w="2368" w:type="dxa"/>
            <w:vAlign w:val="center"/>
            <w:hideMark/>
          </w:tcPr>
          <w:p w14:paraId="168783E2" w14:textId="77777777" w:rsidR="00F36125" w:rsidRPr="00634DFB" w:rsidRDefault="00F36125" w:rsidP="00634DFB">
            <w:pPr>
              <w:pStyle w:val="Text"/>
              <w:spacing w:line="240" w:lineRule="auto"/>
              <w:ind w:firstLine="0"/>
              <w:jc w:val="center"/>
              <w:rPr>
                <w:sz w:val="18"/>
                <w:szCs w:val="18"/>
              </w:rPr>
            </w:pPr>
            <w:r w:rsidRPr="00634DFB">
              <w:rPr>
                <w:sz w:val="18"/>
                <w:szCs w:val="18"/>
              </w:rPr>
              <w:t>Forced RES curtailment (Curt)</w:t>
            </w:r>
          </w:p>
        </w:tc>
        <w:tc>
          <w:tcPr>
            <w:tcW w:w="0" w:type="auto"/>
            <w:vAlign w:val="center"/>
            <w:hideMark/>
          </w:tcPr>
          <w:p w14:paraId="67DB38AF" w14:textId="77777777" w:rsidR="00F36125" w:rsidRPr="00634DFB" w:rsidRDefault="00F36125" w:rsidP="00634DFB">
            <w:pPr>
              <w:pStyle w:val="Text"/>
              <w:spacing w:line="240" w:lineRule="auto"/>
              <w:ind w:firstLine="0"/>
              <w:jc w:val="center"/>
              <w:rPr>
                <w:sz w:val="18"/>
                <w:szCs w:val="18"/>
              </w:rPr>
            </w:pPr>
            <w:r w:rsidRPr="00634DFB">
              <w:rPr>
                <w:sz w:val="18"/>
                <w:szCs w:val="18"/>
              </w:rPr>
              <w:t>GWh/year</w:t>
            </w:r>
          </w:p>
        </w:tc>
        <w:tc>
          <w:tcPr>
            <w:tcW w:w="0" w:type="auto"/>
            <w:vAlign w:val="center"/>
            <w:hideMark/>
          </w:tcPr>
          <w:p w14:paraId="601A8BA1" w14:textId="77777777" w:rsidR="00F36125" w:rsidRPr="00634DFB" w:rsidRDefault="00F36125" w:rsidP="00634DFB">
            <w:pPr>
              <w:pStyle w:val="Text"/>
              <w:spacing w:line="240" w:lineRule="auto"/>
              <w:ind w:firstLine="0"/>
              <w:jc w:val="center"/>
              <w:rPr>
                <w:sz w:val="18"/>
                <w:szCs w:val="18"/>
              </w:rPr>
            </w:pPr>
            <w:r w:rsidRPr="00634DFB">
              <w:rPr>
                <w:sz w:val="18"/>
                <w:szCs w:val="18"/>
              </w:rPr>
              <w:t>820–980</w:t>
            </w:r>
          </w:p>
        </w:tc>
        <w:tc>
          <w:tcPr>
            <w:tcW w:w="0" w:type="auto"/>
            <w:vAlign w:val="center"/>
            <w:hideMark/>
          </w:tcPr>
          <w:p w14:paraId="756B9B91" w14:textId="77777777" w:rsidR="00F36125" w:rsidRPr="00634DFB" w:rsidRDefault="00F36125" w:rsidP="00634DFB">
            <w:pPr>
              <w:pStyle w:val="Text"/>
              <w:spacing w:line="240" w:lineRule="auto"/>
              <w:ind w:firstLine="0"/>
              <w:jc w:val="center"/>
              <w:rPr>
                <w:sz w:val="18"/>
                <w:szCs w:val="18"/>
              </w:rPr>
            </w:pPr>
            <w:r w:rsidRPr="00634DFB">
              <w:rPr>
                <w:sz w:val="18"/>
                <w:szCs w:val="18"/>
              </w:rPr>
              <w:t>520–610</w:t>
            </w:r>
          </w:p>
        </w:tc>
        <w:tc>
          <w:tcPr>
            <w:tcW w:w="1225" w:type="dxa"/>
            <w:vAlign w:val="center"/>
            <w:hideMark/>
          </w:tcPr>
          <w:p w14:paraId="3C3C0216" w14:textId="77777777" w:rsidR="00F36125" w:rsidRPr="00634DFB" w:rsidRDefault="00F36125" w:rsidP="00634DFB">
            <w:pPr>
              <w:pStyle w:val="Text"/>
              <w:spacing w:line="240" w:lineRule="auto"/>
              <w:ind w:firstLine="0"/>
              <w:jc w:val="center"/>
              <w:rPr>
                <w:sz w:val="18"/>
                <w:szCs w:val="18"/>
              </w:rPr>
            </w:pPr>
            <w:r w:rsidRPr="00634DFB">
              <w:rPr>
                <w:sz w:val="18"/>
                <w:szCs w:val="18"/>
              </w:rPr>
              <w:t>30–40</w:t>
            </w:r>
          </w:p>
        </w:tc>
      </w:tr>
      <w:tr w:rsidR="00F36125" w:rsidRPr="00634DFB" w14:paraId="4B6C3C38" w14:textId="77777777" w:rsidTr="00634DFB">
        <w:trPr>
          <w:jc w:val="center"/>
        </w:trPr>
        <w:tc>
          <w:tcPr>
            <w:tcW w:w="2368" w:type="dxa"/>
            <w:vAlign w:val="center"/>
            <w:hideMark/>
          </w:tcPr>
          <w:p w14:paraId="6B8A46C6" w14:textId="77777777" w:rsidR="00F36125" w:rsidRPr="00634DFB" w:rsidRDefault="00F36125" w:rsidP="00634DFB">
            <w:pPr>
              <w:pStyle w:val="Text"/>
              <w:spacing w:line="240" w:lineRule="auto"/>
              <w:ind w:firstLine="0"/>
              <w:jc w:val="center"/>
              <w:rPr>
                <w:sz w:val="18"/>
                <w:szCs w:val="18"/>
              </w:rPr>
            </w:pPr>
            <w:r w:rsidRPr="00634DFB">
              <w:rPr>
                <w:sz w:val="18"/>
                <w:szCs w:val="18"/>
              </w:rPr>
              <w:t>Total active power losses (Loss)</w:t>
            </w:r>
          </w:p>
        </w:tc>
        <w:tc>
          <w:tcPr>
            <w:tcW w:w="0" w:type="auto"/>
            <w:vAlign w:val="center"/>
            <w:hideMark/>
          </w:tcPr>
          <w:p w14:paraId="32CA09CC" w14:textId="77777777" w:rsidR="00F36125" w:rsidRPr="00634DFB" w:rsidRDefault="00F36125" w:rsidP="00634DFB">
            <w:pPr>
              <w:pStyle w:val="Text"/>
              <w:spacing w:line="240" w:lineRule="auto"/>
              <w:ind w:firstLine="0"/>
              <w:jc w:val="center"/>
              <w:rPr>
                <w:sz w:val="18"/>
                <w:szCs w:val="18"/>
              </w:rPr>
            </w:pPr>
            <w:r w:rsidRPr="00634DFB">
              <w:rPr>
                <w:sz w:val="18"/>
                <w:szCs w:val="18"/>
              </w:rPr>
              <w:t>GWh/year</w:t>
            </w:r>
          </w:p>
        </w:tc>
        <w:tc>
          <w:tcPr>
            <w:tcW w:w="0" w:type="auto"/>
            <w:vAlign w:val="center"/>
            <w:hideMark/>
          </w:tcPr>
          <w:p w14:paraId="0BE6B84B" w14:textId="77777777" w:rsidR="00F36125" w:rsidRPr="00634DFB" w:rsidRDefault="00F36125" w:rsidP="00634DFB">
            <w:pPr>
              <w:pStyle w:val="Text"/>
              <w:spacing w:line="240" w:lineRule="auto"/>
              <w:ind w:firstLine="0"/>
              <w:jc w:val="center"/>
              <w:rPr>
                <w:sz w:val="18"/>
                <w:szCs w:val="18"/>
              </w:rPr>
            </w:pPr>
            <w:r w:rsidRPr="00634DFB">
              <w:rPr>
                <w:sz w:val="18"/>
                <w:szCs w:val="18"/>
              </w:rPr>
              <w:t>2350–2550</w:t>
            </w:r>
          </w:p>
        </w:tc>
        <w:tc>
          <w:tcPr>
            <w:tcW w:w="0" w:type="auto"/>
            <w:vAlign w:val="center"/>
            <w:hideMark/>
          </w:tcPr>
          <w:p w14:paraId="2D38DF47" w14:textId="77777777" w:rsidR="00F36125" w:rsidRPr="00634DFB" w:rsidRDefault="00F36125" w:rsidP="00634DFB">
            <w:pPr>
              <w:pStyle w:val="Text"/>
              <w:spacing w:line="240" w:lineRule="auto"/>
              <w:ind w:firstLine="0"/>
              <w:jc w:val="center"/>
              <w:rPr>
                <w:sz w:val="18"/>
                <w:szCs w:val="18"/>
              </w:rPr>
            </w:pPr>
            <w:r w:rsidRPr="00634DFB">
              <w:rPr>
                <w:sz w:val="18"/>
                <w:szCs w:val="18"/>
              </w:rPr>
              <w:t>2120–2260</w:t>
            </w:r>
          </w:p>
        </w:tc>
        <w:tc>
          <w:tcPr>
            <w:tcW w:w="1225" w:type="dxa"/>
            <w:vAlign w:val="center"/>
            <w:hideMark/>
          </w:tcPr>
          <w:p w14:paraId="79DA6BF3" w14:textId="77777777" w:rsidR="00F36125" w:rsidRPr="00634DFB" w:rsidRDefault="00F36125" w:rsidP="00634DFB">
            <w:pPr>
              <w:pStyle w:val="Text"/>
              <w:spacing w:line="240" w:lineRule="auto"/>
              <w:ind w:firstLine="0"/>
              <w:jc w:val="center"/>
              <w:rPr>
                <w:sz w:val="18"/>
                <w:szCs w:val="18"/>
              </w:rPr>
            </w:pPr>
            <w:r w:rsidRPr="00634DFB">
              <w:rPr>
                <w:sz w:val="18"/>
                <w:szCs w:val="18"/>
              </w:rPr>
              <w:t>10–12</w:t>
            </w:r>
          </w:p>
        </w:tc>
      </w:tr>
      <w:tr w:rsidR="00F36125" w:rsidRPr="00634DFB" w14:paraId="1BBB39A0" w14:textId="77777777" w:rsidTr="00634DFB">
        <w:trPr>
          <w:jc w:val="center"/>
        </w:trPr>
        <w:tc>
          <w:tcPr>
            <w:tcW w:w="2368" w:type="dxa"/>
            <w:vAlign w:val="center"/>
            <w:hideMark/>
          </w:tcPr>
          <w:p w14:paraId="124EFC66" w14:textId="77777777" w:rsidR="00F36125" w:rsidRPr="00634DFB" w:rsidRDefault="00F36125" w:rsidP="00634DFB">
            <w:pPr>
              <w:pStyle w:val="Text"/>
              <w:spacing w:line="240" w:lineRule="auto"/>
              <w:ind w:firstLine="0"/>
              <w:jc w:val="center"/>
              <w:rPr>
                <w:sz w:val="18"/>
                <w:szCs w:val="18"/>
              </w:rPr>
            </w:pPr>
            <w:r w:rsidRPr="00634DFB">
              <w:rPr>
                <w:sz w:val="18"/>
                <w:szCs w:val="18"/>
              </w:rPr>
              <w:t>Hours of overload in controlled power flow sections</w:t>
            </w:r>
          </w:p>
        </w:tc>
        <w:tc>
          <w:tcPr>
            <w:tcW w:w="0" w:type="auto"/>
            <w:vAlign w:val="center"/>
            <w:hideMark/>
          </w:tcPr>
          <w:p w14:paraId="7B35968A" w14:textId="77777777" w:rsidR="00F36125" w:rsidRPr="00634DFB" w:rsidRDefault="00F36125" w:rsidP="00634DFB">
            <w:pPr>
              <w:pStyle w:val="Text"/>
              <w:spacing w:line="240" w:lineRule="auto"/>
              <w:ind w:firstLine="0"/>
              <w:jc w:val="center"/>
              <w:rPr>
                <w:sz w:val="18"/>
                <w:szCs w:val="18"/>
              </w:rPr>
            </w:pPr>
            <w:r w:rsidRPr="00634DFB">
              <w:rPr>
                <w:sz w:val="18"/>
                <w:szCs w:val="18"/>
              </w:rPr>
              <w:t>h/year</w:t>
            </w:r>
          </w:p>
        </w:tc>
        <w:tc>
          <w:tcPr>
            <w:tcW w:w="0" w:type="auto"/>
            <w:vAlign w:val="center"/>
            <w:hideMark/>
          </w:tcPr>
          <w:p w14:paraId="51DD22E5" w14:textId="77777777" w:rsidR="00F36125" w:rsidRPr="00634DFB" w:rsidRDefault="00F36125" w:rsidP="00634DFB">
            <w:pPr>
              <w:pStyle w:val="Text"/>
              <w:spacing w:line="240" w:lineRule="auto"/>
              <w:ind w:firstLine="0"/>
              <w:jc w:val="center"/>
              <w:rPr>
                <w:sz w:val="18"/>
                <w:szCs w:val="18"/>
              </w:rPr>
            </w:pPr>
            <w:r w:rsidRPr="00634DFB">
              <w:rPr>
                <w:sz w:val="18"/>
                <w:szCs w:val="18"/>
              </w:rPr>
              <w:t>240–310</w:t>
            </w:r>
          </w:p>
        </w:tc>
        <w:tc>
          <w:tcPr>
            <w:tcW w:w="0" w:type="auto"/>
            <w:vAlign w:val="center"/>
            <w:hideMark/>
          </w:tcPr>
          <w:p w14:paraId="2B908149" w14:textId="77777777" w:rsidR="00F36125" w:rsidRPr="00634DFB" w:rsidRDefault="00F36125" w:rsidP="00634DFB">
            <w:pPr>
              <w:pStyle w:val="Text"/>
              <w:spacing w:line="240" w:lineRule="auto"/>
              <w:ind w:firstLine="0"/>
              <w:jc w:val="center"/>
              <w:rPr>
                <w:sz w:val="18"/>
                <w:szCs w:val="18"/>
              </w:rPr>
            </w:pPr>
            <w:r w:rsidRPr="00634DFB">
              <w:rPr>
                <w:sz w:val="18"/>
                <w:szCs w:val="18"/>
              </w:rPr>
              <w:t>110–160</w:t>
            </w:r>
          </w:p>
        </w:tc>
        <w:tc>
          <w:tcPr>
            <w:tcW w:w="1225" w:type="dxa"/>
            <w:vAlign w:val="center"/>
            <w:hideMark/>
          </w:tcPr>
          <w:p w14:paraId="61BC9C0B" w14:textId="77777777" w:rsidR="00F36125" w:rsidRPr="00634DFB" w:rsidRDefault="00F36125" w:rsidP="00634DFB">
            <w:pPr>
              <w:pStyle w:val="Text"/>
              <w:spacing w:line="240" w:lineRule="auto"/>
              <w:ind w:firstLine="0"/>
              <w:jc w:val="center"/>
              <w:rPr>
                <w:sz w:val="18"/>
                <w:szCs w:val="18"/>
              </w:rPr>
            </w:pPr>
            <w:r w:rsidRPr="00634DFB">
              <w:rPr>
                <w:sz w:val="18"/>
                <w:szCs w:val="18"/>
              </w:rPr>
              <w:t>45–60</w:t>
            </w:r>
          </w:p>
        </w:tc>
      </w:tr>
      <w:tr w:rsidR="00F36125" w:rsidRPr="00634DFB" w14:paraId="2B6306A9" w14:textId="77777777" w:rsidTr="00634DFB">
        <w:trPr>
          <w:jc w:val="center"/>
        </w:trPr>
        <w:tc>
          <w:tcPr>
            <w:tcW w:w="2368" w:type="dxa"/>
            <w:vAlign w:val="center"/>
            <w:hideMark/>
          </w:tcPr>
          <w:p w14:paraId="789E6A9D" w14:textId="77777777" w:rsidR="00F36125" w:rsidRPr="00634DFB" w:rsidRDefault="00F36125" w:rsidP="00634DFB">
            <w:pPr>
              <w:pStyle w:val="Text"/>
              <w:spacing w:line="240" w:lineRule="auto"/>
              <w:ind w:firstLine="0"/>
              <w:jc w:val="center"/>
              <w:rPr>
                <w:sz w:val="18"/>
                <w:szCs w:val="18"/>
              </w:rPr>
            </w:pPr>
            <w:r w:rsidRPr="00634DFB">
              <w:rPr>
                <w:sz w:val="18"/>
                <w:szCs w:val="18"/>
              </w:rPr>
              <w:t>Hours of voltage violations at RES nodes</w:t>
            </w:r>
          </w:p>
        </w:tc>
        <w:tc>
          <w:tcPr>
            <w:tcW w:w="0" w:type="auto"/>
            <w:vAlign w:val="center"/>
            <w:hideMark/>
          </w:tcPr>
          <w:p w14:paraId="706D11C7" w14:textId="77777777" w:rsidR="00F36125" w:rsidRPr="00634DFB" w:rsidRDefault="00F36125" w:rsidP="00634DFB">
            <w:pPr>
              <w:pStyle w:val="Text"/>
              <w:spacing w:line="240" w:lineRule="auto"/>
              <w:ind w:firstLine="0"/>
              <w:jc w:val="center"/>
              <w:rPr>
                <w:sz w:val="18"/>
                <w:szCs w:val="18"/>
              </w:rPr>
            </w:pPr>
            <w:r w:rsidRPr="00634DFB">
              <w:rPr>
                <w:sz w:val="18"/>
                <w:szCs w:val="18"/>
              </w:rPr>
              <w:t>h/year</w:t>
            </w:r>
          </w:p>
        </w:tc>
        <w:tc>
          <w:tcPr>
            <w:tcW w:w="0" w:type="auto"/>
            <w:vAlign w:val="center"/>
            <w:hideMark/>
          </w:tcPr>
          <w:p w14:paraId="234FEC2A" w14:textId="77777777" w:rsidR="00F36125" w:rsidRPr="00634DFB" w:rsidRDefault="00F36125" w:rsidP="00634DFB">
            <w:pPr>
              <w:pStyle w:val="Text"/>
              <w:spacing w:line="240" w:lineRule="auto"/>
              <w:ind w:firstLine="0"/>
              <w:jc w:val="center"/>
              <w:rPr>
                <w:sz w:val="18"/>
                <w:szCs w:val="18"/>
              </w:rPr>
            </w:pPr>
            <w:r w:rsidRPr="00634DFB">
              <w:rPr>
                <w:sz w:val="18"/>
                <w:szCs w:val="18"/>
              </w:rPr>
              <w:t>420–520</w:t>
            </w:r>
          </w:p>
        </w:tc>
        <w:tc>
          <w:tcPr>
            <w:tcW w:w="0" w:type="auto"/>
            <w:vAlign w:val="center"/>
            <w:hideMark/>
          </w:tcPr>
          <w:p w14:paraId="4C23DE40" w14:textId="77777777" w:rsidR="00F36125" w:rsidRPr="00634DFB" w:rsidRDefault="00F36125" w:rsidP="00634DFB">
            <w:pPr>
              <w:pStyle w:val="Text"/>
              <w:spacing w:line="240" w:lineRule="auto"/>
              <w:ind w:firstLine="0"/>
              <w:jc w:val="center"/>
              <w:rPr>
                <w:sz w:val="18"/>
                <w:szCs w:val="18"/>
              </w:rPr>
            </w:pPr>
            <w:r w:rsidRPr="00634DFB">
              <w:rPr>
                <w:sz w:val="18"/>
                <w:szCs w:val="18"/>
              </w:rPr>
              <w:t>180–260</w:t>
            </w:r>
          </w:p>
        </w:tc>
        <w:tc>
          <w:tcPr>
            <w:tcW w:w="1225" w:type="dxa"/>
            <w:vAlign w:val="center"/>
            <w:hideMark/>
          </w:tcPr>
          <w:p w14:paraId="171212AC" w14:textId="77777777" w:rsidR="00F36125" w:rsidRPr="00634DFB" w:rsidRDefault="00F36125" w:rsidP="00634DFB">
            <w:pPr>
              <w:pStyle w:val="Text"/>
              <w:spacing w:line="240" w:lineRule="auto"/>
              <w:ind w:firstLine="0"/>
              <w:jc w:val="center"/>
              <w:rPr>
                <w:sz w:val="18"/>
                <w:szCs w:val="18"/>
              </w:rPr>
            </w:pPr>
            <w:r w:rsidRPr="00634DFB">
              <w:rPr>
                <w:sz w:val="18"/>
                <w:szCs w:val="18"/>
              </w:rPr>
              <w:t>50–60</w:t>
            </w:r>
          </w:p>
        </w:tc>
      </w:tr>
      <w:tr w:rsidR="00F36125" w:rsidRPr="00634DFB" w14:paraId="416F50D4" w14:textId="77777777" w:rsidTr="00634DFB">
        <w:trPr>
          <w:jc w:val="center"/>
        </w:trPr>
        <w:tc>
          <w:tcPr>
            <w:tcW w:w="2368" w:type="dxa"/>
            <w:vAlign w:val="center"/>
            <w:hideMark/>
          </w:tcPr>
          <w:p w14:paraId="11034163" w14:textId="77777777" w:rsidR="00F36125" w:rsidRPr="00634DFB" w:rsidRDefault="00F36125" w:rsidP="00634DFB">
            <w:pPr>
              <w:pStyle w:val="Text"/>
              <w:spacing w:line="240" w:lineRule="auto"/>
              <w:ind w:firstLine="0"/>
              <w:jc w:val="center"/>
              <w:rPr>
                <w:sz w:val="18"/>
                <w:szCs w:val="18"/>
              </w:rPr>
            </w:pPr>
            <w:r w:rsidRPr="00634DFB">
              <w:rPr>
                <w:sz w:val="18"/>
                <w:szCs w:val="18"/>
              </w:rPr>
              <w:t xml:space="preserve">Integral of </w:t>
            </w:r>
            <w:proofErr w:type="spellStart"/>
            <w:r w:rsidRPr="00634DFB">
              <w:rPr>
                <w:sz w:val="18"/>
                <w:szCs w:val="18"/>
              </w:rPr>
              <w:t>Δf</w:t>
            </w:r>
            <w:proofErr w:type="spellEnd"/>
          </w:p>
        </w:tc>
        <w:tc>
          <w:tcPr>
            <w:tcW w:w="0" w:type="auto"/>
            <w:vAlign w:val="center"/>
            <w:hideMark/>
          </w:tcPr>
          <w:p w14:paraId="44F02B16" w14:textId="77777777" w:rsidR="00F36125" w:rsidRPr="00634DFB" w:rsidRDefault="00F36125" w:rsidP="00634DFB">
            <w:pPr>
              <w:pStyle w:val="Text"/>
              <w:spacing w:line="240" w:lineRule="auto"/>
              <w:ind w:firstLine="0"/>
              <w:jc w:val="center"/>
              <w:rPr>
                <w:sz w:val="18"/>
                <w:szCs w:val="18"/>
              </w:rPr>
            </w:pPr>
            <w:proofErr w:type="spellStart"/>
            <w:r w:rsidRPr="00634DFB">
              <w:rPr>
                <w:sz w:val="18"/>
                <w:szCs w:val="18"/>
              </w:rPr>
              <w:t>Hz·h</w:t>
            </w:r>
            <w:proofErr w:type="spellEnd"/>
          </w:p>
        </w:tc>
        <w:tc>
          <w:tcPr>
            <w:tcW w:w="0" w:type="auto"/>
            <w:vAlign w:val="center"/>
            <w:hideMark/>
          </w:tcPr>
          <w:p w14:paraId="4CB1C6B4" w14:textId="77777777" w:rsidR="00F36125" w:rsidRPr="00634DFB" w:rsidRDefault="00F36125" w:rsidP="00634DFB">
            <w:pPr>
              <w:pStyle w:val="Text"/>
              <w:spacing w:line="240" w:lineRule="auto"/>
              <w:ind w:firstLine="0"/>
              <w:jc w:val="center"/>
              <w:rPr>
                <w:sz w:val="18"/>
                <w:szCs w:val="18"/>
              </w:rPr>
            </w:pPr>
            <w:r w:rsidRPr="00634DFB">
              <w:rPr>
                <w:sz w:val="18"/>
                <w:szCs w:val="18"/>
              </w:rPr>
              <w:t>95–115</w:t>
            </w:r>
          </w:p>
        </w:tc>
        <w:tc>
          <w:tcPr>
            <w:tcW w:w="0" w:type="auto"/>
            <w:vAlign w:val="center"/>
            <w:hideMark/>
          </w:tcPr>
          <w:p w14:paraId="5B20CDD1" w14:textId="77777777" w:rsidR="00F36125" w:rsidRPr="00634DFB" w:rsidRDefault="00F36125" w:rsidP="00634DFB">
            <w:pPr>
              <w:pStyle w:val="Text"/>
              <w:spacing w:line="240" w:lineRule="auto"/>
              <w:ind w:firstLine="0"/>
              <w:jc w:val="center"/>
              <w:rPr>
                <w:sz w:val="18"/>
                <w:szCs w:val="18"/>
              </w:rPr>
            </w:pPr>
            <w:r w:rsidRPr="00634DFB">
              <w:rPr>
                <w:sz w:val="18"/>
                <w:szCs w:val="18"/>
              </w:rPr>
              <w:t>60–75</w:t>
            </w:r>
          </w:p>
        </w:tc>
        <w:tc>
          <w:tcPr>
            <w:tcW w:w="1225" w:type="dxa"/>
            <w:vAlign w:val="center"/>
            <w:hideMark/>
          </w:tcPr>
          <w:p w14:paraId="1484B062" w14:textId="77777777" w:rsidR="00F36125" w:rsidRPr="00634DFB" w:rsidRDefault="00F36125" w:rsidP="00634DFB">
            <w:pPr>
              <w:pStyle w:val="Text"/>
              <w:spacing w:line="240" w:lineRule="auto"/>
              <w:ind w:firstLine="0"/>
              <w:jc w:val="center"/>
              <w:rPr>
                <w:sz w:val="18"/>
                <w:szCs w:val="18"/>
              </w:rPr>
            </w:pPr>
            <w:r w:rsidRPr="00634DFB">
              <w:rPr>
                <w:sz w:val="18"/>
                <w:szCs w:val="18"/>
              </w:rPr>
              <w:t>–</w:t>
            </w:r>
          </w:p>
        </w:tc>
      </w:tr>
      <w:tr w:rsidR="00F36125" w:rsidRPr="00634DFB" w14:paraId="3027E091" w14:textId="77777777" w:rsidTr="00634DFB">
        <w:trPr>
          <w:jc w:val="center"/>
        </w:trPr>
        <w:tc>
          <w:tcPr>
            <w:tcW w:w="2368" w:type="dxa"/>
            <w:vAlign w:val="center"/>
            <w:hideMark/>
          </w:tcPr>
          <w:p w14:paraId="667CBBD1" w14:textId="77777777" w:rsidR="00F36125" w:rsidRPr="00634DFB" w:rsidRDefault="00F36125" w:rsidP="00634DFB">
            <w:pPr>
              <w:pStyle w:val="Text"/>
              <w:spacing w:line="240" w:lineRule="auto"/>
              <w:ind w:firstLine="0"/>
              <w:jc w:val="center"/>
              <w:rPr>
                <w:sz w:val="18"/>
                <w:szCs w:val="18"/>
              </w:rPr>
            </w:pPr>
            <w:r w:rsidRPr="00634DFB">
              <w:rPr>
                <w:sz w:val="18"/>
                <w:szCs w:val="18"/>
              </w:rPr>
              <w:t xml:space="preserve">Objective function </w:t>
            </w:r>
            <m:oMath>
              <m:r>
                <w:rPr>
                  <w:rFonts w:ascii="Cambria Math" w:hAnsi="Cambria Math"/>
                  <w:sz w:val="18"/>
                  <w:szCs w:val="18"/>
                </w:rPr>
                <m:t>J</m:t>
              </m:r>
            </m:oMath>
            <w:r w:rsidRPr="00634DFB">
              <w:rPr>
                <w:sz w:val="18"/>
                <w:szCs w:val="18"/>
              </w:rPr>
              <w:t>per eq. (7)</w:t>
            </w:r>
          </w:p>
        </w:tc>
        <w:tc>
          <w:tcPr>
            <w:tcW w:w="0" w:type="auto"/>
            <w:vAlign w:val="center"/>
            <w:hideMark/>
          </w:tcPr>
          <w:p w14:paraId="5A3E22DB" w14:textId="77777777" w:rsidR="00F36125" w:rsidRPr="00634DFB" w:rsidRDefault="00F36125" w:rsidP="00634DFB">
            <w:pPr>
              <w:pStyle w:val="Text"/>
              <w:spacing w:line="240" w:lineRule="auto"/>
              <w:ind w:firstLine="0"/>
              <w:jc w:val="center"/>
              <w:rPr>
                <w:sz w:val="18"/>
                <w:szCs w:val="18"/>
              </w:rPr>
            </w:pPr>
            <w:r w:rsidRPr="00634DFB">
              <w:rPr>
                <w:sz w:val="18"/>
                <w:szCs w:val="18"/>
              </w:rPr>
              <w:t>rel. units</w:t>
            </w:r>
          </w:p>
        </w:tc>
        <w:tc>
          <w:tcPr>
            <w:tcW w:w="0" w:type="auto"/>
            <w:vAlign w:val="center"/>
            <w:hideMark/>
          </w:tcPr>
          <w:p w14:paraId="1CCC14E9" w14:textId="77777777" w:rsidR="00F36125" w:rsidRPr="00634DFB" w:rsidRDefault="00F36125" w:rsidP="00634DFB">
            <w:pPr>
              <w:pStyle w:val="Text"/>
              <w:spacing w:line="240" w:lineRule="auto"/>
              <w:ind w:firstLine="0"/>
              <w:jc w:val="center"/>
              <w:rPr>
                <w:sz w:val="18"/>
                <w:szCs w:val="18"/>
              </w:rPr>
            </w:pPr>
            <w:r w:rsidRPr="00634DFB">
              <w:rPr>
                <w:sz w:val="18"/>
                <w:szCs w:val="18"/>
              </w:rPr>
              <w:t>1.00</w:t>
            </w:r>
          </w:p>
        </w:tc>
        <w:tc>
          <w:tcPr>
            <w:tcW w:w="0" w:type="auto"/>
            <w:vAlign w:val="center"/>
            <w:hideMark/>
          </w:tcPr>
          <w:p w14:paraId="5C4AF0F4" w14:textId="77777777" w:rsidR="00F36125" w:rsidRPr="00634DFB" w:rsidRDefault="00F36125" w:rsidP="00634DFB">
            <w:pPr>
              <w:pStyle w:val="Text"/>
              <w:spacing w:line="240" w:lineRule="auto"/>
              <w:ind w:firstLine="0"/>
              <w:jc w:val="center"/>
              <w:rPr>
                <w:sz w:val="18"/>
                <w:szCs w:val="18"/>
              </w:rPr>
            </w:pPr>
            <w:r w:rsidRPr="00634DFB">
              <w:rPr>
                <w:sz w:val="18"/>
                <w:szCs w:val="18"/>
              </w:rPr>
              <w:t>0.62–0.72</w:t>
            </w:r>
          </w:p>
        </w:tc>
        <w:tc>
          <w:tcPr>
            <w:tcW w:w="1225" w:type="dxa"/>
            <w:vAlign w:val="center"/>
            <w:hideMark/>
          </w:tcPr>
          <w:p w14:paraId="420AB754" w14:textId="77777777" w:rsidR="00F36125" w:rsidRPr="00634DFB" w:rsidRDefault="00F36125" w:rsidP="00634DFB">
            <w:pPr>
              <w:pStyle w:val="Text"/>
              <w:spacing w:line="240" w:lineRule="auto"/>
              <w:ind w:firstLine="0"/>
              <w:jc w:val="center"/>
              <w:rPr>
                <w:sz w:val="18"/>
                <w:szCs w:val="18"/>
              </w:rPr>
            </w:pPr>
            <w:r w:rsidRPr="00634DFB">
              <w:rPr>
                <w:sz w:val="18"/>
                <w:szCs w:val="18"/>
              </w:rPr>
              <w:t>28–38</w:t>
            </w:r>
          </w:p>
        </w:tc>
      </w:tr>
      <w:tr w:rsidR="00F36125" w:rsidRPr="00634DFB" w14:paraId="5D8DDDE4" w14:textId="77777777" w:rsidTr="00634DFB">
        <w:trPr>
          <w:jc w:val="center"/>
        </w:trPr>
        <w:tc>
          <w:tcPr>
            <w:tcW w:w="2368" w:type="dxa"/>
            <w:vAlign w:val="center"/>
            <w:hideMark/>
          </w:tcPr>
          <w:p w14:paraId="04DEE65B" w14:textId="77777777" w:rsidR="00F36125" w:rsidRPr="00634DFB" w:rsidRDefault="00F36125" w:rsidP="00634DFB">
            <w:pPr>
              <w:pStyle w:val="Text"/>
              <w:spacing w:line="240" w:lineRule="auto"/>
              <w:ind w:firstLine="0"/>
              <w:jc w:val="center"/>
              <w:rPr>
                <w:sz w:val="18"/>
                <w:szCs w:val="18"/>
              </w:rPr>
            </w:pPr>
            <w:r w:rsidRPr="00634DFB">
              <w:rPr>
                <w:sz w:val="18"/>
                <w:szCs w:val="18"/>
              </w:rPr>
              <w:t>CAPEX for ESS (4-hour BESS)</w:t>
            </w:r>
          </w:p>
        </w:tc>
        <w:tc>
          <w:tcPr>
            <w:tcW w:w="0" w:type="auto"/>
            <w:vAlign w:val="center"/>
            <w:hideMark/>
          </w:tcPr>
          <w:p w14:paraId="7637F611" w14:textId="77777777" w:rsidR="00F36125" w:rsidRPr="00634DFB" w:rsidRDefault="00F36125" w:rsidP="00634DFB">
            <w:pPr>
              <w:pStyle w:val="Text"/>
              <w:spacing w:line="240" w:lineRule="auto"/>
              <w:ind w:firstLine="0"/>
              <w:jc w:val="center"/>
              <w:rPr>
                <w:sz w:val="18"/>
                <w:szCs w:val="18"/>
              </w:rPr>
            </w:pPr>
            <w:r w:rsidRPr="00634DFB">
              <w:rPr>
                <w:sz w:val="18"/>
                <w:szCs w:val="18"/>
              </w:rPr>
              <w:t>million $</w:t>
            </w:r>
          </w:p>
        </w:tc>
        <w:tc>
          <w:tcPr>
            <w:tcW w:w="0" w:type="auto"/>
            <w:vAlign w:val="center"/>
            <w:hideMark/>
          </w:tcPr>
          <w:p w14:paraId="5BE7CF2E" w14:textId="77777777" w:rsidR="00F36125" w:rsidRPr="00634DFB" w:rsidRDefault="00F36125" w:rsidP="00634DFB">
            <w:pPr>
              <w:pStyle w:val="Text"/>
              <w:spacing w:line="240" w:lineRule="auto"/>
              <w:ind w:firstLine="0"/>
              <w:jc w:val="center"/>
              <w:rPr>
                <w:sz w:val="18"/>
                <w:szCs w:val="18"/>
              </w:rPr>
            </w:pPr>
            <w:r w:rsidRPr="00634DFB">
              <w:rPr>
                <w:sz w:val="18"/>
                <w:szCs w:val="18"/>
              </w:rPr>
              <w:t>–</w:t>
            </w:r>
          </w:p>
        </w:tc>
        <w:tc>
          <w:tcPr>
            <w:tcW w:w="0" w:type="auto"/>
            <w:vAlign w:val="center"/>
            <w:hideMark/>
          </w:tcPr>
          <w:p w14:paraId="6703EBDA" w14:textId="77777777" w:rsidR="00F36125" w:rsidRPr="00634DFB" w:rsidRDefault="00F36125" w:rsidP="00634DFB">
            <w:pPr>
              <w:pStyle w:val="Text"/>
              <w:spacing w:line="240" w:lineRule="auto"/>
              <w:ind w:firstLine="0"/>
              <w:jc w:val="center"/>
              <w:rPr>
                <w:sz w:val="18"/>
                <w:szCs w:val="18"/>
              </w:rPr>
            </w:pPr>
            <w:r w:rsidRPr="00634DFB">
              <w:rPr>
                <w:sz w:val="18"/>
                <w:szCs w:val="18"/>
              </w:rPr>
              <w:t>420–520</w:t>
            </w:r>
          </w:p>
        </w:tc>
        <w:tc>
          <w:tcPr>
            <w:tcW w:w="1225" w:type="dxa"/>
            <w:vAlign w:val="center"/>
            <w:hideMark/>
          </w:tcPr>
          <w:p w14:paraId="1C7C09BA" w14:textId="77777777" w:rsidR="00F36125" w:rsidRPr="00634DFB" w:rsidRDefault="00F36125" w:rsidP="00634DFB">
            <w:pPr>
              <w:pStyle w:val="Text"/>
              <w:spacing w:line="240" w:lineRule="auto"/>
              <w:ind w:firstLine="0"/>
              <w:jc w:val="center"/>
              <w:rPr>
                <w:sz w:val="18"/>
                <w:szCs w:val="18"/>
              </w:rPr>
            </w:pPr>
            <w:r w:rsidRPr="00634DFB">
              <w:rPr>
                <w:sz w:val="18"/>
                <w:szCs w:val="18"/>
              </w:rPr>
              <w:t>–</w:t>
            </w:r>
          </w:p>
        </w:tc>
      </w:tr>
      <w:tr w:rsidR="00F36125" w:rsidRPr="00634DFB" w14:paraId="5CC56D77" w14:textId="77777777" w:rsidTr="00634DFB">
        <w:trPr>
          <w:jc w:val="center"/>
        </w:trPr>
        <w:tc>
          <w:tcPr>
            <w:tcW w:w="2368" w:type="dxa"/>
            <w:vAlign w:val="center"/>
            <w:hideMark/>
          </w:tcPr>
          <w:p w14:paraId="26864BF2" w14:textId="77777777" w:rsidR="00F36125" w:rsidRPr="00634DFB" w:rsidRDefault="00F36125" w:rsidP="00634DFB">
            <w:pPr>
              <w:pStyle w:val="Text"/>
              <w:spacing w:line="240" w:lineRule="auto"/>
              <w:ind w:firstLine="0"/>
              <w:jc w:val="center"/>
              <w:rPr>
                <w:sz w:val="18"/>
                <w:szCs w:val="18"/>
              </w:rPr>
            </w:pPr>
            <w:r w:rsidRPr="00634DFB">
              <w:rPr>
                <w:sz w:val="18"/>
                <w:szCs w:val="18"/>
              </w:rPr>
              <w:t>OPEX for ESS</w:t>
            </w:r>
          </w:p>
        </w:tc>
        <w:tc>
          <w:tcPr>
            <w:tcW w:w="0" w:type="auto"/>
            <w:vAlign w:val="center"/>
            <w:hideMark/>
          </w:tcPr>
          <w:p w14:paraId="091C4DC5" w14:textId="77777777" w:rsidR="00F36125" w:rsidRPr="00634DFB" w:rsidRDefault="00F36125" w:rsidP="00634DFB">
            <w:pPr>
              <w:pStyle w:val="Text"/>
              <w:spacing w:line="240" w:lineRule="auto"/>
              <w:ind w:firstLine="0"/>
              <w:jc w:val="center"/>
              <w:rPr>
                <w:sz w:val="18"/>
                <w:szCs w:val="18"/>
              </w:rPr>
            </w:pPr>
            <w:r w:rsidRPr="00634DFB">
              <w:rPr>
                <w:sz w:val="18"/>
                <w:szCs w:val="18"/>
              </w:rPr>
              <w:t>million $/year</w:t>
            </w:r>
          </w:p>
        </w:tc>
        <w:tc>
          <w:tcPr>
            <w:tcW w:w="0" w:type="auto"/>
            <w:vAlign w:val="center"/>
            <w:hideMark/>
          </w:tcPr>
          <w:p w14:paraId="1DE043A7" w14:textId="77777777" w:rsidR="00F36125" w:rsidRPr="00634DFB" w:rsidRDefault="00F36125" w:rsidP="00634DFB">
            <w:pPr>
              <w:pStyle w:val="Text"/>
              <w:spacing w:line="240" w:lineRule="auto"/>
              <w:ind w:firstLine="0"/>
              <w:jc w:val="center"/>
              <w:rPr>
                <w:sz w:val="18"/>
                <w:szCs w:val="18"/>
              </w:rPr>
            </w:pPr>
            <w:r w:rsidRPr="00634DFB">
              <w:rPr>
                <w:sz w:val="18"/>
                <w:szCs w:val="18"/>
              </w:rPr>
              <w:t>–</w:t>
            </w:r>
          </w:p>
        </w:tc>
        <w:tc>
          <w:tcPr>
            <w:tcW w:w="0" w:type="auto"/>
            <w:vAlign w:val="center"/>
            <w:hideMark/>
          </w:tcPr>
          <w:p w14:paraId="3F902347" w14:textId="77777777" w:rsidR="00F36125" w:rsidRPr="00634DFB" w:rsidRDefault="00F36125" w:rsidP="00634DFB">
            <w:pPr>
              <w:pStyle w:val="Text"/>
              <w:spacing w:line="240" w:lineRule="auto"/>
              <w:ind w:firstLine="0"/>
              <w:jc w:val="center"/>
              <w:rPr>
                <w:sz w:val="18"/>
                <w:szCs w:val="18"/>
              </w:rPr>
            </w:pPr>
            <w:r w:rsidRPr="00634DFB">
              <w:rPr>
                <w:sz w:val="18"/>
                <w:szCs w:val="18"/>
              </w:rPr>
              <w:t>12–18</w:t>
            </w:r>
          </w:p>
        </w:tc>
        <w:tc>
          <w:tcPr>
            <w:tcW w:w="1225" w:type="dxa"/>
            <w:vAlign w:val="center"/>
            <w:hideMark/>
          </w:tcPr>
          <w:p w14:paraId="17A62AD2" w14:textId="77777777" w:rsidR="00F36125" w:rsidRPr="00634DFB" w:rsidRDefault="00F36125" w:rsidP="00634DFB">
            <w:pPr>
              <w:pStyle w:val="Text"/>
              <w:spacing w:line="240" w:lineRule="auto"/>
              <w:ind w:firstLine="0"/>
              <w:jc w:val="center"/>
              <w:rPr>
                <w:sz w:val="18"/>
                <w:szCs w:val="18"/>
              </w:rPr>
            </w:pPr>
            <w:r w:rsidRPr="00634DFB">
              <w:rPr>
                <w:sz w:val="18"/>
                <w:szCs w:val="18"/>
              </w:rPr>
              <w:t>–</w:t>
            </w:r>
          </w:p>
        </w:tc>
      </w:tr>
      <w:tr w:rsidR="00F36125" w:rsidRPr="00634DFB" w14:paraId="6ECDDFA3" w14:textId="77777777" w:rsidTr="00634DFB">
        <w:trPr>
          <w:jc w:val="center"/>
        </w:trPr>
        <w:tc>
          <w:tcPr>
            <w:tcW w:w="2368" w:type="dxa"/>
            <w:vAlign w:val="center"/>
            <w:hideMark/>
          </w:tcPr>
          <w:p w14:paraId="1D054A65" w14:textId="77777777" w:rsidR="00F36125" w:rsidRPr="00634DFB" w:rsidRDefault="00F36125" w:rsidP="00634DFB">
            <w:pPr>
              <w:pStyle w:val="Text"/>
              <w:spacing w:line="240" w:lineRule="auto"/>
              <w:ind w:firstLine="0"/>
              <w:jc w:val="center"/>
              <w:rPr>
                <w:sz w:val="18"/>
                <w:szCs w:val="18"/>
              </w:rPr>
            </w:pPr>
            <w:r w:rsidRPr="00634DFB">
              <w:rPr>
                <w:sz w:val="18"/>
                <w:szCs w:val="18"/>
              </w:rPr>
              <w:t xml:space="preserve">Economic effect from reducing </w:t>
            </w:r>
            <w:proofErr w:type="spellStart"/>
            <w:r w:rsidRPr="00634DFB">
              <w:rPr>
                <w:sz w:val="18"/>
                <w:szCs w:val="18"/>
              </w:rPr>
              <w:t>Curt+Loss</w:t>
            </w:r>
            <w:proofErr w:type="spellEnd"/>
          </w:p>
        </w:tc>
        <w:tc>
          <w:tcPr>
            <w:tcW w:w="0" w:type="auto"/>
            <w:vAlign w:val="center"/>
            <w:hideMark/>
          </w:tcPr>
          <w:p w14:paraId="6F03C833" w14:textId="77777777" w:rsidR="00F36125" w:rsidRPr="00634DFB" w:rsidRDefault="00F36125" w:rsidP="00634DFB">
            <w:pPr>
              <w:pStyle w:val="Text"/>
              <w:spacing w:line="240" w:lineRule="auto"/>
              <w:ind w:firstLine="0"/>
              <w:jc w:val="center"/>
              <w:rPr>
                <w:sz w:val="18"/>
                <w:szCs w:val="18"/>
              </w:rPr>
            </w:pPr>
            <w:r w:rsidRPr="00634DFB">
              <w:rPr>
                <w:sz w:val="18"/>
                <w:szCs w:val="18"/>
              </w:rPr>
              <w:t>million $/year</w:t>
            </w:r>
          </w:p>
        </w:tc>
        <w:tc>
          <w:tcPr>
            <w:tcW w:w="0" w:type="auto"/>
            <w:vAlign w:val="center"/>
            <w:hideMark/>
          </w:tcPr>
          <w:p w14:paraId="7F243F9D" w14:textId="77777777" w:rsidR="00F36125" w:rsidRPr="00634DFB" w:rsidRDefault="00F36125" w:rsidP="00634DFB">
            <w:pPr>
              <w:pStyle w:val="Text"/>
              <w:spacing w:line="240" w:lineRule="auto"/>
              <w:ind w:firstLine="0"/>
              <w:jc w:val="center"/>
              <w:rPr>
                <w:sz w:val="18"/>
                <w:szCs w:val="18"/>
              </w:rPr>
            </w:pPr>
            <w:r w:rsidRPr="00634DFB">
              <w:rPr>
                <w:sz w:val="18"/>
                <w:szCs w:val="18"/>
              </w:rPr>
              <w:t>–</w:t>
            </w:r>
          </w:p>
        </w:tc>
        <w:tc>
          <w:tcPr>
            <w:tcW w:w="0" w:type="auto"/>
            <w:vAlign w:val="center"/>
            <w:hideMark/>
          </w:tcPr>
          <w:p w14:paraId="2CA96A3D" w14:textId="77777777" w:rsidR="00F36125" w:rsidRPr="00634DFB" w:rsidRDefault="00F36125" w:rsidP="00634DFB">
            <w:pPr>
              <w:pStyle w:val="Text"/>
              <w:spacing w:line="240" w:lineRule="auto"/>
              <w:ind w:firstLine="0"/>
              <w:jc w:val="center"/>
              <w:rPr>
                <w:sz w:val="18"/>
                <w:szCs w:val="18"/>
              </w:rPr>
            </w:pPr>
            <w:r w:rsidRPr="00634DFB">
              <w:rPr>
                <w:sz w:val="18"/>
                <w:szCs w:val="18"/>
              </w:rPr>
              <w:t>45–70</w:t>
            </w:r>
          </w:p>
        </w:tc>
        <w:tc>
          <w:tcPr>
            <w:tcW w:w="1225" w:type="dxa"/>
            <w:vAlign w:val="center"/>
            <w:hideMark/>
          </w:tcPr>
          <w:p w14:paraId="7A5D77E7" w14:textId="77777777" w:rsidR="00F36125" w:rsidRPr="00634DFB" w:rsidRDefault="00F36125" w:rsidP="00634DFB">
            <w:pPr>
              <w:pStyle w:val="Text"/>
              <w:spacing w:line="240" w:lineRule="auto"/>
              <w:ind w:firstLine="0"/>
              <w:jc w:val="center"/>
              <w:rPr>
                <w:sz w:val="18"/>
                <w:szCs w:val="18"/>
              </w:rPr>
            </w:pPr>
            <w:r w:rsidRPr="00634DFB">
              <w:rPr>
                <w:sz w:val="18"/>
                <w:szCs w:val="18"/>
              </w:rPr>
              <w:t>–</w:t>
            </w:r>
          </w:p>
        </w:tc>
      </w:tr>
    </w:tbl>
    <w:p w14:paraId="6B0960D4" w14:textId="77777777" w:rsidR="00F36125" w:rsidRPr="00634DFB" w:rsidRDefault="00F36125" w:rsidP="00634DFB">
      <w:pPr>
        <w:pStyle w:val="Text"/>
        <w:spacing w:line="240" w:lineRule="auto"/>
        <w:jc w:val="center"/>
        <w:rPr>
          <w:lang w:val="ru-RU"/>
        </w:rPr>
      </w:pPr>
    </w:p>
    <w:p w14:paraId="64A5B4A6" w14:textId="77777777" w:rsidR="003A474B" w:rsidRPr="00067B9C" w:rsidRDefault="00F36125" w:rsidP="00634DFB">
      <w:pPr>
        <w:pStyle w:val="Text"/>
        <w:spacing w:line="240" w:lineRule="auto"/>
        <w:ind w:firstLine="284"/>
      </w:pPr>
      <w:r w:rsidRPr="00634DFB">
        <w:t xml:space="preserve">Stability verification and compliance with network constraints are performed for each scenario according to a unified protocol. Based on hourly calculations, comparisons are made of the total volumes of forced RES curtailment, integral active power losses, the number of hours with overloaded inter-system tie-lines, and the number of hours with voltage requirement violations at RES connection nodes. </w:t>
      </w:r>
    </w:p>
    <w:p w14:paraId="35DEA693" w14:textId="57FB7433" w:rsidR="00F36125" w:rsidRPr="00634DFB" w:rsidRDefault="00F36125" w:rsidP="00634DFB">
      <w:pPr>
        <w:pStyle w:val="Text"/>
        <w:spacing w:line="240" w:lineRule="auto"/>
        <w:ind w:firstLine="284"/>
      </w:pPr>
      <w:r w:rsidRPr="00634DFB">
        <w:lastRenderedPageBreak/>
        <w:t>Additionally, the frequency deviation magnitude and the number of hours exceeding the permissible threshold are evaluated integrally. These metrics are compared between the base scenario without storage and scenarios with storage portfolios and coordination with FACTS devices, allowing for the identification of each flexibility component's contribution [2-4, 6-11].</w:t>
      </w:r>
    </w:p>
    <w:p w14:paraId="39A92547" w14:textId="43C234B9" w:rsidR="00F36125" w:rsidRPr="00634DFB" w:rsidRDefault="008E7165" w:rsidP="00634DFB">
      <w:pPr>
        <w:pStyle w:val="Text"/>
        <w:spacing w:before="240" w:after="240" w:line="240" w:lineRule="auto"/>
        <w:ind w:firstLine="0"/>
        <w:jc w:val="center"/>
        <w:rPr>
          <w:b/>
          <w:bCs/>
          <w:sz w:val="24"/>
          <w:szCs w:val="24"/>
        </w:rPr>
      </w:pPr>
      <w:r w:rsidRPr="00634DFB">
        <w:rPr>
          <w:b/>
          <w:bCs/>
          <w:sz w:val="24"/>
          <w:szCs w:val="24"/>
        </w:rPr>
        <w:t>RESULTS AND DISCUSSION</w:t>
      </w:r>
    </w:p>
    <w:p w14:paraId="2907E066" w14:textId="77777777" w:rsidR="00F36125" w:rsidRPr="00634DFB" w:rsidRDefault="00F36125" w:rsidP="00634DFB">
      <w:pPr>
        <w:pStyle w:val="Text"/>
        <w:spacing w:line="240" w:lineRule="auto"/>
        <w:ind w:firstLine="284"/>
      </w:pPr>
      <w:r w:rsidRPr="00634DFB">
        <w:t xml:space="preserve">The calculation results in aggregated form reveal characteristic effects. In scenarios with energy storage portfolios, peak intersystem flows decrease, the number of hours with overload of controlled cross-sections reduces, the load on thermal power plants is balanced due to partial generation transfer through charge-discharge cycles, and the voltage quality metric improves due to coordinated reactive support at renewable energy source (RES) connection nodes. The extent of forced RES curtailment decreases, which is reflected in the lower value of the Curt component of the target function (7). </w:t>
      </w:r>
    </w:p>
    <w:p w14:paraId="2E386719" w14:textId="77777777" w:rsidR="00F36125" w:rsidRPr="00634DFB" w:rsidRDefault="00F36125" w:rsidP="00634DFB">
      <w:pPr>
        <w:pStyle w:val="Text"/>
        <w:spacing w:line="240" w:lineRule="auto"/>
        <w:ind w:firstLine="284"/>
      </w:pPr>
      <w:r w:rsidRPr="00634DFB">
        <w:t>For the frequency component, a decrease in deviation amplitude is observed under the same disturbances due to the appearance of an additional fast-acting active power resource according to (2). The combined effects are interpreted as the result of coordinated application of energy storage devices and network management tools under conditions of limited transmission capacity and high generation variability [2-4, 11].</w:t>
      </w:r>
    </w:p>
    <w:p w14:paraId="74A1F657" w14:textId="77777777" w:rsidR="008A5224" w:rsidRPr="00634DFB" w:rsidRDefault="00F36125" w:rsidP="00634DFB">
      <w:pPr>
        <w:pStyle w:val="Text"/>
        <w:spacing w:line="240" w:lineRule="auto"/>
        <w:ind w:firstLine="284"/>
      </w:pPr>
      <w:r w:rsidRPr="00634DFB">
        <w:t xml:space="preserve">Reliability and reproducibility are ensured by a unified set of input profiles and parameters, a transparent calibration procedure, and the use of widely accepted </w:t>
      </w:r>
      <w:proofErr w:type="spellStart"/>
      <w:r w:rsidRPr="00634DFB">
        <w:t>DigSILENT</w:t>
      </w:r>
      <w:proofErr w:type="spellEnd"/>
      <w:r w:rsidRPr="00634DFB">
        <w:t xml:space="preserve"> </w:t>
      </w:r>
      <w:proofErr w:type="spellStart"/>
      <w:r w:rsidRPr="00634DFB">
        <w:t>PowerFactory</w:t>
      </w:r>
      <w:proofErr w:type="spellEnd"/>
      <w:r w:rsidRPr="00634DFB">
        <w:t xml:space="preserve"> software tools for validating the network part of the calculation [11]. </w:t>
      </w:r>
    </w:p>
    <w:p w14:paraId="44D7ECD8" w14:textId="3E022DC0" w:rsidR="00F36125" w:rsidRPr="00634DFB" w:rsidRDefault="00F36125" w:rsidP="00634DFB">
      <w:pPr>
        <w:pStyle w:val="Text"/>
        <w:spacing w:line="240" w:lineRule="auto"/>
        <w:ind w:firstLine="284"/>
      </w:pPr>
      <w:r w:rsidRPr="00634DFB">
        <w:t>The methodology's limitations are related to the linear approximation of power flow distribution and the aggregation of frequency dynamics. Therefore, in future work, it is recommended to refine the results with complete nonlinear calculations and expand the analysis to sub-hourly time horizons to assess the speed of automatic controls and inverter controllers.</w:t>
      </w:r>
    </w:p>
    <w:p w14:paraId="12825D72" w14:textId="77777777" w:rsidR="00C12E09" w:rsidRPr="00634DFB" w:rsidRDefault="00C12E09" w:rsidP="00634DFB">
      <w:pPr>
        <w:pStyle w:val="Text"/>
        <w:spacing w:line="240" w:lineRule="auto"/>
        <w:ind w:firstLine="284"/>
      </w:pPr>
      <w:r w:rsidRPr="00634DFB">
        <w:t>Based on sources regarding the stability and operating modes of the Central Asian Electric Power System, empirical balance disruption episodes, and scenario power balances for 2030, this computational approach forms a quantitative basis for selecting the topology and parameters of energy storage portfolios, as well as for designing the coordinated use of FACTS devices and reserve mechanisms in conditions of rapidly increasing renewable energy source penetration [2-4, 6-11].</w:t>
      </w:r>
    </w:p>
    <w:p w14:paraId="0C3E77C9" w14:textId="3401320B" w:rsidR="00C12E09" w:rsidRPr="00634DFB" w:rsidRDefault="00C12E09" w:rsidP="00634DFB">
      <w:pPr>
        <w:spacing w:after="0" w:line="240" w:lineRule="auto"/>
        <w:ind w:firstLine="142"/>
        <w:jc w:val="both"/>
        <w:rPr>
          <w:rFonts w:ascii="Times New Roman" w:hAnsi="Times New Roman" w:cs="Times New Roman"/>
          <w:sz w:val="20"/>
          <w:szCs w:val="20"/>
        </w:rPr>
      </w:pPr>
      <w:r w:rsidRPr="00634DFB">
        <w:rPr>
          <w:rFonts w:ascii="Times New Roman" w:hAnsi="Times New Roman" w:cs="Times New Roman"/>
          <w:sz w:val="20"/>
          <w:szCs w:val="20"/>
        </w:rPr>
        <w:t>For transparency in the operational management architecture involving RES, energy storage systems, and FACTS, we present the EMS VPP logical scheme with data flows and control signals, which facilitates the transfer of the methodology to other regions and dispatch platforms.</w:t>
      </w:r>
    </w:p>
    <w:p w14:paraId="538617E9" w14:textId="77777777" w:rsidR="00C12E09" w:rsidRPr="00634DFB" w:rsidRDefault="00C12E09" w:rsidP="00634DFB">
      <w:pPr>
        <w:spacing w:after="0" w:line="240" w:lineRule="auto"/>
        <w:ind w:firstLine="142"/>
        <w:jc w:val="both"/>
        <w:rPr>
          <w:rFonts w:ascii="Times New Roman" w:hAnsi="Times New Roman" w:cs="Times New Roman"/>
          <w:sz w:val="20"/>
          <w:szCs w:val="20"/>
        </w:rPr>
      </w:pPr>
      <w:r w:rsidRPr="00634DFB">
        <w:rPr>
          <w:rFonts w:ascii="Times New Roman" w:hAnsi="Times New Roman" w:cs="Times New Roman"/>
          <w:sz w:val="20"/>
          <w:szCs w:val="20"/>
        </w:rPr>
        <w:t>The diagram includes key components:</w:t>
      </w:r>
    </w:p>
    <w:p w14:paraId="5A5020D5" w14:textId="77777777" w:rsidR="00C12E09" w:rsidRPr="00634DFB" w:rsidRDefault="00C12E09" w:rsidP="00634DFB">
      <w:pPr>
        <w:spacing w:after="0" w:line="240" w:lineRule="auto"/>
        <w:ind w:firstLine="142"/>
        <w:jc w:val="both"/>
        <w:rPr>
          <w:rFonts w:ascii="Times New Roman" w:hAnsi="Times New Roman" w:cs="Times New Roman"/>
          <w:sz w:val="20"/>
          <w:szCs w:val="20"/>
        </w:rPr>
      </w:pPr>
      <w:r w:rsidRPr="00634DFB">
        <w:rPr>
          <w:rFonts w:ascii="Times New Roman" w:hAnsi="Times New Roman" w:cs="Times New Roman"/>
          <w:sz w:val="20"/>
          <w:szCs w:val="20"/>
        </w:rPr>
        <w:t>• Renewable energy generation: PV (solar) and wind power plants with power measurement and generation forecasting;</w:t>
      </w:r>
    </w:p>
    <w:p w14:paraId="4F086764" w14:textId="77777777" w:rsidR="00C12E09" w:rsidRPr="00634DFB" w:rsidRDefault="00C12E09" w:rsidP="00634DFB">
      <w:pPr>
        <w:spacing w:after="0" w:line="240" w:lineRule="auto"/>
        <w:ind w:firstLine="142"/>
        <w:jc w:val="both"/>
        <w:rPr>
          <w:rFonts w:ascii="Times New Roman" w:hAnsi="Times New Roman" w:cs="Times New Roman"/>
          <w:sz w:val="20"/>
          <w:szCs w:val="20"/>
        </w:rPr>
      </w:pPr>
      <w:r w:rsidRPr="00634DFB">
        <w:rPr>
          <w:rFonts w:ascii="Times New Roman" w:hAnsi="Times New Roman" w:cs="Times New Roman"/>
          <w:sz w:val="20"/>
          <w:szCs w:val="20"/>
        </w:rPr>
        <w:t>• ESS (Energy Storage Systems): storage nodes with charge-discharge control and battery status monitoring;</w:t>
      </w:r>
    </w:p>
    <w:p w14:paraId="10734345" w14:textId="77777777" w:rsidR="00C12E09" w:rsidRPr="00634DFB" w:rsidRDefault="00C12E09" w:rsidP="00634DFB">
      <w:pPr>
        <w:spacing w:after="0" w:line="240" w:lineRule="auto"/>
        <w:ind w:firstLine="142"/>
        <w:jc w:val="both"/>
        <w:rPr>
          <w:rFonts w:ascii="Times New Roman" w:hAnsi="Times New Roman" w:cs="Times New Roman"/>
          <w:sz w:val="20"/>
          <w:szCs w:val="20"/>
        </w:rPr>
      </w:pPr>
      <w:r w:rsidRPr="00634DFB">
        <w:rPr>
          <w:rFonts w:ascii="Times New Roman" w:hAnsi="Times New Roman" w:cs="Times New Roman"/>
          <w:sz w:val="20"/>
          <w:szCs w:val="20"/>
        </w:rPr>
        <w:t>• FACTS: devices for regulating power flows and voltages, connected to key network cross-sections;</w:t>
      </w:r>
    </w:p>
    <w:p w14:paraId="30E85CAC" w14:textId="77777777" w:rsidR="00C12E09" w:rsidRPr="00634DFB" w:rsidRDefault="00C12E09" w:rsidP="00634DFB">
      <w:pPr>
        <w:spacing w:after="0" w:line="240" w:lineRule="auto"/>
        <w:ind w:firstLine="142"/>
        <w:jc w:val="both"/>
        <w:rPr>
          <w:rFonts w:ascii="Times New Roman" w:hAnsi="Times New Roman" w:cs="Times New Roman"/>
          <w:sz w:val="20"/>
          <w:szCs w:val="20"/>
        </w:rPr>
      </w:pPr>
      <w:r w:rsidRPr="00634DFB">
        <w:rPr>
          <w:rFonts w:ascii="Times New Roman" w:hAnsi="Times New Roman" w:cs="Times New Roman"/>
          <w:sz w:val="20"/>
          <w:szCs w:val="20"/>
        </w:rPr>
        <w:t>• EMS/VPP: a centralized dispatch unit that coordinates generation, storage, and FACTS, with algorithms for priority congestion relief and network balancing;</w:t>
      </w:r>
    </w:p>
    <w:p w14:paraId="5D380B93" w14:textId="77777777" w:rsidR="00C12E09" w:rsidRPr="00634DFB" w:rsidRDefault="00C12E09" w:rsidP="00634DFB">
      <w:pPr>
        <w:spacing w:after="0" w:line="240" w:lineRule="auto"/>
        <w:ind w:firstLine="142"/>
        <w:jc w:val="both"/>
        <w:rPr>
          <w:rFonts w:ascii="Times New Roman" w:hAnsi="Times New Roman" w:cs="Times New Roman"/>
          <w:sz w:val="20"/>
          <w:szCs w:val="20"/>
        </w:rPr>
      </w:pPr>
      <w:r w:rsidRPr="00634DFB">
        <w:rPr>
          <w:rFonts w:ascii="Times New Roman" w:hAnsi="Times New Roman" w:cs="Times New Roman"/>
          <w:sz w:val="20"/>
          <w:szCs w:val="20"/>
        </w:rPr>
        <w:t>• Communications and data: data transmission channels for real-time monitoring, forecasting, and control commands.</w:t>
      </w:r>
    </w:p>
    <w:p w14:paraId="3B92777E" w14:textId="77777777" w:rsidR="00C12E09" w:rsidRPr="00634DFB" w:rsidRDefault="00C12E09" w:rsidP="00634DFB">
      <w:pPr>
        <w:spacing w:after="0" w:line="240" w:lineRule="auto"/>
        <w:ind w:firstLine="284"/>
        <w:jc w:val="both"/>
        <w:rPr>
          <w:rFonts w:ascii="Times New Roman" w:hAnsi="Times New Roman" w:cs="Times New Roman"/>
          <w:sz w:val="20"/>
          <w:szCs w:val="20"/>
          <w:lang w:val="uz-Cyrl-UZ"/>
        </w:rPr>
      </w:pPr>
      <w:r w:rsidRPr="00634DFB">
        <w:rPr>
          <w:rFonts w:ascii="Times New Roman" w:hAnsi="Times New Roman" w:cs="Times New Roman"/>
          <w:sz w:val="20"/>
          <w:szCs w:val="20"/>
        </w:rPr>
        <w:t xml:space="preserve">Scenario calculations demonstrate a consistent reduction in peak intersystem power flows and a decrease in the number of hours when controlled cross-sections are overloaded in the presence of an energy storage system (ESS) portfolio. </w:t>
      </w:r>
    </w:p>
    <w:p w14:paraId="7CFEF21D" w14:textId="77777777" w:rsidR="00C12E09" w:rsidRPr="0037571B" w:rsidRDefault="00C12E09" w:rsidP="00634DFB">
      <w:pPr>
        <w:spacing w:after="0" w:line="240" w:lineRule="auto"/>
        <w:ind w:firstLine="284"/>
        <w:jc w:val="both"/>
        <w:rPr>
          <w:rFonts w:ascii="Times New Roman" w:hAnsi="Times New Roman" w:cs="Times New Roman"/>
          <w:sz w:val="20"/>
          <w:szCs w:val="20"/>
        </w:rPr>
      </w:pPr>
      <w:r w:rsidRPr="00634DFB">
        <w:rPr>
          <w:rFonts w:ascii="Times New Roman" w:hAnsi="Times New Roman" w:cs="Times New Roman"/>
          <w:sz w:val="20"/>
          <w:szCs w:val="20"/>
        </w:rPr>
        <w:t xml:space="preserve">A more balanced loading of thermal power plants is observed due to the transfer of part of the generation through charge-discharge cycles. There is also an improvement in voltage quality metrics at renewable energy source (RES) connection nodes thanks to local reactive power support, and a reduction in the volume of forced RES curtailments, which decreases the Curt component in the target function J </w:t>
      </w:r>
      <w:r w:rsidRPr="00271156">
        <w:rPr>
          <w:rFonts w:ascii="Times New Roman" w:hAnsi="Times New Roman" w:cs="Times New Roman"/>
          <w:sz w:val="20"/>
          <w:szCs w:val="20"/>
        </w:rPr>
        <w:t>according to equation (7).</w:t>
      </w:r>
      <w:r w:rsidRPr="00634DFB">
        <w:rPr>
          <w:rFonts w:ascii="Times New Roman" w:hAnsi="Times New Roman" w:cs="Times New Roman"/>
          <w:sz w:val="20"/>
          <w:szCs w:val="20"/>
        </w:rPr>
        <w:t xml:space="preserve"> In terms of frequency, the amplitude of deviations decreases under identical external disturbances due to the emergence of a fast-acting active power resource. </w:t>
      </w:r>
    </w:p>
    <w:p w14:paraId="5B9B3E77" w14:textId="77777777" w:rsidR="00C12E09" w:rsidRPr="00634DFB" w:rsidRDefault="00C12E09" w:rsidP="00634DFB">
      <w:pPr>
        <w:spacing w:after="0" w:line="240" w:lineRule="auto"/>
        <w:ind w:firstLine="284"/>
        <w:jc w:val="both"/>
        <w:rPr>
          <w:rFonts w:ascii="Times New Roman" w:hAnsi="Times New Roman" w:cs="Times New Roman"/>
          <w:sz w:val="20"/>
          <w:szCs w:val="20"/>
        </w:rPr>
      </w:pPr>
      <w:r w:rsidRPr="00634DFB">
        <w:rPr>
          <w:rFonts w:ascii="Times New Roman" w:hAnsi="Times New Roman" w:cs="Times New Roman"/>
          <w:sz w:val="20"/>
          <w:szCs w:val="20"/>
        </w:rPr>
        <w:t>To visually verify the key effects, time series of flows for a typical week in the control cross-section and distributions of nodal voltages at RES connection points are presented for two scenarios, providing a clear interpretation of the ESS portfolio advantages for reviewers and operators</w:t>
      </w:r>
      <w:r w:rsidRPr="00634DFB">
        <w:rPr>
          <w:rFonts w:ascii="Times New Roman" w:hAnsi="Times New Roman" w:cs="Times New Roman"/>
          <w:color w:val="EE0000"/>
          <w:sz w:val="20"/>
          <w:szCs w:val="20"/>
        </w:rPr>
        <w:t xml:space="preserve"> </w:t>
      </w:r>
      <w:r w:rsidRPr="00634DFB">
        <w:rPr>
          <w:rFonts w:ascii="Times New Roman" w:hAnsi="Times New Roman" w:cs="Times New Roman"/>
          <w:sz w:val="20"/>
          <w:szCs w:val="20"/>
        </w:rPr>
        <w:t>[17].</w:t>
      </w:r>
    </w:p>
    <w:p w14:paraId="2F9EAD49" w14:textId="77777777" w:rsidR="00634DFB" w:rsidRPr="00634DFB" w:rsidRDefault="00634DFB" w:rsidP="00634DFB">
      <w:pPr>
        <w:tabs>
          <w:tab w:val="left" w:pos="8340"/>
        </w:tabs>
        <w:spacing w:after="0" w:line="240" w:lineRule="auto"/>
        <w:ind w:firstLine="284"/>
        <w:jc w:val="both"/>
        <w:rPr>
          <w:rFonts w:ascii="Times New Roman" w:hAnsi="Times New Roman" w:cs="Times New Roman"/>
          <w:sz w:val="20"/>
          <w:szCs w:val="20"/>
        </w:rPr>
      </w:pPr>
      <w:r w:rsidRPr="00634DFB">
        <w:rPr>
          <w:rFonts w:ascii="Times New Roman" w:hAnsi="Times New Roman" w:cs="Times New Roman"/>
          <w:sz w:val="20"/>
          <w:szCs w:val="20"/>
        </w:rPr>
        <w:lastRenderedPageBreak/>
        <w:t xml:space="preserve">The summary table of scenario metrics provides a compact comparison and is convenient for inclusion in system operator reports. </w:t>
      </w:r>
    </w:p>
    <w:p w14:paraId="756A8FA6" w14:textId="77777777" w:rsidR="00634DFB" w:rsidRPr="00634DFB" w:rsidRDefault="00634DFB" w:rsidP="00634DFB">
      <w:pPr>
        <w:tabs>
          <w:tab w:val="left" w:pos="8340"/>
        </w:tabs>
        <w:spacing w:after="0" w:line="240" w:lineRule="auto"/>
        <w:ind w:firstLine="284"/>
        <w:jc w:val="both"/>
        <w:rPr>
          <w:rFonts w:ascii="Times New Roman" w:hAnsi="Times New Roman" w:cs="Times New Roman"/>
          <w:sz w:val="20"/>
          <w:szCs w:val="20"/>
        </w:rPr>
      </w:pPr>
      <w:r w:rsidRPr="00634DFB">
        <w:rPr>
          <w:rFonts w:ascii="Times New Roman" w:hAnsi="Times New Roman" w:cs="Times New Roman"/>
          <w:sz w:val="20"/>
          <w:szCs w:val="20"/>
        </w:rPr>
        <w:t xml:space="preserve">It presents the values of forced RES (renewable energy sources) limitations, total active power losses, the number of hours of cross-section overloads and voltage violations, the integral </w:t>
      </w:r>
      <w:r w:rsidRPr="00634DFB">
        <w:rPr>
          <w:rFonts w:ascii="Times New Roman" w:hAnsi="Times New Roman" w:cs="Times New Roman"/>
          <w:b/>
          <w:bCs/>
          <w:i/>
          <w:iCs/>
          <w:sz w:val="20"/>
          <w:szCs w:val="20"/>
        </w:rPr>
        <w:t>|</w:t>
      </w:r>
      <w:proofErr w:type="spellStart"/>
      <w:r w:rsidRPr="00634DFB">
        <w:rPr>
          <w:rFonts w:ascii="Times New Roman" w:hAnsi="Times New Roman" w:cs="Times New Roman"/>
          <w:b/>
          <w:bCs/>
          <w:i/>
          <w:iCs/>
          <w:sz w:val="20"/>
          <w:szCs w:val="20"/>
        </w:rPr>
        <w:t>Δf</w:t>
      </w:r>
      <w:proofErr w:type="spellEnd"/>
      <w:r w:rsidRPr="00634DFB">
        <w:rPr>
          <w:rFonts w:ascii="Times New Roman" w:hAnsi="Times New Roman" w:cs="Times New Roman"/>
          <w:b/>
          <w:bCs/>
          <w:i/>
          <w:iCs/>
          <w:sz w:val="20"/>
          <w:szCs w:val="20"/>
        </w:rPr>
        <w:t> |</w:t>
      </w:r>
      <w:r w:rsidRPr="00634DFB">
        <w:rPr>
          <w:rFonts w:ascii="Times New Roman" w:hAnsi="Times New Roman" w:cs="Times New Roman"/>
          <w:sz w:val="20"/>
          <w:szCs w:val="20"/>
        </w:rPr>
        <w:t>, and the final value of the objective function J with a calculation of relative improvement compared to the baseline scenario without ESS (energy storage systems).</w:t>
      </w:r>
    </w:p>
    <w:p w14:paraId="3574DC0E" w14:textId="710584C1" w:rsidR="00634DFB" w:rsidRPr="00634DFB" w:rsidRDefault="00634DFB" w:rsidP="00634DFB">
      <w:pPr>
        <w:spacing w:after="0" w:line="240" w:lineRule="auto"/>
        <w:jc w:val="center"/>
        <w:rPr>
          <w:rFonts w:ascii="Times New Roman" w:hAnsi="Times New Roman" w:cs="Times New Roman"/>
          <w:b/>
          <w:sz w:val="20"/>
          <w:szCs w:val="20"/>
          <w:lang w:eastAsia="de-DE"/>
        </w:rPr>
      </w:pPr>
      <w:r w:rsidRPr="00A1082C">
        <w:rPr>
          <w:rFonts w:ascii="Times New Roman" w:hAnsi="Times New Roman" w:cs="Times New Roman"/>
          <w:b/>
          <w:noProof/>
          <w:sz w:val="20"/>
          <w:szCs w:val="20"/>
          <w:lang w:eastAsia="de-DE"/>
        </w:rPr>
        <w:drawing>
          <wp:inline distT="0" distB="0" distL="0" distR="0" wp14:anchorId="7BC2D5D3" wp14:editId="42D7AB65">
            <wp:extent cx="3790315" cy="2438400"/>
            <wp:effectExtent l="0" t="0" r="635" b="0"/>
            <wp:docPr id="375152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52588" name=""/>
                    <pic:cNvPicPr/>
                  </pic:nvPicPr>
                  <pic:blipFill>
                    <a:blip r:embed="rId6"/>
                    <a:stretch>
                      <a:fillRect/>
                    </a:stretch>
                  </pic:blipFill>
                  <pic:spPr>
                    <a:xfrm>
                      <a:off x="0" y="0"/>
                      <a:ext cx="3809267" cy="2450592"/>
                    </a:xfrm>
                    <a:prstGeom prst="rect">
                      <a:avLst/>
                    </a:prstGeom>
                  </pic:spPr>
                </pic:pic>
              </a:graphicData>
            </a:graphic>
          </wp:inline>
        </w:drawing>
      </w:r>
    </w:p>
    <w:p w14:paraId="119E5C7D" w14:textId="6C37D860" w:rsidR="00F36125" w:rsidRPr="00634DFB" w:rsidRDefault="00F36125" w:rsidP="00634DFB">
      <w:pPr>
        <w:spacing w:after="0" w:line="240" w:lineRule="auto"/>
        <w:jc w:val="center"/>
        <w:rPr>
          <w:rFonts w:ascii="Times New Roman" w:hAnsi="Times New Roman" w:cs="Times New Roman"/>
          <w:b/>
          <w:bCs/>
          <w:sz w:val="20"/>
          <w:szCs w:val="20"/>
        </w:rPr>
      </w:pPr>
      <w:r w:rsidRPr="00634DFB">
        <w:rPr>
          <w:rFonts w:ascii="Times New Roman" w:hAnsi="Times New Roman" w:cs="Times New Roman"/>
          <w:b/>
          <w:sz w:val="20"/>
          <w:szCs w:val="20"/>
          <w:lang w:eastAsia="de-DE"/>
        </w:rPr>
        <w:t>FIGURE</w:t>
      </w:r>
      <w:r w:rsidRPr="00634DFB">
        <w:rPr>
          <w:rFonts w:ascii="Times New Roman" w:hAnsi="Times New Roman" w:cs="Times New Roman"/>
          <w:b/>
          <w:bCs/>
          <w:sz w:val="20"/>
          <w:szCs w:val="20"/>
        </w:rPr>
        <w:t xml:space="preserve"> 1. </w:t>
      </w:r>
      <w:r w:rsidRPr="00634DFB">
        <w:rPr>
          <w:rFonts w:ascii="Times New Roman" w:hAnsi="Times New Roman" w:cs="Times New Roman"/>
          <w:sz w:val="20"/>
          <w:szCs w:val="20"/>
        </w:rPr>
        <w:t>EMS/VPP architecture for coordination of PV, wind, ESS and FACTS</w:t>
      </w:r>
    </w:p>
    <w:p w14:paraId="390FD658" w14:textId="77777777" w:rsidR="00634DFB" w:rsidRDefault="00634DFB" w:rsidP="00634DFB">
      <w:pPr>
        <w:tabs>
          <w:tab w:val="left" w:pos="1500"/>
        </w:tabs>
        <w:spacing w:after="0" w:line="240" w:lineRule="auto"/>
        <w:ind w:firstLine="284"/>
        <w:jc w:val="both"/>
        <w:rPr>
          <w:rFonts w:ascii="Times New Roman" w:hAnsi="Times New Roman" w:cs="Times New Roman"/>
          <w:sz w:val="20"/>
          <w:szCs w:val="20"/>
        </w:rPr>
      </w:pPr>
    </w:p>
    <w:p w14:paraId="353F24CE" w14:textId="66146FBF" w:rsidR="00C12E09" w:rsidRPr="00634DFB" w:rsidRDefault="00C12E09" w:rsidP="00634DFB">
      <w:pPr>
        <w:tabs>
          <w:tab w:val="left" w:pos="1500"/>
        </w:tabs>
        <w:spacing w:after="0" w:line="240" w:lineRule="auto"/>
        <w:ind w:firstLine="284"/>
        <w:jc w:val="both"/>
        <w:rPr>
          <w:rFonts w:ascii="Times New Roman" w:hAnsi="Times New Roman" w:cs="Times New Roman"/>
          <w:sz w:val="20"/>
          <w:szCs w:val="20"/>
        </w:rPr>
      </w:pPr>
      <w:r w:rsidRPr="00634DFB">
        <w:rPr>
          <w:rFonts w:ascii="Times New Roman" w:hAnsi="Times New Roman" w:cs="Times New Roman"/>
          <w:sz w:val="20"/>
          <w:szCs w:val="20"/>
        </w:rPr>
        <w:t>Comparison of scenarios confirms that the optimal flexibility architecture for the Central Asian Unified Power System should combine ESS portfolios with varying discharge durations, local reactive power support at RES connection nodes, digital coordination through Energy Management Systems and Virtual Power Plant services, as well as targeted network reinforcements at critical interconnections.</w:t>
      </w:r>
    </w:p>
    <w:p w14:paraId="5273BED0" w14:textId="77777777" w:rsidR="00C12E09" w:rsidRPr="00634DFB" w:rsidRDefault="00C12E09" w:rsidP="00634DFB">
      <w:pPr>
        <w:tabs>
          <w:tab w:val="left" w:pos="1500"/>
        </w:tabs>
        <w:spacing w:after="0" w:line="240" w:lineRule="auto"/>
        <w:ind w:firstLine="284"/>
        <w:jc w:val="both"/>
        <w:rPr>
          <w:rFonts w:ascii="Times New Roman" w:hAnsi="Times New Roman" w:cs="Times New Roman"/>
          <w:sz w:val="20"/>
          <w:szCs w:val="20"/>
        </w:rPr>
      </w:pPr>
      <w:r w:rsidRPr="00634DFB">
        <w:rPr>
          <w:rFonts w:ascii="Times New Roman" w:hAnsi="Times New Roman" w:cs="Times New Roman"/>
          <w:sz w:val="20"/>
          <w:szCs w:val="20"/>
        </w:rPr>
        <w:t>The selection of ESS capacity is based on the quantiles of residual imbalance distribution after the action of reserves, while the storage capacity is determined by the "worst" days of the year, taking into account efficiency and electrochemical degradation [7, 16].</w:t>
      </w:r>
    </w:p>
    <w:p w14:paraId="3D6C1272" w14:textId="77777777" w:rsidR="00C12E09" w:rsidRPr="00634DFB" w:rsidRDefault="00C12E09" w:rsidP="00634DFB">
      <w:pPr>
        <w:tabs>
          <w:tab w:val="left" w:pos="1500"/>
        </w:tabs>
        <w:spacing w:after="0" w:line="240" w:lineRule="auto"/>
        <w:ind w:firstLine="284"/>
        <w:jc w:val="both"/>
        <w:rPr>
          <w:rFonts w:ascii="Times New Roman" w:hAnsi="Times New Roman" w:cs="Times New Roman"/>
          <w:sz w:val="20"/>
          <w:szCs w:val="20"/>
        </w:rPr>
      </w:pPr>
      <w:r w:rsidRPr="00634DFB">
        <w:rPr>
          <w:rFonts w:ascii="Times New Roman" w:hAnsi="Times New Roman" w:cs="Times New Roman"/>
          <w:sz w:val="20"/>
          <w:szCs w:val="20"/>
        </w:rPr>
        <w:t xml:space="preserve">International demonstrations at the </w:t>
      </w:r>
      <w:proofErr w:type="spellStart"/>
      <w:r w:rsidRPr="00634DFB">
        <w:rPr>
          <w:rFonts w:ascii="Times New Roman" w:hAnsi="Times New Roman" w:cs="Times New Roman"/>
          <w:sz w:val="20"/>
          <w:szCs w:val="20"/>
        </w:rPr>
        <w:t>Hornsdale</w:t>
      </w:r>
      <w:proofErr w:type="spellEnd"/>
      <w:r w:rsidRPr="00634DFB">
        <w:rPr>
          <w:rFonts w:ascii="Times New Roman" w:hAnsi="Times New Roman" w:cs="Times New Roman"/>
          <w:sz w:val="20"/>
          <w:szCs w:val="20"/>
        </w:rPr>
        <w:t xml:space="preserve"> level illustrate the economic effect and technological viability of Battery Energy Storage Systems (BESS) as a provider of Frequency Control Ancillary Services and synthetic inertia [13].</w:t>
      </w:r>
    </w:p>
    <w:p w14:paraId="760C73EE" w14:textId="77777777" w:rsidR="00C12E09" w:rsidRPr="00634DFB" w:rsidRDefault="00C12E09" w:rsidP="00634DFB">
      <w:pPr>
        <w:tabs>
          <w:tab w:val="left" w:pos="8340"/>
        </w:tabs>
        <w:spacing w:after="0" w:line="240" w:lineRule="auto"/>
        <w:jc w:val="center"/>
        <w:rPr>
          <w:rFonts w:ascii="Times New Roman" w:hAnsi="Times New Roman" w:cs="Times New Roman"/>
          <w:sz w:val="20"/>
          <w:szCs w:val="20"/>
        </w:rPr>
      </w:pPr>
      <w:r w:rsidRPr="00634DFB">
        <w:rPr>
          <w:rFonts w:ascii="Times New Roman" w:hAnsi="Times New Roman" w:cs="Times New Roman"/>
          <w:b/>
          <w:sz w:val="20"/>
          <w:szCs w:val="20"/>
          <w:lang w:eastAsia="de-DE"/>
        </w:rPr>
        <w:t>TABLE</w:t>
      </w:r>
      <w:r w:rsidRPr="00634DFB">
        <w:rPr>
          <w:rFonts w:ascii="Times New Roman" w:hAnsi="Times New Roman" w:cs="Times New Roman"/>
          <w:b/>
          <w:bCs/>
          <w:sz w:val="20"/>
          <w:szCs w:val="20"/>
        </w:rPr>
        <w:t xml:space="preserve"> 8. </w:t>
      </w:r>
      <w:r w:rsidRPr="00634DFB">
        <w:rPr>
          <w:rFonts w:ascii="Times New Roman" w:hAnsi="Times New Roman" w:cs="Times New Roman"/>
          <w:sz w:val="20"/>
          <w:szCs w:val="20"/>
        </w:rPr>
        <w:t>Summary indicators by scenarios and relative improvement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7"/>
        <w:gridCol w:w="1529"/>
        <w:gridCol w:w="1387"/>
        <w:gridCol w:w="1388"/>
        <w:gridCol w:w="1246"/>
        <w:gridCol w:w="1197"/>
      </w:tblGrid>
      <w:tr w:rsidR="00C12E09" w:rsidRPr="00634DFB" w14:paraId="5137C5DD" w14:textId="77777777" w:rsidTr="001A53CD">
        <w:trPr>
          <w:tblHeader/>
          <w:jc w:val="center"/>
        </w:trPr>
        <w:tc>
          <w:tcPr>
            <w:tcW w:w="2077" w:type="dxa"/>
            <w:vAlign w:val="center"/>
            <w:hideMark/>
          </w:tcPr>
          <w:p w14:paraId="56C86D77"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b/>
                <w:bCs/>
                <w:sz w:val="20"/>
                <w:szCs w:val="20"/>
                <w:lang w:eastAsia="ru-RU"/>
              </w:rPr>
            </w:pPr>
            <w:bookmarkStart w:id="1" w:name="_Hlk215092425"/>
            <w:r w:rsidRPr="00634DFB">
              <w:rPr>
                <w:rFonts w:ascii="Times New Roman" w:eastAsia="Times New Roman" w:hAnsi="Times New Roman" w:cs="Times New Roman"/>
                <w:b/>
                <w:bCs/>
                <w:sz w:val="20"/>
                <w:szCs w:val="20"/>
                <w:lang w:eastAsia="ru-RU"/>
              </w:rPr>
              <w:t>Indicator</w:t>
            </w:r>
          </w:p>
        </w:tc>
        <w:tc>
          <w:tcPr>
            <w:tcW w:w="1529" w:type="dxa"/>
            <w:vAlign w:val="center"/>
            <w:hideMark/>
          </w:tcPr>
          <w:p w14:paraId="621C5FBF"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b/>
                <w:bCs/>
                <w:sz w:val="20"/>
                <w:szCs w:val="20"/>
                <w:lang w:eastAsia="ru-RU"/>
              </w:rPr>
            </w:pPr>
            <w:r w:rsidRPr="00634DFB">
              <w:rPr>
                <w:rFonts w:ascii="Times New Roman" w:eastAsia="Times New Roman" w:hAnsi="Times New Roman" w:cs="Times New Roman"/>
                <w:b/>
                <w:bCs/>
                <w:sz w:val="20"/>
                <w:szCs w:val="20"/>
                <w:lang w:eastAsia="ru-RU"/>
              </w:rPr>
              <w:t>Scenario A: without ESS</w:t>
            </w:r>
          </w:p>
        </w:tc>
        <w:tc>
          <w:tcPr>
            <w:tcW w:w="1387" w:type="dxa"/>
            <w:vAlign w:val="center"/>
            <w:hideMark/>
          </w:tcPr>
          <w:p w14:paraId="75920357"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b/>
                <w:bCs/>
                <w:sz w:val="20"/>
                <w:szCs w:val="20"/>
                <w:lang w:eastAsia="ru-RU"/>
              </w:rPr>
            </w:pPr>
            <w:r w:rsidRPr="00634DFB">
              <w:rPr>
                <w:rFonts w:ascii="Times New Roman" w:eastAsia="Times New Roman" w:hAnsi="Times New Roman" w:cs="Times New Roman"/>
                <w:b/>
                <w:bCs/>
                <w:sz w:val="20"/>
                <w:szCs w:val="20"/>
                <w:lang w:eastAsia="ru-RU"/>
              </w:rPr>
              <w:t>Scenario B: ESS portfolio</w:t>
            </w:r>
          </w:p>
        </w:tc>
        <w:tc>
          <w:tcPr>
            <w:tcW w:w="1388" w:type="dxa"/>
            <w:vAlign w:val="center"/>
            <w:hideMark/>
          </w:tcPr>
          <w:p w14:paraId="7D972274"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b/>
                <w:bCs/>
                <w:sz w:val="20"/>
                <w:szCs w:val="20"/>
                <w:lang w:eastAsia="ru-RU"/>
              </w:rPr>
            </w:pPr>
            <w:r w:rsidRPr="00634DFB">
              <w:rPr>
                <w:rFonts w:ascii="Times New Roman" w:eastAsia="Times New Roman" w:hAnsi="Times New Roman" w:cs="Times New Roman"/>
                <w:b/>
                <w:bCs/>
                <w:sz w:val="20"/>
                <w:szCs w:val="20"/>
                <w:lang w:eastAsia="ru-RU"/>
              </w:rPr>
              <w:t>Scenario C: ESS + FACTS</w:t>
            </w:r>
          </w:p>
        </w:tc>
        <w:tc>
          <w:tcPr>
            <w:tcW w:w="1246" w:type="dxa"/>
            <w:vAlign w:val="center"/>
            <w:hideMark/>
          </w:tcPr>
          <w:p w14:paraId="2A11B41A"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b/>
                <w:bCs/>
                <w:sz w:val="20"/>
                <w:szCs w:val="20"/>
                <w:lang w:eastAsia="ru-RU"/>
              </w:rPr>
            </w:pPr>
            <w:r w:rsidRPr="00634DFB">
              <w:rPr>
                <w:rFonts w:ascii="Times New Roman" w:eastAsia="Times New Roman" w:hAnsi="Times New Roman" w:cs="Times New Roman"/>
                <w:b/>
                <w:bCs/>
                <w:sz w:val="20"/>
                <w:szCs w:val="20"/>
                <w:lang w:eastAsia="ru-RU"/>
              </w:rPr>
              <w:t>Improvement B vs A</w:t>
            </w:r>
          </w:p>
        </w:tc>
        <w:tc>
          <w:tcPr>
            <w:tcW w:w="1089" w:type="dxa"/>
            <w:vAlign w:val="center"/>
            <w:hideMark/>
          </w:tcPr>
          <w:p w14:paraId="04371BF2"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b/>
                <w:bCs/>
                <w:sz w:val="20"/>
                <w:szCs w:val="20"/>
                <w:lang w:eastAsia="ru-RU"/>
              </w:rPr>
            </w:pPr>
            <w:r w:rsidRPr="00634DFB">
              <w:rPr>
                <w:rFonts w:ascii="Times New Roman" w:eastAsia="Times New Roman" w:hAnsi="Times New Roman" w:cs="Times New Roman"/>
                <w:b/>
                <w:bCs/>
                <w:sz w:val="20"/>
                <w:szCs w:val="20"/>
                <w:lang w:eastAsia="ru-RU"/>
              </w:rPr>
              <w:t>Improvement C vs A</w:t>
            </w:r>
          </w:p>
        </w:tc>
      </w:tr>
      <w:tr w:rsidR="00C12E09" w:rsidRPr="00634DFB" w14:paraId="624E9525" w14:textId="77777777" w:rsidTr="001A53CD">
        <w:trPr>
          <w:jc w:val="center"/>
        </w:trPr>
        <w:tc>
          <w:tcPr>
            <w:tcW w:w="2077" w:type="dxa"/>
            <w:vAlign w:val="center"/>
            <w:hideMark/>
          </w:tcPr>
          <w:p w14:paraId="63AE9CE7"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Curtailment, MWh</w:t>
            </w:r>
          </w:p>
        </w:tc>
        <w:tc>
          <w:tcPr>
            <w:tcW w:w="1529" w:type="dxa"/>
            <w:vAlign w:val="center"/>
            <w:hideMark/>
          </w:tcPr>
          <w:p w14:paraId="3CC64028"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900,000</w:t>
            </w:r>
          </w:p>
        </w:tc>
        <w:tc>
          <w:tcPr>
            <w:tcW w:w="1387" w:type="dxa"/>
            <w:vAlign w:val="center"/>
            <w:hideMark/>
          </w:tcPr>
          <w:p w14:paraId="1C980A23"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565,000</w:t>
            </w:r>
          </w:p>
        </w:tc>
        <w:tc>
          <w:tcPr>
            <w:tcW w:w="1388" w:type="dxa"/>
            <w:vAlign w:val="center"/>
            <w:hideMark/>
          </w:tcPr>
          <w:p w14:paraId="0FC99EC2"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480,000</w:t>
            </w:r>
          </w:p>
        </w:tc>
        <w:tc>
          <w:tcPr>
            <w:tcW w:w="1246" w:type="dxa"/>
            <w:vAlign w:val="center"/>
            <w:hideMark/>
          </w:tcPr>
          <w:p w14:paraId="44DC3B3D"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37.2%</w:t>
            </w:r>
          </w:p>
        </w:tc>
        <w:tc>
          <w:tcPr>
            <w:tcW w:w="1089" w:type="dxa"/>
            <w:vAlign w:val="center"/>
            <w:hideMark/>
          </w:tcPr>
          <w:p w14:paraId="4FD966EE"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46.7%</w:t>
            </w:r>
          </w:p>
        </w:tc>
      </w:tr>
      <w:tr w:rsidR="00C12E09" w:rsidRPr="00634DFB" w14:paraId="4FFC732B" w14:textId="77777777" w:rsidTr="001A53CD">
        <w:trPr>
          <w:jc w:val="center"/>
        </w:trPr>
        <w:tc>
          <w:tcPr>
            <w:tcW w:w="2077" w:type="dxa"/>
            <w:vAlign w:val="center"/>
            <w:hideMark/>
          </w:tcPr>
          <w:p w14:paraId="7BBCA0BA"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Active power losses, MWh</w:t>
            </w:r>
          </w:p>
        </w:tc>
        <w:tc>
          <w:tcPr>
            <w:tcW w:w="1529" w:type="dxa"/>
            <w:vAlign w:val="center"/>
            <w:hideMark/>
          </w:tcPr>
          <w:p w14:paraId="0E6EFC2E"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2,450,000</w:t>
            </w:r>
          </w:p>
        </w:tc>
        <w:tc>
          <w:tcPr>
            <w:tcW w:w="1387" w:type="dxa"/>
            <w:vAlign w:val="center"/>
            <w:hideMark/>
          </w:tcPr>
          <w:p w14:paraId="52CD26E2"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2,190,000</w:t>
            </w:r>
          </w:p>
        </w:tc>
        <w:tc>
          <w:tcPr>
            <w:tcW w:w="1388" w:type="dxa"/>
            <w:vAlign w:val="center"/>
            <w:hideMark/>
          </w:tcPr>
          <w:p w14:paraId="23599275"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2,120,000</w:t>
            </w:r>
          </w:p>
        </w:tc>
        <w:tc>
          <w:tcPr>
            <w:tcW w:w="1246" w:type="dxa"/>
            <w:vAlign w:val="center"/>
            <w:hideMark/>
          </w:tcPr>
          <w:p w14:paraId="3E544AA0"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10.6%</w:t>
            </w:r>
          </w:p>
        </w:tc>
        <w:tc>
          <w:tcPr>
            <w:tcW w:w="1089" w:type="dxa"/>
            <w:vAlign w:val="center"/>
            <w:hideMark/>
          </w:tcPr>
          <w:p w14:paraId="42BFB7D6"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13.5%</w:t>
            </w:r>
          </w:p>
        </w:tc>
      </w:tr>
      <w:tr w:rsidR="00C12E09" w:rsidRPr="00634DFB" w14:paraId="37160DB6" w14:textId="77777777" w:rsidTr="001A53CD">
        <w:trPr>
          <w:jc w:val="center"/>
        </w:trPr>
        <w:tc>
          <w:tcPr>
            <w:tcW w:w="2077" w:type="dxa"/>
            <w:vAlign w:val="center"/>
            <w:hideMark/>
          </w:tcPr>
          <w:p w14:paraId="22DB1E13"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Line overload hours, h</w:t>
            </w:r>
          </w:p>
        </w:tc>
        <w:tc>
          <w:tcPr>
            <w:tcW w:w="1529" w:type="dxa"/>
            <w:vAlign w:val="center"/>
            <w:hideMark/>
          </w:tcPr>
          <w:p w14:paraId="4B1D967E"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275</w:t>
            </w:r>
          </w:p>
        </w:tc>
        <w:tc>
          <w:tcPr>
            <w:tcW w:w="1387" w:type="dxa"/>
            <w:vAlign w:val="center"/>
            <w:hideMark/>
          </w:tcPr>
          <w:p w14:paraId="49234693"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135</w:t>
            </w:r>
          </w:p>
        </w:tc>
        <w:tc>
          <w:tcPr>
            <w:tcW w:w="1388" w:type="dxa"/>
            <w:vAlign w:val="center"/>
            <w:hideMark/>
          </w:tcPr>
          <w:p w14:paraId="69575755"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95</w:t>
            </w:r>
          </w:p>
        </w:tc>
        <w:tc>
          <w:tcPr>
            <w:tcW w:w="1246" w:type="dxa"/>
            <w:vAlign w:val="center"/>
            <w:hideMark/>
          </w:tcPr>
          <w:p w14:paraId="56BE413A"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50.9%</w:t>
            </w:r>
          </w:p>
        </w:tc>
        <w:tc>
          <w:tcPr>
            <w:tcW w:w="1089" w:type="dxa"/>
            <w:vAlign w:val="center"/>
            <w:hideMark/>
          </w:tcPr>
          <w:p w14:paraId="5BD936BE"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65.5%</w:t>
            </w:r>
          </w:p>
        </w:tc>
      </w:tr>
      <w:tr w:rsidR="00C12E09" w:rsidRPr="00634DFB" w14:paraId="5A2431EE" w14:textId="77777777" w:rsidTr="001A53CD">
        <w:trPr>
          <w:jc w:val="center"/>
        </w:trPr>
        <w:tc>
          <w:tcPr>
            <w:tcW w:w="2077" w:type="dxa"/>
            <w:vAlign w:val="center"/>
            <w:hideMark/>
          </w:tcPr>
          <w:p w14:paraId="6418CE2A"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Voltage violation hours, h</w:t>
            </w:r>
          </w:p>
        </w:tc>
        <w:tc>
          <w:tcPr>
            <w:tcW w:w="1529" w:type="dxa"/>
            <w:vAlign w:val="center"/>
            <w:hideMark/>
          </w:tcPr>
          <w:p w14:paraId="26AA134D"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470</w:t>
            </w:r>
          </w:p>
        </w:tc>
        <w:tc>
          <w:tcPr>
            <w:tcW w:w="1387" w:type="dxa"/>
            <w:vAlign w:val="center"/>
            <w:hideMark/>
          </w:tcPr>
          <w:p w14:paraId="65B335FB"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220</w:t>
            </w:r>
          </w:p>
        </w:tc>
        <w:tc>
          <w:tcPr>
            <w:tcW w:w="1388" w:type="dxa"/>
            <w:vAlign w:val="center"/>
            <w:hideMark/>
          </w:tcPr>
          <w:p w14:paraId="272AC330"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160</w:t>
            </w:r>
          </w:p>
        </w:tc>
        <w:tc>
          <w:tcPr>
            <w:tcW w:w="1246" w:type="dxa"/>
            <w:vAlign w:val="center"/>
            <w:hideMark/>
          </w:tcPr>
          <w:p w14:paraId="2E8EDC95"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53.2%</w:t>
            </w:r>
          </w:p>
        </w:tc>
        <w:tc>
          <w:tcPr>
            <w:tcW w:w="1089" w:type="dxa"/>
            <w:vAlign w:val="center"/>
            <w:hideMark/>
          </w:tcPr>
          <w:p w14:paraId="39B1194B"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66.0%</w:t>
            </w:r>
          </w:p>
        </w:tc>
      </w:tr>
      <w:tr w:rsidR="00C12E09" w:rsidRPr="00634DFB" w14:paraId="58494549" w14:textId="77777777" w:rsidTr="001A53CD">
        <w:trPr>
          <w:jc w:val="center"/>
        </w:trPr>
        <w:tc>
          <w:tcPr>
            <w:tcW w:w="2077" w:type="dxa"/>
            <w:vAlign w:val="center"/>
            <w:hideMark/>
          </w:tcPr>
          <w:p w14:paraId="399C4F94"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proofErr w:type="spellStart"/>
            <w:r w:rsidRPr="00634DFB">
              <w:rPr>
                <w:rFonts w:ascii="Times New Roman" w:eastAsia="Times New Roman" w:hAnsi="Times New Roman" w:cs="Times New Roman"/>
                <w:b/>
                <w:bCs/>
                <w:i/>
                <w:iCs/>
                <w:sz w:val="20"/>
                <w:szCs w:val="20"/>
                <w:lang w:eastAsia="ru-RU"/>
              </w:rPr>
              <w:t>Δf</w:t>
            </w:r>
            <w:proofErr w:type="spellEnd"/>
            <w:r w:rsidRPr="00634DFB">
              <w:rPr>
                <w:rFonts w:ascii="Times New Roman" w:eastAsia="Times New Roman" w:hAnsi="Times New Roman" w:cs="Times New Roman"/>
                <w:sz w:val="20"/>
                <w:szCs w:val="20"/>
                <w:lang w:eastAsia="ru-RU"/>
              </w:rPr>
              <w:t xml:space="preserve"> integral, </w:t>
            </w:r>
            <w:proofErr w:type="spellStart"/>
            <w:r w:rsidRPr="00634DFB">
              <w:rPr>
                <w:rFonts w:ascii="Times New Roman" w:eastAsia="Times New Roman" w:hAnsi="Times New Roman" w:cs="Times New Roman"/>
                <w:sz w:val="20"/>
                <w:szCs w:val="20"/>
                <w:lang w:eastAsia="ru-RU"/>
              </w:rPr>
              <w:t>Hz·h</w:t>
            </w:r>
            <w:proofErr w:type="spellEnd"/>
          </w:p>
        </w:tc>
        <w:tc>
          <w:tcPr>
            <w:tcW w:w="1529" w:type="dxa"/>
            <w:vAlign w:val="center"/>
            <w:hideMark/>
          </w:tcPr>
          <w:p w14:paraId="3CA5AB9F"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105.0</w:t>
            </w:r>
          </w:p>
        </w:tc>
        <w:tc>
          <w:tcPr>
            <w:tcW w:w="1387" w:type="dxa"/>
            <w:vAlign w:val="center"/>
            <w:hideMark/>
          </w:tcPr>
          <w:p w14:paraId="3AB5B7D9"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67.5</w:t>
            </w:r>
          </w:p>
        </w:tc>
        <w:tc>
          <w:tcPr>
            <w:tcW w:w="1388" w:type="dxa"/>
            <w:vAlign w:val="center"/>
            <w:hideMark/>
          </w:tcPr>
          <w:p w14:paraId="685AC570"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62.0</w:t>
            </w:r>
          </w:p>
        </w:tc>
        <w:tc>
          <w:tcPr>
            <w:tcW w:w="1246" w:type="dxa"/>
            <w:vAlign w:val="center"/>
            <w:hideMark/>
          </w:tcPr>
          <w:p w14:paraId="7D555012"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35.7%</w:t>
            </w:r>
          </w:p>
        </w:tc>
        <w:tc>
          <w:tcPr>
            <w:tcW w:w="1089" w:type="dxa"/>
            <w:vAlign w:val="center"/>
            <w:hideMark/>
          </w:tcPr>
          <w:p w14:paraId="4CEDC271"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41.0%</w:t>
            </w:r>
          </w:p>
        </w:tc>
      </w:tr>
      <w:tr w:rsidR="00C12E09" w:rsidRPr="00634DFB" w14:paraId="0B8CA3A7" w14:textId="77777777" w:rsidTr="001A53CD">
        <w:trPr>
          <w:jc w:val="center"/>
        </w:trPr>
        <w:tc>
          <w:tcPr>
            <w:tcW w:w="2077" w:type="dxa"/>
            <w:vAlign w:val="center"/>
            <w:hideMark/>
          </w:tcPr>
          <w:p w14:paraId="0DF3F25D"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 xml:space="preserve">Objective function </w:t>
            </w:r>
            <w:r w:rsidRPr="00634DFB">
              <w:rPr>
                <w:rFonts w:ascii="Times New Roman" w:eastAsia="Times New Roman" w:hAnsi="Times New Roman" w:cs="Times New Roman"/>
                <w:b/>
                <w:bCs/>
                <w:i/>
                <w:iCs/>
                <w:sz w:val="20"/>
                <w:szCs w:val="20"/>
                <w:lang w:eastAsia="ru-RU"/>
              </w:rPr>
              <w:t>J</w:t>
            </w:r>
            <w:r w:rsidRPr="00634DFB">
              <w:rPr>
                <w:rFonts w:ascii="Times New Roman" w:eastAsia="Times New Roman" w:hAnsi="Times New Roman" w:cs="Times New Roman"/>
                <w:sz w:val="20"/>
                <w:szCs w:val="20"/>
                <w:lang w:eastAsia="ru-RU"/>
              </w:rPr>
              <w:t>, rel. units</w:t>
            </w:r>
          </w:p>
        </w:tc>
        <w:tc>
          <w:tcPr>
            <w:tcW w:w="1529" w:type="dxa"/>
            <w:vAlign w:val="center"/>
            <w:hideMark/>
          </w:tcPr>
          <w:p w14:paraId="62A5A264"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1.00</w:t>
            </w:r>
          </w:p>
        </w:tc>
        <w:tc>
          <w:tcPr>
            <w:tcW w:w="1387" w:type="dxa"/>
            <w:vAlign w:val="center"/>
            <w:hideMark/>
          </w:tcPr>
          <w:p w14:paraId="0753B08C"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0.67</w:t>
            </w:r>
          </w:p>
        </w:tc>
        <w:tc>
          <w:tcPr>
            <w:tcW w:w="1388" w:type="dxa"/>
            <w:vAlign w:val="center"/>
            <w:hideMark/>
          </w:tcPr>
          <w:p w14:paraId="30A892A6"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0.60</w:t>
            </w:r>
          </w:p>
        </w:tc>
        <w:tc>
          <w:tcPr>
            <w:tcW w:w="1246" w:type="dxa"/>
            <w:vAlign w:val="center"/>
            <w:hideMark/>
          </w:tcPr>
          <w:p w14:paraId="4E0EAF17"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33.0%</w:t>
            </w:r>
          </w:p>
        </w:tc>
        <w:tc>
          <w:tcPr>
            <w:tcW w:w="1089" w:type="dxa"/>
            <w:vAlign w:val="center"/>
            <w:hideMark/>
          </w:tcPr>
          <w:p w14:paraId="245FD575" w14:textId="77777777" w:rsidR="00C12E09" w:rsidRPr="00634DFB" w:rsidRDefault="00C12E09" w:rsidP="00634DFB">
            <w:pPr>
              <w:shd w:val="clear" w:color="auto" w:fill="FFFFFF"/>
              <w:spacing w:after="0" w:line="240" w:lineRule="auto"/>
              <w:jc w:val="center"/>
              <w:rPr>
                <w:rFonts w:ascii="Times New Roman" w:eastAsia="Times New Roman" w:hAnsi="Times New Roman" w:cs="Times New Roman"/>
                <w:sz w:val="20"/>
                <w:szCs w:val="20"/>
                <w:lang w:eastAsia="ru-RU"/>
              </w:rPr>
            </w:pPr>
            <w:r w:rsidRPr="00634DFB">
              <w:rPr>
                <w:rFonts w:ascii="Times New Roman" w:eastAsia="Times New Roman" w:hAnsi="Times New Roman" w:cs="Times New Roman"/>
                <w:sz w:val="20"/>
                <w:szCs w:val="20"/>
                <w:lang w:eastAsia="ru-RU"/>
              </w:rPr>
              <w:t>40.0%</w:t>
            </w:r>
          </w:p>
        </w:tc>
      </w:tr>
      <w:bookmarkEnd w:id="1"/>
    </w:tbl>
    <w:p w14:paraId="1FAA9C02" w14:textId="77777777" w:rsidR="00A647D9" w:rsidRDefault="00A647D9" w:rsidP="00A647D9">
      <w:pPr>
        <w:spacing w:after="0" w:line="240" w:lineRule="auto"/>
        <w:rPr>
          <w:rFonts w:ascii="Times New Roman" w:eastAsia="Times New Roman" w:hAnsi="Times New Roman" w:cs="Times New Roman"/>
          <w:sz w:val="20"/>
          <w:szCs w:val="20"/>
          <w:lang w:val="ru-RU"/>
        </w:rPr>
      </w:pPr>
    </w:p>
    <w:p w14:paraId="02D6BFA2" w14:textId="77777777" w:rsidR="00A76022" w:rsidRPr="00A76022" w:rsidRDefault="00A76022" w:rsidP="00A76022">
      <w:pPr>
        <w:tabs>
          <w:tab w:val="left" w:pos="1500"/>
        </w:tabs>
        <w:spacing w:after="0" w:line="240" w:lineRule="auto"/>
        <w:ind w:firstLine="284"/>
        <w:jc w:val="both"/>
        <w:rPr>
          <w:rFonts w:ascii="Times New Roman" w:hAnsi="Times New Roman" w:cs="Times New Roman"/>
          <w:sz w:val="20"/>
          <w:szCs w:val="20"/>
        </w:rPr>
      </w:pPr>
      <w:r w:rsidRPr="00A76022">
        <w:rPr>
          <w:rFonts w:ascii="Times New Roman" w:hAnsi="Times New Roman" w:cs="Times New Roman"/>
          <w:sz w:val="20"/>
          <w:szCs w:val="20"/>
        </w:rPr>
        <w:t>In the absence of energy storage systems (ESS), power flows on 500 kV intersystem transmission lines exhibit significant variability and pronounced fluctuations over a typical week. During certain periods, the flows approach their permissible limits, indicating increased loading of intersystem connections and reduced operational flexibility of the power system.</w:t>
      </w:r>
    </w:p>
    <w:p w14:paraId="149B465D" w14:textId="3D151EA4" w:rsidR="00C12E09" w:rsidRDefault="00C12E09" w:rsidP="00634DFB">
      <w:pPr>
        <w:spacing w:after="0" w:line="240" w:lineRule="auto"/>
        <w:jc w:val="center"/>
        <w:rPr>
          <w:rFonts w:ascii="Times New Roman" w:hAnsi="Times New Roman" w:cs="Times New Roman"/>
          <w:sz w:val="20"/>
          <w:szCs w:val="20"/>
        </w:rPr>
      </w:pPr>
      <w:r w:rsidRPr="00634DFB">
        <w:rPr>
          <w:rFonts w:ascii="Times New Roman" w:hAnsi="Times New Roman" w:cs="Times New Roman"/>
          <w:noProof/>
          <w:sz w:val="20"/>
          <w:szCs w:val="20"/>
        </w:rPr>
        <w:lastRenderedPageBreak/>
        <w:drawing>
          <wp:inline distT="0" distB="0" distL="0" distR="0" wp14:anchorId="733D611F" wp14:editId="07310F9B">
            <wp:extent cx="5429250" cy="3559175"/>
            <wp:effectExtent l="0" t="0" r="0" b="3175"/>
            <wp:docPr id="6154612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559" t="2064" r="1066" b="1542"/>
                    <a:stretch>
                      <a:fillRect/>
                    </a:stretch>
                  </pic:blipFill>
                  <pic:spPr bwMode="auto">
                    <a:xfrm>
                      <a:off x="0" y="0"/>
                      <a:ext cx="5712946" cy="3745153"/>
                    </a:xfrm>
                    <a:prstGeom prst="rect">
                      <a:avLst/>
                    </a:prstGeom>
                    <a:noFill/>
                    <a:ln>
                      <a:noFill/>
                    </a:ln>
                    <a:extLst>
                      <a:ext uri="{53640926-AAD7-44D8-BBD7-CCE9431645EC}">
                        <a14:shadowObscured xmlns:a14="http://schemas.microsoft.com/office/drawing/2010/main"/>
                      </a:ext>
                    </a:extLst>
                  </pic:spPr>
                </pic:pic>
              </a:graphicData>
            </a:graphic>
          </wp:inline>
        </w:drawing>
      </w:r>
    </w:p>
    <w:p w14:paraId="0921022A" w14:textId="63F94153" w:rsidR="00634DFB" w:rsidRDefault="00A1082C" w:rsidP="00634DFB">
      <w:pPr>
        <w:spacing w:after="0" w:line="240" w:lineRule="auto"/>
        <w:jc w:val="center"/>
        <w:rPr>
          <w:rFonts w:ascii="Times New Roman" w:hAnsi="Times New Roman" w:cs="Times New Roman"/>
          <w:sz w:val="20"/>
          <w:szCs w:val="20"/>
        </w:rPr>
      </w:pPr>
      <w:r w:rsidRPr="00A647D9">
        <w:t>a</w:t>
      </w:r>
      <w:r w:rsidRPr="00A647D9">
        <w:rPr>
          <w:rFonts w:ascii="Times New Roman" w:hAnsi="Times New Roman" w:cs="Times New Roman"/>
          <w:sz w:val="20"/>
          <w:szCs w:val="20"/>
        </w:rPr>
        <w:t xml:space="preserve">) </w:t>
      </w:r>
      <w:r w:rsidR="00067B9C" w:rsidRPr="00A647D9">
        <w:rPr>
          <w:rFonts w:ascii="Times New Roman" w:hAnsi="Times New Roman" w:cs="Times New Roman"/>
          <w:sz w:val="20"/>
          <w:szCs w:val="20"/>
        </w:rPr>
        <w:t>500 kV intersystem line flows without ESS</w:t>
      </w:r>
      <w:r w:rsidRPr="00A647D9">
        <w:rPr>
          <w:rFonts w:ascii="Times New Roman" w:hAnsi="Times New Roman" w:cs="Times New Roman"/>
          <w:sz w:val="20"/>
          <w:szCs w:val="20"/>
        </w:rPr>
        <w:t>;</w:t>
      </w:r>
    </w:p>
    <w:p w14:paraId="76D2B539" w14:textId="77777777" w:rsidR="0037571B" w:rsidRPr="00634DFB" w:rsidRDefault="0037571B" w:rsidP="00634DFB">
      <w:pPr>
        <w:spacing w:after="0" w:line="240" w:lineRule="auto"/>
        <w:jc w:val="center"/>
        <w:rPr>
          <w:rFonts w:ascii="Times New Roman" w:hAnsi="Times New Roman" w:cs="Times New Roman"/>
          <w:sz w:val="20"/>
          <w:szCs w:val="20"/>
        </w:rPr>
      </w:pPr>
    </w:p>
    <w:p w14:paraId="288B26A6" w14:textId="7D567A6E" w:rsidR="00C12E09" w:rsidRDefault="00C12E09" w:rsidP="00634DFB">
      <w:pPr>
        <w:pStyle w:val="Text"/>
        <w:spacing w:line="240" w:lineRule="auto"/>
        <w:ind w:firstLine="0"/>
        <w:jc w:val="center"/>
        <w:rPr>
          <w:b/>
          <w:lang w:eastAsia="de-DE"/>
        </w:rPr>
      </w:pPr>
      <w:r w:rsidRPr="00634DFB">
        <w:rPr>
          <w:noProof/>
        </w:rPr>
        <w:drawing>
          <wp:inline distT="0" distB="0" distL="0" distR="0" wp14:anchorId="79A3BCC7" wp14:editId="1CBF12B8">
            <wp:extent cx="5400675" cy="3691255"/>
            <wp:effectExtent l="0" t="0" r="9525" b="4445"/>
            <wp:docPr id="145039033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
                      <a:extLst>
                        <a:ext uri="{28A0092B-C50C-407E-A947-70E740481C1C}">
                          <a14:useLocalDpi xmlns:a14="http://schemas.microsoft.com/office/drawing/2010/main" val="0"/>
                        </a:ext>
                      </a:extLst>
                    </a:blip>
                    <a:srcRect l="1242"/>
                    <a:stretch>
                      <a:fillRect/>
                    </a:stretch>
                  </pic:blipFill>
                  <pic:spPr bwMode="auto">
                    <a:xfrm>
                      <a:off x="0" y="0"/>
                      <a:ext cx="5575308" cy="3810613"/>
                    </a:xfrm>
                    <a:prstGeom prst="rect">
                      <a:avLst/>
                    </a:prstGeom>
                    <a:noFill/>
                    <a:ln>
                      <a:noFill/>
                    </a:ln>
                    <a:extLst>
                      <a:ext uri="{53640926-AAD7-44D8-BBD7-CCE9431645EC}">
                        <a14:shadowObscured xmlns:a14="http://schemas.microsoft.com/office/drawing/2010/main"/>
                      </a:ext>
                    </a:extLst>
                  </pic:spPr>
                </pic:pic>
              </a:graphicData>
            </a:graphic>
          </wp:inline>
        </w:drawing>
      </w:r>
    </w:p>
    <w:p w14:paraId="5FC11B41" w14:textId="6D85F8B3" w:rsidR="00A1082C" w:rsidRPr="00634DFB" w:rsidRDefault="00A1082C" w:rsidP="00A1082C">
      <w:pPr>
        <w:pStyle w:val="Text"/>
        <w:spacing w:line="240" w:lineRule="auto"/>
        <w:ind w:firstLine="0"/>
        <w:jc w:val="center"/>
      </w:pPr>
      <w:r w:rsidRPr="00A647D9">
        <w:t xml:space="preserve">b) </w:t>
      </w:r>
      <w:r w:rsidR="00067B9C" w:rsidRPr="00A647D9">
        <w:rPr>
          <w:rFonts w:eastAsiaTheme="minorHAnsi"/>
        </w:rPr>
        <w:t xml:space="preserve">500 kV intersystem line </w:t>
      </w:r>
      <w:r w:rsidR="00067B9C" w:rsidRPr="00A647D9">
        <w:t>flows</w:t>
      </w:r>
      <w:r w:rsidR="00067B9C" w:rsidRPr="00A647D9">
        <w:rPr>
          <w:rFonts w:eastAsiaTheme="minorHAnsi"/>
        </w:rPr>
        <w:t xml:space="preserve"> with ESS</w:t>
      </w:r>
    </w:p>
    <w:p w14:paraId="73A1E619" w14:textId="34ED97E9" w:rsidR="00F36125" w:rsidRDefault="00F36125" w:rsidP="00634DFB">
      <w:pPr>
        <w:pStyle w:val="Text"/>
        <w:spacing w:line="240" w:lineRule="auto"/>
        <w:ind w:firstLine="0"/>
        <w:jc w:val="center"/>
      </w:pPr>
      <w:r w:rsidRPr="00634DFB">
        <w:rPr>
          <w:b/>
          <w:lang w:eastAsia="de-DE"/>
        </w:rPr>
        <w:t>FIGURE</w:t>
      </w:r>
      <w:r w:rsidRPr="00634DFB">
        <w:rPr>
          <w:b/>
          <w:bCs/>
        </w:rPr>
        <w:t xml:space="preserve"> 2. </w:t>
      </w:r>
      <w:r w:rsidRPr="00634DFB">
        <w:t>500 kV intersystem line flows without ESS portfolio and with ESS portfolio for a typical week</w:t>
      </w:r>
      <w:r w:rsidR="00634DFB">
        <w:t xml:space="preserve"> </w:t>
      </w:r>
    </w:p>
    <w:p w14:paraId="4632A05A" w14:textId="77777777" w:rsidR="00A76022" w:rsidRPr="00A76022" w:rsidRDefault="00A76022" w:rsidP="00A76022">
      <w:pPr>
        <w:tabs>
          <w:tab w:val="left" w:pos="1500"/>
        </w:tabs>
        <w:spacing w:after="0" w:line="240" w:lineRule="auto"/>
        <w:ind w:firstLine="284"/>
        <w:jc w:val="both"/>
        <w:rPr>
          <w:rFonts w:ascii="Times New Roman" w:hAnsi="Times New Roman" w:cs="Times New Roman"/>
          <w:sz w:val="20"/>
          <w:szCs w:val="20"/>
        </w:rPr>
      </w:pPr>
      <w:r w:rsidRPr="00A76022">
        <w:rPr>
          <w:rFonts w:ascii="Times New Roman" w:hAnsi="Times New Roman" w:cs="Times New Roman"/>
          <w:sz w:val="20"/>
          <w:szCs w:val="20"/>
        </w:rPr>
        <w:lastRenderedPageBreak/>
        <w:t>The integration of an ESS portfolio results in a noticeable smoothing of power flow profiles. Energy storage enables the absorption of surplus generation during low-demand periods and its release during peak-demand hours. This leads to a reduction in peak power flows on the 500 kV lines and a decrease in daily and weekly flow variability.</w:t>
      </w:r>
    </w:p>
    <w:p w14:paraId="1F3E82AD" w14:textId="77777777" w:rsidR="00A76022" w:rsidRPr="00A76022" w:rsidRDefault="00A76022" w:rsidP="00A76022">
      <w:pPr>
        <w:tabs>
          <w:tab w:val="left" w:pos="1500"/>
        </w:tabs>
        <w:spacing w:after="0" w:line="240" w:lineRule="auto"/>
        <w:ind w:firstLine="284"/>
        <w:jc w:val="both"/>
        <w:rPr>
          <w:rFonts w:ascii="Times New Roman" w:hAnsi="Times New Roman" w:cs="Times New Roman"/>
          <w:sz w:val="20"/>
          <w:szCs w:val="20"/>
        </w:rPr>
      </w:pPr>
      <w:r w:rsidRPr="00A76022">
        <w:rPr>
          <w:rFonts w:ascii="Times New Roman" w:hAnsi="Times New Roman" w:cs="Times New Roman"/>
          <w:sz w:val="20"/>
          <w:szCs w:val="20"/>
        </w:rPr>
        <w:t>Overall, the deployment of ESS enhances the stability of intersystem power flow regimes, mitigates the risk of transmission line overloads, and improves the utilization efficiency of existing transmission infrastructure.</w:t>
      </w:r>
    </w:p>
    <w:p w14:paraId="709D3EAC" w14:textId="41B24A9D" w:rsidR="00F52CFC" w:rsidRPr="00634DFB" w:rsidRDefault="00F52CFC" w:rsidP="00634DFB">
      <w:pPr>
        <w:tabs>
          <w:tab w:val="left" w:pos="1500"/>
        </w:tabs>
        <w:spacing w:after="0" w:line="240" w:lineRule="auto"/>
        <w:ind w:firstLine="284"/>
        <w:jc w:val="both"/>
        <w:rPr>
          <w:rFonts w:ascii="Times New Roman" w:hAnsi="Times New Roman" w:cs="Times New Roman"/>
          <w:sz w:val="20"/>
          <w:szCs w:val="20"/>
        </w:rPr>
      </w:pPr>
      <w:r w:rsidRPr="00634DFB">
        <w:rPr>
          <w:rFonts w:ascii="Times New Roman" w:hAnsi="Times New Roman" w:cs="Times New Roman"/>
          <w:sz w:val="20"/>
          <w:szCs w:val="20"/>
        </w:rPr>
        <w:t>Simultaneously, the importance of long-term storage technologies is growing, including Liquid Air Energy Storage (LAES) cryogenic solutions, which have demonstrated an industrial-scale deployment of 5 MW for 15 MWh [14].</w:t>
      </w:r>
    </w:p>
    <w:p w14:paraId="5B7A3828" w14:textId="77777777" w:rsidR="00F52CFC" w:rsidRPr="00634DFB" w:rsidRDefault="00F52CFC" w:rsidP="00634DFB">
      <w:pPr>
        <w:tabs>
          <w:tab w:val="left" w:pos="1500"/>
        </w:tabs>
        <w:spacing w:after="0" w:line="240" w:lineRule="auto"/>
        <w:ind w:firstLine="284"/>
        <w:jc w:val="both"/>
        <w:rPr>
          <w:rFonts w:ascii="Times New Roman" w:hAnsi="Times New Roman" w:cs="Times New Roman"/>
          <w:sz w:val="20"/>
          <w:szCs w:val="20"/>
        </w:rPr>
      </w:pPr>
      <w:r w:rsidRPr="00634DFB">
        <w:rPr>
          <w:rFonts w:ascii="Times New Roman" w:hAnsi="Times New Roman" w:cs="Times New Roman"/>
          <w:sz w:val="20"/>
          <w:szCs w:val="20"/>
        </w:rPr>
        <w:t>For the region, scaling up BESS as a driver of operational flexibility in combination with potential pumped-storage hydroelectric schemes based on existing reservoirs and improving mechanisms for inter-system coordination is a priority [11, 12].</w:t>
      </w:r>
    </w:p>
    <w:p w14:paraId="72ED363A" w14:textId="388D99F0" w:rsidR="00F36125" w:rsidRPr="00585205" w:rsidRDefault="008E7165" w:rsidP="008E7165">
      <w:pPr>
        <w:tabs>
          <w:tab w:val="left" w:pos="1500"/>
        </w:tabs>
        <w:spacing w:line="240" w:lineRule="auto"/>
        <w:ind w:firstLine="284"/>
        <w:jc w:val="center"/>
        <w:rPr>
          <w:rFonts w:ascii="Times New Roman" w:hAnsi="Times New Roman" w:cs="Times New Roman"/>
          <w:b/>
          <w:bCs/>
        </w:rPr>
      </w:pPr>
      <w:r w:rsidRPr="00585205">
        <w:rPr>
          <w:rFonts w:ascii="Times New Roman" w:hAnsi="Times New Roman" w:cs="Times New Roman"/>
          <w:b/>
          <w:bCs/>
        </w:rPr>
        <w:t>CONCLUSION</w:t>
      </w:r>
    </w:p>
    <w:p w14:paraId="25E4732E" w14:textId="26164B30" w:rsidR="00F53273" w:rsidRPr="00287E0A" w:rsidRDefault="00F36125" w:rsidP="00634DFB">
      <w:pPr>
        <w:tabs>
          <w:tab w:val="left" w:pos="1500"/>
        </w:tabs>
        <w:spacing w:after="0" w:line="240" w:lineRule="auto"/>
        <w:ind w:firstLine="284"/>
        <w:jc w:val="both"/>
        <w:rPr>
          <w:rFonts w:ascii="Times New Roman" w:hAnsi="Times New Roman" w:cs="Times New Roman"/>
          <w:sz w:val="20"/>
        </w:rPr>
      </w:pPr>
      <w:r w:rsidRPr="00AE2525">
        <w:rPr>
          <w:rFonts w:ascii="Times New Roman" w:hAnsi="Times New Roman" w:cs="Times New Roman"/>
          <w:sz w:val="20"/>
          <w:szCs w:val="20"/>
        </w:rPr>
        <w:t>The integration of renewable energy sources into the Central Asian Unified Power System creates opportunities for decarbonization and increased stability but places higher demands on flexibility. The coordinated use of energy storage systems, local reactive power support, and digital control platforms allows for a reduction in forced renewable energy source curtailments, a decrease in transmission line overloads, an improvement in voltage and frequency indicators, and a reduction in operating costs. For Uzbekistan, battery systems are the most promising in the medium term, while in the long term, the combination of Battery Energy Storage Systems with long-term storage solutions and the development of a market architecture for reserves and imbalances contributes to efficiency.</w:t>
      </w:r>
    </w:p>
    <w:p w14:paraId="5FF2BC5A" w14:textId="585DE9F0" w:rsidR="00F84944" w:rsidRPr="00F20369"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F20369">
        <w:rPr>
          <w:rFonts w:ascii="Times New Roman" w:hAnsi="Times New Roman" w:cs="Times New Roman"/>
          <w:b/>
          <w:sz w:val="24"/>
          <w:szCs w:val="24"/>
        </w:rPr>
        <w:t>REFERENCES</w:t>
      </w:r>
    </w:p>
    <w:p w14:paraId="395BA819" w14:textId="51FCB59B" w:rsidR="00F36125" w:rsidRPr="00634DFB" w:rsidRDefault="00F36125" w:rsidP="00634DFB">
      <w:pPr>
        <w:pBdr>
          <w:top w:val="nil"/>
          <w:left w:val="nil"/>
          <w:bottom w:val="nil"/>
          <w:right w:val="nil"/>
          <w:between w:val="nil"/>
        </w:pBdr>
        <w:tabs>
          <w:tab w:val="left" w:pos="2992"/>
          <w:tab w:val="left" w:pos="2997"/>
          <w:tab w:val="left" w:pos="3261"/>
        </w:tabs>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1.</w:t>
      </w:r>
      <w:r w:rsidR="001473EF" w:rsidRPr="00634DFB">
        <w:rPr>
          <w:rFonts w:ascii="Times New Roman" w:hAnsi="Times New Roman" w:cs="Times New Roman"/>
          <w:sz w:val="20"/>
          <w:szCs w:val="20"/>
          <w:lang w:val="uz-Cyrl-UZ"/>
        </w:rPr>
        <w:t xml:space="preserve"> </w:t>
      </w:r>
      <w:r w:rsidRPr="00634DFB">
        <w:rPr>
          <w:rFonts w:ascii="Times New Roman" w:hAnsi="Times New Roman" w:cs="Times New Roman"/>
          <w:sz w:val="20"/>
          <w:szCs w:val="20"/>
        </w:rPr>
        <w:t>Concept for Ensuring the Electricity Supply of the Republic of Uzbekistan for 2020–2030. Ministry of Energy of the Republic of Uzbekistan.</w:t>
      </w:r>
    </w:p>
    <w:p w14:paraId="0C4C8966" w14:textId="69246396" w:rsidR="00F36125" w:rsidRPr="00634DFB" w:rsidRDefault="00F36125" w:rsidP="00634DFB">
      <w:pPr>
        <w:pBdr>
          <w:top w:val="nil"/>
          <w:left w:val="nil"/>
          <w:bottom w:val="nil"/>
          <w:right w:val="nil"/>
          <w:between w:val="nil"/>
        </w:pBdr>
        <w:tabs>
          <w:tab w:val="left" w:pos="2992"/>
          <w:tab w:val="left" w:pos="2997"/>
          <w:tab w:val="left" w:pos="3261"/>
        </w:tabs>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2.</w:t>
      </w:r>
      <w:r w:rsidR="001473EF" w:rsidRPr="00634DFB">
        <w:rPr>
          <w:rFonts w:ascii="Times New Roman" w:hAnsi="Times New Roman" w:cs="Times New Roman"/>
          <w:sz w:val="20"/>
          <w:szCs w:val="20"/>
          <w:lang w:val="uz-Cyrl-UZ"/>
        </w:rPr>
        <w:t xml:space="preserve"> </w:t>
      </w:r>
      <w:r w:rsidRPr="00634DFB">
        <w:rPr>
          <w:rFonts w:ascii="Times New Roman" w:hAnsi="Times New Roman" w:cs="Times New Roman"/>
          <w:sz w:val="20"/>
          <w:szCs w:val="20"/>
        </w:rPr>
        <w:t xml:space="preserve">Nasirov T. Kh., Trofimov G. G., </w:t>
      </w:r>
      <w:proofErr w:type="spellStart"/>
      <w:r w:rsidRPr="00634DFB">
        <w:rPr>
          <w:rFonts w:ascii="Times New Roman" w:hAnsi="Times New Roman" w:cs="Times New Roman"/>
          <w:sz w:val="20"/>
          <w:szCs w:val="20"/>
        </w:rPr>
        <w:t>Khamidov</w:t>
      </w:r>
      <w:proofErr w:type="spellEnd"/>
      <w:r w:rsidRPr="00634DFB">
        <w:rPr>
          <w:rFonts w:ascii="Times New Roman" w:hAnsi="Times New Roman" w:cs="Times New Roman"/>
          <w:sz w:val="20"/>
          <w:szCs w:val="20"/>
        </w:rPr>
        <w:t xml:space="preserve"> Sh.</w:t>
      </w:r>
      <w:r w:rsidR="00E24D26" w:rsidRPr="00634DFB">
        <w:rPr>
          <w:rFonts w:ascii="Times New Roman" w:hAnsi="Times New Roman" w:cs="Times New Roman"/>
          <w:sz w:val="20"/>
          <w:szCs w:val="20"/>
        </w:rPr>
        <w:t>,</w:t>
      </w:r>
      <w:r w:rsidRPr="00634DFB">
        <w:rPr>
          <w:rFonts w:ascii="Times New Roman" w:hAnsi="Times New Roman" w:cs="Times New Roman"/>
          <w:sz w:val="20"/>
          <w:szCs w:val="20"/>
        </w:rPr>
        <w:t xml:space="preserve"> </w:t>
      </w:r>
      <w:r w:rsidR="00E24D26" w:rsidRPr="00634DFB">
        <w:rPr>
          <w:rFonts w:ascii="Times New Roman" w:hAnsi="Times New Roman" w:cs="Times New Roman"/>
          <w:sz w:val="20"/>
          <w:szCs w:val="20"/>
        </w:rPr>
        <w:t>R.M. Tanirbergenov</w:t>
      </w:r>
      <w:r w:rsidRPr="00634DFB">
        <w:rPr>
          <w:rFonts w:ascii="Times New Roman" w:hAnsi="Times New Roman" w:cs="Times New Roman"/>
          <w:sz w:val="20"/>
          <w:szCs w:val="20"/>
        </w:rPr>
        <w:t>. Issues of Reliability and Sustainable Development of the United Power System of Central Asia under Increasing Electricity Consumption. Methodological Issues of Reliability Studies of Large Power Systems, Issue 74, Irkutsk, 2023, pp. 723–732.</w:t>
      </w:r>
      <w:r w:rsidR="00E24D26" w:rsidRPr="00634DFB">
        <w:rPr>
          <w:rFonts w:ascii="Times New Roman" w:hAnsi="Times New Roman" w:cs="Times New Roman"/>
          <w:sz w:val="20"/>
          <w:szCs w:val="20"/>
        </w:rPr>
        <w:t xml:space="preserve"> </w:t>
      </w:r>
      <w:r w:rsidR="00E24D26" w:rsidRPr="00634DFB">
        <w:rPr>
          <w:rStyle w:val="a6"/>
          <w:rFonts w:ascii="Times New Roman" w:hAnsi="Times New Roman" w:cs="Times New Roman"/>
          <w:color w:val="auto"/>
          <w:sz w:val="20"/>
          <w:szCs w:val="20"/>
          <w:u w:val="none"/>
        </w:rPr>
        <w:t>https://www.e3s-conferences.org/articles/e3sconf/abs/2023/98/e3sconf_rses23_01038/e3sconf_rses23_01038.html</w:t>
      </w:r>
    </w:p>
    <w:p w14:paraId="6F3FB803" w14:textId="3360B3D1" w:rsidR="00F36125" w:rsidRPr="00634DFB" w:rsidRDefault="00F36125" w:rsidP="00634DFB">
      <w:pPr>
        <w:pBdr>
          <w:top w:val="nil"/>
          <w:left w:val="nil"/>
          <w:bottom w:val="nil"/>
          <w:right w:val="nil"/>
          <w:between w:val="nil"/>
        </w:pBdr>
        <w:tabs>
          <w:tab w:val="left" w:pos="2992"/>
          <w:tab w:val="left" w:pos="2997"/>
          <w:tab w:val="left" w:pos="3261"/>
        </w:tabs>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3.</w:t>
      </w:r>
      <w:r w:rsidR="001473EF" w:rsidRPr="00634DFB">
        <w:rPr>
          <w:rFonts w:ascii="Times New Roman" w:hAnsi="Times New Roman" w:cs="Times New Roman"/>
          <w:sz w:val="20"/>
          <w:szCs w:val="20"/>
          <w:lang w:val="uz-Cyrl-UZ"/>
        </w:rPr>
        <w:t xml:space="preserve"> </w:t>
      </w:r>
      <w:proofErr w:type="spellStart"/>
      <w:r w:rsidRPr="00634DFB">
        <w:rPr>
          <w:rFonts w:ascii="Times New Roman" w:hAnsi="Times New Roman" w:cs="Times New Roman"/>
          <w:sz w:val="20"/>
          <w:szCs w:val="20"/>
        </w:rPr>
        <w:t>Khamidov</w:t>
      </w:r>
      <w:proofErr w:type="spellEnd"/>
      <w:r w:rsidRPr="00634DFB">
        <w:rPr>
          <w:rFonts w:ascii="Times New Roman" w:hAnsi="Times New Roman" w:cs="Times New Roman"/>
          <w:sz w:val="20"/>
          <w:szCs w:val="20"/>
        </w:rPr>
        <w:t xml:space="preserve"> Sh. V., </w:t>
      </w:r>
      <w:proofErr w:type="spellStart"/>
      <w:r w:rsidRPr="00634DFB">
        <w:rPr>
          <w:rFonts w:ascii="Times New Roman" w:hAnsi="Times New Roman" w:cs="Times New Roman"/>
          <w:sz w:val="20"/>
          <w:szCs w:val="20"/>
        </w:rPr>
        <w:t>Shamsiev</w:t>
      </w:r>
      <w:proofErr w:type="spellEnd"/>
      <w:r w:rsidRPr="00634DFB">
        <w:rPr>
          <w:rFonts w:ascii="Times New Roman" w:hAnsi="Times New Roman" w:cs="Times New Roman"/>
          <w:sz w:val="20"/>
          <w:szCs w:val="20"/>
        </w:rPr>
        <w:t xml:space="preserve"> B. Kh., </w:t>
      </w:r>
      <w:proofErr w:type="spellStart"/>
      <w:r w:rsidRPr="00634DFB">
        <w:rPr>
          <w:rFonts w:ascii="Times New Roman" w:hAnsi="Times New Roman" w:cs="Times New Roman"/>
          <w:sz w:val="20"/>
          <w:szCs w:val="20"/>
        </w:rPr>
        <w:t>Shamsiev</w:t>
      </w:r>
      <w:proofErr w:type="spellEnd"/>
      <w:r w:rsidRPr="00634DFB">
        <w:rPr>
          <w:rFonts w:ascii="Times New Roman" w:hAnsi="Times New Roman" w:cs="Times New Roman"/>
          <w:sz w:val="20"/>
          <w:szCs w:val="20"/>
        </w:rPr>
        <w:t xml:space="preserve"> Kh. A. Increasing the Reliability of the United Power Systems of Central Asia in Conditions of Energy Transition. E3S Web of Conferences 384, 01020, 2023.</w:t>
      </w:r>
      <w:r w:rsidR="00E24D26" w:rsidRPr="00634DFB">
        <w:rPr>
          <w:rFonts w:ascii="Times New Roman" w:hAnsi="Times New Roman" w:cs="Times New Roman"/>
          <w:sz w:val="20"/>
          <w:szCs w:val="20"/>
        </w:rPr>
        <w:t xml:space="preserve"> </w:t>
      </w:r>
      <w:r w:rsidR="00E24D26" w:rsidRPr="00634DFB">
        <w:rPr>
          <w:rStyle w:val="a6"/>
          <w:rFonts w:ascii="Times New Roman" w:hAnsi="Times New Roman" w:cs="Times New Roman"/>
          <w:color w:val="auto"/>
          <w:sz w:val="20"/>
          <w:szCs w:val="20"/>
          <w:u w:val="none"/>
        </w:rPr>
        <w:t>https://www.e3s-conferences.org/articles/e3sconf/abs/2023/21/e3sconf_rses2023_01020/e3sconf_rses2023_01020.html</w:t>
      </w:r>
    </w:p>
    <w:p w14:paraId="7A834080" w14:textId="261192BB" w:rsidR="00F36125" w:rsidRPr="00634DFB" w:rsidRDefault="00F36125" w:rsidP="00634DFB">
      <w:pPr>
        <w:pBdr>
          <w:top w:val="nil"/>
          <w:left w:val="nil"/>
          <w:bottom w:val="nil"/>
          <w:right w:val="nil"/>
          <w:between w:val="nil"/>
        </w:pBdr>
        <w:tabs>
          <w:tab w:val="left" w:pos="2992"/>
          <w:tab w:val="left" w:pos="2997"/>
          <w:tab w:val="left" w:pos="3261"/>
        </w:tabs>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4.</w:t>
      </w:r>
      <w:r w:rsidR="001473EF" w:rsidRPr="00634DFB">
        <w:rPr>
          <w:rFonts w:ascii="Times New Roman" w:hAnsi="Times New Roman" w:cs="Times New Roman"/>
          <w:sz w:val="20"/>
          <w:szCs w:val="20"/>
          <w:lang w:val="uz-Cyrl-UZ"/>
        </w:rPr>
        <w:t xml:space="preserve"> </w:t>
      </w:r>
      <w:proofErr w:type="spellStart"/>
      <w:r w:rsidRPr="00634DFB">
        <w:rPr>
          <w:rFonts w:ascii="Times New Roman" w:hAnsi="Times New Roman" w:cs="Times New Roman"/>
          <w:sz w:val="20"/>
          <w:szCs w:val="20"/>
        </w:rPr>
        <w:t>Shamsiev</w:t>
      </w:r>
      <w:proofErr w:type="spellEnd"/>
      <w:r w:rsidRPr="00634DFB">
        <w:rPr>
          <w:rFonts w:ascii="Times New Roman" w:hAnsi="Times New Roman" w:cs="Times New Roman"/>
          <w:sz w:val="20"/>
          <w:szCs w:val="20"/>
        </w:rPr>
        <w:t xml:space="preserve"> Kh. A., </w:t>
      </w:r>
      <w:proofErr w:type="spellStart"/>
      <w:r w:rsidRPr="00634DFB">
        <w:rPr>
          <w:rFonts w:ascii="Times New Roman" w:hAnsi="Times New Roman" w:cs="Times New Roman"/>
          <w:sz w:val="20"/>
          <w:szCs w:val="20"/>
        </w:rPr>
        <w:t>Shamsiev</w:t>
      </w:r>
      <w:proofErr w:type="spellEnd"/>
      <w:r w:rsidRPr="00634DFB">
        <w:rPr>
          <w:rFonts w:ascii="Times New Roman" w:hAnsi="Times New Roman" w:cs="Times New Roman"/>
          <w:sz w:val="20"/>
          <w:szCs w:val="20"/>
        </w:rPr>
        <w:t xml:space="preserve"> B. Kh. Lessons from the Blackout in the Central Asian Power System. Problems of Energy and Resource Saving, 2022, No. 1, pp. 29–37.</w:t>
      </w:r>
    </w:p>
    <w:p w14:paraId="184E609E" w14:textId="77A36BA0" w:rsidR="00F36125" w:rsidRPr="00634DFB" w:rsidRDefault="00F36125" w:rsidP="00634DFB">
      <w:pPr>
        <w:pBdr>
          <w:top w:val="nil"/>
          <w:left w:val="nil"/>
          <w:bottom w:val="nil"/>
          <w:right w:val="nil"/>
          <w:between w:val="nil"/>
        </w:pBdr>
        <w:tabs>
          <w:tab w:val="left" w:pos="2992"/>
          <w:tab w:val="left" w:pos="2997"/>
          <w:tab w:val="left" w:pos="3261"/>
        </w:tabs>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5.</w:t>
      </w:r>
      <w:r w:rsidR="001473EF" w:rsidRPr="00634DFB">
        <w:rPr>
          <w:rFonts w:ascii="Times New Roman" w:hAnsi="Times New Roman" w:cs="Times New Roman"/>
          <w:sz w:val="20"/>
          <w:szCs w:val="20"/>
          <w:lang w:val="uz-Cyrl-UZ"/>
        </w:rPr>
        <w:t xml:space="preserve"> </w:t>
      </w:r>
      <w:r w:rsidRPr="00634DFB">
        <w:rPr>
          <w:rFonts w:ascii="Times New Roman" w:hAnsi="Times New Roman" w:cs="Times New Roman"/>
          <w:sz w:val="20"/>
          <w:szCs w:val="20"/>
        </w:rPr>
        <w:t>Worku, Y.; Mengistu, T. Large</w:t>
      </w:r>
      <w:r w:rsidRPr="00634DFB">
        <w:rPr>
          <w:rFonts w:ascii="Times New Roman" w:hAnsi="Times New Roman" w:cs="Times New Roman"/>
          <w:sz w:val="20"/>
          <w:szCs w:val="20"/>
        </w:rPr>
        <w:noBreakHyphen/>
        <w:t xml:space="preserve">Scale Renewable Energy Integration: Tackling Technical Obstacles and Exploring Energy Storage Innovations. </w:t>
      </w:r>
      <w:r w:rsidRPr="00634DFB">
        <w:rPr>
          <w:rFonts w:ascii="Times New Roman" w:hAnsi="Times New Roman" w:cs="Times New Roman"/>
          <w:i/>
          <w:iCs/>
          <w:sz w:val="20"/>
          <w:szCs w:val="20"/>
        </w:rPr>
        <w:t>Sustainability</w:t>
      </w:r>
      <w:r w:rsidRPr="00634DFB">
        <w:rPr>
          <w:rFonts w:ascii="Times New Roman" w:hAnsi="Times New Roman" w:cs="Times New Roman"/>
          <w:sz w:val="20"/>
          <w:szCs w:val="20"/>
        </w:rPr>
        <w:t xml:space="preserve">, 2025, 17(3), 1311. </w:t>
      </w:r>
      <w:r w:rsidR="00E24D26" w:rsidRPr="00634DFB">
        <w:rPr>
          <w:rStyle w:val="a6"/>
          <w:rFonts w:ascii="Times New Roman" w:hAnsi="Times New Roman" w:cs="Times New Roman"/>
          <w:color w:val="auto"/>
          <w:sz w:val="20"/>
          <w:szCs w:val="20"/>
          <w:u w:val="none"/>
        </w:rPr>
        <w:t>https://doi.org/10.3390/su17031311</w:t>
      </w:r>
    </w:p>
    <w:p w14:paraId="11DD5974" w14:textId="19BA7869" w:rsidR="00F36125" w:rsidRPr="00634DFB" w:rsidRDefault="00F36125" w:rsidP="00634DFB">
      <w:pPr>
        <w:pBdr>
          <w:top w:val="nil"/>
          <w:left w:val="nil"/>
          <w:bottom w:val="nil"/>
          <w:right w:val="nil"/>
          <w:between w:val="nil"/>
        </w:pBdr>
        <w:tabs>
          <w:tab w:val="left" w:pos="2992"/>
          <w:tab w:val="left" w:pos="2997"/>
          <w:tab w:val="left" w:pos="3261"/>
        </w:tabs>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6.</w:t>
      </w:r>
      <w:r w:rsidR="001473EF" w:rsidRPr="00634DFB">
        <w:rPr>
          <w:rFonts w:ascii="Times New Roman" w:hAnsi="Times New Roman" w:cs="Times New Roman"/>
          <w:sz w:val="20"/>
          <w:szCs w:val="20"/>
          <w:lang w:val="uz-Cyrl-UZ"/>
        </w:rPr>
        <w:t xml:space="preserve"> </w:t>
      </w:r>
      <w:r w:rsidRPr="00634DFB">
        <w:rPr>
          <w:rFonts w:ascii="Times New Roman" w:hAnsi="Times New Roman" w:cs="Times New Roman"/>
          <w:sz w:val="20"/>
          <w:szCs w:val="20"/>
        </w:rPr>
        <w:t xml:space="preserve">Li, Z.; Wang, J.; Chen, L. Optimal configuration of energy storage considering flexibility requirements and operational risks in a power system. </w:t>
      </w:r>
      <w:r w:rsidRPr="00634DFB">
        <w:rPr>
          <w:rFonts w:ascii="Times New Roman" w:hAnsi="Times New Roman" w:cs="Times New Roman"/>
          <w:i/>
          <w:iCs/>
          <w:sz w:val="20"/>
          <w:szCs w:val="20"/>
        </w:rPr>
        <w:t>Frontiers in Energy Research</w:t>
      </w:r>
      <w:r w:rsidRPr="00634DFB">
        <w:rPr>
          <w:rFonts w:ascii="Times New Roman" w:hAnsi="Times New Roman" w:cs="Times New Roman"/>
          <w:sz w:val="20"/>
          <w:szCs w:val="20"/>
        </w:rPr>
        <w:t xml:space="preserve">, 2024, 12, 1351569. </w:t>
      </w:r>
      <w:r w:rsidR="00E24D26" w:rsidRPr="00634DFB">
        <w:rPr>
          <w:rStyle w:val="a6"/>
          <w:rFonts w:ascii="Times New Roman" w:hAnsi="Times New Roman" w:cs="Times New Roman"/>
          <w:color w:val="auto"/>
          <w:sz w:val="20"/>
          <w:szCs w:val="20"/>
          <w:u w:val="none"/>
        </w:rPr>
        <w:t>https://doi.org/10.3389/fenrg.2024.1351569</w:t>
      </w:r>
    </w:p>
    <w:p w14:paraId="73BD78A0" w14:textId="38F04608" w:rsidR="00F36125" w:rsidRPr="00634DFB" w:rsidRDefault="00F36125" w:rsidP="00634DFB">
      <w:pPr>
        <w:pBdr>
          <w:top w:val="nil"/>
          <w:left w:val="nil"/>
          <w:bottom w:val="nil"/>
          <w:right w:val="nil"/>
          <w:between w:val="nil"/>
        </w:pBdr>
        <w:tabs>
          <w:tab w:val="left" w:pos="2992"/>
          <w:tab w:val="left" w:pos="2997"/>
          <w:tab w:val="left" w:pos="3261"/>
        </w:tabs>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7.</w:t>
      </w:r>
      <w:r w:rsidR="001473EF" w:rsidRPr="00634DFB">
        <w:rPr>
          <w:rFonts w:ascii="Times New Roman" w:hAnsi="Times New Roman" w:cs="Times New Roman"/>
          <w:sz w:val="20"/>
          <w:szCs w:val="20"/>
          <w:lang w:val="uz-Cyrl-UZ"/>
        </w:rPr>
        <w:t xml:space="preserve"> </w:t>
      </w:r>
      <w:r w:rsidRPr="00634DFB">
        <w:rPr>
          <w:rFonts w:ascii="Times New Roman" w:hAnsi="Times New Roman" w:cs="Times New Roman"/>
          <w:sz w:val="20"/>
          <w:szCs w:val="20"/>
        </w:rPr>
        <w:t>World Energy Council. E-storage: Shifting from Cost to Value. Wind and Solar Applications, 2016.</w:t>
      </w:r>
      <w:r w:rsidR="00E24D26" w:rsidRPr="00634DFB">
        <w:rPr>
          <w:rFonts w:ascii="Times New Roman" w:hAnsi="Times New Roman" w:cs="Times New Roman"/>
          <w:sz w:val="20"/>
          <w:szCs w:val="20"/>
        </w:rPr>
        <w:t xml:space="preserve"> </w:t>
      </w:r>
      <w:r w:rsidR="00E24D26" w:rsidRPr="00634DFB">
        <w:rPr>
          <w:rStyle w:val="a6"/>
          <w:rFonts w:ascii="Times New Roman" w:hAnsi="Times New Roman" w:cs="Times New Roman"/>
          <w:color w:val="auto"/>
          <w:sz w:val="20"/>
          <w:szCs w:val="20"/>
          <w:u w:val="none"/>
        </w:rPr>
        <w:t>https://www.worldenergy.org/publications/entry/e-storage-shifting-from-cost-to-value-2016</w:t>
      </w:r>
    </w:p>
    <w:p w14:paraId="46C988E3" w14:textId="1FE940B0" w:rsidR="00F36125" w:rsidRPr="00634DFB" w:rsidRDefault="00F36125" w:rsidP="00634DFB">
      <w:pPr>
        <w:pBdr>
          <w:top w:val="nil"/>
          <w:left w:val="nil"/>
          <w:bottom w:val="nil"/>
          <w:right w:val="nil"/>
          <w:between w:val="nil"/>
        </w:pBdr>
        <w:tabs>
          <w:tab w:val="left" w:pos="2992"/>
          <w:tab w:val="left" w:pos="2997"/>
          <w:tab w:val="left" w:pos="3261"/>
        </w:tabs>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8.</w:t>
      </w:r>
      <w:r w:rsidR="001473EF" w:rsidRPr="00634DFB">
        <w:rPr>
          <w:rFonts w:ascii="Times New Roman" w:hAnsi="Times New Roman" w:cs="Times New Roman"/>
          <w:sz w:val="20"/>
          <w:szCs w:val="20"/>
        </w:rPr>
        <w:t xml:space="preserve"> </w:t>
      </w:r>
      <w:r w:rsidRPr="00634DFB">
        <w:rPr>
          <w:rFonts w:ascii="Times New Roman" w:hAnsi="Times New Roman" w:cs="Times New Roman"/>
          <w:sz w:val="20"/>
          <w:szCs w:val="20"/>
        </w:rPr>
        <w:t xml:space="preserve">Zhang, H.; Li, W.; Gao, F. Role of battery energy storage systems: Integration in weak transmission networks and renewable energy zones. </w:t>
      </w:r>
      <w:r w:rsidRPr="00634DFB">
        <w:rPr>
          <w:rFonts w:ascii="Times New Roman" w:hAnsi="Times New Roman" w:cs="Times New Roman"/>
          <w:i/>
          <w:iCs/>
          <w:sz w:val="20"/>
          <w:szCs w:val="20"/>
        </w:rPr>
        <w:t>Journal of Energy Storage</w:t>
      </w:r>
      <w:r w:rsidRPr="00634DFB">
        <w:rPr>
          <w:rFonts w:ascii="Times New Roman" w:hAnsi="Times New Roman" w:cs="Times New Roman"/>
          <w:sz w:val="20"/>
          <w:szCs w:val="20"/>
        </w:rPr>
        <w:t xml:space="preserve">, 2025, 117223. </w:t>
      </w:r>
      <w:r w:rsidR="00F20369" w:rsidRPr="00634DFB">
        <w:rPr>
          <w:rStyle w:val="a6"/>
          <w:rFonts w:ascii="Times New Roman" w:hAnsi="Times New Roman" w:cs="Times New Roman"/>
          <w:color w:val="auto"/>
          <w:sz w:val="20"/>
          <w:szCs w:val="20"/>
          <w:u w:val="none"/>
        </w:rPr>
        <w:t>https://doi.org/10.1016/j.est.2025.117223</w:t>
      </w:r>
    </w:p>
    <w:p w14:paraId="1A530199" w14:textId="14EE957B" w:rsidR="00F20369" w:rsidRPr="00634DFB" w:rsidRDefault="00F36125" w:rsidP="00634DFB">
      <w:pPr>
        <w:pBdr>
          <w:top w:val="nil"/>
          <w:left w:val="nil"/>
          <w:bottom w:val="nil"/>
          <w:right w:val="nil"/>
          <w:between w:val="nil"/>
        </w:pBdr>
        <w:tabs>
          <w:tab w:val="left" w:pos="2992"/>
          <w:tab w:val="left" w:pos="2997"/>
          <w:tab w:val="left" w:pos="3261"/>
        </w:tabs>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9.</w:t>
      </w:r>
      <w:r w:rsidR="001473EF" w:rsidRPr="00634DFB">
        <w:rPr>
          <w:rFonts w:ascii="Times New Roman" w:hAnsi="Times New Roman" w:cs="Times New Roman"/>
          <w:sz w:val="20"/>
          <w:szCs w:val="20"/>
        </w:rPr>
        <w:t xml:space="preserve"> </w:t>
      </w:r>
      <w:r w:rsidRPr="00634DFB">
        <w:rPr>
          <w:rFonts w:ascii="Times New Roman" w:hAnsi="Times New Roman" w:cs="Times New Roman"/>
          <w:sz w:val="20"/>
          <w:szCs w:val="20"/>
        </w:rPr>
        <w:t>Khatri, R.; Sharma, R.; Kumar, A. Review of energy storage integration in off</w:t>
      </w:r>
      <w:r w:rsidRPr="00634DFB">
        <w:rPr>
          <w:rFonts w:ascii="Times New Roman" w:hAnsi="Times New Roman" w:cs="Times New Roman"/>
          <w:sz w:val="20"/>
          <w:szCs w:val="20"/>
        </w:rPr>
        <w:noBreakHyphen/>
        <w:t>grid and grid</w:t>
      </w:r>
      <w:r w:rsidRPr="00634DFB">
        <w:rPr>
          <w:rFonts w:ascii="Times New Roman" w:hAnsi="Times New Roman" w:cs="Times New Roman"/>
          <w:sz w:val="20"/>
          <w:szCs w:val="20"/>
        </w:rPr>
        <w:noBreakHyphen/>
        <w:t xml:space="preserve">connected hybrid renewable energy systems: Structures, optimizations, challenges and opportunities. </w:t>
      </w:r>
      <w:r w:rsidRPr="00634DFB">
        <w:rPr>
          <w:rFonts w:ascii="Times New Roman" w:hAnsi="Times New Roman" w:cs="Times New Roman"/>
          <w:i/>
          <w:iCs/>
          <w:sz w:val="20"/>
          <w:szCs w:val="20"/>
        </w:rPr>
        <w:t>Journal of Energy Storage</w:t>
      </w:r>
      <w:r w:rsidRPr="00634DFB">
        <w:rPr>
          <w:rFonts w:ascii="Times New Roman" w:hAnsi="Times New Roman" w:cs="Times New Roman"/>
          <w:sz w:val="20"/>
          <w:szCs w:val="20"/>
        </w:rPr>
        <w:t xml:space="preserve">, 2025, 116629. </w:t>
      </w:r>
      <w:r w:rsidR="00F20369" w:rsidRPr="00634DFB">
        <w:rPr>
          <w:rStyle w:val="a6"/>
          <w:rFonts w:ascii="Times New Roman" w:hAnsi="Times New Roman" w:cs="Times New Roman"/>
          <w:color w:val="auto"/>
          <w:sz w:val="20"/>
          <w:szCs w:val="20"/>
          <w:u w:val="none"/>
        </w:rPr>
        <w:t>https://doi.org/10.1016/j.est.2025.116629</w:t>
      </w:r>
    </w:p>
    <w:p w14:paraId="3C95428F" w14:textId="6AF943A4" w:rsidR="00F36125" w:rsidRPr="00634DFB" w:rsidRDefault="00F36125" w:rsidP="00634DFB">
      <w:pPr>
        <w:pBdr>
          <w:top w:val="nil"/>
          <w:left w:val="nil"/>
          <w:bottom w:val="nil"/>
          <w:right w:val="nil"/>
          <w:between w:val="nil"/>
        </w:pBdr>
        <w:tabs>
          <w:tab w:val="left" w:pos="2992"/>
          <w:tab w:val="left" w:pos="2997"/>
          <w:tab w:val="left" w:pos="3261"/>
        </w:tabs>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 xml:space="preserve">10. Savina N. V., </w:t>
      </w:r>
      <w:proofErr w:type="spellStart"/>
      <w:r w:rsidRPr="00634DFB">
        <w:rPr>
          <w:rFonts w:ascii="Times New Roman" w:hAnsi="Times New Roman" w:cs="Times New Roman"/>
          <w:sz w:val="20"/>
          <w:szCs w:val="20"/>
        </w:rPr>
        <w:t>Lisogurskaya</w:t>
      </w:r>
      <w:proofErr w:type="spellEnd"/>
      <w:r w:rsidRPr="00634DFB">
        <w:rPr>
          <w:rFonts w:ascii="Times New Roman" w:hAnsi="Times New Roman" w:cs="Times New Roman"/>
          <w:sz w:val="20"/>
          <w:szCs w:val="20"/>
        </w:rPr>
        <w:t xml:space="preserve"> L. N., </w:t>
      </w:r>
      <w:proofErr w:type="spellStart"/>
      <w:r w:rsidRPr="00634DFB">
        <w:rPr>
          <w:rFonts w:ascii="Times New Roman" w:hAnsi="Times New Roman" w:cs="Times New Roman"/>
          <w:sz w:val="20"/>
          <w:szCs w:val="20"/>
        </w:rPr>
        <w:t>Lisogursky</w:t>
      </w:r>
      <w:proofErr w:type="spellEnd"/>
      <w:r w:rsidRPr="00634DFB">
        <w:rPr>
          <w:rFonts w:ascii="Times New Roman" w:hAnsi="Times New Roman" w:cs="Times New Roman"/>
          <w:sz w:val="20"/>
          <w:szCs w:val="20"/>
        </w:rPr>
        <w:t xml:space="preserve"> I. A. Electrical Energy Storage Systems as a Means to Increase Reliability and Efficiency of Power Grids. International Research Journal, 2020, No. 2(92), Part 1, pp. 63–70. </w:t>
      </w:r>
      <w:r w:rsidR="00F20369" w:rsidRPr="00634DFB">
        <w:rPr>
          <w:rStyle w:val="a6"/>
          <w:rFonts w:ascii="Times New Roman" w:hAnsi="Times New Roman" w:cs="Times New Roman"/>
          <w:color w:val="auto"/>
          <w:sz w:val="20"/>
          <w:szCs w:val="20"/>
          <w:u w:val="none"/>
        </w:rPr>
        <w:t>https://doi.org/10.23670/IRJ.2020.92.2.012</w:t>
      </w:r>
    </w:p>
    <w:p w14:paraId="45273679" w14:textId="205BC86A" w:rsidR="00F36125" w:rsidRPr="00634DFB" w:rsidRDefault="00F36125" w:rsidP="00634DFB">
      <w:pPr>
        <w:pBdr>
          <w:top w:val="nil"/>
          <w:left w:val="nil"/>
          <w:bottom w:val="nil"/>
          <w:right w:val="nil"/>
          <w:between w:val="nil"/>
        </w:pBdr>
        <w:tabs>
          <w:tab w:val="left" w:pos="2992"/>
          <w:tab w:val="left" w:pos="2997"/>
          <w:tab w:val="left" w:pos="3261"/>
        </w:tabs>
        <w:spacing w:after="0" w:line="240" w:lineRule="auto"/>
        <w:jc w:val="both"/>
        <w:rPr>
          <w:rStyle w:val="a6"/>
          <w:rFonts w:ascii="Times New Roman" w:hAnsi="Times New Roman" w:cs="Times New Roman"/>
          <w:color w:val="auto"/>
          <w:sz w:val="20"/>
          <w:szCs w:val="20"/>
          <w:u w:val="none"/>
        </w:rPr>
      </w:pPr>
      <w:r w:rsidRPr="00634DFB">
        <w:rPr>
          <w:rFonts w:ascii="Times New Roman" w:hAnsi="Times New Roman" w:cs="Times New Roman"/>
          <w:sz w:val="20"/>
          <w:szCs w:val="20"/>
        </w:rPr>
        <w:t>11.</w:t>
      </w:r>
      <w:r w:rsidR="001473EF" w:rsidRPr="00634DFB">
        <w:rPr>
          <w:rFonts w:ascii="Times New Roman" w:hAnsi="Times New Roman" w:cs="Times New Roman"/>
          <w:sz w:val="20"/>
          <w:szCs w:val="20"/>
        </w:rPr>
        <w:t xml:space="preserve"> </w:t>
      </w:r>
      <w:proofErr w:type="spellStart"/>
      <w:r w:rsidRPr="00634DFB">
        <w:rPr>
          <w:rFonts w:ascii="Times New Roman" w:hAnsi="Times New Roman" w:cs="Times New Roman"/>
          <w:sz w:val="20"/>
          <w:szCs w:val="20"/>
        </w:rPr>
        <w:t>Allaev</w:t>
      </w:r>
      <w:proofErr w:type="spellEnd"/>
      <w:r w:rsidRPr="00634DFB">
        <w:rPr>
          <w:rFonts w:ascii="Times New Roman" w:hAnsi="Times New Roman" w:cs="Times New Roman"/>
          <w:sz w:val="20"/>
          <w:szCs w:val="20"/>
        </w:rPr>
        <w:t xml:space="preserve"> K. R., </w:t>
      </w:r>
      <w:proofErr w:type="spellStart"/>
      <w:r w:rsidRPr="00634DFB">
        <w:rPr>
          <w:rFonts w:ascii="Times New Roman" w:hAnsi="Times New Roman" w:cs="Times New Roman"/>
          <w:sz w:val="20"/>
          <w:szCs w:val="20"/>
        </w:rPr>
        <w:t>Toshov</w:t>
      </w:r>
      <w:proofErr w:type="spellEnd"/>
      <w:r w:rsidRPr="00634DFB">
        <w:rPr>
          <w:rFonts w:ascii="Times New Roman" w:hAnsi="Times New Roman" w:cs="Times New Roman"/>
          <w:sz w:val="20"/>
          <w:szCs w:val="20"/>
        </w:rPr>
        <w:t xml:space="preserve"> J., </w:t>
      </w:r>
      <w:proofErr w:type="spellStart"/>
      <w:r w:rsidRPr="00634DFB">
        <w:rPr>
          <w:rFonts w:ascii="Times New Roman" w:hAnsi="Times New Roman" w:cs="Times New Roman"/>
          <w:sz w:val="20"/>
          <w:szCs w:val="20"/>
        </w:rPr>
        <w:t>Toirov</w:t>
      </w:r>
      <w:proofErr w:type="spellEnd"/>
      <w:r w:rsidRPr="00634DFB">
        <w:rPr>
          <w:rFonts w:ascii="Times New Roman" w:hAnsi="Times New Roman" w:cs="Times New Roman"/>
          <w:sz w:val="20"/>
          <w:szCs w:val="20"/>
        </w:rPr>
        <w:t xml:space="preserve"> O. Modern State of the Energy Sector of Uzbekistan and Issues of Its Development. E3S Web of Conferences, 2023.</w:t>
      </w:r>
      <w:r w:rsidR="00F20369" w:rsidRPr="00634DFB">
        <w:rPr>
          <w:rFonts w:ascii="Times New Roman" w:hAnsi="Times New Roman" w:cs="Times New Roman"/>
          <w:sz w:val="20"/>
          <w:szCs w:val="20"/>
        </w:rPr>
        <w:t xml:space="preserve"> </w:t>
      </w:r>
      <w:r w:rsidR="00F20369" w:rsidRPr="00634DFB">
        <w:rPr>
          <w:rStyle w:val="a6"/>
          <w:rFonts w:ascii="Times New Roman" w:hAnsi="Times New Roman" w:cs="Times New Roman"/>
          <w:color w:val="auto"/>
          <w:sz w:val="20"/>
          <w:szCs w:val="20"/>
          <w:u w:val="none"/>
        </w:rPr>
        <w:t>https://www.e3s-conferences.org/articles/e3sconf/abs/2023/38/e3sconf_conmechydro23_05090/e3sconf_conmechydro23_05090.html</w:t>
      </w:r>
    </w:p>
    <w:p w14:paraId="0C61A796" w14:textId="414DCB7F" w:rsidR="00F36125" w:rsidRPr="00634DFB" w:rsidRDefault="00F36125" w:rsidP="00634DFB">
      <w:pPr>
        <w:pBdr>
          <w:top w:val="nil"/>
          <w:left w:val="nil"/>
          <w:bottom w:val="nil"/>
          <w:right w:val="nil"/>
          <w:between w:val="nil"/>
        </w:pBdr>
        <w:tabs>
          <w:tab w:val="left" w:pos="2992"/>
          <w:tab w:val="left" w:pos="2997"/>
          <w:tab w:val="left" w:pos="3261"/>
        </w:tabs>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12.</w:t>
      </w:r>
      <w:r w:rsidR="001473EF" w:rsidRPr="00634DFB">
        <w:rPr>
          <w:rFonts w:ascii="Times New Roman" w:hAnsi="Times New Roman" w:cs="Times New Roman"/>
          <w:sz w:val="20"/>
          <w:szCs w:val="20"/>
        </w:rPr>
        <w:t xml:space="preserve"> </w:t>
      </w:r>
      <w:r w:rsidR="00930EB9" w:rsidRPr="00634DFB">
        <w:rPr>
          <w:rFonts w:ascii="Times New Roman" w:hAnsi="Times New Roman" w:cs="Times New Roman"/>
          <w:sz w:val="20"/>
          <w:szCs w:val="20"/>
        </w:rPr>
        <w:t xml:space="preserve">International Renewable Energy Agency (IRENA). </w:t>
      </w:r>
      <w:r w:rsidR="00930EB9" w:rsidRPr="00634DFB">
        <w:rPr>
          <w:rFonts w:ascii="Times New Roman" w:hAnsi="Times New Roman" w:cs="Times New Roman"/>
          <w:i/>
          <w:iCs/>
          <w:sz w:val="20"/>
          <w:szCs w:val="20"/>
        </w:rPr>
        <w:t>Renewable Capacity Statistics 2025</w:t>
      </w:r>
      <w:r w:rsidR="00930EB9" w:rsidRPr="00634DFB">
        <w:rPr>
          <w:rFonts w:ascii="Times New Roman" w:hAnsi="Times New Roman" w:cs="Times New Roman"/>
          <w:sz w:val="20"/>
          <w:szCs w:val="20"/>
        </w:rPr>
        <w:t xml:space="preserve">. IRENA; 2025. </w:t>
      </w:r>
      <w:hyperlink r:id="rId9" w:history="1">
        <w:r w:rsidR="00AC721F" w:rsidRPr="00634DFB">
          <w:rPr>
            <w:rStyle w:val="a6"/>
            <w:rFonts w:ascii="Times New Roman" w:hAnsi="Times New Roman" w:cs="Times New Roman"/>
            <w:color w:val="auto"/>
            <w:sz w:val="20"/>
            <w:szCs w:val="20"/>
            <w:u w:val="none"/>
          </w:rPr>
          <w:t>https://www.irena.org/-/media/Files/IRENA/Agency/Publication/2025/Mar/IRENA_DAT_RE_Capacity_Statistics_2025.pdf</w:t>
        </w:r>
      </w:hyperlink>
    </w:p>
    <w:p w14:paraId="1966E0FD" w14:textId="381E5252" w:rsidR="00F36125" w:rsidRPr="00634DFB" w:rsidRDefault="00F36125" w:rsidP="00634DFB">
      <w:pPr>
        <w:pBdr>
          <w:top w:val="nil"/>
          <w:left w:val="nil"/>
          <w:bottom w:val="nil"/>
          <w:right w:val="nil"/>
          <w:between w:val="nil"/>
        </w:pBdr>
        <w:tabs>
          <w:tab w:val="left" w:pos="2992"/>
          <w:tab w:val="left" w:pos="2997"/>
          <w:tab w:val="left" w:pos="3261"/>
        </w:tabs>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lastRenderedPageBreak/>
        <w:t>13.</w:t>
      </w:r>
      <w:r w:rsidR="00322C5E" w:rsidRPr="00634DFB">
        <w:rPr>
          <w:rFonts w:ascii="Times New Roman" w:hAnsi="Times New Roman" w:cs="Times New Roman"/>
          <w:sz w:val="20"/>
          <w:szCs w:val="20"/>
          <w:lang w:val="uz-Cyrl-UZ"/>
        </w:rPr>
        <w:t> </w:t>
      </w:r>
      <w:r w:rsidRPr="00634DFB">
        <w:rPr>
          <w:rFonts w:ascii="Times New Roman" w:hAnsi="Times New Roman" w:cs="Times New Roman"/>
          <w:sz w:val="20"/>
          <w:szCs w:val="20"/>
        </w:rPr>
        <w:t xml:space="preserve">ARENA. </w:t>
      </w:r>
      <w:proofErr w:type="spellStart"/>
      <w:r w:rsidRPr="00634DFB">
        <w:rPr>
          <w:rFonts w:ascii="Times New Roman" w:hAnsi="Times New Roman" w:cs="Times New Roman"/>
          <w:sz w:val="20"/>
          <w:szCs w:val="20"/>
        </w:rPr>
        <w:t>Hornsdale</w:t>
      </w:r>
      <w:proofErr w:type="spellEnd"/>
      <w:r w:rsidRPr="00634DFB">
        <w:rPr>
          <w:rFonts w:ascii="Times New Roman" w:hAnsi="Times New Roman" w:cs="Times New Roman"/>
          <w:sz w:val="20"/>
          <w:szCs w:val="20"/>
        </w:rPr>
        <w:t xml:space="preserve"> Power Reserve Expansion. Operations and Market Performance Report, 2024. </w:t>
      </w:r>
      <w:hyperlink r:id="rId10" w:tgtFrame="_new" w:history="1">
        <w:r w:rsidRPr="00634DFB">
          <w:rPr>
            <w:rStyle w:val="a6"/>
            <w:rFonts w:ascii="Times New Roman" w:hAnsi="Times New Roman" w:cs="Times New Roman"/>
            <w:color w:val="auto"/>
            <w:sz w:val="20"/>
            <w:szCs w:val="20"/>
            <w:u w:val="none"/>
          </w:rPr>
          <w:t>https://arena.gov.au/projects/hornsdale-power-reserve-expansion/</w:t>
        </w:r>
      </w:hyperlink>
    </w:p>
    <w:p w14:paraId="1AD205EE" w14:textId="4C728673" w:rsidR="00F36125" w:rsidRPr="00634DFB" w:rsidRDefault="00F36125" w:rsidP="00634DFB">
      <w:pPr>
        <w:pBdr>
          <w:top w:val="nil"/>
          <w:left w:val="nil"/>
          <w:bottom w:val="nil"/>
          <w:right w:val="nil"/>
          <w:between w:val="nil"/>
        </w:pBdr>
        <w:tabs>
          <w:tab w:val="left" w:pos="2992"/>
          <w:tab w:val="left" w:pos="2997"/>
          <w:tab w:val="left" w:pos="3261"/>
        </w:tabs>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14.</w:t>
      </w:r>
      <w:r w:rsidR="00322C5E" w:rsidRPr="00634DFB">
        <w:rPr>
          <w:rFonts w:ascii="Times New Roman" w:hAnsi="Times New Roman" w:cs="Times New Roman"/>
          <w:sz w:val="20"/>
          <w:szCs w:val="20"/>
          <w:lang w:val="uz-Cyrl-UZ"/>
        </w:rPr>
        <w:t> </w:t>
      </w:r>
      <w:r w:rsidRPr="00634DFB">
        <w:rPr>
          <w:rFonts w:ascii="Times New Roman" w:hAnsi="Times New Roman" w:cs="Times New Roman"/>
          <w:sz w:val="20"/>
          <w:szCs w:val="20"/>
        </w:rPr>
        <w:t xml:space="preserve">Highview Power. World’s First Grid-Scale Liquid Air Energy Storage Plant 5 MW/15 MWh, 2018. </w:t>
      </w:r>
      <w:hyperlink r:id="rId11" w:tgtFrame="_new" w:history="1">
        <w:r w:rsidRPr="00634DFB">
          <w:rPr>
            <w:rStyle w:val="a6"/>
            <w:rFonts w:ascii="Times New Roman" w:hAnsi="Times New Roman" w:cs="Times New Roman"/>
            <w:color w:val="auto"/>
            <w:sz w:val="20"/>
            <w:szCs w:val="20"/>
            <w:u w:val="none"/>
          </w:rPr>
          <w:t>https://www.highviewpower.com/projects/worlds-first-grid-scale-laes/</w:t>
        </w:r>
      </w:hyperlink>
    </w:p>
    <w:p w14:paraId="03FEBE25" w14:textId="367C204A" w:rsidR="00F36125" w:rsidRPr="00634DFB" w:rsidRDefault="006C09A8" w:rsidP="00634DFB">
      <w:pPr>
        <w:pBdr>
          <w:top w:val="nil"/>
          <w:left w:val="nil"/>
          <w:bottom w:val="nil"/>
          <w:right w:val="nil"/>
          <w:between w:val="nil"/>
        </w:pBdr>
        <w:tabs>
          <w:tab w:val="left" w:pos="2992"/>
          <w:tab w:val="left" w:pos="2997"/>
          <w:tab w:val="left" w:pos="3261"/>
        </w:tabs>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 xml:space="preserve">15. Australian Energy Market Operator (AEMO), </w:t>
      </w:r>
      <w:r w:rsidRPr="00634DFB">
        <w:rPr>
          <w:rFonts w:ascii="Times New Roman" w:hAnsi="Times New Roman" w:cs="Times New Roman"/>
          <w:i/>
          <w:iCs/>
          <w:sz w:val="20"/>
          <w:szCs w:val="20"/>
        </w:rPr>
        <w:t>2024 Integrated System Plan (ISP)</w:t>
      </w:r>
      <w:r w:rsidRPr="00634DFB">
        <w:rPr>
          <w:rFonts w:ascii="Times New Roman" w:hAnsi="Times New Roman" w:cs="Times New Roman"/>
          <w:sz w:val="20"/>
          <w:szCs w:val="20"/>
        </w:rPr>
        <w:t xml:space="preserve">, </w:t>
      </w:r>
      <w:proofErr w:type="spellStart"/>
      <w:r w:rsidRPr="00634DFB">
        <w:rPr>
          <w:rFonts w:ascii="Times New Roman" w:hAnsi="Times New Roman" w:cs="Times New Roman"/>
          <w:sz w:val="20"/>
          <w:szCs w:val="20"/>
        </w:rPr>
        <w:t>Мельбурн</w:t>
      </w:r>
      <w:proofErr w:type="spellEnd"/>
      <w:r w:rsidRPr="00634DFB">
        <w:rPr>
          <w:rFonts w:ascii="Times New Roman" w:hAnsi="Times New Roman" w:cs="Times New Roman"/>
          <w:sz w:val="20"/>
          <w:szCs w:val="20"/>
        </w:rPr>
        <w:t xml:space="preserve">, </w:t>
      </w:r>
      <w:proofErr w:type="spellStart"/>
      <w:r w:rsidRPr="00634DFB">
        <w:rPr>
          <w:rFonts w:ascii="Times New Roman" w:hAnsi="Times New Roman" w:cs="Times New Roman"/>
          <w:sz w:val="20"/>
          <w:szCs w:val="20"/>
        </w:rPr>
        <w:t>Австралия</w:t>
      </w:r>
      <w:proofErr w:type="spellEnd"/>
      <w:r w:rsidRPr="00634DFB">
        <w:rPr>
          <w:rFonts w:ascii="Times New Roman" w:hAnsi="Times New Roman" w:cs="Times New Roman"/>
          <w:sz w:val="20"/>
          <w:szCs w:val="20"/>
        </w:rPr>
        <w:t xml:space="preserve">: AEMO, 2024. </w:t>
      </w:r>
      <w:hyperlink r:id="rId12" w:history="1">
        <w:r w:rsidR="00930EB9" w:rsidRPr="00634DFB">
          <w:rPr>
            <w:rStyle w:val="a6"/>
            <w:rFonts w:ascii="Times New Roman" w:hAnsi="Times New Roman" w:cs="Times New Roman"/>
            <w:color w:val="auto"/>
            <w:sz w:val="20"/>
            <w:szCs w:val="20"/>
            <w:u w:val="none"/>
          </w:rPr>
          <w:t>https://www.aemo.com.au/-/media/files/major-publications/isp/2024/2024-integrated-system-plan-isp.pdf</w:t>
        </w:r>
      </w:hyperlink>
    </w:p>
    <w:p w14:paraId="5ED13DA6" w14:textId="47FAE422" w:rsidR="00F36125" w:rsidRPr="00634DFB" w:rsidRDefault="00F36125" w:rsidP="00634DFB">
      <w:pPr>
        <w:pBdr>
          <w:top w:val="nil"/>
          <w:left w:val="nil"/>
          <w:bottom w:val="nil"/>
          <w:right w:val="nil"/>
          <w:between w:val="nil"/>
        </w:pBdr>
        <w:tabs>
          <w:tab w:val="left" w:pos="2992"/>
          <w:tab w:val="left" w:pos="2997"/>
          <w:tab w:val="left" w:pos="3261"/>
        </w:tabs>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1</w:t>
      </w:r>
      <w:r w:rsidR="00F20369" w:rsidRPr="00634DFB">
        <w:rPr>
          <w:rFonts w:ascii="Times New Roman" w:hAnsi="Times New Roman" w:cs="Times New Roman"/>
          <w:sz w:val="20"/>
          <w:szCs w:val="20"/>
        </w:rPr>
        <w:t>6</w:t>
      </w:r>
      <w:r w:rsidRPr="00634DFB">
        <w:rPr>
          <w:rFonts w:ascii="Times New Roman" w:hAnsi="Times New Roman" w:cs="Times New Roman"/>
          <w:sz w:val="20"/>
          <w:szCs w:val="20"/>
        </w:rPr>
        <w:t>.</w:t>
      </w:r>
      <w:r w:rsidR="001473EF" w:rsidRPr="00634DFB">
        <w:rPr>
          <w:rFonts w:ascii="Times New Roman" w:hAnsi="Times New Roman" w:cs="Times New Roman"/>
          <w:sz w:val="20"/>
          <w:szCs w:val="20"/>
          <w:lang w:val="uz-Cyrl-UZ"/>
        </w:rPr>
        <w:t xml:space="preserve"> </w:t>
      </w:r>
      <w:r w:rsidRPr="00634DFB">
        <w:rPr>
          <w:rFonts w:ascii="Times New Roman" w:hAnsi="Times New Roman" w:cs="Times New Roman"/>
          <w:sz w:val="20"/>
          <w:szCs w:val="20"/>
        </w:rPr>
        <w:t xml:space="preserve">Worku, Y. Recent Advances in Energy Storage Systems for Renewable Source Grid Integration: A Comprehensive Review. </w:t>
      </w:r>
      <w:r w:rsidRPr="00634DFB">
        <w:rPr>
          <w:rFonts w:ascii="Times New Roman" w:hAnsi="Times New Roman" w:cs="Times New Roman"/>
          <w:i/>
          <w:iCs/>
          <w:sz w:val="20"/>
          <w:szCs w:val="20"/>
        </w:rPr>
        <w:t>Sustainability</w:t>
      </w:r>
      <w:r w:rsidRPr="00634DFB">
        <w:rPr>
          <w:rFonts w:ascii="Times New Roman" w:hAnsi="Times New Roman" w:cs="Times New Roman"/>
          <w:sz w:val="20"/>
          <w:szCs w:val="20"/>
        </w:rPr>
        <w:t xml:space="preserve">, 2022, 14(10), 5985. </w:t>
      </w:r>
      <w:r w:rsidR="00F20369" w:rsidRPr="00634DFB">
        <w:rPr>
          <w:rStyle w:val="a6"/>
          <w:rFonts w:ascii="Times New Roman" w:hAnsi="Times New Roman" w:cs="Times New Roman"/>
          <w:color w:val="auto"/>
          <w:sz w:val="20"/>
          <w:szCs w:val="20"/>
          <w:u w:val="none"/>
        </w:rPr>
        <w:t>https://doi.org/10.3390/su14105985</w:t>
      </w:r>
    </w:p>
    <w:p w14:paraId="71718FE5" w14:textId="686D7DD6" w:rsidR="00817B38" w:rsidRPr="00634DFB" w:rsidRDefault="00F36125" w:rsidP="00634DFB">
      <w:pPr>
        <w:pBdr>
          <w:top w:val="nil"/>
          <w:left w:val="nil"/>
          <w:bottom w:val="nil"/>
          <w:right w:val="nil"/>
          <w:between w:val="nil"/>
        </w:pBdr>
        <w:tabs>
          <w:tab w:val="left" w:pos="2992"/>
          <w:tab w:val="left" w:pos="2997"/>
          <w:tab w:val="left" w:pos="3261"/>
        </w:tabs>
        <w:spacing w:after="0" w:line="240" w:lineRule="auto"/>
        <w:jc w:val="both"/>
        <w:rPr>
          <w:rFonts w:ascii="Times New Roman" w:hAnsi="Times New Roman" w:cs="Times New Roman"/>
          <w:sz w:val="20"/>
          <w:szCs w:val="20"/>
        </w:rPr>
      </w:pPr>
      <w:r w:rsidRPr="00634DFB">
        <w:rPr>
          <w:rFonts w:ascii="Times New Roman" w:hAnsi="Times New Roman" w:cs="Times New Roman"/>
          <w:sz w:val="20"/>
          <w:szCs w:val="20"/>
        </w:rPr>
        <w:t>1</w:t>
      </w:r>
      <w:r w:rsidR="00F20369" w:rsidRPr="00634DFB">
        <w:rPr>
          <w:rFonts w:ascii="Times New Roman" w:hAnsi="Times New Roman" w:cs="Times New Roman"/>
          <w:sz w:val="20"/>
          <w:szCs w:val="20"/>
        </w:rPr>
        <w:t>7</w:t>
      </w:r>
      <w:r w:rsidRPr="00634DFB">
        <w:rPr>
          <w:rFonts w:ascii="Times New Roman" w:hAnsi="Times New Roman" w:cs="Times New Roman"/>
          <w:sz w:val="20"/>
          <w:szCs w:val="20"/>
        </w:rPr>
        <w:t>.</w:t>
      </w:r>
      <w:r w:rsidR="001473EF" w:rsidRPr="00634DFB">
        <w:rPr>
          <w:rFonts w:ascii="Times New Roman" w:hAnsi="Times New Roman" w:cs="Times New Roman"/>
          <w:sz w:val="20"/>
          <w:szCs w:val="20"/>
        </w:rPr>
        <w:t xml:space="preserve"> </w:t>
      </w:r>
      <w:proofErr w:type="spellStart"/>
      <w:r w:rsidRPr="00634DFB">
        <w:rPr>
          <w:rFonts w:ascii="Times New Roman" w:hAnsi="Times New Roman" w:cs="Times New Roman"/>
          <w:sz w:val="20"/>
          <w:szCs w:val="20"/>
        </w:rPr>
        <w:t>Mirzaev</w:t>
      </w:r>
      <w:proofErr w:type="spellEnd"/>
      <w:r w:rsidRPr="00634DFB">
        <w:rPr>
          <w:rFonts w:ascii="Times New Roman" w:hAnsi="Times New Roman" w:cs="Times New Roman"/>
          <w:sz w:val="20"/>
          <w:szCs w:val="20"/>
        </w:rPr>
        <w:t xml:space="preserve"> A.T., </w:t>
      </w:r>
      <w:proofErr w:type="spellStart"/>
      <w:r w:rsidRPr="00634DFB">
        <w:rPr>
          <w:rFonts w:ascii="Times New Roman" w:hAnsi="Times New Roman" w:cs="Times New Roman"/>
          <w:sz w:val="20"/>
          <w:szCs w:val="20"/>
        </w:rPr>
        <w:t>Toshkentbaeva</w:t>
      </w:r>
      <w:proofErr w:type="spellEnd"/>
      <w:r w:rsidRPr="00634DFB">
        <w:rPr>
          <w:rFonts w:ascii="Times New Roman" w:hAnsi="Times New Roman" w:cs="Times New Roman"/>
          <w:sz w:val="20"/>
          <w:szCs w:val="20"/>
        </w:rPr>
        <w:t xml:space="preserve"> S.I., "Prospective power and electricity balances of the UES of Central Asia and South Kazakhstan, taking into account the integration of renewable energy sources," Research Focus International Scientific Journal, т. 4, № 2, с. 34-44, </w:t>
      </w:r>
      <w:proofErr w:type="spellStart"/>
      <w:r w:rsidRPr="00634DFB">
        <w:rPr>
          <w:rFonts w:ascii="Times New Roman" w:hAnsi="Times New Roman" w:cs="Times New Roman"/>
          <w:sz w:val="20"/>
          <w:szCs w:val="20"/>
        </w:rPr>
        <w:t>мар</w:t>
      </w:r>
      <w:proofErr w:type="spellEnd"/>
      <w:r w:rsidR="00322C5E" w:rsidRPr="00634DFB">
        <w:rPr>
          <w:rFonts w:ascii="Times New Roman" w:hAnsi="Times New Roman" w:cs="Times New Roman"/>
          <w:sz w:val="20"/>
          <w:szCs w:val="20"/>
          <w:lang w:val="ru-RU"/>
        </w:rPr>
        <w:t>т</w:t>
      </w:r>
      <w:r w:rsidRPr="00634DFB">
        <w:rPr>
          <w:rFonts w:ascii="Times New Roman" w:hAnsi="Times New Roman" w:cs="Times New Roman"/>
          <w:sz w:val="20"/>
          <w:szCs w:val="20"/>
        </w:rPr>
        <w:t xml:space="preserve">. 2025. </w:t>
      </w:r>
      <w:hyperlink r:id="rId13" w:tgtFrame="_new" w:history="1">
        <w:r w:rsidRPr="00634DFB">
          <w:rPr>
            <w:rStyle w:val="a6"/>
            <w:rFonts w:ascii="Times New Roman" w:hAnsi="Times New Roman" w:cs="Times New Roman"/>
            <w:color w:val="auto"/>
            <w:sz w:val="20"/>
            <w:szCs w:val="20"/>
            <w:u w:val="none"/>
          </w:rPr>
          <w:t>https://refocus.uz/index.php/1/article/view/1320</w:t>
        </w:r>
      </w:hyperlink>
      <w:r w:rsidRPr="00634DFB">
        <w:rPr>
          <w:rStyle w:val="a6"/>
          <w:rFonts w:ascii="Times New Roman" w:hAnsi="Times New Roman" w:cs="Times New Roman"/>
          <w:color w:val="auto"/>
          <w:sz w:val="20"/>
          <w:szCs w:val="20"/>
          <w:u w:val="none"/>
        </w:rPr>
        <w:t xml:space="preserve"> </w:t>
      </w:r>
      <w:hyperlink r:id="rId14" w:tgtFrame="_blank" w:history="1">
        <w:r w:rsidRPr="00634DFB">
          <w:rPr>
            <w:rStyle w:val="a6"/>
            <w:rFonts w:ascii="Times New Roman" w:hAnsi="Times New Roman" w:cs="Times New Roman"/>
            <w:color w:val="auto"/>
            <w:sz w:val="20"/>
            <w:szCs w:val="20"/>
            <w:u w:val="none"/>
          </w:rPr>
          <w:t>refocus.uz</w:t>
        </w:r>
      </w:hyperlink>
      <w:r w:rsidRPr="00634DFB">
        <w:rPr>
          <w:rFonts w:ascii="Times New Roman" w:hAnsi="Times New Roman" w:cs="Times New Roman"/>
          <w:sz w:val="20"/>
          <w:szCs w:val="20"/>
        </w:rPr>
        <w:t xml:space="preserve"> Research Focus International Scientific Journal, vol. 4, no. 2, pp. 34-44, Mar. 2025. </w:t>
      </w:r>
      <w:hyperlink r:id="rId15" w:history="1">
        <w:r w:rsidRPr="00634DFB">
          <w:rPr>
            <w:rStyle w:val="a6"/>
            <w:rFonts w:ascii="Times New Roman" w:hAnsi="Times New Roman" w:cs="Times New Roman"/>
            <w:color w:val="auto"/>
            <w:sz w:val="20"/>
            <w:szCs w:val="20"/>
            <w:u w:val="none"/>
          </w:rPr>
          <w:t>https://refocus.uz/index.php/1/article/view/1320 refocus.uz</w:t>
        </w:r>
      </w:hyperlink>
    </w:p>
    <w:sectPr w:rsidR="00817B38" w:rsidRPr="00634DFB" w:rsidSect="00634DFB">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2DA9631C"/>
    <w:multiLevelType w:val="multilevel"/>
    <w:tmpl w:val="C80E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022C72"/>
    <w:multiLevelType w:val="multilevel"/>
    <w:tmpl w:val="8222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D01FE9"/>
    <w:multiLevelType w:val="multilevel"/>
    <w:tmpl w:val="CCE85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415094F"/>
    <w:multiLevelType w:val="multilevel"/>
    <w:tmpl w:val="75F0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221043"/>
    <w:multiLevelType w:val="hybridMultilevel"/>
    <w:tmpl w:val="7B04D218"/>
    <w:lvl w:ilvl="0" w:tplc="8A72D624">
      <w:start w:val="1"/>
      <w:numFmt w:val="decimal"/>
      <w:lvlText w:val="%1."/>
      <w:lvlJc w:val="left"/>
      <w:pPr>
        <w:ind w:left="644" w:hanging="360"/>
      </w:pPr>
      <w:rPr>
        <w:rFonts w:ascii="Times New Roman" w:hAnsi="Times New Roman" w:cs="Times New Roman" w:hint="default"/>
        <w:b/>
        <w:b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66B503EA"/>
    <w:multiLevelType w:val="hybridMultilevel"/>
    <w:tmpl w:val="C7B286CA"/>
    <w:lvl w:ilvl="0" w:tplc="0419000F">
      <w:start w:val="1"/>
      <w:numFmt w:val="decimal"/>
      <w:lvlText w:val="%1."/>
      <w:lvlJc w:val="left"/>
      <w:pPr>
        <w:ind w:left="720" w:hanging="360"/>
      </w:pPr>
    </w:lvl>
    <w:lvl w:ilvl="1" w:tplc="74925E34">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967973553">
    <w:abstractNumId w:val="1"/>
  </w:num>
  <w:num w:numId="2" w16cid:durableId="638850257">
    <w:abstractNumId w:val="0"/>
  </w:num>
  <w:num w:numId="3" w16cid:durableId="121386913">
    <w:abstractNumId w:val="10"/>
  </w:num>
  <w:num w:numId="4" w16cid:durableId="787546464">
    <w:abstractNumId w:val="6"/>
  </w:num>
  <w:num w:numId="5" w16cid:durableId="193427321">
    <w:abstractNumId w:val="4"/>
  </w:num>
  <w:num w:numId="6" w16cid:durableId="1422215621">
    <w:abstractNumId w:val="8"/>
  </w:num>
  <w:num w:numId="7" w16cid:durableId="1966230478">
    <w:abstractNumId w:val="9"/>
  </w:num>
  <w:num w:numId="8" w16cid:durableId="1616446101">
    <w:abstractNumId w:val="7"/>
  </w:num>
  <w:num w:numId="9" w16cid:durableId="978455146">
    <w:abstractNumId w:val="5"/>
  </w:num>
  <w:num w:numId="10" w16cid:durableId="649097714">
    <w:abstractNumId w:val="3"/>
  </w:num>
  <w:num w:numId="11" w16cid:durableId="1795826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67B9C"/>
    <w:rsid w:val="00070570"/>
    <w:rsid w:val="000710AD"/>
    <w:rsid w:val="00072072"/>
    <w:rsid w:val="00072186"/>
    <w:rsid w:val="0007267C"/>
    <w:rsid w:val="00073048"/>
    <w:rsid w:val="00073595"/>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6FF9"/>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691"/>
    <w:rsid w:val="000F28F1"/>
    <w:rsid w:val="000F38C9"/>
    <w:rsid w:val="000F47F9"/>
    <w:rsid w:val="000F48CA"/>
    <w:rsid w:val="000F6192"/>
    <w:rsid w:val="000F65C0"/>
    <w:rsid w:val="000F7427"/>
    <w:rsid w:val="000F7CF5"/>
    <w:rsid w:val="0010043C"/>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42CF"/>
    <w:rsid w:val="00135769"/>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3EF"/>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DAB"/>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87E"/>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21A1"/>
    <w:rsid w:val="00262292"/>
    <w:rsid w:val="00263301"/>
    <w:rsid w:val="00264749"/>
    <w:rsid w:val="00264F62"/>
    <w:rsid w:val="002657C2"/>
    <w:rsid w:val="002661F1"/>
    <w:rsid w:val="0026641C"/>
    <w:rsid w:val="00266462"/>
    <w:rsid w:val="0026761C"/>
    <w:rsid w:val="00267BAA"/>
    <w:rsid w:val="00270533"/>
    <w:rsid w:val="00270A2D"/>
    <w:rsid w:val="00271156"/>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4344"/>
    <w:rsid w:val="002B5796"/>
    <w:rsid w:val="002B5CA0"/>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C5E"/>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71B"/>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630"/>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474B"/>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0D70"/>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4C4D"/>
    <w:rsid w:val="0045552E"/>
    <w:rsid w:val="004557C9"/>
    <w:rsid w:val="004566A5"/>
    <w:rsid w:val="00456B7B"/>
    <w:rsid w:val="00456CAC"/>
    <w:rsid w:val="004570BF"/>
    <w:rsid w:val="00457373"/>
    <w:rsid w:val="004622A3"/>
    <w:rsid w:val="00462BA2"/>
    <w:rsid w:val="00462C89"/>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74B"/>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DF2"/>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C46"/>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A7C74"/>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0FF3"/>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2A64"/>
    <w:rsid w:val="0063375F"/>
    <w:rsid w:val="006338D3"/>
    <w:rsid w:val="00633906"/>
    <w:rsid w:val="00633AD9"/>
    <w:rsid w:val="00633FEE"/>
    <w:rsid w:val="00634DFB"/>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9A8"/>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62A"/>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13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27E7"/>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42A"/>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3E0C"/>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8E2"/>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5224"/>
    <w:rsid w:val="008A713D"/>
    <w:rsid w:val="008B0526"/>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165"/>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1A69"/>
    <w:rsid w:val="0090398A"/>
    <w:rsid w:val="00904898"/>
    <w:rsid w:val="009048ED"/>
    <w:rsid w:val="00904945"/>
    <w:rsid w:val="00904D95"/>
    <w:rsid w:val="00904FE2"/>
    <w:rsid w:val="009053BF"/>
    <w:rsid w:val="00905D45"/>
    <w:rsid w:val="00906BBC"/>
    <w:rsid w:val="0090796B"/>
    <w:rsid w:val="00907BD3"/>
    <w:rsid w:val="00907FA2"/>
    <w:rsid w:val="00912FF8"/>
    <w:rsid w:val="009136C9"/>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0EB9"/>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42C"/>
    <w:rsid w:val="00950581"/>
    <w:rsid w:val="00950CA0"/>
    <w:rsid w:val="00951679"/>
    <w:rsid w:val="00951A7F"/>
    <w:rsid w:val="00952D53"/>
    <w:rsid w:val="00953984"/>
    <w:rsid w:val="009542A2"/>
    <w:rsid w:val="00955D88"/>
    <w:rsid w:val="009561BB"/>
    <w:rsid w:val="009565EB"/>
    <w:rsid w:val="009569AF"/>
    <w:rsid w:val="009569E5"/>
    <w:rsid w:val="00956A39"/>
    <w:rsid w:val="00957086"/>
    <w:rsid w:val="009571BE"/>
    <w:rsid w:val="00960154"/>
    <w:rsid w:val="00960AD5"/>
    <w:rsid w:val="00961533"/>
    <w:rsid w:val="00963590"/>
    <w:rsid w:val="00963C60"/>
    <w:rsid w:val="00964B0A"/>
    <w:rsid w:val="0096514A"/>
    <w:rsid w:val="00965544"/>
    <w:rsid w:val="00965C3F"/>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B3"/>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44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082C"/>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518"/>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47D9"/>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022"/>
    <w:rsid w:val="00A7690D"/>
    <w:rsid w:val="00A76A27"/>
    <w:rsid w:val="00A77A30"/>
    <w:rsid w:val="00A806D0"/>
    <w:rsid w:val="00A80FA8"/>
    <w:rsid w:val="00A81021"/>
    <w:rsid w:val="00A8276E"/>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C721F"/>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8EE"/>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30A7"/>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B11"/>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2BC6"/>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C77C5"/>
    <w:rsid w:val="00BD066A"/>
    <w:rsid w:val="00BD0B4B"/>
    <w:rsid w:val="00BD0B8E"/>
    <w:rsid w:val="00BD1193"/>
    <w:rsid w:val="00BD1239"/>
    <w:rsid w:val="00BD2011"/>
    <w:rsid w:val="00BD23DC"/>
    <w:rsid w:val="00BD24D1"/>
    <w:rsid w:val="00BD2FA6"/>
    <w:rsid w:val="00BD3089"/>
    <w:rsid w:val="00BD3690"/>
    <w:rsid w:val="00BD3AF4"/>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B6"/>
    <w:rsid w:val="00C067DB"/>
    <w:rsid w:val="00C073E2"/>
    <w:rsid w:val="00C1018C"/>
    <w:rsid w:val="00C1068C"/>
    <w:rsid w:val="00C10DD0"/>
    <w:rsid w:val="00C10FB1"/>
    <w:rsid w:val="00C1107A"/>
    <w:rsid w:val="00C11352"/>
    <w:rsid w:val="00C11EE4"/>
    <w:rsid w:val="00C11EF1"/>
    <w:rsid w:val="00C1266A"/>
    <w:rsid w:val="00C12781"/>
    <w:rsid w:val="00C12E09"/>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529"/>
    <w:rsid w:val="00D71740"/>
    <w:rsid w:val="00D7277C"/>
    <w:rsid w:val="00D7299B"/>
    <w:rsid w:val="00D73344"/>
    <w:rsid w:val="00D73A29"/>
    <w:rsid w:val="00D73A5A"/>
    <w:rsid w:val="00D74400"/>
    <w:rsid w:val="00D746C9"/>
    <w:rsid w:val="00D747E3"/>
    <w:rsid w:val="00D75AA4"/>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656A"/>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08B"/>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D29"/>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4D26"/>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0EE0"/>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369"/>
    <w:rsid w:val="00F2075A"/>
    <w:rsid w:val="00F216CB"/>
    <w:rsid w:val="00F21FDE"/>
    <w:rsid w:val="00F2467B"/>
    <w:rsid w:val="00F24911"/>
    <w:rsid w:val="00F25E20"/>
    <w:rsid w:val="00F25EEF"/>
    <w:rsid w:val="00F267A3"/>
    <w:rsid w:val="00F26914"/>
    <w:rsid w:val="00F26A78"/>
    <w:rsid w:val="00F3051B"/>
    <w:rsid w:val="00F30B2C"/>
    <w:rsid w:val="00F30EA0"/>
    <w:rsid w:val="00F3104F"/>
    <w:rsid w:val="00F320CB"/>
    <w:rsid w:val="00F325F7"/>
    <w:rsid w:val="00F3331E"/>
    <w:rsid w:val="00F33368"/>
    <w:rsid w:val="00F333FA"/>
    <w:rsid w:val="00F33F5B"/>
    <w:rsid w:val="00F354F1"/>
    <w:rsid w:val="00F35511"/>
    <w:rsid w:val="00F35CD8"/>
    <w:rsid w:val="00F36125"/>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2CFC"/>
    <w:rsid w:val="00F5314B"/>
    <w:rsid w:val="00F53273"/>
    <w:rsid w:val="00F53883"/>
    <w:rsid w:val="00F538F1"/>
    <w:rsid w:val="00F54623"/>
    <w:rsid w:val="00F549B4"/>
    <w:rsid w:val="00F550B1"/>
    <w:rsid w:val="00F5612E"/>
    <w:rsid w:val="00F573C0"/>
    <w:rsid w:val="00F57785"/>
    <w:rsid w:val="00F607AF"/>
    <w:rsid w:val="00F60906"/>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34A"/>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75A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Рисунки,HH"/>
    <w:basedOn w:val="a"/>
    <w:link w:val="a5"/>
    <w:uiPriority w:val="34"/>
    <w:qFormat/>
    <w:rsid w:val="000F28F1"/>
    <w:pPr>
      <w:ind w:left="720"/>
      <w:contextualSpacing/>
    </w:pPr>
  </w:style>
  <w:style w:type="character" w:styleId="a6">
    <w:name w:val="Hyperlink"/>
    <w:basedOn w:val="a0"/>
    <w:unhideWhenUsed/>
    <w:qFormat/>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styleId="a7">
    <w:name w:val="Unresolved Mention"/>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Рисунки Знак,HH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customStyle="1" w:styleId="leading-8">
    <w:name w:val="leading-8"/>
    <w:basedOn w:val="a"/>
    <w:rsid w:val="00F3612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ext">
    <w:name w:val="Text"/>
    <w:basedOn w:val="a"/>
    <w:rsid w:val="00F36125"/>
    <w:pPr>
      <w:widowControl w:val="0"/>
      <w:spacing w:after="0" w:line="252" w:lineRule="auto"/>
      <w:ind w:firstLine="202"/>
      <w:jc w:val="both"/>
    </w:pPr>
    <w:rPr>
      <w:rFonts w:ascii="Times New Roman" w:eastAsia="Times New Roman" w:hAnsi="Times New Roman" w:cs="Times New Roman"/>
      <w:sz w:val="20"/>
      <w:szCs w:val="20"/>
    </w:rPr>
  </w:style>
  <w:style w:type="character" w:styleId="a8">
    <w:name w:val="Strong"/>
    <w:basedOn w:val="a0"/>
    <w:uiPriority w:val="22"/>
    <w:qFormat/>
    <w:rsid w:val="00F36125"/>
    <w:rPr>
      <w:b/>
      <w:bCs/>
    </w:rPr>
  </w:style>
  <w:style w:type="paragraph" w:styleId="a9">
    <w:name w:val="Normal (Web)"/>
    <w:basedOn w:val="a"/>
    <w:uiPriority w:val="99"/>
    <w:unhideWhenUsed/>
    <w:rsid w:val="00F3612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D75AA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refocus.uz/index.php/1/article/view/1320"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aemo.com.au/-/media/files/major-publications/isp/2024/2024-integrated-system-plan-isp.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highviewpower.com/projects/worlds-first-grid-scale-laes/" TargetMode="External"/><Relationship Id="rId5" Type="http://schemas.openxmlformats.org/officeDocument/2006/relationships/hyperlink" Target="mailto:khamidov_sh@mail.ru" TargetMode="External"/><Relationship Id="rId15" Type="http://schemas.openxmlformats.org/officeDocument/2006/relationships/hyperlink" Target="https://refocus.uz/index.php/1/article/view/1320%20refocus.uz" TargetMode="External"/><Relationship Id="rId10" Type="http://schemas.openxmlformats.org/officeDocument/2006/relationships/hyperlink" Target="https://arena.gov.au/projects/hornsdale-power-reserve-expansion/" TargetMode="External"/><Relationship Id="rId4" Type="http://schemas.openxmlformats.org/officeDocument/2006/relationships/webSettings" Target="webSettings.xml"/><Relationship Id="rId9" Type="http://schemas.openxmlformats.org/officeDocument/2006/relationships/hyperlink" Target="https://www.irena.org/-/media/Files/IRENA/Agency/Publication/2025/Mar/IRENA_DAT_RE_Capacity_Statistics_2025.pdf" TargetMode="External"/><Relationship Id="rId14" Type="http://schemas.openxmlformats.org/officeDocument/2006/relationships/hyperlink" Target="https://refocus.uz/index.php/1/article/view/1320/1059?utm_source=chatgp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11</Pages>
  <Words>5398</Words>
  <Characters>30775</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7</cp:revision>
  <cp:lastPrinted>2025-12-01T10:39:00Z</cp:lastPrinted>
  <dcterms:created xsi:type="dcterms:W3CDTF">2026-01-07T07:39:00Z</dcterms:created>
  <dcterms:modified xsi:type="dcterms:W3CDTF">2026-01-07T09:35:00Z</dcterms:modified>
</cp:coreProperties>
</file>