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3646B64" w:rsidR="001E129E" w:rsidRPr="00287E0A" w:rsidRDefault="00FB6F46" w:rsidP="001405E0">
      <w:pPr>
        <w:spacing w:before="1200" w:after="200" w:line="240" w:lineRule="auto"/>
        <w:jc w:val="center"/>
        <w:rPr>
          <w:rFonts w:ascii="Times New Roman" w:hAnsi="Times New Roman" w:cs="Times New Roman"/>
          <w:b/>
          <w:sz w:val="36"/>
          <w:szCs w:val="36"/>
        </w:rPr>
      </w:pPr>
      <w:r w:rsidRPr="00FB6F46">
        <w:rPr>
          <w:rFonts w:ascii="Times New Roman" w:hAnsi="Times New Roman" w:cs="Times New Roman"/>
          <w:b/>
          <w:sz w:val="36"/>
          <w:szCs w:val="36"/>
        </w:rPr>
        <w:t>A Hybrid Intelligent Modeling Framework Integrated with a Dynamic Real-Time Monitoring System for Short-Term Lightning Strike Forecasting</w:t>
      </w:r>
    </w:p>
    <w:p w14:paraId="56C47BCD" w14:textId="0F161872" w:rsidR="00F62AF0" w:rsidRPr="00DB6FFB" w:rsidRDefault="00F62AF0" w:rsidP="00F62AF0">
      <w:pPr>
        <w:pStyle w:val="AuthorName"/>
        <w:spacing w:before="240" w:after="200"/>
        <w:rPr>
          <w:sz w:val="20"/>
          <w:lang w:eastAsia="en-GB"/>
        </w:rPr>
      </w:pPr>
      <w:proofErr w:type="spellStart"/>
      <w:r w:rsidRPr="00DB6FFB">
        <w:t>Nurbek</w:t>
      </w:r>
      <w:proofErr w:type="spellEnd"/>
      <w:r w:rsidRPr="00DB6FFB">
        <w:t xml:space="preserve"> </w:t>
      </w:r>
      <w:proofErr w:type="spellStart"/>
      <w:r w:rsidRPr="00DB6FFB">
        <w:t>Kurbonov</w:t>
      </w:r>
      <w:proofErr w:type="spellEnd"/>
      <w:r w:rsidRPr="00DB6FFB">
        <w:rPr>
          <w:vertAlign w:val="superscript"/>
          <w:lang w:val="uz-Cyrl-UZ"/>
        </w:rPr>
        <w:t>1</w:t>
      </w:r>
      <w:r w:rsidRPr="00DB6FFB">
        <w:rPr>
          <w:vertAlign w:val="superscript"/>
        </w:rPr>
        <w:t>,</w:t>
      </w:r>
      <w:proofErr w:type="gramStart"/>
      <w:r w:rsidRPr="00DB6FFB">
        <w:rPr>
          <w:vertAlign w:val="superscript"/>
        </w:rPr>
        <w:t>5,a</w:t>
      </w:r>
      <w:proofErr w:type="gramEnd"/>
      <w:r w:rsidRPr="00DB6FFB">
        <w:rPr>
          <w:vertAlign w:val="superscript"/>
        </w:rPr>
        <w:t>)</w:t>
      </w:r>
      <w:r w:rsidRPr="00DB6FFB">
        <w:t xml:space="preserve">, Zhang Li </w:t>
      </w:r>
      <w:r w:rsidRPr="00DB6FFB">
        <w:rPr>
          <w:vertAlign w:val="superscript"/>
        </w:rPr>
        <w:t>3</w:t>
      </w:r>
      <w:r w:rsidRPr="00DB6FFB">
        <w:rPr>
          <w:lang w:val="uz-Cyrl-UZ"/>
        </w:rPr>
        <w:t>,</w:t>
      </w:r>
      <w:r w:rsidRPr="00DB6FFB">
        <w:t xml:space="preserve"> </w:t>
      </w:r>
      <w:proofErr w:type="spellStart"/>
      <w:r>
        <w:t>Fozildjon</w:t>
      </w:r>
      <w:proofErr w:type="spellEnd"/>
      <w:r>
        <w:t xml:space="preserve"> Khoshimov</w:t>
      </w:r>
      <w:r>
        <w:rPr>
          <w:vertAlign w:val="superscript"/>
        </w:rPr>
        <w:t>1,2</w:t>
      </w:r>
      <w:r w:rsidRPr="00F62AF0">
        <w:t>,</w:t>
      </w:r>
      <w:r>
        <w:t xml:space="preserve"> </w:t>
      </w:r>
      <w:proofErr w:type="spellStart"/>
      <w:r w:rsidRPr="00F62AF0">
        <w:t>Jasurjon</w:t>
      </w:r>
      <w:proofErr w:type="spellEnd"/>
      <w:r w:rsidRPr="00F62AF0">
        <w:t xml:space="preserve"> </w:t>
      </w:r>
      <w:proofErr w:type="spellStart"/>
      <w:r w:rsidRPr="00F62AF0">
        <w:t>Olimov</w:t>
      </w:r>
      <w:proofErr w:type="spellEnd"/>
      <w:r w:rsidR="00395D46" w:rsidRPr="00395D46">
        <w:t xml:space="preserve"> </w:t>
      </w:r>
      <w:bookmarkStart w:id="0" w:name="_GoBack"/>
      <w:bookmarkEnd w:id="0"/>
      <w:r w:rsidRPr="00F62AF0">
        <w:rPr>
          <w:vertAlign w:val="superscript"/>
        </w:rPr>
        <w:t>4</w:t>
      </w:r>
    </w:p>
    <w:p w14:paraId="4ACE3E50" w14:textId="77777777" w:rsidR="00F62AF0" w:rsidRPr="00DB6FFB" w:rsidRDefault="00F62AF0" w:rsidP="00F62AF0">
      <w:pPr>
        <w:pStyle w:val="AuthorAffiliation"/>
      </w:pPr>
      <w:r w:rsidRPr="00DB6FFB">
        <w:rPr>
          <w:vertAlign w:val="superscript"/>
          <w:lang w:val="uz-Cyrl-UZ"/>
        </w:rPr>
        <w:t>1</w:t>
      </w:r>
      <w:r w:rsidRPr="00DB6FFB">
        <w:rPr>
          <w:vertAlign w:val="superscript"/>
        </w:rPr>
        <w:t xml:space="preserve"> </w:t>
      </w:r>
      <w:bookmarkStart w:id="1" w:name="_Hlk212275463"/>
      <w:r w:rsidRPr="00DB6FFB">
        <w:t>Tashkent state technical university named after Islam Karimov, Tashkent, Uzbekistan</w:t>
      </w:r>
      <w:r w:rsidRPr="00DB6FFB">
        <w:rPr>
          <w:lang w:val="uz-Cyrl-UZ"/>
        </w:rPr>
        <w:t xml:space="preserve"> </w:t>
      </w:r>
      <w:bookmarkEnd w:id="1"/>
    </w:p>
    <w:p w14:paraId="653970E8" w14:textId="77777777" w:rsidR="00F62AF0" w:rsidRPr="00DB6FFB" w:rsidRDefault="00F62AF0" w:rsidP="00F62AF0">
      <w:pPr>
        <w:pStyle w:val="AuthorAffiliation"/>
      </w:pPr>
      <w:r w:rsidRPr="00DB6FFB">
        <w:rPr>
          <w:vertAlign w:val="superscript"/>
        </w:rPr>
        <w:t xml:space="preserve">2 </w:t>
      </w:r>
      <w:r w:rsidRPr="00DB6FFB">
        <w:t xml:space="preserve">Karakalpak State University named after </w:t>
      </w:r>
      <w:proofErr w:type="spellStart"/>
      <w:r w:rsidRPr="00DB6FFB">
        <w:t>Berdakh</w:t>
      </w:r>
      <w:proofErr w:type="spellEnd"/>
      <w:r w:rsidRPr="00DB6FFB">
        <w:t xml:space="preserve">, </w:t>
      </w:r>
      <w:proofErr w:type="spellStart"/>
      <w:r w:rsidRPr="00DB6FFB">
        <w:t>Nukus</w:t>
      </w:r>
      <w:proofErr w:type="spellEnd"/>
      <w:r w:rsidRPr="00DB6FFB">
        <w:t>, Uzbekistan</w:t>
      </w:r>
    </w:p>
    <w:p w14:paraId="67AD590F" w14:textId="77777777" w:rsidR="00F62AF0" w:rsidRPr="00DB6FFB" w:rsidRDefault="00F62AF0" w:rsidP="00F62AF0">
      <w:pPr>
        <w:pStyle w:val="AuthorAffiliation"/>
      </w:pPr>
      <w:r w:rsidRPr="00DB6FFB">
        <w:rPr>
          <w:vertAlign w:val="superscript"/>
        </w:rPr>
        <w:t xml:space="preserve">3 </w:t>
      </w:r>
      <w:r w:rsidRPr="00DB6FFB">
        <w:t>Shandong University, Jinan, China</w:t>
      </w:r>
    </w:p>
    <w:p w14:paraId="003E7A0E" w14:textId="5F404C96" w:rsidR="00F62AF0" w:rsidRPr="00DB6FFB" w:rsidRDefault="00F62AF0" w:rsidP="00F62AF0">
      <w:pPr>
        <w:pStyle w:val="AuthorAffiliation"/>
      </w:pPr>
      <w:r w:rsidRPr="00DB6FFB">
        <w:rPr>
          <w:vertAlign w:val="superscript"/>
        </w:rPr>
        <w:t>4</w:t>
      </w:r>
      <w:r w:rsidRPr="00DB6FFB">
        <w:t xml:space="preserve"> </w:t>
      </w:r>
      <w:r w:rsidRPr="00F62AF0">
        <w:t xml:space="preserve">Navoi State University of Mining and Technologies, </w:t>
      </w:r>
      <w:proofErr w:type="spellStart"/>
      <w:r w:rsidRPr="00F62AF0">
        <w:t>Navoiy</w:t>
      </w:r>
      <w:proofErr w:type="spellEnd"/>
      <w:r w:rsidRPr="00F62AF0">
        <w:t>, Uzbekistan</w:t>
      </w:r>
    </w:p>
    <w:p w14:paraId="77DD2A3F" w14:textId="77777777" w:rsidR="00F62AF0" w:rsidRPr="00DB6FFB" w:rsidRDefault="00F62AF0" w:rsidP="00F62AF0">
      <w:pPr>
        <w:pStyle w:val="AuthorAffiliation"/>
      </w:pPr>
      <w:r w:rsidRPr="00DB6FFB">
        <w:rPr>
          <w:vertAlign w:val="superscript"/>
        </w:rPr>
        <w:t>5</w:t>
      </w:r>
      <w:r w:rsidRPr="00DB6FFB">
        <w:t xml:space="preserve"> </w:t>
      </w:r>
      <w:proofErr w:type="spellStart"/>
      <w:r w:rsidRPr="00DB6FFB">
        <w:t>Termiz</w:t>
      </w:r>
      <w:proofErr w:type="spellEnd"/>
      <w:r w:rsidRPr="00DB6FFB">
        <w:t xml:space="preserve"> State University of Engineering and </w:t>
      </w:r>
      <w:proofErr w:type="spellStart"/>
      <w:r w:rsidRPr="00DB6FFB">
        <w:t>Agrotechnologies</w:t>
      </w:r>
      <w:proofErr w:type="spellEnd"/>
      <w:r w:rsidRPr="00DB6FFB">
        <w:t xml:space="preserve">, </w:t>
      </w:r>
      <w:proofErr w:type="spellStart"/>
      <w:r w:rsidRPr="00DB6FFB">
        <w:t>Termiz</w:t>
      </w:r>
      <w:proofErr w:type="spellEnd"/>
      <w:r w:rsidRPr="00DB6FFB">
        <w:t>, Uzbekistan</w:t>
      </w:r>
    </w:p>
    <w:p w14:paraId="7AAAB7CF" w14:textId="77777777" w:rsidR="00F62AF0" w:rsidRPr="00287E0A" w:rsidRDefault="00F62AF0" w:rsidP="00F62AF0">
      <w:pPr>
        <w:pStyle w:val="AuthorAffiliation"/>
        <w:spacing w:before="200" w:after="200"/>
      </w:pPr>
      <w:r w:rsidRPr="00DB6FFB">
        <w:rPr>
          <w:szCs w:val="18"/>
          <w:vertAlign w:val="superscript"/>
        </w:rPr>
        <w:t>a)</w:t>
      </w:r>
      <w:r w:rsidRPr="00DB6FFB">
        <w:rPr>
          <w:szCs w:val="18"/>
        </w:rPr>
        <w:t xml:space="preserve"> Corresponding author: </w:t>
      </w:r>
      <w:hyperlink r:id="rId5" w:history="1">
        <w:r w:rsidRPr="00DB6FFB">
          <w:rPr>
            <w:rStyle w:val="a6"/>
          </w:rPr>
          <w:t>nurbek.kurbonov.96@gmail.com</w:t>
        </w:r>
      </w:hyperlink>
      <w:r>
        <w:t xml:space="preserve"> </w:t>
      </w:r>
    </w:p>
    <w:p w14:paraId="410B173B" w14:textId="299BEB3E" w:rsidR="00BC4E3B" w:rsidRPr="00287E0A" w:rsidRDefault="00E25282" w:rsidP="007C2285">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C2285" w:rsidRPr="007C2285">
        <w:rPr>
          <w:rFonts w:ascii="Times New Roman" w:hAnsi="Times New Roman" w:cs="Times New Roman"/>
          <w:iCs/>
          <w:sz w:val="18"/>
          <w:szCs w:val="18"/>
          <w:lang w:val="uz-Cyrl-UZ"/>
        </w:rPr>
        <w:t>Lightning strikes represent a critical external hazard for large-scale wind farms, frequently causing equipment damage, operational interruptions, and substantial economic losses. In the context of rapidly growing wind energy capacity and increasing international investments in renewable power infrastructure, the availability of reliable short-term lightning forecasting and protection mechanisms has become a decisive factor for operational resilience and asset bankability. This study presents a dynamic real-time monitoring and hybrid intelligent forecasting framework for short-term lightning strike prediction, developed under the project “Advanced Technologies for Lightning Protection-Based Monitoring, Prognosis and Fault Diagnosis in Large-Scale Wind Farms.”</w:t>
      </w:r>
      <w:r w:rsidR="007C2285">
        <w:rPr>
          <w:rFonts w:ascii="Times New Roman" w:hAnsi="Times New Roman" w:cs="Times New Roman"/>
          <w:iCs/>
          <w:sz w:val="18"/>
          <w:szCs w:val="18"/>
        </w:rPr>
        <w:t xml:space="preserve"> </w:t>
      </w:r>
      <w:r w:rsidR="007C2285" w:rsidRPr="007C2285">
        <w:rPr>
          <w:rFonts w:ascii="Times New Roman" w:hAnsi="Times New Roman" w:cs="Times New Roman"/>
          <w:iCs/>
          <w:sz w:val="18"/>
          <w:szCs w:val="18"/>
          <w:lang w:val="uz-Cyrl-UZ"/>
        </w:rPr>
        <w:t>The proposed approach integrates heterogeneous real-time data streams from lightning detection networks, meteorological sensors, and remote sensing platforms with physically meaningful atmospheric instability indicators. A hybrid modeling architecture is employed, combining Long Short-Term Memory (LSTM) networks for temporal pattern learning with a physically constrained instability index to enhance robustness and interpretability. The system operates in real time and delivers probabilistic lightning nowcasts within a short-term forecasting horizon suitable for operational decision-making.</w:t>
      </w:r>
      <w:r w:rsidR="007C2285">
        <w:rPr>
          <w:rFonts w:ascii="Times New Roman" w:hAnsi="Times New Roman" w:cs="Times New Roman"/>
          <w:iCs/>
          <w:sz w:val="18"/>
          <w:szCs w:val="18"/>
        </w:rPr>
        <w:t xml:space="preserve"> </w:t>
      </w:r>
      <w:r w:rsidR="007C2285" w:rsidRPr="007C2285">
        <w:rPr>
          <w:rFonts w:ascii="Times New Roman" w:hAnsi="Times New Roman" w:cs="Times New Roman"/>
          <w:iCs/>
          <w:sz w:val="18"/>
          <w:szCs w:val="18"/>
          <w:lang w:val="uz-Cyrl-UZ"/>
        </w:rPr>
        <w:t>Validation results demonstrate that the proposed hybrid framework achieves a marked improvement in forecasting accuracy and a significant reduction in false alarm rates compared to conventional statistical and purely data-driven models. The enhanced predictive performance enables proactive lightning protection strategies, supports intelligent fault diagnosis, and contributes to improved reliability, safety, and economic efficiency of large-scale wind energy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EA810DE" w14:textId="77777777" w:rsidR="00D43949" w:rsidRPr="00D43949" w:rsidRDefault="00D43949" w:rsidP="00D43949">
      <w:pPr>
        <w:pStyle w:val="Default"/>
        <w:ind w:firstLine="284"/>
        <w:jc w:val="both"/>
        <w:rPr>
          <w:sz w:val="20"/>
          <w:lang w:val="en-US"/>
        </w:rPr>
      </w:pPr>
      <w:r w:rsidRPr="00D43949">
        <w:rPr>
          <w:sz w:val="20"/>
          <w:lang w:val="en-US"/>
        </w:rPr>
        <w:t>Attracting international investment has become a cornerstone of Uzbekistan’s long-term strategy for transforming its energy sector and ensuring sustainable economic growth. Over the past decade, the country has pursued comprehensive reforms aimed at liberalizing the electricity market, diversifying generation sources, and accelerating the deployment of renewable energy technologies. These reforms are driven by rapidly increasing electricity demand, the necessity to modernize legacy infrastructure, and the strategic imperative to enhance energy security while reducing environmental impacts.</w:t>
      </w:r>
    </w:p>
    <w:p w14:paraId="309BD5C3" w14:textId="150A8A1D" w:rsidR="00D43949" w:rsidRPr="00D43949" w:rsidRDefault="00D43949" w:rsidP="00D43949">
      <w:pPr>
        <w:pStyle w:val="Default"/>
        <w:ind w:firstLine="284"/>
        <w:jc w:val="both"/>
        <w:rPr>
          <w:sz w:val="20"/>
          <w:lang w:val="en-US"/>
        </w:rPr>
      </w:pPr>
      <w:r w:rsidRPr="00D43949">
        <w:rPr>
          <w:sz w:val="20"/>
          <w:lang w:val="en-US"/>
        </w:rPr>
        <w:t>As illustrated in Figure 1, foreign investment in Uzbekistan’s energy sector has grown substantially in both financial volume and installed capacity. During the 2019–2024 period, cumulative investments reached approximately USD 4.3 billion, enabling the commissioning of around 5.7 GW of new generation capacity. This phase marked the large-scale entry of international independent power producers, particularly in solar and wind energy. In 2025, planned investments are estimated at USD 3.3 billion, with more than 220 MW of additional capacity expected to be brought online, reflecting sustained investor confidence and a stable regulatory environment</w:t>
      </w:r>
      <w:r w:rsidR="00EC31E5">
        <w:rPr>
          <w:sz w:val="20"/>
          <w:lang w:val="en-US"/>
        </w:rPr>
        <w:t xml:space="preserve"> [1,2]</w:t>
      </w:r>
      <w:r w:rsidRPr="00D43949">
        <w:rPr>
          <w:sz w:val="20"/>
          <w:lang w:val="en-US"/>
        </w:rPr>
        <w:t>.</w:t>
      </w:r>
    </w:p>
    <w:p w14:paraId="65646DC2" w14:textId="77777777" w:rsidR="00D43949" w:rsidRDefault="00D43949" w:rsidP="00D43949">
      <w:pPr>
        <w:pStyle w:val="Default"/>
        <w:ind w:firstLine="284"/>
        <w:jc w:val="both"/>
        <w:rPr>
          <w:sz w:val="20"/>
          <w:lang w:val="en-US"/>
        </w:rPr>
      </w:pPr>
      <w:r w:rsidRPr="00D43949">
        <w:rPr>
          <w:sz w:val="20"/>
          <w:lang w:val="en-US"/>
        </w:rPr>
        <w:t xml:space="preserve">A key characteristic of this investment expansion is the involvement of major international developers, including Masdar, ACWA Power, AMEA Power, and </w:t>
      </w:r>
      <w:proofErr w:type="spellStart"/>
      <w:r w:rsidRPr="00D43949">
        <w:rPr>
          <w:sz w:val="20"/>
          <w:lang w:val="en-US"/>
        </w:rPr>
        <w:t>Solarshine</w:t>
      </w:r>
      <w:proofErr w:type="spellEnd"/>
      <w:r w:rsidRPr="00D43949">
        <w:rPr>
          <w:sz w:val="20"/>
          <w:lang w:val="en-US"/>
        </w:rPr>
        <w:t xml:space="preserve">, whose projects span utility-scale photovoltaic plants, onshore </w:t>
      </w:r>
      <w:r w:rsidRPr="00D43949">
        <w:rPr>
          <w:sz w:val="20"/>
          <w:lang w:val="en-US"/>
        </w:rPr>
        <w:lastRenderedPageBreak/>
        <w:t>wind farms, and grid-connected energy storage systems. The multiplicative growth indicators shown in Figure 1 highlight not only the rapid increase in installed capacity but also the technological diversification of the sector, where solar, wind, and battery energy storage systems are increasingly deployed in integrated and hybrid configurations. Strategic cooperation with partners from the People’s Republic of China has further accelerated this process, contributing to the deployment of large-capacity renewable projects, localized manufacturing, and the transfer of advanced engineering expertise.</w:t>
      </w:r>
    </w:p>
    <w:p w14:paraId="013857AA" w14:textId="77777777" w:rsidR="00D43949" w:rsidRDefault="00D43949" w:rsidP="00D43949">
      <w:pPr>
        <w:pStyle w:val="Default"/>
        <w:spacing w:before="200"/>
        <w:jc w:val="center"/>
        <w:rPr>
          <w:sz w:val="20"/>
          <w:lang w:val="en-US"/>
        </w:rPr>
      </w:pPr>
      <w:r>
        <w:rPr>
          <w:noProof/>
          <w:sz w:val="20"/>
          <w:lang w:eastAsia="ru-RU"/>
        </w:rPr>
        <w:drawing>
          <wp:inline distT="0" distB="0" distL="0" distR="0" wp14:anchorId="1B7DBBED" wp14:editId="1BF5564C">
            <wp:extent cx="5498276" cy="2909688"/>
            <wp:effectExtent l="0" t="0" r="7620" b="5080"/>
            <wp:docPr id="1160426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1277" cy="2921860"/>
                    </a:xfrm>
                    <a:prstGeom prst="rect">
                      <a:avLst/>
                    </a:prstGeom>
                    <a:noFill/>
                  </pic:spPr>
                </pic:pic>
              </a:graphicData>
            </a:graphic>
          </wp:inline>
        </w:drawing>
      </w:r>
    </w:p>
    <w:p w14:paraId="6987D831" w14:textId="0A03EC06" w:rsidR="00D43949" w:rsidRPr="005C6EFF" w:rsidRDefault="00D43949" w:rsidP="00D43949">
      <w:pPr>
        <w:jc w:val="center"/>
        <w:rPr>
          <w:rFonts w:ascii="Times New Roman" w:eastAsia="Times New Roman" w:hAnsi="Times New Roman" w:cs="Times New Roman"/>
          <w:bCs/>
          <w:sz w:val="20"/>
          <w:szCs w:val="20"/>
          <w:lang w:eastAsia="de-DE"/>
        </w:rPr>
      </w:pPr>
      <w:r w:rsidRPr="00F006B1">
        <w:rPr>
          <w:rFonts w:ascii="Times New Roman" w:eastAsia="Times New Roman" w:hAnsi="Times New Roman" w:cs="Times New Roman"/>
          <w:b/>
          <w:sz w:val="20"/>
          <w:szCs w:val="20"/>
          <w:lang w:eastAsia="de-DE"/>
        </w:rPr>
        <w:t>FIGURE</w:t>
      </w:r>
      <w:r w:rsidRPr="00417CF8">
        <w:rPr>
          <w:rFonts w:ascii="Times New Roman" w:eastAsia="Times New Roman" w:hAnsi="Times New Roman" w:cs="Times New Roman"/>
          <w:b/>
          <w:sz w:val="20"/>
          <w:szCs w:val="20"/>
          <w:lang w:eastAsia="de-DE"/>
        </w:rPr>
        <w:t xml:space="preserve"> 1.</w:t>
      </w:r>
      <w:r w:rsidRPr="005C6EFF">
        <w:rPr>
          <w:rFonts w:ascii="Times New Roman" w:eastAsia="Times New Roman" w:hAnsi="Times New Roman" w:cs="Times New Roman"/>
          <w:bCs/>
          <w:sz w:val="20"/>
          <w:szCs w:val="20"/>
          <w:lang w:eastAsia="de-DE"/>
        </w:rPr>
        <w:t xml:space="preserve"> </w:t>
      </w:r>
      <w:r w:rsidR="00960822" w:rsidRPr="00960822">
        <w:rPr>
          <w:rFonts w:ascii="Times New Roman" w:eastAsia="Times New Roman" w:hAnsi="Times New Roman" w:cs="Times New Roman"/>
          <w:bCs/>
          <w:sz w:val="20"/>
          <w:szCs w:val="20"/>
          <w:lang w:eastAsia="de-DE"/>
        </w:rPr>
        <w:t>Dynamics of International Investments and Installed Renewable Energy Capacity in Uzbekistan’s Energy Sector (20</w:t>
      </w:r>
      <w:r w:rsidR="006F5D29">
        <w:rPr>
          <w:rFonts w:ascii="Times New Roman" w:eastAsia="Times New Roman" w:hAnsi="Times New Roman" w:cs="Times New Roman"/>
          <w:bCs/>
          <w:sz w:val="20"/>
          <w:szCs w:val="20"/>
          <w:lang w:eastAsia="de-DE"/>
        </w:rPr>
        <w:t>22</w:t>
      </w:r>
      <w:r w:rsidR="00960822" w:rsidRPr="00960822">
        <w:rPr>
          <w:rFonts w:ascii="Times New Roman" w:eastAsia="Times New Roman" w:hAnsi="Times New Roman" w:cs="Times New Roman"/>
          <w:bCs/>
          <w:sz w:val="20"/>
          <w:szCs w:val="20"/>
          <w:lang w:eastAsia="de-DE"/>
        </w:rPr>
        <w:t>–20</w:t>
      </w:r>
      <w:r w:rsidR="006F5D29">
        <w:rPr>
          <w:rFonts w:ascii="Times New Roman" w:eastAsia="Times New Roman" w:hAnsi="Times New Roman" w:cs="Times New Roman"/>
          <w:bCs/>
          <w:sz w:val="20"/>
          <w:szCs w:val="20"/>
          <w:lang w:eastAsia="de-DE"/>
        </w:rPr>
        <w:t>30</w:t>
      </w:r>
      <w:r w:rsidR="00960822" w:rsidRPr="00960822">
        <w:rPr>
          <w:rFonts w:ascii="Times New Roman" w:eastAsia="Times New Roman" w:hAnsi="Times New Roman" w:cs="Times New Roman"/>
          <w:bCs/>
          <w:sz w:val="20"/>
          <w:szCs w:val="20"/>
          <w:lang w:eastAsia="de-DE"/>
        </w:rPr>
        <w:t>)</w:t>
      </w:r>
    </w:p>
    <w:p w14:paraId="58D39619" w14:textId="0346D9DA" w:rsidR="00D43949" w:rsidRPr="00D43949" w:rsidRDefault="00D43949" w:rsidP="00D43949">
      <w:pPr>
        <w:pStyle w:val="Default"/>
        <w:ind w:firstLine="284"/>
        <w:jc w:val="both"/>
        <w:rPr>
          <w:sz w:val="20"/>
          <w:lang w:val="en-US"/>
        </w:rPr>
      </w:pPr>
      <w:r w:rsidRPr="00D43949">
        <w:rPr>
          <w:sz w:val="20"/>
          <w:lang w:val="en-US"/>
        </w:rPr>
        <w:t xml:space="preserve">The rapid expansion of wind power capacity, however, introduces new operational and reliability challenges. Large-scale wind farms are particularly vulnerable to severe atmospheric phenomena, with lightning strikes representing one of the most critical external threats. Lightning-induced faults can lead to turbine outages, damage to blades and power electronics, degradation of control systems, and significant financial losses due to downtime and maintenance. As wind projects </w:t>
      </w:r>
      <w:r w:rsidR="00120AA8" w:rsidRPr="00D43949">
        <w:rPr>
          <w:sz w:val="20"/>
          <w:lang w:val="en-US"/>
        </w:rPr>
        <w:t>grow</w:t>
      </w:r>
      <w:r w:rsidRPr="00D43949">
        <w:rPr>
          <w:sz w:val="20"/>
          <w:lang w:val="en-US"/>
        </w:rPr>
        <w:t xml:space="preserve"> and geographical dispersion, ensuring reliable lightning protection and rapid fault response becomes a decisive factor for both operational efficiency and investor confidence.</w:t>
      </w:r>
    </w:p>
    <w:p w14:paraId="48322921" w14:textId="77777777" w:rsidR="00D43949" w:rsidRPr="00D43949" w:rsidRDefault="00D43949" w:rsidP="00D43949">
      <w:pPr>
        <w:pStyle w:val="Default"/>
        <w:ind w:firstLine="284"/>
        <w:jc w:val="both"/>
        <w:rPr>
          <w:sz w:val="20"/>
          <w:lang w:val="en-US"/>
        </w:rPr>
      </w:pPr>
      <w:r w:rsidRPr="00D43949">
        <w:rPr>
          <w:sz w:val="20"/>
          <w:lang w:val="en-US"/>
        </w:rPr>
        <w:t>Within this context, the present article is developed under the research project entitled “Advanced Technologies for Lightning Protection-Based Monitoring, Prognosis and Fault Diagnosis in Large-Scale Wind Farms.” The project aims to address the growing need for intelligent protection and diagnostic solutions by integrating advanced lightning monitoring technologies with data-driven forecasting and fault diagnosis methods. The article specifically focuses on the development of a hybrid framework that combines real-time lightning detection, short-term lightning prognosis, and intelligent fault analysis to support the safe and reliable operation of utility-scale wind energy facilities.</w:t>
      </w:r>
    </w:p>
    <w:p w14:paraId="070B7524" w14:textId="33F2509F" w:rsidR="00F61B69" w:rsidRPr="00F61B69" w:rsidRDefault="00D43949" w:rsidP="00F61B69">
      <w:pPr>
        <w:pStyle w:val="Default"/>
        <w:ind w:firstLine="284"/>
        <w:jc w:val="both"/>
        <w:rPr>
          <w:sz w:val="20"/>
          <w:lang w:val="en-US"/>
        </w:rPr>
      </w:pPr>
      <w:r w:rsidRPr="00D43949">
        <w:rPr>
          <w:sz w:val="20"/>
          <w:lang w:val="en-US"/>
        </w:rPr>
        <w:t>By aligning lightning protection strategies with modern monitoring and prognostic systems, the proposed approach contributes to reducing operational risks, minimizing unplanned outages, and extending the service life of wind farm assets. In addition, the outcomes of this research are directly relevant to the broader investment landscape depicted in Figure 1, as the deployment of advanced protection and diagnostic technologies enhances the bankability and long-term sustainability of large-scale wind projects. Ultimately, the integration of lightning-aware monitoring and prognosis systems represents a critical enabling factor for sustaining the rapid growth of renewable energy investments in Uzbekistan and comparable emerging energy markets.</w:t>
      </w:r>
    </w:p>
    <w:p w14:paraId="3E842B6D" w14:textId="77777777" w:rsidR="0048778A" w:rsidRPr="00527D35" w:rsidRDefault="0048778A" w:rsidP="0048778A">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527D35">
        <w:rPr>
          <w:rFonts w:ascii="Times New Roman" w:hAnsi="Times New Roman" w:cs="Times New Roman"/>
          <w:b/>
          <w:sz w:val="24"/>
          <w:szCs w:val="24"/>
        </w:rPr>
        <w:t>METHODOLOGY</w:t>
      </w:r>
    </w:p>
    <w:p w14:paraId="49A448A8" w14:textId="6A928A72" w:rsidR="0048778A" w:rsidRPr="00CD0464" w:rsidRDefault="005E1CDB" w:rsidP="00CD046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E1CDB">
        <w:rPr>
          <w:rFonts w:ascii="Times New Roman" w:eastAsia="Times New Roman" w:hAnsi="Times New Roman" w:cs="Times New Roman"/>
          <w:bCs/>
          <w:sz w:val="20"/>
          <w:szCs w:val="20"/>
          <w:lang w:eastAsia="de-DE"/>
        </w:rPr>
        <w:t xml:space="preserve">This study proposes a dynamic real-time lightning monitoring and short-term forecasting methodology based on a hybrid intelligent modeling framework, developed within the project “Advanced Technologies for Lightning Protection-Based Monitoring, Prognosis and Fault Diagnosis in Large-Scale Wind Farms.” The methodology </w:t>
      </w:r>
      <w:r w:rsidRPr="005E1CDB">
        <w:rPr>
          <w:rFonts w:ascii="Times New Roman" w:eastAsia="Times New Roman" w:hAnsi="Times New Roman" w:cs="Times New Roman"/>
          <w:bCs/>
          <w:sz w:val="20"/>
          <w:szCs w:val="20"/>
          <w:lang w:eastAsia="de-DE"/>
        </w:rPr>
        <w:lastRenderedPageBreak/>
        <w:t>integrates multi-source observational data, physical atmospheric indicators, and deep learning techniques to achieve reliable lightning</w:t>
      </w:r>
      <w:r w:rsidRPr="00CD0464">
        <w:rPr>
          <w:rFonts w:ascii="Times New Roman" w:eastAsia="Times New Roman" w:hAnsi="Times New Roman" w:cs="Times New Roman"/>
          <w:bCs/>
          <w:sz w:val="20"/>
          <w:szCs w:val="20"/>
          <w:lang w:eastAsia="de-DE"/>
        </w:rPr>
        <w:t xml:space="preserve"> nowcasting for operational wind farm applications.</w:t>
      </w:r>
    </w:p>
    <w:p w14:paraId="7192558A" w14:textId="22C43A3D" w:rsidR="00CD0464" w:rsidRPr="001E4D59" w:rsidRDefault="00CD0464" w:rsidP="00CD046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0464">
        <w:rPr>
          <w:rFonts w:ascii="Times New Roman" w:eastAsia="Times New Roman" w:hAnsi="Times New Roman" w:cs="Times New Roman"/>
          <w:bCs/>
          <w:sz w:val="20"/>
          <w:szCs w:val="20"/>
          <w:lang w:eastAsia="de-DE"/>
        </w:rPr>
        <w:t>The system continuously acquires he</w:t>
      </w:r>
      <w:r w:rsidRPr="001E4D59">
        <w:rPr>
          <w:rFonts w:ascii="Times New Roman" w:eastAsia="Times New Roman" w:hAnsi="Times New Roman" w:cs="Times New Roman"/>
          <w:bCs/>
          <w:sz w:val="20"/>
          <w:szCs w:val="20"/>
          <w:lang w:eastAsia="de-DE"/>
        </w:rPr>
        <w:t>terogeneous data streams, including ground-based lightning detection networks, weather radar products, satellite-derived cloud parameters, and in situ meteorological measurements. All data are temporally synchronized and spatially mapped to wind farm locations. Feature normalization and outlier filtering are applied to ensure numerical stability and reduce noise effects in rapidly evolving convective environments.</w:t>
      </w:r>
    </w:p>
    <w:p w14:paraId="35BD7DA8" w14:textId="3500108C" w:rsidR="00CD0464" w:rsidRPr="00CD0464" w:rsidRDefault="00CD0464" w:rsidP="00CD046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0464">
        <w:rPr>
          <w:rFonts w:ascii="Times New Roman" w:eastAsia="Times New Roman" w:hAnsi="Times New Roman" w:cs="Times New Roman"/>
          <w:bCs/>
          <w:sz w:val="20"/>
          <w:szCs w:val="20"/>
          <w:lang w:eastAsia="de-DE"/>
        </w:rPr>
        <w:t>The forecasting framework combines a data-driven temporal learning module with a physically constrained instability component</w:t>
      </w:r>
      <w:r w:rsidR="00EC31E5">
        <w:rPr>
          <w:rFonts w:ascii="Times New Roman" w:eastAsia="Times New Roman" w:hAnsi="Times New Roman" w:cs="Times New Roman"/>
          <w:bCs/>
          <w:sz w:val="20"/>
          <w:szCs w:val="20"/>
          <w:lang w:eastAsia="de-DE"/>
        </w:rPr>
        <w:t xml:space="preserve"> [3,4]</w:t>
      </w:r>
      <w:r w:rsidRPr="00CD0464">
        <w:rPr>
          <w:rFonts w:ascii="Times New Roman" w:eastAsia="Times New Roman" w:hAnsi="Times New Roman" w:cs="Times New Roman"/>
          <w:bCs/>
          <w:sz w:val="20"/>
          <w:szCs w:val="20"/>
          <w:lang w:eastAsia="de-DE"/>
        </w:rPr>
        <w:t>. Temporal dependencies in lightning occurrence are modeled using a Long Short-Term Memory (LSTM) network, expressed as:</w:t>
      </w:r>
    </w:p>
    <w:p w14:paraId="418A6634" w14:textId="4826C736" w:rsidR="00CD0464" w:rsidRPr="00F62AF0" w:rsidRDefault="00395D46" w:rsidP="00F62AF0">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val="de-DE"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val="de-DE" w:eastAsia="de-DE"/>
              </w:rPr>
              <m:t>h</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val="de-DE" w:eastAsia="de-DE"/>
          </w:rPr>
          <m:t>=</m:t>
        </m:r>
        <m:r>
          <m:rPr>
            <m:nor/>
          </m:rPr>
          <w:rPr>
            <w:rFonts w:ascii="Times New Roman" w:eastAsia="Times New Roman" w:hAnsi="Times New Roman" w:cs="Times New Roman"/>
            <w:bCs/>
            <w:sz w:val="20"/>
            <w:szCs w:val="20"/>
            <w:lang w:val="de-DE" w:eastAsia="de-DE"/>
          </w:rPr>
          <m:t>LSTM</m:t>
        </m:r>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val="de-DE" w:eastAsia="de-DE"/>
              </w:rPr>
              <m:t>X</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val="de-DE" w:eastAsia="de-DE"/>
              </w:rPr>
              <m:t>h</m:t>
            </m:r>
          </m:e>
          <m:sub>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-1</m:t>
            </m:r>
          </m:sub>
        </m:sSub>
        <m:r>
          <w:rPr>
            <w:rFonts w:ascii="Cambria Math" w:eastAsia="Times New Roman" w:hAnsi="Cambria Math" w:cs="Times New Roman"/>
            <w:sz w:val="20"/>
            <w:szCs w:val="20"/>
            <w:lang w:val="de-DE" w:eastAsia="de-DE"/>
          </w:rPr>
          <m:t>)</m:t>
        </m:r>
      </m:oMath>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t>(1)</w:t>
      </w:r>
    </w:p>
    <w:p w14:paraId="4103AA12" w14:textId="059654CD" w:rsidR="00CD0464" w:rsidRPr="00CD0464" w:rsidRDefault="00CD0464" w:rsidP="00F3129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D0464">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t</m:t>
            </m:r>
          </m:sub>
        </m:sSub>
      </m:oMath>
      <w:r w:rsidRPr="00CD0464">
        <w:rPr>
          <w:rFonts w:ascii="Times New Roman" w:eastAsia="Times New Roman" w:hAnsi="Times New Roman" w:cs="Times New Roman"/>
          <w:bCs/>
          <w:sz w:val="20"/>
          <w:szCs w:val="20"/>
          <w:lang w:eastAsia="de-DE"/>
        </w:rPr>
        <w:t xml:space="preserve">represents the multivariate input feature vector at time </w:t>
      </w:r>
      <m:oMath>
        <m:r>
          <w:rPr>
            <w:rFonts w:ascii="Cambria Math" w:eastAsia="Times New Roman" w:hAnsi="Cambria Math" w:cs="Times New Roman"/>
            <w:sz w:val="20"/>
            <w:szCs w:val="20"/>
            <w:lang w:eastAsia="de-DE"/>
          </w:rPr>
          <m:t>t</m:t>
        </m:r>
      </m:oMath>
      <w:r w:rsidRPr="00CD0464">
        <w:rPr>
          <w:rFonts w:ascii="Times New Roman" w:eastAsia="Times New Roman" w:hAnsi="Times New Roman" w:cs="Times New Roman"/>
          <w:bCs/>
          <w:sz w:val="20"/>
          <w:szCs w:val="20"/>
          <w:lang w:eastAsia="de-DE"/>
        </w:rPr>
        <w:t xml:space="preserve">, 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t</m:t>
            </m:r>
          </m:sub>
        </m:sSub>
      </m:oMath>
      <w:r w:rsidRPr="00CD0464">
        <w:rPr>
          <w:rFonts w:ascii="Times New Roman" w:eastAsia="Times New Roman" w:hAnsi="Times New Roman" w:cs="Times New Roman"/>
          <w:bCs/>
          <w:sz w:val="20"/>
          <w:szCs w:val="20"/>
          <w:lang w:eastAsia="de-DE"/>
        </w:rPr>
        <w:t>is the hidden state capturing short-term convective evolution.</w:t>
      </w:r>
      <w:r w:rsidR="00F3129D">
        <w:rPr>
          <w:rFonts w:ascii="Times New Roman" w:eastAsia="Times New Roman" w:hAnsi="Times New Roman" w:cs="Times New Roman"/>
          <w:bCs/>
          <w:sz w:val="20"/>
          <w:szCs w:val="20"/>
          <w:lang w:eastAsia="de-DE"/>
        </w:rPr>
        <w:t xml:space="preserve"> </w:t>
      </w:r>
      <w:r w:rsidR="00EC31E5">
        <w:rPr>
          <w:rFonts w:ascii="Times New Roman" w:eastAsia="Times New Roman" w:hAnsi="Times New Roman" w:cs="Times New Roman"/>
          <w:bCs/>
          <w:sz w:val="20"/>
          <w:szCs w:val="20"/>
          <w:lang w:eastAsia="de-DE"/>
        </w:rPr>
        <w:t>A</w:t>
      </w:r>
      <w:r w:rsidRPr="00CD0464">
        <w:rPr>
          <w:rFonts w:ascii="Times New Roman" w:eastAsia="Times New Roman" w:hAnsi="Times New Roman" w:cs="Times New Roman"/>
          <w:bCs/>
          <w:sz w:val="20"/>
          <w:szCs w:val="20"/>
          <w:lang w:eastAsia="de-DE"/>
        </w:rPr>
        <w:t xml:space="preserve"> physical instability index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Φ</m:t>
            </m:r>
          </m:e>
          <m:sub>
            <m:r>
              <m:rPr>
                <m:nor/>
              </m:rPr>
              <w:rPr>
                <w:rFonts w:ascii="Times New Roman" w:eastAsia="Times New Roman" w:hAnsi="Times New Roman" w:cs="Times New Roman"/>
                <w:bCs/>
                <w:sz w:val="20"/>
                <w:szCs w:val="20"/>
                <w:lang w:eastAsia="de-DE"/>
              </w:rPr>
              <m:t>phys</m:t>
            </m:r>
          </m:sub>
        </m:sSub>
        <m:r>
          <w:rPr>
            <w:rFonts w:ascii="Cambria Math" w:eastAsia="Times New Roman" w:hAnsi="Cambria Math" w:cs="Times New Roman"/>
            <w:sz w:val="20"/>
            <w:szCs w:val="20"/>
            <w:lang w:eastAsia="de-DE"/>
          </w:rPr>
          <m:t>(t)</m:t>
        </m:r>
      </m:oMath>
      <w:r w:rsidRPr="00CD0464">
        <w:rPr>
          <w:rFonts w:ascii="Times New Roman" w:eastAsia="Times New Roman" w:hAnsi="Times New Roman" w:cs="Times New Roman"/>
          <w:bCs/>
          <w:sz w:val="20"/>
          <w:szCs w:val="20"/>
          <w:lang w:eastAsia="de-DE"/>
        </w:rPr>
        <w:t>is computed to represent atmospheric conditions favorable for lightning initiation</w:t>
      </w:r>
      <w:r w:rsidR="00F3129D">
        <w:rPr>
          <w:rFonts w:ascii="Times New Roman" w:eastAsia="Times New Roman" w:hAnsi="Times New Roman" w:cs="Times New Roman"/>
          <w:bCs/>
          <w:sz w:val="20"/>
          <w:szCs w:val="20"/>
          <w:lang w:eastAsia="de-DE"/>
        </w:rPr>
        <w:t xml:space="preserve"> [5,6]</w:t>
      </w:r>
      <w:r w:rsidRPr="00CD0464">
        <w:rPr>
          <w:rFonts w:ascii="Times New Roman" w:eastAsia="Times New Roman" w:hAnsi="Times New Roman" w:cs="Times New Roman"/>
          <w:bCs/>
          <w:sz w:val="20"/>
          <w:szCs w:val="20"/>
          <w:lang w:eastAsia="de-DE"/>
        </w:rPr>
        <w:t>:</w:t>
      </w:r>
    </w:p>
    <w:p w14:paraId="44A038CC" w14:textId="64B9F7C8" w:rsidR="00CD0464" w:rsidRPr="00CD0464" w:rsidRDefault="00395D46" w:rsidP="00F62AF0">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Φ</m:t>
            </m:r>
          </m:e>
          <m:sub>
            <m:r>
              <m:rPr>
                <m:nor/>
              </m:rPr>
              <w:rPr>
                <w:rFonts w:ascii="Times New Roman" w:eastAsia="Times New Roman" w:hAnsi="Times New Roman" w:cs="Times New Roman"/>
                <w:bCs/>
                <w:sz w:val="20"/>
                <w:szCs w:val="20"/>
                <w:lang w:eastAsia="de-DE"/>
              </w:rPr>
              <m:t>phys</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r>
          <m:rPr>
            <m:nor/>
          </m:rPr>
          <w:rPr>
            <w:rFonts w:ascii="Times New Roman" w:eastAsia="Times New Roman" w:hAnsi="Times New Roman" w:cs="Times New Roman"/>
            <w:bCs/>
            <w:sz w:val="20"/>
            <w:szCs w:val="20"/>
            <w:lang w:eastAsia="de-DE"/>
          </w:rPr>
          <m:t>CAPE</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m:rPr>
                <m:sty m:val="p"/>
              </m:rPr>
              <w:rPr>
                <w:rFonts w:ascii="Cambria Math" w:eastAsia="Times New Roman" w:hAnsi="Cambria Math" w:cs="Times New Roman"/>
                <w:sz w:val="20"/>
                <w:szCs w:val="20"/>
                <w:lang w:eastAsia="de-DE"/>
              </w:rPr>
              <m:t>max</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3</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m:rPr>
                <m:nor/>
              </m:rPr>
              <w:rPr>
                <w:rFonts w:ascii="Times New Roman" w:eastAsia="Times New Roman" w:hAnsi="Times New Roman" w:cs="Times New Roman"/>
                <w:bCs/>
                <w:sz w:val="20"/>
                <w:szCs w:val="20"/>
                <w:lang w:eastAsia="de-DE"/>
              </w:rPr>
              <m:t>ct</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oMath>
      <w:r w:rsidR="00F62AF0">
        <w:rPr>
          <w:rFonts w:ascii="Times New Roman" w:eastAsia="Times New Roman" w:hAnsi="Times New Roman" w:cs="Times New Roman"/>
          <w:sz w:val="20"/>
          <w:szCs w:val="20"/>
          <w:lang w:eastAsia="de-DE"/>
        </w:rPr>
        <w:t xml:space="preserve"> </w:t>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t>(2)</w:t>
      </w:r>
    </w:p>
    <w:p w14:paraId="51AFD628" w14:textId="05CE90F9" w:rsidR="00CD0464" w:rsidRPr="00CD0464" w:rsidRDefault="00CD0464" w:rsidP="00CD046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D0464">
        <w:rPr>
          <w:rFonts w:ascii="Times New Roman" w:eastAsia="Times New Roman" w:hAnsi="Times New Roman" w:cs="Times New Roman"/>
          <w:bCs/>
          <w:sz w:val="20"/>
          <w:szCs w:val="20"/>
          <w:lang w:eastAsia="de-DE"/>
        </w:rPr>
        <w:t xml:space="preserve">where CAPE denotes convective available potential energy,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m:rPr>
                <m:sty m:val="p"/>
              </m:rPr>
              <w:rPr>
                <w:rFonts w:ascii="Cambria Math" w:eastAsia="Times New Roman" w:hAnsi="Cambria Math" w:cs="Times New Roman"/>
                <w:sz w:val="20"/>
                <w:szCs w:val="20"/>
                <w:lang w:eastAsia="de-DE"/>
              </w:rPr>
              <m:t>max</m:t>
            </m:r>
          </m:sub>
        </m:sSub>
      </m:oMath>
      <w:r w:rsidRPr="00CD0464">
        <w:rPr>
          <w:rFonts w:ascii="Times New Roman" w:eastAsia="Times New Roman" w:hAnsi="Times New Roman" w:cs="Times New Roman"/>
          <w:bCs/>
          <w:sz w:val="20"/>
          <w:szCs w:val="20"/>
          <w:lang w:eastAsia="de-DE"/>
        </w:rPr>
        <w:t xml:space="preserve">is maximum updraft velocity,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m:rPr>
                <m:nor/>
              </m:rPr>
              <w:rPr>
                <w:rFonts w:ascii="Times New Roman" w:eastAsia="Times New Roman" w:hAnsi="Times New Roman" w:cs="Times New Roman"/>
                <w:bCs/>
                <w:sz w:val="20"/>
                <w:szCs w:val="20"/>
                <w:lang w:eastAsia="de-DE"/>
              </w:rPr>
              <m:t>ct</m:t>
            </m:r>
          </m:sub>
        </m:sSub>
      </m:oMath>
      <w:r w:rsidRPr="00CD0464">
        <w:rPr>
          <w:rFonts w:ascii="Times New Roman" w:eastAsia="Times New Roman" w:hAnsi="Times New Roman" w:cs="Times New Roman"/>
          <w:bCs/>
          <w:sz w:val="20"/>
          <w:szCs w:val="20"/>
          <w:lang w:eastAsia="de-DE"/>
        </w:rPr>
        <w:t xml:space="preserve">is cloud-top height,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i</m:t>
            </m:r>
          </m:sub>
        </m:sSub>
      </m:oMath>
      <w:r w:rsidRPr="00CD0464">
        <w:rPr>
          <w:rFonts w:ascii="Times New Roman" w:eastAsia="Times New Roman" w:hAnsi="Times New Roman" w:cs="Times New Roman"/>
          <w:bCs/>
          <w:sz w:val="20"/>
          <w:szCs w:val="20"/>
          <w:lang w:eastAsia="de-DE"/>
        </w:rPr>
        <w:t>are optimized weighting coefficients.</w:t>
      </w:r>
    </w:p>
    <w:p w14:paraId="3361ACF8" w14:textId="11758564" w:rsidR="00CD0464" w:rsidRPr="00CD0464" w:rsidRDefault="00CD0464" w:rsidP="00CD046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0464">
        <w:rPr>
          <w:rFonts w:ascii="Times New Roman" w:eastAsia="Times New Roman" w:hAnsi="Times New Roman" w:cs="Times New Roman"/>
          <w:bCs/>
          <w:sz w:val="20"/>
          <w:szCs w:val="20"/>
          <w:lang w:eastAsia="de-DE"/>
        </w:rPr>
        <w:t xml:space="preserve">The final short-term lightning probability within the forecast horizon </w:t>
      </w:r>
      <m:oMath>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t</m:t>
        </m:r>
      </m:oMath>
      <w:r w:rsidRPr="00CD0464">
        <w:rPr>
          <w:rFonts w:ascii="Times New Roman" w:eastAsia="Times New Roman" w:hAnsi="Times New Roman" w:cs="Times New Roman"/>
          <w:bCs/>
          <w:sz w:val="20"/>
          <w:szCs w:val="20"/>
          <w:lang w:eastAsia="de-DE"/>
        </w:rPr>
        <w:t>is obtained through nonlinear fusion of learned and physical features:</w:t>
      </w:r>
    </w:p>
    <w:p w14:paraId="45356422" w14:textId="22D9A612" w:rsidR="00CD0464" w:rsidRPr="00CD0464" w:rsidRDefault="00395D46" w:rsidP="00F62AF0">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L</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σ</m:t>
        </m:r>
        <m:d>
          <m:dPr>
            <m:ctrlPr>
              <w:rPr>
                <w:rFonts w:ascii="Cambria Math" w:eastAsia="Times New Roman" w:hAnsi="Cambria Math" w:cs="Times New Roman"/>
                <w:bCs/>
                <w:sz w:val="20"/>
                <w:szCs w:val="20"/>
                <w:lang w:eastAsia="de-DE"/>
              </w:rPr>
            </m:ctrlPr>
          </m:dPr>
          <m:e>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W</m:t>
                </m:r>
              </m:e>
              <m:sup>
                <m:r>
                  <m:rPr>
                    <m:sty m:val="p"/>
                  </m:rPr>
                  <w:rPr>
                    <w:rFonts w:ascii="Cambria Math" w:eastAsia="Times New Roman" w:hAnsi="Cambria Math" w:cs="Times New Roman"/>
                    <w:sz w:val="20"/>
                    <w:szCs w:val="20"/>
                    <w:lang w:eastAsia="de-DE"/>
                  </w:rPr>
                  <m:t>⊤</m:t>
                </m:r>
              </m:sup>
            </m:sSup>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α</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Φ</m:t>
                </m:r>
              </m:e>
              <m:sub>
                <m:r>
                  <m:rPr>
                    <m:nor/>
                  </m:rPr>
                  <w:rPr>
                    <w:rFonts w:ascii="Times New Roman" w:eastAsia="Times New Roman" w:hAnsi="Times New Roman" w:cs="Times New Roman"/>
                    <w:bCs/>
                    <w:sz w:val="20"/>
                    <w:szCs w:val="20"/>
                    <w:lang w:eastAsia="de-DE"/>
                  </w:rPr>
                  <m:t>phys</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b</m:t>
            </m:r>
          </m:e>
        </m:d>
      </m:oMath>
      <w:r w:rsidR="00F62AF0">
        <w:rPr>
          <w:rFonts w:ascii="Times New Roman" w:eastAsia="Times New Roman" w:hAnsi="Times New Roman" w:cs="Times New Roman"/>
          <w:bCs/>
          <w:sz w:val="20"/>
          <w:szCs w:val="20"/>
          <w:lang w:eastAsia="de-DE"/>
        </w:rPr>
        <w:t xml:space="preserve"> </w:t>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t>(3)</w:t>
      </w:r>
    </w:p>
    <w:p w14:paraId="2C4F557A" w14:textId="3B95EF03" w:rsidR="00CD0464" w:rsidRPr="00CD0464" w:rsidRDefault="00CD0464" w:rsidP="00CD046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D0464">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σ(⋅)</m:t>
        </m:r>
      </m:oMath>
      <w:r w:rsidRPr="00CD0464">
        <w:rPr>
          <w:rFonts w:ascii="Times New Roman" w:eastAsia="Times New Roman" w:hAnsi="Times New Roman" w:cs="Times New Roman"/>
          <w:bCs/>
          <w:sz w:val="20"/>
          <w:szCs w:val="20"/>
          <w:lang w:eastAsia="de-DE"/>
        </w:rPr>
        <w:t xml:space="preserve">is the sigmoid activation function, </w:t>
      </w:r>
      <m:oMath>
        <m:r>
          <m:rPr>
            <m:sty m:val="p"/>
          </m:rPr>
          <w:rPr>
            <w:rFonts w:ascii="Cambria Math" w:eastAsia="Times New Roman" w:hAnsi="Cambria Math" w:cs="Times New Roman"/>
            <w:sz w:val="20"/>
            <w:szCs w:val="20"/>
            <w:lang w:eastAsia="de-DE"/>
          </w:rPr>
          <m:t>W</m:t>
        </m:r>
      </m:oMath>
      <w:r w:rsidRPr="00CD0464">
        <w:rPr>
          <w:rFonts w:ascii="Times New Roman" w:eastAsia="Times New Roman" w:hAnsi="Times New Roman" w:cs="Times New Roman"/>
          <w:bCs/>
          <w:sz w:val="20"/>
          <w:szCs w:val="20"/>
          <w:lang w:eastAsia="de-DE"/>
        </w:rPr>
        <w:t xml:space="preserve">and </w:t>
      </w:r>
      <m:oMath>
        <m:r>
          <w:rPr>
            <w:rFonts w:ascii="Cambria Math" w:eastAsia="Times New Roman" w:hAnsi="Cambria Math" w:cs="Times New Roman"/>
            <w:sz w:val="20"/>
            <w:szCs w:val="20"/>
            <w:lang w:eastAsia="de-DE"/>
          </w:rPr>
          <m:t>b</m:t>
        </m:r>
      </m:oMath>
      <w:r w:rsidRPr="00CD0464">
        <w:rPr>
          <w:rFonts w:ascii="Times New Roman" w:eastAsia="Times New Roman" w:hAnsi="Times New Roman" w:cs="Times New Roman"/>
          <w:bCs/>
          <w:sz w:val="20"/>
          <w:szCs w:val="20"/>
          <w:lang w:eastAsia="de-DE"/>
        </w:rPr>
        <w:t xml:space="preserve">are trainable parameters, and </w:t>
      </w:r>
      <m:oMath>
        <m:r>
          <w:rPr>
            <w:rFonts w:ascii="Cambria Math" w:eastAsia="Times New Roman" w:hAnsi="Cambria Math" w:cs="Times New Roman"/>
            <w:sz w:val="20"/>
            <w:szCs w:val="20"/>
            <w:lang w:eastAsia="de-DE"/>
          </w:rPr>
          <m:t>α</m:t>
        </m:r>
      </m:oMath>
      <w:r w:rsidR="001E4D59">
        <w:rPr>
          <w:rFonts w:ascii="Times New Roman" w:eastAsia="Times New Roman" w:hAnsi="Times New Roman" w:cs="Times New Roman"/>
          <w:bCs/>
          <w:sz w:val="20"/>
          <w:szCs w:val="20"/>
          <w:lang w:eastAsia="de-DE"/>
        </w:rPr>
        <w:t xml:space="preserve"> </w:t>
      </w:r>
      <w:r w:rsidRPr="00CD0464">
        <w:rPr>
          <w:rFonts w:ascii="Times New Roman" w:eastAsia="Times New Roman" w:hAnsi="Times New Roman" w:cs="Times New Roman"/>
          <w:bCs/>
          <w:sz w:val="20"/>
          <w:szCs w:val="20"/>
          <w:lang w:eastAsia="de-DE"/>
        </w:rPr>
        <w:t>controls the balance between physical and data-driven components.</w:t>
      </w:r>
    </w:p>
    <w:p w14:paraId="7A8EFD16" w14:textId="77777777" w:rsidR="00CD0464" w:rsidRPr="00CD0464" w:rsidRDefault="00CD0464" w:rsidP="00CD0464">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0464">
        <w:rPr>
          <w:rFonts w:ascii="Times New Roman" w:eastAsia="Times New Roman" w:hAnsi="Times New Roman" w:cs="Times New Roman"/>
          <w:bCs/>
          <w:sz w:val="20"/>
          <w:szCs w:val="20"/>
          <w:lang w:eastAsia="de-DE"/>
        </w:rPr>
        <w:t>This hybrid formulation enables robust real-time lightning prognosis, improved generalization, and enhanced interpretability, making it suitable for operational deployment in large-scale wind farm lightning protection and fault diagnosis systems.</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0E3B0451" w14:textId="14AABD78" w:rsidR="00A57815" w:rsidRDefault="000C32F4" w:rsidP="00A57815">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0C32F4">
        <w:rPr>
          <w:rFonts w:ascii="Times New Roman" w:eastAsia="Times New Roman" w:hAnsi="Times New Roman" w:cs="Times New Roman"/>
          <w:bCs/>
          <w:sz w:val="20"/>
          <w:szCs w:val="20"/>
          <w:lang w:eastAsia="de-DE"/>
        </w:rPr>
        <w:t>This section presents and discusses the key results obtained from the implementation of the proposed dynamic real-time lightning monitoring and hybrid intelligent forecasting framework, developed within the project “Advanced Technologies for Lightning Protection-Based Monitoring, Prognosis and Fault Diagnosis in Large-Scale Wind Farms.” The analysis focuses on forecasting accuracy, system responsiveness, and its implications for operational reliability in large-scale wind energy installations.</w:t>
      </w:r>
    </w:p>
    <w:p w14:paraId="56C73155" w14:textId="77777777" w:rsidR="002F2BAF" w:rsidRDefault="002F2BAF" w:rsidP="002F2BAF">
      <w:pPr>
        <w:shd w:val="clear" w:color="auto" w:fill="FFFFFF"/>
        <w:tabs>
          <w:tab w:val="left" w:pos="5220"/>
        </w:tabs>
        <w:spacing w:before="240" w:after="0" w:line="240" w:lineRule="auto"/>
        <w:jc w:val="center"/>
        <w:rPr>
          <w:rFonts w:ascii="Times New Roman" w:hAnsi="Times New Roman" w:cs="Times New Roman"/>
          <w:bCs/>
          <w:sz w:val="20"/>
          <w:szCs w:val="20"/>
        </w:rPr>
      </w:pPr>
      <w:r>
        <w:rPr>
          <w:rFonts w:ascii="Times New Roman" w:hAnsi="Times New Roman" w:cs="Times New Roman"/>
          <w:bCs/>
          <w:noProof/>
          <w:sz w:val="20"/>
          <w:szCs w:val="20"/>
          <w:lang w:val="ru-RU" w:eastAsia="ru-RU"/>
        </w:rPr>
        <w:drawing>
          <wp:inline distT="0" distB="0" distL="0" distR="0" wp14:anchorId="04103011" wp14:editId="358BD9BB">
            <wp:extent cx="4327680" cy="2291937"/>
            <wp:effectExtent l="0" t="0" r="0" b="0"/>
            <wp:docPr id="918319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3807" cy="2311070"/>
                    </a:xfrm>
                    <a:prstGeom prst="rect">
                      <a:avLst/>
                    </a:prstGeom>
                    <a:noFill/>
                  </pic:spPr>
                </pic:pic>
              </a:graphicData>
            </a:graphic>
          </wp:inline>
        </w:drawing>
      </w:r>
    </w:p>
    <w:p w14:paraId="668350FF" w14:textId="344736EA" w:rsidR="002F2BAF" w:rsidRPr="002F2BAF" w:rsidRDefault="002F2BAF" w:rsidP="002F2BAF">
      <w:pPr>
        <w:shd w:val="clear" w:color="auto" w:fill="FFFFFF"/>
        <w:tabs>
          <w:tab w:val="left" w:pos="5220"/>
        </w:tabs>
        <w:spacing w:line="240" w:lineRule="auto"/>
        <w:jc w:val="center"/>
        <w:rPr>
          <w:rFonts w:ascii="Times New Roman" w:hAnsi="Times New Roman" w:cs="Times New Roman"/>
          <w:bCs/>
          <w:sz w:val="20"/>
          <w:szCs w:val="20"/>
        </w:rPr>
      </w:pPr>
      <w:r w:rsidRPr="002F2BAF">
        <w:rPr>
          <w:rFonts w:ascii="Times New Roman" w:hAnsi="Times New Roman" w:cs="Times New Roman"/>
          <w:b/>
          <w:sz w:val="20"/>
          <w:szCs w:val="20"/>
        </w:rPr>
        <w:t xml:space="preserve">FIGURE 2. </w:t>
      </w:r>
      <w:r w:rsidRPr="002F2BAF">
        <w:rPr>
          <w:rFonts w:ascii="Times New Roman" w:hAnsi="Times New Roman" w:cs="Times New Roman"/>
          <w:bCs/>
          <w:sz w:val="20"/>
          <w:szCs w:val="20"/>
        </w:rPr>
        <w:t>Comparative Performance of Lightning Forecasting Models in Terms of Accuracy and False Alarm Ratio</w:t>
      </w:r>
    </w:p>
    <w:p w14:paraId="6F9BCE8A" w14:textId="71B570BA" w:rsidR="000C32F4" w:rsidRDefault="000C32F4" w:rsidP="000C32F4">
      <w:pPr>
        <w:shd w:val="clear" w:color="auto" w:fill="FFFFFF"/>
        <w:tabs>
          <w:tab w:val="left" w:pos="5220"/>
        </w:tabs>
        <w:spacing w:after="0" w:line="240" w:lineRule="auto"/>
        <w:ind w:firstLine="284"/>
        <w:jc w:val="both"/>
        <w:rPr>
          <w:rFonts w:ascii="Times New Roman" w:hAnsi="Times New Roman" w:cs="Times New Roman"/>
          <w:bCs/>
          <w:sz w:val="20"/>
          <w:szCs w:val="20"/>
        </w:rPr>
      </w:pPr>
      <w:r w:rsidRPr="000C32F4">
        <w:rPr>
          <w:rFonts w:ascii="Times New Roman" w:hAnsi="Times New Roman" w:cs="Times New Roman"/>
          <w:bCs/>
          <w:sz w:val="20"/>
          <w:szCs w:val="20"/>
        </w:rPr>
        <w:lastRenderedPageBreak/>
        <w:t>The hybrid model integrates real-time meteorological inputs (CAPE, vertical velocity, cloud-top height, radar reflectivity), lightning detection network data, and temporal dependencies learned through deep learning architectures. A CNN–LSTM-based structure was combined with physically meaningful atmospheric indicators to improve short-term lightning strike prediction within a 0–</w:t>
      </w:r>
      <w:proofErr w:type="gramStart"/>
      <w:r w:rsidRPr="000C32F4">
        <w:rPr>
          <w:rFonts w:ascii="Times New Roman" w:hAnsi="Times New Roman" w:cs="Times New Roman"/>
          <w:bCs/>
          <w:sz w:val="20"/>
          <w:szCs w:val="20"/>
        </w:rPr>
        <w:t>60 minute</w:t>
      </w:r>
      <w:proofErr w:type="gramEnd"/>
      <w:r w:rsidRPr="000C32F4">
        <w:rPr>
          <w:rFonts w:ascii="Times New Roman" w:hAnsi="Times New Roman" w:cs="Times New Roman"/>
          <w:bCs/>
          <w:sz w:val="20"/>
          <w:szCs w:val="20"/>
        </w:rPr>
        <w:t xml:space="preserve"> horizon.</w:t>
      </w:r>
      <w:r>
        <w:rPr>
          <w:rFonts w:ascii="Times New Roman" w:hAnsi="Times New Roman" w:cs="Times New Roman"/>
          <w:bCs/>
          <w:sz w:val="20"/>
          <w:szCs w:val="20"/>
        </w:rPr>
        <w:t xml:space="preserve"> </w:t>
      </w:r>
      <w:r w:rsidRPr="000C32F4">
        <w:rPr>
          <w:rFonts w:ascii="Times New Roman" w:hAnsi="Times New Roman" w:cs="Times New Roman"/>
          <w:bCs/>
          <w:sz w:val="20"/>
          <w:szCs w:val="20"/>
        </w:rPr>
        <w:t>Experimental evaluation was conducted using historical lightning events recorded near utility-scale wind farms, combined with synchronized meteorological observations. The results demonstrate that the hybrid approach significantly outperforms conventional statistical and purely data-driven models</w:t>
      </w:r>
      <w:r w:rsidR="00F3129D">
        <w:rPr>
          <w:rFonts w:ascii="Times New Roman" w:hAnsi="Times New Roman" w:cs="Times New Roman"/>
          <w:bCs/>
          <w:sz w:val="20"/>
          <w:szCs w:val="20"/>
        </w:rPr>
        <w:t xml:space="preserve"> [7,8]</w:t>
      </w:r>
      <w:r w:rsidRPr="000C32F4">
        <w:rPr>
          <w:rFonts w:ascii="Times New Roman" w:hAnsi="Times New Roman" w:cs="Times New Roman"/>
          <w:bCs/>
          <w:sz w:val="20"/>
          <w:szCs w:val="20"/>
        </w:rPr>
        <w:t>. In particular, the inclusion of physical predictors improved model generalization under rapidly evolving convective conditions, which are typical in regions with complex terrain and strong thermal gradients.</w:t>
      </w:r>
    </w:p>
    <w:p w14:paraId="0B8C4755" w14:textId="5098C7C2" w:rsidR="00EF7ABC" w:rsidRDefault="00565888" w:rsidP="005C0904">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As shown in Figure 2, the hybrid model consistently achieved higher forecast skill scores across all evaluation metrics. The most notable improvement was observed in false alarm reduction, which is critical for wind farm operation, as unnecessary turbine shutdowns directly impact energy yield and economic performance.</w:t>
      </w:r>
    </w:p>
    <w:p w14:paraId="655B423D"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To ensure a rigorous assessment, multiple statistical indicators were employed, including Accuracy (ACC), Probability of Detection (POD), False Alarm Ratio (FAR), and the Critical Success Index (CSI). These metrics provide a comprehensive view of forecasting reliability from both operational and safety perspectives.</w:t>
      </w:r>
    </w:p>
    <w:p w14:paraId="6D071127" w14:textId="5B6684CE" w:rsidR="00565888" w:rsidRPr="00565888" w:rsidRDefault="00565888" w:rsidP="002F2BAF">
      <w:pPr>
        <w:shd w:val="clear" w:color="auto" w:fill="FFFFFF"/>
        <w:tabs>
          <w:tab w:val="left" w:pos="5220"/>
        </w:tabs>
        <w:spacing w:before="200" w:after="0" w:line="240" w:lineRule="auto"/>
        <w:jc w:val="center"/>
        <w:rPr>
          <w:rFonts w:ascii="Times New Roman" w:hAnsi="Times New Roman" w:cs="Times New Roman"/>
          <w:bCs/>
          <w:sz w:val="20"/>
          <w:szCs w:val="20"/>
        </w:rPr>
      </w:pPr>
      <w:r w:rsidRPr="00565888">
        <w:rPr>
          <w:rFonts w:ascii="Times New Roman" w:hAnsi="Times New Roman" w:cs="Times New Roman"/>
          <w:b/>
          <w:bCs/>
          <w:sz w:val="20"/>
          <w:szCs w:val="20"/>
        </w:rPr>
        <w:t>TABLE 1</w:t>
      </w:r>
      <w:r>
        <w:rPr>
          <w:rFonts w:ascii="Times New Roman" w:hAnsi="Times New Roman" w:cs="Times New Roman"/>
          <w:b/>
          <w:bCs/>
          <w:sz w:val="20"/>
          <w:szCs w:val="20"/>
        </w:rPr>
        <w:t xml:space="preserve">. </w:t>
      </w:r>
      <w:r w:rsidRPr="00565888">
        <w:rPr>
          <w:rFonts w:ascii="Times New Roman" w:hAnsi="Times New Roman" w:cs="Times New Roman"/>
          <w:sz w:val="20"/>
          <w:szCs w:val="20"/>
        </w:rPr>
        <w:t>Comparison of Lightning Forecasting Model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19"/>
        <w:gridCol w:w="1161"/>
        <w:gridCol w:w="767"/>
        <w:gridCol w:w="756"/>
        <w:gridCol w:w="709"/>
      </w:tblGrid>
      <w:tr w:rsidR="00565888" w:rsidRPr="00565888" w14:paraId="7CFDCF13" w14:textId="77777777" w:rsidTr="00565888">
        <w:trPr>
          <w:tblHeader/>
          <w:tblCellSpacing w:w="15" w:type="dxa"/>
          <w:jc w:val="center"/>
        </w:trPr>
        <w:tc>
          <w:tcPr>
            <w:tcW w:w="3374" w:type="dxa"/>
            <w:tcBorders>
              <w:bottom w:val="single" w:sz="4" w:space="0" w:color="auto"/>
            </w:tcBorders>
            <w:vAlign w:val="center"/>
            <w:hideMark/>
          </w:tcPr>
          <w:p w14:paraId="432A072B"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
                <w:bCs/>
                <w:sz w:val="20"/>
                <w:szCs w:val="20"/>
              </w:rPr>
            </w:pPr>
            <w:r w:rsidRPr="00565888">
              <w:rPr>
                <w:rFonts w:ascii="Times New Roman" w:hAnsi="Times New Roman" w:cs="Times New Roman"/>
                <w:b/>
                <w:bCs/>
                <w:sz w:val="20"/>
                <w:szCs w:val="20"/>
              </w:rPr>
              <w:t>Model Type</w:t>
            </w:r>
          </w:p>
        </w:tc>
        <w:tc>
          <w:tcPr>
            <w:tcW w:w="0" w:type="auto"/>
            <w:tcBorders>
              <w:bottom w:val="single" w:sz="4" w:space="0" w:color="auto"/>
            </w:tcBorders>
            <w:vAlign w:val="center"/>
            <w:hideMark/>
          </w:tcPr>
          <w:p w14:paraId="3E61DC28"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
                <w:bCs/>
                <w:sz w:val="20"/>
                <w:szCs w:val="20"/>
              </w:rPr>
            </w:pPr>
            <w:r w:rsidRPr="00565888">
              <w:rPr>
                <w:rFonts w:ascii="Times New Roman" w:hAnsi="Times New Roman" w:cs="Times New Roman"/>
                <w:b/>
                <w:bCs/>
                <w:sz w:val="20"/>
                <w:szCs w:val="20"/>
              </w:rPr>
              <w:t>ACC (%)</w:t>
            </w:r>
          </w:p>
        </w:tc>
        <w:tc>
          <w:tcPr>
            <w:tcW w:w="0" w:type="auto"/>
            <w:tcBorders>
              <w:bottom w:val="single" w:sz="4" w:space="0" w:color="auto"/>
            </w:tcBorders>
            <w:vAlign w:val="center"/>
            <w:hideMark/>
          </w:tcPr>
          <w:p w14:paraId="4B47B4B6"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
                <w:bCs/>
                <w:sz w:val="20"/>
                <w:szCs w:val="20"/>
              </w:rPr>
            </w:pPr>
            <w:r w:rsidRPr="00565888">
              <w:rPr>
                <w:rFonts w:ascii="Times New Roman" w:hAnsi="Times New Roman" w:cs="Times New Roman"/>
                <w:b/>
                <w:bCs/>
                <w:sz w:val="20"/>
                <w:szCs w:val="20"/>
              </w:rPr>
              <w:t>POD</w:t>
            </w:r>
          </w:p>
        </w:tc>
        <w:tc>
          <w:tcPr>
            <w:tcW w:w="0" w:type="auto"/>
            <w:tcBorders>
              <w:bottom w:val="single" w:sz="4" w:space="0" w:color="auto"/>
            </w:tcBorders>
            <w:vAlign w:val="center"/>
            <w:hideMark/>
          </w:tcPr>
          <w:p w14:paraId="18EC7D37"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
                <w:bCs/>
                <w:sz w:val="20"/>
                <w:szCs w:val="20"/>
              </w:rPr>
            </w:pPr>
            <w:r w:rsidRPr="00565888">
              <w:rPr>
                <w:rFonts w:ascii="Times New Roman" w:hAnsi="Times New Roman" w:cs="Times New Roman"/>
                <w:b/>
                <w:bCs/>
                <w:sz w:val="20"/>
                <w:szCs w:val="20"/>
              </w:rPr>
              <w:t>FAR</w:t>
            </w:r>
          </w:p>
        </w:tc>
        <w:tc>
          <w:tcPr>
            <w:tcW w:w="0" w:type="auto"/>
            <w:tcBorders>
              <w:bottom w:val="single" w:sz="4" w:space="0" w:color="auto"/>
            </w:tcBorders>
            <w:vAlign w:val="center"/>
            <w:hideMark/>
          </w:tcPr>
          <w:p w14:paraId="438C6B51"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
                <w:bCs/>
                <w:sz w:val="20"/>
                <w:szCs w:val="20"/>
              </w:rPr>
            </w:pPr>
            <w:r w:rsidRPr="00565888">
              <w:rPr>
                <w:rFonts w:ascii="Times New Roman" w:hAnsi="Times New Roman" w:cs="Times New Roman"/>
                <w:b/>
                <w:bCs/>
                <w:sz w:val="20"/>
                <w:szCs w:val="20"/>
              </w:rPr>
              <w:t>CSI</w:t>
            </w:r>
          </w:p>
        </w:tc>
      </w:tr>
      <w:tr w:rsidR="00565888" w:rsidRPr="00565888" w14:paraId="31E65E71" w14:textId="77777777" w:rsidTr="00565888">
        <w:trPr>
          <w:tblCellSpacing w:w="15" w:type="dxa"/>
          <w:jc w:val="center"/>
        </w:trPr>
        <w:tc>
          <w:tcPr>
            <w:tcW w:w="3374" w:type="dxa"/>
            <w:vAlign w:val="center"/>
            <w:hideMark/>
          </w:tcPr>
          <w:p w14:paraId="2FFE0523"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Logistic Regression</w:t>
            </w:r>
          </w:p>
        </w:tc>
        <w:tc>
          <w:tcPr>
            <w:tcW w:w="0" w:type="auto"/>
            <w:vAlign w:val="center"/>
            <w:hideMark/>
          </w:tcPr>
          <w:p w14:paraId="3F17E5A8"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72.4</w:t>
            </w:r>
          </w:p>
        </w:tc>
        <w:tc>
          <w:tcPr>
            <w:tcW w:w="0" w:type="auto"/>
            <w:vAlign w:val="center"/>
            <w:hideMark/>
          </w:tcPr>
          <w:p w14:paraId="12D244FC"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0.68</w:t>
            </w:r>
          </w:p>
        </w:tc>
        <w:tc>
          <w:tcPr>
            <w:tcW w:w="0" w:type="auto"/>
            <w:vAlign w:val="center"/>
            <w:hideMark/>
          </w:tcPr>
          <w:p w14:paraId="27AD410E"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0.34</w:t>
            </w:r>
          </w:p>
        </w:tc>
        <w:tc>
          <w:tcPr>
            <w:tcW w:w="0" w:type="auto"/>
            <w:vAlign w:val="center"/>
            <w:hideMark/>
          </w:tcPr>
          <w:p w14:paraId="3CA570D5"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0.52</w:t>
            </w:r>
          </w:p>
        </w:tc>
      </w:tr>
      <w:tr w:rsidR="00565888" w:rsidRPr="00565888" w14:paraId="2B521BF7" w14:textId="77777777" w:rsidTr="00565888">
        <w:trPr>
          <w:tblCellSpacing w:w="15" w:type="dxa"/>
          <w:jc w:val="center"/>
        </w:trPr>
        <w:tc>
          <w:tcPr>
            <w:tcW w:w="3374" w:type="dxa"/>
            <w:vAlign w:val="center"/>
            <w:hideMark/>
          </w:tcPr>
          <w:p w14:paraId="6DC1DE54"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Random Forest</w:t>
            </w:r>
          </w:p>
        </w:tc>
        <w:tc>
          <w:tcPr>
            <w:tcW w:w="0" w:type="auto"/>
            <w:vAlign w:val="center"/>
            <w:hideMark/>
          </w:tcPr>
          <w:p w14:paraId="417B2F15"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79.1</w:t>
            </w:r>
          </w:p>
        </w:tc>
        <w:tc>
          <w:tcPr>
            <w:tcW w:w="0" w:type="auto"/>
            <w:vAlign w:val="center"/>
            <w:hideMark/>
          </w:tcPr>
          <w:p w14:paraId="2DCA0821"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0.75</w:t>
            </w:r>
          </w:p>
        </w:tc>
        <w:tc>
          <w:tcPr>
            <w:tcW w:w="0" w:type="auto"/>
            <w:vAlign w:val="center"/>
            <w:hideMark/>
          </w:tcPr>
          <w:p w14:paraId="3AA6A91D"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0.27</w:t>
            </w:r>
          </w:p>
        </w:tc>
        <w:tc>
          <w:tcPr>
            <w:tcW w:w="0" w:type="auto"/>
            <w:vAlign w:val="center"/>
            <w:hideMark/>
          </w:tcPr>
          <w:p w14:paraId="26B2902F"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0.61</w:t>
            </w:r>
          </w:p>
        </w:tc>
      </w:tr>
      <w:tr w:rsidR="00565888" w:rsidRPr="00565888" w14:paraId="0D6C5FBE" w14:textId="77777777" w:rsidTr="00565888">
        <w:trPr>
          <w:tblCellSpacing w:w="15" w:type="dxa"/>
          <w:jc w:val="center"/>
        </w:trPr>
        <w:tc>
          <w:tcPr>
            <w:tcW w:w="3374" w:type="dxa"/>
            <w:vAlign w:val="center"/>
            <w:hideMark/>
          </w:tcPr>
          <w:p w14:paraId="080791C0"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LSTM (data-driven)</w:t>
            </w:r>
          </w:p>
        </w:tc>
        <w:tc>
          <w:tcPr>
            <w:tcW w:w="0" w:type="auto"/>
            <w:vAlign w:val="center"/>
            <w:hideMark/>
          </w:tcPr>
          <w:p w14:paraId="256F1D03"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83.6</w:t>
            </w:r>
          </w:p>
        </w:tc>
        <w:tc>
          <w:tcPr>
            <w:tcW w:w="0" w:type="auto"/>
            <w:vAlign w:val="center"/>
            <w:hideMark/>
          </w:tcPr>
          <w:p w14:paraId="32B8C0A6"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0.81</w:t>
            </w:r>
          </w:p>
        </w:tc>
        <w:tc>
          <w:tcPr>
            <w:tcW w:w="0" w:type="auto"/>
            <w:vAlign w:val="center"/>
            <w:hideMark/>
          </w:tcPr>
          <w:p w14:paraId="74C381DC"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0.22</w:t>
            </w:r>
          </w:p>
        </w:tc>
        <w:tc>
          <w:tcPr>
            <w:tcW w:w="0" w:type="auto"/>
            <w:vAlign w:val="center"/>
            <w:hideMark/>
          </w:tcPr>
          <w:p w14:paraId="0B59C1CC"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0.68</w:t>
            </w:r>
          </w:p>
        </w:tc>
      </w:tr>
      <w:tr w:rsidR="00565888" w:rsidRPr="00565888" w14:paraId="09CE7B53" w14:textId="77777777" w:rsidTr="00565888">
        <w:trPr>
          <w:tblCellSpacing w:w="15" w:type="dxa"/>
          <w:jc w:val="center"/>
        </w:trPr>
        <w:tc>
          <w:tcPr>
            <w:tcW w:w="3374" w:type="dxa"/>
            <w:vAlign w:val="center"/>
            <w:hideMark/>
          </w:tcPr>
          <w:p w14:paraId="11A1AB15"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sz w:val="20"/>
                <w:szCs w:val="20"/>
              </w:rPr>
            </w:pPr>
            <w:r w:rsidRPr="00565888">
              <w:rPr>
                <w:rFonts w:ascii="Times New Roman" w:hAnsi="Times New Roman" w:cs="Times New Roman"/>
                <w:sz w:val="20"/>
                <w:szCs w:val="20"/>
              </w:rPr>
              <w:t>Proposed Hybrid Model</w:t>
            </w:r>
          </w:p>
        </w:tc>
        <w:tc>
          <w:tcPr>
            <w:tcW w:w="0" w:type="auto"/>
            <w:vAlign w:val="center"/>
            <w:hideMark/>
          </w:tcPr>
          <w:p w14:paraId="022CFACE"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sz w:val="20"/>
                <w:szCs w:val="20"/>
              </w:rPr>
            </w:pPr>
            <w:r w:rsidRPr="00565888">
              <w:rPr>
                <w:rFonts w:ascii="Times New Roman" w:hAnsi="Times New Roman" w:cs="Times New Roman"/>
                <w:sz w:val="20"/>
                <w:szCs w:val="20"/>
              </w:rPr>
              <w:t>89.4</w:t>
            </w:r>
          </w:p>
        </w:tc>
        <w:tc>
          <w:tcPr>
            <w:tcW w:w="0" w:type="auto"/>
            <w:vAlign w:val="center"/>
            <w:hideMark/>
          </w:tcPr>
          <w:p w14:paraId="129E70D4"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sz w:val="20"/>
                <w:szCs w:val="20"/>
              </w:rPr>
            </w:pPr>
            <w:r w:rsidRPr="00565888">
              <w:rPr>
                <w:rFonts w:ascii="Times New Roman" w:hAnsi="Times New Roman" w:cs="Times New Roman"/>
                <w:sz w:val="20"/>
                <w:szCs w:val="20"/>
              </w:rPr>
              <w:t>0.87</w:t>
            </w:r>
          </w:p>
        </w:tc>
        <w:tc>
          <w:tcPr>
            <w:tcW w:w="0" w:type="auto"/>
            <w:vAlign w:val="center"/>
            <w:hideMark/>
          </w:tcPr>
          <w:p w14:paraId="635B2D23"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sz w:val="20"/>
                <w:szCs w:val="20"/>
              </w:rPr>
            </w:pPr>
            <w:r w:rsidRPr="00565888">
              <w:rPr>
                <w:rFonts w:ascii="Times New Roman" w:hAnsi="Times New Roman" w:cs="Times New Roman"/>
                <w:sz w:val="20"/>
                <w:szCs w:val="20"/>
              </w:rPr>
              <w:t>0.15</w:t>
            </w:r>
          </w:p>
        </w:tc>
        <w:tc>
          <w:tcPr>
            <w:tcW w:w="0" w:type="auto"/>
            <w:vAlign w:val="center"/>
            <w:hideMark/>
          </w:tcPr>
          <w:p w14:paraId="3BDF8A6E" w14:textId="77777777" w:rsidR="00565888" w:rsidRPr="00565888" w:rsidRDefault="00565888" w:rsidP="00565888">
            <w:pPr>
              <w:shd w:val="clear" w:color="auto" w:fill="FFFFFF"/>
              <w:tabs>
                <w:tab w:val="left" w:pos="5220"/>
              </w:tabs>
              <w:spacing w:after="0" w:line="240" w:lineRule="auto"/>
              <w:ind w:firstLine="284"/>
              <w:jc w:val="both"/>
              <w:rPr>
                <w:rFonts w:ascii="Times New Roman" w:hAnsi="Times New Roman" w:cs="Times New Roman"/>
                <w:sz w:val="20"/>
                <w:szCs w:val="20"/>
              </w:rPr>
            </w:pPr>
            <w:r w:rsidRPr="00565888">
              <w:rPr>
                <w:rFonts w:ascii="Times New Roman" w:hAnsi="Times New Roman" w:cs="Times New Roman"/>
                <w:sz w:val="20"/>
                <w:szCs w:val="20"/>
              </w:rPr>
              <w:t>0.76</w:t>
            </w:r>
          </w:p>
        </w:tc>
      </w:tr>
    </w:tbl>
    <w:p w14:paraId="2070FBF1" w14:textId="139954A9" w:rsidR="00873191" w:rsidRPr="00873191" w:rsidRDefault="00565888" w:rsidP="002F2BAF">
      <w:pPr>
        <w:shd w:val="clear" w:color="auto" w:fill="FFFFFF"/>
        <w:tabs>
          <w:tab w:val="left" w:pos="5220"/>
        </w:tabs>
        <w:spacing w:before="200" w:after="0" w:line="240" w:lineRule="auto"/>
        <w:ind w:firstLine="284"/>
        <w:jc w:val="both"/>
        <w:rPr>
          <w:rFonts w:ascii="Times New Roman" w:hAnsi="Times New Roman" w:cs="Times New Roman"/>
          <w:bCs/>
          <w:sz w:val="20"/>
          <w:szCs w:val="20"/>
        </w:rPr>
      </w:pPr>
      <w:r w:rsidRPr="00565888">
        <w:rPr>
          <w:rFonts w:ascii="Times New Roman" w:hAnsi="Times New Roman" w:cs="Times New Roman"/>
          <w:bCs/>
          <w:sz w:val="20"/>
          <w:szCs w:val="20"/>
        </w:rPr>
        <w:t>The results in Table 1 confirm that the proposed hybrid model achieves a 6–10% absolute accuracy improvement over standalone machine learning approaches. More importantly, the reduction in FAR by approximately 30% compared to conventional models highlights the effectiveness of embedding physical constraints into the learning process.</w:t>
      </w:r>
      <w:r w:rsidR="00E93BC1">
        <w:rPr>
          <w:rFonts w:ascii="Times New Roman" w:hAnsi="Times New Roman" w:cs="Times New Roman"/>
          <w:bCs/>
          <w:sz w:val="20"/>
          <w:szCs w:val="20"/>
        </w:rPr>
        <w:t xml:space="preserve"> </w:t>
      </w:r>
      <w:r w:rsidR="00873191" w:rsidRPr="00873191">
        <w:rPr>
          <w:rFonts w:ascii="Times New Roman" w:hAnsi="Times New Roman" w:cs="Times New Roman"/>
          <w:bCs/>
          <w:sz w:val="20"/>
          <w:szCs w:val="20"/>
        </w:rPr>
        <w:t>The improved performance of the hybrid model can be explained by its dual structure, which simultaneously captures physical atmospheric instability and temporal lightning evolution</w:t>
      </w:r>
      <w:r w:rsidR="00F3129D">
        <w:rPr>
          <w:rFonts w:ascii="Times New Roman" w:hAnsi="Times New Roman" w:cs="Times New Roman"/>
          <w:bCs/>
          <w:sz w:val="20"/>
          <w:szCs w:val="20"/>
        </w:rPr>
        <w:t xml:space="preserve"> [8,9]</w:t>
      </w:r>
      <w:r w:rsidR="00873191" w:rsidRPr="00873191">
        <w:rPr>
          <w:rFonts w:ascii="Times New Roman" w:hAnsi="Times New Roman" w:cs="Times New Roman"/>
          <w:bCs/>
          <w:sz w:val="20"/>
          <w:szCs w:val="20"/>
        </w:rPr>
        <w:t xml:space="preserve">. The short-term lightning probability </w:t>
      </w:r>
      <m:oMath>
        <m:sSub>
          <m:sSubPr>
            <m:ctrlPr>
              <w:rPr>
                <w:rFonts w:ascii="Cambria Math" w:hAnsi="Cambria Math" w:cs="Times New Roman"/>
                <w:bCs/>
                <w:sz w:val="20"/>
                <w:szCs w:val="20"/>
              </w:rPr>
            </m:ctrlPr>
          </m:sSubPr>
          <m:e>
            <m:r>
              <w:rPr>
                <w:rFonts w:ascii="Cambria Math" w:hAnsi="Cambria Math" w:cs="Times New Roman"/>
                <w:sz w:val="20"/>
                <w:szCs w:val="20"/>
              </w:rPr>
              <m:t>P</m:t>
            </m:r>
          </m:e>
          <m:sub>
            <m:r>
              <w:rPr>
                <w:rFonts w:ascii="Cambria Math" w:hAnsi="Cambria Math" w:cs="Times New Roman"/>
                <w:sz w:val="20"/>
                <w:szCs w:val="20"/>
              </w:rPr>
              <m:t>L</m:t>
            </m:r>
          </m:sub>
        </m:sSub>
        <m:r>
          <w:rPr>
            <w:rFonts w:ascii="Cambria Math" w:hAnsi="Cambria Math" w:cs="Times New Roman"/>
            <w:sz w:val="20"/>
            <w:szCs w:val="20"/>
          </w:rPr>
          <m:t>(t+</m:t>
        </m:r>
        <m:r>
          <m:rPr>
            <m:sty m:val="p"/>
          </m:rPr>
          <w:rPr>
            <w:rFonts w:ascii="Cambria Math" w:hAnsi="Cambria Math" w:cs="Times New Roman"/>
            <w:sz w:val="20"/>
            <w:szCs w:val="20"/>
          </w:rPr>
          <m:t>Δ</m:t>
        </m:r>
        <m:r>
          <w:rPr>
            <w:rFonts w:ascii="Cambria Math" w:hAnsi="Cambria Math" w:cs="Times New Roman"/>
            <w:sz w:val="20"/>
            <w:szCs w:val="20"/>
          </w:rPr>
          <m:t>t)</m:t>
        </m:r>
      </m:oMath>
      <w:r w:rsidR="00873191" w:rsidRPr="00873191">
        <w:rPr>
          <w:rFonts w:ascii="Times New Roman" w:hAnsi="Times New Roman" w:cs="Times New Roman"/>
          <w:bCs/>
          <w:sz w:val="20"/>
          <w:szCs w:val="20"/>
        </w:rPr>
        <w:t>is expressed as a nonlinear function of both learned and physical features:</w:t>
      </w:r>
    </w:p>
    <w:p w14:paraId="297E0F2A" w14:textId="0E42E96A" w:rsidR="00873191" w:rsidRPr="00873191" w:rsidRDefault="00395D46" w:rsidP="00F62AF0">
      <w:pPr>
        <w:shd w:val="clear" w:color="auto" w:fill="FFFFFF"/>
        <w:tabs>
          <w:tab w:val="left" w:pos="5220"/>
        </w:tabs>
        <w:spacing w:after="0" w:line="240" w:lineRule="auto"/>
        <w:ind w:firstLine="284"/>
        <w:jc w:val="right"/>
        <w:rPr>
          <w:rFonts w:ascii="Times New Roman" w:hAnsi="Times New Roman" w:cs="Times New Roman"/>
          <w:bCs/>
          <w:sz w:val="20"/>
          <w:szCs w:val="20"/>
        </w:rPr>
      </w:pPr>
      <m:oMath>
        <m:sSub>
          <m:sSubPr>
            <m:ctrlPr>
              <w:rPr>
                <w:rFonts w:ascii="Cambria Math" w:hAnsi="Cambria Math" w:cs="Times New Roman"/>
                <w:bCs/>
                <w:sz w:val="20"/>
                <w:szCs w:val="20"/>
              </w:rPr>
            </m:ctrlPr>
          </m:sSubPr>
          <m:e>
            <m:r>
              <w:rPr>
                <w:rFonts w:ascii="Cambria Math" w:hAnsi="Cambria Math" w:cs="Times New Roman"/>
                <w:sz w:val="20"/>
                <w:szCs w:val="20"/>
              </w:rPr>
              <m:t>P</m:t>
            </m:r>
          </m:e>
          <m:sub>
            <m:r>
              <w:rPr>
                <w:rFonts w:ascii="Cambria Math" w:hAnsi="Cambria Math" w:cs="Times New Roman"/>
                <w:sz w:val="20"/>
                <w:szCs w:val="20"/>
              </w:rPr>
              <m:t>L</m:t>
            </m:r>
          </m:sub>
        </m:sSub>
        <m:r>
          <w:rPr>
            <w:rFonts w:ascii="Cambria Math" w:hAnsi="Cambria Math" w:cs="Times New Roman"/>
            <w:sz w:val="20"/>
            <w:szCs w:val="20"/>
          </w:rPr>
          <m:t>(</m:t>
        </m:r>
        <m:r>
          <w:rPr>
            <w:rFonts w:ascii="Cambria Math" w:hAnsi="Cambria Math" w:cs="Times New Roman"/>
            <w:sz w:val="20"/>
            <w:szCs w:val="20"/>
          </w:rPr>
          <m:t>t</m:t>
        </m:r>
        <m:r>
          <w:rPr>
            <w:rFonts w:ascii="Cambria Math" w:hAnsi="Cambria Math" w:cs="Times New Roman"/>
            <w:sz w:val="20"/>
            <w:szCs w:val="20"/>
          </w:rPr>
          <m:t>+</m:t>
        </m:r>
        <m:r>
          <m:rPr>
            <m:sty m:val="p"/>
          </m:rPr>
          <w:rPr>
            <w:rFonts w:ascii="Cambria Math" w:hAnsi="Cambria Math" w:cs="Times New Roman"/>
            <w:sz w:val="20"/>
            <w:szCs w:val="20"/>
          </w:rPr>
          <m:t>Δ</m:t>
        </m:r>
        <m:r>
          <w:rPr>
            <w:rFonts w:ascii="Cambria Math" w:hAnsi="Cambria Math" w:cs="Times New Roman"/>
            <w:sz w:val="20"/>
            <w:szCs w:val="20"/>
          </w:rPr>
          <m:t>t</m:t>
        </m:r>
        <m:r>
          <w:rPr>
            <w:rFonts w:ascii="Cambria Math" w:hAnsi="Cambria Math" w:cs="Times New Roman"/>
            <w:sz w:val="20"/>
            <w:szCs w:val="20"/>
          </w:rPr>
          <m:t>)=</m:t>
        </m:r>
        <m:r>
          <w:rPr>
            <w:rFonts w:ascii="Cambria Math" w:hAnsi="Cambria Math" w:cs="Times New Roman"/>
            <w:sz w:val="20"/>
            <w:szCs w:val="20"/>
          </w:rPr>
          <m:t>σ</m:t>
        </m:r>
        <m:d>
          <m:dPr>
            <m:ctrlPr>
              <w:rPr>
                <w:rFonts w:ascii="Cambria Math" w:hAnsi="Cambria Math" w:cs="Times New Roman"/>
                <w:bCs/>
                <w:sz w:val="20"/>
                <w:szCs w:val="20"/>
              </w:rPr>
            </m:ctrlPr>
          </m:dPr>
          <m:e>
            <m:sSub>
              <m:sSubPr>
                <m:ctrlPr>
                  <w:rPr>
                    <w:rFonts w:ascii="Cambria Math" w:hAnsi="Cambria Math" w:cs="Times New Roman"/>
                    <w:bCs/>
                    <w:sz w:val="20"/>
                    <w:szCs w:val="20"/>
                  </w:rPr>
                </m:ctrlPr>
              </m:sSubPr>
              <m:e>
                <m:r>
                  <w:rPr>
                    <w:rFonts w:ascii="Cambria Math" w:hAnsi="Cambria Math" w:cs="Times New Roman"/>
                    <w:sz w:val="20"/>
                    <w:szCs w:val="20"/>
                  </w:rPr>
                  <m:t>f</m:t>
                </m:r>
              </m:e>
              <m:sub>
                <m:r>
                  <m:rPr>
                    <m:nor/>
                  </m:rPr>
                  <w:rPr>
                    <w:rFonts w:ascii="Times New Roman" w:hAnsi="Times New Roman" w:cs="Times New Roman"/>
                    <w:bCs/>
                    <w:sz w:val="20"/>
                    <w:szCs w:val="20"/>
                  </w:rPr>
                  <m:t>LSTM</m:t>
                </m:r>
              </m:sub>
            </m:sSub>
            <m:r>
              <w:rPr>
                <w:rFonts w:ascii="Cambria Math" w:hAnsi="Cambria Math" w:cs="Times New Roman"/>
                <w:sz w:val="20"/>
                <w:szCs w:val="20"/>
              </w:rPr>
              <m:t>(</m:t>
            </m:r>
            <m:sSub>
              <m:sSubPr>
                <m:ctrlPr>
                  <w:rPr>
                    <w:rFonts w:ascii="Cambria Math" w:hAnsi="Cambria Math" w:cs="Times New Roman"/>
                    <w:bCs/>
                    <w:sz w:val="20"/>
                    <w:szCs w:val="20"/>
                  </w:rPr>
                </m:ctrlPr>
              </m:sSubPr>
              <m:e>
                <m:r>
                  <m:rPr>
                    <m:sty m:val="p"/>
                  </m:rP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r>
              <w:rPr>
                <w:rFonts w:ascii="Cambria Math" w:hAnsi="Cambria Math" w:cs="Times New Roman"/>
                <w:sz w:val="20"/>
                <w:szCs w:val="20"/>
              </w:rPr>
              <m:t>α</m:t>
            </m:r>
            <m:r>
              <w:rPr>
                <w:rFonts w:ascii="Cambria Math" w:hAnsi="Cambria Math" w:cs="Times New Roman"/>
                <w:sz w:val="20"/>
                <w:szCs w:val="20"/>
              </w:rPr>
              <m:t>⋅</m:t>
            </m:r>
            <m:sSub>
              <m:sSubPr>
                <m:ctrlPr>
                  <w:rPr>
                    <w:rFonts w:ascii="Cambria Math" w:hAnsi="Cambria Math" w:cs="Times New Roman"/>
                    <w:bCs/>
                    <w:sz w:val="20"/>
                    <w:szCs w:val="20"/>
                  </w:rPr>
                </m:ctrlPr>
              </m:sSubPr>
              <m:e>
                <m:r>
                  <m:rPr>
                    <m:sty m:val="p"/>
                  </m:rPr>
                  <w:rPr>
                    <w:rFonts w:ascii="Cambria Math" w:hAnsi="Cambria Math" w:cs="Times New Roman"/>
                    <w:sz w:val="20"/>
                    <w:szCs w:val="20"/>
                  </w:rPr>
                  <m:t>Φ</m:t>
                </m:r>
              </m:e>
              <m:sub>
                <m:r>
                  <m:rPr>
                    <m:nor/>
                  </m:rPr>
                  <w:rPr>
                    <w:rFonts w:ascii="Times New Roman" w:hAnsi="Times New Roman" w:cs="Times New Roman"/>
                    <w:bCs/>
                    <w:sz w:val="20"/>
                    <w:szCs w:val="20"/>
                  </w:rPr>
                  <m:t>phys</m:t>
                </m:r>
              </m:sub>
            </m:sSub>
            <m:r>
              <w:rPr>
                <w:rFonts w:ascii="Cambria Math" w:hAnsi="Cambria Math" w:cs="Times New Roman"/>
                <w:sz w:val="20"/>
                <w:szCs w:val="20"/>
              </w:rPr>
              <m:t>(</m:t>
            </m:r>
            <m:r>
              <w:rPr>
                <w:rFonts w:ascii="Cambria Math" w:hAnsi="Cambria Math" w:cs="Times New Roman"/>
                <w:sz w:val="20"/>
                <w:szCs w:val="20"/>
              </w:rPr>
              <m:t>t</m:t>
            </m:r>
            <m:r>
              <w:rPr>
                <w:rFonts w:ascii="Cambria Math" w:hAnsi="Cambria Math" w:cs="Times New Roman"/>
                <w:sz w:val="20"/>
                <w:szCs w:val="20"/>
              </w:rPr>
              <m:t>)</m:t>
            </m:r>
          </m:e>
        </m:d>
      </m:oMath>
      <w:r w:rsidR="00F62AF0">
        <w:rPr>
          <w:rFonts w:ascii="Times New Roman" w:eastAsiaTheme="minorEastAsia" w:hAnsi="Times New Roman" w:cs="Times New Roman"/>
          <w:bCs/>
          <w:sz w:val="20"/>
          <w:szCs w:val="20"/>
        </w:rPr>
        <w:t xml:space="preserve"> </w:t>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t>(4)</w:t>
      </w:r>
    </w:p>
    <w:p w14:paraId="4F295821" w14:textId="0FC803BA" w:rsidR="00873191" w:rsidRPr="00873191" w:rsidRDefault="00873191" w:rsidP="00F3129D">
      <w:pPr>
        <w:shd w:val="clear" w:color="auto" w:fill="FFFFFF"/>
        <w:tabs>
          <w:tab w:val="num" w:pos="720"/>
          <w:tab w:val="left" w:pos="5220"/>
        </w:tabs>
        <w:spacing w:after="0" w:line="240" w:lineRule="auto"/>
        <w:jc w:val="both"/>
        <w:rPr>
          <w:rFonts w:ascii="Times New Roman" w:hAnsi="Times New Roman" w:cs="Times New Roman"/>
          <w:bCs/>
          <w:sz w:val="20"/>
          <w:szCs w:val="20"/>
        </w:rPr>
      </w:pPr>
      <w:r w:rsidRPr="00873191">
        <w:rPr>
          <w:rFonts w:ascii="Times New Roman" w:hAnsi="Times New Roman" w:cs="Times New Roman"/>
          <w:bCs/>
          <w:sz w:val="20"/>
          <w:szCs w:val="20"/>
        </w:rPr>
        <w:t>where</w:t>
      </w:r>
      <w:r w:rsidRPr="00E93BC1">
        <w:rPr>
          <w:rFonts w:ascii="Times New Roman" w:hAnsi="Times New Roman" w:cs="Times New Roman"/>
          <w:bCs/>
          <w:sz w:val="20"/>
          <w:szCs w:val="20"/>
        </w:rPr>
        <w:t xml:space="preserve"> </w:t>
      </w:r>
      <m:oMath>
        <m:r>
          <w:rPr>
            <w:rFonts w:ascii="Cambria Math" w:hAnsi="Cambria Math" w:cs="Times New Roman"/>
            <w:sz w:val="20"/>
            <w:szCs w:val="20"/>
          </w:rPr>
          <m:t>σ(⋅)</m:t>
        </m:r>
      </m:oMath>
      <w:r w:rsidRPr="00873191">
        <w:rPr>
          <w:rFonts w:ascii="Times New Roman" w:hAnsi="Times New Roman" w:cs="Times New Roman"/>
          <w:bCs/>
          <w:sz w:val="20"/>
          <w:szCs w:val="20"/>
        </w:rPr>
        <w:t>is the sigmoid activation function,</w:t>
      </w:r>
      <w:r w:rsidRPr="00E93BC1">
        <w:rPr>
          <w:rFonts w:ascii="Times New Roman" w:hAnsi="Times New Roman" w:cs="Times New Roman"/>
          <w:bCs/>
          <w:sz w:val="20"/>
          <w:szCs w:val="20"/>
        </w:rPr>
        <w:t xml:space="preserve"> </w:t>
      </w:r>
      <m:oMath>
        <m:sSub>
          <m:sSubPr>
            <m:ctrlPr>
              <w:rPr>
                <w:rFonts w:ascii="Cambria Math" w:hAnsi="Cambria Math" w:cs="Times New Roman"/>
                <w:bCs/>
                <w:sz w:val="20"/>
                <w:szCs w:val="20"/>
              </w:rPr>
            </m:ctrlPr>
          </m:sSubPr>
          <m:e>
            <m:r>
              <w:rPr>
                <w:rFonts w:ascii="Cambria Math" w:hAnsi="Cambria Math" w:cs="Times New Roman"/>
                <w:sz w:val="20"/>
                <w:szCs w:val="20"/>
              </w:rPr>
              <m:t>f</m:t>
            </m:r>
          </m:e>
          <m:sub>
            <m:r>
              <m:rPr>
                <m:nor/>
              </m:rPr>
              <w:rPr>
                <w:rFonts w:ascii="Times New Roman" w:hAnsi="Times New Roman" w:cs="Times New Roman"/>
                <w:bCs/>
                <w:sz w:val="20"/>
                <w:szCs w:val="20"/>
              </w:rPr>
              <m:t>LSTM</m:t>
            </m:r>
          </m:sub>
        </m:sSub>
        <m:r>
          <w:rPr>
            <w:rFonts w:ascii="Cambria Math" w:hAnsi="Cambria Math" w:cs="Times New Roman"/>
            <w:sz w:val="20"/>
            <w:szCs w:val="20"/>
          </w:rPr>
          <m:t>(</m:t>
        </m:r>
        <m:sSub>
          <m:sSubPr>
            <m:ctrlPr>
              <w:rPr>
                <w:rFonts w:ascii="Cambria Math" w:hAnsi="Cambria Math" w:cs="Times New Roman"/>
                <w:bCs/>
                <w:sz w:val="20"/>
                <w:szCs w:val="20"/>
              </w:rPr>
            </m:ctrlPr>
          </m:sSubPr>
          <m:e>
            <m:r>
              <m:rPr>
                <m:sty m:val="p"/>
              </m:rP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oMath>
      <w:r w:rsidRPr="00873191">
        <w:rPr>
          <w:rFonts w:ascii="Times New Roman" w:hAnsi="Times New Roman" w:cs="Times New Roman"/>
          <w:bCs/>
          <w:sz w:val="20"/>
          <w:szCs w:val="20"/>
        </w:rPr>
        <w:t>represents the temporal feature mapping learned from historical data,</w:t>
      </w:r>
      <w:r w:rsidRPr="00E93BC1">
        <w:rPr>
          <w:rFonts w:ascii="Times New Roman" w:hAnsi="Times New Roman" w:cs="Times New Roman"/>
          <w:bCs/>
          <w:sz w:val="20"/>
          <w:szCs w:val="20"/>
        </w:rPr>
        <w:t xml:space="preserve">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Φ</m:t>
            </m:r>
          </m:e>
          <m:sub>
            <m:r>
              <m:rPr>
                <m:nor/>
              </m:rPr>
              <w:rPr>
                <w:rFonts w:ascii="Times New Roman" w:hAnsi="Times New Roman" w:cs="Times New Roman"/>
                <w:bCs/>
                <w:sz w:val="20"/>
                <w:szCs w:val="20"/>
              </w:rPr>
              <m:t>phys</m:t>
            </m:r>
          </m:sub>
        </m:sSub>
        <m:r>
          <w:rPr>
            <w:rFonts w:ascii="Cambria Math" w:hAnsi="Cambria Math" w:cs="Times New Roman"/>
            <w:sz w:val="20"/>
            <w:szCs w:val="20"/>
          </w:rPr>
          <m:t>(t)</m:t>
        </m:r>
      </m:oMath>
      <w:r w:rsidRPr="00873191">
        <w:rPr>
          <w:rFonts w:ascii="Times New Roman" w:hAnsi="Times New Roman" w:cs="Times New Roman"/>
          <w:bCs/>
          <w:sz w:val="20"/>
          <w:szCs w:val="20"/>
        </w:rPr>
        <w:t>is a composite physical instability index,</w:t>
      </w:r>
      <w:r w:rsidRPr="00E93BC1">
        <w:rPr>
          <w:rFonts w:ascii="Times New Roman" w:hAnsi="Times New Roman" w:cs="Times New Roman"/>
          <w:bCs/>
          <w:sz w:val="20"/>
          <w:szCs w:val="20"/>
        </w:rPr>
        <w:t xml:space="preserve"> </w:t>
      </w:r>
      <m:oMath>
        <m:r>
          <w:rPr>
            <w:rFonts w:ascii="Cambria Math" w:hAnsi="Cambria Math" w:cs="Times New Roman"/>
            <w:sz w:val="20"/>
            <w:szCs w:val="20"/>
          </w:rPr>
          <m:t>α</m:t>
        </m:r>
      </m:oMath>
      <w:r w:rsidRPr="00E93BC1">
        <w:rPr>
          <w:rFonts w:ascii="Times New Roman" w:eastAsiaTheme="minorEastAsia" w:hAnsi="Times New Roman" w:cs="Times New Roman"/>
          <w:bCs/>
          <w:sz w:val="20"/>
          <w:szCs w:val="20"/>
        </w:rPr>
        <w:t xml:space="preserve"> </w:t>
      </w:r>
      <w:r w:rsidRPr="00873191">
        <w:rPr>
          <w:rFonts w:ascii="Times New Roman" w:hAnsi="Times New Roman" w:cs="Times New Roman"/>
          <w:bCs/>
          <w:sz w:val="20"/>
          <w:szCs w:val="20"/>
        </w:rPr>
        <w:t>is a weighting coefficient controlling physical–data balance.</w:t>
      </w:r>
      <w:r w:rsidR="00F3129D">
        <w:rPr>
          <w:rFonts w:ascii="Times New Roman" w:hAnsi="Times New Roman" w:cs="Times New Roman"/>
          <w:bCs/>
          <w:sz w:val="20"/>
          <w:szCs w:val="20"/>
        </w:rPr>
        <w:t xml:space="preserve"> </w:t>
      </w:r>
      <w:r w:rsidRPr="00873191">
        <w:rPr>
          <w:rFonts w:ascii="Times New Roman" w:hAnsi="Times New Roman" w:cs="Times New Roman"/>
          <w:bCs/>
          <w:sz w:val="20"/>
          <w:szCs w:val="20"/>
        </w:rPr>
        <w:t>The physical instability index is defined as:</w:t>
      </w:r>
    </w:p>
    <w:p w14:paraId="794A7B9C" w14:textId="4132DDE4" w:rsidR="00F62AF0" w:rsidRPr="00F62AF0" w:rsidRDefault="00395D46" w:rsidP="00F62AF0">
      <w:pPr>
        <w:shd w:val="clear" w:color="auto" w:fill="FFFFFF"/>
        <w:tabs>
          <w:tab w:val="num" w:pos="720"/>
          <w:tab w:val="left" w:pos="5220"/>
        </w:tabs>
        <w:spacing w:after="0" w:line="240" w:lineRule="auto"/>
        <w:ind w:firstLine="284"/>
        <w:jc w:val="right"/>
        <w:rPr>
          <w:rFonts w:ascii="Times New Roman" w:eastAsiaTheme="minorEastAsia" w:hAnsi="Times New Roman" w:cs="Times New Roman"/>
          <w:bCs/>
          <w:sz w:val="20"/>
          <w:szCs w:val="20"/>
        </w:rPr>
      </w:pPr>
      <m:oMath>
        <m:sSub>
          <m:sSubPr>
            <m:ctrlPr>
              <w:rPr>
                <w:rFonts w:ascii="Cambria Math" w:hAnsi="Cambria Math" w:cs="Times New Roman"/>
                <w:bCs/>
                <w:sz w:val="20"/>
                <w:szCs w:val="20"/>
              </w:rPr>
            </m:ctrlPr>
          </m:sSubPr>
          <m:e>
            <m:r>
              <m:rPr>
                <m:sty m:val="p"/>
              </m:rPr>
              <w:rPr>
                <w:rFonts w:ascii="Cambria Math" w:hAnsi="Cambria Math" w:cs="Times New Roman"/>
                <w:sz w:val="20"/>
                <w:szCs w:val="20"/>
              </w:rPr>
              <m:t>Φ</m:t>
            </m:r>
          </m:e>
          <m:sub>
            <m:r>
              <m:rPr>
                <m:nor/>
              </m:rPr>
              <w:rPr>
                <w:rFonts w:ascii="Times New Roman" w:hAnsi="Times New Roman" w:cs="Times New Roman"/>
                <w:bCs/>
                <w:sz w:val="20"/>
                <w:szCs w:val="20"/>
              </w:rPr>
              <m:t>phys</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bCs/>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r>
          <w:rPr>
            <w:rFonts w:ascii="Cambria Math" w:hAnsi="Cambria Math" w:cs="Times New Roman"/>
            <w:sz w:val="20"/>
            <w:szCs w:val="20"/>
          </w:rPr>
          <m:t>⋅</m:t>
        </m:r>
        <m:r>
          <m:rPr>
            <m:nor/>
          </m:rPr>
          <w:rPr>
            <w:rFonts w:ascii="Times New Roman" w:hAnsi="Times New Roman" w:cs="Times New Roman"/>
            <w:bCs/>
            <w:sz w:val="20"/>
            <w:szCs w:val="20"/>
          </w:rPr>
          <m:t>CAPE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bCs/>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bCs/>
                <w:sz w:val="20"/>
                <w:szCs w:val="20"/>
              </w:rPr>
            </m:ctrlPr>
          </m:sSubPr>
          <m:e>
            <m:r>
              <w:rPr>
                <w:rFonts w:ascii="Cambria Math" w:hAnsi="Cambria Math" w:cs="Times New Roman"/>
                <w:sz w:val="20"/>
                <w:szCs w:val="20"/>
              </w:rPr>
              <m:t>W</m:t>
            </m:r>
          </m:e>
          <m:sub>
            <m:r>
              <m:rPr>
                <m:sty m:val="p"/>
              </m:rPr>
              <w:rPr>
                <w:rFonts w:ascii="Cambria Math" w:hAnsi="Cambria Math" w:cs="Times New Roman"/>
                <w:sz w:val="20"/>
                <w:szCs w:val="20"/>
              </w:rPr>
              <m:t>max</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bCs/>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r>
          <w:rPr>
            <w:rFonts w:ascii="Cambria Math" w:hAnsi="Cambria Math" w:cs="Times New Roman"/>
            <w:sz w:val="20"/>
            <w:szCs w:val="20"/>
          </w:rPr>
          <m:t>⋅</m:t>
        </m:r>
        <m:sSub>
          <m:sSubPr>
            <m:ctrlPr>
              <w:rPr>
                <w:rFonts w:ascii="Cambria Math" w:hAnsi="Cambria Math" w:cs="Times New Roman"/>
                <w:bCs/>
                <w:sz w:val="20"/>
                <w:szCs w:val="20"/>
              </w:rPr>
            </m:ctrlPr>
          </m:sSubPr>
          <m:e>
            <m:r>
              <w:rPr>
                <w:rFonts w:ascii="Cambria Math" w:hAnsi="Cambria Math" w:cs="Times New Roman"/>
                <w:sz w:val="20"/>
                <w:szCs w:val="20"/>
              </w:rPr>
              <m:t>H</m:t>
            </m:r>
          </m:e>
          <m:sub>
            <m:r>
              <m:rPr>
                <m:nor/>
              </m:rPr>
              <w:rPr>
                <w:rFonts w:ascii="Times New Roman" w:hAnsi="Times New Roman" w:cs="Times New Roman"/>
                <w:bCs/>
                <w:sz w:val="20"/>
                <w:szCs w:val="20"/>
              </w:rPr>
              <m:t>ct</m:t>
            </m:r>
          </m:sub>
        </m:sSub>
        <m:d>
          <m:dPr>
            <m:ctrlPr>
              <w:rPr>
                <w:rFonts w:ascii="Cambria Math" w:hAnsi="Cambria Math" w:cs="Times New Roman"/>
                <w:i/>
                <w:sz w:val="20"/>
                <w:szCs w:val="20"/>
              </w:rPr>
            </m:ctrlPr>
          </m:dPr>
          <m:e>
            <m:r>
              <w:rPr>
                <w:rFonts w:ascii="Cambria Math" w:hAnsi="Cambria Math" w:cs="Times New Roman"/>
                <w:sz w:val="20"/>
                <w:szCs w:val="20"/>
              </w:rPr>
              <m:t>t</m:t>
            </m:r>
          </m:e>
        </m:d>
      </m:oMath>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r>
      <w:r w:rsidR="00F62AF0">
        <w:rPr>
          <w:rFonts w:ascii="Times New Roman" w:eastAsia="Times New Roman" w:hAnsi="Times New Roman" w:cs="Times New Roman"/>
          <w:sz w:val="20"/>
          <w:szCs w:val="20"/>
          <w:lang w:val="de-DE" w:eastAsia="de-DE"/>
        </w:rPr>
        <w:tab/>
        <w:t>(5)</w:t>
      </w:r>
    </w:p>
    <w:p w14:paraId="51EBF569" w14:textId="3974FDD1" w:rsidR="00873191" w:rsidRPr="00873191" w:rsidRDefault="00873191" w:rsidP="00F62AF0">
      <w:pPr>
        <w:shd w:val="clear" w:color="auto" w:fill="FFFFFF"/>
        <w:tabs>
          <w:tab w:val="left" w:pos="426"/>
          <w:tab w:val="num" w:pos="720"/>
          <w:tab w:val="left" w:pos="5220"/>
        </w:tabs>
        <w:spacing w:after="0" w:line="240" w:lineRule="auto"/>
        <w:ind w:firstLine="284"/>
        <w:jc w:val="both"/>
        <w:rPr>
          <w:rFonts w:ascii="Times New Roman" w:hAnsi="Times New Roman" w:cs="Times New Roman"/>
          <w:bCs/>
          <w:sz w:val="20"/>
          <w:szCs w:val="20"/>
        </w:rPr>
      </w:pPr>
      <w:r w:rsidRPr="00873191">
        <w:rPr>
          <w:rFonts w:ascii="Times New Roman" w:hAnsi="Times New Roman" w:cs="Times New Roman"/>
          <w:bCs/>
          <w:sz w:val="20"/>
          <w:szCs w:val="20"/>
        </w:rPr>
        <w:t>where</w:t>
      </w:r>
      <w:r w:rsidRPr="00E93BC1">
        <w:rPr>
          <w:rFonts w:ascii="Times New Roman" w:hAnsi="Times New Roman" w:cs="Times New Roman"/>
          <w:bCs/>
          <w:sz w:val="20"/>
          <w:szCs w:val="20"/>
        </w:rPr>
        <w:t xml:space="preserve"> </w:t>
      </w:r>
      <w:proofErr w:type="spellStart"/>
      <m:oMath>
        <m:r>
          <m:rPr>
            <m:nor/>
          </m:rPr>
          <w:rPr>
            <w:rFonts w:ascii="Times New Roman" w:hAnsi="Times New Roman" w:cs="Times New Roman"/>
            <w:bCs/>
            <w:sz w:val="20"/>
            <w:szCs w:val="20"/>
          </w:rPr>
          <m:t>CAPE</m:t>
        </m:r>
      </m:oMath>
      <w:r w:rsidRPr="00873191">
        <w:rPr>
          <w:rFonts w:ascii="Times New Roman" w:hAnsi="Times New Roman" w:cs="Times New Roman"/>
          <w:bCs/>
          <w:sz w:val="20"/>
          <w:szCs w:val="20"/>
        </w:rPr>
        <w:t>is</w:t>
      </w:r>
      <w:proofErr w:type="spellEnd"/>
      <w:r w:rsidRPr="00873191">
        <w:rPr>
          <w:rFonts w:ascii="Times New Roman" w:hAnsi="Times New Roman" w:cs="Times New Roman"/>
          <w:bCs/>
          <w:sz w:val="20"/>
          <w:szCs w:val="20"/>
        </w:rPr>
        <w:t xml:space="preserve"> convective available potential energy,</w:t>
      </w:r>
      <w:r w:rsidRPr="00E93BC1">
        <w:rPr>
          <w:rFonts w:ascii="Times New Roman" w:hAnsi="Times New Roman" w:cs="Times New Roman"/>
          <w:bCs/>
          <w:sz w:val="20"/>
          <w:szCs w:val="20"/>
        </w:rPr>
        <w:t xml:space="preserve"> </w:t>
      </w:r>
      <m:oMath>
        <m:sSub>
          <m:sSubPr>
            <m:ctrlPr>
              <w:rPr>
                <w:rFonts w:ascii="Cambria Math" w:hAnsi="Cambria Math" w:cs="Times New Roman"/>
                <w:bCs/>
                <w:sz w:val="20"/>
                <w:szCs w:val="20"/>
              </w:rPr>
            </m:ctrlPr>
          </m:sSubPr>
          <m:e>
            <m:r>
              <w:rPr>
                <w:rFonts w:ascii="Cambria Math" w:hAnsi="Cambria Math" w:cs="Times New Roman"/>
                <w:sz w:val="20"/>
                <w:szCs w:val="20"/>
              </w:rPr>
              <m:t>W</m:t>
            </m:r>
          </m:e>
          <m:sub>
            <m:r>
              <m:rPr>
                <m:sty m:val="p"/>
              </m:rPr>
              <w:rPr>
                <w:rFonts w:ascii="Cambria Math" w:hAnsi="Cambria Math" w:cs="Times New Roman"/>
                <w:sz w:val="20"/>
                <w:szCs w:val="20"/>
              </w:rPr>
              <m:t>max</m:t>
            </m:r>
          </m:sub>
        </m:sSub>
      </m:oMath>
      <w:r w:rsidRPr="00873191">
        <w:rPr>
          <w:rFonts w:ascii="Times New Roman" w:hAnsi="Times New Roman" w:cs="Times New Roman"/>
          <w:bCs/>
          <w:sz w:val="20"/>
          <w:szCs w:val="20"/>
        </w:rPr>
        <w:t>is maximum updraft velocity,</w:t>
      </w:r>
      <w:r w:rsidRPr="00E93BC1">
        <w:rPr>
          <w:rFonts w:ascii="Times New Roman" w:hAnsi="Times New Roman" w:cs="Times New Roman"/>
          <w:bCs/>
          <w:sz w:val="20"/>
          <w:szCs w:val="20"/>
        </w:rPr>
        <w:t xml:space="preserve"> </w:t>
      </w:r>
      <m:oMath>
        <m:sSub>
          <m:sSubPr>
            <m:ctrlPr>
              <w:rPr>
                <w:rFonts w:ascii="Cambria Math" w:hAnsi="Cambria Math" w:cs="Times New Roman"/>
                <w:bCs/>
                <w:sz w:val="20"/>
                <w:szCs w:val="20"/>
              </w:rPr>
            </m:ctrlPr>
          </m:sSubPr>
          <m:e>
            <m:r>
              <w:rPr>
                <w:rFonts w:ascii="Cambria Math" w:hAnsi="Cambria Math" w:cs="Times New Roman"/>
                <w:sz w:val="20"/>
                <w:szCs w:val="20"/>
              </w:rPr>
              <m:t>H</m:t>
            </m:r>
          </m:e>
          <m:sub>
            <m:r>
              <m:rPr>
                <m:nor/>
              </m:rPr>
              <w:rPr>
                <w:rFonts w:ascii="Times New Roman" w:hAnsi="Times New Roman" w:cs="Times New Roman"/>
                <w:bCs/>
                <w:sz w:val="20"/>
                <w:szCs w:val="20"/>
              </w:rPr>
              <m:t>ct</m:t>
            </m:r>
          </m:sub>
        </m:sSub>
      </m:oMath>
      <w:r w:rsidRPr="00873191">
        <w:rPr>
          <w:rFonts w:ascii="Times New Roman" w:hAnsi="Times New Roman" w:cs="Times New Roman"/>
          <w:bCs/>
          <w:sz w:val="20"/>
          <w:szCs w:val="20"/>
        </w:rPr>
        <w:t>is cloud-top height,</w:t>
      </w:r>
      <w:r w:rsidRPr="00E93BC1">
        <w:rPr>
          <w:rFonts w:ascii="Times New Roman" w:hAnsi="Times New Roman" w:cs="Times New Roman"/>
          <w:bCs/>
          <w:sz w:val="20"/>
          <w:szCs w:val="20"/>
        </w:rPr>
        <w:t xml:space="preserve"> </w:t>
      </w:r>
      <m:oMath>
        <m:sSub>
          <m:sSubPr>
            <m:ctrlPr>
              <w:rPr>
                <w:rFonts w:ascii="Cambria Math" w:hAnsi="Cambria Math" w:cs="Times New Roman"/>
                <w:bCs/>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oMath>
      <w:r w:rsidRPr="00873191">
        <w:rPr>
          <w:rFonts w:ascii="Times New Roman" w:hAnsi="Times New Roman" w:cs="Times New Roman"/>
          <w:bCs/>
          <w:sz w:val="20"/>
          <w:szCs w:val="20"/>
        </w:rPr>
        <w:t>are empirically optimized coefficients.</w:t>
      </w:r>
    </w:p>
    <w:p w14:paraId="64329A34" w14:textId="77777777" w:rsidR="00873191" w:rsidRPr="00E93BC1" w:rsidRDefault="00873191" w:rsidP="00F62AF0">
      <w:pPr>
        <w:shd w:val="clear" w:color="auto" w:fill="FFFFFF"/>
        <w:tabs>
          <w:tab w:val="left" w:pos="426"/>
          <w:tab w:val="left" w:pos="5220"/>
        </w:tabs>
        <w:spacing w:after="0" w:line="240" w:lineRule="auto"/>
        <w:ind w:firstLine="284"/>
        <w:jc w:val="both"/>
        <w:rPr>
          <w:rFonts w:ascii="Times New Roman" w:hAnsi="Times New Roman" w:cs="Times New Roman"/>
          <w:bCs/>
          <w:sz w:val="20"/>
          <w:szCs w:val="20"/>
        </w:rPr>
      </w:pPr>
      <w:r w:rsidRPr="00873191">
        <w:rPr>
          <w:rFonts w:ascii="Times New Roman" w:hAnsi="Times New Roman" w:cs="Times New Roman"/>
          <w:bCs/>
          <w:sz w:val="20"/>
          <w:szCs w:val="20"/>
        </w:rPr>
        <w:t>This formulation allows the model to remain sensitive to rapid convective intensification while avoiding overfitting to noise-dominated data patterns.</w:t>
      </w:r>
    </w:p>
    <w:p w14:paraId="0D331D1F" w14:textId="77777777" w:rsidR="003B3D95" w:rsidRPr="003B3D95" w:rsidRDefault="003B3D95" w:rsidP="00F62AF0">
      <w:pPr>
        <w:shd w:val="clear" w:color="auto" w:fill="FFFFFF"/>
        <w:tabs>
          <w:tab w:val="left" w:pos="426"/>
          <w:tab w:val="left" w:pos="5220"/>
        </w:tabs>
        <w:spacing w:after="0" w:line="240" w:lineRule="auto"/>
        <w:ind w:firstLine="284"/>
        <w:jc w:val="both"/>
        <w:rPr>
          <w:rFonts w:ascii="Times New Roman" w:hAnsi="Times New Roman" w:cs="Times New Roman"/>
          <w:bCs/>
          <w:sz w:val="20"/>
          <w:szCs w:val="20"/>
        </w:rPr>
      </w:pPr>
      <w:r w:rsidRPr="003B3D95">
        <w:rPr>
          <w:rFonts w:ascii="Times New Roman" w:hAnsi="Times New Roman" w:cs="Times New Roman"/>
          <w:bCs/>
          <w:sz w:val="20"/>
          <w:szCs w:val="20"/>
        </w:rPr>
        <w:t>From an operational standpoint, the forecasting results have direct implications for lightning protection strategies and fault diagnosis in large-scale wind farms. By providing reliable short-term warnings, the system enables:</w:t>
      </w:r>
    </w:p>
    <w:p w14:paraId="7CF0DF1D" w14:textId="77777777" w:rsidR="003B3D95" w:rsidRPr="003B3D95" w:rsidRDefault="003B3D95" w:rsidP="00F62AF0">
      <w:pPr>
        <w:numPr>
          <w:ilvl w:val="0"/>
          <w:numId w:val="14"/>
        </w:numPr>
        <w:shd w:val="clear" w:color="auto" w:fill="FFFFFF"/>
        <w:tabs>
          <w:tab w:val="left" w:pos="426"/>
          <w:tab w:val="left" w:pos="5220"/>
        </w:tabs>
        <w:spacing w:after="0" w:line="240" w:lineRule="auto"/>
        <w:ind w:left="0" w:firstLine="284"/>
        <w:jc w:val="both"/>
        <w:rPr>
          <w:rFonts w:ascii="Times New Roman" w:hAnsi="Times New Roman" w:cs="Times New Roman"/>
          <w:bCs/>
          <w:sz w:val="20"/>
          <w:szCs w:val="20"/>
        </w:rPr>
      </w:pPr>
      <w:r w:rsidRPr="003B3D95">
        <w:rPr>
          <w:rFonts w:ascii="Times New Roman" w:hAnsi="Times New Roman" w:cs="Times New Roman"/>
          <w:bCs/>
          <w:sz w:val="20"/>
          <w:szCs w:val="20"/>
        </w:rPr>
        <w:t>proactive turbine control actions (yaw locking, pitch adjustment, controlled shutdown);</w:t>
      </w:r>
    </w:p>
    <w:p w14:paraId="3FAC45DC" w14:textId="77777777" w:rsidR="003B3D95" w:rsidRPr="003B3D95" w:rsidRDefault="003B3D95" w:rsidP="00F62AF0">
      <w:pPr>
        <w:numPr>
          <w:ilvl w:val="0"/>
          <w:numId w:val="14"/>
        </w:numPr>
        <w:shd w:val="clear" w:color="auto" w:fill="FFFFFF"/>
        <w:tabs>
          <w:tab w:val="left" w:pos="426"/>
          <w:tab w:val="left" w:pos="5220"/>
        </w:tabs>
        <w:spacing w:after="0" w:line="240" w:lineRule="auto"/>
        <w:ind w:left="0" w:firstLine="284"/>
        <w:jc w:val="both"/>
        <w:rPr>
          <w:rFonts w:ascii="Times New Roman" w:hAnsi="Times New Roman" w:cs="Times New Roman"/>
          <w:bCs/>
          <w:sz w:val="20"/>
          <w:szCs w:val="20"/>
        </w:rPr>
      </w:pPr>
      <w:r w:rsidRPr="003B3D95">
        <w:rPr>
          <w:rFonts w:ascii="Times New Roman" w:hAnsi="Times New Roman" w:cs="Times New Roman"/>
          <w:bCs/>
          <w:sz w:val="20"/>
          <w:szCs w:val="20"/>
        </w:rPr>
        <w:t>dynamic activation of surge protection and grounding systems;</w:t>
      </w:r>
    </w:p>
    <w:p w14:paraId="4F00D92B" w14:textId="77777777" w:rsidR="003B3D95" w:rsidRPr="003B3D95" w:rsidRDefault="003B3D95" w:rsidP="00F62AF0">
      <w:pPr>
        <w:numPr>
          <w:ilvl w:val="0"/>
          <w:numId w:val="14"/>
        </w:numPr>
        <w:shd w:val="clear" w:color="auto" w:fill="FFFFFF"/>
        <w:tabs>
          <w:tab w:val="left" w:pos="426"/>
          <w:tab w:val="left" w:pos="5220"/>
        </w:tabs>
        <w:spacing w:after="0" w:line="240" w:lineRule="auto"/>
        <w:ind w:left="0" w:firstLine="284"/>
        <w:jc w:val="both"/>
        <w:rPr>
          <w:rFonts w:ascii="Times New Roman" w:hAnsi="Times New Roman" w:cs="Times New Roman"/>
          <w:bCs/>
          <w:sz w:val="20"/>
          <w:szCs w:val="20"/>
        </w:rPr>
      </w:pPr>
      <w:r w:rsidRPr="003B3D95">
        <w:rPr>
          <w:rFonts w:ascii="Times New Roman" w:hAnsi="Times New Roman" w:cs="Times New Roman"/>
          <w:bCs/>
          <w:sz w:val="20"/>
          <w:szCs w:val="20"/>
        </w:rPr>
        <w:t>prioritization of post-event inspection and maintenance.</w:t>
      </w:r>
    </w:p>
    <w:p w14:paraId="6E983510" w14:textId="77777777" w:rsidR="003B3D95" w:rsidRPr="003B3D95" w:rsidRDefault="003B3D95" w:rsidP="00F62AF0">
      <w:pPr>
        <w:shd w:val="clear" w:color="auto" w:fill="FFFFFF"/>
        <w:tabs>
          <w:tab w:val="left" w:pos="426"/>
          <w:tab w:val="left" w:pos="5220"/>
        </w:tabs>
        <w:spacing w:after="0" w:line="240" w:lineRule="auto"/>
        <w:ind w:firstLine="284"/>
        <w:jc w:val="both"/>
        <w:rPr>
          <w:rFonts w:ascii="Times New Roman" w:hAnsi="Times New Roman" w:cs="Times New Roman"/>
          <w:bCs/>
          <w:sz w:val="20"/>
          <w:szCs w:val="20"/>
        </w:rPr>
      </w:pPr>
      <w:r w:rsidRPr="003B3D95">
        <w:rPr>
          <w:rFonts w:ascii="Times New Roman" w:hAnsi="Times New Roman" w:cs="Times New Roman"/>
          <w:bCs/>
          <w:sz w:val="20"/>
          <w:szCs w:val="20"/>
        </w:rPr>
        <w:t>Simulation-based operational tests showed that integrating the forecasting output into wind farm supervisory control systems reduced lightning-related downtime by 18–25% annually. This reduction translates into measurable economic benefits, particularly for projects financed by international investors, where availability guarantees and insurance conditions are critical.</w:t>
      </w:r>
    </w:p>
    <w:p w14:paraId="60389CF9" w14:textId="77777777" w:rsidR="003B3D95" w:rsidRPr="003B3D95" w:rsidRDefault="003B3D95" w:rsidP="00F62AF0">
      <w:pPr>
        <w:shd w:val="clear" w:color="auto" w:fill="FFFFFF"/>
        <w:tabs>
          <w:tab w:val="left" w:pos="426"/>
          <w:tab w:val="left" w:pos="5220"/>
        </w:tabs>
        <w:spacing w:after="0" w:line="240" w:lineRule="auto"/>
        <w:ind w:firstLine="284"/>
        <w:jc w:val="both"/>
        <w:rPr>
          <w:rFonts w:ascii="Times New Roman" w:hAnsi="Times New Roman" w:cs="Times New Roman"/>
          <w:bCs/>
          <w:sz w:val="20"/>
          <w:szCs w:val="20"/>
        </w:rPr>
      </w:pPr>
      <w:r w:rsidRPr="003B3D95">
        <w:rPr>
          <w:rFonts w:ascii="Times New Roman" w:hAnsi="Times New Roman" w:cs="Times New Roman"/>
          <w:bCs/>
          <w:sz w:val="20"/>
          <w:szCs w:val="20"/>
        </w:rPr>
        <w:t>Furthermore, the model outputs were successfully coupled with a fault diagnosis module, allowing probabilistic attribution of turbine failures to lightning-induced events. This capability significantly improves maintenance planning and supports evidence-based insurance claims.</w:t>
      </w:r>
    </w:p>
    <w:p w14:paraId="00B1DD4D" w14:textId="77777777" w:rsidR="000669D2" w:rsidRPr="00E93BC1" w:rsidRDefault="000669D2" w:rsidP="00F62AF0">
      <w:pPr>
        <w:shd w:val="clear" w:color="auto" w:fill="FFFFFF"/>
        <w:tabs>
          <w:tab w:val="left" w:pos="426"/>
          <w:tab w:val="left" w:pos="5220"/>
        </w:tabs>
        <w:spacing w:after="0" w:line="240" w:lineRule="auto"/>
        <w:ind w:firstLine="284"/>
        <w:jc w:val="both"/>
        <w:rPr>
          <w:rFonts w:ascii="Times New Roman" w:hAnsi="Times New Roman" w:cs="Times New Roman"/>
          <w:bCs/>
          <w:sz w:val="20"/>
          <w:szCs w:val="20"/>
        </w:rPr>
      </w:pPr>
      <w:r w:rsidRPr="00E93BC1">
        <w:rPr>
          <w:rFonts w:ascii="Times New Roman" w:hAnsi="Times New Roman" w:cs="Times New Roman"/>
          <w:bCs/>
          <w:sz w:val="20"/>
          <w:szCs w:val="20"/>
        </w:rPr>
        <w:t>The results presented above directly support the broader investment dynamics discussed in Section 1. As Uzbekistan attracts increasing volumes of foreign capital into large-scale wind energy projects, the reliability and resilience of these assets become decisive factors for long-term project bankability. Lightning-related risks are often underestimated at the planning stage but can substantially affect lifecycle costs.</w:t>
      </w:r>
    </w:p>
    <w:p w14:paraId="0FA1B820" w14:textId="7FCC22F1" w:rsidR="00873191" w:rsidRDefault="000669D2" w:rsidP="00565888">
      <w:pPr>
        <w:shd w:val="clear" w:color="auto" w:fill="FFFFFF"/>
        <w:tabs>
          <w:tab w:val="left" w:pos="5220"/>
        </w:tabs>
        <w:spacing w:after="0" w:line="240" w:lineRule="auto"/>
        <w:ind w:firstLine="284"/>
        <w:jc w:val="both"/>
        <w:rPr>
          <w:rFonts w:ascii="Times New Roman" w:hAnsi="Times New Roman" w:cs="Times New Roman"/>
          <w:bCs/>
          <w:sz w:val="20"/>
          <w:szCs w:val="20"/>
        </w:rPr>
      </w:pPr>
      <w:r w:rsidRPr="00E93BC1">
        <w:rPr>
          <w:rFonts w:ascii="Times New Roman" w:hAnsi="Times New Roman" w:cs="Times New Roman"/>
          <w:bCs/>
          <w:sz w:val="20"/>
          <w:szCs w:val="20"/>
        </w:rPr>
        <w:lastRenderedPageBreak/>
        <w:t>The proposed hybrid monitoring and prognosis system addresses this gap by combining advanced forecasting, real-time monitoring, and intelligent fault diagnosis within a unified framework. From an investor’s perspective, such technologies reduce operational uncertainty, stabilize cash flows, and enhance compliance with international technical and insurance standards.</w:t>
      </w:r>
    </w:p>
    <w:p w14:paraId="14615134" w14:textId="07300B1A" w:rsidR="002703B0" w:rsidRPr="00193710" w:rsidRDefault="002703B0" w:rsidP="002703B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C</w:t>
      </w:r>
      <w:r>
        <w:rPr>
          <w:rFonts w:ascii="Times New Roman" w:hAnsi="Times New Roman" w:cs="Times New Roman"/>
          <w:b/>
          <w:sz w:val="24"/>
          <w:szCs w:val="24"/>
        </w:rPr>
        <w:t>ONCLUSION</w:t>
      </w:r>
    </w:p>
    <w:p w14:paraId="30352742" w14:textId="46239F25" w:rsidR="002703B0" w:rsidRPr="002703B0" w:rsidRDefault="002703B0" w:rsidP="002703B0">
      <w:pPr>
        <w:shd w:val="clear" w:color="auto" w:fill="FFFFFF"/>
        <w:tabs>
          <w:tab w:val="left" w:pos="5220"/>
        </w:tabs>
        <w:spacing w:after="0" w:line="240" w:lineRule="auto"/>
        <w:ind w:firstLine="284"/>
        <w:jc w:val="both"/>
        <w:rPr>
          <w:rFonts w:ascii="Times New Roman" w:hAnsi="Times New Roman" w:cs="Times New Roman"/>
          <w:bCs/>
          <w:sz w:val="20"/>
          <w:szCs w:val="20"/>
        </w:rPr>
      </w:pPr>
      <w:r>
        <w:rPr>
          <w:rFonts w:ascii="Times New Roman" w:hAnsi="Times New Roman" w:cs="Times New Roman"/>
          <w:bCs/>
          <w:sz w:val="20"/>
          <w:szCs w:val="20"/>
        </w:rPr>
        <w:t>It is</w:t>
      </w:r>
      <w:r w:rsidRPr="002703B0">
        <w:rPr>
          <w:rFonts w:ascii="Times New Roman" w:hAnsi="Times New Roman" w:cs="Times New Roman"/>
          <w:bCs/>
          <w:sz w:val="20"/>
          <w:szCs w:val="20"/>
        </w:rPr>
        <w:t xml:space="preserve"> developed a dynamic real-time monitoring and hybrid intelligent forecasting framework for short-term lightning strike prediction, addressing a critical reliability challenge in large-scale wind energy systems. By integrating real-time meteorological observations, lightning detection data, and physically meaningful atmospheric indicators with deep learning models, the proposed approach significantly improves forecasting accuracy while reducing false alarm rates compared to conventional methods.</w:t>
      </w:r>
    </w:p>
    <w:p w14:paraId="022FD2B7" w14:textId="77777777" w:rsidR="002703B0" w:rsidRPr="002703B0" w:rsidRDefault="002703B0" w:rsidP="002703B0">
      <w:pPr>
        <w:shd w:val="clear" w:color="auto" w:fill="FFFFFF"/>
        <w:tabs>
          <w:tab w:val="left" w:pos="5220"/>
        </w:tabs>
        <w:spacing w:after="0" w:line="240" w:lineRule="auto"/>
        <w:ind w:firstLine="284"/>
        <w:jc w:val="both"/>
        <w:rPr>
          <w:rFonts w:ascii="Times New Roman" w:hAnsi="Times New Roman" w:cs="Times New Roman"/>
          <w:bCs/>
          <w:sz w:val="20"/>
          <w:szCs w:val="20"/>
        </w:rPr>
      </w:pPr>
      <w:r w:rsidRPr="002703B0">
        <w:rPr>
          <w:rFonts w:ascii="Times New Roman" w:hAnsi="Times New Roman" w:cs="Times New Roman"/>
          <w:bCs/>
          <w:sz w:val="20"/>
          <w:szCs w:val="20"/>
        </w:rPr>
        <w:t>The hybrid formulation enhances model robustness under rapidly evolving convective conditions and provides improved interpretability, which is essential for operational deployment. The results demonstrate that reliable short-term lightning prognosis enables proactive lightning protection measures, including adaptive turbine control, timely activation of protection systems, and more efficient fault diagnosis. These capabilities directly contribute to reduced downtime, improved asset availability, and lower maintenance costs in utility-scale wind farms.</w:t>
      </w:r>
    </w:p>
    <w:p w14:paraId="682DFA7D" w14:textId="1FD70F05" w:rsidR="00565888" w:rsidRPr="00565888" w:rsidRDefault="002703B0" w:rsidP="005C0904">
      <w:pPr>
        <w:shd w:val="clear" w:color="auto" w:fill="FFFFFF"/>
        <w:tabs>
          <w:tab w:val="left" w:pos="5220"/>
        </w:tabs>
        <w:spacing w:after="0" w:line="240" w:lineRule="auto"/>
        <w:ind w:firstLine="284"/>
        <w:jc w:val="both"/>
        <w:rPr>
          <w:rFonts w:ascii="Times New Roman" w:hAnsi="Times New Roman" w:cs="Times New Roman"/>
          <w:bCs/>
          <w:sz w:val="20"/>
          <w:szCs w:val="20"/>
        </w:rPr>
      </w:pPr>
      <w:r w:rsidRPr="002703B0">
        <w:rPr>
          <w:rFonts w:ascii="Times New Roman" w:hAnsi="Times New Roman" w:cs="Times New Roman"/>
          <w:bCs/>
          <w:sz w:val="20"/>
          <w:szCs w:val="20"/>
        </w:rPr>
        <w:t>From a strategic perspective, the proposed framework supports the sustainable expansion of wind energy by mitigating weather-related operational risks. As international investments in renewable energy continue to increase, the implementation of advanced lightning-aware monitoring and forecasting technologies becomes a key enabler for improving project bankability and long-term system resilience. The developed methodology therefore represents a practical and scalable solution for enhancing the safety, reliability, and economic performance of modern wind power infrastructure.</w:t>
      </w:r>
    </w:p>
    <w:p w14:paraId="5FF2BC5A" w14:textId="7CE22AAE" w:rsidR="00F84944" w:rsidRPr="00D80726" w:rsidRDefault="00CA398A" w:rsidP="00EF7AB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843F78E" w14:textId="1CCAD37B"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C. Price and D. Rind, “A simple lightning parameterization for calculating global lightning distributions,” J. Geophys. Res. Atmos. 97(D9), 9919–9933 (1992). https://doi.org/10.1029/92JD00719</w:t>
      </w:r>
    </w:p>
    <w:p w14:paraId="06F3C362" w14:textId="7E08E11B"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P. Lopez, “A lightning parameterization for the ECMWF Integrated Forecasting System,” Mon. Weather Rev. 144(9), 3057–3075 (2016). https://doi.org/10.1175/MWR-D-15-0426.1</w:t>
      </w:r>
    </w:p>
    <w:p w14:paraId="6DC53D4B" w14:textId="4E9B25D7"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 xml:space="preserve">A. </w:t>
      </w:r>
      <w:proofErr w:type="spellStart"/>
      <w:r w:rsidRPr="001E4D59">
        <w:rPr>
          <w:rFonts w:ascii="Times New Roman" w:hAnsi="Times New Roman" w:cs="Times New Roman"/>
          <w:sz w:val="20"/>
          <w:szCs w:val="20"/>
        </w:rPr>
        <w:t>Mostajabi</w:t>
      </w:r>
      <w:proofErr w:type="spellEnd"/>
      <w:r w:rsidRPr="001E4D59">
        <w:rPr>
          <w:rFonts w:ascii="Times New Roman" w:hAnsi="Times New Roman" w:cs="Times New Roman"/>
          <w:sz w:val="20"/>
          <w:szCs w:val="20"/>
        </w:rPr>
        <w:t>, D. L. Finney, M. Rubinstein, and F. Rachidi, “Nowcasting lightning occurrence from commonly available meteorological parameters using machine learning techniques,” Atmos. Res. 230, 104628 (2019). https://doi.org/10.1016/j.atmosres.2019.104628</w:t>
      </w:r>
    </w:p>
    <w:p w14:paraId="57F7F41D" w14:textId="7DCA074A"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J. L. Cintineo et al., “</w:t>
      </w:r>
      <w:proofErr w:type="spellStart"/>
      <w:r w:rsidRPr="001E4D59">
        <w:rPr>
          <w:rFonts w:ascii="Times New Roman" w:hAnsi="Times New Roman" w:cs="Times New Roman"/>
          <w:sz w:val="20"/>
          <w:szCs w:val="20"/>
        </w:rPr>
        <w:t>ProbSevere</w:t>
      </w:r>
      <w:proofErr w:type="spellEnd"/>
      <w:r w:rsidRPr="001E4D59">
        <w:rPr>
          <w:rFonts w:ascii="Times New Roman" w:hAnsi="Times New Roman" w:cs="Times New Roman"/>
          <w:sz w:val="20"/>
          <w:szCs w:val="20"/>
        </w:rPr>
        <w:t xml:space="preserve"> </w:t>
      </w:r>
      <w:proofErr w:type="spellStart"/>
      <w:r w:rsidRPr="001E4D59">
        <w:rPr>
          <w:rFonts w:ascii="Times New Roman" w:hAnsi="Times New Roman" w:cs="Times New Roman"/>
          <w:sz w:val="20"/>
          <w:szCs w:val="20"/>
        </w:rPr>
        <w:t>LightningCast</w:t>
      </w:r>
      <w:proofErr w:type="spellEnd"/>
      <w:r w:rsidRPr="001E4D59">
        <w:rPr>
          <w:rFonts w:ascii="Times New Roman" w:hAnsi="Times New Roman" w:cs="Times New Roman"/>
          <w:sz w:val="20"/>
          <w:szCs w:val="20"/>
        </w:rPr>
        <w:t>: A probabilistic severe weather nowcasting system using satellite data and machine learning,” Weather Forecast. 35(4), 1521–1543 (2020). https://doi.org/10.1175/WAF-D-19-0174.1</w:t>
      </w:r>
    </w:p>
    <w:p w14:paraId="2C4AFF05" w14:textId="28B800DE"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H.-D. Betz et al., “LINET—An international lightning detection network in Europe,” Atmos. Res. 91(2–4), 564–573 (2009). https://doi.org/10.1016/j.atmosres.2008.06.012</w:t>
      </w:r>
    </w:p>
    <w:p w14:paraId="589BBA17" w14:textId="441711E0"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Y. Zhang, Y. Chen, and J. He, “Short-term lightning forecasting using deep learning based on radar and satellite data,” Remote Sens. 13(3), 456 (2021). https://doi.org/10.3390/rs13030456</w:t>
      </w:r>
    </w:p>
    <w:p w14:paraId="693EFBCA" w14:textId="77777777"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S. F. Madsen et al., “Lightning protection of wind turbines: A review of damage mechanisms and protection concepts,” Wind Energy 22(2), 179–193 (2019). https://doi.org/10.1002/we.2272</w:t>
      </w:r>
    </w:p>
    <w:p w14:paraId="13F462AC" w14:textId="2D79FC03" w:rsidR="001E4D59" w:rsidRPr="001E4D59"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I. U. Rakhmonov, N. N. Kurbonov, and V. Ya. Ushakov, “Intelligent monitoring and diagnostic systems for improving reliability of renewable energy facilities,” E3S Web Conf. 390, 02045 (2023). https://doi.org/10.1051/e3sconf/202339002045</w:t>
      </w:r>
    </w:p>
    <w:p w14:paraId="32443113" w14:textId="217A2246" w:rsidR="00132352" w:rsidRPr="007463A6" w:rsidRDefault="001E4D59" w:rsidP="001E4D59">
      <w:pPr>
        <w:pStyle w:val="a4"/>
        <w:numPr>
          <w:ilvl w:val="0"/>
          <w:numId w:val="8"/>
        </w:numPr>
        <w:tabs>
          <w:tab w:val="left" w:pos="567"/>
        </w:tabs>
        <w:spacing w:after="0"/>
        <w:ind w:left="0" w:firstLine="284"/>
        <w:jc w:val="both"/>
        <w:rPr>
          <w:rFonts w:ascii="Times New Roman" w:hAnsi="Times New Roman" w:cs="Times New Roman"/>
          <w:sz w:val="20"/>
          <w:szCs w:val="20"/>
        </w:rPr>
      </w:pPr>
      <w:r w:rsidRPr="001E4D59">
        <w:rPr>
          <w:rFonts w:ascii="Times New Roman" w:hAnsi="Times New Roman" w:cs="Times New Roman"/>
          <w:sz w:val="20"/>
          <w:szCs w:val="20"/>
        </w:rPr>
        <w:t>IEC 61400-24, Wind Energy Generation Systems – Part 24: Lightning Protection (International Electrotechnical Commission, Geneva, 2019).</w:t>
      </w:r>
    </w:p>
    <w:sectPr w:rsidR="00132352" w:rsidRPr="007463A6" w:rsidSect="00395D46">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7B5"/>
    <w:multiLevelType w:val="multilevel"/>
    <w:tmpl w:val="249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26707"/>
    <w:multiLevelType w:val="multilevel"/>
    <w:tmpl w:val="91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8507C"/>
    <w:multiLevelType w:val="hybridMultilevel"/>
    <w:tmpl w:val="FAAC41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308219F2"/>
    <w:multiLevelType w:val="multilevel"/>
    <w:tmpl w:val="124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F55B27"/>
    <w:multiLevelType w:val="hybridMultilevel"/>
    <w:tmpl w:val="B7689156"/>
    <w:lvl w:ilvl="0" w:tplc="F6B2A4A4">
      <w:numFmt w:val="bullet"/>
      <w:lvlText w:val=""/>
      <w:lvlJc w:val="left"/>
      <w:pPr>
        <w:ind w:left="674" w:hanging="39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EBD6B68"/>
    <w:multiLevelType w:val="multilevel"/>
    <w:tmpl w:val="65DC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510CDF"/>
    <w:multiLevelType w:val="multilevel"/>
    <w:tmpl w:val="01D4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4"/>
  </w:num>
  <w:num w:numId="3">
    <w:abstractNumId w:val="13"/>
  </w:num>
  <w:num w:numId="4">
    <w:abstractNumId w:val="8"/>
  </w:num>
  <w:num w:numId="5">
    <w:abstractNumId w:val="7"/>
  </w:num>
  <w:num w:numId="6">
    <w:abstractNumId w:val="3"/>
  </w:num>
  <w:num w:numId="7">
    <w:abstractNumId w:val="12"/>
  </w:num>
  <w:num w:numId="8">
    <w:abstractNumId w:val="2"/>
  </w:num>
  <w:num w:numId="9">
    <w:abstractNumId w:val="9"/>
  </w:num>
  <w:num w:numId="10">
    <w:abstractNumId w:val="10"/>
  </w:num>
  <w:num w:numId="11">
    <w:abstractNumId w:val="1"/>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74"/>
    <w:rsid w:val="000648B1"/>
    <w:rsid w:val="00064B58"/>
    <w:rsid w:val="000669D2"/>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195"/>
    <w:rsid w:val="000C06C8"/>
    <w:rsid w:val="000C0EAF"/>
    <w:rsid w:val="000C0FF4"/>
    <w:rsid w:val="000C0FFE"/>
    <w:rsid w:val="000C106A"/>
    <w:rsid w:val="000C161A"/>
    <w:rsid w:val="000C1C4A"/>
    <w:rsid w:val="000C24F0"/>
    <w:rsid w:val="000C2F96"/>
    <w:rsid w:val="000C32F4"/>
    <w:rsid w:val="000C385B"/>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49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AA8"/>
    <w:rsid w:val="00120B26"/>
    <w:rsid w:val="00120E9E"/>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0F93"/>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05E0"/>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09E"/>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58F0"/>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4D59"/>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3B0"/>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33A"/>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BAF"/>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069A"/>
    <w:rsid w:val="00311F9F"/>
    <w:rsid w:val="0031230B"/>
    <w:rsid w:val="00312497"/>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CFD"/>
    <w:rsid w:val="00317DC9"/>
    <w:rsid w:val="0032083B"/>
    <w:rsid w:val="0032088E"/>
    <w:rsid w:val="00320B1C"/>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0762"/>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312"/>
    <w:rsid w:val="003641EE"/>
    <w:rsid w:val="00364C0F"/>
    <w:rsid w:val="00364F7C"/>
    <w:rsid w:val="00365172"/>
    <w:rsid w:val="00366293"/>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5D46"/>
    <w:rsid w:val="00395FD2"/>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3D95"/>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0DB"/>
    <w:rsid w:val="003C44B1"/>
    <w:rsid w:val="003C493B"/>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944"/>
    <w:rsid w:val="00430D64"/>
    <w:rsid w:val="004314FD"/>
    <w:rsid w:val="004315A4"/>
    <w:rsid w:val="0043225A"/>
    <w:rsid w:val="0043241D"/>
    <w:rsid w:val="004325ED"/>
    <w:rsid w:val="00432616"/>
    <w:rsid w:val="00432D78"/>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FE8"/>
    <w:rsid w:val="0048778A"/>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7D35"/>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579"/>
    <w:rsid w:val="005614CF"/>
    <w:rsid w:val="0056278A"/>
    <w:rsid w:val="00562ABC"/>
    <w:rsid w:val="00562CF9"/>
    <w:rsid w:val="00563243"/>
    <w:rsid w:val="00564E9B"/>
    <w:rsid w:val="005652D0"/>
    <w:rsid w:val="005654C4"/>
    <w:rsid w:val="00565888"/>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074"/>
    <w:rsid w:val="00583897"/>
    <w:rsid w:val="00583D2D"/>
    <w:rsid w:val="00584BC1"/>
    <w:rsid w:val="00585B56"/>
    <w:rsid w:val="00586608"/>
    <w:rsid w:val="00586908"/>
    <w:rsid w:val="0058760D"/>
    <w:rsid w:val="005902D7"/>
    <w:rsid w:val="005904FE"/>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3D5"/>
    <w:rsid w:val="005B1CCB"/>
    <w:rsid w:val="005B2202"/>
    <w:rsid w:val="005B2802"/>
    <w:rsid w:val="005B2AF7"/>
    <w:rsid w:val="005B48F1"/>
    <w:rsid w:val="005B54DA"/>
    <w:rsid w:val="005B5B19"/>
    <w:rsid w:val="005B5B98"/>
    <w:rsid w:val="005B72B0"/>
    <w:rsid w:val="005B7F0A"/>
    <w:rsid w:val="005C0561"/>
    <w:rsid w:val="005C0904"/>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1CDB"/>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59AC"/>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FF7"/>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2C9"/>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1EF4"/>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5D29"/>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3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5E88"/>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3A6"/>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463"/>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2285"/>
    <w:rsid w:val="007C3B5B"/>
    <w:rsid w:val="007C3B6D"/>
    <w:rsid w:val="007C3C9D"/>
    <w:rsid w:val="007C3CC0"/>
    <w:rsid w:val="007C3DAE"/>
    <w:rsid w:val="007C4158"/>
    <w:rsid w:val="007C4810"/>
    <w:rsid w:val="007C4C7B"/>
    <w:rsid w:val="007C4ECF"/>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3A"/>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191"/>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822"/>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4707D"/>
    <w:rsid w:val="00A510C2"/>
    <w:rsid w:val="00A5135D"/>
    <w:rsid w:val="00A51EFB"/>
    <w:rsid w:val="00A52416"/>
    <w:rsid w:val="00A53AA5"/>
    <w:rsid w:val="00A54BB3"/>
    <w:rsid w:val="00A557B6"/>
    <w:rsid w:val="00A56036"/>
    <w:rsid w:val="00A56D83"/>
    <w:rsid w:val="00A571B9"/>
    <w:rsid w:val="00A576F0"/>
    <w:rsid w:val="00A57815"/>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0CDB"/>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4482"/>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32F"/>
    <w:rsid w:val="00AD6703"/>
    <w:rsid w:val="00AD6AF7"/>
    <w:rsid w:val="00AD6D38"/>
    <w:rsid w:val="00AD72EF"/>
    <w:rsid w:val="00AD7C65"/>
    <w:rsid w:val="00AE03D8"/>
    <w:rsid w:val="00AE09B1"/>
    <w:rsid w:val="00AE15F9"/>
    <w:rsid w:val="00AE207B"/>
    <w:rsid w:val="00AE2443"/>
    <w:rsid w:val="00AE2D31"/>
    <w:rsid w:val="00AE3E45"/>
    <w:rsid w:val="00AE46C8"/>
    <w:rsid w:val="00AE557A"/>
    <w:rsid w:val="00AE5882"/>
    <w:rsid w:val="00AE624F"/>
    <w:rsid w:val="00AE64F7"/>
    <w:rsid w:val="00AE6F6E"/>
    <w:rsid w:val="00AF0783"/>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94A"/>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847"/>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6853"/>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464"/>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949"/>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1469"/>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D3A"/>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12E"/>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3BC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1E5"/>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129D"/>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1B69"/>
    <w:rsid w:val="00F62AF0"/>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59E"/>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71F"/>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A03"/>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6F46"/>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9BE"/>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D1E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D1EF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urbek.kurbonov.9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2743</Words>
  <Characters>15637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144</cp:revision>
  <cp:lastPrinted>2023-12-26T18:03:00Z</cp:lastPrinted>
  <dcterms:created xsi:type="dcterms:W3CDTF">2024-07-17T07:39:00Z</dcterms:created>
  <dcterms:modified xsi:type="dcterms:W3CDTF">2026-01-08T10:44:00Z</dcterms:modified>
</cp:coreProperties>
</file>