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2CCB707" w:rsidR="001E129E" w:rsidRPr="00821F0A" w:rsidRDefault="005F2F7E" w:rsidP="005F2F7E">
      <w:pPr>
        <w:spacing w:before="1200" w:after="200" w:line="240" w:lineRule="auto"/>
        <w:ind w:firstLine="567"/>
        <w:jc w:val="center"/>
        <w:rPr>
          <w:rFonts w:ascii="Times New Roman" w:hAnsi="Times New Roman" w:cs="Times New Roman"/>
          <w:b/>
          <w:sz w:val="36"/>
          <w:szCs w:val="36"/>
          <w:lang w:val="uz-Cyrl-UZ"/>
        </w:rPr>
      </w:pPr>
      <w:r w:rsidRPr="00821F0A">
        <w:rPr>
          <w:rFonts w:ascii="Times New Roman" w:hAnsi="Times New Roman" w:cs="Times New Roman"/>
          <w:b/>
          <w:sz w:val="36"/>
          <w:szCs w:val="36"/>
          <w:lang w:val="uz-Latn-UZ"/>
        </w:rPr>
        <w:t>S</w:t>
      </w:r>
      <w:r w:rsidRPr="00821F0A">
        <w:rPr>
          <w:rFonts w:ascii="Times New Roman" w:hAnsi="Times New Roman" w:cs="Times New Roman"/>
          <w:b/>
          <w:sz w:val="36"/>
          <w:szCs w:val="36"/>
          <w:lang w:val="uz-Cyrl-UZ"/>
        </w:rPr>
        <w:t>tatistical assessment of the effectiveness of mechanisms based on the acmeological approach in the formation of pedagogical competence in physical education specialists</w:t>
      </w:r>
    </w:p>
    <w:p w14:paraId="1F5E1B4F" w14:textId="138F5178" w:rsidR="00CA398A" w:rsidRPr="00821F0A" w:rsidRDefault="00821F0A" w:rsidP="005F2F7E">
      <w:pPr>
        <w:pStyle w:val="AuthorName"/>
        <w:spacing w:before="240" w:after="200"/>
        <w:rPr>
          <w:sz w:val="20"/>
          <w:lang w:val="uz-Cyrl-UZ" w:eastAsia="en-GB"/>
        </w:rPr>
      </w:pPr>
      <w:r w:rsidRPr="00821F0A">
        <w:t xml:space="preserve">Bobur </w:t>
      </w:r>
      <w:r w:rsidR="005F2F7E" w:rsidRPr="00821F0A">
        <w:t xml:space="preserve">Mengliev </w:t>
      </w:r>
      <w:r w:rsidR="008745D5" w:rsidRPr="00821F0A">
        <w:rPr>
          <w:szCs w:val="36"/>
          <w:vertAlign w:val="superscript"/>
        </w:rPr>
        <w:t>a)</w:t>
      </w:r>
      <w:r w:rsidR="000C106A" w:rsidRPr="00821F0A">
        <w:t xml:space="preserve">, </w:t>
      </w:r>
      <w:r w:rsidRPr="00821F0A">
        <w:t xml:space="preserve">Shodi </w:t>
      </w:r>
      <w:r w:rsidR="005F2F7E" w:rsidRPr="00821F0A">
        <w:t>Umirov</w:t>
      </w:r>
      <w:r w:rsidR="0055098D">
        <w:t xml:space="preserve">, </w:t>
      </w:r>
      <w:r w:rsidR="0055098D" w:rsidRPr="0055098D">
        <w:t xml:space="preserve">Salohiddin Katayev </w:t>
      </w:r>
    </w:p>
    <w:p w14:paraId="4709ED4E" w14:textId="3D6993C2" w:rsidR="008745D5" w:rsidRPr="00821F0A" w:rsidRDefault="005F2F7E" w:rsidP="005F2F7E">
      <w:pPr>
        <w:pStyle w:val="AuthorAffiliation"/>
      </w:pPr>
      <w:bookmarkStart w:id="0" w:name="_Hlk212275463"/>
      <w:r w:rsidRPr="00821F0A">
        <w:t>Termez state university of engineering and agrotechnologies, Termez, Uzbekistan</w:t>
      </w:r>
      <w:bookmarkEnd w:id="0"/>
    </w:p>
    <w:p w14:paraId="1397C91D" w14:textId="48694E3F" w:rsidR="00CA398A" w:rsidRPr="00821F0A" w:rsidRDefault="008745D5" w:rsidP="008745D5">
      <w:pPr>
        <w:pStyle w:val="AuthorAffiliation"/>
        <w:spacing w:before="200" w:after="200"/>
      </w:pPr>
      <w:r w:rsidRPr="00821F0A">
        <w:rPr>
          <w:szCs w:val="18"/>
          <w:vertAlign w:val="superscript"/>
        </w:rPr>
        <w:t>a)</w:t>
      </w:r>
      <w:r w:rsidRPr="00821F0A">
        <w:rPr>
          <w:szCs w:val="18"/>
        </w:rPr>
        <w:t xml:space="preserve"> Corresponding author: </w:t>
      </w:r>
      <w:r w:rsidR="005F2F7E" w:rsidRPr="00821F0A">
        <w:rPr>
          <w:rStyle w:val="a6"/>
        </w:rPr>
        <w:t>mengliyevbobur98@gmail.com</w:t>
      </w:r>
    </w:p>
    <w:p w14:paraId="410B173B" w14:textId="0D42FF69" w:rsidR="00BC4E3B" w:rsidRPr="00821F0A" w:rsidRDefault="00E25282" w:rsidP="005F2F7E">
      <w:pPr>
        <w:spacing w:before="360" w:after="360" w:line="240" w:lineRule="auto"/>
        <w:ind w:left="284" w:right="284"/>
        <w:jc w:val="both"/>
        <w:rPr>
          <w:rFonts w:ascii="Times New Roman" w:hAnsi="Times New Roman" w:cs="Times New Roman"/>
          <w:sz w:val="18"/>
          <w:szCs w:val="18"/>
        </w:rPr>
      </w:pPr>
      <w:r w:rsidRPr="00821F0A">
        <w:rPr>
          <w:rFonts w:ascii="Times New Roman" w:hAnsi="Times New Roman" w:cs="Times New Roman"/>
          <w:b/>
          <w:sz w:val="18"/>
          <w:szCs w:val="18"/>
        </w:rPr>
        <w:t>Abstract</w:t>
      </w:r>
      <w:r w:rsidR="00CA398A" w:rsidRPr="00821F0A">
        <w:rPr>
          <w:rFonts w:ascii="Times New Roman" w:hAnsi="Times New Roman" w:cs="Times New Roman"/>
          <w:b/>
          <w:sz w:val="18"/>
          <w:szCs w:val="18"/>
        </w:rPr>
        <w:t>.</w:t>
      </w:r>
      <w:r w:rsidR="005F2F7E" w:rsidRPr="00821F0A">
        <w:rPr>
          <w:rFonts w:ascii="Times New Roman" w:hAnsi="Times New Roman" w:cs="Times New Roman"/>
          <w:iCs/>
          <w:sz w:val="18"/>
          <w:szCs w:val="18"/>
          <w:lang w:val="uz-Latn-UZ"/>
        </w:rPr>
        <w:t xml:space="preserve"> </w:t>
      </w:r>
      <w:r w:rsidR="005F2F7E" w:rsidRPr="00821F0A">
        <w:rPr>
          <w:rFonts w:ascii="Times New Roman" w:hAnsi="Times New Roman" w:cs="Times New Roman"/>
          <w:sz w:val="18"/>
          <w:szCs w:val="18"/>
        </w:rPr>
        <w:t>This study aims to assess the effectiveness of mechanisms developed based on the acmeological approach in the process of developing pedagogical competence in physical education specialists. The study was conducted in a quasi-experimental design, and a 12-week pedagogical program based on acmeological principles was applied to the experimental group, while the control group was trained on the basis of traditional training. Data were collected in the form of pre-test and post-test using standardized pedagogical competence indicators</w:t>
      </w:r>
    </w:p>
    <w:p w14:paraId="61870707" w14:textId="1ED93274" w:rsidR="008A22AB" w:rsidRPr="00821F0A" w:rsidRDefault="00CA398A" w:rsidP="00CA398A">
      <w:pPr>
        <w:spacing w:before="240" w:after="240" w:line="240" w:lineRule="auto"/>
        <w:ind w:firstLine="567"/>
        <w:jc w:val="center"/>
        <w:rPr>
          <w:rFonts w:ascii="Times New Roman" w:hAnsi="Times New Roman" w:cs="Times New Roman"/>
          <w:b/>
          <w:sz w:val="24"/>
          <w:szCs w:val="24"/>
        </w:rPr>
      </w:pPr>
      <w:r w:rsidRPr="00821F0A">
        <w:rPr>
          <w:rFonts w:ascii="Times New Roman" w:hAnsi="Times New Roman" w:cs="Times New Roman"/>
          <w:b/>
          <w:sz w:val="24"/>
          <w:szCs w:val="24"/>
        </w:rPr>
        <w:t>INTRODUCTION</w:t>
      </w:r>
    </w:p>
    <w:p w14:paraId="132C6E14" w14:textId="77777777" w:rsidR="005F2F7E" w:rsidRPr="00821F0A" w:rsidRDefault="005F2F7E"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xml:space="preserve">Modern society places high demands on the education system to train highly qualified, motivated, competitive, initiative-driven individuals who are both spiritually and physically healthy. In the Action Strategy for the Further Development of the Republic of Uzbekistan for 2017–2021, one of the priority tasks was defined as educating a highly knowledgeable and intellectually developed generation and creating a reserve of competent scientific and pedagogical personnel in higher education institutions. </w:t>
      </w:r>
    </w:p>
    <w:p w14:paraId="73863E88" w14:textId="2A87B003" w:rsidR="006820B6" w:rsidRPr="00821F0A" w:rsidRDefault="005F2F7E"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At present, the process of retraining specialists and improving their professional qualifications in the field of physical culture and sports is considered one of the key directions of the national education system. For the effective implementation of this process, special importance is attached to improving mechanisms that contribute to the development of pedagogical competence among physical education teachers within the framework of in-service professional development in general secondary education. The present study is devoted to identifying the effectiveness of these mechanisms and analyzing ways to improve them through statistical analysis.</w:t>
      </w:r>
    </w:p>
    <w:p w14:paraId="352001CA" w14:textId="6C7FBC59" w:rsidR="005F2F7E" w:rsidRPr="00821F0A" w:rsidRDefault="005F2F7E"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In 21st-century pedagogical practice, there is no unified approach to defining and assessing the concept of pedagogical competence of a physical education teacher and/or physical education instructor. Consequently, there is no single, universally accepted definition of pedagogical competence. This is due to the fact that specialists interpret competence either as a set of knowledge, skills, and abilities acquired in the educational process or as the level of success in interactions with the surrounding environment [1].</w:t>
      </w:r>
    </w:p>
    <w:p w14:paraId="7B698A08" w14:textId="41AC89BA" w:rsidR="005F2F7E" w:rsidRPr="00821F0A" w:rsidRDefault="005F2F7E"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When considering the organizational and pedagogical mechanisms of bachelor training in physical culture and sports education, it is first necessary to clarify the essence and content of this concept. Organizational and pedagogical mechanisms represent a system of scientific and pedagogical methods and approaches aimed at planning, coordinating, and increasing the effectiveness of the educational process. These mechanisms play a crucial role in determining the structure and content of the learning process [2].</w:t>
      </w:r>
    </w:p>
    <w:p w14:paraId="3338AC45" w14:textId="2D0C267A" w:rsidR="005F2F7E" w:rsidRPr="00821F0A" w:rsidRDefault="005F2F7E"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In our view, within the educational and instructional process, these mechanisms contribute to addressing the following key tasks:</w:t>
      </w:r>
    </w:p>
    <w:p w14:paraId="462CD6AF" w14:textId="31F57636" w:rsidR="005F2F7E" w:rsidRPr="00821F0A" w:rsidRDefault="000B6F55"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xml:space="preserve">- </w:t>
      </w:r>
      <w:r w:rsidR="005F2F7E" w:rsidRPr="00821F0A">
        <w:rPr>
          <w:rFonts w:ascii="Times New Roman" w:hAnsi="Times New Roman" w:cs="Times New Roman"/>
          <w:color w:val="000000"/>
          <w:sz w:val="20"/>
        </w:rPr>
        <w:t>designing and implementing curricula in accordance with the goals and objectives of the educational process;</w:t>
      </w:r>
    </w:p>
    <w:p w14:paraId="194593B8" w14:textId="3F3C3C4B" w:rsidR="005F2F7E" w:rsidRPr="00821F0A" w:rsidRDefault="000B6F55"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xml:space="preserve">- </w:t>
      </w:r>
      <w:r w:rsidR="005F2F7E" w:rsidRPr="00821F0A">
        <w:rPr>
          <w:rFonts w:ascii="Times New Roman" w:hAnsi="Times New Roman" w:cs="Times New Roman"/>
          <w:color w:val="000000"/>
          <w:sz w:val="20"/>
        </w:rPr>
        <w:t>creating favorable conditions for the development of students’ knowledge, skills, and abilities;</w:t>
      </w:r>
    </w:p>
    <w:p w14:paraId="51A23ABE" w14:textId="04E1E8C9" w:rsidR="005F2F7E" w:rsidRPr="00821F0A" w:rsidRDefault="000B6F55"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xml:space="preserve">- </w:t>
      </w:r>
      <w:r w:rsidR="005F2F7E" w:rsidRPr="00821F0A">
        <w:rPr>
          <w:rFonts w:ascii="Times New Roman" w:hAnsi="Times New Roman" w:cs="Times New Roman"/>
          <w:color w:val="000000"/>
          <w:sz w:val="20"/>
        </w:rPr>
        <w:t>effectively organizing pedagogical communication between teachers and students;</w:t>
      </w:r>
    </w:p>
    <w:p w14:paraId="58C70507" w14:textId="77777777" w:rsidR="008E3AFA" w:rsidRPr="00821F0A" w:rsidRDefault="000B6F55"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xml:space="preserve">- </w:t>
      </w:r>
      <w:r w:rsidR="005F2F7E" w:rsidRPr="00821F0A">
        <w:rPr>
          <w:rFonts w:ascii="Times New Roman" w:hAnsi="Times New Roman" w:cs="Times New Roman"/>
          <w:color w:val="000000"/>
          <w:sz w:val="20"/>
        </w:rPr>
        <w:t>establishing systems for monitoring and evaluating the educational process.</w:t>
      </w:r>
      <w:r w:rsidR="008E3AFA" w:rsidRPr="00821F0A">
        <w:rPr>
          <w:rFonts w:ascii="Times New Roman" w:hAnsi="Times New Roman" w:cs="Times New Roman"/>
          <w:color w:val="000000"/>
          <w:sz w:val="20"/>
        </w:rPr>
        <w:t xml:space="preserve"> </w:t>
      </w:r>
    </w:p>
    <w:p w14:paraId="5C2D4DEF" w14:textId="6618B32F" w:rsidR="005F2F7E"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lastRenderedPageBreak/>
        <w:t>In the context of achieving the above-mentioned goals and objectives, the following core components of organizational and pedagogical mechanisms become particularly evident:</w:t>
      </w:r>
    </w:p>
    <w:p w14:paraId="4F38AE1B" w14:textId="4B89044A"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curricula and study plans, which ensure a balanced integration of theoretical and practical training;</w:t>
      </w:r>
    </w:p>
    <w:p w14:paraId="62766BD7" w14:textId="41059926"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material and technical infrastructure, which supports the educational process through the provision of modern technologies and equipment;</w:t>
      </w:r>
    </w:p>
    <w:p w14:paraId="585E4E91" w14:textId="0ED12272"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pedagogical resources, comprising qualified teaching staff and contemporary instructional methods;</w:t>
      </w:r>
    </w:p>
    <w:p w14:paraId="08232883" w14:textId="769736C4"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social partnership, which plays an important role in organizing cooperation between educational institutions and external organizations.</w:t>
      </w:r>
    </w:p>
    <w:p w14:paraId="221CF1A5" w14:textId="52FFA441"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The significance of the organizational and pedagogical mechanism is especially emphasized in the process of bachelor-level training in the field of physical culture and sports. In particular, this mechanism enhances the overall effectiveness of the educational process and facilitates the integration of theoretical and practical knowledge into a unified system. This integration plays a crucial role in preparing students for professional activity [3].</w:t>
      </w:r>
    </w:p>
    <w:p w14:paraId="344D4262" w14:textId="17EF08F8"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The concept of “competence” has been interpreted in various ways, which are generally classified into three main approaches:</w:t>
      </w:r>
    </w:p>
    <w:p w14:paraId="2126F41A" w14:textId="482F61DF"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the American approach defines competence as a key characteristic of an employee who demonstrates appropriate behavior and is capable of achieving high performance at work;</w:t>
      </w:r>
    </w:p>
    <w:p w14:paraId="52B845E9" w14:textId="232F8304"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the European approach considers competence as an employee’s ability to act in accordance with the norms accepted within an organization, that is, the attainment of a minimum required standard;</w:t>
      </w:r>
    </w:p>
    <w:p w14:paraId="70C1F23D" w14:textId="502AD29B"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 the practical approach defines competence as a set of behavioral characteristics necessary for the successful performance of job functions, reflecting the required norms of exemplary professional conduct [4].</w:t>
      </w:r>
    </w:p>
    <w:p w14:paraId="15DE6BB6" w14:textId="48AD41FF"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According to B.R. Adizov (2021), leading international experts in the field of education propose the integrated implementation of two types of competencies in the teaching and learning process. These include “hard skills”, referring to professional competencies, and “soft skills”, referring to universal (general) competencies [5].</w:t>
      </w:r>
    </w:p>
    <w:p w14:paraId="5C0A5BF7" w14:textId="5E999B60"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According to Sh.A. Akramova (2020), hard skills, that is, core competencies, can be acquired and mastered through formal education in educational institutions. Examples include the acquisition of foreign language proficiency, programming skills, and vehicle operation skills. In this regard, mastering intellectually algorithmized instructions is considered sufficient. During the learning process, the left cerebral hemisphere of the brain, which is responsible for logical thinking, is predominantly engaged, and a relatively high level of IQ (intelligence quotient) is required for effective mastery of such skills [6].</w:t>
      </w:r>
    </w:p>
    <w:p w14:paraId="45EAA1D1" w14:textId="18D381B8"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According to S. Sanaqulov (2020), the acquisition of hard skills requires specific and well-defined knowledge related to a particular profession, and the presence of these skills is typically determined through examinations. Sanaqulov notes that until the 21st century, educational systems primarily focused on developing hard skills among young learners. In other words, mastering a specific profession and fully acquiring its theoretical and practical foundations was considered the primary factor defining an individual as a competent specialist [7].</w:t>
      </w:r>
    </w:p>
    <w:p w14:paraId="052429D8" w14:textId="21BE164F"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According to Sh.K. Rakhmatullayeva (2019), candidates’ hard and soft skills are assessed through an evaluation stage aimed at identifying their professional knowledge and skills required for a specific position. This includes expertise in methodologies, project documentation, and strategies for working with risks [8].</w:t>
      </w:r>
    </w:p>
    <w:p w14:paraId="146A95D1" w14:textId="36C7D260" w:rsidR="008E3AFA" w:rsidRPr="00821F0A" w:rsidRDefault="008E3AFA" w:rsidP="00DE4111">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One of the most widely used methods for analyzing teachers’ pedagogical competence is classroom observation. This qualitative approach allows evaluators to directly observe how teachers interact with students, conduct lessons, and manage classroom dynamics. Depending on the specific focus of the assessment, observations may be structured or unstructured. Structured observations typically involve standardized rubrics that describe specific competencies and behaviors to be evaluated. This method enables observers to provide objective judgments based on predefined criteria, thereby facilitating the identification of strengths and weaknesses in teachers’ instructional practice [9].</w:t>
      </w:r>
    </w:p>
    <w:p w14:paraId="493A640D" w14:textId="237A955D" w:rsidR="008A22AB" w:rsidRPr="00821F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821F0A">
        <w:rPr>
          <w:rFonts w:ascii="Times New Roman" w:hAnsi="Times New Roman" w:cs="Times New Roman"/>
          <w:b/>
          <w:sz w:val="24"/>
          <w:szCs w:val="24"/>
        </w:rPr>
        <w:t>EXPERIM</w:t>
      </w:r>
      <w:r w:rsidR="007C2176" w:rsidRPr="00821F0A">
        <w:rPr>
          <w:rFonts w:ascii="Times New Roman" w:hAnsi="Times New Roman" w:cs="Times New Roman"/>
          <w:b/>
          <w:sz w:val="24"/>
          <w:szCs w:val="24"/>
        </w:rPr>
        <w:t>ENTAL RESEARCH</w:t>
      </w:r>
    </w:p>
    <w:p w14:paraId="00371D69" w14:textId="77777777"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 xml:space="preserve">The term </w:t>
      </w:r>
      <w:r w:rsidRPr="00821F0A">
        <w:rPr>
          <w:rFonts w:ascii="Times New Roman" w:hAnsi="Times New Roman" w:cs="Times New Roman"/>
          <w:b/>
          <w:bCs/>
          <w:color w:val="000000"/>
          <w:sz w:val="20"/>
          <w:szCs w:val="20"/>
        </w:rPr>
        <w:t>competence</w:t>
      </w:r>
      <w:r w:rsidRPr="00821F0A">
        <w:rPr>
          <w:rFonts w:ascii="Times New Roman" w:hAnsi="Times New Roman" w:cs="Times New Roman"/>
          <w:color w:val="000000"/>
          <w:sz w:val="20"/>
          <w:szCs w:val="20"/>
        </w:rPr>
        <w:t xml:space="preserve"> originates from Latin and in Uzbek conveys the meanings of “appropriate,” “adequate,” or “corresponding.” It may be understood as the ability of an individual to solve simple and complex problems by appropriately applying knowledge, skills, and practical experience. In many cases, the term “</w:t>
      </w:r>
      <w:r w:rsidRPr="00821F0A">
        <w:rPr>
          <w:rFonts w:ascii="Times New Roman" w:hAnsi="Times New Roman" w:cs="Times New Roman"/>
          <w:b/>
          <w:bCs/>
          <w:color w:val="000000"/>
          <w:sz w:val="20"/>
          <w:szCs w:val="20"/>
        </w:rPr>
        <w:t>professional competence”</w:t>
      </w:r>
      <w:r w:rsidRPr="00821F0A">
        <w:rPr>
          <w:rFonts w:ascii="Times New Roman" w:hAnsi="Times New Roman" w:cs="Times New Roman"/>
          <w:color w:val="000000"/>
          <w:sz w:val="20"/>
          <w:szCs w:val="20"/>
        </w:rPr>
        <w:t xml:space="preserve"> is used. This concept refers to the ability to successfully apply one’s practical experience, knowledge, and skills in the performance of professional duties [10].</w:t>
      </w:r>
    </w:p>
    <w:p w14:paraId="5D6FEA3C" w14:textId="77777777"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The primary objective of the present study was to examine the influence of organizational-pedagogical, functional-pedagogical, and pedagogical-integration mechanisms in the process of professional development and to develop scientifically grounded recommendations for their improvement.</w:t>
      </w:r>
    </w:p>
    <w:p w14:paraId="648B99A4" w14:textId="77777777"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lastRenderedPageBreak/>
        <w:t xml:space="preserve">According to the results of the questionnaire survey, responses from 162 participants – comprising 81 respondents in the experimental group and 81 respondents in the control group – were analyzed. The indicators of pedagogical competence </w:t>
      </w:r>
      <w:r w:rsidRPr="00821F0A">
        <w:rPr>
          <w:rFonts w:ascii="Times New Roman" w:hAnsi="Times New Roman" w:cs="Times New Roman"/>
          <w:b/>
          <w:bCs/>
          <w:color w:val="000000"/>
          <w:sz w:val="20"/>
          <w:szCs w:val="20"/>
        </w:rPr>
        <w:t>mechanisms</w:t>
      </w:r>
      <w:r w:rsidRPr="00821F0A">
        <w:rPr>
          <w:rFonts w:ascii="Times New Roman" w:hAnsi="Times New Roman" w:cs="Times New Roman"/>
          <w:color w:val="000000"/>
          <w:sz w:val="20"/>
          <w:szCs w:val="20"/>
        </w:rPr>
        <w:t xml:space="preserve"> were expressed in percentage terms based on three response options: “yes,” “no,” and “unstable” (see FIGURE 1).</w:t>
      </w:r>
    </w:p>
    <w:p w14:paraId="5A9223FC" w14:textId="77777777"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The diagram presented in FIGURE 1 illustrates the percentage distribution of responses from the experimental group (81 participants) and the control group (81 participants) with respect to mechanisms related to pedagogical competence. Responses are categorized into three indicators: “yes”, “unstable” and “no”.</w:t>
      </w:r>
    </w:p>
    <w:p w14:paraId="337B5A9B" w14:textId="57DBD40C"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 xml:space="preserve">In the formation of pedagogical competence, the first mechanism—the organizational-pedagogical mechanism—received strong support from </w:t>
      </w:r>
      <w:r w:rsidR="001801BA" w:rsidRPr="00821F0A">
        <w:rPr>
          <w:rFonts w:ascii="Times New Roman" w:hAnsi="Times New Roman" w:cs="Times New Roman"/>
          <w:color w:val="000000"/>
          <w:sz w:val="20"/>
          <w:szCs w:val="20"/>
        </w:rPr>
        <w:t>the experimental group, with 84,</w:t>
      </w:r>
      <w:r w:rsidRPr="00821F0A">
        <w:rPr>
          <w:rFonts w:ascii="Times New Roman" w:hAnsi="Times New Roman" w:cs="Times New Roman"/>
          <w:color w:val="000000"/>
          <w:sz w:val="20"/>
          <w:szCs w:val="20"/>
        </w:rPr>
        <w:t>2% of respondents selecting the response “yes.” This result indicates that, under the influence of this mechanism, participants developed pedagogical competence and demonstrated a high level of readiness for professional activity, specifically for conducting physical education lessons. However, even</w:t>
      </w:r>
      <w:r w:rsidR="001801BA" w:rsidRPr="00821F0A">
        <w:rPr>
          <w:rFonts w:ascii="Times New Roman" w:hAnsi="Times New Roman" w:cs="Times New Roman"/>
          <w:color w:val="000000"/>
          <w:sz w:val="20"/>
          <w:szCs w:val="20"/>
        </w:rPr>
        <w:t xml:space="preserve"> after the training program, 10,</w:t>
      </w:r>
      <w:r w:rsidRPr="00821F0A">
        <w:rPr>
          <w:rFonts w:ascii="Times New Roman" w:hAnsi="Times New Roman" w:cs="Times New Roman"/>
          <w:color w:val="000000"/>
          <w:sz w:val="20"/>
          <w:szCs w:val="20"/>
        </w:rPr>
        <w:t>37% of respondents expressed an “unstable” opinion re</w:t>
      </w:r>
      <w:r w:rsidR="001801BA" w:rsidRPr="00821F0A">
        <w:rPr>
          <w:rFonts w:ascii="Times New Roman" w:hAnsi="Times New Roman" w:cs="Times New Roman"/>
          <w:color w:val="000000"/>
          <w:sz w:val="20"/>
          <w:szCs w:val="20"/>
        </w:rPr>
        <w:t>garding this mechanism, while 5,</w:t>
      </w:r>
      <w:r w:rsidRPr="00821F0A">
        <w:rPr>
          <w:rFonts w:ascii="Times New Roman" w:hAnsi="Times New Roman" w:cs="Times New Roman"/>
          <w:color w:val="000000"/>
          <w:sz w:val="20"/>
          <w:szCs w:val="20"/>
        </w:rPr>
        <w:t>43% rejected its influence by responding “no.” These findings indicate the necessity for further systematic reforms within the existing framework (see FIGURE 1).</w:t>
      </w:r>
    </w:p>
    <w:p w14:paraId="1E4FC0E8" w14:textId="77777777" w:rsidR="00EC5416" w:rsidRPr="00821F0A" w:rsidRDefault="00EC5416" w:rsidP="00EC5416">
      <w:pPr>
        <w:spacing w:after="0" w:line="240" w:lineRule="auto"/>
        <w:ind w:firstLine="284"/>
        <w:jc w:val="center"/>
        <w:rPr>
          <w:rFonts w:ascii="Times New Roman" w:hAnsi="Times New Roman" w:cs="Times New Roman"/>
          <w:color w:val="000000"/>
          <w:sz w:val="20"/>
          <w:szCs w:val="20"/>
        </w:rPr>
      </w:pPr>
      <w:r w:rsidRPr="00821F0A">
        <w:rPr>
          <w:rFonts w:ascii="Times New Roman" w:hAnsi="Times New Roman" w:cs="Times New Roman"/>
          <w:noProof/>
          <w:color w:val="000000"/>
          <w:sz w:val="20"/>
          <w:szCs w:val="20"/>
          <w:lang w:val="ru-RU" w:eastAsia="ru-RU"/>
        </w:rPr>
        <w:drawing>
          <wp:inline distT="0" distB="0" distL="0" distR="0" wp14:anchorId="738EC6C4" wp14:editId="476C4A09">
            <wp:extent cx="3958220" cy="1995170"/>
            <wp:effectExtent l="0" t="0" r="444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953"/>
                    <a:stretch/>
                  </pic:blipFill>
                  <pic:spPr bwMode="auto">
                    <a:xfrm>
                      <a:off x="0" y="0"/>
                      <a:ext cx="3998265" cy="2015355"/>
                    </a:xfrm>
                    <a:prstGeom prst="rect">
                      <a:avLst/>
                    </a:prstGeom>
                    <a:ln>
                      <a:noFill/>
                    </a:ln>
                    <a:extLst>
                      <a:ext uri="{53640926-AAD7-44D8-BBD7-CCE9431645EC}">
                        <a14:shadowObscured xmlns:a14="http://schemas.microsoft.com/office/drawing/2010/main"/>
                      </a:ext>
                    </a:extLst>
                  </pic:spPr>
                </pic:pic>
              </a:graphicData>
            </a:graphic>
          </wp:inline>
        </w:drawing>
      </w:r>
    </w:p>
    <w:p w14:paraId="74A83A87" w14:textId="77777777" w:rsidR="00EC5416" w:rsidRPr="00821F0A" w:rsidRDefault="00EC5416" w:rsidP="00EC5416">
      <w:pPr>
        <w:spacing w:after="0" w:line="240" w:lineRule="auto"/>
        <w:ind w:firstLine="284"/>
        <w:jc w:val="center"/>
        <w:rPr>
          <w:rFonts w:ascii="Times New Roman" w:hAnsi="Times New Roman" w:cs="Times New Roman"/>
          <w:color w:val="000000"/>
          <w:sz w:val="20"/>
          <w:szCs w:val="20"/>
        </w:rPr>
      </w:pPr>
      <w:r w:rsidRPr="00821F0A">
        <w:rPr>
          <w:rFonts w:ascii="Times New Roman" w:hAnsi="Times New Roman" w:cs="Times New Roman"/>
          <w:b/>
          <w:bCs/>
          <w:sz w:val="20"/>
          <w:szCs w:val="20"/>
          <w:lang w:eastAsia="de-DE"/>
        </w:rPr>
        <w:t>FIGURE 1.</w:t>
      </w:r>
      <w:r w:rsidRPr="00821F0A">
        <w:rPr>
          <w:rFonts w:ascii="Times New Roman" w:hAnsi="Times New Roman" w:cs="Times New Roman"/>
          <w:sz w:val="20"/>
          <w:szCs w:val="20"/>
          <w:lang w:eastAsia="de-DE"/>
        </w:rPr>
        <w:t xml:space="preserve"> Percentage distribution of responses from the experimental and control groups according to pedagogical competence mechanisms (n = 162)</w:t>
      </w:r>
    </w:p>
    <w:p w14:paraId="3B763721" w14:textId="77777777" w:rsidR="00821F0A" w:rsidRPr="00821F0A" w:rsidRDefault="00821F0A" w:rsidP="00EC5416">
      <w:pPr>
        <w:spacing w:after="0" w:line="240" w:lineRule="auto"/>
        <w:ind w:firstLine="284"/>
        <w:jc w:val="both"/>
        <w:rPr>
          <w:rFonts w:ascii="Times New Roman" w:hAnsi="Times New Roman" w:cs="Times New Roman"/>
          <w:color w:val="000000"/>
          <w:sz w:val="20"/>
          <w:szCs w:val="20"/>
        </w:rPr>
      </w:pPr>
    </w:p>
    <w:p w14:paraId="74DA3A5C" w14:textId="08C2FD25"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 xml:space="preserve">Although the proportion of affirmative (“yes”) responses among participants in the control group reached           </w:t>
      </w:r>
      <w:r w:rsidR="001801BA" w:rsidRPr="00821F0A">
        <w:rPr>
          <w:rFonts w:ascii="Times New Roman" w:hAnsi="Times New Roman" w:cs="Times New Roman"/>
          <w:color w:val="000000"/>
          <w:sz w:val="20"/>
          <w:szCs w:val="20"/>
        </w:rPr>
        <w:t>70,</w:t>
      </w:r>
      <w:r w:rsidRPr="00821F0A">
        <w:rPr>
          <w:rFonts w:ascii="Times New Roman" w:hAnsi="Times New Roman" w:cs="Times New Roman"/>
          <w:color w:val="000000"/>
          <w:sz w:val="20"/>
          <w:szCs w:val="20"/>
        </w:rPr>
        <w:t>12%, this result was significantly lower than that of the experimental group. A total of 19.75% of respondents in this group demonstrated a degree of instability, as reflected in their “unsta</w:t>
      </w:r>
      <w:r w:rsidR="001801BA" w:rsidRPr="00821F0A">
        <w:rPr>
          <w:rFonts w:ascii="Times New Roman" w:hAnsi="Times New Roman" w:cs="Times New Roman"/>
          <w:color w:val="000000"/>
          <w:sz w:val="20"/>
          <w:szCs w:val="20"/>
        </w:rPr>
        <w:t>ble” responses. Furthermore, 10,</w:t>
      </w:r>
      <w:r w:rsidRPr="00821F0A">
        <w:rPr>
          <w:rFonts w:ascii="Times New Roman" w:hAnsi="Times New Roman" w:cs="Times New Roman"/>
          <w:color w:val="000000"/>
          <w:sz w:val="20"/>
          <w:szCs w:val="20"/>
        </w:rPr>
        <w:t xml:space="preserve">13% of participants – </w:t>
      </w:r>
      <w:r w:rsidR="001801BA" w:rsidRPr="00821F0A">
        <w:rPr>
          <w:rFonts w:ascii="Times New Roman" w:hAnsi="Times New Roman" w:cs="Times New Roman"/>
          <w:color w:val="000000"/>
          <w:sz w:val="20"/>
          <w:szCs w:val="20"/>
        </w:rPr>
        <w:t>4,</w:t>
      </w:r>
      <w:r w:rsidRPr="00821F0A">
        <w:rPr>
          <w:rFonts w:ascii="Times New Roman" w:hAnsi="Times New Roman" w:cs="Times New Roman"/>
          <w:color w:val="000000"/>
          <w:sz w:val="20"/>
          <w:szCs w:val="20"/>
        </w:rPr>
        <w:t>4% higher than in the experimental group—evaluated the mechanism’s influence negatively by selecting the response “no.” Thus, the clear advantage of the experimental group wit</w:t>
      </w:r>
      <w:r w:rsidR="001801BA" w:rsidRPr="00821F0A">
        <w:rPr>
          <w:rFonts w:ascii="Times New Roman" w:hAnsi="Times New Roman" w:cs="Times New Roman"/>
          <w:color w:val="000000"/>
          <w:sz w:val="20"/>
          <w:szCs w:val="20"/>
        </w:rPr>
        <w:t>h respect to this mechanism (84,</w:t>
      </w:r>
      <w:r w:rsidRPr="00821F0A">
        <w:rPr>
          <w:rFonts w:ascii="Times New Roman" w:hAnsi="Times New Roman" w:cs="Times New Roman"/>
          <w:color w:val="000000"/>
          <w:sz w:val="20"/>
          <w:szCs w:val="20"/>
        </w:rPr>
        <w:t>2%) once again confirms the effectiveness of the training program implemented during the professional development process.</w:t>
      </w:r>
    </w:p>
    <w:p w14:paraId="72FDDC39" w14:textId="175CA05B"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With regard to the second mechanism, namely the funct</w:t>
      </w:r>
      <w:r w:rsidR="001801BA" w:rsidRPr="00821F0A">
        <w:rPr>
          <w:rFonts w:ascii="Times New Roman" w:hAnsi="Times New Roman" w:cs="Times New Roman"/>
          <w:color w:val="000000"/>
          <w:sz w:val="20"/>
          <w:szCs w:val="20"/>
        </w:rPr>
        <w:t>ional-pedagogical mechanism, 88,</w:t>
      </w:r>
      <w:r w:rsidRPr="00821F0A">
        <w:rPr>
          <w:rFonts w:ascii="Times New Roman" w:hAnsi="Times New Roman" w:cs="Times New Roman"/>
          <w:color w:val="000000"/>
          <w:sz w:val="20"/>
          <w:szCs w:val="20"/>
        </w:rPr>
        <w:t>64% of respondents from the experimental group supported the strength of the mechanism’s influence by selecting the response “yes”. This finding indicates that the training program played a significant role in enhancing the professional competence of physical education teachers by strengthening the impact of this mechanism. Among respondents with a pedagogical work exp</w:t>
      </w:r>
      <w:r w:rsidR="001801BA" w:rsidRPr="00821F0A">
        <w:rPr>
          <w:rFonts w:ascii="Times New Roman" w:hAnsi="Times New Roman" w:cs="Times New Roman"/>
          <w:color w:val="000000"/>
          <w:sz w:val="20"/>
          <w:szCs w:val="20"/>
        </w:rPr>
        <w:t>erience of two years or less, 8,</w:t>
      </w:r>
      <w:r w:rsidRPr="00821F0A">
        <w:rPr>
          <w:rFonts w:ascii="Times New Roman" w:hAnsi="Times New Roman" w:cs="Times New Roman"/>
          <w:color w:val="000000"/>
          <w:sz w:val="20"/>
          <w:szCs w:val="20"/>
        </w:rPr>
        <w:t>02% expressed uncertainty regarding the influence of this mechanism, as reflected in thei</w:t>
      </w:r>
      <w:r w:rsidR="001801BA" w:rsidRPr="00821F0A">
        <w:rPr>
          <w:rFonts w:ascii="Times New Roman" w:hAnsi="Times New Roman" w:cs="Times New Roman"/>
          <w:color w:val="000000"/>
          <w:sz w:val="20"/>
          <w:szCs w:val="20"/>
        </w:rPr>
        <w:t>r “unstable” responses, while 3,</w:t>
      </w:r>
      <w:r w:rsidRPr="00821F0A">
        <w:rPr>
          <w:rFonts w:ascii="Times New Roman" w:hAnsi="Times New Roman" w:cs="Times New Roman"/>
          <w:color w:val="000000"/>
          <w:sz w:val="20"/>
          <w:szCs w:val="20"/>
        </w:rPr>
        <w:t>34% selected “no,” indicating that these individuals had not yet been fully integrated into pedagogical professional activity.</w:t>
      </w:r>
    </w:p>
    <w:p w14:paraId="0FF659D7" w14:textId="277905F8" w:rsidR="00EC5416" w:rsidRPr="00821F0A" w:rsidRDefault="00EC5416" w:rsidP="00EC5416">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Among partic</w:t>
      </w:r>
      <w:r w:rsidR="001801BA" w:rsidRPr="00821F0A">
        <w:rPr>
          <w:rFonts w:ascii="Times New Roman" w:hAnsi="Times New Roman" w:cs="Times New Roman"/>
          <w:color w:val="000000"/>
          <w:sz w:val="20"/>
          <w:szCs w:val="20"/>
        </w:rPr>
        <w:t>ipants in the control group, 73,</w:t>
      </w:r>
      <w:r w:rsidRPr="00821F0A">
        <w:rPr>
          <w:rFonts w:ascii="Times New Roman" w:hAnsi="Times New Roman" w:cs="Times New Roman"/>
          <w:color w:val="000000"/>
          <w:sz w:val="20"/>
          <w:szCs w:val="20"/>
        </w:rPr>
        <w:t>29% selected the response “y</w:t>
      </w:r>
      <w:r w:rsidR="001801BA" w:rsidRPr="00821F0A">
        <w:rPr>
          <w:rFonts w:ascii="Times New Roman" w:hAnsi="Times New Roman" w:cs="Times New Roman"/>
          <w:color w:val="000000"/>
          <w:sz w:val="20"/>
          <w:szCs w:val="20"/>
        </w:rPr>
        <w:t>es”; however, this result is 15,</w:t>
      </w:r>
      <w:r w:rsidRPr="00821F0A">
        <w:rPr>
          <w:rFonts w:ascii="Times New Roman" w:hAnsi="Times New Roman" w:cs="Times New Roman"/>
          <w:color w:val="000000"/>
          <w:sz w:val="20"/>
          <w:szCs w:val="20"/>
        </w:rPr>
        <w:t>35% lower than that of the experime</w:t>
      </w:r>
      <w:r w:rsidR="001801BA" w:rsidRPr="00821F0A">
        <w:rPr>
          <w:rFonts w:ascii="Times New Roman" w:hAnsi="Times New Roman" w:cs="Times New Roman"/>
          <w:color w:val="000000"/>
          <w:sz w:val="20"/>
          <w:szCs w:val="20"/>
        </w:rPr>
        <w:t>ntal group. Correspondingly, 16,</w:t>
      </w:r>
      <w:r w:rsidRPr="00821F0A">
        <w:rPr>
          <w:rFonts w:ascii="Times New Roman" w:hAnsi="Times New Roman" w:cs="Times New Roman"/>
          <w:color w:val="000000"/>
          <w:sz w:val="20"/>
          <w:szCs w:val="20"/>
        </w:rPr>
        <w:t>34% of respondents selected “uns</w:t>
      </w:r>
      <w:r w:rsidR="001801BA" w:rsidRPr="00821F0A">
        <w:rPr>
          <w:rFonts w:ascii="Times New Roman" w:hAnsi="Times New Roman" w:cs="Times New Roman"/>
          <w:color w:val="000000"/>
          <w:sz w:val="20"/>
          <w:szCs w:val="20"/>
        </w:rPr>
        <w:t>table,” and 10,</w:t>
      </w:r>
      <w:r w:rsidRPr="00821F0A">
        <w:rPr>
          <w:rFonts w:ascii="Times New Roman" w:hAnsi="Times New Roman" w:cs="Times New Roman"/>
          <w:color w:val="000000"/>
          <w:sz w:val="20"/>
          <w:szCs w:val="20"/>
        </w:rPr>
        <w:t>37% selected “no”. These results confirm that the experimental group demonstrate</w:t>
      </w:r>
      <w:r w:rsidR="001801BA" w:rsidRPr="00821F0A">
        <w:rPr>
          <w:rFonts w:ascii="Times New Roman" w:hAnsi="Times New Roman" w:cs="Times New Roman"/>
          <w:color w:val="000000"/>
          <w:sz w:val="20"/>
          <w:szCs w:val="20"/>
        </w:rPr>
        <w:t>d a higher level of success (88,</w:t>
      </w:r>
      <w:r w:rsidRPr="00821F0A">
        <w:rPr>
          <w:rFonts w:ascii="Times New Roman" w:hAnsi="Times New Roman" w:cs="Times New Roman"/>
          <w:color w:val="000000"/>
          <w:sz w:val="20"/>
          <w:szCs w:val="20"/>
        </w:rPr>
        <w:t>64%) in understanding the importance of the functional-pedagogical mechanism in the formation of pedagogical competence.</w:t>
      </w:r>
    </w:p>
    <w:p w14:paraId="78E14C91" w14:textId="4B454E78" w:rsidR="00EC5416" w:rsidRPr="00821F0A" w:rsidRDefault="00EC5416" w:rsidP="001801BA">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Furthermore, according to the questionnaire survey conducted to assess understanding of the role of the pedagogical integration mechanism in developing pedagogical competence among physical education specialists, a high proporti</w:t>
      </w:r>
      <w:r w:rsidR="001801BA" w:rsidRPr="00821F0A">
        <w:rPr>
          <w:rFonts w:ascii="Times New Roman" w:hAnsi="Times New Roman" w:cs="Times New Roman"/>
          <w:color w:val="000000"/>
          <w:sz w:val="20"/>
          <w:szCs w:val="20"/>
        </w:rPr>
        <w:t>on of affirmative responses (86,</w:t>
      </w:r>
      <w:r w:rsidRPr="00821F0A">
        <w:rPr>
          <w:rFonts w:ascii="Times New Roman" w:hAnsi="Times New Roman" w:cs="Times New Roman"/>
          <w:color w:val="000000"/>
          <w:sz w:val="20"/>
          <w:szCs w:val="20"/>
        </w:rPr>
        <w:t>67%) was recorded in the experimental group. Due to both objective factors (limited pedagogical experience) and subjective factors (graduates of sports-related, rather than e</w:t>
      </w:r>
      <w:r w:rsidR="001801BA" w:rsidRPr="00821F0A">
        <w:rPr>
          <w:rFonts w:ascii="Times New Roman" w:hAnsi="Times New Roman" w:cs="Times New Roman"/>
          <w:color w:val="000000"/>
          <w:sz w:val="20"/>
          <w:szCs w:val="20"/>
        </w:rPr>
        <w:t>ducation-oriented, programs), 9,</w:t>
      </w:r>
      <w:r w:rsidRPr="00821F0A">
        <w:rPr>
          <w:rFonts w:ascii="Times New Roman" w:hAnsi="Times New Roman" w:cs="Times New Roman"/>
          <w:color w:val="000000"/>
          <w:sz w:val="20"/>
          <w:szCs w:val="20"/>
        </w:rPr>
        <w:t xml:space="preserve">63% of respondents continued to express uncertainty even after the training program, indicating difficulty in understanding the mechanism’s influence and applying it in professional pedagogical practice. </w:t>
      </w:r>
      <w:r w:rsidRPr="00821F0A">
        <w:rPr>
          <w:rFonts w:ascii="Times New Roman" w:hAnsi="Times New Roman" w:cs="Times New Roman"/>
          <w:color w:val="000000"/>
          <w:sz w:val="20"/>
          <w:szCs w:val="20"/>
        </w:rPr>
        <w:lastRenderedPageBreak/>
        <w:t>Additionally, 3</w:t>
      </w:r>
      <w:r w:rsidR="001801BA" w:rsidRPr="00821F0A">
        <w:rPr>
          <w:rFonts w:ascii="Times New Roman" w:hAnsi="Times New Roman" w:cs="Times New Roman"/>
          <w:color w:val="000000"/>
          <w:sz w:val="20"/>
          <w:szCs w:val="20"/>
        </w:rPr>
        <w:t>,</w:t>
      </w:r>
      <w:r w:rsidRPr="00821F0A">
        <w:rPr>
          <w:rFonts w:ascii="Times New Roman" w:hAnsi="Times New Roman" w:cs="Times New Roman"/>
          <w:color w:val="000000"/>
          <w:sz w:val="20"/>
          <w:szCs w:val="20"/>
        </w:rPr>
        <w:t>7% of respondents in this group selected “no,” reflecting resistance to personal and professional development.</w:t>
      </w:r>
    </w:p>
    <w:p w14:paraId="75A48DB9" w14:textId="5684AF90" w:rsidR="00EC5416" w:rsidRPr="00821F0A" w:rsidRDefault="001801BA" w:rsidP="001801BA">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In contrast, 71,</w:t>
      </w:r>
      <w:r w:rsidR="00EC5416" w:rsidRPr="00821F0A">
        <w:rPr>
          <w:rFonts w:ascii="Times New Roman" w:hAnsi="Times New Roman" w:cs="Times New Roman"/>
          <w:color w:val="000000"/>
          <w:sz w:val="20"/>
          <w:szCs w:val="20"/>
        </w:rPr>
        <w:t>23% of representatives from the control group—comprising participants with more than 11 years of pedagogical experience—demonstrated an understanding of the mechanism’s impact by selecting the response “yes.” However, 18</w:t>
      </w:r>
      <w:r w:rsidRPr="00821F0A">
        <w:rPr>
          <w:rFonts w:ascii="Times New Roman" w:hAnsi="Times New Roman" w:cs="Times New Roman"/>
          <w:color w:val="000000"/>
          <w:sz w:val="20"/>
          <w:szCs w:val="20"/>
        </w:rPr>
        <w:t>,</w:t>
      </w:r>
      <w:r w:rsidR="00EC5416" w:rsidRPr="00821F0A">
        <w:rPr>
          <w:rFonts w:ascii="Times New Roman" w:hAnsi="Times New Roman" w:cs="Times New Roman"/>
          <w:color w:val="000000"/>
          <w:sz w:val="20"/>
          <w:szCs w:val="20"/>
        </w:rPr>
        <w:t>15% expressed u</w:t>
      </w:r>
      <w:r w:rsidRPr="00821F0A">
        <w:rPr>
          <w:rFonts w:ascii="Times New Roman" w:hAnsi="Times New Roman" w:cs="Times New Roman"/>
          <w:color w:val="000000"/>
          <w:sz w:val="20"/>
          <w:szCs w:val="20"/>
        </w:rPr>
        <w:t>ncertainty (“unstable”), and 10,</w:t>
      </w:r>
      <w:r w:rsidR="00EC5416" w:rsidRPr="00821F0A">
        <w:rPr>
          <w:rFonts w:ascii="Times New Roman" w:hAnsi="Times New Roman" w:cs="Times New Roman"/>
          <w:color w:val="000000"/>
          <w:sz w:val="20"/>
          <w:szCs w:val="20"/>
        </w:rPr>
        <w:t>62% explicitly rejected the mechanism’s influence by selecting “no.” Therefore, the experimental group also demonstrated a clear advantage with respect to the pedago</w:t>
      </w:r>
      <w:r w:rsidRPr="00821F0A">
        <w:rPr>
          <w:rFonts w:ascii="Times New Roman" w:hAnsi="Times New Roman" w:cs="Times New Roman"/>
          <w:color w:val="000000"/>
          <w:sz w:val="20"/>
          <w:szCs w:val="20"/>
        </w:rPr>
        <w:t>gical integration mechanism (86,</w:t>
      </w:r>
      <w:r w:rsidR="00EC5416" w:rsidRPr="00821F0A">
        <w:rPr>
          <w:rFonts w:ascii="Times New Roman" w:hAnsi="Times New Roman" w:cs="Times New Roman"/>
          <w:color w:val="000000"/>
          <w:sz w:val="20"/>
          <w:szCs w:val="20"/>
        </w:rPr>
        <w:t>67%).</w:t>
      </w:r>
    </w:p>
    <w:p w14:paraId="0CAE5BB7" w14:textId="572106C7" w:rsidR="00532035" w:rsidRPr="00821F0A" w:rsidRDefault="00532035" w:rsidP="00532035">
      <w:pPr>
        <w:spacing w:after="0" w:line="240" w:lineRule="auto"/>
        <w:ind w:firstLine="284"/>
        <w:jc w:val="both"/>
        <w:rPr>
          <w:rFonts w:ascii="Times New Roman" w:hAnsi="Times New Roman" w:cs="Times New Roman"/>
          <w:color w:val="000000"/>
          <w:sz w:val="20"/>
          <w:szCs w:val="20"/>
        </w:rPr>
      </w:pPr>
      <w:r w:rsidRPr="00821F0A">
        <w:rPr>
          <w:rFonts w:ascii="Times New Roman" w:hAnsi="Times New Roman" w:cs="Times New Roman"/>
          <w:color w:val="000000"/>
          <w:sz w:val="20"/>
          <w:szCs w:val="20"/>
        </w:rPr>
        <w:t>Overall, the questionnaire survey conducted to identify the significance of effective mechanisms in the formation of pedagogical competence demonstrated that the experimental group exhibited higher percentage indicators across all mechanisms. This finding confirms the effectiveness of the training program applied during the experimental phase of the study. In contrast, higher levels of uncertainty (“unstable”) and lack of understanding of the mechanisms’ influence within the context of physical education lessons (“no”) among participants in the control group indicate lower professional effectiveness and a less developed level of pedagogical competence.</w:t>
      </w:r>
    </w:p>
    <w:p w14:paraId="5AF256BB" w14:textId="672F9FD8" w:rsidR="00487CEA" w:rsidRPr="00821F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821F0A">
        <w:rPr>
          <w:rFonts w:ascii="Times New Roman" w:eastAsia="Times New Roman" w:hAnsi="Times New Roman" w:cs="Times New Roman"/>
          <w:b/>
          <w:sz w:val="24"/>
          <w:szCs w:val="24"/>
          <w:lang w:eastAsia="de-DE"/>
        </w:rPr>
        <w:t>RESEARCH RESULTS</w:t>
      </w:r>
    </w:p>
    <w:p w14:paraId="1EFBA78E" w14:textId="389E6A0D" w:rsidR="00532035" w:rsidRPr="00821F0A" w:rsidRDefault="00532035" w:rsidP="00532035">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The results of the study show that the highest outcome was recorded in relation to understanding the influence of the functional</w:t>
      </w:r>
      <w:r w:rsidR="001801BA" w:rsidRPr="00821F0A">
        <w:rPr>
          <w:rFonts w:ascii="Times New Roman" w:hAnsi="Times New Roman" w:cs="Times New Roman"/>
          <w:color w:val="000000"/>
          <w:sz w:val="20"/>
        </w:rPr>
        <w:t>-pedagogical mechanism, with 88,</w:t>
      </w:r>
      <w:r w:rsidRPr="00821F0A">
        <w:rPr>
          <w:rFonts w:ascii="Times New Roman" w:hAnsi="Times New Roman" w:cs="Times New Roman"/>
          <w:color w:val="000000"/>
          <w:sz w:val="20"/>
        </w:rPr>
        <w:t>64% of participants in the experimental group responding affirmatively</w:t>
      </w:r>
      <w:r w:rsidR="00651649">
        <w:rPr>
          <w:rFonts w:ascii="Times New Roman" w:hAnsi="Times New Roman" w:cs="Times New Roman"/>
          <w:color w:val="000000"/>
          <w:sz w:val="20"/>
        </w:rPr>
        <w:t xml:space="preserve"> [10-35]</w:t>
      </w:r>
      <w:r w:rsidRPr="00821F0A">
        <w:rPr>
          <w:rFonts w:ascii="Times New Roman" w:hAnsi="Times New Roman" w:cs="Times New Roman"/>
          <w:color w:val="000000"/>
          <w:sz w:val="20"/>
        </w:rPr>
        <w:t>.</w:t>
      </w:r>
    </w:p>
    <w:p w14:paraId="3757B892" w14:textId="77777777" w:rsidR="00532035" w:rsidRPr="00821F0A" w:rsidRDefault="00532035" w:rsidP="00532035">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Thus, based on the diagram presented in Figure 1, it can be concluded that the experimental group is capable of effectively applying pedagogical competence mechanisms in physical education lessons. We interpret this outcome as a result of the influence of the new training program and methodological materials implemented within the professional development courses.</w:t>
      </w:r>
    </w:p>
    <w:p w14:paraId="3B50858B" w14:textId="77777777" w:rsidR="00532035" w:rsidRPr="00821F0A" w:rsidRDefault="00532035" w:rsidP="00532035">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To assess the validity of the questionnaire used to evaluate mechanisms for forming pedagogical competence, the results were further examined using two nonparametric statistical tests: the chi-square test (χ²) and the Mann–Whitney U test.</w:t>
      </w:r>
    </w:p>
    <w:p w14:paraId="1B1FEA6F" w14:textId="1E10B0F6" w:rsidR="00532035" w:rsidRPr="00821F0A" w:rsidRDefault="00532035" w:rsidP="001801BA">
      <w:pPr>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b/>
          <w:bCs/>
          <w:color w:val="000000"/>
          <w:sz w:val="20"/>
        </w:rPr>
        <w:t>First analysis.</w:t>
      </w:r>
      <w:r w:rsidRPr="00821F0A">
        <w:rPr>
          <w:rFonts w:ascii="Times New Roman" w:hAnsi="Times New Roman" w:cs="Times New Roman"/>
          <w:color w:val="000000"/>
          <w:sz w:val="20"/>
        </w:rPr>
        <w:t xml:space="preserve"> A statistically significant difference was identified between the experimental group and the control group with respect to the effectiveness of the organizational-pedagogical mechanism in the formation of pedagogical competence among physical education specialists (χ² = 6.32; p &lt; 0</w:t>
      </w:r>
      <w:r w:rsidR="001801BA" w:rsidRPr="00821F0A">
        <w:rPr>
          <w:rFonts w:ascii="Times New Roman" w:hAnsi="Times New Roman" w:cs="Times New Roman"/>
          <w:color w:val="000000"/>
          <w:sz w:val="20"/>
        </w:rPr>
        <w:t>,</w:t>
      </w:r>
      <w:r w:rsidRPr="00821F0A">
        <w:rPr>
          <w:rFonts w:ascii="Times New Roman" w:hAnsi="Times New Roman" w:cs="Times New Roman"/>
          <w:color w:val="000000"/>
          <w:sz w:val="20"/>
        </w:rPr>
        <w:t>05). This result indicates that participants in the experimental group achieved greater success in organizing pedagogical processes.</w:t>
      </w:r>
    </w:p>
    <w:p w14:paraId="32715BFF" w14:textId="7CFA0371" w:rsidR="00532035" w:rsidRPr="00821F0A" w:rsidRDefault="00532035" w:rsidP="00532035">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821F0A">
        <w:rPr>
          <w:rFonts w:ascii="Times New Roman" w:hAnsi="Times New Roman" w:cs="Times New Roman"/>
          <w:b/>
          <w:bCs/>
          <w:sz w:val="20"/>
        </w:rPr>
        <w:t>Second analysis.</w:t>
      </w:r>
      <w:r w:rsidRPr="00821F0A">
        <w:rPr>
          <w:rFonts w:ascii="Times New Roman" w:hAnsi="Times New Roman" w:cs="Times New Roman"/>
          <w:sz w:val="20"/>
        </w:rPr>
        <w:t xml:space="preserve"> Within the scope of the functional-pedagogical mechanism, </w:t>
      </w:r>
      <w:r w:rsidR="001801BA" w:rsidRPr="00821F0A">
        <w:rPr>
          <w:rFonts w:ascii="Times New Roman" w:hAnsi="Times New Roman" w:cs="Times New Roman"/>
          <w:sz w:val="20"/>
        </w:rPr>
        <w:t>the chi-square value was χ² = 7,81 (p ≤ 0,</w:t>
      </w:r>
      <w:r w:rsidRPr="00821F0A">
        <w:rPr>
          <w:rFonts w:ascii="Times New Roman" w:hAnsi="Times New Roman" w:cs="Times New Roman"/>
          <w:sz w:val="20"/>
        </w:rPr>
        <w:t>005). This finding likewise indicates that teachers in the experimental group successfully applied a functional approach in their professional activities (see Table 1).</w:t>
      </w:r>
    </w:p>
    <w:p w14:paraId="25EB785D" w14:textId="77777777" w:rsidR="003D05F6" w:rsidRPr="00821F0A" w:rsidRDefault="003D05F6"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09F4B972" w14:textId="5B749186" w:rsidR="00627698" w:rsidRPr="00821F0A" w:rsidRDefault="00AF1A27"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821F0A">
        <w:rPr>
          <w:rFonts w:ascii="Times New Roman" w:hAnsi="Times New Roman" w:cs="Times New Roman"/>
          <w:b/>
          <w:sz w:val="20"/>
          <w:szCs w:val="20"/>
          <w:lang w:eastAsia="de-DE"/>
        </w:rPr>
        <w:t>TABLE</w:t>
      </w:r>
      <w:r w:rsidR="008F5C21" w:rsidRPr="00821F0A">
        <w:rPr>
          <w:rFonts w:ascii="Times New Roman" w:hAnsi="Times New Roman" w:cs="Times New Roman"/>
          <w:b/>
          <w:sz w:val="20"/>
          <w:szCs w:val="20"/>
          <w:lang w:eastAsia="de-DE"/>
        </w:rPr>
        <w:t xml:space="preserve"> 1.</w:t>
      </w:r>
      <w:r w:rsidR="008F5C21" w:rsidRPr="00821F0A">
        <w:rPr>
          <w:rFonts w:ascii="Times New Roman" w:hAnsi="Times New Roman" w:cs="Times New Roman"/>
          <w:sz w:val="20"/>
          <w:szCs w:val="20"/>
          <w:lang w:eastAsia="de-DE"/>
        </w:rPr>
        <w:t xml:space="preserve"> </w:t>
      </w:r>
      <w:r w:rsidR="006D59B2" w:rsidRPr="00821F0A">
        <w:rPr>
          <w:rFonts w:ascii="Times New Roman" w:hAnsi="Times New Roman" w:cs="Times New Roman"/>
          <w:sz w:val="20"/>
          <w:szCs w:val="20"/>
          <w:lang w:eastAsia="de-DE"/>
        </w:rPr>
        <w:t>Assignment of the phases in the slots</w:t>
      </w:r>
      <w:r w:rsidR="00F57755" w:rsidRPr="00821F0A">
        <w:rPr>
          <w:rFonts w:ascii="Times New Roman" w:hAnsi="Times New Roman" w:cs="Times New Roman"/>
          <w:sz w:val="20"/>
          <w:szCs w:val="20"/>
          <w:lang w:eastAsia="de-DE"/>
        </w:rPr>
        <w:t xml:space="preserve"> Differences in the interrelationships among mechanisms for forming pedagogical competence according to the χ² criterion (n = 162)</w:t>
      </w:r>
    </w:p>
    <w:tbl>
      <w:tblPr>
        <w:tblStyle w:val="a3"/>
        <w:tblW w:w="0" w:type="auto"/>
        <w:jc w:val="center"/>
        <w:tblLook w:val="04A0" w:firstRow="1" w:lastRow="0" w:firstColumn="1" w:lastColumn="0" w:noHBand="0" w:noVBand="1"/>
      </w:tblPr>
      <w:tblGrid>
        <w:gridCol w:w="2263"/>
        <w:gridCol w:w="1305"/>
        <w:gridCol w:w="1389"/>
        <w:gridCol w:w="992"/>
        <w:gridCol w:w="992"/>
        <w:gridCol w:w="1989"/>
      </w:tblGrid>
      <w:tr w:rsidR="00F57755" w:rsidRPr="00821F0A" w14:paraId="7370F104" w14:textId="77777777" w:rsidTr="00080AE5">
        <w:trPr>
          <w:trHeight w:val="672"/>
          <w:jc w:val="center"/>
        </w:trPr>
        <w:tc>
          <w:tcPr>
            <w:tcW w:w="2263" w:type="dxa"/>
            <w:vAlign w:val="center"/>
          </w:tcPr>
          <w:p w14:paraId="4C2DBA88"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Mechanisms for Forming Pedagogical Competence</w:t>
            </w:r>
          </w:p>
        </w:tc>
        <w:tc>
          <w:tcPr>
            <w:tcW w:w="1305" w:type="dxa"/>
            <w:vAlign w:val="center"/>
          </w:tcPr>
          <w:p w14:paraId="1159C455" w14:textId="77777777" w:rsidR="00F57755" w:rsidRPr="00821F0A" w:rsidRDefault="00F57755" w:rsidP="00431176">
            <w:pPr>
              <w:pStyle w:val="a8"/>
              <w:kinsoku w:val="0"/>
              <w:overflowPunct w:val="0"/>
              <w:ind w:right="-1"/>
              <w:jc w:val="center"/>
              <w:rPr>
                <w:sz w:val="18"/>
                <w:szCs w:val="18"/>
                <w:lang w:val="uz-Latn-UZ"/>
              </w:rPr>
            </w:pPr>
            <w:r w:rsidRPr="00821F0A">
              <w:rPr>
                <w:rStyle w:val="a7"/>
                <w:b w:val="0"/>
                <w:bCs w:val="0"/>
                <w:sz w:val="18"/>
                <w:szCs w:val="18"/>
                <w:lang w:val="uz-Latn-UZ"/>
              </w:rPr>
              <w:t>Experimental Group (n = 81)</w:t>
            </w:r>
          </w:p>
        </w:tc>
        <w:tc>
          <w:tcPr>
            <w:tcW w:w="1389" w:type="dxa"/>
            <w:vAlign w:val="center"/>
          </w:tcPr>
          <w:p w14:paraId="3BCDAAF3" w14:textId="77777777" w:rsidR="00F57755" w:rsidRPr="00821F0A" w:rsidRDefault="00F57755" w:rsidP="00431176">
            <w:pPr>
              <w:pStyle w:val="a8"/>
              <w:kinsoku w:val="0"/>
              <w:overflowPunct w:val="0"/>
              <w:ind w:right="-1"/>
              <w:jc w:val="center"/>
              <w:rPr>
                <w:rStyle w:val="a7"/>
                <w:b w:val="0"/>
                <w:bCs w:val="0"/>
                <w:sz w:val="18"/>
                <w:szCs w:val="18"/>
                <w:lang w:val="uz-Latn-UZ"/>
              </w:rPr>
            </w:pPr>
            <w:r w:rsidRPr="00821F0A">
              <w:rPr>
                <w:rStyle w:val="a7"/>
                <w:b w:val="0"/>
                <w:bCs w:val="0"/>
                <w:sz w:val="18"/>
                <w:szCs w:val="18"/>
                <w:lang w:val="uz-Latn-UZ"/>
              </w:rPr>
              <w:t xml:space="preserve">Control Group </w:t>
            </w:r>
          </w:p>
          <w:p w14:paraId="5C23FD59" w14:textId="77777777" w:rsidR="00F57755" w:rsidRPr="00821F0A" w:rsidRDefault="00F57755" w:rsidP="00431176">
            <w:pPr>
              <w:pStyle w:val="a8"/>
              <w:kinsoku w:val="0"/>
              <w:overflowPunct w:val="0"/>
              <w:ind w:right="-1"/>
              <w:jc w:val="center"/>
              <w:rPr>
                <w:sz w:val="18"/>
                <w:szCs w:val="18"/>
                <w:lang w:val="uz-Latn-UZ"/>
              </w:rPr>
            </w:pPr>
            <w:r w:rsidRPr="00821F0A">
              <w:rPr>
                <w:rStyle w:val="a7"/>
                <w:b w:val="0"/>
                <w:bCs w:val="0"/>
                <w:sz w:val="18"/>
                <w:szCs w:val="18"/>
                <w:lang w:val="uz-Latn-UZ"/>
              </w:rPr>
              <w:t>(n = 82)</w:t>
            </w:r>
          </w:p>
        </w:tc>
        <w:tc>
          <w:tcPr>
            <w:tcW w:w="992" w:type="dxa"/>
            <w:vAlign w:val="center"/>
          </w:tcPr>
          <w:p w14:paraId="6BBB2DB3" w14:textId="77777777" w:rsidR="00F57755" w:rsidRPr="00821F0A" w:rsidRDefault="00F57755" w:rsidP="00431176">
            <w:pPr>
              <w:pStyle w:val="a8"/>
              <w:kinsoku w:val="0"/>
              <w:overflowPunct w:val="0"/>
              <w:ind w:right="-1"/>
              <w:jc w:val="center"/>
              <w:rPr>
                <w:sz w:val="18"/>
                <w:szCs w:val="18"/>
                <w:lang w:val="uz-Latn-UZ"/>
              </w:rPr>
            </w:pPr>
            <w:r w:rsidRPr="00821F0A">
              <w:rPr>
                <w:rStyle w:val="texhtml"/>
                <w:color w:val="202122"/>
                <w:sz w:val="18"/>
                <w:szCs w:val="18"/>
                <w:shd w:val="clear" w:color="auto" w:fill="FFFFFF"/>
                <w:lang w:val="uz-Latn-UZ"/>
              </w:rPr>
              <w:t>χ</w:t>
            </w:r>
            <w:r w:rsidRPr="00821F0A">
              <w:rPr>
                <w:rStyle w:val="texhtml"/>
                <w:color w:val="202122"/>
                <w:sz w:val="18"/>
                <w:szCs w:val="18"/>
                <w:shd w:val="clear" w:color="auto" w:fill="FFFFFF"/>
                <w:vertAlign w:val="superscript"/>
                <w:lang w:val="uz-Latn-UZ"/>
              </w:rPr>
              <w:t xml:space="preserve">2 </w:t>
            </w:r>
            <w:r w:rsidRPr="00821F0A">
              <w:rPr>
                <w:rStyle w:val="texhtml"/>
                <w:color w:val="202122"/>
                <w:sz w:val="18"/>
                <w:szCs w:val="18"/>
                <w:shd w:val="clear" w:color="auto" w:fill="FFFFFF"/>
                <w:lang w:val="uz-Latn-UZ"/>
              </w:rPr>
              <w:t xml:space="preserve">value </w:t>
            </w:r>
          </w:p>
        </w:tc>
        <w:tc>
          <w:tcPr>
            <w:tcW w:w="992" w:type="dxa"/>
            <w:vAlign w:val="center"/>
          </w:tcPr>
          <w:p w14:paraId="06D51B3A"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P value</w:t>
            </w:r>
          </w:p>
        </w:tc>
        <w:tc>
          <w:tcPr>
            <w:tcW w:w="1989" w:type="dxa"/>
            <w:vAlign w:val="center"/>
          </w:tcPr>
          <w:p w14:paraId="38822277"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Statistical difference</w:t>
            </w:r>
          </w:p>
        </w:tc>
      </w:tr>
      <w:tr w:rsidR="00F57755" w:rsidRPr="00821F0A" w14:paraId="48C0E879" w14:textId="77777777" w:rsidTr="00080AE5">
        <w:trPr>
          <w:trHeight w:val="554"/>
          <w:jc w:val="center"/>
        </w:trPr>
        <w:tc>
          <w:tcPr>
            <w:tcW w:w="2263" w:type="dxa"/>
            <w:vAlign w:val="center"/>
          </w:tcPr>
          <w:p w14:paraId="4EDB12B9"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Organizational–Pedagogical</w:t>
            </w:r>
          </w:p>
        </w:tc>
        <w:tc>
          <w:tcPr>
            <w:tcW w:w="1305" w:type="dxa"/>
            <w:vAlign w:val="center"/>
          </w:tcPr>
          <w:p w14:paraId="456A2F2E"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84,20</w:t>
            </w:r>
          </w:p>
        </w:tc>
        <w:tc>
          <w:tcPr>
            <w:tcW w:w="1389" w:type="dxa"/>
            <w:vAlign w:val="center"/>
          </w:tcPr>
          <w:p w14:paraId="15A0C7BD"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70,12</w:t>
            </w:r>
          </w:p>
        </w:tc>
        <w:tc>
          <w:tcPr>
            <w:tcW w:w="992" w:type="dxa"/>
            <w:vAlign w:val="center"/>
          </w:tcPr>
          <w:p w14:paraId="541B50D6"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6,32</w:t>
            </w:r>
          </w:p>
        </w:tc>
        <w:tc>
          <w:tcPr>
            <w:tcW w:w="992" w:type="dxa"/>
            <w:vAlign w:val="center"/>
          </w:tcPr>
          <w:p w14:paraId="36F8FDE8"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&lt;0,011**</w:t>
            </w:r>
          </w:p>
        </w:tc>
        <w:tc>
          <w:tcPr>
            <w:tcW w:w="1989" w:type="dxa"/>
            <w:vAlign w:val="center"/>
          </w:tcPr>
          <w:p w14:paraId="093170CC"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Statistically significant difference</w:t>
            </w:r>
          </w:p>
        </w:tc>
      </w:tr>
      <w:tr w:rsidR="00F57755" w:rsidRPr="00821F0A" w14:paraId="5ED66751" w14:textId="77777777" w:rsidTr="00080AE5">
        <w:trPr>
          <w:jc w:val="center"/>
        </w:trPr>
        <w:tc>
          <w:tcPr>
            <w:tcW w:w="2263" w:type="dxa"/>
            <w:vAlign w:val="center"/>
          </w:tcPr>
          <w:p w14:paraId="2BA343CC"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Functional–edagogical</w:t>
            </w:r>
          </w:p>
        </w:tc>
        <w:tc>
          <w:tcPr>
            <w:tcW w:w="1305" w:type="dxa"/>
            <w:vAlign w:val="center"/>
          </w:tcPr>
          <w:p w14:paraId="316CBAC8"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88,64</w:t>
            </w:r>
          </w:p>
        </w:tc>
        <w:tc>
          <w:tcPr>
            <w:tcW w:w="1389" w:type="dxa"/>
            <w:vAlign w:val="center"/>
          </w:tcPr>
          <w:p w14:paraId="3346640C"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73,29</w:t>
            </w:r>
          </w:p>
        </w:tc>
        <w:tc>
          <w:tcPr>
            <w:tcW w:w="992" w:type="dxa"/>
            <w:vAlign w:val="center"/>
          </w:tcPr>
          <w:p w14:paraId="2E78EE96"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7,81</w:t>
            </w:r>
          </w:p>
        </w:tc>
        <w:tc>
          <w:tcPr>
            <w:tcW w:w="992" w:type="dxa"/>
            <w:vAlign w:val="center"/>
          </w:tcPr>
          <w:p w14:paraId="7065BC3E"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&lt;0,005*</w:t>
            </w:r>
          </w:p>
        </w:tc>
        <w:tc>
          <w:tcPr>
            <w:tcW w:w="1989" w:type="dxa"/>
            <w:vAlign w:val="center"/>
          </w:tcPr>
          <w:p w14:paraId="09F388DE"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Statistically significant difference</w:t>
            </w:r>
          </w:p>
        </w:tc>
      </w:tr>
      <w:tr w:rsidR="00F57755" w:rsidRPr="00821F0A" w14:paraId="1F10C8A7" w14:textId="77777777" w:rsidTr="00080AE5">
        <w:trPr>
          <w:jc w:val="center"/>
        </w:trPr>
        <w:tc>
          <w:tcPr>
            <w:tcW w:w="2263" w:type="dxa"/>
            <w:vAlign w:val="center"/>
          </w:tcPr>
          <w:p w14:paraId="624670E1"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Pedagogical-Integration</w:t>
            </w:r>
          </w:p>
        </w:tc>
        <w:tc>
          <w:tcPr>
            <w:tcW w:w="1305" w:type="dxa"/>
            <w:vAlign w:val="center"/>
          </w:tcPr>
          <w:p w14:paraId="43655B81"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86,67</w:t>
            </w:r>
          </w:p>
        </w:tc>
        <w:tc>
          <w:tcPr>
            <w:tcW w:w="1389" w:type="dxa"/>
            <w:vAlign w:val="center"/>
          </w:tcPr>
          <w:p w14:paraId="22742FB1"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71,23</w:t>
            </w:r>
          </w:p>
        </w:tc>
        <w:tc>
          <w:tcPr>
            <w:tcW w:w="992" w:type="dxa"/>
            <w:vAlign w:val="center"/>
          </w:tcPr>
          <w:p w14:paraId="5E566C3F"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6,95</w:t>
            </w:r>
          </w:p>
        </w:tc>
        <w:tc>
          <w:tcPr>
            <w:tcW w:w="992" w:type="dxa"/>
            <w:vAlign w:val="center"/>
          </w:tcPr>
          <w:p w14:paraId="348389A6"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&lt;0,008**</w:t>
            </w:r>
          </w:p>
        </w:tc>
        <w:tc>
          <w:tcPr>
            <w:tcW w:w="1989" w:type="dxa"/>
            <w:vAlign w:val="center"/>
          </w:tcPr>
          <w:p w14:paraId="35447A33"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Statistically significant difference</w:t>
            </w:r>
          </w:p>
        </w:tc>
      </w:tr>
      <w:tr w:rsidR="00F57755" w:rsidRPr="00821F0A" w14:paraId="11AAF1F2" w14:textId="77777777" w:rsidTr="003D05F6">
        <w:trPr>
          <w:jc w:val="center"/>
        </w:trPr>
        <w:tc>
          <w:tcPr>
            <w:tcW w:w="8930" w:type="dxa"/>
            <w:gridSpan w:val="6"/>
            <w:vAlign w:val="center"/>
          </w:tcPr>
          <w:p w14:paraId="61EE6524" w14:textId="77777777" w:rsidR="00F57755" w:rsidRPr="00821F0A" w:rsidRDefault="00F57755" w:rsidP="00431176">
            <w:pPr>
              <w:pStyle w:val="a8"/>
              <w:kinsoku w:val="0"/>
              <w:overflowPunct w:val="0"/>
              <w:ind w:right="-1"/>
              <w:jc w:val="center"/>
              <w:rPr>
                <w:sz w:val="18"/>
                <w:szCs w:val="18"/>
                <w:lang w:val="uz-Latn-UZ"/>
              </w:rPr>
            </w:pPr>
            <w:r w:rsidRPr="00821F0A">
              <w:rPr>
                <w:sz w:val="18"/>
                <w:szCs w:val="18"/>
                <w:lang w:val="uz-Latn-UZ"/>
              </w:rPr>
              <w:t>Note: * p&lt;0,05; **p≤0,005</w:t>
            </w:r>
          </w:p>
        </w:tc>
      </w:tr>
    </w:tbl>
    <w:p w14:paraId="70B25FEA" w14:textId="25C02FFC" w:rsidR="008745D5" w:rsidRPr="00821F0A" w:rsidRDefault="00F57755"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Analysis of the final mechanism—the pedagogical integration mechanism—s</w:t>
      </w:r>
      <w:r w:rsidR="001801BA" w:rsidRPr="00821F0A">
        <w:rPr>
          <w:rFonts w:ascii="Times New Roman" w:hAnsi="Times New Roman" w:cs="Times New Roman"/>
          <w:color w:val="000000"/>
          <w:sz w:val="20"/>
        </w:rPr>
        <w:t>hows that the χ² value equals 6,95 and the p-value equals 0,</w:t>
      </w:r>
      <w:r w:rsidRPr="00821F0A">
        <w:rPr>
          <w:rFonts w:ascii="Times New Roman" w:hAnsi="Times New Roman" w:cs="Times New Roman"/>
          <w:color w:val="000000"/>
          <w:sz w:val="20"/>
        </w:rPr>
        <w:t>008, indicating a statistically significant difference between the responses of the experimental group and the control group with respect to this mechanism.</w:t>
      </w:r>
    </w:p>
    <w:p w14:paraId="514EE3F8" w14:textId="123D5B31" w:rsidR="008745D5" w:rsidRPr="00821F0A" w:rsidRDefault="00F57755" w:rsidP="00F57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b/>
          <w:bCs/>
          <w:color w:val="000000"/>
          <w:sz w:val="20"/>
        </w:rPr>
        <w:t>Second analysis.</w:t>
      </w:r>
      <w:r w:rsidRPr="00821F0A">
        <w:rPr>
          <w:rFonts w:ascii="Times New Roman" w:hAnsi="Times New Roman" w:cs="Times New Roman"/>
          <w:color w:val="000000"/>
          <w:sz w:val="20"/>
        </w:rPr>
        <w:t xml:space="preserve"> The results of the mechanism analysis based on the Mann–Whitney U test can be interpreted as follows (see Table 1).</w:t>
      </w:r>
    </w:p>
    <w:p w14:paraId="6C580479" w14:textId="2861BA69" w:rsidR="00F57755" w:rsidRPr="00821F0A" w:rsidRDefault="00F57755" w:rsidP="00F57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21F0A">
        <w:rPr>
          <w:rFonts w:ascii="Times New Roman" w:hAnsi="Times New Roman" w:cs="Times New Roman"/>
          <w:color w:val="000000"/>
          <w:sz w:val="20"/>
        </w:rPr>
        <w:t>It was determined that there is a statistically significant difference between the experimental group and the control group regarding the effectiveness of the organizational–</w:t>
      </w:r>
      <w:r w:rsidR="001801BA" w:rsidRPr="00821F0A">
        <w:rPr>
          <w:rFonts w:ascii="Times New Roman" w:hAnsi="Times New Roman" w:cs="Times New Roman"/>
          <w:color w:val="000000"/>
          <w:sz w:val="20"/>
        </w:rPr>
        <w:t>pedagogical mechanism (U = 1032,0; p &lt; 0,</w:t>
      </w:r>
      <w:r w:rsidRPr="00821F0A">
        <w:rPr>
          <w:rFonts w:ascii="Times New Roman" w:hAnsi="Times New Roman" w:cs="Times New Roman"/>
          <w:color w:val="000000"/>
          <w:sz w:val="20"/>
        </w:rPr>
        <w:t xml:space="preserve">05). This finding </w:t>
      </w:r>
      <w:r w:rsidRPr="00821F0A">
        <w:rPr>
          <w:rFonts w:ascii="Times New Roman" w:hAnsi="Times New Roman" w:cs="Times New Roman"/>
          <w:color w:val="000000"/>
          <w:sz w:val="20"/>
        </w:rPr>
        <w:lastRenderedPageBreak/>
        <w:t>indicates that the experimental group achieved higher outcomes for this mechanism. Similarly, responses reflecting the effectiveness of the functional–pedagogical mechanism yielde</w:t>
      </w:r>
      <w:r w:rsidR="001801BA" w:rsidRPr="00821F0A">
        <w:rPr>
          <w:rFonts w:ascii="Times New Roman" w:hAnsi="Times New Roman" w:cs="Times New Roman"/>
          <w:color w:val="000000"/>
          <w:sz w:val="20"/>
        </w:rPr>
        <w:t>d a Mann–Whitney U value of 950,5 (p &lt; 0,</w:t>
      </w:r>
      <w:r w:rsidRPr="00821F0A">
        <w:rPr>
          <w:rFonts w:ascii="Times New Roman" w:hAnsi="Times New Roman" w:cs="Times New Roman"/>
          <w:color w:val="000000"/>
          <w:sz w:val="20"/>
        </w:rPr>
        <w:t xml:space="preserve">001), demonstrating a significant difference between the experimental and control groups. The experimental group was distinguished by a higher mean rank compared to the control group. Furthermore, statistically significant differences were also observed in relation to the pedagogical integration mechanism (U </w:t>
      </w:r>
      <w:r w:rsidR="001801BA" w:rsidRPr="00821F0A">
        <w:rPr>
          <w:rFonts w:ascii="Times New Roman" w:hAnsi="Times New Roman" w:cs="Times New Roman"/>
          <w:color w:val="000000"/>
          <w:sz w:val="20"/>
        </w:rPr>
        <w:t>= 978,3; p &lt; 0,</w:t>
      </w:r>
      <w:r w:rsidRPr="00821F0A">
        <w:rPr>
          <w:rFonts w:ascii="Times New Roman" w:hAnsi="Times New Roman" w:cs="Times New Roman"/>
          <w:color w:val="000000"/>
          <w:sz w:val="20"/>
        </w:rPr>
        <w:t>05) (see Table 2).</w:t>
      </w:r>
    </w:p>
    <w:p w14:paraId="0C7B0DEE" w14:textId="1A9D6C88" w:rsidR="00627698" w:rsidRPr="00821F0A" w:rsidRDefault="00627698" w:rsidP="008745D5">
      <w:pPr>
        <w:overflowPunct w:val="0"/>
        <w:autoSpaceDE w:val="0"/>
        <w:autoSpaceDN w:val="0"/>
        <w:adjustRightInd w:val="0"/>
        <w:spacing w:after="0"/>
        <w:jc w:val="center"/>
        <w:textAlignment w:val="baseline"/>
        <w:rPr>
          <w:rFonts w:ascii="Times New Roman" w:hAnsi="Times New Roman" w:cs="Times New Roman"/>
          <w:b/>
          <w:sz w:val="18"/>
          <w:szCs w:val="18"/>
          <w:lang w:eastAsia="de-DE"/>
        </w:rPr>
      </w:pPr>
    </w:p>
    <w:p w14:paraId="7D80BE05" w14:textId="75322418" w:rsidR="00F57755" w:rsidRPr="00821F0A" w:rsidRDefault="00F57755"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821F0A">
        <w:rPr>
          <w:rFonts w:ascii="Times New Roman" w:hAnsi="Times New Roman" w:cs="Times New Roman"/>
          <w:b/>
          <w:sz w:val="20"/>
          <w:szCs w:val="20"/>
          <w:lang w:eastAsia="de-DE"/>
        </w:rPr>
        <w:t>TABLE 2.</w:t>
      </w:r>
      <w:r w:rsidRPr="00821F0A">
        <w:rPr>
          <w:rFonts w:ascii="Times New Roman" w:hAnsi="Times New Roman" w:cs="Times New Roman"/>
          <w:sz w:val="20"/>
          <w:szCs w:val="20"/>
          <w:lang w:eastAsia="de-DE"/>
        </w:rPr>
        <w:t xml:space="preserve"> </w:t>
      </w:r>
      <w:r w:rsidR="005140A6" w:rsidRPr="00821F0A">
        <w:rPr>
          <w:rFonts w:ascii="Times New Roman" w:hAnsi="Times New Roman" w:cs="Times New Roman"/>
          <w:sz w:val="20"/>
          <w:szCs w:val="20"/>
          <w:lang w:eastAsia="de-DE"/>
        </w:rPr>
        <w:t>Differences in the interrelationships among mechanisms for forming pedagogical competence according to the Mann–Whitney U test (n = 162)</w:t>
      </w:r>
    </w:p>
    <w:tbl>
      <w:tblPr>
        <w:tblStyle w:val="a3"/>
        <w:tblW w:w="0" w:type="auto"/>
        <w:jc w:val="center"/>
        <w:tblLook w:val="04A0" w:firstRow="1" w:lastRow="0" w:firstColumn="1" w:lastColumn="0" w:noHBand="0" w:noVBand="1"/>
      </w:tblPr>
      <w:tblGrid>
        <w:gridCol w:w="2409"/>
        <w:gridCol w:w="1414"/>
        <w:gridCol w:w="1275"/>
        <w:gridCol w:w="993"/>
        <w:gridCol w:w="992"/>
        <w:gridCol w:w="1841"/>
      </w:tblGrid>
      <w:tr w:rsidR="003D05F6" w:rsidRPr="00821F0A" w14:paraId="6E95C0BD" w14:textId="77777777" w:rsidTr="003D05F6">
        <w:trPr>
          <w:trHeight w:val="672"/>
          <w:jc w:val="center"/>
        </w:trPr>
        <w:tc>
          <w:tcPr>
            <w:tcW w:w="2409" w:type="dxa"/>
            <w:vAlign w:val="center"/>
          </w:tcPr>
          <w:p w14:paraId="198772DC" w14:textId="77777777" w:rsidR="005140A6" w:rsidRPr="00821F0A" w:rsidRDefault="005140A6" w:rsidP="00431176">
            <w:pPr>
              <w:pStyle w:val="a8"/>
              <w:kinsoku w:val="0"/>
              <w:overflowPunct w:val="0"/>
              <w:ind w:right="-1"/>
              <w:jc w:val="center"/>
              <w:rPr>
                <w:sz w:val="18"/>
                <w:szCs w:val="18"/>
                <w:lang w:val="uz-Latn-UZ"/>
              </w:rPr>
            </w:pPr>
            <w:r w:rsidRPr="00821F0A">
              <w:rPr>
                <w:sz w:val="18"/>
                <w:szCs w:val="18"/>
                <w:lang w:val="uz-Latn-UZ"/>
              </w:rPr>
              <w:t>Mechanisms for Forming Pedagogical Competence</w:t>
            </w:r>
          </w:p>
        </w:tc>
        <w:tc>
          <w:tcPr>
            <w:tcW w:w="1414" w:type="dxa"/>
            <w:vAlign w:val="center"/>
          </w:tcPr>
          <w:p w14:paraId="7C4E29DA" w14:textId="77777777" w:rsidR="005140A6" w:rsidRPr="00821F0A" w:rsidRDefault="005140A6" w:rsidP="00431176">
            <w:pPr>
              <w:pStyle w:val="a8"/>
              <w:kinsoku w:val="0"/>
              <w:overflowPunct w:val="0"/>
              <w:ind w:right="-1"/>
              <w:jc w:val="center"/>
              <w:rPr>
                <w:sz w:val="18"/>
                <w:szCs w:val="18"/>
                <w:lang w:val="uz-Latn-UZ"/>
              </w:rPr>
            </w:pPr>
            <w:r w:rsidRPr="00821F0A">
              <w:rPr>
                <w:rStyle w:val="a7"/>
                <w:b w:val="0"/>
                <w:bCs w:val="0"/>
                <w:sz w:val="18"/>
                <w:szCs w:val="18"/>
                <w:lang w:val="uz-Latn-UZ"/>
              </w:rPr>
              <w:t>Experimental Group (n = 81)</w:t>
            </w:r>
          </w:p>
        </w:tc>
        <w:tc>
          <w:tcPr>
            <w:tcW w:w="1275" w:type="dxa"/>
            <w:vAlign w:val="center"/>
          </w:tcPr>
          <w:p w14:paraId="5DA8786B" w14:textId="77777777" w:rsidR="005140A6" w:rsidRPr="00821F0A" w:rsidRDefault="005140A6" w:rsidP="00431176">
            <w:pPr>
              <w:pStyle w:val="a8"/>
              <w:kinsoku w:val="0"/>
              <w:overflowPunct w:val="0"/>
              <w:ind w:right="-1"/>
              <w:jc w:val="center"/>
              <w:rPr>
                <w:rStyle w:val="a7"/>
                <w:b w:val="0"/>
                <w:bCs w:val="0"/>
                <w:sz w:val="18"/>
                <w:szCs w:val="18"/>
                <w:lang w:val="uz-Latn-UZ"/>
              </w:rPr>
            </w:pPr>
            <w:r w:rsidRPr="00821F0A">
              <w:rPr>
                <w:rStyle w:val="a7"/>
                <w:b w:val="0"/>
                <w:bCs w:val="0"/>
                <w:sz w:val="18"/>
                <w:szCs w:val="18"/>
                <w:lang w:val="uz-Latn-UZ"/>
              </w:rPr>
              <w:t xml:space="preserve">Control Group </w:t>
            </w:r>
          </w:p>
          <w:p w14:paraId="23209430" w14:textId="77777777" w:rsidR="005140A6" w:rsidRPr="00821F0A" w:rsidRDefault="005140A6" w:rsidP="00431176">
            <w:pPr>
              <w:pStyle w:val="a8"/>
              <w:kinsoku w:val="0"/>
              <w:overflowPunct w:val="0"/>
              <w:ind w:right="-1"/>
              <w:jc w:val="center"/>
              <w:rPr>
                <w:sz w:val="18"/>
                <w:szCs w:val="18"/>
                <w:lang w:val="uz-Latn-UZ"/>
              </w:rPr>
            </w:pPr>
            <w:r w:rsidRPr="00821F0A">
              <w:rPr>
                <w:rStyle w:val="a7"/>
                <w:b w:val="0"/>
                <w:bCs w:val="0"/>
                <w:sz w:val="18"/>
                <w:szCs w:val="18"/>
                <w:lang w:val="uz-Latn-UZ"/>
              </w:rPr>
              <w:t>(n = 82)</w:t>
            </w:r>
          </w:p>
        </w:tc>
        <w:tc>
          <w:tcPr>
            <w:tcW w:w="993" w:type="dxa"/>
            <w:vAlign w:val="center"/>
          </w:tcPr>
          <w:p w14:paraId="33E1BDD2" w14:textId="77777777" w:rsidR="005140A6" w:rsidRPr="00821F0A" w:rsidRDefault="005140A6" w:rsidP="00431176">
            <w:pPr>
              <w:pStyle w:val="a8"/>
              <w:kinsoku w:val="0"/>
              <w:overflowPunct w:val="0"/>
              <w:ind w:right="-1"/>
              <w:jc w:val="center"/>
              <w:rPr>
                <w:sz w:val="18"/>
                <w:szCs w:val="18"/>
                <w:lang w:val="uz-Latn-UZ"/>
              </w:rPr>
            </w:pPr>
            <w:r w:rsidRPr="00821F0A">
              <w:rPr>
                <w:rStyle w:val="texhtml"/>
                <w:color w:val="202122"/>
                <w:sz w:val="18"/>
                <w:szCs w:val="18"/>
                <w:shd w:val="clear" w:color="auto" w:fill="FFFFFF"/>
                <w:lang w:val="uz-Latn-UZ"/>
              </w:rPr>
              <w:t>χ</w:t>
            </w:r>
            <w:r w:rsidRPr="00821F0A">
              <w:rPr>
                <w:rStyle w:val="texhtml"/>
                <w:color w:val="202122"/>
                <w:sz w:val="18"/>
                <w:szCs w:val="18"/>
                <w:shd w:val="clear" w:color="auto" w:fill="FFFFFF"/>
                <w:vertAlign w:val="superscript"/>
                <w:lang w:val="uz-Latn-UZ"/>
              </w:rPr>
              <w:t xml:space="preserve">2 </w:t>
            </w:r>
            <w:r w:rsidRPr="00821F0A">
              <w:rPr>
                <w:rStyle w:val="texhtml"/>
                <w:color w:val="202122"/>
                <w:sz w:val="18"/>
                <w:szCs w:val="18"/>
                <w:shd w:val="clear" w:color="auto" w:fill="FFFFFF"/>
                <w:lang w:val="uz-Latn-UZ"/>
              </w:rPr>
              <w:t xml:space="preserve">value </w:t>
            </w:r>
          </w:p>
        </w:tc>
        <w:tc>
          <w:tcPr>
            <w:tcW w:w="992" w:type="dxa"/>
            <w:vAlign w:val="center"/>
          </w:tcPr>
          <w:p w14:paraId="763BE698" w14:textId="77777777" w:rsidR="005140A6" w:rsidRPr="00821F0A" w:rsidRDefault="005140A6" w:rsidP="00431176">
            <w:pPr>
              <w:pStyle w:val="a8"/>
              <w:kinsoku w:val="0"/>
              <w:overflowPunct w:val="0"/>
              <w:ind w:right="-1"/>
              <w:jc w:val="center"/>
              <w:rPr>
                <w:sz w:val="18"/>
                <w:szCs w:val="18"/>
                <w:lang w:val="uz-Latn-UZ"/>
              </w:rPr>
            </w:pPr>
            <w:r w:rsidRPr="00821F0A">
              <w:rPr>
                <w:sz w:val="18"/>
                <w:szCs w:val="18"/>
                <w:lang w:val="uz-Latn-UZ"/>
              </w:rPr>
              <w:t>P value</w:t>
            </w:r>
          </w:p>
        </w:tc>
        <w:tc>
          <w:tcPr>
            <w:tcW w:w="1841" w:type="dxa"/>
            <w:vAlign w:val="center"/>
          </w:tcPr>
          <w:p w14:paraId="730A5618" w14:textId="77777777" w:rsidR="005140A6" w:rsidRPr="00821F0A" w:rsidRDefault="005140A6" w:rsidP="00431176">
            <w:pPr>
              <w:pStyle w:val="a8"/>
              <w:kinsoku w:val="0"/>
              <w:overflowPunct w:val="0"/>
              <w:ind w:right="-1"/>
              <w:jc w:val="center"/>
              <w:rPr>
                <w:sz w:val="18"/>
                <w:szCs w:val="18"/>
                <w:lang w:val="uz-Latn-UZ"/>
              </w:rPr>
            </w:pPr>
            <w:r w:rsidRPr="00821F0A">
              <w:rPr>
                <w:sz w:val="18"/>
                <w:szCs w:val="18"/>
                <w:lang w:val="uz-Latn-UZ"/>
              </w:rPr>
              <w:t>Statistical difference</w:t>
            </w:r>
          </w:p>
        </w:tc>
      </w:tr>
      <w:tr w:rsidR="003D05F6" w:rsidRPr="00821F0A" w14:paraId="596FC2B5" w14:textId="77777777" w:rsidTr="003D05F6">
        <w:trPr>
          <w:trHeight w:val="554"/>
          <w:jc w:val="center"/>
        </w:trPr>
        <w:tc>
          <w:tcPr>
            <w:tcW w:w="2409" w:type="dxa"/>
            <w:vAlign w:val="center"/>
          </w:tcPr>
          <w:p w14:paraId="021013C4" w14:textId="7777777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Organizational–Pedagogical</w:t>
            </w:r>
          </w:p>
        </w:tc>
        <w:tc>
          <w:tcPr>
            <w:tcW w:w="1414" w:type="dxa"/>
            <w:vAlign w:val="center"/>
          </w:tcPr>
          <w:p w14:paraId="3DD2F87B" w14:textId="6D6CD7C5"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65,7</w:t>
            </w:r>
          </w:p>
        </w:tc>
        <w:tc>
          <w:tcPr>
            <w:tcW w:w="1275" w:type="dxa"/>
            <w:vAlign w:val="center"/>
          </w:tcPr>
          <w:p w14:paraId="61935BF4" w14:textId="0D14EDC4"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47,3</w:t>
            </w:r>
          </w:p>
        </w:tc>
        <w:tc>
          <w:tcPr>
            <w:tcW w:w="993" w:type="dxa"/>
            <w:vAlign w:val="center"/>
          </w:tcPr>
          <w:p w14:paraId="6D3B853E" w14:textId="59EA1294"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1032,0</w:t>
            </w:r>
          </w:p>
        </w:tc>
        <w:tc>
          <w:tcPr>
            <w:tcW w:w="992" w:type="dxa"/>
            <w:vAlign w:val="center"/>
          </w:tcPr>
          <w:p w14:paraId="1F73810E" w14:textId="753FB2BC"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0,001**</w:t>
            </w:r>
          </w:p>
        </w:tc>
        <w:tc>
          <w:tcPr>
            <w:tcW w:w="1841" w:type="dxa"/>
            <w:vAlign w:val="center"/>
          </w:tcPr>
          <w:p w14:paraId="2D2AAE5C" w14:textId="7777777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Statistically significant difference</w:t>
            </w:r>
          </w:p>
        </w:tc>
      </w:tr>
      <w:tr w:rsidR="003D05F6" w:rsidRPr="00821F0A" w14:paraId="4F3D3AEB" w14:textId="77777777" w:rsidTr="003D05F6">
        <w:trPr>
          <w:jc w:val="center"/>
        </w:trPr>
        <w:tc>
          <w:tcPr>
            <w:tcW w:w="2409" w:type="dxa"/>
            <w:vAlign w:val="center"/>
          </w:tcPr>
          <w:p w14:paraId="2F8D77F1" w14:textId="7777777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Functional–edagogical</w:t>
            </w:r>
          </w:p>
        </w:tc>
        <w:tc>
          <w:tcPr>
            <w:tcW w:w="1414" w:type="dxa"/>
            <w:vAlign w:val="center"/>
          </w:tcPr>
          <w:p w14:paraId="613F1863" w14:textId="742EFDE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70,1</w:t>
            </w:r>
          </w:p>
        </w:tc>
        <w:tc>
          <w:tcPr>
            <w:tcW w:w="1275" w:type="dxa"/>
            <w:vAlign w:val="center"/>
          </w:tcPr>
          <w:p w14:paraId="4C9784E0" w14:textId="4282AF65"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43,9</w:t>
            </w:r>
          </w:p>
        </w:tc>
        <w:tc>
          <w:tcPr>
            <w:tcW w:w="993" w:type="dxa"/>
            <w:vAlign w:val="center"/>
          </w:tcPr>
          <w:p w14:paraId="6BD16954" w14:textId="02344F4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950,5</w:t>
            </w:r>
          </w:p>
        </w:tc>
        <w:tc>
          <w:tcPr>
            <w:tcW w:w="992" w:type="dxa"/>
            <w:vAlign w:val="center"/>
          </w:tcPr>
          <w:p w14:paraId="5BC2A131" w14:textId="74E22E18"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0,001*</w:t>
            </w:r>
          </w:p>
        </w:tc>
        <w:tc>
          <w:tcPr>
            <w:tcW w:w="1841" w:type="dxa"/>
            <w:vAlign w:val="center"/>
          </w:tcPr>
          <w:p w14:paraId="54AEC15F" w14:textId="7777777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Statistically significant difference</w:t>
            </w:r>
          </w:p>
        </w:tc>
      </w:tr>
      <w:tr w:rsidR="003D05F6" w:rsidRPr="00821F0A" w14:paraId="7E3F11C2" w14:textId="77777777" w:rsidTr="003D05F6">
        <w:trPr>
          <w:jc w:val="center"/>
        </w:trPr>
        <w:tc>
          <w:tcPr>
            <w:tcW w:w="2409" w:type="dxa"/>
            <w:vAlign w:val="center"/>
          </w:tcPr>
          <w:p w14:paraId="7B0A284D" w14:textId="7777777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Pedagogical-Integration</w:t>
            </w:r>
          </w:p>
        </w:tc>
        <w:tc>
          <w:tcPr>
            <w:tcW w:w="1414" w:type="dxa"/>
            <w:vAlign w:val="center"/>
          </w:tcPr>
          <w:p w14:paraId="4FB9177F" w14:textId="3A1D9AF9"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68,4</w:t>
            </w:r>
          </w:p>
        </w:tc>
        <w:tc>
          <w:tcPr>
            <w:tcW w:w="1275" w:type="dxa"/>
            <w:vAlign w:val="center"/>
          </w:tcPr>
          <w:p w14:paraId="0AC730FE" w14:textId="5DED03D2"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45,6</w:t>
            </w:r>
          </w:p>
        </w:tc>
        <w:tc>
          <w:tcPr>
            <w:tcW w:w="993" w:type="dxa"/>
            <w:vAlign w:val="center"/>
          </w:tcPr>
          <w:p w14:paraId="16AF2930" w14:textId="316E26EF"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978,3</w:t>
            </w:r>
          </w:p>
        </w:tc>
        <w:tc>
          <w:tcPr>
            <w:tcW w:w="992" w:type="dxa"/>
            <w:vAlign w:val="center"/>
          </w:tcPr>
          <w:p w14:paraId="58CBD0A8" w14:textId="79D7EAF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0,001**</w:t>
            </w:r>
          </w:p>
        </w:tc>
        <w:tc>
          <w:tcPr>
            <w:tcW w:w="1841" w:type="dxa"/>
            <w:vAlign w:val="center"/>
          </w:tcPr>
          <w:p w14:paraId="1E109C0B" w14:textId="77777777" w:rsidR="005140A6" w:rsidRPr="00821F0A" w:rsidRDefault="005140A6" w:rsidP="005140A6">
            <w:pPr>
              <w:pStyle w:val="a8"/>
              <w:kinsoku w:val="0"/>
              <w:overflowPunct w:val="0"/>
              <w:ind w:right="-1"/>
              <w:jc w:val="center"/>
              <w:rPr>
                <w:sz w:val="18"/>
                <w:szCs w:val="18"/>
                <w:lang w:val="uz-Latn-UZ"/>
              </w:rPr>
            </w:pPr>
            <w:r w:rsidRPr="00821F0A">
              <w:rPr>
                <w:sz w:val="18"/>
                <w:szCs w:val="18"/>
                <w:lang w:val="uz-Latn-UZ"/>
              </w:rPr>
              <w:t>Statistically significant difference</w:t>
            </w:r>
          </w:p>
        </w:tc>
      </w:tr>
      <w:tr w:rsidR="005140A6" w:rsidRPr="00821F0A" w14:paraId="13BD0419" w14:textId="77777777" w:rsidTr="003D05F6">
        <w:trPr>
          <w:jc w:val="center"/>
        </w:trPr>
        <w:tc>
          <w:tcPr>
            <w:tcW w:w="8924" w:type="dxa"/>
            <w:gridSpan w:val="6"/>
            <w:vAlign w:val="center"/>
          </w:tcPr>
          <w:p w14:paraId="54992F6B" w14:textId="5F125F16" w:rsidR="005140A6" w:rsidRPr="00821F0A" w:rsidRDefault="005140A6" w:rsidP="00431176">
            <w:pPr>
              <w:pStyle w:val="a8"/>
              <w:kinsoku w:val="0"/>
              <w:overflowPunct w:val="0"/>
              <w:ind w:right="-1"/>
              <w:jc w:val="center"/>
              <w:rPr>
                <w:sz w:val="18"/>
                <w:szCs w:val="18"/>
                <w:lang w:val="uz-Latn-UZ"/>
              </w:rPr>
            </w:pPr>
            <w:r w:rsidRPr="00821F0A">
              <w:rPr>
                <w:sz w:val="18"/>
                <w:szCs w:val="18"/>
                <w:lang w:val="uz-Latn-UZ"/>
              </w:rPr>
              <w:t>Note: * p≤0,05; ** P&lt;0,001</w:t>
            </w:r>
          </w:p>
        </w:tc>
      </w:tr>
    </w:tbl>
    <w:p w14:paraId="1F9FA030" w14:textId="3B301AB5" w:rsidR="005140A6" w:rsidRPr="00821F0A" w:rsidRDefault="005140A6"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284"/>
        <w:jc w:val="both"/>
        <w:rPr>
          <w:rFonts w:ascii="Times New Roman" w:hAnsi="Times New Roman" w:cs="Times New Roman"/>
          <w:sz w:val="20"/>
          <w:szCs w:val="20"/>
          <w:lang w:eastAsia="de-DE"/>
        </w:rPr>
      </w:pPr>
      <w:r w:rsidRPr="00821F0A">
        <w:rPr>
          <w:rFonts w:ascii="Times New Roman" w:hAnsi="Times New Roman" w:cs="Times New Roman"/>
          <w:sz w:val="20"/>
          <w:szCs w:val="20"/>
          <w:lang w:eastAsia="de-DE"/>
        </w:rPr>
        <w:t>Thus, the results of the Mann–Whitney U test and the low p-values confirm that these mechanisms were significantly more effective for the experimental group. In particular, the pedagogical approaches applied in the experimental group—namely, the training program and instructional methods—enhanced the effectiveness of the mechanisms. This allows us to conclude that the statistically significant differences observed across the mechanisms indicate a higher level of effectiveness in the formation of pedagogical competence among participants in the experimental group.</w:t>
      </w:r>
    </w:p>
    <w:p w14:paraId="5B183D3F" w14:textId="77777777" w:rsidR="003D05F6" w:rsidRPr="00821F0A" w:rsidRDefault="003D05F6"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1AD4B9D8" w14:textId="3709EB78" w:rsidR="005140A6" w:rsidRPr="00821F0A" w:rsidRDefault="005140A6" w:rsidP="003D05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821F0A">
        <w:rPr>
          <w:rFonts w:ascii="Times New Roman" w:hAnsi="Times New Roman" w:cs="Times New Roman"/>
          <w:b/>
          <w:sz w:val="20"/>
          <w:szCs w:val="20"/>
          <w:lang w:eastAsia="de-DE"/>
        </w:rPr>
        <w:t>TABLE 3.</w:t>
      </w:r>
      <w:r w:rsidRPr="00821F0A">
        <w:rPr>
          <w:rFonts w:ascii="Times New Roman" w:hAnsi="Times New Roman" w:cs="Times New Roman"/>
          <w:sz w:val="20"/>
          <w:szCs w:val="20"/>
          <w:lang w:eastAsia="de-DE"/>
        </w:rPr>
        <w:t xml:space="preserve"> Percentage analysis of the growth dynamics of pedagogical competence levels after the experimental intervention (n = 162)</w:t>
      </w:r>
    </w:p>
    <w:tbl>
      <w:tblPr>
        <w:tblStyle w:val="a3"/>
        <w:tblW w:w="0" w:type="auto"/>
        <w:jc w:val="center"/>
        <w:tblLook w:val="04A0" w:firstRow="1" w:lastRow="0" w:firstColumn="1" w:lastColumn="0" w:noHBand="0" w:noVBand="1"/>
      </w:tblPr>
      <w:tblGrid>
        <w:gridCol w:w="2926"/>
        <w:gridCol w:w="1894"/>
        <w:gridCol w:w="1843"/>
        <w:gridCol w:w="1984"/>
      </w:tblGrid>
      <w:tr w:rsidR="00724AF8" w:rsidRPr="00821F0A" w14:paraId="29837320" w14:textId="77777777" w:rsidTr="003D05F6">
        <w:trPr>
          <w:trHeight w:val="672"/>
          <w:jc w:val="center"/>
        </w:trPr>
        <w:tc>
          <w:tcPr>
            <w:tcW w:w="2926" w:type="dxa"/>
            <w:vAlign w:val="center"/>
          </w:tcPr>
          <w:p w14:paraId="6DEA5C39" w14:textId="29D79993" w:rsidR="00724AF8" w:rsidRPr="00821F0A" w:rsidRDefault="00724AF8" w:rsidP="00431176">
            <w:pPr>
              <w:pStyle w:val="a8"/>
              <w:kinsoku w:val="0"/>
              <w:overflowPunct w:val="0"/>
              <w:ind w:right="-1"/>
              <w:jc w:val="center"/>
              <w:rPr>
                <w:sz w:val="18"/>
                <w:szCs w:val="18"/>
                <w:lang w:val="uz-Latn-UZ"/>
              </w:rPr>
            </w:pPr>
            <w:r w:rsidRPr="00821F0A">
              <w:rPr>
                <w:sz w:val="18"/>
                <w:szCs w:val="18"/>
                <w:lang w:val="uz-Latn-UZ"/>
              </w:rPr>
              <w:t>Mechanisms for forming Pedagogical Competence</w:t>
            </w:r>
          </w:p>
        </w:tc>
        <w:tc>
          <w:tcPr>
            <w:tcW w:w="1894" w:type="dxa"/>
            <w:vAlign w:val="center"/>
          </w:tcPr>
          <w:p w14:paraId="52E0DEDB" w14:textId="79FFB53B" w:rsidR="00724AF8" w:rsidRPr="00821F0A" w:rsidRDefault="00724AF8" w:rsidP="00431176">
            <w:pPr>
              <w:pStyle w:val="a8"/>
              <w:kinsoku w:val="0"/>
              <w:overflowPunct w:val="0"/>
              <w:ind w:right="-1"/>
              <w:jc w:val="center"/>
              <w:rPr>
                <w:sz w:val="18"/>
                <w:szCs w:val="18"/>
                <w:lang w:val="uz-Latn-UZ"/>
              </w:rPr>
            </w:pPr>
            <w:r w:rsidRPr="00821F0A">
              <w:rPr>
                <w:rStyle w:val="a7"/>
                <w:b w:val="0"/>
                <w:bCs w:val="0"/>
                <w:sz w:val="18"/>
                <w:szCs w:val="18"/>
                <w:lang w:val="uz-Latn-UZ"/>
              </w:rPr>
              <w:t>Experimental group (n = 81)</w:t>
            </w:r>
          </w:p>
        </w:tc>
        <w:tc>
          <w:tcPr>
            <w:tcW w:w="1843" w:type="dxa"/>
            <w:vAlign w:val="center"/>
          </w:tcPr>
          <w:p w14:paraId="17D263FC" w14:textId="47AAE93E" w:rsidR="00724AF8" w:rsidRPr="00821F0A" w:rsidRDefault="00724AF8" w:rsidP="00431176">
            <w:pPr>
              <w:pStyle w:val="a8"/>
              <w:kinsoku w:val="0"/>
              <w:overflowPunct w:val="0"/>
              <w:ind w:right="-1"/>
              <w:jc w:val="center"/>
              <w:rPr>
                <w:rStyle w:val="a7"/>
                <w:b w:val="0"/>
                <w:bCs w:val="0"/>
                <w:sz w:val="18"/>
                <w:szCs w:val="18"/>
                <w:lang w:val="uz-Latn-UZ"/>
              </w:rPr>
            </w:pPr>
            <w:r w:rsidRPr="00821F0A">
              <w:rPr>
                <w:rStyle w:val="a7"/>
                <w:b w:val="0"/>
                <w:bCs w:val="0"/>
                <w:sz w:val="18"/>
                <w:szCs w:val="18"/>
                <w:lang w:val="uz-Latn-UZ"/>
              </w:rPr>
              <w:t xml:space="preserve">Control group </w:t>
            </w:r>
          </w:p>
          <w:p w14:paraId="7D5267A6" w14:textId="77777777" w:rsidR="00724AF8" w:rsidRPr="00821F0A" w:rsidRDefault="00724AF8" w:rsidP="00431176">
            <w:pPr>
              <w:pStyle w:val="a8"/>
              <w:kinsoku w:val="0"/>
              <w:overflowPunct w:val="0"/>
              <w:ind w:right="-1"/>
              <w:jc w:val="center"/>
              <w:rPr>
                <w:sz w:val="18"/>
                <w:szCs w:val="18"/>
                <w:lang w:val="uz-Latn-UZ"/>
              </w:rPr>
            </w:pPr>
            <w:r w:rsidRPr="00821F0A">
              <w:rPr>
                <w:rStyle w:val="a7"/>
                <w:b w:val="0"/>
                <w:bCs w:val="0"/>
                <w:sz w:val="18"/>
                <w:szCs w:val="18"/>
                <w:lang w:val="uz-Latn-UZ"/>
              </w:rPr>
              <w:t>(n = 82)</w:t>
            </w:r>
          </w:p>
        </w:tc>
        <w:tc>
          <w:tcPr>
            <w:tcW w:w="1984" w:type="dxa"/>
            <w:vAlign w:val="center"/>
          </w:tcPr>
          <w:p w14:paraId="5D5F58D8" w14:textId="5265CAC9" w:rsidR="00724AF8" w:rsidRPr="00821F0A" w:rsidRDefault="00724AF8" w:rsidP="00431176">
            <w:pPr>
              <w:pStyle w:val="a8"/>
              <w:kinsoku w:val="0"/>
              <w:overflowPunct w:val="0"/>
              <w:ind w:right="-1"/>
              <w:jc w:val="center"/>
              <w:rPr>
                <w:sz w:val="18"/>
                <w:szCs w:val="18"/>
                <w:lang w:val="uz-Latn-UZ"/>
              </w:rPr>
            </w:pPr>
            <w:r w:rsidRPr="00821F0A">
              <w:rPr>
                <w:rStyle w:val="texhtml"/>
                <w:color w:val="202122"/>
                <w:sz w:val="18"/>
                <w:szCs w:val="18"/>
                <w:shd w:val="clear" w:color="auto" w:fill="FFFFFF"/>
                <w:lang w:val="uz-Latn-UZ"/>
              </w:rPr>
              <w:t>Growth Dynamics (%)</w:t>
            </w:r>
          </w:p>
        </w:tc>
      </w:tr>
      <w:tr w:rsidR="00724AF8" w:rsidRPr="00821F0A" w14:paraId="462558BA" w14:textId="77777777" w:rsidTr="003D05F6">
        <w:trPr>
          <w:trHeight w:val="554"/>
          <w:jc w:val="center"/>
        </w:trPr>
        <w:tc>
          <w:tcPr>
            <w:tcW w:w="2926" w:type="dxa"/>
            <w:vAlign w:val="center"/>
          </w:tcPr>
          <w:p w14:paraId="32E451B7" w14:textId="480C966E"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Organizational–Pedagogical effectiveness</w:t>
            </w:r>
          </w:p>
        </w:tc>
        <w:tc>
          <w:tcPr>
            <w:tcW w:w="1894" w:type="dxa"/>
            <w:vAlign w:val="center"/>
          </w:tcPr>
          <w:p w14:paraId="7C1FB111" w14:textId="17E91598"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84,20</w:t>
            </w:r>
          </w:p>
        </w:tc>
        <w:tc>
          <w:tcPr>
            <w:tcW w:w="1843" w:type="dxa"/>
            <w:vAlign w:val="center"/>
          </w:tcPr>
          <w:p w14:paraId="66D8E657" w14:textId="067D6B93"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70,12</w:t>
            </w:r>
          </w:p>
        </w:tc>
        <w:tc>
          <w:tcPr>
            <w:tcW w:w="1984" w:type="dxa"/>
            <w:vAlign w:val="center"/>
          </w:tcPr>
          <w:p w14:paraId="2A09798A" w14:textId="6393F37E" w:rsidR="00724AF8" w:rsidRPr="00821F0A" w:rsidRDefault="00724AF8" w:rsidP="005140A6">
            <w:pPr>
              <w:pStyle w:val="a8"/>
              <w:kinsoku w:val="0"/>
              <w:overflowPunct w:val="0"/>
              <w:ind w:right="-1"/>
              <w:jc w:val="center"/>
              <w:rPr>
                <w:sz w:val="18"/>
                <w:szCs w:val="18"/>
                <w:lang w:val="uz-Latn-UZ"/>
              </w:rPr>
            </w:pPr>
            <w:r w:rsidRPr="00821F0A">
              <w:rPr>
                <w:lang w:val="uz-Latn-UZ"/>
              </w:rPr>
              <w:t>+14,08</w:t>
            </w:r>
          </w:p>
        </w:tc>
      </w:tr>
      <w:tr w:rsidR="00724AF8" w:rsidRPr="00821F0A" w14:paraId="748B9541" w14:textId="77777777" w:rsidTr="003D05F6">
        <w:trPr>
          <w:jc w:val="center"/>
        </w:trPr>
        <w:tc>
          <w:tcPr>
            <w:tcW w:w="2926" w:type="dxa"/>
            <w:vAlign w:val="center"/>
          </w:tcPr>
          <w:p w14:paraId="21C9A69F" w14:textId="06FEE757"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Functional–edagogical effectiveness</w:t>
            </w:r>
          </w:p>
        </w:tc>
        <w:tc>
          <w:tcPr>
            <w:tcW w:w="1894" w:type="dxa"/>
            <w:vAlign w:val="center"/>
          </w:tcPr>
          <w:p w14:paraId="5009ED70" w14:textId="70CA5B9E"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88,64</w:t>
            </w:r>
          </w:p>
        </w:tc>
        <w:tc>
          <w:tcPr>
            <w:tcW w:w="1843" w:type="dxa"/>
            <w:vAlign w:val="center"/>
          </w:tcPr>
          <w:p w14:paraId="27E6CD10" w14:textId="2AC10C8F"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73,29</w:t>
            </w:r>
          </w:p>
        </w:tc>
        <w:tc>
          <w:tcPr>
            <w:tcW w:w="1984" w:type="dxa"/>
            <w:vAlign w:val="center"/>
          </w:tcPr>
          <w:p w14:paraId="5C559D73" w14:textId="6705D8C4" w:rsidR="00724AF8" w:rsidRPr="00821F0A" w:rsidRDefault="00724AF8" w:rsidP="005140A6">
            <w:pPr>
              <w:pStyle w:val="a8"/>
              <w:kinsoku w:val="0"/>
              <w:overflowPunct w:val="0"/>
              <w:ind w:right="-1"/>
              <w:jc w:val="center"/>
              <w:rPr>
                <w:sz w:val="18"/>
                <w:szCs w:val="18"/>
                <w:lang w:val="uz-Latn-UZ"/>
              </w:rPr>
            </w:pPr>
            <w:r w:rsidRPr="00821F0A">
              <w:rPr>
                <w:lang w:val="uz-Latn-UZ"/>
              </w:rPr>
              <w:t>+15,35</w:t>
            </w:r>
          </w:p>
        </w:tc>
      </w:tr>
      <w:tr w:rsidR="00724AF8" w:rsidRPr="00821F0A" w14:paraId="086B571B" w14:textId="77777777" w:rsidTr="003D05F6">
        <w:trPr>
          <w:jc w:val="center"/>
        </w:trPr>
        <w:tc>
          <w:tcPr>
            <w:tcW w:w="2926" w:type="dxa"/>
            <w:vAlign w:val="center"/>
          </w:tcPr>
          <w:p w14:paraId="29E9DD18" w14:textId="4B0C777C"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Pedagogical-Integration effectiveness</w:t>
            </w:r>
          </w:p>
        </w:tc>
        <w:tc>
          <w:tcPr>
            <w:tcW w:w="1894" w:type="dxa"/>
            <w:vAlign w:val="center"/>
          </w:tcPr>
          <w:p w14:paraId="0BD3AC93" w14:textId="33FBB889"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86,67</w:t>
            </w:r>
          </w:p>
        </w:tc>
        <w:tc>
          <w:tcPr>
            <w:tcW w:w="1843" w:type="dxa"/>
            <w:vAlign w:val="center"/>
          </w:tcPr>
          <w:p w14:paraId="5290487C" w14:textId="1414938C" w:rsidR="00724AF8" w:rsidRPr="00821F0A" w:rsidRDefault="00724AF8" w:rsidP="005140A6">
            <w:pPr>
              <w:pStyle w:val="a8"/>
              <w:kinsoku w:val="0"/>
              <w:overflowPunct w:val="0"/>
              <w:ind w:right="-1"/>
              <w:jc w:val="center"/>
              <w:rPr>
                <w:sz w:val="18"/>
                <w:szCs w:val="18"/>
                <w:lang w:val="uz-Latn-UZ"/>
              </w:rPr>
            </w:pPr>
            <w:r w:rsidRPr="00821F0A">
              <w:rPr>
                <w:sz w:val="18"/>
                <w:szCs w:val="18"/>
                <w:lang w:val="uz-Latn-UZ"/>
              </w:rPr>
              <w:t>71,23</w:t>
            </w:r>
          </w:p>
        </w:tc>
        <w:tc>
          <w:tcPr>
            <w:tcW w:w="1984" w:type="dxa"/>
            <w:vAlign w:val="center"/>
          </w:tcPr>
          <w:p w14:paraId="0439A906" w14:textId="1EE04B82" w:rsidR="00724AF8" w:rsidRPr="00821F0A" w:rsidRDefault="00724AF8" w:rsidP="005140A6">
            <w:pPr>
              <w:pStyle w:val="a8"/>
              <w:kinsoku w:val="0"/>
              <w:overflowPunct w:val="0"/>
              <w:ind w:right="-1"/>
              <w:jc w:val="center"/>
              <w:rPr>
                <w:sz w:val="18"/>
                <w:szCs w:val="18"/>
                <w:lang w:val="uz-Latn-UZ"/>
              </w:rPr>
            </w:pPr>
            <w:r w:rsidRPr="00821F0A">
              <w:rPr>
                <w:lang w:val="uz-Latn-UZ"/>
              </w:rPr>
              <w:t>+15,44</w:t>
            </w:r>
          </w:p>
        </w:tc>
      </w:tr>
    </w:tbl>
    <w:p w14:paraId="3EF07800" w14:textId="4524562C" w:rsidR="008745D5" w:rsidRPr="00821F0A" w:rsidRDefault="00724AF8" w:rsidP="003D05F6">
      <w:pPr>
        <w:spacing w:before="240" w:after="0" w:line="240" w:lineRule="auto"/>
        <w:ind w:firstLine="284"/>
        <w:jc w:val="both"/>
        <w:rPr>
          <w:rFonts w:ascii="Times New Roman" w:hAnsi="Times New Roman" w:cs="Times New Roman"/>
          <w:iCs/>
          <w:color w:val="000000"/>
          <w:sz w:val="20"/>
        </w:rPr>
      </w:pPr>
      <w:r w:rsidRPr="00821F0A">
        <w:rPr>
          <w:rFonts w:ascii="Times New Roman" w:hAnsi="Times New Roman" w:cs="Times New Roman"/>
          <w:iCs/>
          <w:color w:val="000000"/>
          <w:sz w:val="20"/>
        </w:rPr>
        <w:t>According to the results of the experimental study (see Table 1.3), the growth dynamics for the organizational–pedag</w:t>
      </w:r>
      <w:r w:rsidR="001801BA" w:rsidRPr="00821F0A">
        <w:rPr>
          <w:rFonts w:ascii="Times New Roman" w:hAnsi="Times New Roman" w:cs="Times New Roman"/>
          <w:iCs/>
          <w:color w:val="000000"/>
          <w:sz w:val="20"/>
        </w:rPr>
        <w:t>ogical mechanism amounted to 14,</w:t>
      </w:r>
      <w:r w:rsidRPr="00821F0A">
        <w:rPr>
          <w:rFonts w:ascii="Times New Roman" w:hAnsi="Times New Roman" w:cs="Times New Roman"/>
          <w:iCs/>
          <w:color w:val="000000"/>
          <w:sz w:val="20"/>
        </w:rPr>
        <w:t>08%. This finding indicates that effective outcomes were achieved in the experimental group through the improvement of this mechanism.</w:t>
      </w:r>
    </w:p>
    <w:p w14:paraId="2DBF81E6" w14:textId="3B51FDAD" w:rsidR="00724AF8" w:rsidRPr="00821F0A" w:rsidRDefault="00724AF8" w:rsidP="00724AF8">
      <w:pPr>
        <w:spacing w:after="0" w:line="240" w:lineRule="auto"/>
        <w:ind w:firstLine="284"/>
        <w:jc w:val="both"/>
        <w:rPr>
          <w:rFonts w:ascii="Times New Roman" w:hAnsi="Times New Roman" w:cs="Times New Roman"/>
          <w:iCs/>
          <w:color w:val="000000"/>
          <w:sz w:val="20"/>
        </w:rPr>
      </w:pPr>
      <w:r w:rsidRPr="00821F0A">
        <w:rPr>
          <w:rFonts w:ascii="Times New Roman" w:hAnsi="Times New Roman" w:cs="Times New Roman"/>
          <w:iCs/>
          <w:color w:val="000000"/>
          <w:sz w:val="20"/>
        </w:rPr>
        <w:t>As a result of enhancing the functional–pedagogical mechan</w:t>
      </w:r>
      <w:r w:rsidR="001801BA" w:rsidRPr="00821F0A">
        <w:rPr>
          <w:rFonts w:ascii="Times New Roman" w:hAnsi="Times New Roman" w:cs="Times New Roman"/>
          <w:iCs/>
          <w:color w:val="000000"/>
          <w:sz w:val="20"/>
        </w:rPr>
        <w:t>ism, the growth rate reached 15,</w:t>
      </w:r>
      <w:r w:rsidRPr="00821F0A">
        <w:rPr>
          <w:rFonts w:ascii="Times New Roman" w:hAnsi="Times New Roman" w:cs="Times New Roman"/>
          <w:iCs/>
          <w:color w:val="000000"/>
          <w:sz w:val="20"/>
        </w:rPr>
        <w:t>35%. The final outcomes demonstrate that this mechanism significantly improved its practical impact on the formation of pedagogical competence among teachers in the experimental group.</w:t>
      </w:r>
    </w:p>
    <w:p w14:paraId="0D61FB4F" w14:textId="1CE1F2B8" w:rsidR="00724AF8" w:rsidRPr="00821F0A" w:rsidRDefault="00724AF8" w:rsidP="00724AF8">
      <w:pPr>
        <w:spacing w:after="0" w:line="240" w:lineRule="auto"/>
        <w:ind w:firstLine="284"/>
        <w:jc w:val="both"/>
        <w:rPr>
          <w:rFonts w:ascii="Times New Roman" w:hAnsi="Times New Roman" w:cs="Times New Roman"/>
          <w:iCs/>
          <w:color w:val="000000"/>
          <w:sz w:val="20"/>
        </w:rPr>
      </w:pPr>
      <w:r w:rsidRPr="00821F0A">
        <w:rPr>
          <w:rFonts w:ascii="Times New Roman" w:hAnsi="Times New Roman" w:cs="Times New Roman"/>
          <w:iCs/>
          <w:color w:val="000000"/>
          <w:sz w:val="20"/>
        </w:rPr>
        <w:t>Improvement of the pedagogical in</w:t>
      </w:r>
      <w:r w:rsidR="001801BA" w:rsidRPr="00821F0A">
        <w:rPr>
          <w:rFonts w:ascii="Times New Roman" w:hAnsi="Times New Roman" w:cs="Times New Roman"/>
          <w:iCs/>
          <w:color w:val="000000"/>
          <w:sz w:val="20"/>
        </w:rPr>
        <w:t>tegration mechanism led to a 15,</w:t>
      </w:r>
      <w:r w:rsidRPr="00821F0A">
        <w:rPr>
          <w:rFonts w:ascii="Times New Roman" w:hAnsi="Times New Roman" w:cs="Times New Roman"/>
          <w:iCs/>
          <w:color w:val="000000"/>
          <w:sz w:val="20"/>
        </w:rPr>
        <w:t>44% increase in the level of pedagogical competence, confirming that innovative and integrative approaches consistently produce substantial positive changes.</w:t>
      </w:r>
    </w:p>
    <w:p w14:paraId="2B1DB7A8" w14:textId="5493B215" w:rsidR="00724AF8" w:rsidRPr="00821F0A" w:rsidRDefault="00724AF8" w:rsidP="00724AF8">
      <w:pPr>
        <w:spacing w:after="0" w:line="240" w:lineRule="auto"/>
        <w:ind w:firstLine="284"/>
        <w:jc w:val="both"/>
        <w:rPr>
          <w:rFonts w:ascii="Times New Roman" w:hAnsi="Times New Roman" w:cs="Times New Roman"/>
          <w:iCs/>
          <w:color w:val="000000"/>
          <w:sz w:val="20"/>
        </w:rPr>
      </w:pPr>
      <w:r w:rsidRPr="00821F0A">
        <w:rPr>
          <w:rFonts w:ascii="Times New Roman" w:hAnsi="Times New Roman" w:cs="Times New Roman"/>
          <w:iCs/>
          <w:color w:val="000000"/>
          <w:sz w:val="20"/>
        </w:rPr>
        <w:t>The analysis of the results obtained during the experimental phase, particularly the comparative analysis between the experimental and control groups, confirmed the effectiveness of the acmeological approach. In this context, the effectiveness of three key mechanisms was observed:</w:t>
      </w:r>
    </w:p>
    <w:p w14:paraId="4123BB14" w14:textId="4B67FD21" w:rsidR="00724AF8" w:rsidRPr="00821F0A" w:rsidRDefault="00724AF8" w:rsidP="00724AF8">
      <w:pPr>
        <w:pStyle w:val="a4"/>
        <w:numPr>
          <w:ilvl w:val="0"/>
          <w:numId w:val="7"/>
        </w:numPr>
        <w:spacing w:after="0" w:line="240" w:lineRule="auto"/>
        <w:jc w:val="both"/>
        <w:rPr>
          <w:rFonts w:ascii="Times New Roman" w:hAnsi="Times New Roman" w:cs="Times New Roman"/>
          <w:i/>
          <w:color w:val="000000"/>
          <w:sz w:val="20"/>
        </w:rPr>
      </w:pPr>
      <w:r w:rsidRPr="00821F0A">
        <w:rPr>
          <w:rFonts w:ascii="Times New Roman" w:hAnsi="Times New Roman" w:cs="Times New Roman"/>
          <w:i/>
          <w:color w:val="000000"/>
          <w:sz w:val="20"/>
        </w:rPr>
        <w:t>organizational–pedagogical;</w:t>
      </w:r>
    </w:p>
    <w:p w14:paraId="53B00B34" w14:textId="4476D143" w:rsidR="00724AF8" w:rsidRPr="00821F0A" w:rsidRDefault="00724AF8" w:rsidP="00724AF8">
      <w:pPr>
        <w:pStyle w:val="a4"/>
        <w:numPr>
          <w:ilvl w:val="0"/>
          <w:numId w:val="7"/>
        </w:numPr>
        <w:spacing w:after="0" w:line="240" w:lineRule="auto"/>
        <w:jc w:val="both"/>
        <w:rPr>
          <w:rFonts w:ascii="Times New Roman" w:hAnsi="Times New Roman" w:cs="Times New Roman"/>
          <w:i/>
          <w:color w:val="000000"/>
          <w:sz w:val="20"/>
        </w:rPr>
      </w:pPr>
      <w:r w:rsidRPr="00821F0A">
        <w:rPr>
          <w:rFonts w:ascii="Times New Roman" w:hAnsi="Times New Roman" w:cs="Times New Roman"/>
          <w:i/>
          <w:color w:val="000000"/>
          <w:sz w:val="20"/>
        </w:rPr>
        <w:t>functional–pedagogical;</w:t>
      </w:r>
    </w:p>
    <w:p w14:paraId="1D46BE39" w14:textId="1151FF61" w:rsidR="00724AF8" w:rsidRPr="00821F0A" w:rsidRDefault="00724AF8" w:rsidP="00724AF8">
      <w:pPr>
        <w:pStyle w:val="a4"/>
        <w:numPr>
          <w:ilvl w:val="0"/>
          <w:numId w:val="7"/>
        </w:numPr>
        <w:spacing w:after="0" w:line="240" w:lineRule="auto"/>
        <w:jc w:val="both"/>
        <w:rPr>
          <w:rFonts w:ascii="Times New Roman" w:hAnsi="Times New Roman" w:cs="Times New Roman"/>
          <w:i/>
          <w:color w:val="000000"/>
          <w:sz w:val="20"/>
        </w:rPr>
      </w:pPr>
      <w:r w:rsidRPr="00821F0A">
        <w:rPr>
          <w:rFonts w:ascii="Times New Roman" w:hAnsi="Times New Roman" w:cs="Times New Roman"/>
          <w:i/>
          <w:color w:val="000000"/>
          <w:sz w:val="20"/>
        </w:rPr>
        <w:t>pedagogical integration.</w:t>
      </w:r>
    </w:p>
    <w:p w14:paraId="11BEE4F6" w14:textId="44F7EA94" w:rsidR="00724AF8" w:rsidRPr="00821F0A" w:rsidRDefault="00724AF8" w:rsidP="00724AF8">
      <w:pPr>
        <w:spacing w:after="0" w:line="240" w:lineRule="auto"/>
        <w:ind w:firstLine="284"/>
        <w:jc w:val="both"/>
        <w:rPr>
          <w:rFonts w:ascii="Times New Roman" w:hAnsi="Times New Roman" w:cs="Times New Roman"/>
          <w:iCs/>
          <w:color w:val="000000"/>
          <w:sz w:val="20"/>
        </w:rPr>
      </w:pPr>
      <w:r w:rsidRPr="00821F0A">
        <w:rPr>
          <w:rFonts w:ascii="Times New Roman" w:hAnsi="Times New Roman" w:cs="Times New Roman"/>
          <w:iCs/>
          <w:color w:val="000000"/>
          <w:sz w:val="20"/>
        </w:rPr>
        <w:t>The results of the comparative analysis indicate that technologies developed on the basis of the acmeological approach demonstrated high effectiveness in the experimental group, whereas the control group exhibited relatively lower outcomes.</w:t>
      </w:r>
    </w:p>
    <w:p w14:paraId="51D8FA98" w14:textId="5FB95C07" w:rsidR="007D79DC" w:rsidRPr="00821F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21F0A">
        <w:rPr>
          <w:rFonts w:ascii="Times New Roman" w:hAnsi="Times New Roman" w:cs="Times New Roman"/>
          <w:b/>
          <w:sz w:val="24"/>
          <w:szCs w:val="24"/>
        </w:rPr>
        <w:lastRenderedPageBreak/>
        <w:t>CONCLUSIONS</w:t>
      </w:r>
    </w:p>
    <w:p w14:paraId="4DA0FB45" w14:textId="7DCFE04C" w:rsidR="00F53273" w:rsidRPr="00821F0A" w:rsidRDefault="00724AF8"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821F0A">
        <w:rPr>
          <w:rFonts w:ascii="Times New Roman" w:hAnsi="Times New Roman" w:cs="Times New Roman"/>
          <w:sz w:val="20"/>
        </w:rPr>
        <w:t>In our view, the acmeological approach serves as an effective solution for the formation and development of pedagogical competence among physical education specialists. The experimental findings confirm that, when implemented in accordance with contemporary pedagogical requirements, this approach contributes significantly to the enhancement of specialists’ professional qualities. Therefore, the broader application of this methodology in educational practice is considered appropriate.</w:t>
      </w:r>
    </w:p>
    <w:p w14:paraId="160898F1" w14:textId="5CF74981" w:rsidR="00F53273" w:rsidRPr="00821F0A" w:rsidRDefault="00F53273" w:rsidP="00724AF8">
      <w:pPr>
        <w:spacing w:after="0" w:line="240" w:lineRule="auto"/>
        <w:ind w:firstLine="284"/>
        <w:jc w:val="both"/>
        <w:rPr>
          <w:rFonts w:ascii="Times New Roman" w:hAnsi="Times New Roman" w:cs="Times New Roman"/>
          <w:sz w:val="20"/>
        </w:rPr>
      </w:pPr>
      <w:r w:rsidRPr="00821F0A">
        <w:rPr>
          <w:rFonts w:ascii="Times New Roman" w:hAnsi="Times New Roman" w:cs="Times New Roman"/>
          <w:sz w:val="20"/>
          <w:lang w:val="uz-Cyrl-UZ"/>
        </w:rPr>
        <w:t xml:space="preserve">1. </w:t>
      </w:r>
      <w:r w:rsidR="00724AF8" w:rsidRPr="00821F0A">
        <w:rPr>
          <w:rFonts w:ascii="Times New Roman" w:hAnsi="Times New Roman" w:cs="Times New Roman"/>
          <w:sz w:val="20"/>
        </w:rPr>
        <w:t>For physical education teachers, the effective organization of professional activities through organizational–pedagogical mechanisms</w:t>
      </w:r>
      <w:r w:rsidR="001801BA" w:rsidRPr="00821F0A">
        <w:rPr>
          <w:rFonts w:ascii="Times New Roman" w:hAnsi="Times New Roman" w:cs="Times New Roman"/>
          <w:sz w:val="20"/>
        </w:rPr>
        <w:t xml:space="preserve"> is of great importance. The 14,</w:t>
      </w:r>
      <w:r w:rsidR="00724AF8" w:rsidRPr="00821F0A">
        <w:rPr>
          <w:rFonts w:ascii="Times New Roman" w:hAnsi="Times New Roman" w:cs="Times New Roman"/>
          <w:sz w:val="20"/>
        </w:rPr>
        <w:t>08% growth achieved in the experimental group through this mechanism confirms the significance of such approaches. This highlights the necessity of systematic organization of instructional tasks, careful planning, and the clear formulation of requirements for learners.</w:t>
      </w:r>
    </w:p>
    <w:p w14:paraId="62E01D08" w14:textId="51C7D79F" w:rsidR="00F53273" w:rsidRPr="00821F0A" w:rsidRDefault="00F53273" w:rsidP="00724AF8">
      <w:pPr>
        <w:spacing w:after="0" w:line="240" w:lineRule="auto"/>
        <w:ind w:firstLine="284"/>
        <w:jc w:val="both"/>
        <w:rPr>
          <w:rFonts w:ascii="Times New Roman" w:hAnsi="Times New Roman" w:cs="Times New Roman"/>
          <w:sz w:val="20"/>
        </w:rPr>
      </w:pPr>
      <w:r w:rsidRPr="00821F0A">
        <w:rPr>
          <w:rFonts w:ascii="Times New Roman" w:hAnsi="Times New Roman" w:cs="Times New Roman"/>
          <w:sz w:val="20"/>
          <w:lang w:val="uz-Cyrl-UZ"/>
        </w:rPr>
        <w:t xml:space="preserve">2. </w:t>
      </w:r>
      <w:r w:rsidR="00724AF8" w:rsidRPr="00821F0A">
        <w:rPr>
          <w:rFonts w:ascii="Times New Roman" w:hAnsi="Times New Roman" w:cs="Times New Roman"/>
          <w:sz w:val="20"/>
        </w:rPr>
        <w:t>For physical education teachers, the practical implementation of pedagogical technologies based on functional–pedagogical mechanisms is</w:t>
      </w:r>
      <w:r w:rsidR="001801BA" w:rsidRPr="00821F0A">
        <w:rPr>
          <w:rFonts w:ascii="Times New Roman" w:hAnsi="Times New Roman" w:cs="Times New Roman"/>
          <w:sz w:val="20"/>
        </w:rPr>
        <w:t xml:space="preserve"> particularly important. The 15,</w:t>
      </w:r>
      <w:r w:rsidR="00724AF8" w:rsidRPr="00821F0A">
        <w:rPr>
          <w:rFonts w:ascii="Times New Roman" w:hAnsi="Times New Roman" w:cs="Times New Roman"/>
          <w:sz w:val="20"/>
        </w:rPr>
        <w:t>35% growth achieved through this mechanism clearly demonstrates the effectiveness of using innovative technologies. This underscores the need to employ information technologies, multimedia tools, and creative approaches in physical education lessons.</w:t>
      </w:r>
    </w:p>
    <w:p w14:paraId="410F3F2D" w14:textId="17C52652" w:rsidR="00F53273" w:rsidRPr="00821F0A" w:rsidRDefault="00F53273" w:rsidP="00724AF8">
      <w:pPr>
        <w:spacing w:after="0" w:line="240" w:lineRule="auto"/>
        <w:ind w:firstLine="284"/>
        <w:jc w:val="both"/>
        <w:rPr>
          <w:rFonts w:ascii="Times New Roman" w:hAnsi="Times New Roman" w:cs="Times New Roman"/>
          <w:sz w:val="20"/>
        </w:rPr>
      </w:pPr>
      <w:r w:rsidRPr="00821F0A">
        <w:rPr>
          <w:rFonts w:ascii="Times New Roman" w:hAnsi="Times New Roman" w:cs="Times New Roman"/>
          <w:sz w:val="20"/>
          <w:lang w:val="uz-Cyrl-UZ"/>
        </w:rPr>
        <w:t xml:space="preserve">3. </w:t>
      </w:r>
      <w:r w:rsidR="00724AF8" w:rsidRPr="00821F0A">
        <w:rPr>
          <w:rFonts w:ascii="Times New Roman" w:hAnsi="Times New Roman" w:cs="Times New Roman"/>
          <w:sz w:val="20"/>
        </w:rPr>
        <w:t>The effectiveness of physical education instruction can be enhanced by ensuring interdisciplinary integration and introducing modern innovations into</w:t>
      </w:r>
      <w:r w:rsidR="001801BA" w:rsidRPr="00821F0A">
        <w:rPr>
          <w:rFonts w:ascii="Times New Roman" w:hAnsi="Times New Roman" w:cs="Times New Roman"/>
          <w:sz w:val="20"/>
        </w:rPr>
        <w:t xml:space="preserve"> instructional practice. The 15,</w:t>
      </w:r>
      <w:r w:rsidR="00724AF8" w:rsidRPr="00821F0A">
        <w:rPr>
          <w:rFonts w:ascii="Times New Roman" w:hAnsi="Times New Roman" w:cs="Times New Roman"/>
          <w:sz w:val="20"/>
        </w:rPr>
        <w:t>44% growth observed in the experimental group confirms the importance of this mechanism. This further demonstrates the necessity for physical education teachers to acquire in-depth interdisciplinary knowledge and to apply it effectively in professional practice.</w:t>
      </w:r>
    </w:p>
    <w:p w14:paraId="5FF2BC5A" w14:textId="585DE9F0" w:rsidR="00F84944" w:rsidRPr="00821F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821F0A">
        <w:rPr>
          <w:rFonts w:ascii="Times New Roman" w:hAnsi="Times New Roman" w:cs="Times New Roman"/>
          <w:b/>
          <w:sz w:val="24"/>
          <w:szCs w:val="24"/>
        </w:rPr>
        <w:t>REFERENCES</w:t>
      </w:r>
    </w:p>
    <w:p w14:paraId="64DDDCC3" w14:textId="73F0C7A4" w:rsidR="00B53B4D" w:rsidRPr="00651649" w:rsidRDefault="00B53B4D" w:rsidP="00651649">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651649">
        <w:rPr>
          <w:rFonts w:ascii="Times New Roman" w:hAnsi="Times New Roman" w:cs="Times New Roman"/>
          <w:sz w:val="20"/>
          <w:szCs w:val="20"/>
          <w:lang w:val="uz-Cyrl-UZ"/>
        </w:rPr>
        <w:t>Mengli</w:t>
      </w:r>
      <w:r w:rsidR="00724AF8" w:rsidRPr="00651649">
        <w:rPr>
          <w:rFonts w:ascii="Times New Roman" w:hAnsi="Times New Roman" w:cs="Times New Roman"/>
          <w:sz w:val="20"/>
          <w:szCs w:val="20"/>
          <w:lang w:val="uz-Cyrl-UZ"/>
        </w:rPr>
        <w:t xml:space="preserve">ev, B. N., &amp; Khaitov, O. (2021). Formation of pedagogical competence in physical education specialists: From hard skills to soft skills. Fan Sportga, 1(9), 65–68. ISSN 2181-7804. Available at: </w:t>
      </w:r>
      <w:hyperlink r:id="rId6" w:history="1">
        <w:r w:rsidRPr="00651649">
          <w:rPr>
            <w:rStyle w:val="a6"/>
            <w:rFonts w:ascii="Times New Roman" w:hAnsi="Times New Roman" w:cs="Times New Roman"/>
            <w:sz w:val="20"/>
            <w:szCs w:val="20"/>
            <w:lang w:val="uz-Cyrl-UZ"/>
          </w:rPr>
          <w:t>https://www.fansports.uz</w:t>
        </w:r>
      </w:hyperlink>
      <w:r w:rsidRPr="00651649">
        <w:rPr>
          <w:rFonts w:ascii="Times New Roman" w:hAnsi="Times New Roman" w:cs="Times New Roman"/>
          <w:sz w:val="20"/>
          <w:szCs w:val="20"/>
        </w:rPr>
        <w:t xml:space="preserve"> </w:t>
      </w:r>
    </w:p>
    <w:p w14:paraId="45942F24" w14:textId="77777777"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Mengliev, B. N. (2022). Problems of formation of pedagogical competence of physical education teachers. Eurasian Journal of Sport Science, 1(1), 79–86. Available at: </w:t>
      </w:r>
      <w:hyperlink r:id="rId7" w:history="1">
        <w:r w:rsidRPr="00651649">
          <w:rPr>
            <w:rStyle w:val="a6"/>
            <w:rFonts w:ascii="Times New Roman" w:hAnsi="Times New Roman" w:cs="Times New Roman"/>
            <w:sz w:val="20"/>
            <w:szCs w:val="20"/>
          </w:rPr>
          <w:t>https://eajss.uz</w:t>
        </w:r>
      </w:hyperlink>
    </w:p>
    <w:p w14:paraId="24D667A5" w14:textId="4A85708F"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Mengliev, B. N., &amp; Khaitov, O. (2023). Application of the concepts of competence and competencies in modern science (on the example of professional-pedagogical competence). Bulletin of the National University of Uzbekistan, 1(6), 112–115. ISSN 2181-7324. Available at: </w:t>
      </w:r>
      <w:hyperlink r:id="rId8" w:history="1">
        <w:r w:rsidRPr="00651649">
          <w:rPr>
            <w:rStyle w:val="a6"/>
            <w:rFonts w:ascii="Times New Roman" w:hAnsi="Times New Roman" w:cs="Times New Roman"/>
            <w:sz w:val="20"/>
            <w:szCs w:val="20"/>
          </w:rPr>
          <w:t>http://journals.nuu.uz</w:t>
        </w:r>
      </w:hyperlink>
      <w:r w:rsidRPr="00651649">
        <w:rPr>
          <w:rFonts w:ascii="Times New Roman" w:hAnsi="Times New Roman" w:cs="Times New Roman"/>
          <w:sz w:val="20"/>
          <w:szCs w:val="20"/>
        </w:rPr>
        <w:t xml:space="preserve"> </w:t>
      </w:r>
      <w:bookmarkStart w:id="1" w:name="_Hlk133650480"/>
    </w:p>
    <w:p w14:paraId="7C11CD56" w14:textId="77777777"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de-DE"/>
        </w:rPr>
        <w:t xml:space="preserve">Mengliyev, B. N. (2025). Methods for analyzing teachers’ pedagogical competence. Current Issues of Social and Humanitarian Sciences, 5(3), 501–507. ISSN 2181-1342. Available at: </w:t>
      </w:r>
      <w:hyperlink r:id="rId9" w:history="1">
        <w:r w:rsidRPr="00651649">
          <w:rPr>
            <w:rStyle w:val="a6"/>
            <w:rFonts w:ascii="Times New Roman" w:hAnsi="Times New Roman" w:cs="Times New Roman"/>
            <w:sz w:val="20"/>
            <w:szCs w:val="20"/>
            <w:lang w:val="de-DE"/>
          </w:rPr>
          <w:t>https://scienceproblems.uz</w:t>
        </w:r>
      </w:hyperlink>
    </w:p>
    <w:p w14:paraId="42F7140C" w14:textId="07A4E2FE"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uz-Cyrl-UZ"/>
        </w:rPr>
        <w:t xml:space="preserve">Akramova, Sh. A. (2021). Opportunities for applying soft skills in continuous education. Science and Education Scientific Journal, 1(1), 498–507. Available at: </w:t>
      </w:r>
      <w:hyperlink r:id="rId10" w:history="1">
        <w:r w:rsidRPr="00651649">
          <w:rPr>
            <w:rStyle w:val="a6"/>
            <w:rFonts w:ascii="Times New Roman" w:hAnsi="Times New Roman" w:cs="Times New Roman"/>
            <w:sz w:val="20"/>
            <w:szCs w:val="20"/>
            <w:lang w:val="uz-Cyrl-UZ"/>
          </w:rPr>
          <w:t>https://openscience.uz/index.php/sciedu/article/view/665/656</w:t>
        </w:r>
      </w:hyperlink>
      <w:r w:rsidRPr="00651649">
        <w:rPr>
          <w:rFonts w:ascii="Times New Roman" w:hAnsi="Times New Roman" w:cs="Times New Roman"/>
          <w:sz w:val="20"/>
          <w:szCs w:val="20"/>
        </w:rPr>
        <w:t xml:space="preserve"> </w:t>
      </w:r>
      <w:bookmarkEnd w:id="1"/>
    </w:p>
    <w:p w14:paraId="1E434755" w14:textId="77777777"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uz-Cyrl-UZ"/>
        </w:rPr>
        <w:t>Sana</w:t>
      </w:r>
      <w:r w:rsidRPr="00651649">
        <w:rPr>
          <w:rFonts w:ascii="Times New Roman" w:hAnsi="Times New Roman" w:cs="Times New Roman"/>
          <w:sz w:val="20"/>
          <w:szCs w:val="20"/>
        </w:rPr>
        <w:t>k</w:t>
      </w:r>
      <w:r w:rsidRPr="00651649">
        <w:rPr>
          <w:rFonts w:ascii="Times New Roman" w:hAnsi="Times New Roman" w:cs="Times New Roman"/>
          <w:sz w:val="20"/>
          <w:szCs w:val="20"/>
          <w:lang w:val="uz-Cyrl-UZ"/>
        </w:rPr>
        <w:t xml:space="preserve">ulov, S. (2020). </w:t>
      </w:r>
      <w:r w:rsidRPr="00651649">
        <w:rPr>
          <w:rFonts w:ascii="Times New Roman" w:hAnsi="Times New Roman" w:cs="Times New Roman"/>
          <w:sz w:val="20"/>
          <w:szCs w:val="20"/>
        </w:rPr>
        <w:t>actual</w:t>
      </w:r>
      <w:r w:rsidRPr="00651649">
        <w:rPr>
          <w:rFonts w:ascii="Times New Roman" w:hAnsi="Times New Roman" w:cs="Times New Roman"/>
          <w:sz w:val="20"/>
          <w:szCs w:val="20"/>
          <w:lang w:val="uz-Cyrl-UZ"/>
        </w:rPr>
        <w:t xml:space="preserve"> issues of implementing soft competencies in vocational education. Kasb-Hunar Ta’limi (Scientific-Methodological and Educational Journal), 1, 7–10. Available at: </w:t>
      </w:r>
      <w:hyperlink r:id="rId11" w:history="1">
        <w:r w:rsidRPr="00651649">
          <w:rPr>
            <w:rStyle w:val="a6"/>
            <w:rFonts w:ascii="Times New Roman" w:hAnsi="Times New Roman" w:cs="Times New Roman"/>
            <w:sz w:val="20"/>
            <w:szCs w:val="20"/>
            <w:lang w:val="uz-Cyrl-UZ"/>
          </w:rPr>
          <w:t>http://edu.profedu.uz/media/files/2020-1-verstka.pdf</w:t>
        </w:r>
      </w:hyperlink>
    </w:p>
    <w:p w14:paraId="3E870FD7" w14:textId="77777777"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uz-Cyrl-UZ"/>
        </w:rPr>
        <w:t>Rakhmatullayeva, Sh. (2019). The role of distance practice in forming a reserve of qualified personnel. In Proceedings of the International Scientific and Practical Conference “State Personnel Policy under Conditions of Reforming the Public Service System: The Experience of Uzbekistan and Foreign Practice” (pp. 90–93). Tashkent: DBA.</w:t>
      </w:r>
    </w:p>
    <w:p w14:paraId="3D4AC48D" w14:textId="77777777"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uz-Cyrl-UZ"/>
        </w:rPr>
        <w:t>Blömeke, S., &amp; Kaiser, G. (2012). Homogeneity or heterogeneity? Profiles of opportunities to learn in primary teacher education and their relationship to cultural context and outcomes. ZDM – Mathematics Education, 44(3), 249–264.</w:t>
      </w:r>
    </w:p>
    <w:p w14:paraId="40B4D6F5" w14:textId="487A8958" w:rsidR="00B53B4D"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uz-Cyrl-UZ"/>
        </w:rPr>
        <w:t xml:space="preserve">Mengliyev, B. N. (2025). A model for managing the quality of the physical education teaching process based on a competence-based approach. In Prospects for the Development of Agriculture in Southern Uzbekistan Based on Innovative Technologies (pp. 202–209). Tashkent. UDC: 631:635.21. Available at: </w:t>
      </w:r>
      <w:hyperlink r:id="rId12" w:history="1">
        <w:r w:rsidRPr="00651649">
          <w:rPr>
            <w:rStyle w:val="a6"/>
            <w:rFonts w:ascii="Times New Roman" w:hAnsi="Times New Roman" w:cs="Times New Roman"/>
            <w:sz w:val="20"/>
            <w:szCs w:val="20"/>
            <w:lang w:val="uz-Cyrl-UZ"/>
          </w:rPr>
          <w:t>https://agroinnovatsiya.uz/index.php/ag/issue/view/8/6</w:t>
        </w:r>
      </w:hyperlink>
    </w:p>
    <w:p w14:paraId="5B30AF25" w14:textId="1AABCA12" w:rsidR="00683229" w:rsidRPr="00651649" w:rsidRDefault="00B53B4D"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lang w:val="uz-Cyrl-UZ"/>
        </w:rPr>
        <w:t>Toshbekov, O., Urozov, M., Sultonova, F., Rakhimqulova, S., Mustanova, Z., &amp; Khulkaliyeva, G. (2025). Analysis of the thermal conductivity of nonwoven fabrics made from silkworm cocoons and their influence on ambient temperature. In AIP Conference Proceedings (Vol. 3331, No. 1, Article 050005). AIP Publishing.</w:t>
      </w:r>
    </w:p>
    <w:p w14:paraId="32821011" w14:textId="77777777" w:rsidR="00651649" w:rsidRPr="00651649" w:rsidRDefault="00651649" w:rsidP="0065164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O. Toirov, A. Khalbutaeva, Z. Toirov. Calculation of the magnetic flux with considering nonlinearities of saturation of the magnetic circuit of synchronous motors, // 3rd International Scientific and Technical Conference on Actual Issues of Power Supply Systems, ICAIPSS 040022, (2023). </w:t>
      </w:r>
      <w:hyperlink r:id="rId13" w:history="1">
        <w:r w:rsidRPr="00651649">
          <w:rPr>
            <w:rStyle w:val="a6"/>
            <w:rFonts w:ascii="Times New Roman" w:hAnsi="Times New Roman" w:cs="Times New Roman"/>
            <w:sz w:val="20"/>
            <w:szCs w:val="20"/>
          </w:rPr>
          <w:t>https://doi.org/10.1063/5.0218821</w:t>
        </w:r>
      </w:hyperlink>
    </w:p>
    <w:p w14:paraId="42AF1A5E" w14:textId="77777777" w:rsidR="00651649" w:rsidRPr="00651649" w:rsidRDefault="00651649" w:rsidP="0065164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lastRenderedPageBreak/>
        <w:t xml:space="preserve">O. Toirov, S. Khalikov. Research and Evaluation of the Reliability Indicators of Pumping Units for Mechanical Irrigation of the Pumping Station “Kyzyl-Tepa”, // Power Technology and Engineering, 57 (5), (2024). </w:t>
      </w:r>
      <w:hyperlink r:id="rId14" w:history="1">
        <w:r w:rsidRPr="00651649">
          <w:rPr>
            <w:rStyle w:val="a6"/>
            <w:rFonts w:ascii="Times New Roman" w:hAnsi="Times New Roman" w:cs="Times New Roman"/>
            <w:sz w:val="20"/>
            <w:szCs w:val="20"/>
          </w:rPr>
          <w:t>https://doi.org/10.1007/s10749-024-01720-2</w:t>
        </w:r>
      </w:hyperlink>
      <w:r w:rsidRPr="00651649">
        <w:rPr>
          <w:rFonts w:ascii="Times New Roman" w:hAnsi="Times New Roman" w:cs="Times New Roman"/>
          <w:sz w:val="20"/>
          <w:szCs w:val="20"/>
        </w:rPr>
        <w:t xml:space="preserve"> </w:t>
      </w:r>
    </w:p>
    <w:p w14:paraId="529358D8" w14:textId="77777777" w:rsidR="00651649" w:rsidRPr="00651649" w:rsidRDefault="00651649" w:rsidP="0065164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O. Toirov, M. Taniev, B. Safarov, Z. Toirov. Simulation model of an asynchronous generator integrated with a power supply system at different wind speeds, // AIP Conference Proceedings, 3331 (1), 060025, (2025). </w:t>
      </w:r>
      <w:hyperlink r:id="rId15" w:history="1">
        <w:r w:rsidRPr="00651649">
          <w:rPr>
            <w:rStyle w:val="a6"/>
            <w:rFonts w:ascii="Times New Roman" w:hAnsi="Times New Roman" w:cs="Times New Roman"/>
            <w:sz w:val="20"/>
            <w:szCs w:val="20"/>
          </w:rPr>
          <w:t>https://doi.org/10.1063/5.0305672</w:t>
        </w:r>
      </w:hyperlink>
      <w:r w:rsidRPr="00651649">
        <w:rPr>
          <w:rFonts w:ascii="Times New Roman" w:hAnsi="Times New Roman" w:cs="Times New Roman"/>
          <w:sz w:val="20"/>
          <w:szCs w:val="20"/>
        </w:rPr>
        <w:t xml:space="preserve"> </w:t>
      </w:r>
    </w:p>
    <w:p w14:paraId="79C4485B" w14:textId="77777777" w:rsidR="00651649" w:rsidRPr="00651649" w:rsidRDefault="00651649" w:rsidP="0065164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16" w:history="1">
        <w:r w:rsidRPr="00651649">
          <w:rPr>
            <w:rStyle w:val="a6"/>
            <w:rFonts w:ascii="Times New Roman" w:hAnsi="Times New Roman" w:cs="Times New Roman"/>
            <w:sz w:val="20"/>
            <w:szCs w:val="20"/>
          </w:rPr>
          <w:t>https://doi.org/10.1063/5.0305670</w:t>
        </w:r>
      </w:hyperlink>
    </w:p>
    <w:p w14:paraId="7A18CEDB" w14:textId="77777777" w:rsidR="00651649" w:rsidRPr="00651649" w:rsidRDefault="00651649" w:rsidP="0065164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O. Toirov, W. Yu. Non-Intrusive Load Monitoring Based on Image Load Signatures and Continual Learning</w:t>
      </w:r>
    </w:p>
    <w:p w14:paraId="24C494E2" w14:textId="77777777" w:rsidR="00651649" w:rsidRPr="00651649" w:rsidRDefault="00651649" w:rsidP="00651649">
      <w:pPr>
        <w:pStyle w:val="a4"/>
        <w:tabs>
          <w:tab w:val="left" w:pos="284"/>
        </w:tabs>
        <w:spacing w:after="0" w:line="240" w:lineRule="auto"/>
        <w:ind w:left="0"/>
        <w:jc w:val="both"/>
        <w:rPr>
          <w:rFonts w:ascii="Times New Roman" w:hAnsi="Times New Roman" w:cs="Times New Roman"/>
          <w:sz w:val="20"/>
          <w:szCs w:val="20"/>
        </w:rPr>
      </w:pPr>
      <w:r w:rsidRPr="00651649">
        <w:rPr>
          <w:rFonts w:ascii="Times New Roman" w:hAnsi="Times New Roman" w:cs="Times New Roman"/>
          <w:sz w:val="20"/>
          <w:szCs w:val="20"/>
        </w:rPr>
        <w:t xml:space="preserve">// Proceedings of 2025 2nd International Conference on Digital Society and Artificial Intelligence, (2025) </w:t>
      </w:r>
      <w:hyperlink r:id="rId17" w:history="1">
        <w:r w:rsidRPr="00651649">
          <w:rPr>
            <w:rStyle w:val="a6"/>
            <w:rFonts w:ascii="Times New Roman" w:hAnsi="Times New Roman" w:cs="Times New Roman"/>
            <w:sz w:val="20"/>
            <w:szCs w:val="20"/>
          </w:rPr>
          <w:t>https://doi.org/10.10.1145/3748825.3748963</w:t>
        </w:r>
      </w:hyperlink>
      <w:r w:rsidRPr="00651649">
        <w:rPr>
          <w:rFonts w:ascii="Times New Roman" w:hAnsi="Times New Roman" w:cs="Times New Roman"/>
          <w:sz w:val="20"/>
          <w:szCs w:val="20"/>
        </w:rPr>
        <w:t xml:space="preserve"> </w:t>
      </w:r>
    </w:p>
    <w:p w14:paraId="2490562E" w14:textId="77777777" w:rsidR="00651649" w:rsidRPr="00651649" w:rsidRDefault="00651649" w:rsidP="0065164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O. Toirov, Sh. Azimov, Z. Najmitdinov, M. Sharipov, Z. Toirov. Improvement of the cooling system of reactive power compensating devices used in railway power supply // E3S Web of Conferences, 497, 01015, (2024). </w:t>
      </w:r>
      <w:hyperlink r:id="rId18" w:history="1">
        <w:r w:rsidRPr="00651649">
          <w:rPr>
            <w:rStyle w:val="a6"/>
            <w:rFonts w:ascii="Times New Roman" w:hAnsi="Times New Roman" w:cs="Times New Roman"/>
            <w:sz w:val="20"/>
            <w:szCs w:val="20"/>
          </w:rPr>
          <w:t>https://doi.org/10.1051/e3sconf/202449701015</w:t>
        </w:r>
      </w:hyperlink>
    </w:p>
    <w:p w14:paraId="5046DF67"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bookmarkStart w:id="2" w:name="_Hlk214727448"/>
      <w:r w:rsidRPr="00651649">
        <w:rPr>
          <w:rFonts w:ascii="Times New Roman" w:hAnsi="Times New Roman" w:cs="Times New Roman"/>
          <w:sz w:val="20"/>
          <w:szCs w:val="20"/>
        </w:rPr>
        <w:t xml:space="preserve">Melikuziev M.V. Determination of the service area and location of transformer substations in the city power supply system. E3S Web of Conferences 384, 01033 (2023) RSES 2022. https://doi.org/10.1051/e3sconf/202338401033  </w:t>
      </w:r>
    </w:p>
    <w:p w14:paraId="49F55134"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Melikuziev M.V., Usmonaliev S., Khudoyberdiev N., Sodikov J., Imomaliev Z. Issues of the design procedure for the power supply system. AIP Conference Proceedings 3152, 040031 (2024). https://doi.org/10.1063/5.0218873 </w:t>
      </w:r>
    </w:p>
    <w:p w14:paraId="6339091C"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Melikuziev M.V., Fayzrakhmanova Z., Akhmedov A., Kasimova G. Development of an Educational Simulator's Working Logic for the Course 'Fundamentals of Power Supply'. AIP Conference Proceedings 3152, 050025 (2024). https://doi.org/10.1063/5.0218875 </w:t>
      </w:r>
    </w:p>
    <w:p w14:paraId="1E1F737B"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Melikuziev M.V., Nematov L.A., Novikov A.N., Baymuratov K.K. Technical and economic analysis of parameters of city distribution electric network up to 1000 V. E3S Web of Conferences 289, 07016 (2021) Energy Systems Research. https://doi.org/10.1051/e3sconf/202128907016 </w:t>
      </w:r>
    </w:p>
    <w:p w14:paraId="379DF646"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41FDA4EF"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Shukhrat Umarov</w:t>
      </w:r>
      <w:bookmarkEnd w:id="2"/>
      <w:r w:rsidRPr="00651649">
        <w:rPr>
          <w:rFonts w:ascii="Times New Roman" w:hAnsi="Times New Roman" w:cs="Times New Roman"/>
          <w:sz w:val="20"/>
          <w:szCs w:val="20"/>
        </w:rPr>
        <w:t xml:space="preserve">, </w:t>
      </w:r>
      <w:bookmarkStart w:id="3" w:name="_Hlk214727435"/>
      <w:r w:rsidRPr="00651649">
        <w:rPr>
          <w:rFonts w:ascii="Times New Roman" w:hAnsi="Times New Roman" w:cs="Times New Roman"/>
          <w:sz w:val="20"/>
          <w:szCs w:val="20"/>
        </w:rPr>
        <w:t>Murot Tulyaganov</w:t>
      </w:r>
      <w:bookmarkEnd w:id="3"/>
      <w:r w:rsidRPr="0065164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19" w:history="1">
        <w:r w:rsidRPr="00651649">
          <w:rPr>
            <w:rStyle w:val="a6"/>
            <w:rFonts w:ascii="Times New Roman" w:hAnsi="Times New Roman" w:cs="Times New Roman"/>
            <w:sz w:val="20"/>
            <w:szCs w:val="20"/>
          </w:rPr>
          <w:t>https://doi.org/10.1063/5.0218869</w:t>
        </w:r>
      </w:hyperlink>
    </w:p>
    <w:p w14:paraId="3AAD45EF"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Murot Tulyaganov, Shukhrat Umarov. Improving the energy and operational efficiency of an asynchronous electric drive. III International Scientific and Technical Conference “Actual Issues of Power Supply Systems” (ICAIPSS2023); </w:t>
      </w:r>
      <w:hyperlink r:id="rId20" w:history="1">
        <w:r w:rsidRPr="00651649">
          <w:rPr>
            <w:rStyle w:val="a6"/>
            <w:rFonts w:ascii="Times New Roman" w:hAnsi="Times New Roman" w:cs="Times New Roman"/>
            <w:sz w:val="20"/>
            <w:szCs w:val="20"/>
          </w:rPr>
          <w:t>https://doi.org/10.1063/5.0218876</w:t>
        </w:r>
      </w:hyperlink>
    </w:p>
    <w:p w14:paraId="2460A4E3"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Shukhrat Umarov, Khushnud Sapaev, Islambek Abdullabekov. The Implicit Formulas of Numerical Integration Digital Models of Nonlinear Transformers. AIP Conf. Proc. 3331, 030105 (2025); </w:t>
      </w:r>
      <w:hyperlink r:id="rId21" w:history="1">
        <w:r w:rsidRPr="00651649">
          <w:rPr>
            <w:rStyle w:val="a6"/>
            <w:rFonts w:ascii="Times New Roman" w:hAnsi="Times New Roman" w:cs="Times New Roman"/>
            <w:sz w:val="20"/>
            <w:szCs w:val="20"/>
          </w:rPr>
          <w:t>https://doi.org/10.1063/5.0305793</w:t>
        </w:r>
      </w:hyperlink>
    </w:p>
    <w:p w14:paraId="2AA261BF"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Shukhrat Umarov, Murat Tulyaganov, Saidamir Oripov, Ubaydulla Boqijonov. Using a modified laplace transform to simulate valve converters with periodic topology. AIP Conf. Proc. 3331, 030104 (2025); </w:t>
      </w:r>
      <w:hyperlink r:id="rId22" w:history="1">
        <w:r w:rsidRPr="00651649">
          <w:rPr>
            <w:rStyle w:val="a6"/>
            <w:rFonts w:ascii="Times New Roman" w:hAnsi="Times New Roman" w:cs="Times New Roman"/>
            <w:sz w:val="20"/>
            <w:szCs w:val="20"/>
          </w:rPr>
          <w:t>https://doi.org/10.1063/5.0305792</w:t>
        </w:r>
      </w:hyperlink>
    </w:p>
    <w:p w14:paraId="328CA897"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Murat Tulyaganov, Shukhrat Umarov, Islambek Abdullabekov, Shakhnoza Sobirova. Optimization of modes of an asynchronous electric drive. AIP Conf. Proc. 3331, 030084 (2025); </w:t>
      </w:r>
      <w:hyperlink r:id="rId23" w:history="1">
        <w:r w:rsidRPr="00651649">
          <w:rPr>
            <w:rStyle w:val="a6"/>
            <w:rFonts w:ascii="Times New Roman" w:hAnsi="Times New Roman" w:cs="Times New Roman"/>
            <w:sz w:val="20"/>
            <w:szCs w:val="20"/>
          </w:rPr>
          <w:t>https://doi.org/10.1063/5.0305786</w:t>
        </w:r>
      </w:hyperlink>
    </w:p>
    <w:p w14:paraId="592C7847" w14:textId="77777777" w:rsidR="00651649" w:rsidRPr="00651649" w:rsidRDefault="00651649" w:rsidP="00651649">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651649">
        <w:rPr>
          <w:rFonts w:ascii="Times New Roman" w:hAnsi="Times New Roman" w:cs="Times New Roman"/>
          <w:sz w:val="20"/>
          <w:szCs w:val="20"/>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24" w:history="1">
        <w:r w:rsidRPr="00651649">
          <w:rPr>
            <w:rStyle w:val="a6"/>
            <w:rFonts w:ascii="Times New Roman" w:hAnsi="Times New Roman" w:cs="Times New Roman"/>
            <w:sz w:val="20"/>
            <w:szCs w:val="20"/>
          </w:rPr>
          <w:t>https://doi.org/10.1063/5.0305780</w:t>
        </w:r>
      </w:hyperlink>
    </w:p>
    <w:p w14:paraId="1A0F2A51"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Kobilov, N., Khamidov, B., Rakhmatov, K., Abdukarimov, M., Daminov, O., Shukurov, A., Kodirov, S., Omonov, S. </w:t>
      </w:r>
      <w:hyperlink r:id="rId25" w:history="1">
        <w:r w:rsidRPr="00651649">
          <w:rPr>
            <w:rFonts w:ascii="Times New Roman" w:hAnsi="Times New Roman" w:cs="Times New Roman"/>
            <w:sz w:val="20"/>
            <w:szCs w:val="20"/>
            <w:lang w:val="uz-Cyrl-UZ"/>
          </w:rPr>
          <w:t>Investigation and study of oil sludge of oil refinery company in Uzbekistan</w:t>
        </w:r>
      </w:hyperlink>
      <w:r w:rsidRPr="00651649">
        <w:rPr>
          <w:rFonts w:ascii="Times New Roman" w:hAnsi="Times New Roman" w:cs="Times New Roman"/>
          <w:sz w:val="20"/>
          <w:szCs w:val="20"/>
          <w:lang w:val="uz-Cyrl-UZ"/>
        </w:rPr>
        <w:t xml:space="preserve">. </w:t>
      </w:r>
      <w:hyperlink r:id="rId26" w:history="1">
        <w:r w:rsidRPr="00651649">
          <w:rPr>
            <w:rFonts w:ascii="Times New Roman" w:hAnsi="Times New Roman" w:cs="Times New Roman"/>
            <w:sz w:val="20"/>
            <w:szCs w:val="20"/>
            <w:lang w:val="uz-Cyrl-UZ"/>
          </w:rPr>
          <w:t>AIP Conference Proceedings</w:t>
        </w:r>
      </w:hyperlink>
      <w:r w:rsidRPr="00651649">
        <w:rPr>
          <w:rFonts w:ascii="Times New Roman" w:hAnsi="Times New Roman" w:cs="Times New Roman"/>
          <w:sz w:val="20"/>
          <w:szCs w:val="20"/>
          <w:lang w:val="uz-Cyrl-UZ"/>
        </w:rPr>
        <w:t xml:space="preserve">, 3304, </w:t>
      </w:r>
      <w:r w:rsidRPr="00651649">
        <w:rPr>
          <w:rFonts w:ascii="Times New Roman" w:hAnsi="Times New Roman" w:cs="Times New Roman"/>
          <w:b/>
          <w:sz w:val="20"/>
          <w:szCs w:val="20"/>
          <w:lang w:val="uz-Cyrl-UZ"/>
        </w:rPr>
        <w:t>040076</w:t>
      </w:r>
      <w:r w:rsidRPr="00651649">
        <w:rPr>
          <w:rFonts w:ascii="Times New Roman" w:hAnsi="Times New Roman" w:cs="Times New Roman"/>
          <w:sz w:val="20"/>
          <w:szCs w:val="20"/>
          <w:lang w:val="uz-Cyrl-UZ"/>
        </w:rPr>
        <w:t xml:space="preserve">, (2025), </w:t>
      </w:r>
      <w:r w:rsidRPr="00651649">
        <w:rPr>
          <w:rFonts w:ascii="Times New Roman" w:hAnsi="Times New Roman" w:cs="Times New Roman"/>
          <w:color w:val="0070C0"/>
          <w:sz w:val="20"/>
          <w:szCs w:val="20"/>
          <w:u w:val="single"/>
          <w:lang w:val="uz-Cyrl-UZ"/>
        </w:rPr>
        <w:t>https://doi.org/10.1063/5.0269039</w:t>
      </w:r>
      <w:r w:rsidRPr="00651649">
        <w:rPr>
          <w:rFonts w:ascii="Times New Roman" w:hAnsi="Times New Roman" w:cs="Times New Roman"/>
          <w:b/>
          <w:color w:val="FF0000"/>
          <w:sz w:val="20"/>
          <w:szCs w:val="20"/>
          <w:lang w:val="uz-Cyrl-UZ"/>
        </w:rPr>
        <w:t xml:space="preserve"> </w:t>
      </w:r>
    </w:p>
    <w:p w14:paraId="52D715D4"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hyperlink r:id="rId27" w:history="1">
        <w:r w:rsidRPr="00651649">
          <w:rPr>
            <w:rFonts w:ascii="Times New Roman" w:hAnsi="Times New Roman" w:cs="Times New Roman"/>
            <w:sz w:val="20"/>
            <w:szCs w:val="20"/>
            <w:lang w:val="uz-Cyrl-UZ"/>
          </w:rPr>
          <w:t>AIP Conference Proceedings</w:t>
        </w:r>
      </w:hyperlink>
      <w:r w:rsidRPr="00651649">
        <w:rPr>
          <w:rFonts w:ascii="Times New Roman" w:hAnsi="Times New Roman" w:cs="Times New Roman"/>
          <w:sz w:val="20"/>
          <w:szCs w:val="20"/>
          <w:lang w:val="uz-Cyrl-UZ"/>
        </w:rPr>
        <w:t xml:space="preserve">, 3304, </w:t>
      </w:r>
      <w:r w:rsidRPr="00651649">
        <w:rPr>
          <w:rFonts w:ascii="Times New Roman" w:hAnsi="Times New Roman" w:cs="Times New Roman"/>
          <w:b/>
          <w:sz w:val="20"/>
          <w:szCs w:val="20"/>
          <w:lang w:val="uz-Cyrl-UZ"/>
        </w:rPr>
        <w:t>040077</w:t>
      </w:r>
      <w:r w:rsidRPr="00651649">
        <w:rPr>
          <w:rFonts w:ascii="Times New Roman" w:hAnsi="Times New Roman" w:cs="Times New Roman"/>
          <w:sz w:val="20"/>
          <w:szCs w:val="20"/>
          <w:lang w:val="uz-Cyrl-UZ"/>
        </w:rPr>
        <w:t xml:space="preserve">, (2025), </w:t>
      </w:r>
      <w:r w:rsidRPr="00651649">
        <w:rPr>
          <w:rFonts w:ascii="Times New Roman" w:hAnsi="Times New Roman" w:cs="Times New Roman"/>
          <w:color w:val="0070C0"/>
          <w:sz w:val="20"/>
          <w:szCs w:val="20"/>
          <w:u w:val="single"/>
          <w:lang w:val="uz-Cyrl-UZ"/>
        </w:rPr>
        <w:t>https://doi.org/10.1063/5.0269403</w:t>
      </w:r>
      <w:r w:rsidRPr="00651649">
        <w:rPr>
          <w:rFonts w:ascii="Times New Roman" w:hAnsi="Times New Roman" w:cs="Times New Roman"/>
          <w:b/>
          <w:color w:val="FF0000"/>
          <w:sz w:val="20"/>
          <w:szCs w:val="20"/>
          <w:lang w:val="uz-Cyrl-UZ"/>
        </w:rPr>
        <w:t xml:space="preserve"> </w:t>
      </w:r>
    </w:p>
    <w:p w14:paraId="206D4CE5"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Umerov, F., Daminov, O., Khakimov, J., Yangibaev, A., Asanov, S. </w:t>
      </w:r>
      <w:hyperlink r:id="rId28" w:history="1">
        <w:r w:rsidRPr="0065164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hyperlink>
      <w:r w:rsidRPr="00651649">
        <w:rPr>
          <w:rFonts w:ascii="Times New Roman" w:hAnsi="Times New Roman" w:cs="Times New Roman"/>
          <w:sz w:val="20"/>
          <w:szCs w:val="20"/>
          <w:lang w:val="uz-Cyrl-UZ"/>
        </w:rPr>
        <w:t xml:space="preserve">. </w:t>
      </w:r>
      <w:hyperlink r:id="rId29" w:history="1">
        <w:r w:rsidRPr="00651649">
          <w:rPr>
            <w:rFonts w:ascii="Times New Roman" w:hAnsi="Times New Roman" w:cs="Times New Roman"/>
            <w:sz w:val="20"/>
            <w:szCs w:val="20"/>
            <w:lang w:val="uz-Cyrl-UZ"/>
          </w:rPr>
          <w:t>AIP Conference Proceedings</w:t>
        </w:r>
      </w:hyperlink>
      <w:r w:rsidRPr="00651649">
        <w:rPr>
          <w:rFonts w:ascii="Times New Roman" w:hAnsi="Times New Roman" w:cs="Times New Roman"/>
          <w:sz w:val="20"/>
          <w:szCs w:val="20"/>
          <w:lang w:val="uz-Cyrl-UZ"/>
        </w:rPr>
        <w:t xml:space="preserve">, 3152, </w:t>
      </w:r>
      <w:r w:rsidRPr="00651649">
        <w:rPr>
          <w:rFonts w:ascii="Times New Roman" w:hAnsi="Times New Roman" w:cs="Times New Roman"/>
          <w:b/>
          <w:sz w:val="20"/>
          <w:szCs w:val="20"/>
          <w:lang w:val="uz-Cyrl-UZ"/>
        </w:rPr>
        <w:t>030017</w:t>
      </w:r>
      <w:r w:rsidRPr="00651649">
        <w:rPr>
          <w:rFonts w:ascii="Times New Roman" w:hAnsi="Times New Roman" w:cs="Times New Roman"/>
          <w:sz w:val="20"/>
          <w:szCs w:val="20"/>
          <w:lang w:val="uz-Cyrl-UZ"/>
        </w:rPr>
        <w:t>, (2024),</w:t>
      </w:r>
      <w:r w:rsidRPr="00651649">
        <w:rPr>
          <w:rStyle w:val="typography-modulelvnit"/>
          <w:rFonts w:ascii="Arial" w:hAnsi="Arial" w:cs="Arial"/>
          <w:color w:val="2E2E2E"/>
          <w:sz w:val="18"/>
          <w:szCs w:val="18"/>
          <w:shd w:val="clear" w:color="auto" w:fill="FFFFFF"/>
          <w:lang w:val="uz-Cyrl-UZ"/>
        </w:rPr>
        <w:t xml:space="preserve"> </w:t>
      </w:r>
      <w:r w:rsidRPr="00651649">
        <w:rPr>
          <w:rFonts w:ascii="Times New Roman" w:hAnsi="Times New Roman" w:cs="Times New Roman"/>
          <w:iCs/>
          <w:color w:val="0070C0"/>
          <w:sz w:val="20"/>
          <w:szCs w:val="20"/>
          <w:u w:val="single"/>
          <w:lang w:val="uz-Cyrl-UZ"/>
        </w:rPr>
        <w:t>https://doi.org/10.1063/5.0219381</w:t>
      </w:r>
      <w:r w:rsidRPr="00651649">
        <w:rPr>
          <w:rFonts w:ascii="Times New Roman" w:hAnsi="Times New Roman" w:cs="Times New Roman"/>
          <w:b/>
          <w:color w:val="FF0000"/>
          <w:sz w:val="20"/>
          <w:szCs w:val="20"/>
          <w:lang w:val="uz-Cyrl-UZ"/>
        </w:rPr>
        <w:t xml:space="preserve"> </w:t>
      </w:r>
    </w:p>
    <w:p w14:paraId="1C2BAFBB"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lastRenderedPageBreak/>
        <w:t xml:space="preserve">Matmurodov, F.M., Daminov, O.O., Sobirov, B.Sh., Abdurakxmanova, M.M., Atakhanov, F.U.M. </w:t>
      </w:r>
      <w:hyperlink r:id="rId30" w:history="1">
        <w:r w:rsidRPr="00651649">
          <w:rPr>
            <w:rFonts w:ascii="Times New Roman" w:hAnsi="Times New Roman" w:cs="Times New Roman"/>
            <w:sz w:val="20"/>
            <w:szCs w:val="20"/>
            <w:lang w:val="uz-Cyrl-UZ"/>
          </w:rPr>
          <w:t>Dynamic simulation of force loading of drives of mobile power facilities with variable external resistance</w:t>
        </w:r>
      </w:hyperlink>
      <w:r w:rsidRPr="00651649">
        <w:rPr>
          <w:rFonts w:ascii="Times New Roman" w:hAnsi="Times New Roman" w:cs="Times New Roman"/>
          <w:sz w:val="20"/>
          <w:szCs w:val="20"/>
          <w:lang w:val="uz-Cyrl-UZ"/>
        </w:rPr>
        <w:t xml:space="preserve">. </w:t>
      </w:r>
      <w:hyperlink r:id="rId31" w:history="1">
        <w:r w:rsidRPr="00651649">
          <w:rPr>
            <w:rFonts w:ascii="Times New Roman" w:hAnsi="Times New Roman" w:cs="Times New Roman"/>
            <w:sz w:val="20"/>
            <w:szCs w:val="20"/>
            <w:lang w:val="uz-Cyrl-UZ"/>
          </w:rPr>
          <w:t>E3s Web of Conferences</w:t>
        </w:r>
      </w:hyperlink>
      <w:r w:rsidRPr="00651649">
        <w:rPr>
          <w:rFonts w:ascii="Times New Roman" w:hAnsi="Times New Roman" w:cs="Times New Roman"/>
          <w:sz w:val="20"/>
          <w:szCs w:val="20"/>
          <w:lang w:val="uz-Cyrl-UZ"/>
        </w:rPr>
        <w:t xml:space="preserve">, 486, </w:t>
      </w:r>
      <w:r w:rsidRPr="00651649">
        <w:rPr>
          <w:rFonts w:ascii="Times New Roman" w:hAnsi="Times New Roman" w:cs="Times New Roman"/>
          <w:b/>
          <w:sz w:val="20"/>
          <w:szCs w:val="20"/>
          <w:lang w:val="uz-Cyrl-UZ"/>
        </w:rPr>
        <w:t>03001</w:t>
      </w:r>
      <w:r w:rsidRPr="00651649">
        <w:rPr>
          <w:rFonts w:ascii="Times New Roman" w:hAnsi="Times New Roman" w:cs="Times New Roman"/>
          <w:sz w:val="20"/>
          <w:szCs w:val="20"/>
          <w:lang w:val="uz-Cyrl-UZ"/>
        </w:rPr>
        <w:t xml:space="preserve">, (2024), </w:t>
      </w:r>
      <w:r w:rsidRPr="00651649">
        <w:rPr>
          <w:rFonts w:ascii="Times New Roman" w:hAnsi="Times New Roman" w:cs="Times New Roman"/>
          <w:iCs/>
          <w:color w:val="0070C0"/>
          <w:sz w:val="20"/>
          <w:szCs w:val="20"/>
          <w:u w:val="single"/>
          <w:lang w:val="uz-Cyrl-UZ"/>
        </w:rPr>
        <w:t>https://doi.org/10.1051/e3sconf/202448603001</w:t>
      </w:r>
      <w:r w:rsidRPr="00651649">
        <w:rPr>
          <w:rFonts w:ascii="Times New Roman" w:hAnsi="Times New Roman" w:cs="Times New Roman"/>
          <w:b/>
          <w:color w:val="FF0000"/>
          <w:sz w:val="20"/>
          <w:szCs w:val="20"/>
          <w:lang w:val="uz-Cyrl-UZ"/>
        </w:rPr>
        <w:t xml:space="preserve"> </w:t>
      </w:r>
    </w:p>
    <w:p w14:paraId="530157CC"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Musabekov, Z., Daminov, O., Ismatov, A. </w:t>
      </w:r>
      <w:hyperlink r:id="rId32" w:history="1">
        <w:r w:rsidRPr="00651649">
          <w:rPr>
            <w:rFonts w:ascii="Times New Roman" w:hAnsi="Times New Roman" w:cs="Times New Roman"/>
            <w:sz w:val="20"/>
            <w:szCs w:val="20"/>
            <w:lang w:val="uz-Cyrl-UZ"/>
          </w:rPr>
          <w:t>Structural solutions of the supercharged engine in the output and input system</w:t>
        </w:r>
      </w:hyperlink>
      <w:r w:rsidRPr="00651649">
        <w:rPr>
          <w:rFonts w:ascii="Times New Roman" w:hAnsi="Times New Roman" w:cs="Times New Roman"/>
          <w:sz w:val="20"/>
          <w:szCs w:val="20"/>
          <w:lang w:val="uz-Cyrl-UZ"/>
        </w:rPr>
        <w:t xml:space="preserve">. </w:t>
      </w:r>
      <w:hyperlink r:id="rId33" w:history="1">
        <w:r w:rsidRPr="00651649">
          <w:rPr>
            <w:rFonts w:ascii="Times New Roman" w:hAnsi="Times New Roman" w:cs="Times New Roman"/>
            <w:sz w:val="20"/>
            <w:szCs w:val="20"/>
            <w:lang w:val="uz-Cyrl-UZ"/>
          </w:rPr>
          <w:t>E3s Web of Conferences</w:t>
        </w:r>
      </w:hyperlink>
      <w:r w:rsidRPr="00651649">
        <w:rPr>
          <w:rFonts w:ascii="Times New Roman" w:hAnsi="Times New Roman" w:cs="Times New Roman"/>
          <w:sz w:val="20"/>
          <w:szCs w:val="20"/>
          <w:lang w:val="uz-Cyrl-UZ"/>
        </w:rPr>
        <w:t xml:space="preserve">, 419, </w:t>
      </w:r>
      <w:r w:rsidRPr="00651649">
        <w:rPr>
          <w:rFonts w:ascii="Times New Roman" w:hAnsi="Times New Roman" w:cs="Times New Roman"/>
          <w:b/>
          <w:sz w:val="20"/>
          <w:szCs w:val="20"/>
          <w:lang w:val="uz-Cyrl-UZ"/>
        </w:rPr>
        <w:t>01015</w:t>
      </w:r>
      <w:r w:rsidRPr="00651649">
        <w:rPr>
          <w:rFonts w:ascii="Times New Roman" w:hAnsi="Times New Roman" w:cs="Times New Roman"/>
          <w:sz w:val="20"/>
          <w:szCs w:val="20"/>
          <w:lang w:val="uz-Cyrl-UZ"/>
        </w:rPr>
        <w:t xml:space="preserve">, (2023), </w:t>
      </w:r>
      <w:hyperlink r:id="rId34" w:history="1">
        <w:r w:rsidRPr="00651649">
          <w:rPr>
            <w:rStyle w:val="a6"/>
            <w:rFonts w:ascii="Times New Roman" w:hAnsi="Times New Roman" w:cs="Times New Roman"/>
            <w:iCs/>
            <w:sz w:val="20"/>
            <w:szCs w:val="20"/>
            <w:lang w:val="uz-Cyrl-UZ"/>
          </w:rPr>
          <w:t>https://doi.org/10.1051/e3sconf/202341901015</w:t>
        </w:r>
      </w:hyperlink>
      <w:r w:rsidRPr="00651649">
        <w:rPr>
          <w:rFonts w:ascii="Times New Roman" w:hAnsi="Times New Roman" w:cs="Times New Roman"/>
          <w:b/>
          <w:color w:val="FF0000"/>
          <w:sz w:val="20"/>
          <w:szCs w:val="20"/>
          <w:lang w:val="uz-Cyrl-UZ"/>
        </w:rPr>
        <w:t xml:space="preserve"> </w:t>
      </w:r>
    </w:p>
    <w:p w14:paraId="75921628"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Musabekov, Z., Ergashev, B., Daminov, O., Khushnaev O., Kurbanov, A., Kukharonok, G. </w:t>
      </w:r>
      <w:hyperlink r:id="rId35" w:history="1">
        <w:r w:rsidRPr="00651649">
          <w:rPr>
            <w:rFonts w:ascii="Times New Roman" w:hAnsi="Times New Roman" w:cs="Times New Roman"/>
            <w:sz w:val="20"/>
            <w:szCs w:val="20"/>
            <w:lang w:val="uz-Cyrl-UZ"/>
          </w:rPr>
          <w:t>Efficiency and environmental indicators of diesel engine operation when using water injection</w:t>
        </w:r>
      </w:hyperlink>
      <w:r w:rsidRPr="00651649">
        <w:rPr>
          <w:rFonts w:ascii="Times New Roman" w:hAnsi="Times New Roman" w:cs="Times New Roman"/>
          <w:sz w:val="20"/>
          <w:szCs w:val="20"/>
          <w:lang w:val="uz-Cyrl-UZ"/>
        </w:rPr>
        <w:t xml:space="preserve">. </w:t>
      </w:r>
      <w:hyperlink r:id="rId36" w:history="1">
        <w:r w:rsidRPr="00651649">
          <w:rPr>
            <w:rFonts w:ascii="Times New Roman" w:hAnsi="Times New Roman" w:cs="Times New Roman"/>
            <w:sz w:val="20"/>
            <w:szCs w:val="20"/>
            <w:lang w:val="uz-Cyrl-UZ"/>
          </w:rPr>
          <w:t>IOP Conference Series Earth and Environmental Science</w:t>
        </w:r>
      </w:hyperlink>
      <w:r w:rsidRPr="00651649">
        <w:rPr>
          <w:rFonts w:ascii="Times New Roman" w:hAnsi="Times New Roman" w:cs="Times New Roman"/>
          <w:sz w:val="20"/>
          <w:szCs w:val="20"/>
          <w:lang w:val="uz-Cyrl-UZ"/>
        </w:rPr>
        <w:t xml:space="preserve">, 1142, </w:t>
      </w:r>
      <w:r w:rsidRPr="00651649">
        <w:rPr>
          <w:rFonts w:ascii="Times New Roman" w:hAnsi="Times New Roman" w:cs="Times New Roman"/>
          <w:b/>
          <w:sz w:val="20"/>
          <w:szCs w:val="20"/>
          <w:lang w:val="uz-Cyrl-UZ"/>
        </w:rPr>
        <w:t>012024</w:t>
      </w:r>
      <w:r w:rsidRPr="00651649">
        <w:rPr>
          <w:rFonts w:ascii="Times New Roman" w:hAnsi="Times New Roman" w:cs="Times New Roman"/>
          <w:sz w:val="20"/>
          <w:szCs w:val="20"/>
          <w:lang w:val="uz-Cyrl-UZ"/>
        </w:rPr>
        <w:t xml:space="preserve">, (2023), </w:t>
      </w:r>
      <w:hyperlink r:id="rId37" w:history="1">
        <w:r w:rsidRPr="00651649">
          <w:rPr>
            <w:rStyle w:val="a6"/>
            <w:rFonts w:ascii="Times New Roman" w:hAnsi="Times New Roman" w:cs="Times New Roman"/>
            <w:iCs/>
            <w:sz w:val="20"/>
            <w:szCs w:val="20"/>
            <w:lang w:val="uz-Cyrl-UZ"/>
          </w:rPr>
          <w:t>https://doi.org/10.1088/1755-1315/1142/1/012024</w:t>
        </w:r>
      </w:hyperlink>
      <w:r w:rsidRPr="00651649">
        <w:rPr>
          <w:rFonts w:ascii="Times New Roman" w:hAnsi="Times New Roman" w:cs="Times New Roman"/>
          <w:b/>
          <w:color w:val="FF0000"/>
          <w:sz w:val="20"/>
          <w:szCs w:val="20"/>
          <w:lang w:val="uz-Cyrl-UZ"/>
        </w:rPr>
        <w:t xml:space="preserve"> </w:t>
      </w:r>
    </w:p>
    <w:p w14:paraId="0068EFB3" w14:textId="77777777"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Tulaev, B.R., Musabekov, Z.E., Daminov, O.O., Khakimov, J.O. </w:t>
      </w:r>
      <w:hyperlink r:id="rId38" w:history="1">
        <w:r w:rsidRPr="00651649">
          <w:rPr>
            <w:rFonts w:ascii="Times New Roman" w:hAnsi="Times New Roman" w:cs="Times New Roman"/>
            <w:sz w:val="20"/>
            <w:szCs w:val="20"/>
            <w:lang w:val="uz-Cyrl-UZ"/>
          </w:rPr>
          <w:t>Application of Supercharged to Internal Combustion Engines and Increase Efficiency in Achieving High Environmental Standards</w:t>
        </w:r>
      </w:hyperlink>
      <w:r w:rsidRPr="00651649">
        <w:rPr>
          <w:rFonts w:ascii="Times New Roman" w:hAnsi="Times New Roman" w:cs="Times New Roman"/>
          <w:sz w:val="20"/>
          <w:szCs w:val="20"/>
          <w:lang w:val="uz-Cyrl-UZ"/>
        </w:rPr>
        <w:t xml:space="preserve">. </w:t>
      </w:r>
      <w:hyperlink r:id="rId39" w:history="1">
        <w:r w:rsidRPr="00651649">
          <w:rPr>
            <w:rFonts w:ascii="Times New Roman" w:hAnsi="Times New Roman" w:cs="Times New Roman"/>
            <w:sz w:val="20"/>
            <w:szCs w:val="20"/>
            <w:lang w:val="uz-Cyrl-UZ"/>
          </w:rPr>
          <w:t>AIP Conference Proceedings</w:t>
        </w:r>
      </w:hyperlink>
      <w:r w:rsidRPr="00651649">
        <w:rPr>
          <w:rFonts w:ascii="Times New Roman" w:hAnsi="Times New Roman" w:cs="Times New Roman"/>
          <w:sz w:val="20"/>
          <w:szCs w:val="20"/>
          <w:lang w:val="uz-Cyrl-UZ"/>
        </w:rPr>
        <w:t xml:space="preserve">, 2432, </w:t>
      </w:r>
      <w:r w:rsidRPr="00651649">
        <w:rPr>
          <w:rFonts w:ascii="Times New Roman" w:hAnsi="Times New Roman" w:cs="Times New Roman"/>
          <w:b/>
          <w:sz w:val="20"/>
          <w:szCs w:val="20"/>
          <w:lang w:val="uz-Cyrl-UZ"/>
        </w:rPr>
        <w:t>030012</w:t>
      </w:r>
      <w:r w:rsidRPr="00651649">
        <w:rPr>
          <w:rFonts w:ascii="Times New Roman" w:hAnsi="Times New Roman" w:cs="Times New Roman"/>
          <w:sz w:val="20"/>
          <w:szCs w:val="20"/>
          <w:lang w:val="uz-Cyrl-UZ"/>
        </w:rPr>
        <w:t>, (2022),</w:t>
      </w:r>
      <w:r w:rsidRPr="00651649">
        <w:rPr>
          <w:rStyle w:val="typography-modulelvnit"/>
          <w:rFonts w:ascii="Arial" w:hAnsi="Arial" w:cs="Arial"/>
          <w:color w:val="2E2E2E"/>
          <w:sz w:val="18"/>
          <w:szCs w:val="18"/>
          <w:lang w:val="uz-Cyrl-UZ"/>
        </w:rPr>
        <w:t xml:space="preserve"> </w:t>
      </w:r>
      <w:r w:rsidRPr="00651649">
        <w:rPr>
          <w:rFonts w:ascii="Times New Roman" w:hAnsi="Times New Roman" w:cs="Times New Roman"/>
          <w:color w:val="0070C0"/>
          <w:sz w:val="20"/>
          <w:szCs w:val="20"/>
          <w:u w:val="single"/>
          <w:lang w:val="uz-Cyrl-UZ"/>
        </w:rPr>
        <w:t>https://doi.org/</w:t>
      </w:r>
      <w:r w:rsidRPr="00651649">
        <w:rPr>
          <w:lang w:val="uz-Cyrl-UZ"/>
        </w:rPr>
        <w:t xml:space="preserve"> </w:t>
      </w:r>
      <w:r w:rsidRPr="00651649">
        <w:rPr>
          <w:rFonts w:ascii="Times New Roman" w:hAnsi="Times New Roman" w:cs="Times New Roman"/>
          <w:color w:val="0070C0"/>
          <w:sz w:val="20"/>
          <w:szCs w:val="20"/>
          <w:u w:val="single"/>
          <w:lang w:val="uz-Cyrl-UZ"/>
        </w:rPr>
        <w:t>10.1063/5.0090304</w:t>
      </w:r>
    </w:p>
    <w:p w14:paraId="597018F6" w14:textId="7A78B8EB" w:rsidR="00651649" w:rsidRPr="00651649" w:rsidRDefault="00651649" w:rsidP="006516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51649">
        <w:rPr>
          <w:rFonts w:ascii="Times New Roman" w:hAnsi="Times New Roman" w:cs="Times New Roman"/>
          <w:sz w:val="20"/>
          <w:szCs w:val="20"/>
          <w:lang w:val="uz-Cyrl-UZ"/>
        </w:rPr>
        <w:t xml:space="preserve">Matmurodov, F., Yunusov, B., Khakimov, J., Daminov, O., Gapurov, B. </w:t>
      </w:r>
      <w:hyperlink r:id="rId40" w:history="1">
        <w:r w:rsidRPr="00651649">
          <w:rPr>
            <w:rFonts w:ascii="Times New Roman" w:hAnsi="Times New Roman" w:cs="Times New Roman"/>
            <w:sz w:val="20"/>
            <w:szCs w:val="20"/>
            <w:lang w:val="uz-Cyrl-UZ"/>
          </w:rPr>
          <w:t>Mathematical Modeling and Numerical Determination of Kinetic and Power Parameters of Loaded Power Mechanisms of a Combined Machine</w:t>
        </w:r>
      </w:hyperlink>
      <w:r w:rsidRPr="00651649">
        <w:rPr>
          <w:rFonts w:ascii="Times New Roman" w:hAnsi="Times New Roman" w:cs="Times New Roman"/>
          <w:sz w:val="20"/>
          <w:szCs w:val="20"/>
          <w:lang w:val="uz-Cyrl-UZ"/>
        </w:rPr>
        <w:t xml:space="preserve">. </w:t>
      </w:r>
      <w:hyperlink r:id="rId41" w:history="1">
        <w:r w:rsidRPr="00651649">
          <w:rPr>
            <w:rFonts w:ascii="Times New Roman" w:hAnsi="Times New Roman" w:cs="Times New Roman"/>
            <w:sz w:val="20"/>
            <w:szCs w:val="20"/>
            <w:lang w:val="uz-Cyrl-UZ"/>
          </w:rPr>
          <w:t>AIP Conference Proceedings</w:t>
        </w:r>
      </w:hyperlink>
      <w:r w:rsidRPr="00651649">
        <w:rPr>
          <w:rFonts w:ascii="Times New Roman" w:hAnsi="Times New Roman" w:cs="Times New Roman"/>
          <w:sz w:val="20"/>
          <w:szCs w:val="20"/>
          <w:lang w:val="uz-Cyrl-UZ"/>
        </w:rPr>
        <w:t xml:space="preserve">, 2432, </w:t>
      </w:r>
      <w:r w:rsidRPr="00651649">
        <w:rPr>
          <w:rFonts w:ascii="Times New Roman" w:hAnsi="Times New Roman" w:cs="Times New Roman"/>
          <w:b/>
          <w:sz w:val="20"/>
          <w:szCs w:val="20"/>
          <w:lang w:val="uz-Cyrl-UZ"/>
        </w:rPr>
        <w:t>040013</w:t>
      </w:r>
      <w:r w:rsidRPr="00651649">
        <w:rPr>
          <w:rFonts w:ascii="Times New Roman" w:hAnsi="Times New Roman" w:cs="Times New Roman"/>
          <w:sz w:val="20"/>
          <w:szCs w:val="20"/>
          <w:lang w:val="uz-Cyrl-UZ"/>
        </w:rPr>
        <w:t xml:space="preserve">, (2022), </w:t>
      </w:r>
      <w:r w:rsidRPr="00651649">
        <w:rPr>
          <w:rFonts w:ascii="Times New Roman" w:hAnsi="Times New Roman" w:cs="Times New Roman"/>
          <w:color w:val="0070C0"/>
          <w:sz w:val="20"/>
          <w:szCs w:val="20"/>
          <w:u w:val="single"/>
          <w:lang w:val="uz-Cyrl-UZ"/>
        </w:rPr>
        <w:t>https://doi.org/</w:t>
      </w:r>
      <w:r w:rsidRPr="00651649">
        <w:rPr>
          <w:lang w:val="uz-Cyrl-UZ"/>
        </w:rPr>
        <w:t xml:space="preserve"> </w:t>
      </w:r>
      <w:r w:rsidRPr="00651649">
        <w:rPr>
          <w:rFonts w:ascii="Times New Roman" w:hAnsi="Times New Roman" w:cs="Times New Roman"/>
          <w:color w:val="0070C0"/>
          <w:sz w:val="20"/>
          <w:szCs w:val="20"/>
          <w:u w:val="single"/>
          <w:lang w:val="uz-Cyrl-UZ"/>
        </w:rPr>
        <w:t>10.1063/5.0090304</w:t>
      </w:r>
      <w:r w:rsidRPr="00651649">
        <w:rPr>
          <w:rFonts w:ascii="Times New Roman" w:hAnsi="Times New Roman" w:cs="Times New Roman"/>
          <w:sz w:val="20"/>
          <w:szCs w:val="20"/>
          <w:lang w:val="uz-Cyrl-UZ"/>
        </w:rPr>
        <w:t xml:space="preserve"> </w:t>
      </w:r>
    </w:p>
    <w:sectPr w:rsidR="00651649" w:rsidRPr="0065164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5C662E3"/>
    <w:multiLevelType w:val="hybridMultilevel"/>
    <w:tmpl w:val="E0F25206"/>
    <w:lvl w:ilvl="0" w:tplc="6AD6F9AC">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65530A"/>
    <w:multiLevelType w:val="hybridMultilevel"/>
    <w:tmpl w:val="EF3EA64E"/>
    <w:lvl w:ilvl="0" w:tplc="53A8C32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6989307">
    <w:abstractNumId w:val="1"/>
  </w:num>
  <w:num w:numId="2" w16cid:durableId="64451219">
    <w:abstractNumId w:val="0"/>
  </w:num>
  <w:num w:numId="3" w16cid:durableId="1466922501">
    <w:abstractNumId w:val="7"/>
  </w:num>
  <w:num w:numId="4" w16cid:durableId="1026713318">
    <w:abstractNumId w:val="4"/>
  </w:num>
  <w:num w:numId="5" w16cid:durableId="1787577285">
    <w:abstractNumId w:val="3"/>
  </w:num>
  <w:num w:numId="6" w16cid:durableId="475729767">
    <w:abstractNumId w:val="2"/>
  </w:num>
  <w:num w:numId="7" w16cid:durableId="2100562932">
    <w:abstractNumId w:val="6"/>
  </w:num>
  <w:num w:numId="8" w16cid:durableId="829559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AE5"/>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6F55"/>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1BA"/>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1F7E80"/>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2C09"/>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34"/>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5F6"/>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0A6"/>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035"/>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8D"/>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D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2F7E"/>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649"/>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AF8"/>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4548"/>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0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AFA"/>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6713"/>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45A"/>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4D"/>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67F6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478C"/>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479"/>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5416"/>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55"/>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uiPriority w:val="22"/>
    <w:qFormat/>
    <w:rsid w:val="00F57755"/>
    <w:rPr>
      <w:rFonts w:cs="Times New Roman"/>
      <w:b/>
      <w:bCs/>
    </w:rPr>
  </w:style>
  <w:style w:type="paragraph" w:styleId="a8">
    <w:name w:val="Body Text"/>
    <w:basedOn w:val="a"/>
    <w:link w:val="a9"/>
    <w:uiPriority w:val="1"/>
    <w:qFormat/>
    <w:rsid w:val="00F57755"/>
    <w:pPr>
      <w:widowControl w:val="0"/>
      <w:autoSpaceDE w:val="0"/>
      <w:autoSpaceDN w:val="0"/>
      <w:adjustRightInd w:val="0"/>
      <w:spacing w:after="0" w:line="240" w:lineRule="auto"/>
    </w:pPr>
    <w:rPr>
      <w:rFonts w:ascii="Times New Roman" w:eastAsiaTheme="minorEastAsia" w:hAnsi="Times New Roman" w:cs="Times New Roman"/>
      <w:lang w:val="ru-RU" w:eastAsia="ru-RU"/>
    </w:rPr>
  </w:style>
  <w:style w:type="character" w:customStyle="1" w:styleId="a9">
    <w:name w:val="Основной текст Знак"/>
    <w:basedOn w:val="a0"/>
    <w:link w:val="a8"/>
    <w:uiPriority w:val="1"/>
    <w:rsid w:val="00F57755"/>
    <w:rPr>
      <w:rFonts w:ascii="Times New Roman" w:eastAsiaTheme="minorEastAsia" w:hAnsi="Times New Roman" w:cs="Times New Roman"/>
      <w:lang w:val="ru-RU" w:eastAsia="ru-RU"/>
    </w:rPr>
  </w:style>
  <w:style w:type="character" w:customStyle="1" w:styleId="texhtml">
    <w:name w:val="texhtml"/>
    <w:basedOn w:val="a0"/>
    <w:rsid w:val="00F57755"/>
  </w:style>
  <w:style w:type="character" w:customStyle="1" w:styleId="typography-modulelvnit">
    <w:name w:val="typography-module__lvnit"/>
    <w:basedOn w:val="a0"/>
    <w:rsid w:val="0065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29343992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995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218821" TargetMode="External"/><Relationship Id="rId18" Type="http://schemas.openxmlformats.org/officeDocument/2006/relationships/hyperlink" Target="https://doi.org/10.1051/e3sconf/202449701015" TargetMode="External"/><Relationship Id="rId26" Type="http://schemas.openxmlformats.org/officeDocument/2006/relationships/hyperlink" Target="https://www.scopus.com/authid/detail.uri?authorId=57215216885" TargetMode="External"/><Relationship Id="rId39" Type="http://schemas.openxmlformats.org/officeDocument/2006/relationships/hyperlink" Target="https://www.scopus.com/authid/detail.uri?authorId=57215216885" TargetMode="External"/><Relationship Id="rId21" Type="http://schemas.openxmlformats.org/officeDocument/2006/relationships/hyperlink" Target="https://doi.org/10.1063/5.0305793" TargetMode="External"/><Relationship Id="rId34" Type="http://schemas.openxmlformats.org/officeDocument/2006/relationships/hyperlink" Target="https://doi.org/10.1051/e3sconf/202341901015" TargetMode="External"/><Relationship Id="rId42" Type="http://schemas.openxmlformats.org/officeDocument/2006/relationships/fontTable" Target="fontTable.xml"/><Relationship Id="rId7" Type="http://schemas.openxmlformats.org/officeDocument/2006/relationships/hyperlink" Target="https://eajss.uz" TargetMode="External"/><Relationship Id="rId2" Type="http://schemas.openxmlformats.org/officeDocument/2006/relationships/styles" Target="styles.xml"/><Relationship Id="rId16" Type="http://schemas.openxmlformats.org/officeDocument/2006/relationships/hyperlink" Target="https://doi.org/10.1063/5.0305670" TargetMode="External"/><Relationship Id="rId20" Type="http://schemas.openxmlformats.org/officeDocument/2006/relationships/hyperlink" Target="https://doi.org/10.1063/5.0218876" TargetMode="External"/><Relationship Id="rId29" Type="http://schemas.openxmlformats.org/officeDocument/2006/relationships/hyperlink" Target="https://www.scopus.com/authid/detail.uri?authorId=57215216885" TargetMode="External"/><Relationship Id="rId41" Type="http://schemas.openxmlformats.org/officeDocument/2006/relationships/hyperlink" Target="https://www.scopus.com/authid/detail.uri?authorId=57215216885" TargetMode="External"/><Relationship Id="rId1" Type="http://schemas.openxmlformats.org/officeDocument/2006/relationships/numbering" Target="numbering.xml"/><Relationship Id="rId6" Type="http://schemas.openxmlformats.org/officeDocument/2006/relationships/hyperlink" Target="https://www.fansports.uz" TargetMode="External"/><Relationship Id="rId11" Type="http://schemas.openxmlformats.org/officeDocument/2006/relationships/hyperlink" Target="http://edu.profedu.uz/media/files/2020-1-verstka.pdf" TargetMode="External"/><Relationship Id="rId24" Type="http://schemas.openxmlformats.org/officeDocument/2006/relationships/hyperlink" Target="https://doi.org/10.1063/5.0305780" TargetMode="External"/><Relationship Id="rId32" Type="http://schemas.openxmlformats.org/officeDocument/2006/relationships/hyperlink" Target="https://www.scopus.com/pages/publications/85171540600?origin=resultslist" TargetMode="External"/><Relationship Id="rId37" Type="http://schemas.openxmlformats.org/officeDocument/2006/relationships/hyperlink" Target="https://doi.org/10.1088/1755-1315/1142/1/012024" TargetMode="External"/><Relationship Id="rId40" Type="http://schemas.openxmlformats.org/officeDocument/2006/relationships/hyperlink" Target="https://www.scopus.com/pages/publications/85132994140?origin=resultslist" TargetMode="External"/><Relationship Id="rId5" Type="http://schemas.openxmlformats.org/officeDocument/2006/relationships/image" Target="media/image1.png"/><Relationship Id="rId15" Type="http://schemas.openxmlformats.org/officeDocument/2006/relationships/hyperlink" Target="https://doi.org/10.1063/5.0305672" TargetMode="External"/><Relationship Id="rId23" Type="http://schemas.openxmlformats.org/officeDocument/2006/relationships/hyperlink" Target="https://doi.org/10.1063/5.0305786" TargetMode="External"/><Relationship Id="rId28" Type="http://schemas.openxmlformats.org/officeDocument/2006/relationships/hyperlink" Target="https://www.scopus.com/pages/publications/85198130684?origin=resultslist" TargetMode="External"/><Relationship Id="rId36" Type="http://schemas.openxmlformats.org/officeDocument/2006/relationships/hyperlink" Target="https://www.scopus.com/authid/detail.uri?authorId=57215216885" TargetMode="External"/><Relationship Id="rId10" Type="http://schemas.openxmlformats.org/officeDocument/2006/relationships/hyperlink" Target="https://openscience.uz/index.php/sciedu/article/view/665/656" TargetMode="External"/><Relationship Id="rId19" Type="http://schemas.openxmlformats.org/officeDocument/2006/relationships/hyperlink" Target="https://doi.org/10.1063/5.0218869" TargetMode="External"/><Relationship Id="rId31" Type="http://schemas.openxmlformats.org/officeDocument/2006/relationships/hyperlink" Target="https://www.scopus.com/authid/detail.uri?authorId=57215216885" TargetMode="External"/><Relationship Id="rId4" Type="http://schemas.openxmlformats.org/officeDocument/2006/relationships/webSettings" Target="webSettings.xml"/><Relationship Id="rId9" Type="http://schemas.openxmlformats.org/officeDocument/2006/relationships/hyperlink" Target="https://scienceproblems.uz" TargetMode="External"/><Relationship Id="rId14" Type="http://schemas.openxmlformats.org/officeDocument/2006/relationships/hyperlink" Target="https://doi.org/10.1007/s10749-024-01720-2" TargetMode="External"/><Relationship Id="rId22" Type="http://schemas.openxmlformats.org/officeDocument/2006/relationships/hyperlink" Target="https://doi.org/10.1063/5.0305792" TargetMode="External"/><Relationship Id="rId27" Type="http://schemas.openxmlformats.org/officeDocument/2006/relationships/hyperlink" Target="https://www.scopus.com/pages/publications/105013341188?origin=resultslist" TargetMode="External"/><Relationship Id="rId30" Type="http://schemas.openxmlformats.org/officeDocument/2006/relationships/hyperlink" Target="https://www.scopus.com/pages/publications/85186989203?origin=resultslist" TargetMode="External"/><Relationship Id="rId35" Type="http://schemas.openxmlformats.org/officeDocument/2006/relationships/hyperlink" Target="https://www.scopus.com/pages/publications/85151264661?origin=resultslist" TargetMode="External"/><Relationship Id="rId43" Type="http://schemas.openxmlformats.org/officeDocument/2006/relationships/theme" Target="theme/theme1.xml"/><Relationship Id="rId8" Type="http://schemas.openxmlformats.org/officeDocument/2006/relationships/hyperlink" Target="http://journals.nuu.uz" TargetMode="External"/><Relationship Id="rId3" Type="http://schemas.openxmlformats.org/officeDocument/2006/relationships/settings" Target="settings.xml"/><Relationship Id="rId12" Type="http://schemas.openxmlformats.org/officeDocument/2006/relationships/hyperlink" Target="https://agroinnovatsiya.uz/index.php/ag/issue/view/8/6" TargetMode="External"/><Relationship Id="rId17" Type="http://schemas.openxmlformats.org/officeDocument/2006/relationships/hyperlink" Target="https://doi.org/10.10.1145/3748825.3748963" TargetMode="External"/><Relationship Id="rId25" Type="http://schemas.openxmlformats.org/officeDocument/2006/relationships/hyperlink" Target="https://www.scopus.com/pages/publications/105013282668?origin=resultslist" TargetMode="External"/><Relationship Id="rId33" Type="http://schemas.openxmlformats.org/officeDocument/2006/relationships/hyperlink" Target="https://www.scopus.com/authid/detail.uri?authorId=57215216885" TargetMode="External"/><Relationship Id="rId38" Type="http://schemas.openxmlformats.org/officeDocument/2006/relationships/hyperlink" Target="https://www.scopus.com/pages/publications/85133010767?origin=results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5064</Words>
  <Characters>28869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2025-12-30T06:25:00Z</dcterms:created>
  <dcterms:modified xsi:type="dcterms:W3CDTF">2026-01-07T14:12:00Z</dcterms:modified>
</cp:coreProperties>
</file>