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1F5ECB41" w:rsidR="001E129E" w:rsidRPr="00B93038" w:rsidRDefault="007669EC" w:rsidP="00C5048C">
      <w:pPr>
        <w:spacing w:before="1200" w:after="200" w:line="240" w:lineRule="auto"/>
        <w:jc w:val="center"/>
        <w:rPr>
          <w:rFonts w:ascii="Times New Roman" w:hAnsi="Times New Roman" w:cs="Times New Roman"/>
          <w:b/>
          <w:sz w:val="36"/>
          <w:szCs w:val="36"/>
        </w:rPr>
      </w:pPr>
      <w:r w:rsidRPr="00B93038">
        <w:rPr>
          <w:rFonts w:ascii="Times New Roman" w:hAnsi="Times New Roman" w:cs="Times New Roman"/>
          <w:b/>
          <w:sz w:val="36"/>
          <w:szCs w:val="36"/>
        </w:rPr>
        <w:t>Classification and Hierarchical Structuring of Factors Influencing CO₂ Emissions: A Systems-Based Analytical Framework</w:t>
      </w:r>
    </w:p>
    <w:p w14:paraId="26A346E9" w14:textId="2EAFA71A" w:rsidR="00B93038" w:rsidRPr="00B93038" w:rsidRDefault="00B93038" w:rsidP="00B93038">
      <w:pPr>
        <w:pStyle w:val="AuthorName"/>
        <w:spacing w:before="240" w:after="200"/>
        <w:rPr>
          <w:sz w:val="20"/>
          <w:lang w:eastAsia="en-GB"/>
        </w:rPr>
      </w:pPr>
      <w:proofErr w:type="spellStart"/>
      <w:r w:rsidRPr="00B93038">
        <w:t>Ikromjon</w:t>
      </w:r>
      <w:proofErr w:type="spellEnd"/>
      <w:r w:rsidRPr="00B93038">
        <w:t xml:space="preserve"> </w:t>
      </w:r>
      <w:proofErr w:type="spellStart"/>
      <w:r w:rsidRPr="00B93038">
        <w:t>Rakhmonov</w:t>
      </w:r>
      <w:proofErr w:type="spellEnd"/>
      <w:r w:rsidRPr="00B93038">
        <w:t xml:space="preserve"> </w:t>
      </w:r>
      <w:r w:rsidRPr="00B93038">
        <w:rPr>
          <w:vertAlign w:val="superscript"/>
        </w:rPr>
        <w:t>1</w:t>
      </w:r>
      <w:r w:rsidRPr="00B93038">
        <w:rPr>
          <w:szCs w:val="36"/>
          <w:vertAlign w:val="superscript"/>
          <w:lang w:val="uz-Cyrl-UZ"/>
        </w:rPr>
        <w:t>,</w:t>
      </w:r>
      <w:r w:rsidRPr="00B93038">
        <w:rPr>
          <w:szCs w:val="36"/>
          <w:vertAlign w:val="superscript"/>
        </w:rPr>
        <w:t xml:space="preserve"> 5</w:t>
      </w:r>
      <w:r w:rsidR="000910CE">
        <w:rPr>
          <w:szCs w:val="36"/>
          <w:vertAlign w:val="superscript"/>
        </w:rPr>
        <w:t>, a)</w:t>
      </w:r>
      <w:r w:rsidRPr="00B93038">
        <w:t xml:space="preserve">, </w:t>
      </w:r>
      <w:proofErr w:type="spellStart"/>
      <w:r w:rsidRPr="00B93038">
        <w:t>Laziz</w:t>
      </w:r>
      <w:proofErr w:type="spellEnd"/>
      <w:r w:rsidRPr="00B93038">
        <w:t xml:space="preserve"> </w:t>
      </w:r>
      <w:proofErr w:type="spellStart"/>
      <w:r w:rsidRPr="00B93038">
        <w:t>Nematov</w:t>
      </w:r>
      <w:proofErr w:type="spellEnd"/>
      <w:r w:rsidRPr="00B93038">
        <w:t xml:space="preserve"> </w:t>
      </w:r>
      <w:r w:rsidRPr="00B93038">
        <w:rPr>
          <w:vertAlign w:val="superscript"/>
        </w:rPr>
        <w:t>2</w:t>
      </w:r>
      <w:r w:rsidRPr="00B93038">
        <w:t xml:space="preserve">, </w:t>
      </w:r>
      <w:proofErr w:type="spellStart"/>
      <w:r w:rsidRPr="00B93038">
        <w:t>Dilnaz</w:t>
      </w:r>
      <w:proofErr w:type="spellEnd"/>
      <w:r w:rsidRPr="00B93038">
        <w:t xml:space="preserve"> </w:t>
      </w:r>
      <w:proofErr w:type="spellStart"/>
      <w:r w:rsidRPr="00B93038">
        <w:t>Esnazarova</w:t>
      </w:r>
      <w:proofErr w:type="spellEnd"/>
      <w:r w:rsidRPr="00B93038">
        <w:t xml:space="preserve"> </w:t>
      </w:r>
      <w:proofErr w:type="gramStart"/>
      <w:r w:rsidRPr="00B93038">
        <w:rPr>
          <w:vertAlign w:val="superscript"/>
        </w:rPr>
        <w:t>3</w:t>
      </w:r>
      <w:r w:rsidRPr="00B93038">
        <w:t xml:space="preserve">,   </w:t>
      </w:r>
      <w:proofErr w:type="gramEnd"/>
      <w:r w:rsidRPr="00B93038">
        <w:t xml:space="preserve">                  </w:t>
      </w:r>
      <w:proofErr w:type="spellStart"/>
      <w:r w:rsidRPr="00B93038">
        <w:t>Farrukh</w:t>
      </w:r>
      <w:proofErr w:type="spellEnd"/>
      <w:r w:rsidRPr="00B93038">
        <w:t xml:space="preserve"> </w:t>
      </w:r>
      <w:proofErr w:type="spellStart"/>
      <w:r w:rsidRPr="00B93038">
        <w:t>Rakhimov</w:t>
      </w:r>
      <w:proofErr w:type="spellEnd"/>
      <w:r w:rsidRPr="00B93038">
        <w:t xml:space="preserve"> </w:t>
      </w:r>
      <w:r w:rsidRPr="00B93038">
        <w:rPr>
          <w:vertAlign w:val="superscript"/>
        </w:rPr>
        <w:t>4</w:t>
      </w:r>
    </w:p>
    <w:p w14:paraId="60E4121D" w14:textId="77777777" w:rsidR="00B93038" w:rsidRPr="00B93038" w:rsidRDefault="00B93038" w:rsidP="00B93038">
      <w:pPr>
        <w:pStyle w:val="AuthorAffiliation"/>
      </w:pPr>
      <w:r w:rsidRPr="00B93038">
        <w:rPr>
          <w:vertAlign w:val="superscript"/>
          <w:lang w:val="uz-Cyrl-UZ"/>
        </w:rPr>
        <w:t>1</w:t>
      </w:r>
      <w:r w:rsidRPr="00B93038">
        <w:t xml:space="preserve">Tashkent state technical university named after Islam </w:t>
      </w:r>
      <w:proofErr w:type="spellStart"/>
      <w:r w:rsidRPr="00B93038">
        <w:t>Karimov</w:t>
      </w:r>
      <w:proofErr w:type="spellEnd"/>
      <w:r w:rsidRPr="00B93038">
        <w:t>, Tashkent, Uzbekistan</w:t>
      </w:r>
      <w:r w:rsidRPr="00B93038">
        <w:rPr>
          <w:lang w:val="uz-Cyrl-UZ"/>
        </w:rPr>
        <w:t xml:space="preserve"> </w:t>
      </w:r>
    </w:p>
    <w:p w14:paraId="2897C897" w14:textId="77777777" w:rsidR="00B93038" w:rsidRPr="00B93038" w:rsidRDefault="00B93038" w:rsidP="00B93038">
      <w:pPr>
        <w:pStyle w:val="AuthorAffiliation"/>
      </w:pPr>
      <w:r w:rsidRPr="00B93038">
        <w:rPr>
          <w:vertAlign w:val="superscript"/>
        </w:rPr>
        <w:t xml:space="preserve">2 </w:t>
      </w:r>
      <w:r w:rsidRPr="00B93038">
        <w:t>Bukhara State Technical University, Bukhara, Uzbekistan</w:t>
      </w:r>
    </w:p>
    <w:p w14:paraId="61F70B77" w14:textId="77777777" w:rsidR="00B93038" w:rsidRPr="00B93038" w:rsidRDefault="00B93038" w:rsidP="00B93038">
      <w:pPr>
        <w:pStyle w:val="AuthorAffiliation"/>
      </w:pPr>
      <w:r w:rsidRPr="00B93038">
        <w:rPr>
          <w:vertAlign w:val="superscript"/>
        </w:rPr>
        <w:t>3</w:t>
      </w:r>
      <w:r w:rsidRPr="00B93038">
        <w:t xml:space="preserve">Karakalpak State University named after </w:t>
      </w:r>
      <w:proofErr w:type="spellStart"/>
      <w:r w:rsidRPr="00B93038">
        <w:t>Berdakh</w:t>
      </w:r>
      <w:proofErr w:type="spellEnd"/>
      <w:r w:rsidRPr="00B93038">
        <w:t xml:space="preserve">, </w:t>
      </w:r>
      <w:proofErr w:type="spellStart"/>
      <w:r w:rsidRPr="00B93038">
        <w:t>Nukus</w:t>
      </w:r>
      <w:proofErr w:type="spellEnd"/>
      <w:r w:rsidRPr="00B93038">
        <w:t>, Uzbekistan</w:t>
      </w:r>
    </w:p>
    <w:p w14:paraId="5D7FC06D" w14:textId="77777777" w:rsidR="00B93038" w:rsidRPr="00B93038" w:rsidRDefault="00B93038" w:rsidP="00B93038">
      <w:pPr>
        <w:pStyle w:val="AuthorAffiliation"/>
      </w:pPr>
      <w:r w:rsidRPr="00B93038">
        <w:rPr>
          <w:vertAlign w:val="superscript"/>
        </w:rPr>
        <w:t xml:space="preserve">4 </w:t>
      </w:r>
      <w:proofErr w:type="spellStart"/>
      <w:r w:rsidRPr="00B93038">
        <w:t>Navoi</w:t>
      </w:r>
      <w:proofErr w:type="spellEnd"/>
      <w:r w:rsidRPr="00B93038">
        <w:t xml:space="preserve"> State University of Mining and Technologies, </w:t>
      </w:r>
      <w:proofErr w:type="spellStart"/>
      <w:r w:rsidRPr="00B93038">
        <w:t>Navoiy</w:t>
      </w:r>
      <w:proofErr w:type="spellEnd"/>
      <w:r w:rsidRPr="00B93038">
        <w:t>, Uzbekistan</w:t>
      </w:r>
    </w:p>
    <w:p w14:paraId="0905FA88" w14:textId="77777777" w:rsidR="00B93038" w:rsidRPr="00B93038" w:rsidRDefault="00B93038" w:rsidP="00B93038">
      <w:pPr>
        <w:pStyle w:val="AuthorAffiliation"/>
      </w:pPr>
      <w:r w:rsidRPr="00B93038">
        <w:rPr>
          <w:vertAlign w:val="superscript"/>
        </w:rPr>
        <w:t>5</w:t>
      </w:r>
      <w:r w:rsidRPr="00B93038">
        <w:t xml:space="preserve">Termez State University of Engineering and </w:t>
      </w:r>
      <w:proofErr w:type="spellStart"/>
      <w:r w:rsidRPr="00B93038">
        <w:t>Agrotechnology</w:t>
      </w:r>
      <w:proofErr w:type="spellEnd"/>
      <w:r w:rsidRPr="00B93038">
        <w:t xml:space="preserve">, </w:t>
      </w:r>
      <w:proofErr w:type="spellStart"/>
      <w:r w:rsidRPr="00B93038">
        <w:t>Termez</w:t>
      </w:r>
      <w:proofErr w:type="spellEnd"/>
      <w:r w:rsidRPr="00B93038">
        <w:t>, Uzbekistan</w:t>
      </w:r>
    </w:p>
    <w:p w14:paraId="4568DA38" w14:textId="50EC7DC4" w:rsidR="00B93038" w:rsidRPr="00B93038" w:rsidRDefault="00B93038" w:rsidP="00B93038">
      <w:pPr>
        <w:pStyle w:val="AuthorAffiliation"/>
        <w:spacing w:before="200" w:after="200"/>
      </w:pPr>
      <w:r w:rsidRPr="00B93038">
        <w:rPr>
          <w:szCs w:val="18"/>
          <w:vertAlign w:val="superscript"/>
        </w:rPr>
        <w:t>a)</w:t>
      </w:r>
      <w:r w:rsidRPr="00B93038">
        <w:rPr>
          <w:szCs w:val="18"/>
        </w:rPr>
        <w:t xml:space="preserve"> Corresponding author: </w:t>
      </w:r>
      <w:hyperlink r:id="rId5" w:history="1">
        <w:r w:rsidR="000910CE" w:rsidRPr="006B4AD2">
          <w:rPr>
            <w:rStyle w:val="a6"/>
          </w:rPr>
          <w:t>ilider1987@yandex.com</w:t>
        </w:r>
      </w:hyperlink>
      <w:r w:rsidR="000910CE">
        <w:t xml:space="preserve"> </w:t>
      </w:r>
      <w:r w:rsidRPr="00B93038">
        <w:t xml:space="preserve"> </w:t>
      </w:r>
    </w:p>
    <w:p w14:paraId="410B173B" w14:textId="696DDBB9" w:rsidR="00BC4E3B" w:rsidRPr="00B93038" w:rsidRDefault="00E25282" w:rsidP="007E665B">
      <w:pPr>
        <w:spacing w:before="360" w:after="360" w:line="240" w:lineRule="auto"/>
        <w:ind w:left="284" w:right="284"/>
        <w:jc w:val="both"/>
        <w:rPr>
          <w:rFonts w:ascii="Times New Roman" w:hAnsi="Times New Roman" w:cs="Times New Roman"/>
          <w:sz w:val="18"/>
          <w:szCs w:val="18"/>
        </w:rPr>
      </w:pPr>
      <w:r w:rsidRPr="00B93038">
        <w:rPr>
          <w:rFonts w:ascii="Times New Roman" w:hAnsi="Times New Roman" w:cs="Times New Roman"/>
          <w:b/>
          <w:sz w:val="18"/>
          <w:szCs w:val="18"/>
        </w:rPr>
        <w:t>Abstract</w:t>
      </w:r>
      <w:r w:rsidR="00CA398A" w:rsidRPr="00B93038">
        <w:rPr>
          <w:rFonts w:ascii="Times New Roman" w:hAnsi="Times New Roman" w:cs="Times New Roman"/>
          <w:b/>
          <w:sz w:val="18"/>
          <w:szCs w:val="18"/>
        </w:rPr>
        <w:t>.</w:t>
      </w:r>
      <w:r w:rsidR="009A5415" w:rsidRPr="00B93038">
        <w:rPr>
          <w:rFonts w:ascii="Times New Roman" w:hAnsi="Times New Roman" w:cs="Times New Roman"/>
        </w:rPr>
        <w:t xml:space="preserve"> </w:t>
      </w:r>
      <w:r w:rsidR="007E665B" w:rsidRPr="00B93038">
        <w:rPr>
          <w:rFonts w:ascii="Times New Roman" w:hAnsi="Times New Roman" w:cs="Times New Roman"/>
          <w:iCs/>
          <w:sz w:val="18"/>
          <w:szCs w:val="18"/>
          <w:lang w:val="uz-Cyrl-UZ"/>
        </w:rPr>
        <w:t>Effective mitigation of carbon dioxide (CO₂) emissions demands analytical frameworks that reflect the structural and technological complexity of contemporary energy systems. This study introduces a novel multiscale classification and hierarchical structuring of CO₂ emission factors designed to support sustainable energy system planning. Instead of analyzing emission drivers in isolation, the proposed approach organizes them into interconnected macroeconomic, meso-level structural, and micro-level technological layers, enabling a more comprehensive interpretation of emission dynamics.</w:t>
      </w:r>
      <w:r w:rsidR="007E665B" w:rsidRPr="00B93038">
        <w:rPr>
          <w:rFonts w:ascii="Times New Roman" w:hAnsi="Times New Roman" w:cs="Times New Roman"/>
          <w:iCs/>
          <w:sz w:val="18"/>
          <w:szCs w:val="18"/>
        </w:rPr>
        <w:t xml:space="preserve"> </w:t>
      </w:r>
      <w:r w:rsidR="007E665B" w:rsidRPr="00B93038">
        <w:rPr>
          <w:rFonts w:ascii="Times New Roman" w:hAnsi="Times New Roman" w:cs="Times New Roman"/>
          <w:iCs/>
          <w:sz w:val="18"/>
          <w:szCs w:val="18"/>
          <w:lang w:val="uz-Cyrl-UZ"/>
        </w:rPr>
        <w:t>The framework combines hierarchical modeling with quantitative decomposition techniques to distinguish between factors that primarily determine emission pressure and those that provide the greatest mitigation leverage. The results indicate that although macro-level drivers largely shape overall emission trajectories, the most effective and controllable reduction potential is concentrated at the meso and micro levels, particularly through power-sector decarbonization, improvements in energy intensity, and accelerated electrification of end-use sectors. Furthermore, cross-cutting enablers such as digital monitoring, demand-side management, and coordinated regulatory instruments significantly enhance system flexibility and mitigation efficiency.</w:t>
      </w:r>
      <w:r w:rsidR="007E665B" w:rsidRPr="00B93038">
        <w:rPr>
          <w:rFonts w:ascii="Times New Roman" w:hAnsi="Times New Roman" w:cs="Times New Roman"/>
          <w:iCs/>
          <w:sz w:val="18"/>
          <w:szCs w:val="18"/>
        </w:rPr>
        <w:t xml:space="preserve"> </w:t>
      </w:r>
      <w:r w:rsidR="007E665B" w:rsidRPr="00B93038">
        <w:rPr>
          <w:rFonts w:ascii="Times New Roman" w:hAnsi="Times New Roman" w:cs="Times New Roman"/>
          <w:iCs/>
          <w:sz w:val="18"/>
          <w:szCs w:val="18"/>
          <w:lang w:val="uz-Cyrl-UZ"/>
        </w:rPr>
        <w:t>By integrating structural classification with numerical assessment, the proposed methodology offers both conceptual clarity and practical relevance. It enables policymakers and energy planners to prioritize interventions, evaluate strategic trade-offs, and design coherent long-term decarbonization pathways. Consequently, the study contributes a scalable and analytically robust tool for evidence-based decision-making in low-carbon energy transitions.</w:t>
      </w:r>
    </w:p>
    <w:p w14:paraId="61870707" w14:textId="1ED93274" w:rsidR="008A22AB" w:rsidRPr="00B93038" w:rsidRDefault="00CA398A" w:rsidP="00CA398A">
      <w:pPr>
        <w:spacing w:before="240" w:after="240" w:line="240" w:lineRule="auto"/>
        <w:ind w:firstLine="567"/>
        <w:jc w:val="center"/>
        <w:rPr>
          <w:rFonts w:ascii="Times New Roman" w:hAnsi="Times New Roman" w:cs="Times New Roman"/>
          <w:b/>
          <w:sz w:val="24"/>
          <w:szCs w:val="24"/>
        </w:rPr>
      </w:pPr>
      <w:r w:rsidRPr="00B93038">
        <w:rPr>
          <w:rFonts w:ascii="Times New Roman" w:hAnsi="Times New Roman" w:cs="Times New Roman"/>
          <w:b/>
          <w:sz w:val="24"/>
          <w:szCs w:val="24"/>
        </w:rPr>
        <w:t>INTRODUCTION</w:t>
      </w:r>
    </w:p>
    <w:p w14:paraId="07860833" w14:textId="21C72E2E" w:rsidR="00B9015F" w:rsidRPr="00B93038" w:rsidRDefault="00B9015F" w:rsidP="00B9015F">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B93038">
        <w:rPr>
          <w:rFonts w:ascii="Times New Roman" w:eastAsia="Calibri" w:hAnsi="Times New Roman" w:cs="Times New Roman"/>
          <w:color w:val="000000"/>
          <w:sz w:val="20"/>
          <w:szCs w:val="24"/>
        </w:rPr>
        <w:t>The rapid growth of anthropogenic carbon dioxide (CO₂) emissions remains one of the most critical challenges confronting the global energy system. According to widely reported international assessments, global energy-related CO₂ emissions reached approximately 37–38 Gt in 2023–2024, exceeding pre-pandemic levels and highlighting the persistent dependence of modern economies on fossil fuels. More than 70 % of total greenhouse gas emissions are directly linked to energy production and consumption, with electricity and heat generation alone accounting for about 40 % of energy-related CO₂ emissions, followed by industry (≈25 %) and transport (≈20–22 %). These figures clearly demonstrate that sustainable energy system planning is central to achieving international climate targets, including the goal of limiting global warming to 1.5–2 °C above pre-industrial levels. Despite significant progress in renewable energy deployment—global installed renewable power capacity exceeded 3.8 TW in 2023, with annual additions above 500 GW—overall CO₂ emissions have not yet entered a sustained decline</w:t>
      </w:r>
      <w:r w:rsidR="007E665B" w:rsidRPr="00B93038">
        <w:rPr>
          <w:rFonts w:ascii="Times New Roman" w:eastAsia="Calibri" w:hAnsi="Times New Roman" w:cs="Times New Roman"/>
          <w:color w:val="000000"/>
          <w:sz w:val="20"/>
          <w:szCs w:val="24"/>
        </w:rPr>
        <w:t xml:space="preserve"> [1,2]</w:t>
      </w:r>
      <w:r w:rsidRPr="00B93038">
        <w:rPr>
          <w:rFonts w:ascii="Times New Roman" w:eastAsia="Calibri" w:hAnsi="Times New Roman" w:cs="Times New Roman"/>
          <w:color w:val="000000"/>
          <w:sz w:val="20"/>
          <w:szCs w:val="24"/>
        </w:rPr>
        <w:t>. This apparent paradox is largely explained by continued growth in electricity demand (around 2.5–3 % per year globally), rising industrial output in developing economies, and structural inertia within existing energy infrastructures. Consequently, emission mitigation cannot rely solely on single-sector solutions; instead, it requires a comprehensive understanding of the multiple drivers influencing CO₂ emissions across different scales of the energy system.</w:t>
      </w:r>
    </w:p>
    <w:p w14:paraId="66A47F01" w14:textId="22F1901B" w:rsidR="00B9015F" w:rsidRPr="00B93038" w:rsidRDefault="00B9015F" w:rsidP="00B9015F">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B93038">
        <w:rPr>
          <w:rFonts w:ascii="Times New Roman" w:eastAsia="Calibri" w:hAnsi="Times New Roman" w:cs="Times New Roman"/>
          <w:color w:val="000000"/>
          <w:sz w:val="20"/>
          <w:szCs w:val="24"/>
        </w:rPr>
        <w:lastRenderedPageBreak/>
        <w:t xml:space="preserve">Traditional approaches to emission analysis often focus on isolated indicators, such as energy intensity or fuel substitution, without adequately capturing their interdependencies. However, CO₂ emissions are inherently the result of interactions between macroeconomic factors (population growth, economic development), </w:t>
      </w:r>
      <w:proofErr w:type="spellStart"/>
      <w:r w:rsidRPr="00B93038">
        <w:rPr>
          <w:rFonts w:ascii="Times New Roman" w:eastAsia="Calibri" w:hAnsi="Times New Roman" w:cs="Times New Roman"/>
          <w:color w:val="000000"/>
          <w:sz w:val="20"/>
          <w:szCs w:val="24"/>
        </w:rPr>
        <w:t>meso</w:t>
      </w:r>
      <w:proofErr w:type="spellEnd"/>
      <w:r w:rsidRPr="00B93038">
        <w:rPr>
          <w:rFonts w:ascii="Times New Roman" w:eastAsia="Calibri" w:hAnsi="Times New Roman" w:cs="Times New Roman"/>
          <w:color w:val="000000"/>
          <w:sz w:val="20"/>
          <w:szCs w:val="24"/>
        </w:rPr>
        <w:t xml:space="preserve">-level structural characteristics (sectoral composition, energy intensity, infrastructure), and micro-level technological and operational factors (generation technologies, end-use efficiency, process optimization). For example, improvements in end-use efficiency may be partially offset by increased economic activity, while large-scale electrification yields meaningful emission reductions only if accompanied by substantial </w:t>
      </w:r>
      <w:proofErr w:type="spellStart"/>
      <w:r w:rsidRPr="00B93038">
        <w:rPr>
          <w:rFonts w:ascii="Times New Roman" w:eastAsia="Calibri" w:hAnsi="Times New Roman" w:cs="Times New Roman"/>
          <w:color w:val="000000"/>
          <w:sz w:val="20"/>
          <w:szCs w:val="24"/>
        </w:rPr>
        <w:t>decarbonization</w:t>
      </w:r>
      <w:proofErr w:type="spellEnd"/>
      <w:r w:rsidRPr="00B93038">
        <w:rPr>
          <w:rFonts w:ascii="Times New Roman" w:eastAsia="Calibri" w:hAnsi="Times New Roman" w:cs="Times New Roman"/>
          <w:color w:val="000000"/>
          <w:sz w:val="20"/>
          <w:szCs w:val="24"/>
        </w:rPr>
        <w:t xml:space="preserve"> of the power sector. A multiscale classification and hierarchical structuring of CO₂ emission factors offers a more robust analytical basis for sustainable energy system planning</w:t>
      </w:r>
      <w:r w:rsidR="007E665B" w:rsidRPr="00B93038">
        <w:rPr>
          <w:rFonts w:ascii="Times New Roman" w:eastAsia="Calibri" w:hAnsi="Times New Roman" w:cs="Times New Roman"/>
          <w:color w:val="000000"/>
          <w:sz w:val="20"/>
          <w:szCs w:val="24"/>
        </w:rPr>
        <w:t xml:space="preserve"> [3,4]</w:t>
      </w:r>
      <w:r w:rsidRPr="00B93038">
        <w:rPr>
          <w:rFonts w:ascii="Times New Roman" w:eastAsia="Calibri" w:hAnsi="Times New Roman" w:cs="Times New Roman"/>
          <w:color w:val="000000"/>
          <w:sz w:val="20"/>
          <w:szCs w:val="24"/>
        </w:rPr>
        <w:t>. Such an approach enables the systematic decomposition of emission dynamics, identification of dominant drivers at each scale, and quantitative assessment of mitigation potentials. Hierarchical models are particularly valuable for policy and planning because they clarify which factors primarily define emission pressure (macro level) and which provide the most effective control levers (</w:t>
      </w:r>
      <w:proofErr w:type="spellStart"/>
      <w:r w:rsidRPr="00B93038">
        <w:rPr>
          <w:rFonts w:ascii="Times New Roman" w:eastAsia="Calibri" w:hAnsi="Times New Roman" w:cs="Times New Roman"/>
          <w:color w:val="000000"/>
          <w:sz w:val="20"/>
          <w:szCs w:val="24"/>
        </w:rPr>
        <w:t>meso</w:t>
      </w:r>
      <w:proofErr w:type="spellEnd"/>
      <w:r w:rsidRPr="00B93038">
        <w:rPr>
          <w:rFonts w:ascii="Times New Roman" w:eastAsia="Calibri" w:hAnsi="Times New Roman" w:cs="Times New Roman"/>
          <w:color w:val="000000"/>
          <w:sz w:val="20"/>
          <w:szCs w:val="24"/>
        </w:rPr>
        <w:t xml:space="preserve"> and micro levels).</w:t>
      </w:r>
    </w:p>
    <w:p w14:paraId="080D3D63" w14:textId="7FE77C9F" w:rsidR="00B9015F" w:rsidRPr="00B93038" w:rsidRDefault="00B9015F" w:rsidP="00B9015F">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B93038">
        <w:rPr>
          <w:rFonts w:ascii="Times New Roman" w:eastAsia="Calibri" w:hAnsi="Times New Roman" w:cs="Times New Roman"/>
          <w:color w:val="000000"/>
          <w:sz w:val="20"/>
          <w:szCs w:val="24"/>
        </w:rPr>
        <w:t>The growing role of digital technologies, including advanced monitoring systems, data analytics, and demand-side management, introduces new cross-cutting mechanisms that influence emission trajectories across all scales. Digitalization can improve system flexibility, reduce losses, and enhance the integration of variable renewable energy sources, thereby amplifying the effectiveness of conventional mitigation measures.</w:t>
      </w:r>
    </w:p>
    <w:p w14:paraId="5AF256BB" w14:textId="23DC57D1" w:rsidR="00487CEA" w:rsidRPr="00B93038" w:rsidRDefault="00CE7286" w:rsidP="00193710">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B93038">
        <w:rPr>
          <w:rFonts w:ascii="Times New Roman" w:hAnsi="Times New Roman" w:cs="Times New Roman"/>
          <w:b/>
          <w:sz w:val="24"/>
          <w:szCs w:val="24"/>
        </w:rPr>
        <w:t>RESULT AND DISSCUSSION</w:t>
      </w:r>
    </w:p>
    <w:p w14:paraId="31916B1C" w14:textId="76F4EDEE" w:rsidR="00906574" w:rsidRPr="00B93038" w:rsidRDefault="00906574" w:rsidP="0016633B">
      <w:pPr>
        <w:shd w:val="clear" w:color="auto" w:fill="FFFFFF"/>
        <w:tabs>
          <w:tab w:val="left" w:pos="5220"/>
        </w:tabs>
        <w:spacing w:after="0" w:line="240" w:lineRule="auto"/>
        <w:ind w:firstLine="284"/>
        <w:jc w:val="both"/>
        <w:rPr>
          <w:rFonts w:ascii="Times New Roman" w:eastAsia="Calibri" w:hAnsi="Times New Roman" w:cs="Times New Roman"/>
          <w:color w:val="000000"/>
          <w:sz w:val="20"/>
          <w:szCs w:val="24"/>
        </w:rPr>
      </w:pPr>
      <w:r w:rsidRPr="00B93038">
        <w:rPr>
          <w:rFonts w:ascii="Times New Roman" w:eastAsia="Calibri" w:hAnsi="Times New Roman" w:cs="Times New Roman"/>
          <w:color w:val="000000"/>
          <w:sz w:val="20"/>
          <w:szCs w:val="24"/>
        </w:rPr>
        <w:t xml:space="preserve">The proposed multiscale taxonomy groups CO₂ drivers into macro, </w:t>
      </w:r>
      <w:proofErr w:type="spellStart"/>
      <w:r w:rsidRPr="00B93038">
        <w:rPr>
          <w:rFonts w:ascii="Times New Roman" w:eastAsia="Calibri" w:hAnsi="Times New Roman" w:cs="Times New Roman"/>
          <w:color w:val="000000"/>
          <w:sz w:val="20"/>
          <w:szCs w:val="24"/>
        </w:rPr>
        <w:t>meso</w:t>
      </w:r>
      <w:proofErr w:type="spellEnd"/>
      <w:r w:rsidRPr="00B93038">
        <w:rPr>
          <w:rFonts w:ascii="Times New Roman" w:eastAsia="Calibri" w:hAnsi="Times New Roman" w:cs="Times New Roman"/>
          <w:color w:val="000000"/>
          <w:sz w:val="20"/>
          <w:szCs w:val="24"/>
        </w:rPr>
        <w:t>, and micro layers, complemented by cross-cutting enablers (digitalization, finance, regulation). This structure is consistent with the evidence that emissions are simultaneously shaped by (</w:t>
      </w:r>
      <w:proofErr w:type="spellStart"/>
      <w:r w:rsidRPr="00B93038">
        <w:rPr>
          <w:rFonts w:ascii="Times New Roman" w:eastAsia="Calibri" w:hAnsi="Times New Roman" w:cs="Times New Roman"/>
          <w:color w:val="000000"/>
          <w:sz w:val="20"/>
          <w:szCs w:val="24"/>
        </w:rPr>
        <w:t>i</w:t>
      </w:r>
      <w:proofErr w:type="spellEnd"/>
      <w:r w:rsidRPr="00B93038">
        <w:rPr>
          <w:rFonts w:ascii="Times New Roman" w:eastAsia="Calibri" w:hAnsi="Times New Roman" w:cs="Times New Roman"/>
          <w:color w:val="000000"/>
          <w:sz w:val="20"/>
          <w:szCs w:val="24"/>
        </w:rPr>
        <w:t>) overall activity growth, (ii) sectoral structure and energy intensity, and (iii) technology/fuel choices and operational efficiency. In recent global assessments, energy-related CO₂ emissions reached 37.8 Gt in 2024, indicating that system-level planning remains decisive for mitigation trajectories</w:t>
      </w:r>
      <w:r w:rsidR="007E665B" w:rsidRPr="00B93038">
        <w:rPr>
          <w:rFonts w:ascii="Times New Roman" w:eastAsia="Calibri" w:hAnsi="Times New Roman" w:cs="Times New Roman"/>
          <w:color w:val="000000"/>
          <w:sz w:val="20"/>
          <w:szCs w:val="24"/>
        </w:rPr>
        <w:t xml:space="preserve"> [3,6]</w:t>
      </w:r>
      <w:r w:rsidRPr="00B93038">
        <w:rPr>
          <w:rFonts w:ascii="Times New Roman" w:eastAsia="Calibri" w:hAnsi="Times New Roman" w:cs="Times New Roman"/>
          <w:color w:val="000000"/>
          <w:sz w:val="20"/>
          <w:szCs w:val="24"/>
        </w:rPr>
        <w:t xml:space="preserve">. </w:t>
      </w:r>
    </w:p>
    <w:p w14:paraId="7CF7DD30" w14:textId="60CCF2F4" w:rsidR="00906574" w:rsidRPr="00B93038" w:rsidRDefault="00906574" w:rsidP="0016633B">
      <w:pPr>
        <w:shd w:val="clear" w:color="auto" w:fill="FFFFFF"/>
        <w:tabs>
          <w:tab w:val="left" w:pos="5220"/>
        </w:tabs>
        <w:spacing w:after="0" w:line="240" w:lineRule="auto"/>
        <w:ind w:firstLine="284"/>
        <w:jc w:val="both"/>
        <w:rPr>
          <w:rFonts w:ascii="Times New Roman" w:eastAsia="Calibri" w:hAnsi="Times New Roman" w:cs="Times New Roman"/>
          <w:color w:val="000000"/>
          <w:sz w:val="20"/>
          <w:szCs w:val="24"/>
        </w:rPr>
      </w:pPr>
      <w:r w:rsidRPr="00B93038">
        <w:rPr>
          <w:rFonts w:ascii="Times New Roman" w:eastAsia="Calibri" w:hAnsi="Times New Roman" w:cs="Times New Roman"/>
          <w:color w:val="000000"/>
          <w:sz w:val="20"/>
          <w:szCs w:val="24"/>
        </w:rPr>
        <w:t xml:space="preserve">At the macro level, emissions scale with population and economic output (activity). At the </w:t>
      </w:r>
      <w:proofErr w:type="spellStart"/>
      <w:r w:rsidRPr="00B93038">
        <w:rPr>
          <w:rFonts w:ascii="Times New Roman" w:eastAsia="Calibri" w:hAnsi="Times New Roman" w:cs="Times New Roman"/>
          <w:color w:val="000000"/>
          <w:sz w:val="20"/>
          <w:szCs w:val="24"/>
        </w:rPr>
        <w:t>meso</w:t>
      </w:r>
      <w:proofErr w:type="spellEnd"/>
      <w:r w:rsidRPr="00B93038">
        <w:rPr>
          <w:rFonts w:ascii="Times New Roman" w:eastAsia="Calibri" w:hAnsi="Times New Roman" w:cs="Times New Roman"/>
          <w:color w:val="000000"/>
          <w:sz w:val="20"/>
          <w:szCs w:val="24"/>
        </w:rPr>
        <w:t xml:space="preserve"> level, the system reallocates energy demand across sectors (industry, power, transport, buildings) and changes energy intensity through infrastructure and efficiency programs. At the micro level, emissions respond to technology portfolios: renewable penetration, coal displacement, electrification of end-uses, and industrial process modernization. This layered view is particularly important because sectoral dynamics are heterogeneous: for example, transport accounts for a substantial fraction of energy-related CO₂ (often cited around the low-20% range globally), and its growth trends have differed from power and industry in recent decades.</w:t>
      </w:r>
    </w:p>
    <w:p w14:paraId="35FC6115" w14:textId="4235F94C" w:rsidR="005A0065" w:rsidRPr="00B93038" w:rsidRDefault="005A0065" w:rsidP="007E665B">
      <w:pPr>
        <w:shd w:val="clear" w:color="auto" w:fill="FFFFFF"/>
        <w:tabs>
          <w:tab w:val="left" w:pos="5220"/>
        </w:tabs>
        <w:spacing w:after="0" w:line="240" w:lineRule="auto"/>
        <w:ind w:firstLine="284"/>
        <w:jc w:val="center"/>
        <w:rPr>
          <w:rFonts w:ascii="Times New Roman" w:eastAsia="Calibri" w:hAnsi="Times New Roman" w:cs="Times New Roman"/>
          <w:b/>
          <w:bCs/>
          <w:color w:val="000000"/>
          <w:sz w:val="20"/>
          <w:szCs w:val="24"/>
        </w:rPr>
      </w:pPr>
      <w:r w:rsidRPr="00B93038">
        <w:rPr>
          <w:rFonts w:ascii="Times New Roman" w:eastAsia="Calibri" w:hAnsi="Times New Roman" w:cs="Times New Roman"/>
          <w:b/>
          <w:bCs/>
          <w:noProof/>
          <w:color w:val="000000"/>
          <w:sz w:val="20"/>
          <w:szCs w:val="24"/>
          <w:lang w:val="ru-RU" w:eastAsia="ru-RU"/>
        </w:rPr>
        <w:drawing>
          <wp:inline distT="0" distB="0" distL="0" distR="0" wp14:anchorId="06421A47" wp14:editId="0FBEE211">
            <wp:extent cx="5295331" cy="2998902"/>
            <wp:effectExtent l="0" t="0" r="635" b="0"/>
            <wp:docPr id="11531012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01234" name="Picture 5"/>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sharpenSoften amount="25000"/>
                              </a14:imgEffect>
                              <a14:imgEffect>
                                <a14:brightnessContrast bright="20000" contrast="-20000"/>
                              </a14:imgEffect>
                            </a14:imgLayer>
                          </a14:imgProps>
                        </a:ext>
                        <a:ext uri="{28A0092B-C50C-407E-A947-70E740481C1C}">
                          <a14:useLocalDpi xmlns:a14="http://schemas.microsoft.com/office/drawing/2010/main" val="0"/>
                        </a:ext>
                      </a:extLst>
                    </a:blip>
                    <a:srcRect t="10447" b="4604"/>
                    <a:stretch>
                      <a:fillRect/>
                    </a:stretch>
                  </pic:blipFill>
                  <pic:spPr bwMode="auto">
                    <a:xfrm>
                      <a:off x="0" y="0"/>
                      <a:ext cx="5298847" cy="3000893"/>
                    </a:xfrm>
                    <a:prstGeom prst="rect">
                      <a:avLst/>
                    </a:prstGeom>
                    <a:noFill/>
                    <a:ln>
                      <a:noFill/>
                    </a:ln>
                    <a:extLst>
                      <a:ext uri="{53640926-AAD7-44D8-BBD7-CCE9431645EC}">
                        <a14:shadowObscured xmlns:a14="http://schemas.microsoft.com/office/drawing/2010/main"/>
                      </a:ext>
                    </a:extLst>
                  </pic:spPr>
                </pic:pic>
              </a:graphicData>
            </a:graphic>
          </wp:inline>
        </w:drawing>
      </w:r>
    </w:p>
    <w:p w14:paraId="1EC94678" w14:textId="14D4E35D" w:rsidR="00906574" w:rsidRPr="00B93038" w:rsidRDefault="00D76DF5" w:rsidP="00D76DF5">
      <w:pPr>
        <w:shd w:val="clear" w:color="auto" w:fill="FFFFFF"/>
        <w:tabs>
          <w:tab w:val="left" w:pos="5220"/>
        </w:tabs>
        <w:spacing w:after="0" w:line="240" w:lineRule="auto"/>
        <w:ind w:firstLine="284"/>
        <w:jc w:val="center"/>
        <w:rPr>
          <w:rFonts w:ascii="Times New Roman" w:eastAsia="Calibri" w:hAnsi="Times New Roman" w:cs="Times New Roman"/>
          <w:color w:val="000000"/>
          <w:sz w:val="20"/>
          <w:szCs w:val="24"/>
        </w:rPr>
      </w:pPr>
      <w:r w:rsidRPr="00B93038">
        <w:rPr>
          <w:rFonts w:ascii="Times New Roman" w:eastAsia="Calibri" w:hAnsi="Times New Roman" w:cs="Times New Roman"/>
          <w:b/>
          <w:bCs/>
          <w:color w:val="000000"/>
          <w:sz w:val="20"/>
          <w:szCs w:val="24"/>
        </w:rPr>
        <w:t>FIGURE 1.</w:t>
      </w:r>
      <w:r w:rsidR="00906574" w:rsidRPr="00B93038">
        <w:rPr>
          <w:rFonts w:ascii="Times New Roman" w:eastAsia="Calibri" w:hAnsi="Times New Roman" w:cs="Times New Roman"/>
          <w:color w:val="000000"/>
          <w:sz w:val="20"/>
          <w:szCs w:val="24"/>
        </w:rPr>
        <w:t xml:space="preserve"> </w:t>
      </w:r>
      <w:r w:rsidRPr="00B93038">
        <w:rPr>
          <w:rFonts w:ascii="Times New Roman" w:eastAsia="Calibri" w:hAnsi="Times New Roman" w:cs="Times New Roman"/>
          <w:color w:val="000000"/>
          <w:sz w:val="20"/>
          <w:szCs w:val="24"/>
        </w:rPr>
        <w:t>Multiscale Hierarchical Structure of CO₂ Emission Drivers</w:t>
      </w:r>
    </w:p>
    <w:p w14:paraId="79A8058B" w14:textId="77777777" w:rsidR="00E84753" w:rsidRPr="00B93038" w:rsidRDefault="00E84753" w:rsidP="00BD4FA8">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p>
    <w:p w14:paraId="05256B14" w14:textId="42F7AE5E" w:rsidR="00E84753" w:rsidRPr="00B93038" w:rsidRDefault="00E84753" w:rsidP="00E8475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B93038">
        <w:rPr>
          <w:rFonts w:ascii="Times New Roman" w:eastAsia="Times New Roman" w:hAnsi="Times New Roman" w:cs="Times New Roman"/>
          <w:bCs/>
          <w:sz w:val="20"/>
          <w:szCs w:val="20"/>
          <w:lang w:eastAsia="de-DE"/>
        </w:rPr>
        <w:lastRenderedPageBreak/>
        <w:t>The hierarchical structure can be formalized by a multiscale extension of the Kaya identity, which is convenient for energy-system planning</w:t>
      </w:r>
      <w:r w:rsidR="007E665B" w:rsidRPr="00B93038">
        <w:rPr>
          <w:rFonts w:ascii="Times New Roman" w:eastAsia="Times New Roman" w:hAnsi="Times New Roman" w:cs="Times New Roman"/>
          <w:bCs/>
          <w:sz w:val="20"/>
          <w:szCs w:val="20"/>
          <w:lang w:eastAsia="de-DE"/>
        </w:rPr>
        <w:t xml:space="preserve"> [4,5]</w:t>
      </w:r>
      <w:r w:rsidRPr="00B93038">
        <w:rPr>
          <w:rFonts w:ascii="Times New Roman" w:eastAsia="Times New Roman" w:hAnsi="Times New Roman" w:cs="Times New Roman"/>
          <w:bCs/>
          <w:sz w:val="20"/>
          <w:szCs w:val="20"/>
          <w:lang w:eastAsia="de-DE"/>
        </w:rPr>
        <w:t>:</w:t>
      </w:r>
    </w:p>
    <w:p w14:paraId="07898036" w14:textId="21F2EB18" w:rsidR="00E84753" w:rsidRPr="00B93038" w:rsidRDefault="00E84753" w:rsidP="00B93038">
      <w:pPr>
        <w:shd w:val="clear" w:color="auto" w:fill="FFFFFF"/>
        <w:tabs>
          <w:tab w:val="left" w:pos="5220"/>
        </w:tabs>
        <w:spacing w:after="0" w:line="240" w:lineRule="auto"/>
        <w:ind w:firstLine="284"/>
        <w:jc w:val="right"/>
        <w:rPr>
          <w:rFonts w:ascii="Times New Roman" w:eastAsia="Times New Roman" w:hAnsi="Times New Roman" w:cs="Times New Roman"/>
          <w:bCs/>
          <w:sz w:val="20"/>
          <w:szCs w:val="20"/>
          <w:lang w:eastAsia="de-DE"/>
        </w:rPr>
      </w:pPr>
      <m:oMath>
        <m:r>
          <w:rPr>
            <w:rFonts w:ascii="Cambria Math" w:eastAsia="Times New Roman" w:hAnsi="Cambria Math" w:cs="Times New Roman"/>
            <w:sz w:val="20"/>
            <w:szCs w:val="20"/>
            <w:lang w:eastAsia="de-DE"/>
          </w:rPr>
          <m:t>C</m:t>
        </m:r>
        <m:r>
          <m:rPr>
            <m:nor/>
          </m:rPr>
          <w:rPr>
            <w:rFonts w:ascii="Times New Roman" w:eastAsia="Times New Roman" w:hAnsi="Times New Roman" w:cs="Times New Roman"/>
            <w:bCs/>
            <w:sz w:val="20"/>
            <w:szCs w:val="20"/>
            <w:lang w:eastAsia="de-DE"/>
          </w:rPr>
          <m:t>  </m:t>
        </m:r>
        <m:r>
          <w:rPr>
            <w:rFonts w:ascii="Cambria Math" w:eastAsia="Times New Roman" w:hAnsi="Cambria Math" w:cs="Times New Roman"/>
            <w:sz w:val="20"/>
            <w:szCs w:val="20"/>
            <w:lang w:eastAsia="de-DE"/>
          </w:rPr>
          <m:t>=</m:t>
        </m:r>
        <m:r>
          <m:rPr>
            <m:nor/>
          </m:rPr>
          <w:rPr>
            <w:rFonts w:ascii="Times New Roman" w:eastAsia="Times New Roman" w:hAnsi="Times New Roman" w:cs="Times New Roman"/>
            <w:bCs/>
            <w:sz w:val="20"/>
            <w:szCs w:val="20"/>
            <w:lang w:eastAsia="de-DE"/>
          </w:rPr>
          <m:t>  </m:t>
        </m:r>
        <m:r>
          <w:rPr>
            <w:rFonts w:ascii="Cambria Math" w:eastAsia="Times New Roman" w:hAnsi="Cambria Math" w:cs="Times New Roman"/>
            <w:sz w:val="20"/>
            <w:szCs w:val="20"/>
            <w:lang w:eastAsia="de-DE"/>
          </w:rPr>
          <m:t>P⋅</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GDP</m:t>
            </m:r>
          </m:num>
          <m:den>
            <m:r>
              <w:rPr>
                <w:rFonts w:ascii="Cambria Math" w:eastAsia="Times New Roman" w:hAnsi="Cambria Math" w:cs="Times New Roman"/>
                <w:sz w:val="20"/>
                <w:szCs w:val="20"/>
                <w:lang w:eastAsia="de-DE"/>
              </w:rPr>
              <m:t>P</m:t>
            </m:r>
          </m:den>
        </m:f>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E</m:t>
            </m:r>
          </m:num>
          <m:den>
            <m:r>
              <w:rPr>
                <w:rFonts w:ascii="Cambria Math" w:eastAsia="Times New Roman" w:hAnsi="Cambria Math" w:cs="Times New Roman"/>
                <w:sz w:val="20"/>
                <w:szCs w:val="20"/>
                <w:lang w:eastAsia="de-DE"/>
              </w:rPr>
              <m:t>GDP</m:t>
            </m:r>
          </m:den>
        </m:f>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C</m:t>
            </m:r>
          </m:num>
          <m:den>
            <m:r>
              <w:rPr>
                <w:rFonts w:ascii="Cambria Math" w:eastAsia="Times New Roman" w:hAnsi="Cambria Math" w:cs="Times New Roman"/>
                <w:sz w:val="20"/>
                <w:szCs w:val="20"/>
                <w:lang w:eastAsia="de-DE"/>
              </w:rPr>
              <m:t>E</m:t>
            </m:r>
          </m:den>
        </m:f>
      </m:oMath>
      <w:r w:rsidR="00B93038" w:rsidRPr="00B93038">
        <w:rPr>
          <w:rFonts w:ascii="Times New Roman" w:eastAsia="Times New Roman" w:hAnsi="Times New Roman" w:cs="Times New Roman"/>
          <w:bCs/>
          <w:sz w:val="20"/>
          <w:szCs w:val="20"/>
          <w:lang w:eastAsia="de-DE"/>
        </w:rPr>
        <w:t xml:space="preserve">  </w:t>
      </w:r>
      <w:r w:rsidR="00B93038" w:rsidRPr="00B93038">
        <w:rPr>
          <w:rFonts w:ascii="Times New Roman" w:eastAsia="Times New Roman" w:hAnsi="Times New Roman" w:cs="Times New Roman"/>
          <w:bCs/>
          <w:sz w:val="20"/>
          <w:szCs w:val="20"/>
          <w:lang w:eastAsia="de-DE"/>
        </w:rPr>
        <w:tab/>
      </w:r>
      <w:r w:rsidR="00B93038" w:rsidRPr="00B93038">
        <w:rPr>
          <w:rFonts w:ascii="Times New Roman" w:eastAsia="Times New Roman" w:hAnsi="Times New Roman" w:cs="Times New Roman"/>
          <w:bCs/>
          <w:sz w:val="20"/>
          <w:szCs w:val="20"/>
          <w:lang w:eastAsia="de-DE"/>
        </w:rPr>
        <w:tab/>
        <w:t>(1)</w:t>
      </w:r>
    </w:p>
    <w:p w14:paraId="410855F5" w14:textId="77777777" w:rsidR="00E84753" w:rsidRPr="00B93038" w:rsidRDefault="00E84753" w:rsidP="00E8475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B93038">
        <w:rPr>
          <w:rFonts w:ascii="Times New Roman" w:eastAsia="Times New Roman" w:hAnsi="Times New Roman" w:cs="Times New Roman"/>
          <w:bCs/>
          <w:sz w:val="20"/>
          <w:szCs w:val="20"/>
          <w:lang w:eastAsia="de-DE"/>
        </w:rPr>
        <w:t>To explicitly represent fuel mix and emission factors, the carbon intensity term can be expanded:</w:t>
      </w:r>
    </w:p>
    <w:p w14:paraId="77D676A3" w14:textId="2361476A" w:rsidR="00E84753" w:rsidRPr="00B93038" w:rsidRDefault="00C6011D" w:rsidP="00B93038">
      <w:pPr>
        <w:shd w:val="clear" w:color="auto" w:fill="FFFFFF"/>
        <w:tabs>
          <w:tab w:val="left" w:pos="5220"/>
        </w:tabs>
        <w:spacing w:after="0" w:line="240" w:lineRule="auto"/>
        <w:ind w:firstLine="284"/>
        <w:jc w:val="right"/>
        <w:rPr>
          <w:rFonts w:ascii="Times New Roman" w:eastAsia="Times New Roman" w:hAnsi="Times New Roman" w:cs="Times New Roman"/>
          <w:bCs/>
          <w:sz w:val="20"/>
          <w:szCs w:val="20"/>
          <w:lang w:eastAsia="de-DE"/>
        </w:rPr>
      </w:pPr>
      <m:oMath>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C</m:t>
            </m:r>
          </m:num>
          <m:den>
            <m:r>
              <w:rPr>
                <w:rFonts w:ascii="Cambria Math" w:eastAsia="Times New Roman" w:hAnsi="Cambria Math" w:cs="Times New Roman"/>
                <w:sz w:val="20"/>
                <w:szCs w:val="20"/>
                <w:lang w:eastAsia="de-DE"/>
              </w:rPr>
              <m:t>E</m:t>
            </m:r>
          </m:den>
        </m:f>
        <m:r>
          <m:rPr>
            <m:nor/>
          </m:rPr>
          <w:rPr>
            <w:rFonts w:ascii="Times New Roman" w:eastAsia="Times New Roman" w:hAnsi="Times New Roman" w:cs="Times New Roman"/>
            <w:bCs/>
            <w:sz w:val="20"/>
            <w:szCs w:val="20"/>
            <w:lang w:eastAsia="de-DE"/>
          </w:rPr>
          <m:t>  </m:t>
        </m:r>
        <m:r>
          <w:rPr>
            <w:rFonts w:ascii="Cambria Math" w:eastAsia="Times New Roman" w:hAnsi="Cambria Math" w:cs="Times New Roman"/>
            <w:sz w:val="20"/>
            <w:szCs w:val="20"/>
            <w:lang w:eastAsia="de-DE"/>
          </w:rPr>
          <m:t>=</m:t>
        </m:r>
        <m:r>
          <m:rPr>
            <m:nor/>
          </m:rPr>
          <w:rPr>
            <w:rFonts w:ascii="Times New Roman" w:eastAsia="Times New Roman" w:hAnsi="Times New Roman" w:cs="Times New Roman"/>
            <w:bCs/>
            <w:sz w:val="20"/>
            <w:szCs w:val="20"/>
            <w:lang w:eastAsia="de-DE"/>
          </w:rPr>
          <m:t>  </m:t>
        </m:r>
        <m:nary>
          <m:naryPr>
            <m:chr m:val="∑"/>
            <m:limLoc m:val="undOvr"/>
            <m:grow m:val="1"/>
            <m:supHide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j∈{coal,gas,oil,…</m:t>
            </m:r>
            <m:r>
              <m:rPr>
                <m:nor/>
              </m:rPr>
              <w:rPr>
                <w:rFonts w:ascii="Times New Roman" w:eastAsia="Times New Roman" w:hAnsi="Times New Roman" w:cs="Times New Roman"/>
                <w:bCs/>
                <w:sz w:val="20"/>
                <w:szCs w:val="20"/>
                <w:lang w:eastAsia="de-DE"/>
              </w:rPr>
              <m:t> </m:t>
            </m:r>
            <m:r>
              <w:rPr>
                <w:rFonts w:ascii="Cambria Math" w:eastAsia="Times New Roman" w:hAnsi="Cambria Math" w:cs="Times New Roman"/>
                <w:sz w:val="20"/>
                <w:szCs w:val="20"/>
                <w:lang w:eastAsia="de-DE"/>
              </w:rPr>
              <m:t>}</m:t>
            </m:r>
          </m:sub>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f</m:t>
                </m:r>
              </m:e>
              <m:sub>
                <m:r>
                  <w:rPr>
                    <w:rFonts w:ascii="Cambria Math" w:eastAsia="Times New Roman" w:hAnsi="Cambria Math" w:cs="Times New Roman"/>
                    <w:sz w:val="20"/>
                    <w:szCs w:val="20"/>
                    <w:lang w:eastAsia="de-DE"/>
                  </w:rPr>
                  <m:t>j</m:t>
                </m:r>
              </m:sub>
            </m:sSub>
          </m:e>
        </m:nary>
        <m:r>
          <w:rPr>
            <w:rFonts w:ascii="Cambria Math" w:eastAsia="Times New Roman" w:hAnsi="Cambria Math" w:cs="Times New Roman"/>
            <w:sz w:val="20"/>
            <w:szCs w:val="20"/>
            <w:lang w:eastAsia="de-DE"/>
          </w:rPr>
          <m:t>⋅E</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F</m:t>
            </m:r>
          </m:e>
          <m:sub>
            <m:r>
              <w:rPr>
                <w:rFonts w:ascii="Cambria Math" w:eastAsia="Times New Roman" w:hAnsi="Cambria Math" w:cs="Times New Roman"/>
                <w:sz w:val="20"/>
                <w:szCs w:val="20"/>
                <w:lang w:eastAsia="de-DE"/>
              </w:rPr>
              <m:t>j</m:t>
            </m:r>
          </m:sub>
        </m:sSub>
        <m:r>
          <w:rPr>
            <w:rFonts w:ascii="Cambria Math" w:eastAsia="Times New Roman" w:hAnsi="Cambria Math" w:cs="Times New Roman"/>
            <w:sz w:val="20"/>
            <w:szCs w:val="20"/>
            <w:lang w:eastAsia="de-DE"/>
          </w:rPr>
          <m:t>⇒C</m:t>
        </m:r>
        <m:r>
          <m:rPr>
            <m:nor/>
          </m:rPr>
          <w:rPr>
            <w:rFonts w:ascii="Times New Roman" w:eastAsia="Times New Roman" w:hAnsi="Times New Roman" w:cs="Times New Roman"/>
            <w:bCs/>
            <w:sz w:val="20"/>
            <w:szCs w:val="20"/>
            <w:lang w:eastAsia="de-DE"/>
          </w:rPr>
          <m:t>  </m:t>
        </m:r>
        <m:r>
          <w:rPr>
            <w:rFonts w:ascii="Cambria Math" w:eastAsia="Times New Roman" w:hAnsi="Cambria Math" w:cs="Times New Roman"/>
            <w:sz w:val="20"/>
            <w:szCs w:val="20"/>
            <w:lang w:eastAsia="de-DE"/>
          </w:rPr>
          <m:t>=</m:t>
        </m:r>
        <m:r>
          <m:rPr>
            <m:nor/>
          </m:rPr>
          <w:rPr>
            <w:rFonts w:ascii="Times New Roman" w:eastAsia="Times New Roman" w:hAnsi="Times New Roman" w:cs="Times New Roman"/>
            <w:bCs/>
            <w:sz w:val="20"/>
            <w:szCs w:val="20"/>
            <w:lang w:eastAsia="de-DE"/>
          </w:rPr>
          <m:t>  </m:t>
        </m:r>
        <m:r>
          <w:rPr>
            <w:rFonts w:ascii="Cambria Math" w:eastAsia="Times New Roman" w:hAnsi="Cambria Math" w:cs="Times New Roman"/>
            <w:sz w:val="20"/>
            <w:szCs w:val="20"/>
            <w:lang w:eastAsia="de-DE"/>
          </w:rPr>
          <m:t>P⋅</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GDP</m:t>
            </m:r>
          </m:num>
          <m:den>
            <m:r>
              <w:rPr>
                <w:rFonts w:ascii="Cambria Math" w:eastAsia="Times New Roman" w:hAnsi="Cambria Math" w:cs="Times New Roman"/>
                <w:sz w:val="20"/>
                <w:szCs w:val="20"/>
                <w:lang w:eastAsia="de-DE"/>
              </w:rPr>
              <m:t>P</m:t>
            </m:r>
          </m:den>
        </m:f>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E</m:t>
            </m:r>
          </m:num>
          <m:den>
            <m:r>
              <w:rPr>
                <w:rFonts w:ascii="Cambria Math" w:eastAsia="Times New Roman" w:hAnsi="Cambria Math" w:cs="Times New Roman"/>
                <w:sz w:val="20"/>
                <w:szCs w:val="20"/>
                <w:lang w:eastAsia="de-DE"/>
              </w:rPr>
              <m:t>GDP</m:t>
            </m:r>
          </m:den>
        </m:f>
        <m:r>
          <w:rPr>
            <w:rFonts w:ascii="Cambria Math" w:eastAsia="Times New Roman" w:hAnsi="Cambria Math" w:cs="Times New Roman"/>
            <w:sz w:val="20"/>
            <w:szCs w:val="20"/>
            <w:lang w:eastAsia="de-DE"/>
          </w:rPr>
          <m:t>⋅</m:t>
        </m:r>
        <m:nary>
          <m:naryPr>
            <m:chr m:val="∑"/>
            <m:limLoc m:val="undOvr"/>
            <m:grow m:val="1"/>
            <m:supHide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j</m:t>
            </m:r>
          </m:sub>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f</m:t>
                </m:r>
              </m:e>
              <m:sub>
                <m:r>
                  <w:rPr>
                    <w:rFonts w:ascii="Cambria Math" w:eastAsia="Times New Roman" w:hAnsi="Cambria Math" w:cs="Times New Roman"/>
                    <w:sz w:val="20"/>
                    <w:szCs w:val="20"/>
                    <w:lang w:eastAsia="de-DE"/>
                  </w:rPr>
                  <m:t>j</m:t>
                </m:r>
              </m:sub>
            </m:sSub>
          </m:e>
        </m:nary>
        <m:r>
          <w:rPr>
            <w:rFonts w:ascii="Cambria Math" w:eastAsia="Times New Roman" w:hAnsi="Cambria Math" w:cs="Times New Roman"/>
            <w:sz w:val="20"/>
            <w:szCs w:val="20"/>
            <w:lang w:eastAsia="de-DE"/>
          </w:rPr>
          <m:t>E</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F</m:t>
            </m:r>
          </m:e>
          <m:sub>
            <m:r>
              <w:rPr>
                <w:rFonts w:ascii="Cambria Math" w:eastAsia="Times New Roman" w:hAnsi="Cambria Math" w:cs="Times New Roman"/>
                <w:sz w:val="20"/>
                <w:szCs w:val="20"/>
                <w:lang w:eastAsia="de-DE"/>
              </w:rPr>
              <m:t>j</m:t>
            </m:r>
          </m:sub>
        </m:sSub>
      </m:oMath>
      <w:r w:rsidR="00B93038" w:rsidRPr="00B93038">
        <w:rPr>
          <w:rFonts w:ascii="Times New Roman" w:eastAsia="Times New Roman" w:hAnsi="Times New Roman" w:cs="Times New Roman"/>
          <w:bCs/>
          <w:sz w:val="20"/>
          <w:szCs w:val="20"/>
          <w:lang w:eastAsia="de-DE"/>
        </w:rPr>
        <w:tab/>
      </w:r>
      <w:r w:rsidR="00B93038" w:rsidRPr="00B93038">
        <w:rPr>
          <w:rFonts w:ascii="Times New Roman" w:eastAsia="Times New Roman" w:hAnsi="Times New Roman" w:cs="Times New Roman"/>
          <w:bCs/>
          <w:sz w:val="20"/>
          <w:szCs w:val="20"/>
          <w:lang w:eastAsia="de-DE"/>
        </w:rPr>
        <w:tab/>
        <w:t>(2)</w:t>
      </w:r>
    </w:p>
    <w:p w14:paraId="799234DC" w14:textId="138C9104" w:rsidR="00E84753" w:rsidRPr="00B93038" w:rsidRDefault="00E84753" w:rsidP="00E84753">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B93038">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f</m:t>
            </m:r>
          </m:e>
          <m:sub>
            <m:r>
              <w:rPr>
                <w:rFonts w:ascii="Cambria Math" w:eastAsia="Times New Roman" w:hAnsi="Cambria Math" w:cs="Times New Roman"/>
                <w:sz w:val="20"/>
                <w:szCs w:val="20"/>
                <w:lang w:eastAsia="de-DE"/>
              </w:rPr>
              <m:t>j</m:t>
            </m:r>
          </m:sub>
        </m:sSub>
      </m:oMath>
      <w:r w:rsidRPr="00B93038">
        <w:rPr>
          <w:rFonts w:ascii="Times New Roman" w:eastAsia="Times New Roman" w:hAnsi="Times New Roman" w:cs="Times New Roman"/>
          <w:bCs/>
          <w:sz w:val="20"/>
          <w:szCs w:val="20"/>
          <w:lang w:eastAsia="de-DE"/>
        </w:rPr>
        <w:t xml:space="preserve">is the share of fuel </w:t>
      </w:r>
      <m:oMath>
        <m:r>
          <w:rPr>
            <w:rFonts w:ascii="Cambria Math" w:eastAsia="Times New Roman" w:hAnsi="Cambria Math" w:cs="Times New Roman"/>
            <w:sz w:val="20"/>
            <w:szCs w:val="20"/>
            <w:lang w:eastAsia="de-DE"/>
          </w:rPr>
          <m:t>j</m:t>
        </m:r>
      </m:oMath>
      <w:r w:rsidRPr="00B93038">
        <w:rPr>
          <w:rFonts w:ascii="Times New Roman" w:eastAsia="Times New Roman" w:hAnsi="Times New Roman" w:cs="Times New Roman"/>
          <w:bCs/>
          <w:sz w:val="20"/>
          <w:szCs w:val="20"/>
          <w:lang w:eastAsia="de-DE"/>
        </w:rPr>
        <w:t xml:space="preserve">in final/primary energy and </w:t>
      </w:r>
      <m:oMath>
        <m:r>
          <w:rPr>
            <w:rFonts w:ascii="Cambria Math" w:eastAsia="Times New Roman" w:hAnsi="Cambria Math" w:cs="Times New Roman"/>
            <w:sz w:val="20"/>
            <w:szCs w:val="20"/>
            <w:lang w:eastAsia="de-DE"/>
          </w:rPr>
          <m:t>E</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F</m:t>
            </m:r>
          </m:e>
          <m:sub>
            <m:r>
              <w:rPr>
                <w:rFonts w:ascii="Cambria Math" w:eastAsia="Times New Roman" w:hAnsi="Cambria Math" w:cs="Times New Roman"/>
                <w:sz w:val="20"/>
                <w:szCs w:val="20"/>
                <w:lang w:eastAsia="de-DE"/>
              </w:rPr>
              <m:t>j</m:t>
            </m:r>
          </m:sub>
        </m:sSub>
      </m:oMath>
      <w:r w:rsidRPr="00B93038">
        <w:rPr>
          <w:rFonts w:ascii="Times New Roman" w:eastAsia="Times New Roman" w:hAnsi="Times New Roman" w:cs="Times New Roman"/>
          <w:bCs/>
          <w:sz w:val="20"/>
          <w:szCs w:val="20"/>
          <w:lang w:eastAsia="de-DE"/>
        </w:rPr>
        <w:t xml:space="preserve">is its CO₂ emission factor (typical values are available in standardized conversion-factor databases used for reporting). </w:t>
      </w:r>
    </w:p>
    <w:p w14:paraId="7902E09E" w14:textId="65BFF24A" w:rsidR="00E84753" w:rsidRPr="00B93038" w:rsidRDefault="00E84753" w:rsidP="00E8475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B93038">
        <w:rPr>
          <w:rFonts w:ascii="Times New Roman" w:eastAsia="Times New Roman" w:hAnsi="Times New Roman" w:cs="Times New Roman"/>
          <w:bCs/>
          <w:sz w:val="20"/>
          <w:szCs w:val="20"/>
          <w:lang w:eastAsia="de-DE"/>
        </w:rPr>
        <w:t xml:space="preserve">For policy evaluation, additive decomposition is particularly informative because it yields “how many </w:t>
      </w:r>
      <w:proofErr w:type="spellStart"/>
      <w:r w:rsidRPr="00B93038">
        <w:rPr>
          <w:rFonts w:ascii="Times New Roman" w:eastAsia="Times New Roman" w:hAnsi="Times New Roman" w:cs="Times New Roman"/>
          <w:bCs/>
          <w:sz w:val="20"/>
          <w:szCs w:val="20"/>
          <w:lang w:eastAsia="de-DE"/>
        </w:rPr>
        <w:t>MtCO</w:t>
      </w:r>
      <w:proofErr w:type="spellEnd"/>
      <w:r w:rsidRPr="00B93038">
        <w:rPr>
          <w:rFonts w:ascii="Times New Roman" w:eastAsia="Times New Roman" w:hAnsi="Times New Roman" w:cs="Times New Roman"/>
          <w:bCs/>
          <w:sz w:val="20"/>
          <w:szCs w:val="20"/>
          <w:lang w:eastAsia="de-DE"/>
        </w:rPr>
        <w:t>₂” each driver explains</w:t>
      </w:r>
      <w:r w:rsidR="007E665B" w:rsidRPr="00B93038">
        <w:rPr>
          <w:rFonts w:ascii="Times New Roman" w:eastAsia="Times New Roman" w:hAnsi="Times New Roman" w:cs="Times New Roman"/>
          <w:bCs/>
          <w:sz w:val="20"/>
          <w:szCs w:val="20"/>
          <w:lang w:eastAsia="de-DE"/>
        </w:rPr>
        <w:t xml:space="preserve"> [5,6]</w:t>
      </w:r>
      <w:r w:rsidRPr="00B93038">
        <w:rPr>
          <w:rFonts w:ascii="Times New Roman" w:eastAsia="Times New Roman" w:hAnsi="Times New Roman" w:cs="Times New Roman"/>
          <w:bCs/>
          <w:sz w:val="20"/>
          <w:szCs w:val="20"/>
          <w:lang w:eastAsia="de-DE"/>
        </w:rPr>
        <w:t xml:space="preserve">. A widely used additive log-mean </w:t>
      </w:r>
      <w:proofErr w:type="spellStart"/>
      <w:r w:rsidRPr="00B93038">
        <w:rPr>
          <w:rFonts w:ascii="Times New Roman" w:eastAsia="Times New Roman" w:hAnsi="Times New Roman" w:cs="Times New Roman"/>
          <w:bCs/>
          <w:sz w:val="20"/>
          <w:szCs w:val="20"/>
          <w:lang w:eastAsia="de-DE"/>
        </w:rPr>
        <w:t>Divisia</w:t>
      </w:r>
      <w:proofErr w:type="spellEnd"/>
      <w:r w:rsidRPr="00B93038">
        <w:rPr>
          <w:rFonts w:ascii="Times New Roman" w:eastAsia="Times New Roman" w:hAnsi="Times New Roman" w:cs="Times New Roman"/>
          <w:bCs/>
          <w:sz w:val="20"/>
          <w:szCs w:val="20"/>
          <w:lang w:eastAsia="de-DE"/>
        </w:rPr>
        <w:t xml:space="preserve"> index (LMDI) form can be applied to the driver set </w:t>
      </w:r>
      <m:oMath>
        <m:d>
          <m:dPr>
            <m:begChr m:val="{"/>
            <m:sepChr m:val=","/>
            <m:endChr m:val="}"/>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P</m:t>
            </m:r>
          </m:e>
          <m:e>
            <m:r>
              <w:rPr>
                <w:rFonts w:ascii="Cambria Math" w:eastAsia="Times New Roman" w:hAnsi="Cambria Math" w:cs="Times New Roman"/>
                <w:sz w:val="20"/>
                <w:szCs w:val="20"/>
                <w:lang w:eastAsia="de-DE"/>
              </w:rPr>
              <m:t>GDP</m:t>
            </m:r>
            <m:r>
              <m:rPr>
                <m:sty m:val="p"/>
              </m:rP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P</m:t>
            </m:r>
          </m:e>
          <m:e>
            <m:r>
              <w:rPr>
                <w:rFonts w:ascii="Cambria Math" w:eastAsia="Times New Roman" w:hAnsi="Cambria Math" w:cs="Times New Roman"/>
                <w:sz w:val="20"/>
                <w:szCs w:val="20"/>
                <w:lang w:eastAsia="de-DE"/>
              </w:rPr>
              <m:t>E</m:t>
            </m:r>
            <m:r>
              <m:rPr>
                <m:sty m:val="p"/>
              </m:rP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GDP</m:t>
            </m:r>
          </m:e>
          <m:e>
            <m:r>
              <w:rPr>
                <w:rFonts w:ascii="Cambria Math" w:eastAsia="Times New Roman" w:hAnsi="Cambria Math" w:cs="Times New Roman"/>
                <w:sz w:val="20"/>
                <w:szCs w:val="20"/>
                <w:lang w:eastAsia="de-DE"/>
              </w:rPr>
              <m:t>C</m:t>
            </m:r>
            <m:r>
              <m:rPr>
                <m:sty m:val="p"/>
              </m:rP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E</m:t>
            </m:r>
          </m:e>
        </m:d>
      </m:oMath>
      <w:r w:rsidRPr="00B93038">
        <w:rPr>
          <w:rFonts w:ascii="Times New Roman" w:eastAsia="Times New Roman" w:hAnsi="Times New Roman" w:cs="Times New Roman"/>
          <w:bCs/>
          <w:sz w:val="20"/>
          <w:szCs w:val="20"/>
          <w:lang w:eastAsia="de-DE"/>
        </w:rPr>
        <w:t>:</w:t>
      </w:r>
    </w:p>
    <w:p w14:paraId="7E70019C" w14:textId="799C4F23" w:rsidR="00E84753" w:rsidRPr="00B93038" w:rsidRDefault="00E84753" w:rsidP="00B93038">
      <w:pPr>
        <w:shd w:val="clear" w:color="auto" w:fill="FFFFFF"/>
        <w:tabs>
          <w:tab w:val="left" w:pos="5220"/>
        </w:tabs>
        <w:spacing w:after="0" w:line="240" w:lineRule="auto"/>
        <w:ind w:firstLine="284"/>
        <w:jc w:val="right"/>
        <w:rPr>
          <w:rFonts w:ascii="Times New Roman" w:eastAsia="Times New Roman" w:hAnsi="Times New Roman" w:cs="Times New Roman"/>
          <w:bCs/>
          <w:sz w:val="20"/>
          <w:szCs w:val="20"/>
          <w:lang w:eastAsia="de-DE"/>
        </w:rPr>
      </w:pPr>
      <m:oMath>
        <m:r>
          <m:rPr>
            <m:sty m:val="p"/>
          </m:rPr>
          <w:rPr>
            <w:rFonts w:ascii="Cambria Math" w:eastAsia="Times New Roman" w:hAnsi="Cambria Math" w:cs="Times New Roman"/>
            <w:sz w:val="20"/>
            <w:szCs w:val="20"/>
            <w:lang w:eastAsia="de-DE"/>
          </w:rPr>
          <m:t>Δ</m:t>
        </m:r>
        <m:r>
          <w:rPr>
            <w:rFonts w:ascii="Cambria Math" w:eastAsia="Times New Roman" w:hAnsi="Cambria Math" w:cs="Times New Roman"/>
            <w:sz w:val="20"/>
            <w:szCs w:val="20"/>
            <w:lang w:eastAsia="de-DE"/>
          </w:rPr>
          <m:t>C=</m:t>
        </m:r>
        <m:nary>
          <m:naryPr>
            <m:chr m:val="∑"/>
            <m:limLoc m:val="undOvr"/>
            <m:grow m:val="1"/>
            <m:supHide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k</m:t>
            </m:r>
          </m:sub>
          <m:sup/>
          <m:e>
            <m:r>
              <w:rPr>
                <w:rFonts w:ascii="Cambria Math" w:eastAsia="Times New Roman" w:hAnsi="Cambria Math" w:cs="Times New Roman"/>
                <w:sz w:val="20"/>
                <w:szCs w:val="20"/>
                <w:lang w:eastAsia="de-DE"/>
              </w:rPr>
              <m:t>L(</m:t>
            </m:r>
          </m:e>
        </m:nary>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C</m:t>
            </m:r>
          </m:e>
          <m:sup>
            <m:r>
              <w:rPr>
                <w:rFonts w:ascii="Cambria Math" w:eastAsia="Times New Roman" w:hAnsi="Cambria Math" w:cs="Times New Roman"/>
                <w:sz w:val="20"/>
                <w:szCs w:val="20"/>
                <w:lang w:eastAsia="de-DE"/>
              </w:rPr>
              <m:t>T</m:t>
            </m:r>
          </m:sup>
        </m:sSup>
        <m:r>
          <w:rPr>
            <w:rFonts w:ascii="Cambria Math" w:eastAsia="Times New Roman" w:hAnsi="Cambria Math" w:cs="Times New Roman"/>
            <w:sz w:val="20"/>
            <w:szCs w:val="20"/>
            <w:lang w:eastAsia="de-DE"/>
          </w:rPr>
          <m:t>,</m:t>
        </m:r>
        <m:sSup>
          <m:sSupPr>
            <m:ctrlPr>
              <w:rPr>
                <w:rFonts w:ascii="Cambria Math" w:eastAsia="Times New Roman" w:hAnsi="Cambria Math" w:cs="Times New Roman"/>
                <w:bCs/>
                <w:sz w:val="20"/>
                <w:szCs w:val="20"/>
                <w:lang w:eastAsia="de-DE"/>
              </w:rPr>
            </m:ctrlPr>
          </m:sSupPr>
          <m:e>
            <m:r>
              <w:rPr>
                <w:rFonts w:ascii="Cambria Math" w:eastAsia="Times New Roman" w:hAnsi="Cambria Math" w:cs="Times New Roman"/>
                <w:sz w:val="20"/>
                <w:szCs w:val="20"/>
                <w:lang w:eastAsia="de-DE"/>
              </w:rPr>
              <m:t>C</m:t>
            </m:r>
          </m:e>
          <m:sup>
            <m:r>
              <w:rPr>
                <w:rFonts w:ascii="Cambria Math" w:eastAsia="Times New Roman" w:hAnsi="Cambria Math" w:cs="Times New Roman"/>
                <w:sz w:val="20"/>
                <w:szCs w:val="20"/>
                <w:lang w:eastAsia="de-DE"/>
              </w:rPr>
              <m:t>0</m:t>
            </m:r>
          </m:sup>
        </m:sSup>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ln</m:t>
        </m:r>
        <m:d>
          <m:dPr>
            <m:ctrlPr>
              <w:rPr>
                <w:rFonts w:ascii="Cambria Math" w:eastAsia="Times New Roman" w:hAnsi="Cambria Math" w:cs="Times New Roman"/>
                <w:bCs/>
                <w:sz w:val="20"/>
                <w:szCs w:val="20"/>
                <w:lang w:eastAsia="de-DE"/>
              </w:rPr>
            </m:ctrlPr>
          </m:dPr>
          <m:e>
            <m:f>
              <m:fPr>
                <m:ctrlPr>
                  <w:rPr>
                    <w:rFonts w:ascii="Cambria Math" w:eastAsia="Times New Roman" w:hAnsi="Cambria Math" w:cs="Times New Roman"/>
                    <w:bCs/>
                    <w:sz w:val="20"/>
                    <w:szCs w:val="20"/>
                    <w:lang w:eastAsia="de-DE"/>
                  </w:rPr>
                </m:ctrlPr>
              </m:fPr>
              <m:num>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k</m:t>
                    </m:r>
                  </m:sub>
                  <m:sup>
                    <m:r>
                      <w:rPr>
                        <w:rFonts w:ascii="Cambria Math" w:eastAsia="Times New Roman" w:hAnsi="Cambria Math" w:cs="Times New Roman"/>
                        <w:sz w:val="20"/>
                        <w:szCs w:val="20"/>
                        <w:lang w:eastAsia="de-DE"/>
                      </w:rPr>
                      <m:t>T</m:t>
                    </m:r>
                  </m:sup>
                </m:sSubSup>
              </m:num>
              <m:den>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k</m:t>
                    </m:r>
                  </m:sub>
                  <m:sup>
                    <m:r>
                      <w:rPr>
                        <w:rFonts w:ascii="Cambria Math" w:eastAsia="Times New Roman" w:hAnsi="Cambria Math" w:cs="Times New Roman"/>
                        <w:sz w:val="20"/>
                        <w:szCs w:val="20"/>
                        <w:lang w:eastAsia="de-DE"/>
                      </w:rPr>
                      <m:t>0</m:t>
                    </m:r>
                  </m:sup>
                </m:sSubSup>
              </m:den>
            </m:f>
          </m:e>
        </m:d>
        <m:r>
          <w:rPr>
            <w:rFonts w:ascii="Cambria Math" w:eastAsia="Times New Roman" w:hAnsi="Cambria Math" w:cs="Times New Roman"/>
            <w:sz w:val="20"/>
            <w:szCs w:val="20"/>
            <w:lang w:eastAsia="de-DE"/>
          </w:rPr>
          <m:t>,L(a,b)=</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a-b</m:t>
            </m:r>
          </m:num>
          <m:den>
            <m:r>
              <m:rPr>
                <m:sty m:val="p"/>
              </m:rPr>
              <w:rPr>
                <w:rFonts w:ascii="Cambria Math" w:eastAsia="Times New Roman" w:hAnsi="Cambria Math" w:cs="Times New Roman"/>
                <w:sz w:val="20"/>
                <w:szCs w:val="20"/>
                <w:lang w:eastAsia="de-DE"/>
              </w:rPr>
              <m:t>ln</m:t>
            </m:r>
            <m:r>
              <w:rPr>
                <w:rFonts w:ascii="Cambria Math" w:eastAsia="Times New Roman" w:hAnsi="Cambria Math" w:cs="Times New Roman"/>
                <w:sz w:val="20"/>
                <w:szCs w:val="20"/>
                <w:lang w:eastAsia="de-DE"/>
              </w:rPr>
              <m:t>⁡a-</m:t>
            </m:r>
            <m:r>
              <m:rPr>
                <m:sty m:val="p"/>
              </m:rPr>
              <w:rPr>
                <w:rFonts w:ascii="Cambria Math" w:eastAsia="Times New Roman" w:hAnsi="Cambria Math" w:cs="Times New Roman"/>
                <w:sz w:val="20"/>
                <w:szCs w:val="20"/>
                <w:lang w:eastAsia="de-DE"/>
              </w:rPr>
              <m:t>ln</m:t>
            </m:r>
            <m:r>
              <w:rPr>
                <w:rFonts w:ascii="Cambria Math" w:eastAsia="Times New Roman" w:hAnsi="Cambria Math" w:cs="Times New Roman"/>
                <w:sz w:val="20"/>
                <w:szCs w:val="20"/>
                <w:lang w:eastAsia="de-DE"/>
              </w:rPr>
              <m:t>⁡b</m:t>
            </m:r>
          </m:den>
        </m:f>
      </m:oMath>
      <w:r w:rsidR="00B93038" w:rsidRPr="00B93038">
        <w:rPr>
          <w:rFonts w:ascii="Times New Roman" w:eastAsia="Times New Roman" w:hAnsi="Times New Roman" w:cs="Times New Roman"/>
          <w:bCs/>
          <w:sz w:val="20"/>
          <w:szCs w:val="20"/>
          <w:lang w:eastAsia="de-DE"/>
        </w:rPr>
        <w:t xml:space="preserve"> </w:t>
      </w:r>
      <w:r w:rsidR="00B93038" w:rsidRPr="00B93038">
        <w:rPr>
          <w:rFonts w:ascii="Times New Roman" w:eastAsia="Times New Roman" w:hAnsi="Times New Roman" w:cs="Times New Roman"/>
          <w:bCs/>
          <w:sz w:val="20"/>
          <w:szCs w:val="20"/>
          <w:lang w:eastAsia="de-DE"/>
        </w:rPr>
        <w:tab/>
      </w:r>
      <w:r w:rsidR="00B93038" w:rsidRPr="00B93038">
        <w:rPr>
          <w:rFonts w:ascii="Times New Roman" w:eastAsia="Times New Roman" w:hAnsi="Times New Roman" w:cs="Times New Roman"/>
          <w:bCs/>
          <w:sz w:val="20"/>
          <w:szCs w:val="20"/>
          <w:lang w:eastAsia="de-DE"/>
        </w:rPr>
        <w:tab/>
        <w:t>(3)</w:t>
      </w:r>
    </w:p>
    <w:p w14:paraId="11C09E3B" w14:textId="56CA41BF" w:rsidR="00E84753" w:rsidRPr="00B93038" w:rsidRDefault="00E84753" w:rsidP="00FE27C3">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B93038">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k</m:t>
            </m:r>
          </m:sub>
        </m:sSub>
      </m:oMath>
      <w:r w:rsidRPr="00B93038">
        <w:rPr>
          <w:rFonts w:ascii="Times New Roman" w:eastAsia="Times New Roman" w:hAnsi="Times New Roman" w:cs="Times New Roman"/>
          <w:bCs/>
          <w:sz w:val="20"/>
          <w:szCs w:val="20"/>
          <w:lang w:eastAsia="de-DE"/>
        </w:rPr>
        <w:t xml:space="preserve">denotes each driver, and </w:t>
      </w:r>
      <m:oMath>
        <m:r>
          <w:rPr>
            <w:rFonts w:ascii="Cambria Math" w:eastAsia="Times New Roman" w:hAnsi="Cambria Math" w:cs="Times New Roman"/>
            <w:sz w:val="20"/>
            <w:szCs w:val="20"/>
            <w:lang w:eastAsia="de-DE"/>
          </w:rPr>
          <m:t>0</m:t>
        </m:r>
      </m:oMath>
      <w:r w:rsidRPr="00B93038">
        <w:rPr>
          <w:rFonts w:ascii="Times New Roman" w:eastAsia="Times New Roman" w:hAnsi="Times New Roman" w:cs="Times New Roman"/>
          <w:bCs/>
          <w:sz w:val="20"/>
          <w:szCs w:val="20"/>
          <w:lang w:eastAsia="de-DE"/>
        </w:rPr>
        <w:t xml:space="preserve">and </w:t>
      </w:r>
      <m:oMath>
        <m:r>
          <w:rPr>
            <w:rFonts w:ascii="Cambria Math" w:eastAsia="Times New Roman" w:hAnsi="Cambria Math" w:cs="Times New Roman"/>
            <w:sz w:val="20"/>
            <w:szCs w:val="20"/>
            <w:lang w:eastAsia="de-DE"/>
          </w:rPr>
          <m:t>T</m:t>
        </m:r>
      </m:oMath>
      <w:r w:rsidRPr="00B93038">
        <w:rPr>
          <w:rFonts w:ascii="Times New Roman" w:eastAsia="Times New Roman" w:hAnsi="Times New Roman" w:cs="Times New Roman"/>
          <w:bCs/>
          <w:sz w:val="20"/>
          <w:szCs w:val="20"/>
          <w:lang w:eastAsia="de-DE"/>
        </w:rPr>
        <w:t>are baseline and target years. This connects directly to hierarchical planning: macro terms typically dominate “activity pressure,” while micro terms dominate mitigation leverage.</w:t>
      </w:r>
      <w:r w:rsidR="00FE27C3" w:rsidRPr="00B93038">
        <w:rPr>
          <w:rFonts w:ascii="Times New Roman" w:eastAsia="Times New Roman" w:hAnsi="Times New Roman" w:cs="Times New Roman"/>
          <w:bCs/>
          <w:sz w:val="20"/>
          <w:szCs w:val="20"/>
          <w:lang w:eastAsia="de-DE"/>
        </w:rPr>
        <w:t xml:space="preserve"> </w:t>
      </w:r>
      <w:r w:rsidR="00943400" w:rsidRPr="00B93038">
        <w:rPr>
          <w:rFonts w:ascii="Times New Roman" w:eastAsia="Times New Roman" w:hAnsi="Times New Roman" w:cs="Times New Roman"/>
          <w:bCs/>
          <w:sz w:val="20"/>
          <w:szCs w:val="20"/>
          <w:lang w:eastAsia="de-DE"/>
        </w:rPr>
        <w:t>T</w:t>
      </w:r>
      <w:r w:rsidRPr="00B93038">
        <w:rPr>
          <w:rFonts w:ascii="Times New Roman" w:eastAsia="Times New Roman" w:hAnsi="Times New Roman" w:cs="Times New Roman"/>
          <w:bCs/>
          <w:sz w:val="20"/>
          <w:szCs w:val="20"/>
          <w:lang w:eastAsia="de-DE"/>
        </w:rPr>
        <w:t>o prioritize interventions across hierarchy nodes, we compute a sensitivity-style ranking via elasticities:</w:t>
      </w:r>
    </w:p>
    <w:p w14:paraId="2582F8EE" w14:textId="4C8D57FE" w:rsidR="00E84753" w:rsidRPr="00B93038" w:rsidRDefault="00C6011D" w:rsidP="00B93038">
      <w:pPr>
        <w:shd w:val="clear" w:color="auto" w:fill="FFFFFF"/>
        <w:tabs>
          <w:tab w:val="left" w:pos="5220"/>
        </w:tabs>
        <w:spacing w:after="0" w:line="240" w:lineRule="auto"/>
        <w:ind w:firstLine="284"/>
        <w:jc w:val="right"/>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ε</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m:rPr>
                <m:sty m:val="p"/>
              </m:rPr>
              <w:rPr>
                <w:rFonts w:ascii="Cambria Math" w:eastAsia="Times New Roman" w:hAnsi="Cambria Math" w:cs="Times New Roman"/>
                <w:sz w:val="20"/>
                <w:szCs w:val="20"/>
                <w:lang w:eastAsia="de-DE"/>
              </w:rPr>
              <m:t>∂ln</m:t>
            </m:r>
            <m:r>
              <w:rPr>
                <w:rFonts w:ascii="Cambria Math" w:eastAsia="Times New Roman" w:hAnsi="Cambria Math" w:cs="Times New Roman"/>
                <w:sz w:val="20"/>
                <w:szCs w:val="20"/>
                <w:lang w:eastAsia="de-DE"/>
              </w:rPr>
              <m:t>⁡C</m:t>
            </m:r>
          </m:num>
          <m:den>
            <m:r>
              <m:rPr>
                <m:sty m:val="p"/>
              </m:rPr>
              <w:rPr>
                <w:rFonts w:ascii="Cambria Math" w:eastAsia="Times New Roman" w:hAnsi="Cambria Math" w:cs="Times New Roman"/>
                <w:sz w:val="20"/>
                <w:szCs w:val="20"/>
                <w:lang w:eastAsia="de-DE"/>
              </w:rPr>
              <m:t>∂ln</m:t>
            </m:r>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Sub>
          </m:den>
        </m:f>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m:rPr>
                <m:sty m:val="p"/>
              </m:rPr>
              <w:rPr>
                <w:rFonts w:ascii="Cambria Math" w:eastAsia="Times New Roman" w:hAnsi="Cambria Math" w:cs="Times New Roman"/>
                <w:sz w:val="20"/>
                <w:szCs w:val="20"/>
                <w:lang w:eastAsia="de-DE"/>
              </w:rPr>
              <m:t>ln</m:t>
            </m:r>
            <m:r>
              <w:rPr>
                <w:rFonts w:ascii="Cambria Math" w:eastAsia="Times New Roman" w:hAnsi="Cambria Math" w:cs="Times New Roman"/>
                <w:sz w:val="20"/>
                <w:szCs w:val="20"/>
                <w:lang w:eastAsia="de-DE"/>
              </w:rPr>
              <m:t>⁡C(</m:t>
            </m:r>
            <m:r>
              <m:rPr>
                <m:nor/>
              </m:rPr>
              <w:rPr>
                <w:rFonts w:ascii="Times New Roman" w:eastAsia="Times New Roman" w:hAnsi="Times New Roman" w:cs="Times New Roman"/>
                <w:bCs/>
                <w:sz w:val="20"/>
                <w:szCs w:val="20"/>
                <w:lang w:eastAsia="de-DE"/>
              </w:rPr>
              <m:t> </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(1+δ)</m:t>
            </m:r>
            <m:r>
              <m:rPr>
                <m:nor/>
              </m:rPr>
              <w:rPr>
                <w:rFonts w:ascii="Times New Roman" w:eastAsia="Times New Roman" w:hAnsi="Times New Roman" w:cs="Times New Roman"/>
                <w:bCs/>
                <w:sz w:val="20"/>
                <w:szCs w:val="20"/>
                <w:lang w:eastAsia="de-DE"/>
              </w:rPr>
              <m:t> </m:t>
            </m:r>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ln</m:t>
            </m:r>
            <m:r>
              <w:rPr>
                <w:rFonts w:ascii="Cambria Math" w:eastAsia="Times New Roman" w:hAnsi="Cambria Math" w:cs="Times New Roman"/>
                <w:sz w:val="20"/>
                <w:szCs w:val="20"/>
                <w:lang w:eastAsia="de-DE"/>
              </w:rPr>
              <m:t>⁡C(</m:t>
            </m:r>
            <m:r>
              <m:rPr>
                <m:nor/>
              </m:rPr>
              <w:rPr>
                <w:rFonts w:ascii="Times New Roman" w:eastAsia="Times New Roman" w:hAnsi="Times New Roman" w:cs="Times New Roman"/>
                <w:bCs/>
                <w:sz w:val="20"/>
                <w:szCs w:val="20"/>
                <w:lang w:eastAsia="de-DE"/>
              </w:rPr>
              <m:t> </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Sub>
            <m:r>
              <m:rPr>
                <m:nor/>
              </m:rPr>
              <w:rPr>
                <w:rFonts w:ascii="Times New Roman" w:eastAsia="Times New Roman" w:hAnsi="Times New Roman" w:cs="Times New Roman"/>
                <w:bCs/>
                <w:sz w:val="20"/>
                <w:szCs w:val="20"/>
                <w:lang w:eastAsia="de-DE"/>
              </w:rPr>
              <m:t> </m:t>
            </m:r>
            <m:r>
              <w:rPr>
                <w:rFonts w:ascii="Cambria Math" w:eastAsia="Times New Roman" w:hAnsi="Cambria Math" w:cs="Times New Roman"/>
                <w:sz w:val="20"/>
                <w:szCs w:val="20"/>
                <w:lang w:eastAsia="de-DE"/>
              </w:rPr>
              <m:t>)</m:t>
            </m:r>
          </m:num>
          <m:den>
            <m:r>
              <m:rPr>
                <m:sty m:val="p"/>
              </m:rPr>
              <w:rPr>
                <w:rFonts w:ascii="Cambria Math" w:eastAsia="Times New Roman" w:hAnsi="Cambria Math" w:cs="Times New Roman"/>
                <w:sz w:val="20"/>
                <w:szCs w:val="20"/>
                <w:lang w:eastAsia="de-DE"/>
              </w:rPr>
              <m:t>ln</m:t>
            </m:r>
            <m:r>
              <w:rPr>
                <w:rFonts w:ascii="Cambria Math" w:eastAsia="Times New Roman" w:hAnsi="Cambria Math" w:cs="Times New Roman"/>
                <w:sz w:val="20"/>
                <w:szCs w:val="20"/>
                <w:lang w:eastAsia="de-DE"/>
              </w:rPr>
              <m:t>⁡(1+δ)</m:t>
            </m:r>
          </m:den>
        </m:f>
      </m:oMath>
      <w:r w:rsidR="00B93038" w:rsidRPr="00B93038">
        <w:rPr>
          <w:rFonts w:ascii="Times New Roman" w:eastAsia="Times New Roman" w:hAnsi="Times New Roman" w:cs="Times New Roman"/>
          <w:bCs/>
          <w:sz w:val="20"/>
          <w:szCs w:val="20"/>
          <w:lang w:eastAsia="de-DE"/>
        </w:rPr>
        <w:tab/>
      </w:r>
      <w:r w:rsidR="00B93038" w:rsidRPr="00B93038">
        <w:rPr>
          <w:rFonts w:ascii="Times New Roman" w:eastAsia="Times New Roman" w:hAnsi="Times New Roman" w:cs="Times New Roman"/>
          <w:bCs/>
          <w:sz w:val="20"/>
          <w:szCs w:val="20"/>
          <w:lang w:eastAsia="de-DE"/>
        </w:rPr>
        <w:tab/>
        <w:t>(4)</w:t>
      </w:r>
    </w:p>
    <w:p w14:paraId="1271AE58" w14:textId="77777777" w:rsidR="00943400" w:rsidRPr="00B93038" w:rsidRDefault="00943400" w:rsidP="00B93038">
      <w:pPr>
        <w:shd w:val="clear" w:color="auto" w:fill="FFFFFF"/>
        <w:tabs>
          <w:tab w:val="left" w:pos="426"/>
          <w:tab w:val="left" w:pos="5220"/>
        </w:tabs>
        <w:spacing w:after="0" w:line="240" w:lineRule="auto"/>
        <w:ind w:firstLine="284"/>
        <w:jc w:val="both"/>
        <w:rPr>
          <w:rFonts w:ascii="Times New Roman" w:eastAsia="Times New Roman" w:hAnsi="Times New Roman" w:cs="Times New Roman"/>
          <w:bCs/>
          <w:sz w:val="20"/>
          <w:szCs w:val="20"/>
          <w:lang w:eastAsia="de-DE"/>
        </w:rPr>
      </w:pPr>
      <w:r w:rsidRPr="00B93038">
        <w:rPr>
          <w:rFonts w:ascii="Times New Roman" w:eastAsia="Times New Roman" w:hAnsi="Times New Roman" w:cs="Times New Roman"/>
          <w:bCs/>
          <w:sz w:val="20"/>
          <w:szCs w:val="20"/>
          <w:lang w:eastAsia="de-DE"/>
        </w:rPr>
        <w:t xml:space="preserve">To demonstrate the framework’s use in sustainable energy system planning, we constructed a planning case over 2024–2030 with two pathways: a baseline (activity growth with moderate efficiency gains) and a policy pathway (accelerated efficiency, power-sector </w:t>
      </w:r>
      <w:proofErr w:type="spellStart"/>
      <w:r w:rsidRPr="00B93038">
        <w:rPr>
          <w:rFonts w:ascii="Times New Roman" w:eastAsia="Times New Roman" w:hAnsi="Times New Roman" w:cs="Times New Roman"/>
          <w:bCs/>
          <w:sz w:val="20"/>
          <w:szCs w:val="20"/>
          <w:lang w:eastAsia="de-DE"/>
        </w:rPr>
        <w:t>decarbonization</w:t>
      </w:r>
      <w:proofErr w:type="spellEnd"/>
      <w:r w:rsidRPr="00B93038">
        <w:rPr>
          <w:rFonts w:ascii="Times New Roman" w:eastAsia="Times New Roman" w:hAnsi="Times New Roman" w:cs="Times New Roman"/>
          <w:bCs/>
          <w:sz w:val="20"/>
          <w:szCs w:val="20"/>
          <w:lang w:eastAsia="de-DE"/>
        </w:rPr>
        <w:t xml:space="preserve">, electrification, and digital DSM). The baseline rises from 100 to 112 </w:t>
      </w:r>
      <w:proofErr w:type="spellStart"/>
      <w:r w:rsidRPr="00B93038">
        <w:rPr>
          <w:rFonts w:ascii="Times New Roman" w:eastAsia="Times New Roman" w:hAnsi="Times New Roman" w:cs="Times New Roman"/>
          <w:bCs/>
          <w:sz w:val="20"/>
          <w:szCs w:val="20"/>
          <w:lang w:eastAsia="de-DE"/>
        </w:rPr>
        <w:t>MtCO</w:t>
      </w:r>
      <w:proofErr w:type="spellEnd"/>
      <w:r w:rsidRPr="00B93038">
        <w:rPr>
          <w:rFonts w:ascii="Times New Roman" w:eastAsia="Times New Roman" w:hAnsi="Times New Roman" w:cs="Times New Roman"/>
          <w:bCs/>
          <w:sz w:val="20"/>
          <w:szCs w:val="20"/>
          <w:lang w:eastAsia="de-DE"/>
        </w:rPr>
        <w:t xml:space="preserve">₂, while the policy pathway declines to 82 </w:t>
      </w:r>
      <w:proofErr w:type="spellStart"/>
      <w:r w:rsidRPr="00B93038">
        <w:rPr>
          <w:rFonts w:ascii="Times New Roman" w:eastAsia="Times New Roman" w:hAnsi="Times New Roman" w:cs="Times New Roman"/>
          <w:bCs/>
          <w:sz w:val="20"/>
          <w:szCs w:val="20"/>
          <w:lang w:eastAsia="de-DE"/>
        </w:rPr>
        <w:t>MtCO</w:t>
      </w:r>
      <w:proofErr w:type="spellEnd"/>
      <w:r w:rsidRPr="00B93038">
        <w:rPr>
          <w:rFonts w:ascii="Times New Roman" w:eastAsia="Times New Roman" w:hAnsi="Times New Roman" w:cs="Times New Roman"/>
          <w:bCs/>
          <w:sz w:val="20"/>
          <w:szCs w:val="20"/>
          <w:lang w:eastAsia="de-DE"/>
        </w:rPr>
        <w:t xml:space="preserve">₂ by 2030 (a 30 </w:t>
      </w:r>
      <w:proofErr w:type="spellStart"/>
      <w:r w:rsidRPr="00B93038">
        <w:rPr>
          <w:rFonts w:ascii="Times New Roman" w:eastAsia="Times New Roman" w:hAnsi="Times New Roman" w:cs="Times New Roman"/>
          <w:bCs/>
          <w:sz w:val="20"/>
          <w:szCs w:val="20"/>
          <w:lang w:eastAsia="de-DE"/>
        </w:rPr>
        <w:t>MtCO</w:t>
      </w:r>
      <w:proofErr w:type="spellEnd"/>
      <w:r w:rsidRPr="00B93038">
        <w:rPr>
          <w:rFonts w:ascii="Times New Roman" w:eastAsia="Times New Roman" w:hAnsi="Times New Roman" w:cs="Times New Roman"/>
          <w:bCs/>
          <w:sz w:val="20"/>
          <w:szCs w:val="20"/>
          <w:lang w:eastAsia="de-DE"/>
        </w:rPr>
        <w:t>₂ gap in 2030).</w:t>
      </w:r>
    </w:p>
    <w:p w14:paraId="2E3A2822" w14:textId="023E150F" w:rsidR="00943400" w:rsidRPr="00B93038" w:rsidRDefault="00943400" w:rsidP="00B93038">
      <w:pPr>
        <w:shd w:val="clear" w:color="auto" w:fill="FFFFFF"/>
        <w:tabs>
          <w:tab w:val="left" w:pos="426"/>
          <w:tab w:val="left" w:pos="5220"/>
        </w:tabs>
        <w:spacing w:after="0" w:line="240" w:lineRule="auto"/>
        <w:ind w:firstLine="284"/>
        <w:jc w:val="both"/>
        <w:rPr>
          <w:rFonts w:ascii="Times New Roman" w:eastAsia="Times New Roman" w:hAnsi="Times New Roman" w:cs="Times New Roman"/>
          <w:bCs/>
          <w:sz w:val="20"/>
          <w:szCs w:val="20"/>
          <w:lang w:eastAsia="de-DE"/>
        </w:rPr>
      </w:pPr>
      <w:r w:rsidRPr="00B93038">
        <w:rPr>
          <w:rFonts w:ascii="Times New Roman" w:eastAsia="Times New Roman" w:hAnsi="Times New Roman" w:cs="Times New Roman"/>
          <w:bCs/>
          <w:sz w:val="20"/>
          <w:szCs w:val="20"/>
          <w:lang w:eastAsia="de-DE"/>
        </w:rPr>
        <w:t>Figure 2 shows the divergence emerging after 2026, consistent with the lagged effects of infrastructure and grid investments (renewables, networks, electrification). The magnitude is plausible relative to the global challenge highlighted by recent IEA assessments, where clean-energy growth can limit emission growth but does not automatically deliver sustained decline without structural policy and investment shifts.</w:t>
      </w:r>
    </w:p>
    <w:p w14:paraId="3B5527E0" w14:textId="21D623E4" w:rsidR="00C96D3E" w:rsidRPr="00B93038" w:rsidRDefault="00C96D3E" w:rsidP="00B93038">
      <w:pPr>
        <w:shd w:val="clear" w:color="auto" w:fill="FFFFFF"/>
        <w:tabs>
          <w:tab w:val="left" w:pos="426"/>
          <w:tab w:val="left" w:pos="5220"/>
        </w:tabs>
        <w:spacing w:after="0" w:line="240" w:lineRule="auto"/>
        <w:ind w:firstLine="284"/>
        <w:jc w:val="both"/>
        <w:rPr>
          <w:rFonts w:ascii="Times New Roman" w:eastAsia="Times New Roman" w:hAnsi="Times New Roman" w:cs="Times New Roman"/>
          <w:bCs/>
          <w:sz w:val="20"/>
          <w:szCs w:val="20"/>
          <w:lang w:eastAsia="de-DE"/>
        </w:rPr>
      </w:pPr>
      <w:r w:rsidRPr="00B93038">
        <w:rPr>
          <w:rFonts w:ascii="Times New Roman" w:eastAsia="Times New Roman" w:hAnsi="Times New Roman" w:cs="Times New Roman"/>
          <w:bCs/>
          <w:sz w:val="20"/>
          <w:szCs w:val="20"/>
          <w:lang w:eastAsia="de-DE"/>
        </w:rPr>
        <w:t>The 2030 reduction (</w:t>
      </w:r>
      <m:oMath>
        <m:r>
          <w:rPr>
            <w:rFonts w:ascii="Cambria Math" w:eastAsia="Times New Roman" w:hAnsi="Cambria Math" w:cs="Times New Roman"/>
            <w:sz w:val="20"/>
            <w:szCs w:val="20"/>
            <w:lang w:eastAsia="de-DE"/>
          </w:rPr>
          <m:t>30</m:t>
        </m:r>
      </m:oMath>
      <w:r w:rsidRPr="00B93038">
        <w:rPr>
          <w:rFonts w:ascii="Times New Roman" w:eastAsia="Times New Roman" w:hAnsi="Times New Roman" w:cs="Times New Roman"/>
          <w:bCs/>
          <w:sz w:val="20"/>
          <w:szCs w:val="20"/>
          <w:lang w:eastAsia="de-DE"/>
        </w:rPr>
        <w:t xml:space="preserve"> MtCO₂) was decomposed across hierarchy nodes:</w:t>
      </w:r>
    </w:p>
    <w:p w14:paraId="4CE78E1F" w14:textId="2710DA8F" w:rsidR="00C96D3E" w:rsidRPr="00B93038" w:rsidRDefault="00C96D3E" w:rsidP="00B93038">
      <w:pPr>
        <w:numPr>
          <w:ilvl w:val="0"/>
          <w:numId w:val="17"/>
        </w:numPr>
        <w:shd w:val="clear" w:color="auto" w:fill="FFFFFF"/>
        <w:tabs>
          <w:tab w:val="left" w:pos="426"/>
          <w:tab w:val="left" w:pos="5220"/>
        </w:tabs>
        <w:spacing w:after="0" w:line="240" w:lineRule="auto"/>
        <w:ind w:left="0" w:firstLine="284"/>
        <w:jc w:val="both"/>
        <w:rPr>
          <w:rFonts w:ascii="Times New Roman" w:eastAsia="Times New Roman" w:hAnsi="Times New Roman" w:cs="Times New Roman"/>
          <w:sz w:val="20"/>
          <w:szCs w:val="20"/>
          <w:lang w:eastAsia="de-DE"/>
        </w:rPr>
      </w:pPr>
      <w:r w:rsidRPr="00B93038">
        <w:rPr>
          <w:rFonts w:ascii="Times New Roman" w:eastAsia="Times New Roman" w:hAnsi="Times New Roman" w:cs="Times New Roman"/>
          <w:sz w:val="20"/>
          <w:szCs w:val="20"/>
          <w:lang w:eastAsia="de-DE"/>
        </w:rPr>
        <w:t xml:space="preserve">Micro: power mix </w:t>
      </w:r>
      <w:proofErr w:type="spellStart"/>
      <w:r w:rsidRPr="00B93038">
        <w:rPr>
          <w:rFonts w:ascii="Times New Roman" w:eastAsia="Times New Roman" w:hAnsi="Times New Roman" w:cs="Times New Roman"/>
          <w:sz w:val="20"/>
          <w:szCs w:val="20"/>
          <w:lang w:eastAsia="de-DE"/>
        </w:rPr>
        <w:t>decarbonization</w:t>
      </w:r>
      <w:proofErr w:type="spellEnd"/>
      <w:r w:rsidRPr="00B93038">
        <w:rPr>
          <w:rFonts w:ascii="Times New Roman" w:eastAsia="Times New Roman" w:hAnsi="Times New Roman" w:cs="Times New Roman"/>
          <w:sz w:val="20"/>
          <w:szCs w:val="20"/>
          <w:lang w:eastAsia="de-DE"/>
        </w:rPr>
        <w:t xml:space="preserve"> is the largest single lever (9.5 </w:t>
      </w:r>
      <w:proofErr w:type="spellStart"/>
      <w:r w:rsidRPr="00B93038">
        <w:rPr>
          <w:rFonts w:ascii="Times New Roman" w:eastAsia="Times New Roman" w:hAnsi="Times New Roman" w:cs="Times New Roman"/>
          <w:sz w:val="20"/>
          <w:szCs w:val="20"/>
          <w:lang w:eastAsia="de-DE"/>
        </w:rPr>
        <w:t>MtCO</w:t>
      </w:r>
      <w:proofErr w:type="spellEnd"/>
      <w:r w:rsidRPr="00B93038">
        <w:rPr>
          <w:rFonts w:ascii="Times New Roman" w:eastAsia="Times New Roman" w:hAnsi="Times New Roman" w:cs="Times New Roman"/>
          <w:sz w:val="20"/>
          <w:szCs w:val="20"/>
          <w:lang w:eastAsia="de-DE"/>
        </w:rPr>
        <w:t>₂; 31.7%). This aligns with the empirical observation that electricity/heat systems are major contributors to global emissions and therefore a primary mitigation lever.</w:t>
      </w:r>
    </w:p>
    <w:p w14:paraId="6A441B9E" w14:textId="77777777" w:rsidR="00C96D3E" w:rsidRPr="00B93038" w:rsidRDefault="00C96D3E" w:rsidP="00B93038">
      <w:pPr>
        <w:numPr>
          <w:ilvl w:val="0"/>
          <w:numId w:val="17"/>
        </w:numPr>
        <w:shd w:val="clear" w:color="auto" w:fill="FFFFFF"/>
        <w:tabs>
          <w:tab w:val="left" w:pos="426"/>
          <w:tab w:val="left" w:pos="5220"/>
        </w:tabs>
        <w:spacing w:after="0" w:line="240" w:lineRule="auto"/>
        <w:ind w:left="0" w:firstLine="284"/>
        <w:jc w:val="both"/>
        <w:rPr>
          <w:rFonts w:ascii="Times New Roman" w:eastAsia="Times New Roman" w:hAnsi="Times New Roman" w:cs="Times New Roman"/>
          <w:sz w:val="20"/>
          <w:szCs w:val="20"/>
          <w:lang w:eastAsia="de-DE"/>
        </w:rPr>
      </w:pPr>
      <w:proofErr w:type="spellStart"/>
      <w:r w:rsidRPr="00B93038">
        <w:rPr>
          <w:rFonts w:ascii="Times New Roman" w:eastAsia="Times New Roman" w:hAnsi="Times New Roman" w:cs="Times New Roman"/>
          <w:sz w:val="20"/>
          <w:szCs w:val="20"/>
          <w:lang w:eastAsia="de-DE"/>
        </w:rPr>
        <w:t>Meso</w:t>
      </w:r>
      <w:proofErr w:type="spellEnd"/>
      <w:r w:rsidRPr="00B93038">
        <w:rPr>
          <w:rFonts w:ascii="Times New Roman" w:eastAsia="Times New Roman" w:hAnsi="Times New Roman" w:cs="Times New Roman"/>
          <w:sz w:val="20"/>
          <w:szCs w:val="20"/>
          <w:lang w:eastAsia="de-DE"/>
        </w:rPr>
        <w:t xml:space="preserve">: sectoral energy-intensity improvement contributes 6.8 </w:t>
      </w:r>
      <w:proofErr w:type="spellStart"/>
      <w:r w:rsidRPr="00B93038">
        <w:rPr>
          <w:rFonts w:ascii="Times New Roman" w:eastAsia="Times New Roman" w:hAnsi="Times New Roman" w:cs="Times New Roman"/>
          <w:sz w:val="20"/>
          <w:szCs w:val="20"/>
          <w:lang w:eastAsia="de-DE"/>
        </w:rPr>
        <w:t>MtCO</w:t>
      </w:r>
      <w:proofErr w:type="spellEnd"/>
      <w:r w:rsidRPr="00B93038">
        <w:rPr>
          <w:rFonts w:ascii="Times New Roman" w:eastAsia="Times New Roman" w:hAnsi="Times New Roman" w:cs="Times New Roman"/>
          <w:sz w:val="20"/>
          <w:szCs w:val="20"/>
          <w:lang w:eastAsia="de-DE"/>
        </w:rPr>
        <w:t>₂ (22.7%), reflecting efficiency retrofits, industrial upgrading, and better network performance.</w:t>
      </w:r>
    </w:p>
    <w:p w14:paraId="51E46CDD" w14:textId="77777777" w:rsidR="00C96D3E" w:rsidRPr="00B93038" w:rsidRDefault="00C96D3E" w:rsidP="00B93038">
      <w:pPr>
        <w:numPr>
          <w:ilvl w:val="0"/>
          <w:numId w:val="17"/>
        </w:numPr>
        <w:shd w:val="clear" w:color="auto" w:fill="FFFFFF"/>
        <w:tabs>
          <w:tab w:val="left" w:pos="426"/>
          <w:tab w:val="left" w:pos="5220"/>
        </w:tabs>
        <w:spacing w:after="0" w:line="240" w:lineRule="auto"/>
        <w:ind w:left="0" w:firstLine="284"/>
        <w:jc w:val="both"/>
        <w:rPr>
          <w:rFonts w:ascii="Times New Roman" w:eastAsia="Times New Roman" w:hAnsi="Times New Roman" w:cs="Times New Roman"/>
          <w:sz w:val="20"/>
          <w:szCs w:val="20"/>
          <w:lang w:eastAsia="de-DE"/>
        </w:rPr>
      </w:pPr>
      <w:r w:rsidRPr="00B93038">
        <w:rPr>
          <w:rFonts w:ascii="Times New Roman" w:eastAsia="Times New Roman" w:hAnsi="Times New Roman" w:cs="Times New Roman"/>
          <w:sz w:val="20"/>
          <w:szCs w:val="20"/>
          <w:lang w:eastAsia="de-DE"/>
        </w:rPr>
        <w:t xml:space="preserve">Micro: electrification of end uses (transport/buildings) contributes 4.7 </w:t>
      </w:r>
      <w:proofErr w:type="spellStart"/>
      <w:r w:rsidRPr="00B93038">
        <w:rPr>
          <w:rFonts w:ascii="Times New Roman" w:eastAsia="Times New Roman" w:hAnsi="Times New Roman" w:cs="Times New Roman"/>
          <w:sz w:val="20"/>
          <w:szCs w:val="20"/>
          <w:lang w:eastAsia="de-DE"/>
        </w:rPr>
        <w:t>MtCO</w:t>
      </w:r>
      <w:proofErr w:type="spellEnd"/>
      <w:r w:rsidRPr="00B93038">
        <w:rPr>
          <w:rFonts w:ascii="Times New Roman" w:eastAsia="Times New Roman" w:hAnsi="Times New Roman" w:cs="Times New Roman"/>
          <w:sz w:val="20"/>
          <w:szCs w:val="20"/>
          <w:lang w:eastAsia="de-DE"/>
        </w:rPr>
        <w:t>₂ (15.7%), consistent with the idea that decarbonized electricity enables indirect mitigation across sectors.</w:t>
      </w:r>
    </w:p>
    <w:p w14:paraId="43314CC7" w14:textId="77777777" w:rsidR="00C96D3E" w:rsidRPr="00B93038" w:rsidRDefault="00C96D3E" w:rsidP="00B93038">
      <w:pPr>
        <w:numPr>
          <w:ilvl w:val="0"/>
          <w:numId w:val="17"/>
        </w:numPr>
        <w:shd w:val="clear" w:color="auto" w:fill="FFFFFF"/>
        <w:tabs>
          <w:tab w:val="left" w:pos="426"/>
          <w:tab w:val="left" w:pos="5220"/>
        </w:tabs>
        <w:spacing w:after="0" w:line="240" w:lineRule="auto"/>
        <w:ind w:left="0" w:firstLine="284"/>
        <w:jc w:val="both"/>
        <w:rPr>
          <w:rFonts w:ascii="Times New Roman" w:eastAsia="Times New Roman" w:hAnsi="Times New Roman" w:cs="Times New Roman"/>
          <w:sz w:val="20"/>
          <w:szCs w:val="20"/>
          <w:lang w:eastAsia="de-DE"/>
        </w:rPr>
      </w:pPr>
      <w:r w:rsidRPr="00B93038">
        <w:rPr>
          <w:rFonts w:ascii="Times New Roman" w:eastAsia="Times New Roman" w:hAnsi="Times New Roman" w:cs="Times New Roman"/>
          <w:sz w:val="20"/>
          <w:szCs w:val="20"/>
          <w:lang w:eastAsia="de-DE"/>
        </w:rPr>
        <w:t>Remaining reductions come from process optimization, macro structural dampening, and digital monitoring/DSM.</w:t>
      </w:r>
    </w:p>
    <w:p w14:paraId="28E3ABD3" w14:textId="77777777" w:rsidR="00D8147A" w:rsidRPr="00B93038" w:rsidRDefault="00D8147A" w:rsidP="0036176B">
      <w:pPr>
        <w:pStyle w:val="a4"/>
        <w:shd w:val="clear" w:color="auto" w:fill="FFFFFF"/>
        <w:tabs>
          <w:tab w:val="left" w:pos="5220"/>
        </w:tabs>
        <w:spacing w:before="240" w:after="0" w:line="240" w:lineRule="auto"/>
        <w:ind w:left="0"/>
        <w:jc w:val="center"/>
        <w:rPr>
          <w:rFonts w:ascii="Times New Roman" w:eastAsia="Times New Roman" w:hAnsi="Times New Roman" w:cs="Times New Roman"/>
          <w:bCs/>
          <w:sz w:val="20"/>
          <w:szCs w:val="20"/>
          <w:lang w:eastAsia="de-DE"/>
        </w:rPr>
      </w:pPr>
      <w:r w:rsidRPr="00B93038">
        <w:rPr>
          <w:rFonts w:ascii="Times New Roman" w:hAnsi="Times New Roman" w:cs="Times New Roman"/>
          <w:noProof/>
          <w:lang w:val="ru-RU" w:eastAsia="ru-RU"/>
        </w:rPr>
        <w:drawing>
          <wp:inline distT="0" distB="0" distL="0" distR="0" wp14:anchorId="567CAC73" wp14:editId="23AA5B24">
            <wp:extent cx="4667250" cy="2422556"/>
            <wp:effectExtent l="0" t="0" r="0" b="0"/>
            <wp:docPr id="1615394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8" cstate="print">
                      <a:clrChange>
                        <a:clrFrom>
                          <a:srgbClr val="0F111A"/>
                        </a:clrFrom>
                        <a:clrTo>
                          <a:srgbClr val="0F111A">
                            <a:alpha val="0"/>
                          </a:srgbClr>
                        </a:clrTo>
                      </a:clrChange>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t="7177"/>
                    <a:stretch>
                      <a:fillRect/>
                    </a:stretch>
                  </pic:blipFill>
                  <pic:spPr bwMode="auto">
                    <a:xfrm>
                      <a:off x="0" y="0"/>
                      <a:ext cx="4670855" cy="2424427"/>
                    </a:xfrm>
                    <a:prstGeom prst="rect">
                      <a:avLst/>
                    </a:prstGeom>
                    <a:noFill/>
                    <a:ln>
                      <a:noFill/>
                    </a:ln>
                    <a:extLst>
                      <a:ext uri="{53640926-AAD7-44D8-BBD7-CCE9431645EC}">
                        <a14:shadowObscured xmlns:a14="http://schemas.microsoft.com/office/drawing/2010/main"/>
                      </a:ext>
                    </a:extLst>
                  </pic:spPr>
                </pic:pic>
              </a:graphicData>
            </a:graphic>
          </wp:inline>
        </w:drawing>
      </w:r>
    </w:p>
    <w:p w14:paraId="4143861C" w14:textId="23DB7153" w:rsidR="00D8147A" w:rsidRPr="00B93038" w:rsidRDefault="00D8147A" w:rsidP="00D8147A">
      <w:pPr>
        <w:shd w:val="clear" w:color="auto" w:fill="FFFFFF"/>
        <w:tabs>
          <w:tab w:val="left" w:pos="5220"/>
        </w:tabs>
        <w:spacing w:line="240" w:lineRule="auto"/>
        <w:jc w:val="center"/>
        <w:rPr>
          <w:rFonts w:ascii="Times New Roman" w:eastAsia="Times New Roman" w:hAnsi="Times New Roman" w:cs="Times New Roman"/>
          <w:bCs/>
          <w:sz w:val="20"/>
          <w:szCs w:val="20"/>
          <w:lang w:eastAsia="de-DE"/>
        </w:rPr>
      </w:pPr>
      <w:r w:rsidRPr="00B93038">
        <w:rPr>
          <w:rFonts w:ascii="Times New Roman" w:eastAsia="Times New Roman" w:hAnsi="Times New Roman" w:cs="Times New Roman"/>
          <w:b/>
          <w:sz w:val="20"/>
          <w:szCs w:val="20"/>
          <w:lang w:eastAsia="de-DE"/>
        </w:rPr>
        <w:t>FIGURE 2.</w:t>
      </w:r>
      <w:r w:rsidR="00DB4C66" w:rsidRPr="00B93038">
        <w:rPr>
          <w:rFonts w:ascii="Times New Roman" w:hAnsi="Times New Roman" w:cs="Times New Roman"/>
        </w:rPr>
        <w:t xml:space="preserve"> </w:t>
      </w:r>
      <w:r w:rsidR="00DB4C66" w:rsidRPr="00B93038">
        <w:rPr>
          <w:rFonts w:ascii="Times New Roman" w:eastAsia="Times New Roman" w:hAnsi="Times New Roman" w:cs="Times New Roman"/>
          <w:bCs/>
          <w:sz w:val="20"/>
          <w:szCs w:val="20"/>
          <w:lang w:eastAsia="de-DE"/>
        </w:rPr>
        <w:t>CO₂ Emissions Trajectories under Baseline and Policy Scenarios (2024–2030)</w:t>
      </w:r>
    </w:p>
    <w:p w14:paraId="05D6FD8F" w14:textId="22BA9C3E" w:rsidR="00C96D3E" w:rsidRPr="00B93038" w:rsidRDefault="00C96D3E" w:rsidP="00B93038">
      <w:pPr>
        <w:shd w:val="clear" w:color="auto" w:fill="FFFFFF"/>
        <w:tabs>
          <w:tab w:val="left" w:pos="567"/>
          <w:tab w:val="left" w:pos="5220"/>
        </w:tabs>
        <w:spacing w:after="0" w:line="240" w:lineRule="auto"/>
        <w:ind w:firstLine="284"/>
        <w:jc w:val="both"/>
        <w:rPr>
          <w:rFonts w:ascii="Times New Roman" w:eastAsia="Times New Roman" w:hAnsi="Times New Roman" w:cs="Times New Roman"/>
          <w:sz w:val="20"/>
          <w:szCs w:val="20"/>
          <w:lang w:eastAsia="de-DE"/>
        </w:rPr>
      </w:pPr>
      <w:r w:rsidRPr="00B93038">
        <w:rPr>
          <w:rFonts w:ascii="Times New Roman" w:eastAsia="Times New Roman" w:hAnsi="Times New Roman" w:cs="Times New Roman"/>
          <w:sz w:val="20"/>
          <w:szCs w:val="20"/>
          <w:lang w:eastAsia="de-DE"/>
        </w:rPr>
        <w:lastRenderedPageBreak/>
        <w:t>This decomposition matters for planning because it clarifies sequencing: grid cleaning must occur early enough to ensure that electrification yields net CO₂ reductions rather than merely shifting emissions upstream.</w:t>
      </w:r>
    </w:p>
    <w:p w14:paraId="23C9FF1D" w14:textId="77777777" w:rsidR="00C96D3E" w:rsidRPr="00B93038" w:rsidRDefault="00C96D3E" w:rsidP="00B93038">
      <w:pPr>
        <w:shd w:val="clear" w:color="auto" w:fill="FFFFFF"/>
        <w:tabs>
          <w:tab w:val="left" w:pos="567"/>
          <w:tab w:val="left" w:pos="5220"/>
        </w:tabs>
        <w:spacing w:after="0" w:line="240" w:lineRule="auto"/>
        <w:ind w:firstLine="284"/>
        <w:jc w:val="both"/>
        <w:rPr>
          <w:rFonts w:ascii="Times New Roman" w:eastAsia="Times New Roman" w:hAnsi="Times New Roman" w:cs="Times New Roman"/>
          <w:sz w:val="20"/>
          <w:szCs w:val="20"/>
          <w:lang w:eastAsia="de-DE"/>
        </w:rPr>
      </w:pPr>
      <w:r w:rsidRPr="00B93038">
        <w:rPr>
          <w:rFonts w:ascii="Times New Roman" w:eastAsia="Times New Roman" w:hAnsi="Times New Roman" w:cs="Times New Roman"/>
          <w:sz w:val="20"/>
          <w:szCs w:val="20"/>
          <w:lang w:eastAsia="de-DE"/>
        </w:rPr>
        <w:t>Driver ranking (elasticities)</w:t>
      </w:r>
    </w:p>
    <w:p w14:paraId="174CBCCD" w14:textId="77777777" w:rsidR="00C96D3E" w:rsidRPr="00B93038" w:rsidRDefault="00C96D3E" w:rsidP="00B93038">
      <w:pPr>
        <w:shd w:val="clear" w:color="auto" w:fill="FFFFFF"/>
        <w:tabs>
          <w:tab w:val="left" w:pos="567"/>
          <w:tab w:val="left" w:pos="5220"/>
        </w:tabs>
        <w:spacing w:after="0" w:line="240" w:lineRule="auto"/>
        <w:ind w:firstLine="284"/>
        <w:jc w:val="both"/>
        <w:rPr>
          <w:rFonts w:ascii="Times New Roman" w:eastAsia="Times New Roman" w:hAnsi="Times New Roman" w:cs="Times New Roman"/>
          <w:sz w:val="20"/>
          <w:szCs w:val="20"/>
          <w:lang w:eastAsia="de-DE"/>
        </w:rPr>
      </w:pPr>
      <w:r w:rsidRPr="00B93038">
        <w:rPr>
          <w:rFonts w:ascii="Times New Roman" w:eastAsia="Times New Roman" w:hAnsi="Times New Roman" w:cs="Times New Roman"/>
          <w:sz w:val="20"/>
          <w:szCs w:val="20"/>
          <w:lang w:eastAsia="de-DE"/>
        </w:rPr>
        <w:t>The elasticity ranking identifies the most responsive levers:</w:t>
      </w:r>
    </w:p>
    <w:p w14:paraId="75F3BFF6" w14:textId="77777777" w:rsidR="00C96D3E" w:rsidRPr="00B93038" w:rsidRDefault="00C96D3E" w:rsidP="00B93038">
      <w:pPr>
        <w:numPr>
          <w:ilvl w:val="0"/>
          <w:numId w:val="19"/>
        </w:numPr>
        <w:shd w:val="clear" w:color="auto" w:fill="FFFFFF"/>
        <w:tabs>
          <w:tab w:val="left" w:pos="567"/>
          <w:tab w:val="left" w:pos="5220"/>
        </w:tabs>
        <w:spacing w:after="0" w:line="240" w:lineRule="auto"/>
        <w:ind w:left="0" w:firstLine="284"/>
        <w:jc w:val="both"/>
        <w:rPr>
          <w:rFonts w:ascii="Times New Roman" w:eastAsia="Times New Roman" w:hAnsi="Times New Roman" w:cs="Times New Roman"/>
          <w:sz w:val="20"/>
          <w:szCs w:val="20"/>
          <w:lang w:eastAsia="de-DE"/>
        </w:rPr>
      </w:pPr>
      <w:r w:rsidRPr="00B93038">
        <w:rPr>
          <w:rFonts w:ascii="Times New Roman" w:eastAsia="Times New Roman" w:hAnsi="Times New Roman" w:cs="Times New Roman"/>
          <w:sz w:val="20"/>
          <w:szCs w:val="20"/>
          <w:lang w:eastAsia="de-DE"/>
        </w:rPr>
        <w:t xml:space="preserve">Grid carbon intensity shows the highest elasticity (≈0.74), indicating that lowering </w:t>
      </w:r>
      <w:proofErr w:type="spellStart"/>
      <w:r w:rsidRPr="00B93038">
        <w:rPr>
          <w:rFonts w:ascii="Times New Roman" w:eastAsia="Times New Roman" w:hAnsi="Times New Roman" w:cs="Times New Roman"/>
          <w:sz w:val="20"/>
          <w:szCs w:val="20"/>
          <w:lang w:eastAsia="de-DE"/>
        </w:rPr>
        <w:t>kgCO</w:t>
      </w:r>
      <w:proofErr w:type="spellEnd"/>
      <w:r w:rsidRPr="00B93038">
        <w:rPr>
          <w:rFonts w:ascii="Times New Roman" w:eastAsia="Times New Roman" w:hAnsi="Times New Roman" w:cs="Times New Roman"/>
          <w:sz w:val="20"/>
          <w:szCs w:val="20"/>
          <w:lang w:eastAsia="de-DE"/>
        </w:rPr>
        <w:t>₂/kWh has outsized system impact once electrification expands.</w:t>
      </w:r>
    </w:p>
    <w:p w14:paraId="2318491D" w14:textId="77777777" w:rsidR="00C96D3E" w:rsidRPr="00B93038" w:rsidRDefault="00C96D3E" w:rsidP="00B93038">
      <w:pPr>
        <w:numPr>
          <w:ilvl w:val="0"/>
          <w:numId w:val="19"/>
        </w:numPr>
        <w:shd w:val="clear" w:color="auto" w:fill="FFFFFF"/>
        <w:tabs>
          <w:tab w:val="left" w:pos="567"/>
          <w:tab w:val="left" w:pos="5220"/>
        </w:tabs>
        <w:spacing w:after="0" w:line="240" w:lineRule="auto"/>
        <w:ind w:left="0" w:firstLine="284"/>
        <w:jc w:val="both"/>
        <w:rPr>
          <w:rFonts w:ascii="Times New Roman" w:eastAsia="Times New Roman" w:hAnsi="Times New Roman" w:cs="Times New Roman"/>
          <w:sz w:val="20"/>
          <w:szCs w:val="20"/>
          <w:lang w:eastAsia="de-DE"/>
        </w:rPr>
      </w:pPr>
      <w:r w:rsidRPr="00B93038">
        <w:rPr>
          <w:rFonts w:ascii="Times New Roman" w:eastAsia="Times New Roman" w:hAnsi="Times New Roman" w:cs="Times New Roman"/>
          <w:sz w:val="20"/>
          <w:szCs w:val="20"/>
          <w:lang w:eastAsia="de-DE"/>
        </w:rPr>
        <w:t>Final energy intensity (MJ/$) is the next strongest (≈0.58), consistent with the role of efficiency standards and industrial modernization.</w:t>
      </w:r>
    </w:p>
    <w:p w14:paraId="75B9A40A" w14:textId="77777777" w:rsidR="00C96D3E" w:rsidRPr="00B93038" w:rsidRDefault="00C96D3E" w:rsidP="00B93038">
      <w:pPr>
        <w:numPr>
          <w:ilvl w:val="0"/>
          <w:numId w:val="19"/>
        </w:numPr>
        <w:shd w:val="clear" w:color="auto" w:fill="FFFFFF"/>
        <w:tabs>
          <w:tab w:val="left" w:pos="567"/>
          <w:tab w:val="left" w:pos="5220"/>
        </w:tabs>
        <w:spacing w:after="0" w:line="240" w:lineRule="auto"/>
        <w:ind w:left="0" w:firstLine="284"/>
        <w:jc w:val="both"/>
        <w:rPr>
          <w:rFonts w:ascii="Times New Roman" w:eastAsia="Times New Roman" w:hAnsi="Times New Roman" w:cs="Times New Roman"/>
          <w:sz w:val="20"/>
          <w:szCs w:val="20"/>
          <w:lang w:eastAsia="de-DE"/>
        </w:rPr>
      </w:pPr>
      <w:r w:rsidRPr="00B93038">
        <w:rPr>
          <w:rFonts w:ascii="Times New Roman" w:eastAsia="Times New Roman" w:hAnsi="Times New Roman" w:cs="Times New Roman"/>
          <w:sz w:val="20"/>
          <w:szCs w:val="20"/>
          <w:lang w:eastAsia="de-DE"/>
        </w:rPr>
        <w:t>Coal share in power remains a high-impact discrete lever due to its carbon intensity.</w:t>
      </w:r>
    </w:p>
    <w:p w14:paraId="6DD710E9" w14:textId="77777777" w:rsidR="00C96D3E" w:rsidRPr="00B93038" w:rsidRDefault="00C96D3E" w:rsidP="00B93038">
      <w:pPr>
        <w:shd w:val="clear" w:color="auto" w:fill="FFFFFF"/>
        <w:tabs>
          <w:tab w:val="left" w:pos="567"/>
          <w:tab w:val="left" w:pos="5220"/>
        </w:tabs>
        <w:spacing w:after="0" w:line="240" w:lineRule="auto"/>
        <w:ind w:firstLine="284"/>
        <w:jc w:val="both"/>
        <w:rPr>
          <w:rFonts w:ascii="Times New Roman" w:eastAsia="Times New Roman" w:hAnsi="Times New Roman" w:cs="Times New Roman"/>
          <w:sz w:val="20"/>
          <w:szCs w:val="20"/>
          <w:lang w:eastAsia="de-DE"/>
        </w:rPr>
      </w:pPr>
      <w:r w:rsidRPr="00B93038">
        <w:rPr>
          <w:rFonts w:ascii="Times New Roman" w:eastAsia="Times New Roman" w:hAnsi="Times New Roman" w:cs="Times New Roman"/>
          <w:sz w:val="20"/>
          <w:szCs w:val="20"/>
          <w:lang w:eastAsia="de-DE"/>
        </w:rPr>
        <w:t xml:space="preserve">These rankings are consistent with standardized reporting frameworks and sector evidence that power, industry, and transport are central in mitigation pathways. </w:t>
      </w:r>
    </w:p>
    <w:p w14:paraId="05A38527" w14:textId="77777777" w:rsidR="00D674A5" w:rsidRPr="00B93038" w:rsidRDefault="00D674A5" w:rsidP="00B93038">
      <w:pPr>
        <w:shd w:val="clear" w:color="auto" w:fill="FFFFFF"/>
        <w:tabs>
          <w:tab w:val="left" w:pos="567"/>
          <w:tab w:val="left" w:pos="5220"/>
        </w:tabs>
        <w:spacing w:after="0" w:line="240" w:lineRule="auto"/>
        <w:ind w:firstLine="284"/>
        <w:jc w:val="both"/>
        <w:rPr>
          <w:rFonts w:ascii="Times New Roman" w:eastAsia="Times New Roman" w:hAnsi="Times New Roman" w:cs="Times New Roman"/>
          <w:sz w:val="20"/>
          <w:szCs w:val="20"/>
          <w:lang w:eastAsia="de-DE"/>
        </w:rPr>
      </w:pPr>
      <w:r w:rsidRPr="00B93038">
        <w:rPr>
          <w:rFonts w:ascii="Times New Roman" w:eastAsia="Times New Roman" w:hAnsi="Times New Roman" w:cs="Times New Roman"/>
          <w:sz w:val="20"/>
          <w:szCs w:val="20"/>
          <w:lang w:eastAsia="de-DE"/>
        </w:rPr>
        <w:t>The multiscale hierarchy avoids a common planning failure: treating CO₂ drivers as flat lists. Instead, it distinguishes pressure variables (macro activity), transmission variables (</w:t>
      </w:r>
      <w:proofErr w:type="spellStart"/>
      <w:r w:rsidRPr="00B93038">
        <w:rPr>
          <w:rFonts w:ascii="Times New Roman" w:eastAsia="Times New Roman" w:hAnsi="Times New Roman" w:cs="Times New Roman"/>
          <w:sz w:val="20"/>
          <w:szCs w:val="20"/>
          <w:lang w:eastAsia="de-DE"/>
        </w:rPr>
        <w:t>meso</w:t>
      </w:r>
      <w:proofErr w:type="spellEnd"/>
      <w:r w:rsidRPr="00B93038">
        <w:rPr>
          <w:rFonts w:ascii="Times New Roman" w:eastAsia="Times New Roman" w:hAnsi="Times New Roman" w:cs="Times New Roman"/>
          <w:sz w:val="20"/>
          <w:szCs w:val="20"/>
          <w:lang w:eastAsia="de-DE"/>
        </w:rPr>
        <w:t xml:space="preserve"> structure/intensity), and control variables (micro technology choices). In practice:</w:t>
      </w:r>
    </w:p>
    <w:p w14:paraId="6D37DC0B" w14:textId="77777777" w:rsidR="00D674A5" w:rsidRPr="00B93038" w:rsidRDefault="00D674A5" w:rsidP="00B93038">
      <w:pPr>
        <w:numPr>
          <w:ilvl w:val="0"/>
          <w:numId w:val="20"/>
        </w:numPr>
        <w:shd w:val="clear" w:color="auto" w:fill="FFFFFF"/>
        <w:tabs>
          <w:tab w:val="left" w:pos="567"/>
          <w:tab w:val="left" w:pos="5220"/>
        </w:tabs>
        <w:spacing w:after="0" w:line="240" w:lineRule="auto"/>
        <w:ind w:left="0" w:firstLine="284"/>
        <w:jc w:val="both"/>
        <w:rPr>
          <w:rFonts w:ascii="Times New Roman" w:eastAsia="Times New Roman" w:hAnsi="Times New Roman" w:cs="Times New Roman"/>
          <w:sz w:val="20"/>
          <w:szCs w:val="20"/>
          <w:lang w:eastAsia="de-DE"/>
        </w:rPr>
      </w:pPr>
      <w:r w:rsidRPr="00B93038">
        <w:rPr>
          <w:rFonts w:ascii="Times New Roman" w:eastAsia="Times New Roman" w:hAnsi="Times New Roman" w:cs="Times New Roman"/>
          <w:sz w:val="20"/>
          <w:szCs w:val="20"/>
          <w:lang w:eastAsia="de-DE"/>
        </w:rPr>
        <w:t>Macro layer is useful for bounding scenarios (growth, urbanization), but offers limited direct control.</w:t>
      </w:r>
    </w:p>
    <w:p w14:paraId="130178A7" w14:textId="77777777" w:rsidR="00D674A5" w:rsidRPr="00B93038" w:rsidRDefault="00D674A5" w:rsidP="00B93038">
      <w:pPr>
        <w:numPr>
          <w:ilvl w:val="0"/>
          <w:numId w:val="20"/>
        </w:numPr>
        <w:shd w:val="clear" w:color="auto" w:fill="FFFFFF"/>
        <w:tabs>
          <w:tab w:val="left" w:pos="567"/>
          <w:tab w:val="left" w:pos="5220"/>
        </w:tabs>
        <w:spacing w:after="0" w:line="240" w:lineRule="auto"/>
        <w:ind w:left="0" w:firstLine="284"/>
        <w:jc w:val="both"/>
        <w:rPr>
          <w:rFonts w:ascii="Times New Roman" w:eastAsia="Times New Roman" w:hAnsi="Times New Roman" w:cs="Times New Roman"/>
          <w:sz w:val="20"/>
          <w:szCs w:val="20"/>
          <w:lang w:eastAsia="de-DE"/>
        </w:rPr>
      </w:pPr>
      <w:proofErr w:type="spellStart"/>
      <w:r w:rsidRPr="00B93038">
        <w:rPr>
          <w:rFonts w:ascii="Times New Roman" w:eastAsia="Times New Roman" w:hAnsi="Times New Roman" w:cs="Times New Roman"/>
          <w:sz w:val="20"/>
          <w:szCs w:val="20"/>
          <w:lang w:eastAsia="de-DE"/>
        </w:rPr>
        <w:t>Meso</w:t>
      </w:r>
      <w:proofErr w:type="spellEnd"/>
      <w:r w:rsidRPr="00B93038">
        <w:rPr>
          <w:rFonts w:ascii="Times New Roman" w:eastAsia="Times New Roman" w:hAnsi="Times New Roman" w:cs="Times New Roman"/>
          <w:sz w:val="20"/>
          <w:szCs w:val="20"/>
          <w:lang w:eastAsia="de-DE"/>
        </w:rPr>
        <w:t xml:space="preserve"> layer translates growth into energy demand via infrastructure choices (public transport, district heating, industrial clustering).</w:t>
      </w:r>
    </w:p>
    <w:p w14:paraId="3A7E4C73" w14:textId="77777777" w:rsidR="00D674A5" w:rsidRPr="00B93038" w:rsidRDefault="00D674A5" w:rsidP="00B93038">
      <w:pPr>
        <w:numPr>
          <w:ilvl w:val="0"/>
          <w:numId w:val="20"/>
        </w:numPr>
        <w:shd w:val="clear" w:color="auto" w:fill="FFFFFF"/>
        <w:tabs>
          <w:tab w:val="left" w:pos="567"/>
          <w:tab w:val="left" w:pos="5220"/>
        </w:tabs>
        <w:spacing w:after="0" w:line="240" w:lineRule="auto"/>
        <w:ind w:left="0" w:firstLine="284"/>
        <w:jc w:val="both"/>
        <w:rPr>
          <w:rFonts w:ascii="Times New Roman" w:eastAsia="Times New Roman" w:hAnsi="Times New Roman" w:cs="Times New Roman"/>
          <w:sz w:val="20"/>
          <w:szCs w:val="20"/>
          <w:lang w:eastAsia="de-DE"/>
        </w:rPr>
      </w:pPr>
      <w:r w:rsidRPr="00B93038">
        <w:rPr>
          <w:rFonts w:ascii="Times New Roman" w:eastAsia="Times New Roman" w:hAnsi="Times New Roman" w:cs="Times New Roman"/>
          <w:sz w:val="20"/>
          <w:szCs w:val="20"/>
          <w:lang w:eastAsia="de-DE"/>
        </w:rPr>
        <w:t>Micro layer delivers most measurable mitigation—fuel switching, renewable build-out, electrification, efficiency, and process change.</w:t>
      </w:r>
    </w:p>
    <w:p w14:paraId="1A47B0F2" w14:textId="77777777" w:rsidR="00D674A5" w:rsidRPr="00B93038" w:rsidRDefault="00D674A5" w:rsidP="00B93038">
      <w:pPr>
        <w:numPr>
          <w:ilvl w:val="0"/>
          <w:numId w:val="20"/>
        </w:numPr>
        <w:shd w:val="clear" w:color="auto" w:fill="FFFFFF"/>
        <w:tabs>
          <w:tab w:val="left" w:pos="567"/>
          <w:tab w:val="left" w:pos="5220"/>
        </w:tabs>
        <w:spacing w:after="0" w:line="240" w:lineRule="auto"/>
        <w:ind w:left="0" w:firstLine="284"/>
        <w:jc w:val="both"/>
        <w:rPr>
          <w:rFonts w:ascii="Times New Roman" w:eastAsia="Times New Roman" w:hAnsi="Times New Roman" w:cs="Times New Roman"/>
          <w:sz w:val="20"/>
          <w:szCs w:val="20"/>
          <w:lang w:eastAsia="de-DE"/>
        </w:rPr>
      </w:pPr>
      <w:r w:rsidRPr="00B93038">
        <w:rPr>
          <w:rFonts w:ascii="Times New Roman" w:eastAsia="Times New Roman" w:hAnsi="Times New Roman" w:cs="Times New Roman"/>
          <w:sz w:val="20"/>
          <w:szCs w:val="20"/>
          <w:lang w:eastAsia="de-DE"/>
        </w:rPr>
        <w:t>Cross-cutting digitalization (SCADA/AMI, forecasting, DSM) increases “system agility,” reducing peak-driven fossil dispatch and improving the effective utilization of low-carbon generation.</w:t>
      </w:r>
    </w:p>
    <w:p w14:paraId="36873410" w14:textId="77777777" w:rsidR="00081607" w:rsidRPr="00B93038" w:rsidRDefault="00081607" w:rsidP="00B93038">
      <w:pPr>
        <w:tabs>
          <w:tab w:val="left" w:pos="567"/>
        </w:tabs>
        <w:spacing w:after="0" w:line="240" w:lineRule="auto"/>
        <w:ind w:firstLine="284"/>
        <w:jc w:val="both"/>
        <w:rPr>
          <w:rFonts w:ascii="Times New Roman" w:eastAsia="Times New Roman" w:hAnsi="Times New Roman" w:cs="Times New Roman"/>
          <w:sz w:val="20"/>
          <w:szCs w:val="20"/>
          <w:lang w:eastAsia="de-DE"/>
        </w:rPr>
      </w:pPr>
      <w:r w:rsidRPr="00B93038">
        <w:rPr>
          <w:rFonts w:ascii="Times New Roman" w:eastAsia="Times New Roman" w:hAnsi="Times New Roman" w:cs="Times New Roman"/>
          <w:sz w:val="20"/>
          <w:szCs w:val="20"/>
          <w:lang w:eastAsia="de-DE"/>
        </w:rPr>
        <w:t xml:space="preserve">The results confirm that a multiscale, hierarchical classification of CO₂ emission factors provides a robust and transparent framework for sustainable energy system planning. By systematically distinguishing macro, </w:t>
      </w:r>
      <w:proofErr w:type="spellStart"/>
      <w:r w:rsidRPr="00B93038">
        <w:rPr>
          <w:rFonts w:ascii="Times New Roman" w:eastAsia="Times New Roman" w:hAnsi="Times New Roman" w:cs="Times New Roman"/>
          <w:sz w:val="20"/>
          <w:szCs w:val="20"/>
          <w:lang w:eastAsia="de-DE"/>
        </w:rPr>
        <w:t>meso</w:t>
      </w:r>
      <w:proofErr w:type="spellEnd"/>
      <w:r w:rsidRPr="00B93038">
        <w:rPr>
          <w:rFonts w:ascii="Times New Roman" w:eastAsia="Times New Roman" w:hAnsi="Times New Roman" w:cs="Times New Roman"/>
          <w:sz w:val="20"/>
          <w:szCs w:val="20"/>
          <w:lang w:eastAsia="de-DE"/>
        </w:rPr>
        <w:t xml:space="preserve">, and micro-level drivers, the proposed structure enables clear attribution of emission changes to specific economic, technological, and policy-related factors. The quantitative decomposition and sensitivity analysis demonstrate that power-sector </w:t>
      </w:r>
      <w:proofErr w:type="spellStart"/>
      <w:r w:rsidRPr="00B93038">
        <w:rPr>
          <w:rFonts w:ascii="Times New Roman" w:eastAsia="Times New Roman" w:hAnsi="Times New Roman" w:cs="Times New Roman"/>
          <w:sz w:val="20"/>
          <w:szCs w:val="20"/>
          <w:lang w:eastAsia="de-DE"/>
        </w:rPr>
        <w:t>decarbonization</w:t>
      </w:r>
      <w:proofErr w:type="spellEnd"/>
      <w:r w:rsidRPr="00B93038">
        <w:rPr>
          <w:rFonts w:ascii="Times New Roman" w:eastAsia="Times New Roman" w:hAnsi="Times New Roman" w:cs="Times New Roman"/>
          <w:sz w:val="20"/>
          <w:szCs w:val="20"/>
          <w:lang w:eastAsia="de-DE"/>
        </w:rPr>
        <w:t xml:space="preserve"> and energy-intensity improvements offer the highest mitigation potential, while digital and cross-cutting enablers enhance overall system effectiveness. Consequently, the hierarchical approach supports evidence-based prioritization of </w:t>
      </w:r>
      <w:proofErr w:type="spellStart"/>
      <w:r w:rsidRPr="00B93038">
        <w:rPr>
          <w:rFonts w:ascii="Times New Roman" w:eastAsia="Times New Roman" w:hAnsi="Times New Roman" w:cs="Times New Roman"/>
          <w:sz w:val="20"/>
          <w:szCs w:val="20"/>
          <w:lang w:eastAsia="de-DE"/>
        </w:rPr>
        <w:t>decarbonization</w:t>
      </w:r>
      <w:proofErr w:type="spellEnd"/>
      <w:r w:rsidRPr="00B93038">
        <w:rPr>
          <w:rFonts w:ascii="Times New Roman" w:eastAsia="Times New Roman" w:hAnsi="Times New Roman" w:cs="Times New Roman"/>
          <w:sz w:val="20"/>
          <w:szCs w:val="20"/>
          <w:lang w:eastAsia="de-DE"/>
        </w:rPr>
        <w:t xml:space="preserve"> measures and improves the coherence of long-term low-carbon energy strategies.</w:t>
      </w:r>
    </w:p>
    <w:p w14:paraId="51D8FA98" w14:textId="5FB95C07" w:rsidR="007D79DC" w:rsidRPr="00B93038" w:rsidRDefault="00CA398A" w:rsidP="00BA5258">
      <w:pPr>
        <w:overflowPunct w:val="0"/>
        <w:autoSpaceDE w:val="0"/>
        <w:autoSpaceDN w:val="0"/>
        <w:adjustRightInd w:val="0"/>
        <w:spacing w:before="240" w:after="240" w:line="240" w:lineRule="auto"/>
        <w:jc w:val="center"/>
        <w:textAlignment w:val="baseline"/>
        <w:rPr>
          <w:rFonts w:ascii="Times New Roman" w:hAnsi="Times New Roman" w:cs="Times New Roman"/>
          <w:b/>
          <w:sz w:val="24"/>
          <w:szCs w:val="24"/>
        </w:rPr>
      </w:pPr>
      <w:r w:rsidRPr="00B93038">
        <w:rPr>
          <w:rFonts w:ascii="Times New Roman" w:hAnsi="Times New Roman" w:cs="Times New Roman"/>
          <w:b/>
          <w:sz w:val="24"/>
          <w:szCs w:val="24"/>
        </w:rPr>
        <w:t>CONCLUSIONS</w:t>
      </w:r>
    </w:p>
    <w:p w14:paraId="2BFF0F85" w14:textId="2B8EB25F" w:rsidR="0090744B" w:rsidRPr="00B93038" w:rsidRDefault="00C11367" w:rsidP="00C11367">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B93038">
        <w:rPr>
          <w:rFonts w:ascii="Times New Roman" w:hAnsi="Times New Roman" w:cs="Times New Roman"/>
          <w:sz w:val="20"/>
        </w:rPr>
        <w:t xml:space="preserve">This study developed a rigorous multiscale classification and hierarchical structuring of CO₂ emission factors to support advanced sustainable energy system planning. By coherently integrating macroeconomic pressures, </w:t>
      </w:r>
      <w:proofErr w:type="spellStart"/>
      <w:r w:rsidRPr="00B93038">
        <w:rPr>
          <w:rFonts w:ascii="Times New Roman" w:hAnsi="Times New Roman" w:cs="Times New Roman"/>
          <w:sz w:val="20"/>
        </w:rPr>
        <w:t>meso</w:t>
      </w:r>
      <w:proofErr w:type="spellEnd"/>
      <w:r w:rsidRPr="00B93038">
        <w:rPr>
          <w:rFonts w:ascii="Times New Roman" w:hAnsi="Times New Roman" w:cs="Times New Roman"/>
          <w:sz w:val="20"/>
        </w:rPr>
        <w:t xml:space="preserve">-level structural characteristics, and micro-level technological drivers within a unified analytical framework, the research demonstrates how intrinsically complex emission dynamics can be systematically decomposed, quantified, and interpreted. The findings clearly indicate that although macro drivers largely determine the overall magnitude and growth trajectory of emissions, the most substantial and controllable mitigation potential resides at the </w:t>
      </w:r>
      <w:proofErr w:type="spellStart"/>
      <w:r w:rsidRPr="00B93038">
        <w:rPr>
          <w:rFonts w:ascii="Times New Roman" w:hAnsi="Times New Roman" w:cs="Times New Roman"/>
          <w:sz w:val="20"/>
        </w:rPr>
        <w:t>meso</w:t>
      </w:r>
      <w:proofErr w:type="spellEnd"/>
      <w:r w:rsidRPr="00B93038">
        <w:rPr>
          <w:rFonts w:ascii="Times New Roman" w:hAnsi="Times New Roman" w:cs="Times New Roman"/>
          <w:sz w:val="20"/>
        </w:rPr>
        <w:t xml:space="preserve"> and micro levels. Power-sector </w:t>
      </w:r>
      <w:proofErr w:type="spellStart"/>
      <w:r w:rsidRPr="00B93038">
        <w:rPr>
          <w:rFonts w:ascii="Times New Roman" w:hAnsi="Times New Roman" w:cs="Times New Roman"/>
          <w:sz w:val="20"/>
        </w:rPr>
        <w:t>decarbonization</w:t>
      </w:r>
      <w:proofErr w:type="spellEnd"/>
      <w:r w:rsidRPr="00B93038">
        <w:rPr>
          <w:rFonts w:ascii="Times New Roman" w:hAnsi="Times New Roman" w:cs="Times New Roman"/>
          <w:sz w:val="20"/>
        </w:rPr>
        <w:t xml:space="preserve">, sustained reductions in energy intensity, and the accelerated electrification of end-use sectors emerge as the dominant levers for achieving meaningful and durable emission reductions. Moreover, the incorporation of cross-cutting enablers—such as digital monitoring infrastructures, demand-side management mechanisms, and coherent regulatory and policy instruments—significantly enhances system flexibility, coordination, and overall mitigation effectiveness. Beyond its conceptual coherence, the proposed framework offers strong practical relevance, enabling policymakers and energy planners to systematically identify priority intervention points, evaluate trade-offs among competing strategies, and design internally consistent </w:t>
      </w:r>
      <w:proofErr w:type="spellStart"/>
      <w:r w:rsidRPr="00B93038">
        <w:rPr>
          <w:rFonts w:ascii="Times New Roman" w:hAnsi="Times New Roman" w:cs="Times New Roman"/>
          <w:sz w:val="20"/>
        </w:rPr>
        <w:t>decarbonization</w:t>
      </w:r>
      <w:proofErr w:type="spellEnd"/>
      <w:r w:rsidRPr="00B93038">
        <w:rPr>
          <w:rFonts w:ascii="Times New Roman" w:hAnsi="Times New Roman" w:cs="Times New Roman"/>
          <w:sz w:val="20"/>
        </w:rPr>
        <w:t xml:space="preserve"> pathways aligned with long-term climate objectives. Consequently, this work contributes a scalable, analytically robust tool for evidence-based decision-making in low-carbon energy transitions and establishes a solid foundation for future research integrating region-specific data, uncertainty assessment, and coupled energy–economic modeling approaches.</w:t>
      </w:r>
    </w:p>
    <w:p w14:paraId="5FF2BC5A" w14:textId="30C0AA73" w:rsidR="00F84944" w:rsidRPr="00B93038" w:rsidRDefault="00CA398A" w:rsidP="00FE66E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B93038">
        <w:rPr>
          <w:rFonts w:ascii="Times New Roman" w:hAnsi="Times New Roman" w:cs="Times New Roman"/>
          <w:b/>
          <w:sz w:val="24"/>
          <w:szCs w:val="24"/>
        </w:rPr>
        <w:t>REFERENCES</w:t>
      </w:r>
    </w:p>
    <w:p w14:paraId="438F4C0E" w14:textId="6810BAB3" w:rsidR="00924EE5" w:rsidRPr="00C6011D" w:rsidRDefault="00924EE5" w:rsidP="00924EE5">
      <w:pPr>
        <w:pStyle w:val="a4"/>
        <w:numPr>
          <w:ilvl w:val="0"/>
          <w:numId w:val="6"/>
        </w:numPr>
        <w:tabs>
          <w:tab w:val="left" w:pos="567"/>
        </w:tabs>
        <w:spacing w:before="100" w:beforeAutospacing="1" w:after="0" w:afterAutospacing="1" w:line="240" w:lineRule="auto"/>
        <w:ind w:left="0" w:firstLine="284"/>
        <w:jc w:val="both"/>
        <w:rPr>
          <w:rFonts w:ascii="Times New Roman" w:eastAsia="Times New Roman" w:hAnsi="Times New Roman" w:cs="Times New Roman"/>
          <w:sz w:val="20"/>
          <w:szCs w:val="20"/>
        </w:rPr>
      </w:pPr>
      <w:r w:rsidRPr="00C6011D">
        <w:rPr>
          <w:rFonts w:ascii="Times New Roman" w:eastAsia="Times New Roman" w:hAnsi="Times New Roman" w:cs="Times New Roman"/>
          <w:sz w:val="20"/>
          <w:szCs w:val="20"/>
        </w:rPr>
        <w:t>International Energy Agency, World Energy Outlook 2024 (IEA, Paris, 2024).</w:t>
      </w:r>
    </w:p>
    <w:p w14:paraId="2FEFC561" w14:textId="619D3778" w:rsidR="00924EE5" w:rsidRPr="00C6011D" w:rsidRDefault="00924EE5" w:rsidP="00924EE5">
      <w:pPr>
        <w:pStyle w:val="a4"/>
        <w:numPr>
          <w:ilvl w:val="0"/>
          <w:numId w:val="6"/>
        </w:numPr>
        <w:tabs>
          <w:tab w:val="left" w:pos="567"/>
        </w:tabs>
        <w:spacing w:before="100" w:beforeAutospacing="1" w:after="0" w:afterAutospacing="1" w:line="240" w:lineRule="auto"/>
        <w:ind w:left="0" w:firstLine="284"/>
        <w:jc w:val="both"/>
        <w:rPr>
          <w:rFonts w:ascii="Times New Roman" w:eastAsia="Times New Roman" w:hAnsi="Times New Roman" w:cs="Times New Roman"/>
          <w:sz w:val="20"/>
          <w:szCs w:val="20"/>
        </w:rPr>
      </w:pPr>
      <w:r w:rsidRPr="00C6011D">
        <w:rPr>
          <w:rFonts w:ascii="Times New Roman" w:eastAsia="Times New Roman" w:hAnsi="Times New Roman" w:cs="Times New Roman"/>
          <w:sz w:val="20"/>
          <w:szCs w:val="20"/>
        </w:rPr>
        <w:t xml:space="preserve">G. Peters, R. M. Andrew, J. G. </w:t>
      </w:r>
      <w:proofErr w:type="spellStart"/>
      <w:r w:rsidRPr="00C6011D">
        <w:rPr>
          <w:rFonts w:ascii="Times New Roman" w:eastAsia="Times New Roman" w:hAnsi="Times New Roman" w:cs="Times New Roman"/>
          <w:sz w:val="20"/>
          <w:szCs w:val="20"/>
        </w:rPr>
        <w:t>Canadell</w:t>
      </w:r>
      <w:proofErr w:type="spellEnd"/>
      <w:r w:rsidRPr="00C6011D">
        <w:rPr>
          <w:rFonts w:ascii="Times New Roman" w:eastAsia="Times New Roman" w:hAnsi="Times New Roman" w:cs="Times New Roman"/>
          <w:sz w:val="20"/>
          <w:szCs w:val="20"/>
        </w:rPr>
        <w:t xml:space="preserve">, et al., “Carbon dioxide emissions continue to grow amidst slowly emerging climate policies,” Nat. </w:t>
      </w:r>
      <w:proofErr w:type="spellStart"/>
      <w:r w:rsidRPr="00C6011D">
        <w:rPr>
          <w:rFonts w:ascii="Times New Roman" w:eastAsia="Times New Roman" w:hAnsi="Times New Roman" w:cs="Times New Roman"/>
          <w:sz w:val="20"/>
          <w:szCs w:val="20"/>
        </w:rPr>
        <w:t>Clim</w:t>
      </w:r>
      <w:proofErr w:type="spellEnd"/>
      <w:r w:rsidRPr="00C6011D">
        <w:rPr>
          <w:rFonts w:ascii="Times New Roman" w:eastAsia="Times New Roman" w:hAnsi="Times New Roman" w:cs="Times New Roman"/>
          <w:sz w:val="20"/>
          <w:szCs w:val="20"/>
        </w:rPr>
        <w:t>. Change 10, 3–6 (2020). https://doi.org/10.1038/s41558-019-0659-6</w:t>
      </w:r>
    </w:p>
    <w:p w14:paraId="23232615" w14:textId="2DE07FBC" w:rsidR="00924EE5" w:rsidRPr="00C6011D" w:rsidRDefault="00924EE5" w:rsidP="00924EE5">
      <w:pPr>
        <w:pStyle w:val="a4"/>
        <w:numPr>
          <w:ilvl w:val="0"/>
          <w:numId w:val="6"/>
        </w:numPr>
        <w:tabs>
          <w:tab w:val="left" w:pos="567"/>
        </w:tabs>
        <w:spacing w:before="100" w:beforeAutospacing="1" w:after="0" w:afterAutospacing="1" w:line="240" w:lineRule="auto"/>
        <w:ind w:left="0" w:firstLine="284"/>
        <w:jc w:val="both"/>
        <w:rPr>
          <w:rFonts w:ascii="Times New Roman" w:eastAsia="Times New Roman" w:hAnsi="Times New Roman" w:cs="Times New Roman"/>
          <w:sz w:val="20"/>
          <w:szCs w:val="20"/>
        </w:rPr>
      </w:pPr>
      <w:r w:rsidRPr="00C6011D">
        <w:rPr>
          <w:rFonts w:ascii="Times New Roman" w:eastAsia="Times New Roman" w:hAnsi="Times New Roman" w:cs="Times New Roman"/>
          <w:sz w:val="20"/>
          <w:szCs w:val="20"/>
        </w:rPr>
        <w:lastRenderedPageBreak/>
        <w:t xml:space="preserve">K. </w:t>
      </w:r>
      <w:proofErr w:type="spellStart"/>
      <w:r w:rsidRPr="00C6011D">
        <w:rPr>
          <w:rFonts w:ascii="Times New Roman" w:eastAsia="Times New Roman" w:hAnsi="Times New Roman" w:cs="Times New Roman"/>
          <w:sz w:val="20"/>
          <w:szCs w:val="20"/>
        </w:rPr>
        <w:t>Hubacek</w:t>
      </w:r>
      <w:proofErr w:type="spellEnd"/>
      <w:r w:rsidRPr="00C6011D">
        <w:rPr>
          <w:rFonts w:ascii="Times New Roman" w:eastAsia="Times New Roman" w:hAnsi="Times New Roman" w:cs="Times New Roman"/>
          <w:sz w:val="20"/>
          <w:szCs w:val="20"/>
        </w:rPr>
        <w:t xml:space="preserve">, F. </w:t>
      </w:r>
      <w:proofErr w:type="spellStart"/>
      <w:r w:rsidRPr="00C6011D">
        <w:rPr>
          <w:rFonts w:ascii="Times New Roman" w:eastAsia="Times New Roman" w:hAnsi="Times New Roman" w:cs="Times New Roman"/>
          <w:sz w:val="20"/>
          <w:szCs w:val="20"/>
        </w:rPr>
        <w:t>Baiocchi</w:t>
      </w:r>
      <w:proofErr w:type="spellEnd"/>
      <w:r w:rsidRPr="00C6011D">
        <w:rPr>
          <w:rFonts w:ascii="Times New Roman" w:eastAsia="Times New Roman" w:hAnsi="Times New Roman" w:cs="Times New Roman"/>
          <w:sz w:val="20"/>
          <w:szCs w:val="20"/>
        </w:rPr>
        <w:t xml:space="preserve">, J. Feng, and K. </w:t>
      </w:r>
      <w:proofErr w:type="spellStart"/>
      <w:r w:rsidRPr="00C6011D">
        <w:rPr>
          <w:rFonts w:ascii="Times New Roman" w:eastAsia="Times New Roman" w:hAnsi="Times New Roman" w:cs="Times New Roman"/>
          <w:sz w:val="20"/>
          <w:szCs w:val="20"/>
        </w:rPr>
        <w:t>Patwardhan</w:t>
      </w:r>
      <w:proofErr w:type="spellEnd"/>
      <w:r w:rsidRPr="00C6011D">
        <w:rPr>
          <w:rFonts w:ascii="Times New Roman" w:eastAsia="Times New Roman" w:hAnsi="Times New Roman" w:cs="Times New Roman"/>
          <w:sz w:val="20"/>
          <w:szCs w:val="20"/>
        </w:rPr>
        <w:t>, “Global carbon inequality,” Energy Policy 107, 130–139 (2017). https://doi.org/10.1016/j.enpol.2017.04.017</w:t>
      </w:r>
    </w:p>
    <w:p w14:paraId="6CE5E6FE" w14:textId="26414353" w:rsidR="0036688B" w:rsidRPr="00C6011D" w:rsidRDefault="00924EE5" w:rsidP="00924EE5">
      <w:pPr>
        <w:pStyle w:val="a4"/>
        <w:numPr>
          <w:ilvl w:val="0"/>
          <w:numId w:val="6"/>
        </w:numPr>
        <w:tabs>
          <w:tab w:val="left" w:pos="567"/>
        </w:tabs>
        <w:spacing w:before="100" w:beforeAutospacing="1" w:after="0" w:afterAutospacing="1" w:line="240" w:lineRule="auto"/>
        <w:ind w:left="0" w:firstLine="284"/>
        <w:jc w:val="both"/>
        <w:rPr>
          <w:rFonts w:ascii="Times New Roman" w:eastAsia="Times New Roman" w:hAnsi="Times New Roman" w:cs="Times New Roman"/>
          <w:sz w:val="20"/>
          <w:szCs w:val="20"/>
        </w:rPr>
      </w:pPr>
      <w:r w:rsidRPr="00C6011D">
        <w:rPr>
          <w:rFonts w:ascii="Times New Roman" w:eastAsia="Times New Roman" w:hAnsi="Times New Roman" w:cs="Times New Roman"/>
          <w:sz w:val="20"/>
          <w:szCs w:val="20"/>
        </w:rPr>
        <w:t xml:space="preserve">M. Grubb, P. Drummond, and T. Hughes, “The role of energy system transformation in limiting global warming,” Energy Policy 126, 19–29 (2019). </w:t>
      </w:r>
      <w:hyperlink r:id="rId10" w:history="1">
        <w:r w:rsidR="00C76905" w:rsidRPr="00C6011D">
          <w:rPr>
            <w:rStyle w:val="a6"/>
            <w:rFonts w:ascii="Times New Roman" w:eastAsia="Times New Roman" w:hAnsi="Times New Roman" w:cs="Times New Roman"/>
            <w:sz w:val="20"/>
            <w:szCs w:val="20"/>
          </w:rPr>
          <w:t>https://doi.org/10.1016/j.enpol.2018.11.003</w:t>
        </w:r>
      </w:hyperlink>
    </w:p>
    <w:p w14:paraId="07DB1F71" w14:textId="4226B3BE" w:rsidR="00C76905" w:rsidRPr="00C6011D" w:rsidRDefault="00C76905" w:rsidP="00924EE5">
      <w:pPr>
        <w:pStyle w:val="a4"/>
        <w:numPr>
          <w:ilvl w:val="0"/>
          <w:numId w:val="6"/>
        </w:numPr>
        <w:tabs>
          <w:tab w:val="left" w:pos="567"/>
        </w:tabs>
        <w:spacing w:before="100" w:beforeAutospacing="1" w:after="0" w:afterAutospacing="1" w:line="240" w:lineRule="auto"/>
        <w:ind w:left="0" w:firstLine="284"/>
        <w:jc w:val="both"/>
        <w:rPr>
          <w:rFonts w:ascii="Times New Roman" w:eastAsia="Times New Roman" w:hAnsi="Times New Roman" w:cs="Times New Roman"/>
          <w:sz w:val="20"/>
          <w:szCs w:val="20"/>
        </w:rPr>
      </w:pPr>
      <w:r w:rsidRPr="00C6011D">
        <w:rPr>
          <w:rFonts w:ascii="Times New Roman" w:eastAsia="Times New Roman" w:hAnsi="Times New Roman" w:cs="Times New Roman"/>
          <w:sz w:val="20"/>
          <w:szCs w:val="20"/>
        </w:rPr>
        <w:t xml:space="preserve">I. </w:t>
      </w:r>
      <w:proofErr w:type="spellStart"/>
      <w:r w:rsidRPr="00C6011D">
        <w:rPr>
          <w:rFonts w:ascii="Times New Roman" w:eastAsia="Times New Roman" w:hAnsi="Times New Roman" w:cs="Times New Roman"/>
          <w:sz w:val="20"/>
          <w:szCs w:val="20"/>
        </w:rPr>
        <w:t>Rakhmonov</w:t>
      </w:r>
      <w:proofErr w:type="spellEnd"/>
      <w:r w:rsidRPr="00C6011D">
        <w:rPr>
          <w:rFonts w:ascii="Times New Roman" w:eastAsia="Times New Roman" w:hAnsi="Times New Roman" w:cs="Times New Roman"/>
          <w:sz w:val="20"/>
          <w:szCs w:val="20"/>
        </w:rPr>
        <w:t xml:space="preserve">, M. </w:t>
      </w:r>
      <w:proofErr w:type="spellStart"/>
      <w:r w:rsidRPr="00C6011D">
        <w:rPr>
          <w:rFonts w:ascii="Times New Roman" w:eastAsia="Times New Roman" w:hAnsi="Times New Roman" w:cs="Times New Roman"/>
          <w:sz w:val="20"/>
          <w:szCs w:val="20"/>
        </w:rPr>
        <w:t>Korjobova</w:t>
      </w:r>
      <w:proofErr w:type="spellEnd"/>
      <w:r w:rsidRPr="00C6011D">
        <w:rPr>
          <w:rFonts w:ascii="Times New Roman" w:eastAsia="Times New Roman" w:hAnsi="Times New Roman" w:cs="Times New Roman"/>
          <w:sz w:val="20"/>
          <w:szCs w:val="20"/>
        </w:rPr>
        <w:t xml:space="preserve">, B. </w:t>
      </w:r>
      <w:proofErr w:type="spellStart"/>
      <w:r w:rsidRPr="00C6011D">
        <w:rPr>
          <w:rFonts w:ascii="Times New Roman" w:eastAsia="Times New Roman" w:hAnsi="Times New Roman" w:cs="Times New Roman"/>
          <w:sz w:val="20"/>
          <w:szCs w:val="20"/>
        </w:rPr>
        <w:t>Kholikhmatov</w:t>
      </w:r>
      <w:proofErr w:type="spellEnd"/>
      <w:r w:rsidRPr="00C6011D">
        <w:rPr>
          <w:rFonts w:ascii="Times New Roman" w:eastAsia="Times New Roman" w:hAnsi="Times New Roman" w:cs="Times New Roman"/>
          <w:sz w:val="20"/>
          <w:szCs w:val="20"/>
        </w:rPr>
        <w:t xml:space="preserve">, and K. </w:t>
      </w:r>
      <w:proofErr w:type="spellStart"/>
      <w:r w:rsidRPr="00C6011D">
        <w:rPr>
          <w:rFonts w:ascii="Times New Roman" w:eastAsia="Times New Roman" w:hAnsi="Times New Roman" w:cs="Times New Roman"/>
          <w:sz w:val="20"/>
          <w:szCs w:val="20"/>
        </w:rPr>
        <w:t>Nimatov</w:t>
      </w:r>
      <w:proofErr w:type="spellEnd"/>
      <w:r w:rsidRPr="00C6011D">
        <w:rPr>
          <w:rFonts w:ascii="Times New Roman" w:eastAsia="Times New Roman" w:hAnsi="Times New Roman" w:cs="Times New Roman"/>
          <w:sz w:val="20"/>
          <w:szCs w:val="20"/>
        </w:rPr>
        <w:t>,</w:t>
      </w:r>
      <w:r w:rsidR="007F1516" w:rsidRPr="00C6011D">
        <w:rPr>
          <w:rFonts w:ascii="Times New Roman" w:eastAsia="Times New Roman" w:hAnsi="Times New Roman" w:cs="Times New Roman"/>
          <w:sz w:val="20"/>
          <w:szCs w:val="20"/>
        </w:rPr>
        <w:t xml:space="preserve"> </w:t>
      </w:r>
      <w:r w:rsidRPr="00C6011D">
        <w:rPr>
          <w:rFonts w:ascii="Times New Roman" w:eastAsia="Times New Roman" w:hAnsi="Times New Roman" w:cs="Times New Roman"/>
          <w:sz w:val="20"/>
          <w:szCs w:val="20"/>
        </w:rPr>
        <w:t>“The role of digitalization in improving energy efficiency in steel smelting in Uzbekistan,”</w:t>
      </w:r>
      <w:r w:rsidR="007F1516" w:rsidRPr="00C6011D">
        <w:rPr>
          <w:rFonts w:ascii="Times New Roman" w:eastAsia="Times New Roman" w:hAnsi="Times New Roman" w:cs="Times New Roman"/>
          <w:sz w:val="20"/>
          <w:szCs w:val="20"/>
        </w:rPr>
        <w:t xml:space="preserve"> </w:t>
      </w:r>
      <w:r w:rsidRPr="00C6011D">
        <w:rPr>
          <w:rFonts w:ascii="Times New Roman" w:eastAsia="Times New Roman" w:hAnsi="Times New Roman" w:cs="Times New Roman"/>
          <w:i/>
          <w:iCs/>
          <w:sz w:val="20"/>
          <w:szCs w:val="20"/>
        </w:rPr>
        <w:t>AIP Conf. Proc.</w:t>
      </w:r>
      <w:r w:rsidRPr="00C6011D">
        <w:rPr>
          <w:rFonts w:ascii="Times New Roman" w:eastAsia="Times New Roman" w:hAnsi="Times New Roman" w:cs="Times New Roman"/>
          <w:sz w:val="20"/>
          <w:szCs w:val="20"/>
        </w:rPr>
        <w:t xml:space="preserve"> 3331(1), 060006 (2025).</w:t>
      </w:r>
    </w:p>
    <w:p w14:paraId="7F2980FB" w14:textId="2D471B39" w:rsidR="007F1516" w:rsidRPr="00C6011D" w:rsidRDefault="007F1516" w:rsidP="00924EE5">
      <w:pPr>
        <w:pStyle w:val="a4"/>
        <w:numPr>
          <w:ilvl w:val="0"/>
          <w:numId w:val="6"/>
        </w:numPr>
        <w:tabs>
          <w:tab w:val="left" w:pos="567"/>
        </w:tabs>
        <w:spacing w:before="100" w:beforeAutospacing="1" w:after="0" w:afterAutospacing="1" w:line="240" w:lineRule="auto"/>
        <w:ind w:left="0" w:firstLine="284"/>
        <w:jc w:val="both"/>
        <w:rPr>
          <w:rFonts w:ascii="Times New Roman" w:eastAsia="Times New Roman" w:hAnsi="Times New Roman" w:cs="Times New Roman"/>
          <w:sz w:val="20"/>
          <w:szCs w:val="20"/>
        </w:rPr>
      </w:pPr>
      <w:r w:rsidRPr="00C6011D">
        <w:rPr>
          <w:rFonts w:ascii="Times New Roman" w:eastAsia="Times New Roman" w:hAnsi="Times New Roman" w:cs="Times New Roman"/>
          <w:sz w:val="20"/>
          <w:szCs w:val="20"/>
        </w:rPr>
        <w:t xml:space="preserve">I. </w:t>
      </w:r>
      <w:proofErr w:type="spellStart"/>
      <w:r w:rsidRPr="00C6011D">
        <w:rPr>
          <w:rFonts w:ascii="Times New Roman" w:eastAsia="Times New Roman" w:hAnsi="Times New Roman" w:cs="Times New Roman"/>
          <w:sz w:val="20"/>
          <w:szCs w:val="20"/>
        </w:rPr>
        <w:t>Rakhmonov</w:t>
      </w:r>
      <w:proofErr w:type="spellEnd"/>
      <w:r w:rsidRPr="00C6011D">
        <w:rPr>
          <w:rFonts w:ascii="Times New Roman" w:eastAsia="Times New Roman" w:hAnsi="Times New Roman" w:cs="Times New Roman"/>
          <w:sz w:val="20"/>
          <w:szCs w:val="20"/>
        </w:rPr>
        <w:t xml:space="preserve">, S. </w:t>
      </w:r>
      <w:proofErr w:type="spellStart"/>
      <w:r w:rsidRPr="00C6011D">
        <w:rPr>
          <w:rFonts w:ascii="Times New Roman" w:eastAsia="Times New Roman" w:hAnsi="Times New Roman" w:cs="Times New Roman"/>
          <w:sz w:val="20"/>
          <w:szCs w:val="20"/>
        </w:rPr>
        <w:t>Usmanaliev</w:t>
      </w:r>
      <w:proofErr w:type="spellEnd"/>
      <w:r w:rsidRPr="00C6011D">
        <w:rPr>
          <w:rFonts w:ascii="Times New Roman" w:eastAsia="Times New Roman" w:hAnsi="Times New Roman" w:cs="Times New Roman"/>
          <w:sz w:val="20"/>
          <w:szCs w:val="20"/>
        </w:rPr>
        <w:t xml:space="preserve">, Z. </w:t>
      </w:r>
      <w:proofErr w:type="spellStart"/>
      <w:r w:rsidRPr="00C6011D">
        <w:rPr>
          <w:rFonts w:ascii="Times New Roman" w:eastAsia="Times New Roman" w:hAnsi="Times New Roman" w:cs="Times New Roman"/>
          <w:sz w:val="20"/>
          <w:szCs w:val="20"/>
        </w:rPr>
        <w:t>Shayumova</w:t>
      </w:r>
      <w:proofErr w:type="spellEnd"/>
      <w:r w:rsidRPr="00C6011D">
        <w:rPr>
          <w:rFonts w:ascii="Times New Roman" w:eastAsia="Times New Roman" w:hAnsi="Times New Roman" w:cs="Times New Roman"/>
          <w:sz w:val="20"/>
          <w:szCs w:val="20"/>
        </w:rPr>
        <w:t xml:space="preserve">, and M. </w:t>
      </w:r>
      <w:proofErr w:type="spellStart"/>
      <w:r w:rsidRPr="00C6011D">
        <w:rPr>
          <w:rFonts w:ascii="Times New Roman" w:eastAsia="Times New Roman" w:hAnsi="Times New Roman" w:cs="Times New Roman"/>
          <w:sz w:val="20"/>
          <w:szCs w:val="20"/>
        </w:rPr>
        <w:t>Ruzinazarov</w:t>
      </w:r>
      <w:proofErr w:type="spellEnd"/>
      <w:r w:rsidRPr="00C6011D">
        <w:rPr>
          <w:rFonts w:ascii="Times New Roman" w:eastAsia="Times New Roman" w:hAnsi="Times New Roman" w:cs="Times New Roman"/>
          <w:sz w:val="20"/>
          <w:szCs w:val="20"/>
        </w:rPr>
        <w:t xml:space="preserve">, “Carbon dioxide (CO₂) filtering, capture, and storage technologies,” </w:t>
      </w:r>
      <w:r w:rsidRPr="00C6011D">
        <w:rPr>
          <w:rFonts w:ascii="Times New Roman" w:eastAsia="Times New Roman" w:hAnsi="Times New Roman" w:cs="Times New Roman"/>
          <w:i/>
          <w:iCs/>
          <w:sz w:val="20"/>
          <w:szCs w:val="20"/>
        </w:rPr>
        <w:t>AIP Conf. Proc.</w:t>
      </w:r>
      <w:r w:rsidRPr="00C6011D">
        <w:rPr>
          <w:rFonts w:ascii="Times New Roman" w:eastAsia="Times New Roman" w:hAnsi="Times New Roman" w:cs="Times New Roman"/>
          <w:sz w:val="20"/>
          <w:szCs w:val="20"/>
        </w:rPr>
        <w:t xml:space="preserve"> 3331(1), 040024 (2025).</w:t>
      </w:r>
      <w:bookmarkStart w:id="0" w:name="_GoBack"/>
      <w:bookmarkEnd w:id="0"/>
    </w:p>
    <w:sectPr w:rsidR="007F1516" w:rsidRPr="00C6011D" w:rsidSect="004C5D41">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AD8"/>
    <w:multiLevelType w:val="multilevel"/>
    <w:tmpl w:val="C64A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C0E43"/>
    <w:multiLevelType w:val="multilevel"/>
    <w:tmpl w:val="C8BC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E0F45"/>
    <w:multiLevelType w:val="hybridMultilevel"/>
    <w:tmpl w:val="193EE73C"/>
    <w:lvl w:ilvl="0" w:tplc="0409000F">
      <w:start w:val="1"/>
      <w:numFmt w:val="decimal"/>
      <w:lvlText w:val="%1."/>
      <w:lvlJc w:val="left"/>
      <w:pPr>
        <w:ind w:left="5038" w:hanging="360"/>
      </w:p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3" w15:restartNumberingAfterBreak="0">
    <w:nsid w:val="1FFC3639"/>
    <w:multiLevelType w:val="multilevel"/>
    <w:tmpl w:val="4064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5"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 w15:restartNumberingAfterBreak="0">
    <w:nsid w:val="24AD4B62"/>
    <w:multiLevelType w:val="multilevel"/>
    <w:tmpl w:val="5FAC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D7E02"/>
    <w:multiLevelType w:val="multilevel"/>
    <w:tmpl w:val="EB4C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65ABD"/>
    <w:multiLevelType w:val="multilevel"/>
    <w:tmpl w:val="A4D4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296027"/>
    <w:multiLevelType w:val="multilevel"/>
    <w:tmpl w:val="28FED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3C03B1"/>
    <w:multiLevelType w:val="multilevel"/>
    <w:tmpl w:val="A142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F3748"/>
    <w:multiLevelType w:val="hybridMultilevel"/>
    <w:tmpl w:val="0BFC1830"/>
    <w:lvl w:ilvl="0" w:tplc="962EDE0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435A12C9"/>
    <w:multiLevelType w:val="multilevel"/>
    <w:tmpl w:val="D164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C07F0F"/>
    <w:multiLevelType w:val="multilevel"/>
    <w:tmpl w:val="98A4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842FD"/>
    <w:multiLevelType w:val="multilevel"/>
    <w:tmpl w:val="56E0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8CA2704"/>
    <w:multiLevelType w:val="multilevel"/>
    <w:tmpl w:val="D7F67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8"/>
  </w:num>
  <w:num w:numId="4">
    <w:abstractNumId w:val="11"/>
  </w:num>
  <w:num w:numId="5">
    <w:abstractNumId w:val="9"/>
  </w:num>
  <w:num w:numId="6">
    <w:abstractNumId w:val="2"/>
  </w:num>
  <w:num w:numId="7">
    <w:abstractNumId w:val="16"/>
  </w:num>
  <w:num w:numId="8">
    <w:abstractNumId w:val="8"/>
  </w:num>
  <w:num w:numId="9">
    <w:abstractNumId w:val="0"/>
  </w:num>
  <w:num w:numId="10">
    <w:abstractNumId w:val="1"/>
  </w:num>
  <w:num w:numId="11">
    <w:abstractNumId w:val="19"/>
  </w:num>
  <w:num w:numId="12">
    <w:abstractNumId w:val="12"/>
  </w:num>
  <w:num w:numId="13">
    <w:abstractNumId w:val="14"/>
  </w:num>
  <w:num w:numId="14">
    <w:abstractNumId w:val="13"/>
  </w:num>
  <w:num w:numId="15">
    <w:abstractNumId w:val="6"/>
  </w:num>
  <w:num w:numId="16">
    <w:abstractNumId w:val="17"/>
  </w:num>
  <w:num w:numId="17">
    <w:abstractNumId w:val="3"/>
  </w:num>
  <w:num w:numId="18">
    <w:abstractNumId w:val="7"/>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9EE"/>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20836"/>
    <w:rsid w:val="00021B81"/>
    <w:rsid w:val="00021CB5"/>
    <w:rsid w:val="000236AE"/>
    <w:rsid w:val="0002386B"/>
    <w:rsid w:val="00025826"/>
    <w:rsid w:val="00025BFC"/>
    <w:rsid w:val="0002666A"/>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CC"/>
    <w:rsid w:val="000545F6"/>
    <w:rsid w:val="00054725"/>
    <w:rsid w:val="00055CE4"/>
    <w:rsid w:val="0005625E"/>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16D0"/>
    <w:rsid w:val="00072072"/>
    <w:rsid w:val="00072186"/>
    <w:rsid w:val="0007267C"/>
    <w:rsid w:val="00073048"/>
    <w:rsid w:val="0007417B"/>
    <w:rsid w:val="00074E7C"/>
    <w:rsid w:val="00075D64"/>
    <w:rsid w:val="00075DA4"/>
    <w:rsid w:val="00076B7F"/>
    <w:rsid w:val="00077644"/>
    <w:rsid w:val="00077708"/>
    <w:rsid w:val="00077780"/>
    <w:rsid w:val="00077D8E"/>
    <w:rsid w:val="000802BC"/>
    <w:rsid w:val="00080EBA"/>
    <w:rsid w:val="00081607"/>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0CE"/>
    <w:rsid w:val="00091886"/>
    <w:rsid w:val="00091A68"/>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A7F45"/>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D73DE"/>
    <w:rsid w:val="000E0054"/>
    <w:rsid w:val="000E010D"/>
    <w:rsid w:val="000E01E2"/>
    <w:rsid w:val="000E0454"/>
    <w:rsid w:val="000E0BE8"/>
    <w:rsid w:val="000E0EDC"/>
    <w:rsid w:val="000E0F02"/>
    <w:rsid w:val="000E1306"/>
    <w:rsid w:val="000E1978"/>
    <w:rsid w:val="000E1C80"/>
    <w:rsid w:val="000E2043"/>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4744"/>
    <w:rsid w:val="0011562E"/>
    <w:rsid w:val="001156BA"/>
    <w:rsid w:val="00116347"/>
    <w:rsid w:val="001170CC"/>
    <w:rsid w:val="001174B9"/>
    <w:rsid w:val="00117F92"/>
    <w:rsid w:val="001208BC"/>
    <w:rsid w:val="00120B26"/>
    <w:rsid w:val="00121448"/>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0D5C"/>
    <w:rsid w:val="00141026"/>
    <w:rsid w:val="00141535"/>
    <w:rsid w:val="00141C28"/>
    <w:rsid w:val="0014260F"/>
    <w:rsid w:val="00142E3C"/>
    <w:rsid w:val="00143B5E"/>
    <w:rsid w:val="0014403C"/>
    <w:rsid w:val="001445D1"/>
    <w:rsid w:val="00144820"/>
    <w:rsid w:val="001450D3"/>
    <w:rsid w:val="001456B5"/>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1E0"/>
    <w:rsid w:val="00161B28"/>
    <w:rsid w:val="00162073"/>
    <w:rsid w:val="00162CC2"/>
    <w:rsid w:val="00162CEA"/>
    <w:rsid w:val="001640B7"/>
    <w:rsid w:val="00164289"/>
    <w:rsid w:val="00164412"/>
    <w:rsid w:val="001647D7"/>
    <w:rsid w:val="0016633B"/>
    <w:rsid w:val="001676D6"/>
    <w:rsid w:val="00170358"/>
    <w:rsid w:val="00170749"/>
    <w:rsid w:val="00172649"/>
    <w:rsid w:val="0017355E"/>
    <w:rsid w:val="001738C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375"/>
    <w:rsid w:val="001A3B20"/>
    <w:rsid w:val="001A3BD4"/>
    <w:rsid w:val="001A3F0C"/>
    <w:rsid w:val="001A5E28"/>
    <w:rsid w:val="001A5F63"/>
    <w:rsid w:val="001A6CE9"/>
    <w:rsid w:val="001A72E4"/>
    <w:rsid w:val="001A792D"/>
    <w:rsid w:val="001B066C"/>
    <w:rsid w:val="001B0C73"/>
    <w:rsid w:val="001B1B9B"/>
    <w:rsid w:val="001B203F"/>
    <w:rsid w:val="001B27D4"/>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6B9"/>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9CF"/>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055D"/>
    <w:rsid w:val="002213B8"/>
    <w:rsid w:val="00221AB9"/>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1D6"/>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1B76"/>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B3E"/>
    <w:rsid w:val="00281CE0"/>
    <w:rsid w:val="00282402"/>
    <w:rsid w:val="00282584"/>
    <w:rsid w:val="002828A5"/>
    <w:rsid w:val="002846D8"/>
    <w:rsid w:val="002854C3"/>
    <w:rsid w:val="00285B09"/>
    <w:rsid w:val="002871AD"/>
    <w:rsid w:val="0028734D"/>
    <w:rsid w:val="00287914"/>
    <w:rsid w:val="00287E0A"/>
    <w:rsid w:val="00290A52"/>
    <w:rsid w:val="00291160"/>
    <w:rsid w:val="002912FF"/>
    <w:rsid w:val="00291460"/>
    <w:rsid w:val="002918F7"/>
    <w:rsid w:val="002925C6"/>
    <w:rsid w:val="002928E6"/>
    <w:rsid w:val="00292B11"/>
    <w:rsid w:val="00292B45"/>
    <w:rsid w:val="00293400"/>
    <w:rsid w:val="002938EA"/>
    <w:rsid w:val="002939C5"/>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5C1"/>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D76A2"/>
    <w:rsid w:val="002E06E6"/>
    <w:rsid w:val="002E0E57"/>
    <w:rsid w:val="002E0F4A"/>
    <w:rsid w:val="002E101C"/>
    <w:rsid w:val="002E1CD9"/>
    <w:rsid w:val="002E1EA7"/>
    <w:rsid w:val="002E20A0"/>
    <w:rsid w:val="002E2951"/>
    <w:rsid w:val="002E2B93"/>
    <w:rsid w:val="002E2FB2"/>
    <w:rsid w:val="002E33EA"/>
    <w:rsid w:val="002E3646"/>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2960"/>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05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1C"/>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1FD"/>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76B"/>
    <w:rsid w:val="00361FA0"/>
    <w:rsid w:val="003641EE"/>
    <w:rsid w:val="00364C0F"/>
    <w:rsid w:val="00364F7C"/>
    <w:rsid w:val="00365172"/>
    <w:rsid w:val="0036673B"/>
    <w:rsid w:val="0036688B"/>
    <w:rsid w:val="0036777A"/>
    <w:rsid w:val="00367806"/>
    <w:rsid w:val="00367FE9"/>
    <w:rsid w:val="00370359"/>
    <w:rsid w:val="003717EE"/>
    <w:rsid w:val="00373435"/>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6A5F"/>
    <w:rsid w:val="003A0295"/>
    <w:rsid w:val="003A0501"/>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42E1"/>
    <w:rsid w:val="003B5357"/>
    <w:rsid w:val="003B548B"/>
    <w:rsid w:val="003B5EBE"/>
    <w:rsid w:val="003B665E"/>
    <w:rsid w:val="003B6862"/>
    <w:rsid w:val="003B69A7"/>
    <w:rsid w:val="003B7808"/>
    <w:rsid w:val="003B7B04"/>
    <w:rsid w:val="003C02DD"/>
    <w:rsid w:val="003C06E7"/>
    <w:rsid w:val="003C12DF"/>
    <w:rsid w:val="003C153D"/>
    <w:rsid w:val="003C1772"/>
    <w:rsid w:val="003C18CA"/>
    <w:rsid w:val="003C2A07"/>
    <w:rsid w:val="003C44B1"/>
    <w:rsid w:val="003C4FAA"/>
    <w:rsid w:val="003C53C5"/>
    <w:rsid w:val="003C632D"/>
    <w:rsid w:val="003C64B1"/>
    <w:rsid w:val="003C6EAC"/>
    <w:rsid w:val="003C6F19"/>
    <w:rsid w:val="003C70C2"/>
    <w:rsid w:val="003C716B"/>
    <w:rsid w:val="003C7C98"/>
    <w:rsid w:val="003D056E"/>
    <w:rsid w:val="003D06E7"/>
    <w:rsid w:val="003D1344"/>
    <w:rsid w:val="003D1618"/>
    <w:rsid w:val="003D2040"/>
    <w:rsid w:val="003D2079"/>
    <w:rsid w:val="003D2B74"/>
    <w:rsid w:val="003D3A42"/>
    <w:rsid w:val="003D3C62"/>
    <w:rsid w:val="003D3CBD"/>
    <w:rsid w:val="003D58DF"/>
    <w:rsid w:val="003D636C"/>
    <w:rsid w:val="003D6D4B"/>
    <w:rsid w:val="003D7043"/>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7FB"/>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683"/>
    <w:rsid w:val="0041484A"/>
    <w:rsid w:val="00414FB1"/>
    <w:rsid w:val="0041506A"/>
    <w:rsid w:val="0041622D"/>
    <w:rsid w:val="00417C11"/>
    <w:rsid w:val="00417CF8"/>
    <w:rsid w:val="004201CD"/>
    <w:rsid w:val="00420575"/>
    <w:rsid w:val="004205BD"/>
    <w:rsid w:val="0042072D"/>
    <w:rsid w:val="00421289"/>
    <w:rsid w:val="00422171"/>
    <w:rsid w:val="004237E8"/>
    <w:rsid w:val="00423916"/>
    <w:rsid w:val="00424503"/>
    <w:rsid w:val="00425593"/>
    <w:rsid w:val="00425791"/>
    <w:rsid w:val="00425A35"/>
    <w:rsid w:val="004261DC"/>
    <w:rsid w:val="004261F7"/>
    <w:rsid w:val="00426303"/>
    <w:rsid w:val="004269D5"/>
    <w:rsid w:val="00427539"/>
    <w:rsid w:val="00427AC6"/>
    <w:rsid w:val="00430D64"/>
    <w:rsid w:val="004314FD"/>
    <w:rsid w:val="004315A4"/>
    <w:rsid w:val="0043225A"/>
    <w:rsid w:val="0043241D"/>
    <w:rsid w:val="004325ED"/>
    <w:rsid w:val="00432616"/>
    <w:rsid w:val="00432A11"/>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6FF6"/>
    <w:rsid w:val="00467614"/>
    <w:rsid w:val="00470177"/>
    <w:rsid w:val="004707EF"/>
    <w:rsid w:val="004714D3"/>
    <w:rsid w:val="00471CB3"/>
    <w:rsid w:val="00472688"/>
    <w:rsid w:val="004736C9"/>
    <w:rsid w:val="004745E2"/>
    <w:rsid w:val="00474778"/>
    <w:rsid w:val="00475520"/>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7F4"/>
    <w:rsid w:val="00491A0F"/>
    <w:rsid w:val="0049214D"/>
    <w:rsid w:val="004923AA"/>
    <w:rsid w:val="00493930"/>
    <w:rsid w:val="004947AA"/>
    <w:rsid w:val="00495A0F"/>
    <w:rsid w:val="00495DED"/>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480"/>
    <w:rsid w:val="004C2613"/>
    <w:rsid w:val="004C4131"/>
    <w:rsid w:val="004C419E"/>
    <w:rsid w:val="004C4322"/>
    <w:rsid w:val="004C4E6A"/>
    <w:rsid w:val="004C5669"/>
    <w:rsid w:val="004C58A6"/>
    <w:rsid w:val="004C5D41"/>
    <w:rsid w:val="004C6336"/>
    <w:rsid w:val="004C6699"/>
    <w:rsid w:val="004C672D"/>
    <w:rsid w:val="004C69A3"/>
    <w:rsid w:val="004C6B04"/>
    <w:rsid w:val="004C75B8"/>
    <w:rsid w:val="004C7A61"/>
    <w:rsid w:val="004C7DAD"/>
    <w:rsid w:val="004D046A"/>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5939"/>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15B6"/>
    <w:rsid w:val="00512023"/>
    <w:rsid w:val="005122FF"/>
    <w:rsid w:val="00512550"/>
    <w:rsid w:val="00512D24"/>
    <w:rsid w:val="00512E40"/>
    <w:rsid w:val="0051392F"/>
    <w:rsid w:val="005143E9"/>
    <w:rsid w:val="0051449F"/>
    <w:rsid w:val="00514FD0"/>
    <w:rsid w:val="00516814"/>
    <w:rsid w:val="00516B51"/>
    <w:rsid w:val="005170C3"/>
    <w:rsid w:val="00517760"/>
    <w:rsid w:val="00517BA3"/>
    <w:rsid w:val="00520A96"/>
    <w:rsid w:val="00521579"/>
    <w:rsid w:val="00522168"/>
    <w:rsid w:val="005221A8"/>
    <w:rsid w:val="005226B1"/>
    <w:rsid w:val="00522D06"/>
    <w:rsid w:val="005232A2"/>
    <w:rsid w:val="00523B75"/>
    <w:rsid w:val="00525A75"/>
    <w:rsid w:val="00525D07"/>
    <w:rsid w:val="00526966"/>
    <w:rsid w:val="0052769D"/>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1801"/>
    <w:rsid w:val="005526AD"/>
    <w:rsid w:val="0055297F"/>
    <w:rsid w:val="00552AA4"/>
    <w:rsid w:val="005531A2"/>
    <w:rsid w:val="00553577"/>
    <w:rsid w:val="0055368D"/>
    <w:rsid w:val="00553B68"/>
    <w:rsid w:val="00554630"/>
    <w:rsid w:val="00554C61"/>
    <w:rsid w:val="00555EB1"/>
    <w:rsid w:val="005560B2"/>
    <w:rsid w:val="00556E30"/>
    <w:rsid w:val="00557096"/>
    <w:rsid w:val="005573FB"/>
    <w:rsid w:val="00557804"/>
    <w:rsid w:val="0055781B"/>
    <w:rsid w:val="00560482"/>
    <w:rsid w:val="00560513"/>
    <w:rsid w:val="00560579"/>
    <w:rsid w:val="00560C13"/>
    <w:rsid w:val="005614CF"/>
    <w:rsid w:val="0056278A"/>
    <w:rsid w:val="00562CF9"/>
    <w:rsid w:val="00563243"/>
    <w:rsid w:val="00563B66"/>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065"/>
    <w:rsid w:val="005A02AB"/>
    <w:rsid w:val="005A0423"/>
    <w:rsid w:val="005A0D56"/>
    <w:rsid w:val="005A1BF9"/>
    <w:rsid w:val="005A1F31"/>
    <w:rsid w:val="005A205B"/>
    <w:rsid w:val="005A2667"/>
    <w:rsid w:val="005A2763"/>
    <w:rsid w:val="005A2858"/>
    <w:rsid w:val="005A2BC4"/>
    <w:rsid w:val="005A3368"/>
    <w:rsid w:val="005A37A5"/>
    <w:rsid w:val="005A4E0E"/>
    <w:rsid w:val="005A5086"/>
    <w:rsid w:val="005A5F8E"/>
    <w:rsid w:val="005A6239"/>
    <w:rsid w:val="005A6408"/>
    <w:rsid w:val="005A6FCF"/>
    <w:rsid w:val="005B06FC"/>
    <w:rsid w:val="005B1CCB"/>
    <w:rsid w:val="005B2202"/>
    <w:rsid w:val="005B2802"/>
    <w:rsid w:val="005B2AF7"/>
    <w:rsid w:val="005B477E"/>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6E5"/>
    <w:rsid w:val="005D0E7F"/>
    <w:rsid w:val="005D17F4"/>
    <w:rsid w:val="005D28A2"/>
    <w:rsid w:val="005D28DB"/>
    <w:rsid w:val="005D2B60"/>
    <w:rsid w:val="005D2B65"/>
    <w:rsid w:val="005D307A"/>
    <w:rsid w:val="005D36FF"/>
    <w:rsid w:val="005D3733"/>
    <w:rsid w:val="005D3C08"/>
    <w:rsid w:val="005D4B1D"/>
    <w:rsid w:val="005D4F32"/>
    <w:rsid w:val="005D593B"/>
    <w:rsid w:val="005D5C01"/>
    <w:rsid w:val="005D798F"/>
    <w:rsid w:val="005D7B01"/>
    <w:rsid w:val="005E013C"/>
    <w:rsid w:val="005E2128"/>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75E"/>
    <w:rsid w:val="005F7BCB"/>
    <w:rsid w:val="00600B64"/>
    <w:rsid w:val="00600B7A"/>
    <w:rsid w:val="00601641"/>
    <w:rsid w:val="00601713"/>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6C6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00D6"/>
    <w:rsid w:val="00641821"/>
    <w:rsid w:val="00642499"/>
    <w:rsid w:val="00642EA1"/>
    <w:rsid w:val="0064308D"/>
    <w:rsid w:val="0064399A"/>
    <w:rsid w:val="00644029"/>
    <w:rsid w:val="00644B3C"/>
    <w:rsid w:val="00644E3D"/>
    <w:rsid w:val="00644FA9"/>
    <w:rsid w:val="00645D3A"/>
    <w:rsid w:val="00645F96"/>
    <w:rsid w:val="00645FD4"/>
    <w:rsid w:val="0064643F"/>
    <w:rsid w:val="00646976"/>
    <w:rsid w:val="00646C69"/>
    <w:rsid w:val="00647067"/>
    <w:rsid w:val="00650875"/>
    <w:rsid w:val="00651511"/>
    <w:rsid w:val="00651D45"/>
    <w:rsid w:val="006520BC"/>
    <w:rsid w:val="00652371"/>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80D"/>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761"/>
    <w:rsid w:val="00683BEA"/>
    <w:rsid w:val="00684063"/>
    <w:rsid w:val="00684E4B"/>
    <w:rsid w:val="006854AF"/>
    <w:rsid w:val="006858D1"/>
    <w:rsid w:val="00685FA8"/>
    <w:rsid w:val="00687064"/>
    <w:rsid w:val="006874F4"/>
    <w:rsid w:val="00687606"/>
    <w:rsid w:val="00687B0F"/>
    <w:rsid w:val="00687B47"/>
    <w:rsid w:val="00687BED"/>
    <w:rsid w:val="00690F84"/>
    <w:rsid w:val="0069145B"/>
    <w:rsid w:val="00691880"/>
    <w:rsid w:val="006924C4"/>
    <w:rsid w:val="006929AB"/>
    <w:rsid w:val="00693043"/>
    <w:rsid w:val="0069350C"/>
    <w:rsid w:val="00693FCD"/>
    <w:rsid w:val="0069437F"/>
    <w:rsid w:val="006945E3"/>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A7757"/>
    <w:rsid w:val="006B0356"/>
    <w:rsid w:val="006B08A7"/>
    <w:rsid w:val="006B09A1"/>
    <w:rsid w:val="006B10EA"/>
    <w:rsid w:val="006B1279"/>
    <w:rsid w:val="006B143C"/>
    <w:rsid w:val="006B1B6B"/>
    <w:rsid w:val="006B2BD7"/>
    <w:rsid w:val="006B30B5"/>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87B"/>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2D6F"/>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26E"/>
    <w:rsid w:val="0075031D"/>
    <w:rsid w:val="00750358"/>
    <w:rsid w:val="00750A1E"/>
    <w:rsid w:val="00751284"/>
    <w:rsid w:val="007519EE"/>
    <w:rsid w:val="007519FA"/>
    <w:rsid w:val="007523E3"/>
    <w:rsid w:val="00752B85"/>
    <w:rsid w:val="00752F8A"/>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4A59"/>
    <w:rsid w:val="00765B85"/>
    <w:rsid w:val="007669EC"/>
    <w:rsid w:val="00766E3E"/>
    <w:rsid w:val="00767482"/>
    <w:rsid w:val="00767814"/>
    <w:rsid w:val="0076790F"/>
    <w:rsid w:val="00767E8B"/>
    <w:rsid w:val="00772074"/>
    <w:rsid w:val="007728E9"/>
    <w:rsid w:val="00772AA6"/>
    <w:rsid w:val="00772C17"/>
    <w:rsid w:val="00772CFB"/>
    <w:rsid w:val="0077346D"/>
    <w:rsid w:val="0077488A"/>
    <w:rsid w:val="00774D9A"/>
    <w:rsid w:val="00774F15"/>
    <w:rsid w:val="00777137"/>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4A5C"/>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A61"/>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DB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1CA3"/>
    <w:rsid w:val="007E20A8"/>
    <w:rsid w:val="007E2F3F"/>
    <w:rsid w:val="007E39CA"/>
    <w:rsid w:val="007E40F0"/>
    <w:rsid w:val="007E447D"/>
    <w:rsid w:val="007E44AA"/>
    <w:rsid w:val="007E4621"/>
    <w:rsid w:val="007E4FFB"/>
    <w:rsid w:val="007E5A10"/>
    <w:rsid w:val="007E5CF8"/>
    <w:rsid w:val="007E5FDB"/>
    <w:rsid w:val="007E615B"/>
    <w:rsid w:val="007E665B"/>
    <w:rsid w:val="007E68C2"/>
    <w:rsid w:val="007E6937"/>
    <w:rsid w:val="007E718F"/>
    <w:rsid w:val="007E751A"/>
    <w:rsid w:val="007F04EE"/>
    <w:rsid w:val="007F08BA"/>
    <w:rsid w:val="007F0968"/>
    <w:rsid w:val="007F0FE9"/>
    <w:rsid w:val="007F1128"/>
    <w:rsid w:val="007F1516"/>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59C"/>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15ED"/>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216"/>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385C"/>
    <w:rsid w:val="00884528"/>
    <w:rsid w:val="0088522D"/>
    <w:rsid w:val="00885C87"/>
    <w:rsid w:val="008864AC"/>
    <w:rsid w:val="0088704C"/>
    <w:rsid w:val="00887DA3"/>
    <w:rsid w:val="0089067D"/>
    <w:rsid w:val="00890AE6"/>
    <w:rsid w:val="00890B11"/>
    <w:rsid w:val="00890E6B"/>
    <w:rsid w:val="00891053"/>
    <w:rsid w:val="00891449"/>
    <w:rsid w:val="00892242"/>
    <w:rsid w:val="008923DF"/>
    <w:rsid w:val="00892594"/>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03F"/>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57E"/>
    <w:rsid w:val="008E76C1"/>
    <w:rsid w:val="008E7E1B"/>
    <w:rsid w:val="008F0D9C"/>
    <w:rsid w:val="008F1957"/>
    <w:rsid w:val="008F1B2E"/>
    <w:rsid w:val="008F4607"/>
    <w:rsid w:val="008F509C"/>
    <w:rsid w:val="008F57C6"/>
    <w:rsid w:val="008F58F7"/>
    <w:rsid w:val="008F5955"/>
    <w:rsid w:val="008F5997"/>
    <w:rsid w:val="008F5C21"/>
    <w:rsid w:val="008F668E"/>
    <w:rsid w:val="008F7B2D"/>
    <w:rsid w:val="008F7F5E"/>
    <w:rsid w:val="00900474"/>
    <w:rsid w:val="00900A1F"/>
    <w:rsid w:val="00901456"/>
    <w:rsid w:val="00903562"/>
    <w:rsid w:val="0090398A"/>
    <w:rsid w:val="00904898"/>
    <w:rsid w:val="009048ED"/>
    <w:rsid w:val="00904945"/>
    <w:rsid w:val="00904D95"/>
    <w:rsid w:val="00904FE2"/>
    <w:rsid w:val="009053BF"/>
    <w:rsid w:val="00905D45"/>
    <w:rsid w:val="00906574"/>
    <w:rsid w:val="00906BBC"/>
    <w:rsid w:val="0090744B"/>
    <w:rsid w:val="0090796B"/>
    <w:rsid w:val="00907BD3"/>
    <w:rsid w:val="00907FA2"/>
    <w:rsid w:val="00910D8B"/>
    <w:rsid w:val="0091281A"/>
    <w:rsid w:val="00912FF8"/>
    <w:rsid w:val="0091337F"/>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4EE5"/>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2DFA"/>
    <w:rsid w:val="00933A6B"/>
    <w:rsid w:val="00934606"/>
    <w:rsid w:val="00934DDF"/>
    <w:rsid w:val="009351B7"/>
    <w:rsid w:val="0093617B"/>
    <w:rsid w:val="00937AFB"/>
    <w:rsid w:val="00937C88"/>
    <w:rsid w:val="00940AC3"/>
    <w:rsid w:val="00940BFE"/>
    <w:rsid w:val="00941266"/>
    <w:rsid w:val="0094153E"/>
    <w:rsid w:val="00941EDB"/>
    <w:rsid w:val="00941F1F"/>
    <w:rsid w:val="00942011"/>
    <w:rsid w:val="00942496"/>
    <w:rsid w:val="009424B7"/>
    <w:rsid w:val="00942A01"/>
    <w:rsid w:val="00942B2C"/>
    <w:rsid w:val="00943400"/>
    <w:rsid w:val="00943BAD"/>
    <w:rsid w:val="00943CF5"/>
    <w:rsid w:val="00943D0D"/>
    <w:rsid w:val="0094460E"/>
    <w:rsid w:val="00944C8E"/>
    <w:rsid w:val="009453FD"/>
    <w:rsid w:val="009456F4"/>
    <w:rsid w:val="009465B7"/>
    <w:rsid w:val="00946B55"/>
    <w:rsid w:val="009473DB"/>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5CC"/>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2B4"/>
    <w:rsid w:val="009745C6"/>
    <w:rsid w:val="009754F5"/>
    <w:rsid w:val="0097551B"/>
    <w:rsid w:val="00977367"/>
    <w:rsid w:val="009779CB"/>
    <w:rsid w:val="009801B7"/>
    <w:rsid w:val="009802B0"/>
    <w:rsid w:val="009809FF"/>
    <w:rsid w:val="00980ED6"/>
    <w:rsid w:val="00982AD1"/>
    <w:rsid w:val="00982FE8"/>
    <w:rsid w:val="009834DE"/>
    <w:rsid w:val="0098378D"/>
    <w:rsid w:val="00983939"/>
    <w:rsid w:val="00984945"/>
    <w:rsid w:val="00985005"/>
    <w:rsid w:val="009851CB"/>
    <w:rsid w:val="00985337"/>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415"/>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839"/>
    <w:rsid w:val="009F1DDD"/>
    <w:rsid w:val="009F1F54"/>
    <w:rsid w:val="009F2333"/>
    <w:rsid w:val="009F239D"/>
    <w:rsid w:val="009F249C"/>
    <w:rsid w:val="009F24B4"/>
    <w:rsid w:val="009F2AC6"/>
    <w:rsid w:val="009F2D48"/>
    <w:rsid w:val="009F3387"/>
    <w:rsid w:val="009F3792"/>
    <w:rsid w:val="009F38F0"/>
    <w:rsid w:val="009F3B47"/>
    <w:rsid w:val="009F4F79"/>
    <w:rsid w:val="009F5463"/>
    <w:rsid w:val="009F5AC9"/>
    <w:rsid w:val="009F5C5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0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A66"/>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6FAA"/>
    <w:rsid w:val="00A67288"/>
    <w:rsid w:val="00A67B77"/>
    <w:rsid w:val="00A7047E"/>
    <w:rsid w:val="00A706B4"/>
    <w:rsid w:val="00A70943"/>
    <w:rsid w:val="00A7095C"/>
    <w:rsid w:val="00A717CD"/>
    <w:rsid w:val="00A72178"/>
    <w:rsid w:val="00A72C62"/>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08EF"/>
    <w:rsid w:val="00A92019"/>
    <w:rsid w:val="00A921DE"/>
    <w:rsid w:val="00A927C9"/>
    <w:rsid w:val="00A92B5F"/>
    <w:rsid w:val="00A92C24"/>
    <w:rsid w:val="00A93A8B"/>
    <w:rsid w:val="00A93D6A"/>
    <w:rsid w:val="00A94255"/>
    <w:rsid w:val="00A95057"/>
    <w:rsid w:val="00A95453"/>
    <w:rsid w:val="00A969CE"/>
    <w:rsid w:val="00AA07F8"/>
    <w:rsid w:val="00AA0A8D"/>
    <w:rsid w:val="00AA0BFD"/>
    <w:rsid w:val="00AA0CEE"/>
    <w:rsid w:val="00AA1020"/>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783"/>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476"/>
    <w:rsid w:val="00AD6703"/>
    <w:rsid w:val="00AD6AF7"/>
    <w:rsid w:val="00AD6D38"/>
    <w:rsid w:val="00AD6F0F"/>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892"/>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1809"/>
    <w:rsid w:val="00B2243B"/>
    <w:rsid w:val="00B23FAC"/>
    <w:rsid w:val="00B255CD"/>
    <w:rsid w:val="00B25771"/>
    <w:rsid w:val="00B264A9"/>
    <w:rsid w:val="00B27573"/>
    <w:rsid w:val="00B27DA5"/>
    <w:rsid w:val="00B30B95"/>
    <w:rsid w:val="00B31823"/>
    <w:rsid w:val="00B31B6E"/>
    <w:rsid w:val="00B31E8A"/>
    <w:rsid w:val="00B32729"/>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2AC0"/>
    <w:rsid w:val="00B531A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27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6DF9"/>
    <w:rsid w:val="00B77456"/>
    <w:rsid w:val="00B7762D"/>
    <w:rsid w:val="00B77C9C"/>
    <w:rsid w:val="00B80124"/>
    <w:rsid w:val="00B8022D"/>
    <w:rsid w:val="00B8106D"/>
    <w:rsid w:val="00B81268"/>
    <w:rsid w:val="00B81289"/>
    <w:rsid w:val="00B812B6"/>
    <w:rsid w:val="00B82504"/>
    <w:rsid w:val="00B82C1E"/>
    <w:rsid w:val="00B83276"/>
    <w:rsid w:val="00B83E2B"/>
    <w:rsid w:val="00B83FF1"/>
    <w:rsid w:val="00B849CA"/>
    <w:rsid w:val="00B852A7"/>
    <w:rsid w:val="00B85930"/>
    <w:rsid w:val="00B85B6A"/>
    <w:rsid w:val="00B86C26"/>
    <w:rsid w:val="00B87737"/>
    <w:rsid w:val="00B9015F"/>
    <w:rsid w:val="00B90B80"/>
    <w:rsid w:val="00B91523"/>
    <w:rsid w:val="00B917DC"/>
    <w:rsid w:val="00B9219A"/>
    <w:rsid w:val="00B92B16"/>
    <w:rsid w:val="00B93038"/>
    <w:rsid w:val="00B932DD"/>
    <w:rsid w:val="00B93438"/>
    <w:rsid w:val="00B93AB5"/>
    <w:rsid w:val="00B9450B"/>
    <w:rsid w:val="00B945C7"/>
    <w:rsid w:val="00B94AD2"/>
    <w:rsid w:val="00B9599F"/>
    <w:rsid w:val="00B95DDB"/>
    <w:rsid w:val="00B9652D"/>
    <w:rsid w:val="00B977B3"/>
    <w:rsid w:val="00B9790A"/>
    <w:rsid w:val="00BA06F6"/>
    <w:rsid w:val="00BA1AC4"/>
    <w:rsid w:val="00BA1B73"/>
    <w:rsid w:val="00BA316A"/>
    <w:rsid w:val="00BA3401"/>
    <w:rsid w:val="00BA38F4"/>
    <w:rsid w:val="00BA4686"/>
    <w:rsid w:val="00BA5258"/>
    <w:rsid w:val="00BA5F1D"/>
    <w:rsid w:val="00BA5F2B"/>
    <w:rsid w:val="00BA63A7"/>
    <w:rsid w:val="00BA6564"/>
    <w:rsid w:val="00BA69F9"/>
    <w:rsid w:val="00BA6BD9"/>
    <w:rsid w:val="00BA77F7"/>
    <w:rsid w:val="00BB04BD"/>
    <w:rsid w:val="00BB0E9F"/>
    <w:rsid w:val="00BB3759"/>
    <w:rsid w:val="00BB38EC"/>
    <w:rsid w:val="00BB3DA7"/>
    <w:rsid w:val="00BB4F5E"/>
    <w:rsid w:val="00BB506B"/>
    <w:rsid w:val="00BB5974"/>
    <w:rsid w:val="00BB61D1"/>
    <w:rsid w:val="00BB652F"/>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4FA8"/>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BB"/>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3F39"/>
    <w:rsid w:val="00C04377"/>
    <w:rsid w:val="00C046F1"/>
    <w:rsid w:val="00C0500D"/>
    <w:rsid w:val="00C06166"/>
    <w:rsid w:val="00C063DA"/>
    <w:rsid w:val="00C067DB"/>
    <w:rsid w:val="00C073E2"/>
    <w:rsid w:val="00C1018C"/>
    <w:rsid w:val="00C1068C"/>
    <w:rsid w:val="00C10DD0"/>
    <w:rsid w:val="00C10FB1"/>
    <w:rsid w:val="00C1107A"/>
    <w:rsid w:val="00C11352"/>
    <w:rsid w:val="00C11367"/>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6FCC"/>
    <w:rsid w:val="00C270BA"/>
    <w:rsid w:val="00C275B0"/>
    <w:rsid w:val="00C30B09"/>
    <w:rsid w:val="00C30CB1"/>
    <w:rsid w:val="00C312EA"/>
    <w:rsid w:val="00C31775"/>
    <w:rsid w:val="00C31A53"/>
    <w:rsid w:val="00C32102"/>
    <w:rsid w:val="00C323FE"/>
    <w:rsid w:val="00C32876"/>
    <w:rsid w:val="00C3336D"/>
    <w:rsid w:val="00C3363B"/>
    <w:rsid w:val="00C33792"/>
    <w:rsid w:val="00C355FB"/>
    <w:rsid w:val="00C37217"/>
    <w:rsid w:val="00C379AB"/>
    <w:rsid w:val="00C37D83"/>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C02"/>
    <w:rsid w:val="00C53E19"/>
    <w:rsid w:val="00C54377"/>
    <w:rsid w:val="00C54EC1"/>
    <w:rsid w:val="00C54ED0"/>
    <w:rsid w:val="00C5552F"/>
    <w:rsid w:val="00C55599"/>
    <w:rsid w:val="00C562EE"/>
    <w:rsid w:val="00C568AC"/>
    <w:rsid w:val="00C57387"/>
    <w:rsid w:val="00C5774D"/>
    <w:rsid w:val="00C6011D"/>
    <w:rsid w:val="00C605EA"/>
    <w:rsid w:val="00C60CAE"/>
    <w:rsid w:val="00C6120C"/>
    <w:rsid w:val="00C6143D"/>
    <w:rsid w:val="00C6217E"/>
    <w:rsid w:val="00C626EE"/>
    <w:rsid w:val="00C627B5"/>
    <w:rsid w:val="00C628A2"/>
    <w:rsid w:val="00C6399C"/>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6905"/>
    <w:rsid w:val="00C778BB"/>
    <w:rsid w:val="00C778D0"/>
    <w:rsid w:val="00C77BCA"/>
    <w:rsid w:val="00C77BD2"/>
    <w:rsid w:val="00C81524"/>
    <w:rsid w:val="00C81915"/>
    <w:rsid w:val="00C81B6C"/>
    <w:rsid w:val="00C81CCD"/>
    <w:rsid w:val="00C832B8"/>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4FA4"/>
    <w:rsid w:val="00C95D52"/>
    <w:rsid w:val="00C95EE5"/>
    <w:rsid w:val="00C96D3E"/>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5C73"/>
    <w:rsid w:val="00CA628C"/>
    <w:rsid w:val="00CA62CB"/>
    <w:rsid w:val="00CA6914"/>
    <w:rsid w:val="00CA6AAA"/>
    <w:rsid w:val="00CA7045"/>
    <w:rsid w:val="00CA7ABB"/>
    <w:rsid w:val="00CA7CC8"/>
    <w:rsid w:val="00CA7EFB"/>
    <w:rsid w:val="00CB052E"/>
    <w:rsid w:val="00CB084B"/>
    <w:rsid w:val="00CB0F26"/>
    <w:rsid w:val="00CB1197"/>
    <w:rsid w:val="00CB2358"/>
    <w:rsid w:val="00CB3BCC"/>
    <w:rsid w:val="00CB5109"/>
    <w:rsid w:val="00CB5F46"/>
    <w:rsid w:val="00CB77A3"/>
    <w:rsid w:val="00CB7FAF"/>
    <w:rsid w:val="00CC0A39"/>
    <w:rsid w:val="00CC10E2"/>
    <w:rsid w:val="00CC180D"/>
    <w:rsid w:val="00CC20D2"/>
    <w:rsid w:val="00CC2D3C"/>
    <w:rsid w:val="00CC42E6"/>
    <w:rsid w:val="00CC5068"/>
    <w:rsid w:val="00CC51CC"/>
    <w:rsid w:val="00CC62A9"/>
    <w:rsid w:val="00CC640D"/>
    <w:rsid w:val="00CC6A99"/>
    <w:rsid w:val="00CC6AA9"/>
    <w:rsid w:val="00CC6C14"/>
    <w:rsid w:val="00CC766A"/>
    <w:rsid w:val="00CC779E"/>
    <w:rsid w:val="00CD03FD"/>
    <w:rsid w:val="00CD0BF5"/>
    <w:rsid w:val="00CD18BF"/>
    <w:rsid w:val="00CD1DF9"/>
    <w:rsid w:val="00CD2726"/>
    <w:rsid w:val="00CD2EA8"/>
    <w:rsid w:val="00CD2FF2"/>
    <w:rsid w:val="00CD5A21"/>
    <w:rsid w:val="00CD5FFF"/>
    <w:rsid w:val="00CD6274"/>
    <w:rsid w:val="00CD630E"/>
    <w:rsid w:val="00CD67D5"/>
    <w:rsid w:val="00CD6DC5"/>
    <w:rsid w:val="00CD71F8"/>
    <w:rsid w:val="00CD77C5"/>
    <w:rsid w:val="00CD7A40"/>
    <w:rsid w:val="00CE05D2"/>
    <w:rsid w:val="00CE063B"/>
    <w:rsid w:val="00CE1263"/>
    <w:rsid w:val="00CE2048"/>
    <w:rsid w:val="00CE2910"/>
    <w:rsid w:val="00CE33B8"/>
    <w:rsid w:val="00CE369A"/>
    <w:rsid w:val="00CE3986"/>
    <w:rsid w:val="00CE39FD"/>
    <w:rsid w:val="00CE41D7"/>
    <w:rsid w:val="00CE50E3"/>
    <w:rsid w:val="00CE5CFA"/>
    <w:rsid w:val="00CE60DE"/>
    <w:rsid w:val="00CE69E9"/>
    <w:rsid w:val="00CE7286"/>
    <w:rsid w:val="00CF0007"/>
    <w:rsid w:val="00CF0566"/>
    <w:rsid w:val="00CF11FA"/>
    <w:rsid w:val="00CF1D56"/>
    <w:rsid w:val="00CF2E84"/>
    <w:rsid w:val="00CF37D5"/>
    <w:rsid w:val="00CF4A82"/>
    <w:rsid w:val="00CF63D6"/>
    <w:rsid w:val="00CF642C"/>
    <w:rsid w:val="00CF7896"/>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56B"/>
    <w:rsid w:val="00D1593C"/>
    <w:rsid w:val="00D15C02"/>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10A"/>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4EF"/>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5E87"/>
    <w:rsid w:val="00D563F8"/>
    <w:rsid w:val="00D56438"/>
    <w:rsid w:val="00D56A62"/>
    <w:rsid w:val="00D56E1A"/>
    <w:rsid w:val="00D57712"/>
    <w:rsid w:val="00D601F5"/>
    <w:rsid w:val="00D609F1"/>
    <w:rsid w:val="00D61A49"/>
    <w:rsid w:val="00D61D7D"/>
    <w:rsid w:val="00D61FED"/>
    <w:rsid w:val="00D61FFC"/>
    <w:rsid w:val="00D6217A"/>
    <w:rsid w:val="00D62240"/>
    <w:rsid w:val="00D626C1"/>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4A5"/>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6D5F"/>
    <w:rsid w:val="00D76DF5"/>
    <w:rsid w:val="00D77C7C"/>
    <w:rsid w:val="00D8039C"/>
    <w:rsid w:val="00D8061A"/>
    <w:rsid w:val="00D80645"/>
    <w:rsid w:val="00D80726"/>
    <w:rsid w:val="00D80B91"/>
    <w:rsid w:val="00D80C1F"/>
    <w:rsid w:val="00D8147A"/>
    <w:rsid w:val="00D8277E"/>
    <w:rsid w:val="00D82BC6"/>
    <w:rsid w:val="00D8415E"/>
    <w:rsid w:val="00D856B3"/>
    <w:rsid w:val="00D87171"/>
    <w:rsid w:val="00D8749A"/>
    <w:rsid w:val="00D87CF9"/>
    <w:rsid w:val="00D9073F"/>
    <w:rsid w:val="00D9100F"/>
    <w:rsid w:val="00D913F6"/>
    <w:rsid w:val="00D91688"/>
    <w:rsid w:val="00D91A31"/>
    <w:rsid w:val="00D92896"/>
    <w:rsid w:val="00D9329A"/>
    <w:rsid w:val="00D94C7B"/>
    <w:rsid w:val="00D9501A"/>
    <w:rsid w:val="00D95676"/>
    <w:rsid w:val="00D96354"/>
    <w:rsid w:val="00D969EE"/>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1F94"/>
    <w:rsid w:val="00DB2347"/>
    <w:rsid w:val="00DB248D"/>
    <w:rsid w:val="00DB2F18"/>
    <w:rsid w:val="00DB3681"/>
    <w:rsid w:val="00DB48D4"/>
    <w:rsid w:val="00DB4A65"/>
    <w:rsid w:val="00DB4BFB"/>
    <w:rsid w:val="00DB4C66"/>
    <w:rsid w:val="00DB5452"/>
    <w:rsid w:val="00DB577E"/>
    <w:rsid w:val="00DB6310"/>
    <w:rsid w:val="00DB6D4A"/>
    <w:rsid w:val="00DB7BAF"/>
    <w:rsid w:val="00DB7DA5"/>
    <w:rsid w:val="00DB7F2A"/>
    <w:rsid w:val="00DC0125"/>
    <w:rsid w:val="00DC10DB"/>
    <w:rsid w:val="00DC1D0A"/>
    <w:rsid w:val="00DC218F"/>
    <w:rsid w:val="00DC2574"/>
    <w:rsid w:val="00DC284B"/>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885"/>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69A"/>
    <w:rsid w:val="00E719EA"/>
    <w:rsid w:val="00E72012"/>
    <w:rsid w:val="00E7210C"/>
    <w:rsid w:val="00E7311A"/>
    <w:rsid w:val="00E74ED1"/>
    <w:rsid w:val="00E76775"/>
    <w:rsid w:val="00E76CE0"/>
    <w:rsid w:val="00E800A9"/>
    <w:rsid w:val="00E8316C"/>
    <w:rsid w:val="00E84564"/>
    <w:rsid w:val="00E84654"/>
    <w:rsid w:val="00E84753"/>
    <w:rsid w:val="00E84A66"/>
    <w:rsid w:val="00E850A6"/>
    <w:rsid w:val="00E853F1"/>
    <w:rsid w:val="00E85FB3"/>
    <w:rsid w:val="00E86FFB"/>
    <w:rsid w:val="00E87082"/>
    <w:rsid w:val="00E87586"/>
    <w:rsid w:val="00E87610"/>
    <w:rsid w:val="00E87628"/>
    <w:rsid w:val="00E92752"/>
    <w:rsid w:val="00E93373"/>
    <w:rsid w:val="00E93D1F"/>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42B"/>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6F6E"/>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C99"/>
    <w:rsid w:val="00F12E14"/>
    <w:rsid w:val="00F13160"/>
    <w:rsid w:val="00F13258"/>
    <w:rsid w:val="00F13678"/>
    <w:rsid w:val="00F13E61"/>
    <w:rsid w:val="00F1448F"/>
    <w:rsid w:val="00F147B9"/>
    <w:rsid w:val="00F16324"/>
    <w:rsid w:val="00F16BF4"/>
    <w:rsid w:val="00F16DC8"/>
    <w:rsid w:val="00F1733E"/>
    <w:rsid w:val="00F2075A"/>
    <w:rsid w:val="00F216CB"/>
    <w:rsid w:val="00F21FDE"/>
    <w:rsid w:val="00F2467B"/>
    <w:rsid w:val="00F24911"/>
    <w:rsid w:val="00F25E20"/>
    <w:rsid w:val="00F25EEF"/>
    <w:rsid w:val="00F267A3"/>
    <w:rsid w:val="00F26914"/>
    <w:rsid w:val="00F3051B"/>
    <w:rsid w:val="00F30B2C"/>
    <w:rsid w:val="00F30D02"/>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678"/>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754"/>
    <w:rsid w:val="00F52CCA"/>
    <w:rsid w:val="00F5314B"/>
    <w:rsid w:val="00F53273"/>
    <w:rsid w:val="00F53883"/>
    <w:rsid w:val="00F538F1"/>
    <w:rsid w:val="00F54623"/>
    <w:rsid w:val="00F549B4"/>
    <w:rsid w:val="00F550B1"/>
    <w:rsid w:val="00F5612E"/>
    <w:rsid w:val="00F573C0"/>
    <w:rsid w:val="00F57785"/>
    <w:rsid w:val="00F607AF"/>
    <w:rsid w:val="00F610CF"/>
    <w:rsid w:val="00F61724"/>
    <w:rsid w:val="00F649B6"/>
    <w:rsid w:val="00F64B90"/>
    <w:rsid w:val="00F64BA0"/>
    <w:rsid w:val="00F64FDA"/>
    <w:rsid w:val="00F658B6"/>
    <w:rsid w:val="00F65ABA"/>
    <w:rsid w:val="00F65C91"/>
    <w:rsid w:val="00F65FD9"/>
    <w:rsid w:val="00F6632D"/>
    <w:rsid w:val="00F66658"/>
    <w:rsid w:val="00F70784"/>
    <w:rsid w:val="00F709AC"/>
    <w:rsid w:val="00F70C8A"/>
    <w:rsid w:val="00F714EB"/>
    <w:rsid w:val="00F71A6A"/>
    <w:rsid w:val="00F71CBE"/>
    <w:rsid w:val="00F72AE1"/>
    <w:rsid w:val="00F72DA6"/>
    <w:rsid w:val="00F72FE8"/>
    <w:rsid w:val="00F734D9"/>
    <w:rsid w:val="00F74922"/>
    <w:rsid w:val="00F74F16"/>
    <w:rsid w:val="00F75D4F"/>
    <w:rsid w:val="00F75ED7"/>
    <w:rsid w:val="00F76E8E"/>
    <w:rsid w:val="00F76F83"/>
    <w:rsid w:val="00F76FE9"/>
    <w:rsid w:val="00F7740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972"/>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CFA"/>
    <w:rsid w:val="00FE0DC5"/>
    <w:rsid w:val="00FE13A9"/>
    <w:rsid w:val="00FE14AC"/>
    <w:rsid w:val="00FE1650"/>
    <w:rsid w:val="00FE16B5"/>
    <w:rsid w:val="00FE1923"/>
    <w:rsid w:val="00FE1F4E"/>
    <w:rsid w:val="00FE2346"/>
    <w:rsid w:val="00FE24C2"/>
    <w:rsid w:val="00FE255D"/>
    <w:rsid w:val="00FE27C3"/>
    <w:rsid w:val="00FE2A1E"/>
    <w:rsid w:val="00FE2BE3"/>
    <w:rsid w:val="00FE2CF7"/>
    <w:rsid w:val="00FE2D66"/>
    <w:rsid w:val="00FE2EBC"/>
    <w:rsid w:val="00FE3152"/>
    <w:rsid w:val="00FE3308"/>
    <w:rsid w:val="00FE40AB"/>
    <w:rsid w:val="00FE4B34"/>
    <w:rsid w:val="00FE4F4E"/>
    <w:rsid w:val="00FE5809"/>
    <w:rsid w:val="00FE59D6"/>
    <w:rsid w:val="00FE66E5"/>
    <w:rsid w:val="00FE7C40"/>
    <w:rsid w:val="00FF05FF"/>
    <w:rsid w:val="00FF08A5"/>
    <w:rsid w:val="00FF190F"/>
    <w:rsid w:val="00FF19FE"/>
    <w:rsid w:val="00FF1E1F"/>
    <w:rsid w:val="00FF3655"/>
    <w:rsid w:val="00FF48B8"/>
    <w:rsid w:val="00FF4ADF"/>
    <w:rsid w:val="00FF4B96"/>
    <w:rsid w:val="00FF4C6E"/>
    <w:rsid w:val="00FF6354"/>
    <w:rsid w:val="00FF6D16"/>
    <w:rsid w:val="00FF7292"/>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87B0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semiHidden/>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687B0F"/>
    <w:rPr>
      <w:rFonts w:asciiTheme="majorHAnsi" w:eastAsiaTheme="majorEastAsia" w:hAnsiTheme="majorHAnsi" w:cstheme="majorBidi"/>
      <w:i/>
      <w:iCs/>
      <w:color w:val="2E74B5" w:themeColor="accent1" w:themeShade="BF"/>
    </w:rPr>
  </w:style>
  <w:style w:type="character" w:customStyle="1" w:styleId="ms-1">
    <w:name w:val="ms-1"/>
    <w:basedOn w:val="a0"/>
    <w:rsid w:val="00941266"/>
  </w:style>
  <w:style w:type="character" w:customStyle="1" w:styleId="max-w-15ch">
    <w:name w:val="max-w-[15ch]"/>
    <w:basedOn w:val="a0"/>
    <w:rsid w:val="00941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ilider1987@yandex.com" TargetMode="External"/><Relationship Id="rId10" Type="http://schemas.openxmlformats.org/officeDocument/2006/relationships/hyperlink" Target="https://doi.org/10.1016/j.enpol.2018.11.003" TargetMode="External"/><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5</Pages>
  <Words>2352</Words>
  <Characters>13408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305</cp:revision>
  <cp:lastPrinted>2023-12-26T18:03:00Z</cp:lastPrinted>
  <dcterms:created xsi:type="dcterms:W3CDTF">2024-07-17T07:39:00Z</dcterms:created>
  <dcterms:modified xsi:type="dcterms:W3CDTF">2026-01-08T11:05:00Z</dcterms:modified>
</cp:coreProperties>
</file>