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3077AB25" w:rsidR="001E129E" w:rsidRPr="006E33A1" w:rsidRDefault="003B56BD" w:rsidP="008745D5">
      <w:pPr>
        <w:spacing w:before="1200" w:after="200" w:line="240" w:lineRule="auto"/>
        <w:ind w:firstLine="567"/>
        <w:jc w:val="center"/>
        <w:rPr>
          <w:rFonts w:ascii="Times New Roman" w:hAnsi="Times New Roman" w:cs="Times New Roman"/>
          <w:b/>
          <w:sz w:val="36"/>
          <w:szCs w:val="36"/>
        </w:rPr>
      </w:pPr>
      <w:bookmarkStart w:id="0" w:name="_Hlk217261874"/>
      <w:bookmarkEnd w:id="0"/>
      <w:r w:rsidRPr="003B56BD">
        <w:rPr>
          <w:rFonts w:ascii="Times New Roman" w:hAnsi="Times New Roman" w:cs="Times New Roman"/>
          <w:b/>
          <w:sz w:val="36"/>
          <w:szCs w:val="36"/>
        </w:rPr>
        <w:t>Harmonic Analysis and Methodology for Determining Power Losses in the Electrical Power Supply System of Mining Excavators</w:t>
      </w:r>
    </w:p>
    <w:p w14:paraId="4C1E3ADA" w14:textId="74D57B8C" w:rsidR="006E33A1" w:rsidRPr="003E519F" w:rsidRDefault="006E33A1" w:rsidP="006E33A1">
      <w:pPr>
        <w:pStyle w:val="AuthorName"/>
        <w:spacing w:before="240" w:after="200"/>
        <w:rPr>
          <w:sz w:val="20"/>
          <w:vertAlign w:val="subscript"/>
          <w:lang w:eastAsia="en-GB"/>
        </w:rPr>
      </w:pPr>
      <w:proofErr w:type="spellStart"/>
      <w:r w:rsidRPr="005B25E2">
        <w:t>Olimjon</w:t>
      </w:r>
      <w:proofErr w:type="spellEnd"/>
      <w:r w:rsidRPr="005B25E2">
        <w:t xml:space="preserve"> Toirov</w:t>
      </w:r>
      <w:r w:rsidRPr="001970E3">
        <w:rPr>
          <w:vertAlign w:val="superscript"/>
          <w:lang w:val="uz-Cyrl-UZ"/>
        </w:rPr>
        <w:t>1</w:t>
      </w:r>
      <w:r>
        <w:rPr>
          <w:szCs w:val="36"/>
          <w:vertAlign w:val="superscript"/>
        </w:rPr>
        <w:t>a)</w:t>
      </w:r>
      <w:r w:rsidRPr="00287E0A">
        <w:t xml:space="preserve">, </w:t>
      </w:r>
      <w:proofErr w:type="spellStart"/>
      <w:r w:rsidR="00560ED1">
        <w:t>O</w:t>
      </w:r>
      <w:r w:rsidR="006F66AF">
        <w:t>k</w:t>
      </w:r>
      <w:r w:rsidR="003B56BD">
        <w:t>iljon</w:t>
      </w:r>
      <w:proofErr w:type="spellEnd"/>
      <w:r w:rsidR="003B56BD">
        <w:t xml:space="preserve"> </w:t>
      </w:r>
      <w:proofErr w:type="spellStart"/>
      <w:r w:rsidR="003B56BD">
        <w:t>Shodiev</w:t>
      </w:r>
      <w:proofErr w:type="spellEnd"/>
      <w:r w:rsidR="002A490C">
        <w:rPr>
          <w:vertAlign w:val="superscript"/>
          <w:lang w:val="uz-Cyrl-UZ"/>
        </w:rPr>
        <w:t>2</w:t>
      </w:r>
      <w:r w:rsidR="00560ED1">
        <w:t xml:space="preserve">, </w:t>
      </w:r>
      <w:r w:rsidR="002A490C">
        <w:t>Wei Yu</w:t>
      </w:r>
      <w:r w:rsidR="002A490C">
        <w:rPr>
          <w:vertAlign w:val="superscript"/>
        </w:rPr>
        <w:t>3</w:t>
      </w:r>
      <w:r w:rsidR="002A490C">
        <w:t xml:space="preserve">, </w:t>
      </w:r>
      <w:proofErr w:type="spellStart"/>
      <w:r w:rsidR="002A490C">
        <w:t>Zuvur</w:t>
      </w:r>
      <w:proofErr w:type="spellEnd"/>
      <w:r w:rsidR="002A490C">
        <w:t xml:space="preserve"> Toirov</w:t>
      </w:r>
      <w:r w:rsidR="002A490C">
        <w:rPr>
          <w:vertAlign w:val="superscript"/>
        </w:rPr>
        <w:t>4</w:t>
      </w:r>
      <w:r w:rsidR="002A490C">
        <w:t xml:space="preserve">, </w:t>
      </w:r>
      <w:proofErr w:type="spellStart"/>
      <w:r w:rsidR="00560ED1">
        <w:t>J</w:t>
      </w:r>
      <w:r w:rsidR="00FB08C9">
        <w:t>asurbek</w:t>
      </w:r>
      <w:proofErr w:type="spellEnd"/>
      <w:r w:rsidR="00FB08C9">
        <w:t xml:space="preserve"> Uralov</w:t>
      </w:r>
      <w:r w:rsidR="003E519F" w:rsidRPr="003E519F">
        <w:rPr>
          <w:vertAlign w:val="superscript"/>
        </w:rPr>
        <w:t>2</w:t>
      </w:r>
    </w:p>
    <w:p w14:paraId="3EC4A439" w14:textId="2EF60B9D" w:rsidR="006E33A1" w:rsidRDefault="006E33A1" w:rsidP="006E33A1">
      <w:pPr>
        <w:pStyle w:val="AuthorAffiliation"/>
      </w:pPr>
      <w:r w:rsidRPr="001970E3">
        <w:rPr>
          <w:vertAlign w:val="superscript"/>
          <w:lang w:val="uz-Cyrl-UZ"/>
        </w:rPr>
        <w:t>1</w:t>
      </w:r>
      <w:r w:rsidRPr="00287E0A">
        <w:t>Tashkent state technical university named after Islam Karimov</w:t>
      </w:r>
      <w:r w:rsidR="00D343B3">
        <w:t xml:space="preserve">, Tashkent, </w:t>
      </w:r>
      <w:r w:rsidRPr="00287E0A">
        <w:t>Uzbekistan</w:t>
      </w:r>
      <w:r>
        <w:rPr>
          <w:lang w:val="uz-Cyrl-UZ"/>
        </w:rPr>
        <w:t xml:space="preserve"> </w:t>
      </w:r>
    </w:p>
    <w:p w14:paraId="751678BA" w14:textId="77777777" w:rsidR="003E519F" w:rsidRPr="00A4691D" w:rsidRDefault="003E519F" w:rsidP="003E519F">
      <w:pPr>
        <w:pStyle w:val="AuthorAffiliation"/>
      </w:pPr>
      <w:r w:rsidRPr="003E519F">
        <w:rPr>
          <w:vertAlign w:val="superscript"/>
        </w:rPr>
        <w:t>2</w:t>
      </w:r>
      <w:r w:rsidRPr="003B56BD">
        <w:t>Almalyk State Technical Institute</w:t>
      </w:r>
      <w:r>
        <w:t xml:space="preserve">, Tashkent, </w:t>
      </w:r>
      <w:r w:rsidRPr="00287E0A">
        <w:t>Uzbekistan</w:t>
      </w:r>
    </w:p>
    <w:p w14:paraId="0CFF2CAC" w14:textId="57D31CB5" w:rsidR="00D343B3" w:rsidRDefault="00CC6045" w:rsidP="006E33A1">
      <w:pPr>
        <w:pStyle w:val="AuthorAffiliation"/>
        <w:rPr>
          <w:szCs w:val="18"/>
        </w:rPr>
      </w:pPr>
      <w:r>
        <w:rPr>
          <w:vertAlign w:val="superscript"/>
        </w:rPr>
        <w:t>3</w:t>
      </w:r>
      <w:r w:rsidR="00D343B3" w:rsidRPr="00D343B3">
        <w:t>Wuhan University</w:t>
      </w:r>
      <w:r w:rsidR="00D343B3">
        <w:t>,</w:t>
      </w:r>
      <w:r w:rsidR="00075706">
        <w:t xml:space="preserve"> </w:t>
      </w:r>
      <w:r w:rsidR="00D343B3">
        <w:t>Wuhan</w:t>
      </w:r>
      <w:r w:rsidR="00075706">
        <w:t>,</w:t>
      </w:r>
      <w:r w:rsidR="00D343B3" w:rsidRPr="00D343B3">
        <w:rPr>
          <w:szCs w:val="18"/>
        </w:rPr>
        <w:t xml:space="preserve"> China</w:t>
      </w:r>
    </w:p>
    <w:p w14:paraId="343B74FA" w14:textId="45F7ED85" w:rsidR="00CC6045" w:rsidRPr="00932B9C" w:rsidRDefault="00932B9C" w:rsidP="00932B9C">
      <w:pPr>
        <w:pStyle w:val="AuthorAffiliation"/>
      </w:pPr>
      <w:r>
        <w:rPr>
          <w:vertAlign w:val="superscript"/>
        </w:rPr>
        <w:t>4</w:t>
      </w:r>
      <w:r w:rsidRPr="009A13AB">
        <w:t xml:space="preserve">Bukhara </w:t>
      </w:r>
      <w:r w:rsidRPr="00932B9C">
        <w:t>State Technical university</w:t>
      </w:r>
      <w:r>
        <w:t xml:space="preserve">, </w:t>
      </w:r>
      <w:r w:rsidRPr="009A13AB">
        <w:t>Bukhara</w:t>
      </w:r>
      <w:r>
        <w:t xml:space="preserve">, </w:t>
      </w:r>
      <w:r w:rsidRPr="00287E0A">
        <w:t>Uzbekistan</w:t>
      </w:r>
    </w:p>
    <w:p w14:paraId="52E55A76" w14:textId="77777777" w:rsidR="006E33A1" w:rsidRPr="00287E0A" w:rsidRDefault="006E33A1" w:rsidP="006E33A1">
      <w:pPr>
        <w:pStyle w:val="AuthorAffiliation"/>
        <w:spacing w:before="200" w:after="200"/>
      </w:pPr>
      <w:r w:rsidRPr="00FE6DBA">
        <w:rPr>
          <w:szCs w:val="18"/>
          <w:vertAlign w:val="superscript"/>
        </w:rPr>
        <w:t>a)</w:t>
      </w:r>
      <w:r w:rsidRPr="00FE6DBA">
        <w:rPr>
          <w:szCs w:val="18"/>
        </w:rPr>
        <w:t xml:space="preserve"> Corresponding author:</w:t>
      </w:r>
      <w:r w:rsidRPr="005B25E2">
        <w:rPr>
          <w:szCs w:val="18"/>
        </w:rPr>
        <w:t xml:space="preserve"> </w:t>
      </w:r>
      <w:hyperlink r:id="rId5" w:history="1">
        <w:r w:rsidRPr="005B25E2">
          <w:rPr>
            <w:rStyle w:val="a6"/>
            <w:szCs w:val="18"/>
          </w:rPr>
          <w:t>olimjontoirov@gmail.com</w:t>
        </w:r>
      </w:hyperlink>
    </w:p>
    <w:p w14:paraId="410B173B" w14:textId="273B4ED9"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3B56BD" w:rsidRPr="003B56BD">
        <w:rPr>
          <w:rFonts w:ascii="Times New Roman" w:hAnsi="Times New Roman" w:cs="Times New Roman"/>
          <w:iCs/>
          <w:sz w:val="18"/>
          <w:szCs w:val="18"/>
          <w:lang w:val="uz-Cyrl-UZ"/>
        </w:rPr>
        <w:t>This paper analyzes the higher-order harmonics generated during the operation of electric drives of mining excavators. Based on experimental measurements, the spectra of current and voltage signals for each operating cycle of the excavator were determined, and the dynamic changes in the harmonic composition were studied. The obtained results were used to evaluate the impact of harmonic distortions on the efficiency, energy consumption, and reliability of the electric drive. In addition, the causes of harmonics in industrial power systems, their effects on electrical equipment, and effective methods for their reduction and elimination—using filter-compensation devices, passive and active filter systems—were analyzed. The results of the study have practical significance for improving energy efficiency and ensuring the continuous operation of excavator electric drives</w:t>
      </w:r>
      <w:r w:rsidR="00AC4EF4" w:rsidRPr="00AC4EF4">
        <w:rPr>
          <w:rFonts w:ascii="Times New Roman" w:hAnsi="Times New Roman" w:cs="Times New Roman"/>
          <w:iCs/>
          <w:sz w:val="18"/>
          <w:szCs w:val="18"/>
          <w:lang w:val="uz-Cyrl-UZ"/>
        </w:rPr>
        <w:t>.</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5EEBD605" w14:textId="20F8E0C2" w:rsidR="003B56BD" w:rsidRPr="003B56BD" w:rsidRDefault="003B56BD" w:rsidP="00323C7F">
      <w:pPr>
        <w:pStyle w:val="a4"/>
        <w:keepNext/>
        <w:overflowPunct w:val="0"/>
        <w:autoSpaceDE w:val="0"/>
        <w:autoSpaceDN w:val="0"/>
        <w:adjustRightInd w:val="0"/>
        <w:spacing w:before="240" w:after="240" w:line="240" w:lineRule="auto"/>
        <w:ind w:left="0" w:firstLine="284"/>
        <w:jc w:val="both"/>
        <w:textAlignment w:val="baseline"/>
        <w:outlineLvl w:val="5"/>
        <w:rPr>
          <w:rFonts w:ascii="Times New Roman" w:hAnsi="Times New Roman" w:cs="Times New Roman"/>
          <w:sz w:val="20"/>
          <w:lang w:val="uz-Cyrl-UZ"/>
        </w:rPr>
      </w:pPr>
      <w:r w:rsidRPr="003B56BD">
        <w:rPr>
          <w:rFonts w:ascii="Times New Roman" w:hAnsi="Times New Roman" w:cs="Times New Roman"/>
          <w:sz w:val="20"/>
          <w:lang w:val="uz-Cyrl-UZ"/>
        </w:rPr>
        <w:t>The operating modes of excavator electric drives exhibit a complex dynamic nature, characterized by frequent load variations, reversing, stopping, starting, and braking processes that occur in repetitive cyclic patterns. Modern excavators predominantly employ digitally controlled systems based on frequency converters, along with intelligent control units equipped with energy regeneration functions. Compared to conventional contactor–resistor and thyristor-based control systems, these technologies enable smooth speed regulation, reduced energy consumption, and effective control of harmonic distortions. In particular, frequency converters utilizing transistor-based extended pulse-controlled devices with pulse-width modulation (PWM) make it possible to ensure optimal torque–speed characteristics of excavator motors, implement load-adaptive control strategies, and introduce automatic diagnostic functions [1</w:t>
      </w:r>
      <w:r w:rsidR="00415F14">
        <w:rPr>
          <w:rFonts w:ascii="Times New Roman" w:hAnsi="Times New Roman" w:cs="Times New Roman"/>
          <w:sz w:val="20"/>
        </w:rPr>
        <w:t>-2</w:t>
      </w:r>
      <w:r w:rsidRPr="003B56BD">
        <w:rPr>
          <w:rFonts w:ascii="Times New Roman" w:hAnsi="Times New Roman" w:cs="Times New Roman"/>
          <w:sz w:val="20"/>
          <w:lang w:val="uz-Cyrl-UZ"/>
        </w:rPr>
        <w:t>].</w:t>
      </w:r>
    </w:p>
    <w:p w14:paraId="4581F0D6" w14:textId="7FCB01EC" w:rsidR="003B56BD" w:rsidRPr="003B56BD" w:rsidRDefault="003B56BD" w:rsidP="00323C7F">
      <w:pPr>
        <w:pStyle w:val="a4"/>
        <w:keepNext/>
        <w:overflowPunct w:val="0"/>
        <w:autoSpaceDE w:val="0"/>
        <w:autoSpaceDN w:val="0"/>
        <w:adjustRightInd w:val="0"/>
        <w:spacing w:before="240" w:after="240" w:line="240" w:lineRule="auto"/>
        <w:ind w:left="0" w:firstLine="284"/>
        <w:jc w:val="both"/>
        <w:textAlignment w:val="baseline"/>
        <w:outlineLvl w:val="5"/>
        <w:rPr>
          <w:rFonts w:ascii="Times New Roman" w:hAnsi="Times New Roman" w:cs="Times New Roman"/>
          <w:sz w:val="20"/>
          <w:lang w:val="uz-Cyrl-UZ"/>
        </w:rPr>
      </w:pPr>
      <w:r w:rsidRPr="003B56BD">
        <w:rPr>
          <w:rFonts w:ascii="Times New Roman" w:hAnsi="Times New Roman" w:cs="Times New Roman"/>
          <w:sz w:val="20"/>
          <w:lang w:val="uz-Cyrl-UZ"/>
        </w:rPr>
        <w:t>The primary advantages of modern control methods include increased energy efficiency, reduced mechanical shocks, extended service life, and automatic compensation of asymmetric loads and interphase imbalances. However, since inverter-based control systems operate using high-frequency switching pulses, they introduce harmonic currents into the power supply network. Under excavator operating conditions, this may lead to increased reactive power consumption, elevated dielectric stress on insulation systems, and the generation of electromagnetic interference [</w:t>
      </w:r>
      <w:r w:rsidR="00415F14">
        <w:rPr>
          <w:rFonts w:ascii="Times New Roman" w:hAnsi="Times New Roman" w:cs="Times New Roman"/>
          <w:sz w:val="20"/>
        </w:rPr>
        <w:t>3-6</w:t>
      </w:r>
      <w:r w:rsidRPr="003B56BD">
        <w:rPr>
          <w:rFonts w:ascii="Times New Roman" w:hAnsi="Times New Roman" w:cs="Times New Roman"/>
          <w:sz w:val="20"/>
          <w:lang w:val="uz-Cyrl-UZ"/>
        </w:rPr>
        <w:t>]. Although their advantages over legacy tap-changing transformer systems are evident, modern inverters require advanced methods for harmonic identification, filtering, and automated harmonic analysis algorithms. Numerous scientific studies indicate that 5th-, 7th-, 11th-, and 13th-order harmonics present in current and voltage spectra have long-term adverse effects on the reliability of excavator drive motors and their control systems [</w:t>
      </w:r>
      <w:r w:rsidR="00415F14">
        <w:rPr>
          <w:rFonts w:ascii="Times New Roman" w:hAnsi="Times New Roman" w:cs="Times New Roman"/>
          <w:sz w:val="20"/>
        </w:rPr>
        <w:t>7-10</w:t>
      </w:r>
      <w:r w:rsidRPr="003B56BD">
        <w:rPr>
          <w:rFonts w:ascii="Times New Roman" w:hAnsi="Times New Roman" w:cs="Times New Roman"/>
          <w:sz w:val="20"/>
          <w:lang w:val="uz-Cyrl-UZ"/>
        </w:rPr>
        <w:t>].</w:t>
      </w:r>
    </w:p>
    <w:p w14:paraId="36CB31F5" w14:textId="65F9FE73" w:rsidR="003B56BD" w:rsidRPr="003B56BD" w:rsidRDefault="003B56BD" w:rsidP="00323C7F">
      <w:pPr>
        <w:pStyle w:val="a4"/>
        <w:keepNext/>
        <w:overflowPunct w:val="0"/>
        <w:autoSpaceDE w:val="0"/>
        <w:autoSpaceDN w:val="0"/>
        <w:adjustRightInd w:val="0"/>
        <w:spacing w:before="240" w:after="240" w:line="240" w:lineRule="auto"/>
        <w:ind w:left="0" w:firstLine="284"/>
        <w:jc w:val="both"/>
        <w:textAlignment w:val="baseline"/>
        <w:outlineLvl w:val="5"/>
        <w:rPr>
          <w:rFonts w:ascii="Times New Roman" w:hAnsi="Times New Roman" w:cs="Times New Roman"/>
          <w:sz w:val="20"/>
          <w:lang w:val="uz-Cyrl-UZ"/>
        </w:rPr>
      </w:pPr>
      <w:r w:rsidRPr="003B56BD">
        <w:rPr>
          <w:rFonts w:ascii="Times New Roman" w:hAnsi="Times New Roman" w:cs="Times New Roman"/>
          <w:sz w:val="20"/>
          <w:lang w:val="uz-Cyrl-UZ"/>
        </w:rPr>
        <w:t xml:space="preserve">These factors demonstrate that, in modern excavators, not only speed and torque control but also harmonic modeling and harmonic monitoring must be implemented as mandatory technological components. Contemporary harmonic analysis techniques are based on real-time monitoring, spectral identification, phase-based active </w:t>
      </w:r>
      <w:r w:rsidRPr="003B56BD">
        <w:rPr>
          <w:rFonts w:ascii="Times New Roman" w:hAnsi="Times New Roman" w:cs="Times New Roman"/>
          <w:sz w:val="20"/>
          <w:lang w:val="uz-Cyrl-UZ"/>
        </w:rPr>
        <w:lastRenderedPageBreak/>
        <w:t>compensation, and neutral-wire-free balancing approaches. Through these methods, not only energy efficiency but also safety and electromechanical stability parameters can be optimized</w:t>
      </w:r>
      <w:r w:rsidR="00342CC9">
        <w:rPr>
          <w:rFonts w:ascii="Times New Roman" w:hAnsi="Times New Roman" w:cs="Times New Roman"/>
          <w:sz w:val="20"/>
        </w:rPr>
        <w:t>[11-12]</w:t>
      </w:r>
      <w:r w:rsidRPr="003B56BD">
        <w:rPr>
          <w:rFonts w:ascii="Times New Roman" w:hAnsi="Times New Roman" w:cs="Times New Roman"/>
          <w:sz w:val="20"/>
          <w:lang w:val="uz-Cyrl-UZ"/>
        </w:rPr>
        <w:t>.</w:t>
      </w:r>
    </w:p>
    <w:p w14:paraId="6D1D11F8" w14:textId="0870762A" w:rsidR="003B56BD" w:rsidRPr="003B56BD" w:rsidRDefault="003B56BD" w:rsidP="00323C7F">
      <w:pPr>
        <w:pStyle w:val="a4"/>
        <w:keepNext/>
        <w:overflowPunct w:val="0"/>
        <w:autoSpaceDE w:val="0"/>
        <w:autoSpaceDN w:val="0"/>
        <w:adjustRightInd w:val="0"/>
        <w:spacing w:before="240" w:after="240" w:line="240" w:lineRule="auto"/>
        <w:ind w:left="0" w:firstLine="284"/>
        <w:jc w:val="both"/>
        <w:textAlignment w:val="baseline"/>
        <w:outlineLvl w:val="5"/>
        <w:rPr>
          <w:rFonts w:ascii="Times New Roman" w:hAnsi="Times New Roman" w:cs="Times New Roman"/>
          <w:sz w:val="20"/>
          <w:lang w:val="uz-Cyrl-UZ"/>
        </w:rPr>
      </w:pPr>
      <w:r w:rsidRPr="003B56BD">
        <w:rPr>
          <w:rFonts w:ascii="Times New Roman" w:hAnsi="Times New Roman" w:cs="Times New Roman"/>
          <w:sz w:val="20"/>
          <w:lang w:val="uz-Cyrl-UZ"/>
        </w:rPr>
        <w:t>Thyristor- and transistor-based DC drive systems have long been widely used in excavators operating under heavy-load conditions requiring high torque and are still applied in certain heavy-duty machinery today. Thyristor converters typically operate on the principle of phase-angle control, where voltage regulation is achieved by delaying the firing angle. While this approach is structurally simple and reliable at high power levels, it injects significant 5th-, 7th-, and 11th-order harmonic currents into the supply network, degrades power quality, and limits the dynamic response of the control system [</w:t>
      </w:r>
      <w:r w:rsidR="00342CC9">
        <w:rPr>
          <w:rFonts w:ascii="Times New Roman" w:hAnsi="Times New Roman" w:cs="Times New Roman"/>
          <w:sz w:val="20"/>
        </w:rPr>
        <w:t>13-14</w:t>
      </w:r>
      <w:r w:rsidRPr="003B56BD">
        <w:rPr>
          <w:rFonts w:ascii="Times New Roman" w:hAnsi="Times New Roman" w:cs="Times New Roman"/>
          <w:sz w:val="20"/>
          <w:lang w:val="uz-Cyrl-UZ"/>
        </w:rPr>
        <w:t>]. In excavator duty cycles with sharply varying loads, thyristor-based drives may disrupt phase balance and cause torque pulsations due to synchronization delays in the phase control angle.</w:t>
      </w:r>
    </w:p>
    <w:p w14:paraId="538C2D10" w14:textId="4BEFA1B2" w:rsidR="003B56BD" w:rsidRDefault="003B56BD" w:rsidP="00323C7F">
      <w:pPr>
        <w:pStyle w:val="a4"/>
        <w:keepNext/>
        <w:overflowPunct w:val="0"/>
        <w:autoSpaceDE w:val="0"/>
        <w:autoSpaceDN w:val="0"/>
        <w:adjustRightInd w:val="0"/>
        <w:spacing w:before="240" w:after="240" w:line="240" w:lineRule="auto"/>
        <w:ind w:left="0" w:firstLine="284"/>
        <w:jc w:val="both"/>
        <w:textAlignment w:val="baseline"/>
        <w:outlineLvl w:val="5"/>
        <w:rPr>
          <w:rFonts w:ascii="Times New Roman" w:hAnsi="Times New Roman" w:cs="Times New Roman"/>
          <w:sz w:val="20"/>
        </w:rPr>
      </w:pPr>
      <w:r w:rsidRPr="003B56BD">
        <w:rPr>
          <w:rFonts w:ascii="Times New Roman" w:hAnsi="Times New Roman" w:cs="Times New Roman"/>
          <w:sz w:val="20"/>
          <w:lang w:val="uz-Cyrl-UZ"/>
        </w:rPr>
        <w:t>In her scientific research on the mathematical modeling of thyristor-controlled DC motors, Salma Nazia Rahman analyzed the harmonic levels generated by various configurations of thyristor rectifiers [</w:t>
      </w:r>
      <w:r w:rsidR="00415F14">
        <w:rPr>
          <w:rFonts w:ascii="Times New Roman" w:hAnsi="Times New Roman" w:cs="Times New Roman"/>
          <w:sz w:val="20"/>
        </w:rPr>
        <w:t>1</w:t>
      </w:r>
      <w:r w:rsidR="00342CC9">
        <w:rPr>
          <w:rFonts w:ascii="Times New Roman" w:hAnsi="Times New Roman" w:cs="Times New Roman"/>
          <w:sz w:val="20"/>
        </w:rPr>
        <w:t>5-16</w:t>
      </w:r>
      <w:r w:rsidRPr="003B56BD">
        <w:rPr>
          <w:rFonts w:ascii="Times New Roman" w:hAnsi="Times New Roman" w:cs="Times New Roman"/>
          <w:sz w:val="20"/>
          <w:lang w:val="uz-Cyrl-UZ"/>
        </w:rPr>
        <w:t>]. According to her conclusions, resultant harmonic distortion in thyristor-rectifier-fed DC motor drives ranges from 18% to 40% under no-load operating conditions [</w:t>
      </w:r>
      <w:r w:rsidR="00415F14">
        <w:rPr>
          <w:rFonts w:ascii="Times New Roman" w:hAnsi="Times New Roman" w:cs="Times New Roman"/>
          <w:sz w:val="20"/>
        </w:rPr>
        <w:t>17</w:t>
      </w:r>
      <w:r w:rsidRPr="003B56BD">
        <w:rPr>
          <w:rFonts w:ascii="Times New Roman" w:hAnsi="Times New Roman" w:cs="Times New Roman"/>
          <w:sz w:val="20"/>
          <w:lang w:val="uz-Cyrl-UZ"/>
        </w:rPr>
        <w:t>].</w:t>
      </w:r>
    </w:p>
    <w:p w14:paraId="493A640D" w14:textId="43A9B1D4" w:rsidR="008A22AB" w:rsidRPr="005A62E2" w:rsidRDefault="005A62E2" w:rsidP="00323C7F">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Pr>
          <w:rFonts w:ascii="Times New Roman" w:hAnsi="Times New Roman" w:cs="Times New Roman"/>
          <w:b/>
          <w:sz w:val="24"/>
          <w:szCs w:val="24"/>
        </w:rPr>
        <w:t>METHODOLOGY</w:t>
      </w:r>
    </w:p>
    <w:p w14:paraId="220A87CF" w14:textId="7F401748"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sidRPr="003B56BD">
        <w:rPr>
          <w:rFonts w:ascii="Times New Roman" w:hAnsi="Times New Roman" w:cs="Times New Roman"/>
          <w:sz w:val="20"/>
          <w:szCs w:val="20"/>
          <w:lang w:val="uz-Cyrl-UZ"/>
        </w:rPr>
        <w:t>The electric drive systems of mining excavators are complex high-power installations characterized by variable loads and bidirectional energy flow. As a result, higher-order harmonics (5th, 7th, 11th, 13th, 17th, and 19th orders) arise in their power supply networks [</w:t>
      </w:r>
      <w:r w:rsidR="00415F14">
        <w:rPr>
          <w:rFonts w:ascii="Times New Roman" w:hAnsi="Times New Roman" w:cs="Times New Roman"/>
          <w:sz w:val="20"/>
          <w:szCs w:val="20"/>
        </w:rPr>
        <w:t>18</w:t>
      </w:r>
      <w:r w:rsidRPr="003B56BD">
        <w:rPr>
          <w:rFonts w:ascii="Times New Roman" w:hAnsi="Times New Roman" w:cs="Times New Roman"/>
          <w:sz w:val="20"/>
          <w:szCs w:val="20"/>
          <w:lang w:val="uz-Cyrl-UZ"/>
        </w:rPr>
        <w:t>], leading to:</w:t>
      </w:r>
    </w:p>
    <w:p w14:paraId="332D3428" w14:textId="27533099"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3B56BD">
        <w:rPr>
          <w:rFonts w:ascii="Times New Roman" w:hAnsi="Times New Roman" w:cs="Times New Roman"/>
          <w:sz w:val="20"/>
          <w:szCs w:val="20"/>
          <w:lang w:val="uz-Cyrl-UZ"/>
        </w:rPr>
        <w:t>deterioration of electrical power quality,</w:t>
      </w:r>
    </w:p>
    <w:p w14:paraId="12B80A4C" w14:textId="6C30CDC7"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3B56BD">
        <w:rPr>
          <w:rFonts w:ascii="Times New Roman" w:hAnsi="Times New Roman" w:cs="Times New Roman"/>
          <w:sz w:val="20"/>
          <w:szCs w:val="20"/>
          <w:lang w:val="uz-Cyrl-UZ"/>
        </w:rPr>
        <w:t>additional thermal losses in motors and transformers,</w:t>
      </w:r>
    </w:p>
    <w:p w14:paraId="0DD19608" w14:textId="63DB3944"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3B56BD">
        <w:rPr>
          <w:rFonts w:ascii="Times New Roman" w:hAnsi="Times New Roman" w:cs="Times New Roman"/>
          <w:sz w:val="20"/>
          <w:szCs w:val="20"/>
          <w:lang w:val="uz-Cyrl-UZ"/>
        </w:rPr>
        <w:t>increased reactive power consumption,</w:t>
      </w:r>
    </w:p>
    <w:p w14:paraId="7D56E3C1" w14:textId="1DABD370"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Pr>
          <w:rFonts w:ascii="Times New Roman" w:hAnsi="Times New Roman" w:cs="Times New Roman"/>
          <w:sz w:val="20"/>
          <w:szCs w:val="20"/>
        </w:rPr>
        <w:t xml:space="preserve">- </w:t>
      </w:r>
      <w:r w:rsidRPr="003B56BD">
        <w:rPr>
          <w:rFonts w:ascii="Times New Roman" w:hAnsi="Times New Roman" w:cs="Times New Roman"/>
          <w:sz w:val="20"/>
          <w:szCs w:val="20"/>
          <w:lang w:val="uz-Cyrl-UZ"/>
        </w:rPr>
        <w:t>disturbance of electromagnetic balance within the grid.</w:t>
      </w:r>
    </w:p>
    <w:p w14:paraId="1E47AAE2" w14:textId="77777777" w:rsidR="003B56BD" w:rsidRPr="003B56BD" w:rsidRDefault="003B56BD" w:rsidP="00323C7F">
      <w:pPr>
        <w:spacing w:after="0" w:line="240" w:lineRule="auto"/>
        <w:ind w:firstLine="284"/>
        <w:jc w:val="both"/>
        <w:rPr>
          <w:rFonts w:ascii="Times New Roman" w:hAnsi="Times New Roman" w:cs="Times New Roman"/>
          <w:sz w:val="20"/>
          <w:szCs w:val="20"/>
          <w:lang w:val="uz-Cyrl-UZ"/>
        </w:rPr>
      </w:pPr>
      <w:r w:rsidRPr="003B56BD">
        <w:rPr>
          <w:rFonts w:ascii="Times New Roman" w:hAnsi="Times New Roman" w:cs="Times New Roman"/>
          <w:sz w:val="20"/>
          <w:szCs w:val="20"/>
          <w:lang w:val="uz-Cyrl-UZ"/>
        </w:rPr>
        <w:t>The primary objective of this methodology is to develop a structured sequence of practical measurement, calculation, and modeling procedures aimed at identifying and analyzing the harmonic content generated in the electrical drive system of a mining excavator and assessing its impact on power losses.</w:t>
      </w:r>
    </w:p>
    <w:p w14:paraId="2E407B27" w14:textId="6E8F9BEF" w:rsidR="00490AEB" w:rsidRPr="00490AEB" w:rsidRDefault="003B56BD" w:rsidP="00323C7F">
      <w:pPr>
        <w:spacing w:after="0" w:line="240" w:lineRule="auto"/>
        <w:ind w:firstLine="284"/>
        <w:jc w:val="both"/>
        <w:rPr>
          <w:rFonts w:ascii="Times New Roman" w:hAnsi="Times New Roman" w:cs="Times New Roman"/>
          <w:sz w:val="20"/>
          <w:szCs w:val="20"/>
          <w:lang w:val="uz-Cyrl-UZ"/>
        </w:rPr>
      </w:pPr>
      <w:r w:rsidRPr="003B56BD">
        <w:rPr>
          <w:rFonts w:ascii="Times New Roman" w:hAnsi="Times New Roman" w:cs="Times New Roman"/>
          <w:sz w:val="20"/>
          <w:szCs w:val="20"/>
          <w:lang w:val="uz-Cyrl-UZ"/>
        </w:rPr>
        <w:t>The theoretical foundation of harmonic analysis is based on Fourier analysis. Any non-ideal sinusoidal current or voltage signal can be represented as the sum of its fundamental component and higher-order harmonics according to the following expression [</w:t>
      </w:r>
      <w:r w:rsidR="00342CC9">
        <w:rPr>
          <w:rFonts w:ascii="Times New Roman" w:hAnsi="Times New Roman" w:cs="Times New Roman"/>
          <w:sz w:val="20"/>
          <w:szCs w:val="20"/>
        </w:rPr>
        <w:t>19</w:t>
      </w:r>
      <w:r w:rsidRPr="003B56BD">
        <w:rPr>
          <w:rFonts w:ascii="Times New Roman" w:hAnsi="Times New Roman" w:cs="Times New Roman"/>
          <w:sz w:val="20"/>
          <w:szCs w:val="20"/>
          <w:lang w:val="uz-Cyrl-UZ"/>
        </w:rPr>
        <w:t>]:</w:t>
      </w:r>
      <w:r w:rsidR="00490AEB" w:rsidRPr="00490AEB">
        <w:rPr>
          <w:rFonts w:ascii="Times New Roman" w:eastAsiaTheme="minorEastAsia" w:hAnsi="Times New Roman" w:cs="Times New Roman"/>
          <w:sz w:val="20"/>
          <w:szCs w:val="20"/>
          <w:lang w:val="uz-Cyrl-UZ"/>
        </w:rPr>
        <w:t xml:space="preserve">                                            </w:t>
      </w:r>
    </w:p>
    <w:p w14:paraId="21E795D6" w14:textId="18CEC7E2" w:rsidR="004B539B" w:rsidRPr="007A3153" w:rsidRDefault="004B539B" w:rsidP="004B539B">
      <w:pPr>
        <w:ind w:firstLine="284"/>
        <w:jc w:val="right"/>
        <w:rPr>
          <w:rStyle w:val="aa"/>
          <w:rFonts w:ascii="Times New Roman" w:hAnsi="Times New Roman" w:cs="Times New Roman"/>
          <w:sz w:val="20"/>
          <w:szCs w:val="20"/>
          <w:lang w:val="uz-Cyrl-UZ"/>
        </w:rPr>
      </w:pPr>
      <m:oMath>
        <m:r>
          <w:rPr>
            <w:rFonts w:ascii="Cambria Math" w:hAnsi="Cambria Math"/>
            <w:lang w:val="uz-Cyrl-UZ"/>
          </w:rPr>
          <m:t>U</m:t>
        </m:r>
        <m:d>
          <m:dPr>
            <m:ctrlPr>
              <w:rPr>
                <w:rFonts w:ascii="Cambria Math" w:hAnsi="Cambria Math"/>
                <w:bCs/>
                <w:i/>
              </w:rPr>
            </m:ctrlPr>
          </m:dPr>
          <m:e>
            <m:r>
              <w:rPr>
                <w:rFonts w:ascii="Cambria Math" w:hAnsi="Cambria Math"/>
                <w:lang w:val="uz-Cyrl-UZ"/>
              </w:rPr>
              <m:t>t</m:t>
            </m:r>
          </m:e>
        </m:d>
        <m:r>
          <w:rPr>
            <w:rFonts w:ascii="Cambria Math" w:hAnsi="Cambria Math"/>
            <w:lang w:val="uz-Cyrl-UZ"/>
          </w:rPr>
          <m:t>=</m:t>
        </m:r>
        <m:sSub>
          <m:sSubPr>
            <m:ctrlPr>
              <w:rPr>
                <w:rFonts w:ascii="Cambria Math" w:hAnsi="Cambria Math"/>
                <w:bCs/>
                <w:i/>
              </w:rPr>
            </m:ctrlPr>
          </m:sSubPr>
          <m:e>
            <m:r>
              <w:rPr>
                <w:rFonts w:ascii="Cambria Math" w:hAnsi="Cambria Math"/>
                <w:lang w:val="uz-Cyrl-UZ"/>
              </w:rPr>
              <m:t>U</m:t>
            </m:r>
          </m:e>
          <m:sub>
            <m:r>
              <w:rPr>
                <w:rFonts w:ascii="Cambria Math" w:hAnsi="Cambria Math"/>
                <w:lang w:val="uz-Cyrl-UZ"/>
              </w:rPr>
              <m:t>1</m:t>
            </m:r>
          </m:sub>
        </m:sSub>
        <m:r>
          <w:rPr>
            <w:rFonts w:ascii="Cambria Math" w:hAnsi="Cambria Math"/>
            <w:lang w:val="uz-Cyrl-UZ"/>
          </w:rPr>
          <m:t>∙</m:t>
        </m:r>
        <m:func>
          <m:funcPr>
            <m:ctrlPr>
              <w:rPr>
                <w:rFonts w:ascii="Cambria Math" w:hAnsi="Cambria Math"/>
                <w:bCs/>
                <w:i/>
              </w:rPr>
            </m:ctrlPr>
          </m:funcPr>
          <m:fName>
            <m:r>
              <w:rPr>
                <w:rFonts w:ascii="Cambria Math" w:hAnsi="Cambria Math"/>
                <w:lang w:val="uz-Cyrl-UZ"/>
              </w:rPr>
              <m:t>sin</m:t>
            </m:r>
          </m:fName>
          <m:e>
            <m:d>
              <m:dPr>
                <m:ctrlPr>
                  <w:rPr>
                    <w:rFonts w:ascii="Cambria Math" w:hAnsi="Cambria Math"/>
                    <w:bCs/>
                    <w:i/>
                  </w:rPr>
                </m:ctrlPr>
              </m:dPr>
              <m:e>
                <m:r>
                  <w:rPr>
                    <w:rFonts w:ascii="Cambria Math" w:hAnsi="Cambria Math"/>
                    <w:lang w:val="uz-Cyrl-UZ"/>
                  </w:rPr>
                  <m:t>ωt</m:t>
                </m:r>
              </m:e>
            </m:d>
          </m:e>
        </m:func>
        <m:r>
          <w:rPr>
            <w:rFonts w:ascii="Cambria Math" w:hAnsi="Cambria Math"/>
            <w:lang w:val="uz-Cyrl-UZ"/>
          </w:rPr>
          <m:t>+</m:t>
        </m:r>
        <m:nary>
          <m:naryPr>
            <m:chr m:val="∑"/>
            <m:limLoc m:val="undOvr"/>
            <m:ctrlPr>
              <w:rPr>
                <w:rFonts w:ascii="Cambria Math" w:hAnsi="Cambria Math"/>
                <w:bCs/>
                <w:i/>
              </w:rPr>
            </m:ctrlPr>
          </m:naryPr>
          <m:sub>
            <m:r>
              <w:rPr>
                <w:rFonts w:ascii="Cambria Math" w:hAnsi="Cambria Math"/>
                <w:lang w:val="uz-Cyrl-UZ"/>
              </w:rPr>
              <m:t>n=2</m:t>
            </m:r>
          </m:sub>
          <m:sup>
            <m:r>
              <w:rPr>
                <w:rFonts w:ascii="Cambria Math" w:hAnsi="Cambria Math"/>
                <w:lang w:val="uz-Cyrl-UZ"/>
              </w:rPr>
              <m:t>∞</m:t>
            </m:r>
          </m:sup>
          <m:e>
            <m:sSub>
              <m:sSubPr>
                <m:ctrlPr>
                  <w:rPr>
                    <w:rFonts w:ascii="Cambria Math" w:hAnsi="Cambria Math"/>
                    <w:bCs/>
                    <w:i/>
                  </w:rPr>
                </m:ctrlPr>
              </m:sSubPr>
              <m:e>
                <m:r>
                  <w:rPr>
                    <w:rFonts w:ascii="Cambria Math" w:hAnsi="Cambria Math"/>
                    <w:lang w:val="uz-Cyrl-UZ"/>
                  </w:rPr>
                  <m:t>U</m:t>
                </m:r>
              </m:e>
              <m:sub>
                <m:r>
                  <w:rPr>
                    <w:rFonts w:ascii="Cambria Math" w:hAnsi="Cambria Math"/>
                    <w:lang w:val="uz-Cyrl-UZ"/>
                  </w:rPr>
                  <m:t>n</m:t>
                </m:r>
              </m:sub>
            </m:sSub>
          </m:e>
        </m:nary>
        <m:r>
          <w:rPr>
            <w:rFonts w:ascii="Cambria Math" w:hAnsi="Cambria Math"/>
            <w:lang w:val="uz-Cyrl-UZ"/>
          </w:rPr>
          <m:t>sin⁡(nωt+φ)</m:t>
        </m:r>
      </m:oMath>
      <w:r w:rsidRPr="007A3153">
        <w:rPr>
          <w:rFonts w:ascii="Times New Roman" w:eastAsiaTheme="minorEastAsia" w:hAnsi="Times New Roman" w:cs="Times New Roman"/>
          <w:lang w:val="uz-Cyrl-UZ"/>
        </w:rPr>
        <w:t xml:space="preserve">    </w:t>
      </w:r>
      <w:r w:rsidRPr="007A3153">
        <w:rPr>
          <w:rFonts w:ascii="Times New Roman" w:eastAsiaTheme="minorEastAsia" w:hAnsi="Times New Roman" w:cs="Times New Roman"/>
          <w:lang w:val="uz-Cyrl-UZ"/>
        </w:rPr>
        <w:tab/>
      </w:r>
      <w:r w:rsidRPr="007A3153">
        <w:rPr>
          <w:rFonts w:ascii="Times New Roman" w:eastAsiaTheme="minorEastAsia" w:hAnsi="Times New Roman" w:cs="Times New Roman"/>
          <w:lang w:val="uz-Cyrl-UZ"/>
        </w:rPr>
        <w:tab/>
      </w:r>
      <w:r w:rsidRPr="007A3153">
        <w:rPr>
          <w:rFonts w:ascii="Times New Roman" w:eastAsiaTheme="minorEastAsia" w:hAnsi="Times New Roman" w:cs="Times New Roman"/>
          <w:lang w:val="uz-Cyrl-UZ"/>
        </w:rPr>
        <w:tab/>
        <w:t>(1)</w:t>
      </w:r>
    </w:p>
    <w:p w14:paraId="4ABA7E14" w14:textId="7FE8D2B0" w:rsidR="003B56BD" w:rsidRPr="00D4314C" w:rsidRDefault="003B56BD" w:rsidP="00323C7F">
      <w:pPr>
        <w:ind w:firstLine="284"/>
        <w:rPr>
          <w:rFonts w:ascii="Times New Roman" w:hAnsi="Times New Roman" w:cs="Times New Roman"/>
          <w:sz w:val="20"/>
          <w:szCs w:val="20"/>
        </w:rPr>
      </w:pPr>
      <w:r w:rsidRPr="00D4314C">
        <w:rPr>
          <w:rStyle w:val="aa"/>
          <w:rFonts w:ascii="Times New Roman" w:hAnsi="Times New Roman" w:cs="Times New Roman"/>
          <w:sz w:val="20"/>
          <w:szCs w:val="20"/>
        </w:rPr>
        <w:t>Where:</w:t>
      </w:r>
    </w:p>
    <w:p w14:paraId="6F83AC70" w14:textId="77777777" w:rsidR="003B56BD" w:rsidRPr="00D4314C" w:rsidRDefault="003B56BD" w:rsidP="00323C7F">
      <w:pPr>
        <w:spacing w:after="0" w:line="240" w:lineRule="auto"/>
        <w:ind w:firstLine="284"/>
        <w:rPr>
          <w:rFonts w:ascii="Times New Roman" w:hAnsi="Times New Roman" w:cs="Times New Roman"/>
          <w:sz w:val="20"/>
          <w:szCs w:val="20"/>
        </w:rPr>
      </w:pPr>
      <w:r w:rsidRPr="009D76B4">
        <w:rPr>
          <w:rStyle w:val="aa"/>
          <w:rFonts w:ascii="Times New Roman" w:hAnsi="Times New Roman" w:cs="Times New Roman"/>
          <w:b w:val="0"/>
          <w:bCs w:val="0"/>
          <w:sz w:val="20"/>
          <w:szCs w:val="20"/>
        </w:rPr>
        <w:t>U₁</w:t>
      </w:r>
      <w:r w:rsidRPr="00D4314C">
        <w:rPr>
          <w:rFonts w:ascii="Times New Roman" w:hAnsi="Times New Roman" w:cs="Times New Roman"/>
          <w:sz w:val="20"/>
          <w:szCs w:val="20"/>
        </w:rPr>
        <w:t xml:space="preserve"> – amplitude of the fundamental voltage component,</w:t>
      </w:r>
    </w:p>
    <w:p w14:paraId="297B4976" w14:textId="77777777" w:rsidR="003B56BD" w:rsidRPr="00D4314C" w:rsidRDefault="003B56BD" w:rsidP="00323C7F">
      <w:pPr>
        <w:spacing w:after="0" w:line="240" w:lineRule="auto"/>
        <w:ind w:firstLine="284"/>
        <w:rPr>
          <w:rFonts w:ascii="Times New Roman" w:hAnsi="Times New Roman" w:cs="Times New Roman"/>
          <w:sz w:val="20"/>
          <w:szCs w:val="20"/>
        </w:rPr>
      </w:pPr>
      <w:r w:rsidRPr="009D76B4">
        <w:rPr>
          <w:rStyle w:val="aa"/>
          <w:rFonts w:ascii="Times New Roman" w:hAnsi="Times New Roman" w:cs="Times New Roman"/>
          <w:b w:val="0"/>
          <w:bCs w:val="0"/>
          <w:sz w:val="20"/>
          <w:szCs w:val="20"/>
        </w:rPr>
        <w:t>Uₙ</w:t>
      </w:r>
      <w:r w:rsidRPr="00D4314C">
        <w:rPr>
          <w:rFonts w:ascii="Times New Roman" w:hAnsi="Times New Roman" w:cs="Times New Roman"/>
          <w:sz w:val="20"/>
          <w:szCs w:val="20"/>
        </w:rPr>
        <w:t xml:space="preserve"> – amplitude of the </w:t>
      </w:r>
      <w:r w:rsidRPr="00D4314C">
        <w:rPr>
          <w:rStyle w:val="ab"/>
          <w:rFonts w:ascii="Times New Roman" w:hAnsi="Times New Roman" w:cs="Times New Roman"/>
          <w:sz w:val="20"/>
          <w:szCs w:val="20"/>
        </w:rPr>
        <w:t>n</w:t>
      </w:r>
      <w:r w:rsidRPr="00D4314C">
        <w:rPr>
          <w:rFonts w:ascii="Times New Roman" w:hAnsi="Times New Roman" w:cs="Times New Roman"/>
          <w:sz w:val="20"/>
          <w:szCs w:val="20"/>
        </w:rPr>
        <w:t>th-order harmonic component,</w:t>
      </w:r>
    </w:p>
    <w:p w14:paraId="79BE089C" w14:textId="77777777" w:rsidR="003B56BD" w:rsidRPr="00D4314C" w:rsidRDefault="003B56BD" w:rsidP="00323C7F">
      <w:pPr>
        <w:spacing w:after="0" w:line="240" w:lineRule="auto"/>
        <w:ind w:firstLine="284"/>
        <w:jc w:val="both"/>
        <w:rPr>
          <w:rFonts w:ascii="Times New Roman" w:hAnsi="Times New Roman" w:cs="Times New Roman"/>
          <w:sz w:val="20"/>
          <w:szCs w:val="20"/>
        </w:rPr>
      </w:pPr>
      <w:r w:rsidRPr="009D76B4">
        <w:rPr>
          <w:rStyle w:val="aa"/>
          <w:rFonts w:ascii="Times New Roman" w:hAnsi="Times New Roman" w:cs="Times New Roman"/>
          <w:b w:val="0"/>
          <w:bCs w:val="0"/>
          <w:sz w:val="20"/>
          <w:szCs w:val="20"/>
        </w:rPr>
        <w:t>ω</w:t>
      </w:r>
      <w:r w:rsidRPr="00D4314C">
        <w:rPr>
          <w:rFonts w:ascii="Times New Roman" w:hAnsi="Times New Roman" w:cs="Times New Roman"/>
          <w:sz w:val="20"/>
          <w:szCs w:val="20"/>
        </w:rPr>
        <w:t xml:space="preserve"> – fundamental angular frequency,</w:t>
      </w:r>
    </w:p>
    <w:p w14:paraId="0A5D3339" w14:textId="77777777" w:rsidR="003B56BD" w:rsidRPr="00D4314C" w:rsidRDefault="003B56BD" w:rsidP="00323C7F">
      <w:pPr>
        <w:spacing w:after="0" w:line="240" w:lineRule="auto"/>
        <w:ind w:firstLine="284"/>
        <w:rPr>
          <w:rFonts w:ascii="Times New Roman" w:hAnsi="Times New Roman" w:cs="Times New Roman"/>
          <w:sz w:val="20"/>
          <w:szCs w:val="20"/>
        </w:rPr>
      </w:pPr>
      <w:r w:rsidRPr="009D76B4">
        <w:rPr>
          <w:rStyle w:val="aa"/>
          <w:rFonts w:ascii="Times New Roman" w:hAnsi="Times New Roman" w:cs="Times New Roman"/>
          <w:b w:val="0"/>
          <w:bCs w:val="0"/>
          <w:sz w:val="20"/>
          <w:szCs w:val="20"/>
        </w:rPr>
        <w:t>φₙ</w:t>
      </w:r>
      <w:r w:rsidRPr="00D4314C">
        <w:rPr>
          <w:rFonts w:ascii="Times New Roman" w:hAnsi="Times New Roman" w:cs="Times New Roman"/>
          <w:sz w:val="20"/>
          <w:szCs w:val="20"/>
        </w:rPr>
        <w:t xml:space="preserve"> – phase shift angle of the </w:t>
      </w:r>
      <w:r w:rsidRPr="00D4314C">
        <w:rPr>
          <w:rStyle w:val="ab"/>
          <w:rFonts w:ascii="Times New Roman" w:hAnsi="Times New Roman" w:cs="Times New Roman"/>
          <w:sz w:val="20"/>
          <w:szCs w:val="20"/>
        </w:rPr>
        <w:t>n</w:t>
      </w:r>
      <w:r w:rsidRPr="00D4314C">
        <w:rPr>
          <w:rFonts w:ascii="Times New Roman" w:hAnsi="Times New Roman" w:cs="Times New Roman"/>
          <w:sz w:val="20"/>
          <w:szCs w:val="20"/>
        </w:rPr>
        <w:t>th harmonic.</w:t>
      </w:r>
    </w:p>
    <w:p w14:paraId="1167E4E7"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Using the proposed methodology:</w:t>
      </w:r>
    </w:p>
    <w:p w14:paraId="7A806DA3"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harmonic energy losses in the power supply network of excavator electric drives are determined;</w:t>
      </w:r>
    </w:p>
    <w:p w14:paraId="5768D1AB"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a comparative THD spectrum is constructed for different control systems (thyristor-based, transistor-based, and frequency-converter-based);</w:t>
      </w:r>
    </w:p>
    <w:p w14:paraId="24B16F64"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based on measurement results, a harmonic monitoring software system can be developed;</w:t>
      </w:r>
    </w:p>
    <w:p w14:paraId="2FDEE5DA"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components that reduce system efficiency (e.g., 5th- or 11th-order harmonics) are identified, and criteria for filter selection are substantiated;</w:t>
      </w:r>
    </w:p>
    <w:p w14:paraId="3D1A80EC" w14:textId="77777777"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the obtained results enable improvement of power quality indices, enhancement of operational reliability, and development of automatic diagnostic algorithms.</w:t>
      </w:r>
    </w:p>
    <w:p w14:paraId="30023E59" w14:textId="0A4E5C29"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Transistor-based converters operate on the principle of pulse-width modulation, in which control is achieved by varying the pulse duty ratio rather than the voltage phase angle. This method provides smoother control, high-precision regulation of torque and speed, effective reversing capability, and reduced starting current surges. However, under PWM operation, high-frequency switching generates higher-order harmonics distributed across the spectrum up to 15–20 kHz. Although a portion of these harmonics is reflected back into the supply network, the majority contributes to additional heating of motor windings and magnetic circuits, accelerating insulation aging due to increased dielectric losses [</w:t>
      </w:r>
      <w:r w:rsidR="00415F14">
        <w:rPr>
          <w:rFonts w:ascii="Times New Roman" w:hAnsi="Times New Roman" w:cs="Times New Roman"/>
          <w:sz w:val="20"/>
          <w:szCs w:val="20"/>
        </w:rPr>
        <w:t>2</w:t>
      </w:r>
      <w:r w:rsidR="00342CC9">
        <w:rPr>
          <w:rFonts w:ascii="Times New Roman" w:hAnsi="Times New Roman" w:cs="Times New Roman"/>
          <w:sz w:val="20"/>
          <w:szCs w:val="20"/>
        </w:rPr>
        <w:t>0</w:t>
      </w:r>
      <w:r w:rsidRPr="00D4314C">
        <w:rPr>
          <w:rFonts w:ascii="Times New Roman" w:hAnsi="Times New Roman" w:cs="Times New Roman"/>
          <w:sz w:val="20"/>
          <w:szCs w:val="20"/>
        </w:rPr>
        <w:t>].</w:t>
      </w:r>
    </w:p>
    <w:p w14:paraId="71E94B89" w14:textId="7AA0E8A4" w:rsidR="00D4314C" w:rsidRP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 xml:space="preserve">Electromagnetic effects primarily manifest within the power network and internal electronic modules. Harmonic distortion increases reactive power demand from the grid, deforms voltage waveforms, and causes interference in sensor signals within control units. High-frequency components present in the spectrum may interact with the PWM </w:t>
      </w:r>
      <w:r w:rsidRPr="00D4314C">
        <w:rPr>
          <w:rFonts w:ascii="Times New Roman" w:hAnsi="Times New Roman" w:cs="Times New Roman"/>
          <w:sz w:val="20"/>
          <w:szCs w:val="20"/>
        </w:rPr>
        <w:lastRenderedPageBreak/>
        <w:t>control algorithm, resulting in false triggering in communication channels, loss of signal synchronization, or even unintended activation of safety protection blocks. Furthermore, electromagnetic radiation caused by harmonics adversely affects nearby monitoring systems and sensors in the form of electromagnetic compatibility degradation [</w:t>
      </w:r>
      <w:r w:rsidR="00415F14">
        <w:rPr>
          <w:rFonts w:ascii="Times New Roman" w:hAnsi="Times New Roman" w:cs="Times New Roman"/>
          <w:sz w:val="20"/>
          <w:szCs w:val="20"/>
        </w:rPr>
        <w:t>2</w:t>
      </w:r>
      <w:r w:rsidR="00342CC9">
        <w:rPr>
          <w:rFonts w:ascii="Times New Roman" w:hAnsi="Times New Roman" w:cs="Times New Roman"/>
          <w:sz w:val="20"/>
          <w:szCs w:val="20"/>
        </w:rPr>
        <w:t>1</w:t>
      </w:r>
      <w:r w:rsidR="003844B9">
        <w:rPr>
          <w:rFonts w:ascii="Times New Roman" w:hAnsi="Times New Roman" w:cs="Times New Roman"/>
          <w:sz w:val="20"/>
          <w:szCs w:val="20"/>
        </w:rPr>
        <w:t>-23</w:t>
      </w:r>
      <w:r w:rsidRPr="00D4314C">
        <w:rPr>
          <w:rFonts w:ascii="Times New Roman" w:hAnsi="Times New Roman" w:cs="Times New Roman"/>
          <w:sz w:val="20"/>
          <w:szCs w:val="20"/>
        </w:rPr>
        <w:t>].</w:t>
      </w:r>
    </w:p>
    <w:p w14:paraId="67AEC9FE" w14:textId="01B7C157" w:rsidR="003B56BD"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When calculating power losses caused by harmonics, several factors must be considered. The most critical parameter is the total harmonic distortion (THD) of current and voltage. Multiple standards exist for evaluating these quantities; in this study, calculations are performed in accordance with the internationally recognized IEC standard [</w:t>
      </w:r>
      <w:r w:rsidR="00342CC9">
        <w:rPr>
          <w:rFonts w:ascii="Times New Roman" w:hAnsi="Times New Roman" w:cs="Times New Roman"/>
          <w:sz w:val="20"/>
          <w:szCs w:val="20"/>
        </w:rPr>
        <w:t>2</w:t>
      </w:r>
      <w:r w:rsidR="003844B9">
        <w:rPr>
          <w:rFonts w:ascii="Times New Roman" w:hAnsi="Times New Roman" w:cs="Times New Roman"/>
          <w:sz w:val="20"/>
          <w:szCs w:val="20"/>
        </w:rPr>
        <w:t>4-26</w:t>
      </w:r>
      <w:r w:rsidRPr="00D4314C">
        <w:rPr>
          <w:rFonts w:ascii="Times New Roman" w:hAnsi="Times New Roman" w:cs="Times New Roman"/>
          <w:sz w:val="20"/>
          <w:szCs w:val="20"/>
        </w:rPr>
        <w:t>].</w:t>
      </w:r>
    </w:p>
    <w:p w14:paraId="287A2690" w14:textId="27209EEE" w:rsid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Expression for determining the THD value of current</w:t>
      </w:r>
      <w:r>
        <w:rPr>
          <w:rFonts w:ascii="Times New Roman" w:hAnsi="Times New Roman" w:cs="Times New Roman"/>
          <w:sz w:val="20"/>
          <w:szCs w:val="20"/>
        </w:rPr>
        <w:t>:</w:t>
      </w:r>
    </w:p>
    <w:p w14:paraId="08CB389D" w14:textId="67B24056" w:rsidR="004B539B" w:rsidRPr="004B539B" w:rsidRDefault="00000000" w:rsidP="004B539B">
      <w:pPr>
        <w:spacing w:after="0" w:line="240" w:lineRule="auto"/>
        <w:ind w:firstLine="284"/>
        <w:jc w:val="right"/>
        <w:rPr>
          <w:rFonts w:ascii="Times New Roman" w:eastAsiaTheme="minorEastAsia" w:hAnsi="Times New Roman" w:cs="Times New Roman"/>
          <w:sz w:val="20"/>
          <w:szCs w:val="20"/>
        </w:rPr>
      </w:pPr>
      <m:oMath>
        <m:sSub>
          <m:sSubPr>
            <m:ctrlPr>
              <w:rPr>
                <w:rFonts w:ascii="Cambria Math" w:hAnsi="Cambria Math"/>
                <w:bCs/>
                <w:i/>
                <w:sz w:val="24"/>
                <w:szCs w:val="24"/>
              </w:rPr>
            </m:ctrlPr>
          </m:sSubPr>
          <m:e>
            <m:r>
              <w:rPr>
                <w:rFonts w:ascii="Cambria Math" w:hAnsi="Cambria Math"/>
                <w:sz w:val="24"/>
                <w:szCs w:val="24"/>
              </w:rPr>
              <m:t>THD</m:t>
            </m:r>
          </m:e>
          <m:sub>
            <m:r>
              <w:rPr>
                <w:rFonts w:ascii="Cambria Math" w:hAnsi="Cambria Math"/>
                <w:sz w:val="24"/>
                <w:szCs w:val="24"/>
              </w:rPr>
              <m:t>i</m:t>
            </m:r>
          </m:sub>
        </m:sSub>
        <m:r>
          <w:rPr>
            <w:rFonts w:ascii="Cambria Math" w:hAnsi="Cambria Math"/>
            <w:sz w:val="24"/>
            <w:szCs w:val="24"/>
          </w:rPr>
          <m:t>=</m:t>
        </m:r>
        <m:f>
          <m:fPr>
            <m:ctrlPr>
              <w:rPr>
                <w:rFonts w:ascii="Cambria Math" w:hAnsi="Cambria Math"/>
                <w:bCs/>
                <w:i/>
                <w:sz w:val="24"/>
                <w:szCs w:val="24"/>
              </w:rPr>
            </m:ctrlPr>
          </m:fPr>
          <m:num>
            <m:rad>
              <m:radPr>
                <m:degHide m:val="1"/>
                <m:ctrlPr>
                  <w:rPr>
                    <w:rFonts w:ascii="Cambria Math" w:hAnsi="Cambria Math"/>
                    <w:bCs/>
                    <w:i/>
                    <w:sz w:val="24"/>
                    <w:szCs w:val="24"/>
                  </w:rPr>
                </m:ctrlPr>
              </m:radPr>
              <m:deg/>
              <m:e>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3</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4</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5</m:t>
                    </m:r>
                  </m:sub>
                  <m:sup>
                    <m:r>
                      <w:rPr>
                        <w:rFonts w:ascii="Cambria Math" w:hAnsi="Cambria Math"/>
                        <w:sz w:val="24"/>
                        <w:szCs w:val="24"/>
                      </w:rPr>
                      <m:t>2</m:t>
                    </m:r>
                  </m:sup>
                </m:sSubSup>
                <m:r>
                  <w:rPr>
                    <w:rFonts w:ascii="Cambria Math" w:hAnsi="Cambria Math"/>
                    <w:sz w:val="24"/>
                    <w:szCs w:val="24"/>
                  </w:rPr>
                  <m:t>+…</m:t>
                </m:r>
              </m:e>
            </m:rad>
          </m:num>
          <m:den>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1</m:t>
                </m:r>
              </m:sub>
            </m:sSub>
          </m:den>
        </m:f>
        <m:r>
          <m:rPr>
            <m:sty m:val="p"/>
          </m:rPr>
          <w:rPr>
            <w:rFonts w:ascii="Cambria Math" w:hAnsi="Cambria Math"/>
            <w:sz w:val="24"/>
            <w:szCs w:val="24"/>
          </w:rPr>
          <m:t>·</m:t>
        </m:r>
        <m:r>
          <w:rPr>
            <w:rFonts w:ascii="Cambria Math" w:hAnsi="Cambria Math"/>
            <w:sz w:val="24"/>
            <w:szCs w:val="24"/>
          </w:rPr>
          <m:t>100%</m:t>
        </m:r>
      </m:oMath>
      <w:r w:rsidR="004B539B" w:rsidRPr="004B539B">
        <w:rPr>
          <w:rFonts w:ascii="Times New Roman" w:eastAsiaTheme="minorEastAsia" w:hAnsi="Times New Roman" w:cs="Times New Roman"/>
          <w:sz w:val="20"/>
          <w:szCs w:val="20"/>
        </w:rPr>
        <w:t xml:space="preserve">  </w:t>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t>(2)</w:t>
      </w:r>
    </w:p>
    <w:p w14:paraId="69FBFC25" w14:textId="77F839B8" w:rsidR="00D4314C" w:rsidRDefault="00D4314C" w:rsidP="00323C7F">
      <w:pPr>
        <w:spacing w:after="0" w:line="240" w:lineRule="auto"/>
        <w:ind w:firstLine="284"/>
        <w:jc w:val="both"/>
        <w:rPr>
          <w:rFonts w:ascii="Times New Roman" w:hAnsi="Times New Roman" w:cs="Times New Roman"/>
          <w:sz w:val="20"/>
          <w:szCs w:val="20"/>
        </w:rPr>
      </w:pPr>
      <w:r w:rsidRPr="00D4314C">
        <w:rPr>
          <w:rFonts w:ascii="Times New Roman" w:hAnsi="Times New Roman" w:cs="Times New Roman"/>
          <w:sz w:val="20"/>
          <w:szCs w:val="20"/>
        </w:rPr>
        <w:t>Expression for determining the THD value of voltage</w:t>
      </w:r>
    </w:p>
    <w:p w14:paraId="1588B323" w14:textId="72CE73BC" w:rsidR="004B539B" w:rsidRPr="004B539B" w:rsidRDefault="00000000" w:rsidP="004B539B">
      <w:pPr>
        <w:spacing w:after="0" w:line="240" w:lineRule="auto"/>
        <w:ind w:firstLine="284"/>
        <w:jc w:val="right"/>
        <w:rPr>
          <w:rFonts w:ascii="Times New Roman" w:hAnsi="Times New Roman" w:cs="Times New Roman"/>
          <w:sz w:val="20"/>
          <w:szCs w:val="20"/>
        </w:rPr>
      </w:pPr>
      <m:oMath>
        <m:sSub>
          <m:sSubPr>
            <m:ctrlPr>
              <w:rPr>
                <w:rFonts w:ascii="Cambria Math" w:hAnsi="Cambria Math"/>
                <w:bCs/>
                <w:i/>
                <w:sz w:val="24"/>
                <w:szCs w:val="24"/>
              </w:rPr>
            </m:ctrlPr>
          </m:sSubPr>
          <m:e>
            <m:r>
              <w:rPr>
                <w:rFonts w:ascii="Cambria Math" w:hAnsi="Cambria Math"/>
                <w:sz w:val="24"/>
                <w:szCs w:val="24"/>
              </w:rPr>
              <m:t>THD</m:t>
            </m:r>
          </m:e>
          <m:sub>
            <m:r>
              <w:rPr>
                <w:rFonts w:ascii="Cambria Math" w:hAnsi="Cambria Math"/>
                <w:sz w:val="24"/>
                <w:szCs w:val="24"/>
              </w:rPr>
              <m:t>u</m:t>
            </m:r>
          </m:sub>
        </m:sSub>
        <m:r>
          <w:rPr>
            <w:rFonts w:ascii="Cambria Math" w:hAnsi="Cambria Math"/>
            <w:sz w:val="24"/>
            <w:szCs w:val="24"/>
          </w:rPr>
          <m:t>=</m:t>
        </m:r>
        <m:f>
          <m:fPr>
            <m:ctrlPr>
              <w:rPr>
                <w:rFonts w:ascii="Cambria Math" w:hAnsi="Cambria Math"/>
                <w:bCs/>
                <w:i/>
                <w:sz w:val="24"/>
                <w:szCs w:val="24"/>
              </w:rPr>
            </m:ctrlPr>
          </m:fPr>
          <m:num>
            <m:rad>
              <m:radPr>
                <m:degHide m:val="1"/>
                <m:ctrlPr>
                  <w:rPr>
                    <w:rFonts w:ascii="Cambria Math" w:hAnsi="Cambria Math"/>
                    <w:bCs/>
                    <w:i/>
                    <w:sz w:val="24"/>
                    <w:szCs w:val="24"/>
                  </w:rPr>
                </m:ctrlPr>
              </m:radPr>
              <m:deg/>
              <m:e>
                <m:sSubSup>
                  <m:sSubSupPr>
                    <m:ctrlPr>
                      <w:rPr>
                        <w:rFonts w:ascii="Cambria Math" w:hAnsi="Cambria Math"/>
                        <w:bCs/>
                        <w:i/>
                        <w:sz w:val="24"/>
                        <w:szCs w:val="24"/>
                      </w:rPr>
                    </m:ctrlPr>
                  </m:sSubSupPr>
                  <m:e>
                    <m:r>
                      <w:rPr>
                        <w:rFonts w:ascii="Cambria Math" w:hAnsi="Cambria Math"/>
                        <w:sz w:val="24"/>
                        <w:szCs w:val="24"/>
                      </w:rPr>
                      <m:t>U</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U</m:t>
                    </m:r>
                  </m:e>
                  <m:sub>
                    <m:r>
                      <w:rPr>
                        <w:rFonts w:ascii="Cambria Math" w:hAnsi="Cambria Math"/>
                        <w:sz w:val="24"/>
                        <w:szCs w:val="24"/>
                      </w:rPr>
                      <m:t>3</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U</m:t>
                    </m:r>
                  </m:e>
                  <m:sub>
                    <m:r>
                      <w:rPr>
                        <w:rFonts w:ascii="Cambria Math" w:hAnsi="Cambria Math"/>
                        <w:sz w:val="24"/>
                        <w:szCs w:val="24"/>
                      </w:rPr>
                      <m:t>4</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U</m:t>
                    </m:r>
                  </m:e>
                  <m:sub>
                    <m:r>
                      <w:rPr>
                        <w:rFonts w:ascii="Cambria Math" w:hAnsi="Cambria Math"/>
                        <w:sz w:val="24"/>
                        <w:szCs w:val="24"/>
                      </w:rPr>
                      <m:t>5</m:t>
                    </m:r>
                  </m:sub>
                  <m:sup>
                    <m:r>
                      <w:rPr>
                        <w:rFonts w:ascii="Cambria Math" w:hAnsi="Cambria Math"/>
                        <w:sz w:val="24"/>
                        <w:szCs w:val="24"/>
                      </w:rPr>
                      <m:t>2</m:t>
                    </m:r>
                  </m:sup>
                </m:sSubSup>
                <m:r>
                  <w:rPr>
                    <w:rFonts w:ascii="Cambria Math" w:hAnsi="Cambria Math"/>
                    <w:sz w:val="24"/>
                    <w:szCs w:val="24"/>
                  </w:rPr>
                  <m:t>+…</m:t>
                </m:r>
              </m:e>
            </m:rad>
          </m:num>
          <m:den>
            <m:sSub>
              <m:sSubPr>
                <m:ctrlPr>
                  <w:rPr>
                    <w:rFonts w:ascii="Cambria Math" w:hAnsi="Cambria Math"/>
                    <w:bCs/>
                    <w:i/>
                    <w:sz w:val="24"/>
                    <w:szCs w:val="24"/>
                  </w:rPr>
                </m:ctrlPr>
              </m:sSubPr>
              <m:e>
                <m:r>
                  <w:rPr>
                    <w:rFonts w:ascii="Cambria Math" w:hAnsi="Cambria Math"/>
                    <w:sz w:val="24"/>
                    <w:szCs w:val="24"/>
                  </w:rPr>
                  <m:t>U</m:t>
                </m:r>
              </m:e>
              <m:sub>
                <m:r>
                  <w:rPr>
                    <w:rFonts w:ascii="Cambria Math" w:hAnsi="Cambria Math"/>
                    <w:sz w:val="24"/>
                    <w:szCs w:val="24"/>
                  </w:rPr>
                  <m:t>1</m:t>
                </m:r>
              </m:sub>
            </m:sSub>
          </m:den>
        </m:f>
        <m:r>
          <m:rPr>
            <m:sty m:val="p"/>
          </m:rPr>
          <w:rPr>
            <w:rFonts w:ascii="Cambria Math" w:hAnsi="Cambria Math"/>
            <w:sz w:val="24"/>
            <w:szCs w:val="24"/>
          </w:rPr>
          <m:t xml:space="preserve"> ·</m:t>
        </m:r>
        <m:r>
          <w:rPr>
            <w:rFonts w:ascii="Cambria Math" w:hAnsi="Cambria Math"/>
            <w:sz w:val="24"/>
            <w:szCs w:val="24"/>
          </w:rPr>
          <m:t>100%</m:t>
        </m:r>
      </m:oMath>
      <w:r w:rsidR="004B539B" w:rsidRPr="004B539B">
        <w:rPr>
          <w:rFonts w:ascii="Times New Roman" w:eastAsiaTheme="minorEastAsia" w:hAnsi="Times New Roman" w:cs="Times New Roman"/>
          <w:sz w:val="20"/>
          <w:szCs w:val="20"/>
        </w:rPr>
        <w:t xml:space="preserve">  </w:t>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t>(3)</w:t>
      </w:r>
    </w:p>
    <w:p w14:paraId="060CDF75" w14:textId="7729B16E" w:rsidR="00D4314C" w:rsidRDefault="003F1449" w:rsidP="00323C7F">
      <w:pPr>
        <w:spacing w:after="0" w:line="240" w:lineRule="auto"/>
        <w:ind w:firstLine="284"/>
        <w:jc w:val="both"/>
        <w:rPr>
          <w:rFonts w:ascii="Times New Roman" w:hAnsi="Times New Roman" w:cs="Times New Roman"/>
          <w:sz w:val="20"/>
          <w:szCs w:val="20"/>
        </w:rPr>
      </w:pPr>
      <w:r w:rsidRPr="003F1449">
        <w:rPr>
          <w:rFonts w:ascii="Times New Roman" w:hAnsi="Times New Roman" w:cs="Times New Roman"/>
          <w:sz w:val="20"/>
          <w:szCs w:val="20"/>
        </w:rPr>
        <w:t>For equipment and power networks with highly variable loads and current amplitudes that significantly deviate from the nominal current, evaluation based on the TDD value is specified in international standards.</w:t>
      </w:r>
    </w:p>
    <w:p w14:paraId="4EA4E229" w14:textId="257ED037" w:rsidR="004B539B" w:rsidRDefault="00000000" w:rsidP="004B539B">
      <w:pPr>
        <w:spacing w:after="0" w:line="240" w:lineRule="auto"/>
        <w:ind w:firstLine="284"/>
        <w:jc w:val="right"/>
        <w:rPr>
          <w:rFonts w:ascii="Times New Roman" w:hAnsi="Times New Roman" w:cs="Times New Roman"/>
          <w:sz w:val="20"/>
          <w:szCs w:val="20"/>
        </w:rPr>
      </w:pPr>
      <m:oMath>
        <m:sSub>
          <m:sSubPr>
            <m:ctrlPr>
              <w:rPr>
                <w:rFonts w:ascii="Cambria Math" w:hAnsi="Cambria Math"/>
                <w:bCs/>
                <w:i/>
                <w:sz w:val="24"/>
                <w:szCs w:val="24"/>
              </w:rPr>
            </m:ctrlPr>
          </m:sSubPr>
          <m:e>
            <m:r>
              <w:rPr>
                <w:rFonts w:ascii="Cambria Math" w:hAnsi="Cambria Math"/>
                <w:sz w:val="24"/>
                <w:szCs w:val="24"/>
              </w:rPr>
              <m:t>TDD</m:t>
            </m:r>
          </m:e>
          <m:sub>
            <m:r>
              <w:rPr>
                <w:rFonts w:ascii="Cambria Math" w:hAnsi="Cambria Math"/>
                <w:sz w:val="24"/>
                <w:szCs w:val="24"/>
              </w:rPr>
              <m:t>i</m:t>
            </m:r>
          </m:sub>
        </m:sSub>
        <m:r>
          <w:rPr>
            <w:rFonts w:ascii="Cambria Math" w:hAnsi="Cambria Math"/>
            <w:sz w:val="24"/>
            <w:szCs w:val="24"/>
          </w:rPr>
          <m:t>=</m:t>
        </m:r>
        <m:f>
          <m:fPr>
            <m:ctrlPr>
              <w:rPr>
                <w:rFonts w:ascii="Cambria Math" w:hAnsi="Cambria Math"/>
                <w:bCs/>
                <w:i/>
                <w:sz w:val="24"/>
                <w:szCs w:val="24"/>
              </w:rPr>
            </m:ctrlPr>
          </m:fPr>
          <m:num>
            <m:rad>
              <m:radPr>
                <m:degHide m:val="1"/>
                <m:ctrlPr>
                  <w:rPr>
                    <w:rFonts w:ascii="Cambria Math" w:hAnsi="Cambria Math"/>
                    <w:bCs/>
                    <w:i/>
                    <w:sz w:val="24"/>
                    <w:szCs w:val="24"/>
                  </w:rPr>
                </m:ctrlPr>
              </m:radPr>
              <m:deg/>
              <m:e>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3</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4</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I</m:t>
                    </m:r>
                  </m:e>
                  <m:sub>
                    <m:r>
                      <w:rPr>
                        <w:rFonts w:ascii="Cambria Math" w:hAnsi="Cambria Math"/>
                        <w:sz w:val="24"/>
                        <w:szCs w:val="24"/>
                      </w:rPr>
                      <m:t>5</m:t>
                    </m:r>
                  </m:sub>
                  <m:sup>
                    <m:r>
                      <w:rPr>
                        <w:rFonts w:ascii="Cambria Math" w:hAnsi="Cambria Math"/>
                        <w:sz w:val="24"/>
                        <w:szCs w:val="24"/>
                      </w:rPr>
                      <m:t>2</m:t>
                    </m:r>
                  </m:sup>
                </m:sSubSup>
                <m:r>
                  <w:rPr>
                    <w:rFonts w:ascii="Cambria Math" w:hAnsi="Cambria Math"/>
                    <w:sz w:val="24"/>
                    <w:szCs w:val="24"/>
                  </w:rPr>
                  <m:t>+…</m:t>
                </m:r>
              </m:e>
            </m:rad>
          </m:num>
          <m:den>
            <m:sSub>
              <m:sSubPr>
                <m:ctrlPr>
                  <w:rPr>
                    <w:rFonts w:ascii="Cambria Math" w:hAnsi="Cambria Math"/>
                    <w:bCs/>
                    <w:i/>
                    <w:sz w:val="24"/>
                    <w:szCs w:val="24"/>
                  </w:rPr>
                </m:ctrlPr>
              </m:sSubPr>
              <m:e>
                <m:r>
                  <w:rPr>
                    <w:rFonts w:ascii="Cambria Math" w:hAnsi="Cambria Math"/>
                    <w:sz w:val="24"/>
                    <w:szCs w:val="24"/>
                  </w:rPr>
                  <m:t>I</m:t>
                </m:r>
              </m:e>
              <m:sub>
                <m:r>
                  <w:rPr>
                    <w:rFonts w:ascii="Cambria Math" w:hAnsi="Cambria Math"/>
                    <w:sz w:val="24"/>
                    <w:szCs w:val="24"/>
                  </w:rPr>
                  <m:t>L</m:t>
                </m:r>
              </m:sub>
            </m:sSub>
          </m:den>
        </m:f>
        <m:r>
          <m:rPr>
            <m:sty m:val="p"/>
          </m:rPr>
          <w:rPr>
            <w:rFonts w:ascii="Cambria Math" w:hAnsi="Cambria Math"/>
            <w:sz w:val="24"/>
            <w:szCs w:val="24"/>
          </w:rPr>
          <m:t>·</m:t>
        </m:r>
        <m:r>
          <w:rPr>
            <w:rFonts w:ascii="Cambria Math" w:hAnsi="Cambria Math"/>
            <w:sz w:val="24"/>
            <w:szCs w:val="24"/>
          </w:rPr>
          <m:t>100%</m:t>
        </m:r>
      </m:oMath>
      <w:r w:rsidR="004B539B">
        <w:rPr>
          <w:rFonts w:ascii="Times New Roman" w:eastAsiaTheme="minorEastAsia" w:hAnsi="Times New Roman" w:cs="Times New Roman"/>
          <w:sz w:val="24"/>
          <w:szCs w:val="24"/>
        </w:rPr>
        <w:t xml:space="preserve">  </w:t>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r>
      <w:r w:rsidR="004B539B" w:rsidRPr="004B539B">
        <w:rPr>
          <w:rFonts w:ascii="Times New Roman" w:eastAsiaTheme="minorEastAsia" w:hAnsi="Times New Roman" w:cs="Times New Roman"/>
          <w:sz w:val="20"/>
          <w:szCs w:val="20"/>
        </w:rPr>
        <w:tab/>
        <w:t>(</w:t>
      </w:r>
      <w:r w:rsidR="007A3153">
        <w:rPr>
          <w:rFonts w:ascii="Times New Roman" w:eastAsiaTheme="minorEastAsia" w:hAnsi="Times New Roman" w:cs="Times New Roman"/>
          <w:sz w:val="20"/>
          <w:szCs w:val="20"/>
        </w:rPr>
        <w:t>4</w:t>
      </w:r>
      <w:r w:rsidR="004B539B" w:rsidRPr="004B539B">
        <w:rPr>
          <w:rFonts w:ascii="Times New Roman" w:eastAsiaTheme="minorEastAsia" w:hAnsi="Times New Roman" w:cs="Times New Roman"/>
          <w:sz w:val="20"/>
          <w:szCs w:val="20"/>
        </w:rPr>
        <w:t>)</w:t>
      </w:r>
    </w:p>
    <w:p w14:paraId="0053EB0A" w14:textId="709992E2" w:rsidR="003F1449" w:rsidRPr="003F1449" w:rsidRDefault="003F1449" w:rsidP="00323C7F">
      <w:pPr>
        <w:spacing w:after="0" w:line="240" w:lineRule="auto"/>
        <w:ind w:firstLine="284"/>
        <w:jc w:val="both"/>
        <w:rPr>
          <w:rFonts w:ascii="Times New Roman" w:hAnsi="Times New Roman" w:cs="Times New Roman"/>
          <w:sz w:val="20"/>
          <w:szCs w:val="20"/>
        </w:rPr>
      </w:pPr>
      <w:r w:rsidRPr="003F1449">
        <w:rPr>
          <w:rFonts w:ascii="Times New Roman" w:hAnsi="Times New Roman" w:cs="Times New Roman"/>
          <w:sz w:val="20"/>
          <w:szCs w:val="20"/>
        </w:rPr>
        <w:t>I</w:t>
      </w:r>
      <w:r w:rsidRPr="003F1449">
        <w:rPr>
          <w:rFonts w:ascii="Times New Roman" w:hAnsi="Times New Roman" w:cs="Times New Roman"/>
          <w:sz w:val="20"/>
          <w:szCs w:val="20"/>
          <w:vertAlign w:val="subscript"/>
        </w:rPr>
        <w:t>L</w:t>
      </w:r>
      <w:r w:rsidRPr="003F1449">
        <w:rPr>
          <w:rFonts w:ascii="Times New Roman" w:hAnsi="Times New Roman" w:cs="Times New Roman"/>
          <w:sz w:val="20"/>
          <w:szCs w:val="20"/>
        </w:rPr>
        <w:t xml:space="preserve"> — the maximum current value attained during a known duty cycle. This value is used to evaluate power factors in power networks with respect to short-circuit current.</w:t>
      </w:r>
    </w:p>
    <w:p w14:paraId="0CDA0BA8" w14:textId="18787377" w:rsidR="003F1449" w:rsidRDefault="003F1449" w:rsidP="00323C7F">
      <w:pPr>
        <w:spacing w:after="0" w:line="240" w:lineRule="auto"/>
        <w:ind w:firstLine="284"/>
        <w:jc w:val="both"/>
        <w:rPr>
          <w:rFonts w:ascii="Times New Roman" w:hAnsi="Times New Roman" w:cs="Times New Roman"/>
          <w:sz w:val="20"/>
          <w:szCs w:val="20"/>
        </w:rPr>
      </w:pPr>
      <w:r w:rsidRPr="003F1449">
        <w:rPr>
          <w:rFonts w:ascii="Times New Roman" w:hAnsi="Times New Roman" w:cs="Times New Roman"/>
          <w:sz w:val="20"/>
          <w:szCs w:val="20"/>
        </w:rPr>
        <w:t>The power losses in an electric motor associated with total harmonic distortion consist of two main components.</w:t>
      </w: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3F1449" w14:paraId="62DFD28E" w14:textId="77777777" w:rsidTr="0012366D">
        <w:trPr>
          <w:trHeight w:val="890"/>
        </w:trPr>
        <w:tc>
          <w:tcPr>
            <w:tcW w:w="8330" w:type="dxa"/>
          </w:tcPr>
          <w:p w14:paraId="4308586D" w14:textId="77777777" w:rsidR="003F1449" w:rsidRDefault="003F1449" w:rsidP="00323C7F">
            <w:pPr>
              <w:spacing w:line="276" w:lineRule="auto"/>
              <w:ind w:firstLine="284"/>
              <w:jc w:val="center"/>
              <w:rPr>
                <w:b/>
                <w:i/>
                <w:sz w:val="24"/>
                <w:szCs w:val="24"/>
                <w:lang w:val="en-US"/>
              </w:rPr>
            </w:pPr>
          </w:p>
          <w:p w14:paraId="6E1F26F0" w14:textId="35967BFA" w:rsidR="003F1449" w:rsidRPr="001D43B0" w:rsidRDefault="003F1449" w:rsidP="00323C7F">
            <w:pPr>
              <w:spacing w:line="276" w:lineRule="auto"/>
              <w:ind w:firstLine="284"/>
              <w:jc w:val="center"/>
              <w:rPr>
                <w:bCs/>
                <w:i/>
                <w:sz w:val="24"/>
                <w:szCs w:val="24"/>
                <w:vertAlign w:val="subscript"/>
                <w:lang w:val="en-US"/>
              </w:rPr>
            </w:pPr>
            <w:r w:rsidRPr="001D43B0">
              <w:rPr>
                <w:bCs/>
                <w:i/>
                <w:sz w:val="24"/>
                <w:szCs w:val="24"/>
                <w:lang w:val="en-US"/>
              </w:rPr>
              <w:t xml:space="preserve">ƩP= </w:t>
            </w:r>
            <w:proofErr w:type="spellStart"/>
            <w:r w:rsidRPr="001D43B0">
              <w:rPr>
                <w:bCs/>
                <w:i/>
                <w:sz w:val="24"/>
                <w:szCs w:val="24"/>
                <w:lang w:val="en-US"/>
              </w:rPr>
              <w:t>P</w:t>
            </w:r>
            <w:r w:rsidRPr="001D43B0">
              <w:rPr>
                <w:bCs/>
                <w:i/>
                <w:sz w:val="24"/>
                <w:szCs w:val="24"/>
                <w:vertAlign w:val="subscript"/>
                <w:lang w:val="en-US"/>
              </w:rPr>
              <w:t>cop.h</w:t>
            </w:r>
            <w:r w:rsidRPr="001D43B0">
              <w:rPr>
                <w:bCs/>
                <w:i/>
                <w:sz w:val="24"/>
                <w:szCs w:val="24"/>
                <w:lang w:val="en-US"/>
              </w:rPr>
              <w:t>+P</w:t>
            </w:r>
            <w:r w:rsidRPr="001D43B0">
              <w:rPr>
                <w:bCs/>
                <w:i/>
                <w:sz w:val="24"/>
                <w:szCs w:val="24"/>
                <w:vertAlign w:val="subscript"/>
                <w:lang w:val="en-US"/>
              </w:rPr>
              <w:t>core.h</w:t>
            </w:r>
            <w:proofErr w:type="spellEnd"/>
            <w:r w:rsidRPr="001D43B0">
              <w:rPr>
                <w:bCs/>
                <w:i/>
                <w:sz w:val="24"/>
                <w:szCs w:val="24"/>
                <w:vertAlign w:val="subscript"/>
                <w:lang w:val="en-US"/>
              </w:rPr>
              <w:t>.</w:t>
            </w:r>
          </w:p>
          <w:p w14:paraId="6FDCDB55" w14:textId="70BBC270" w:rsidR="003F1449" w:rsidRPr="003F1449" w:rsidRDefault="003F1449" w:rsidP="00323C7F">
            <w:pPr>
              <w:spacing w:line="276" w:lineRule="auto"/>
              <w:ind w:firstLine="284"/>
              <w:rPr>
                <w:rFonts w:eastAsiaTheme="minorEastAsia"/>
                <w:szCs w:val="24"/>
                <w:lang w:val="en-US"/>
              </w:rPr>
            </w:pPr>
          </w:p>
        </w:tc>
        <w:tc>
          <w:tcPr>
            <w:tcW w:w="1134" w:type="dxa"/>
          </w:tcPr>
          <w:p w14:paraId="06D73CE0" w14:textId="77777777" w:rsidR="003F1449" w:rsidRDefault="003F1449" w:rsidP="00323C7F">
            <w:pPr>
              <w:ind w:firstLine="284"/>
              <w:jc w:val="center"/>
              <w:rPr>
                <w:lang w:val="en-US"/>
              </w:rPr>
            </w:pPr>
          </w:p>
          <w:p w14:paraId="0A470D8F" w14:textId="04C819B5" w:rsidR="003F1449" w:rsidRPr="003B56BD" w:rsidRDefault="003F1449" w:rsidP="007A3153">
            <w:pPr>
              <w:ind w:firstLine="284"/>
              <w:jc w:val="right"/>
              <w:rPr>
                <w:lang w:val="en-US"/>
              </w:rPr>
            </w:pPr>
            <w:r>
              <w:rPr>
                <w:lang w:val="en-US"/>
              </w:rPr>
              <w:t>(5)</w:t>
            </w:r>
          </w:p>
        </w:tc>
      </w:tr>
    </w:tbl>
    <w:p w14:paraId="686F9991" w14:textId="1E392726" w:rsidR="003F1449" w:rsidRDefault="003F1449" w:rsidP="00323C7F">
      <w:pPr>
        <w:spacing w:after="0" w:line="240" w:lineRule="auto"/>
        <w:ind w:firstLine="284"/>
        <w:jc w:val="both"/>
        <w:rPr>
          <w:rFonts w:ascii="Times New Roman" w:hAnsi="Times New Roman" w:cs="Times New Roman"/>
          <w:sz w:val="20"/>
          <w:szCs w:val="20"/>
        </w:rPr>
      </w:pPr>
      <w:proofErr w:type="spellStart"/>
      <w:r>
        <w:rPr>
          <w:rFonts w:ascii="Times New Roman" w:hAnsi="Times New Roman" w:cs="Times New Roman"/>
          <w:sz w:val="20"/>
          <w:szCs w:val="20"/>
        </w:rPr>
        <w:t>P</w:t>
      </w:r>
      <w:r w:rsidRPr="003F1449">
        <w:rPr>
          <w:rFonts w:ascii="Times New Roman" w:hAnsi="Times New Roman" w:cs="Times New Roman"/>
          <w:sz w:val="20"/>
          <w:szCs w:val="20"/>
          <w:vertAlign w:val="subscript"/>
        </w:rPr>
        <w:t>cop.h</w:t>
      </w:r>
      <w:proofErr w:type="spellEnd"/>
      <w:r w:rsidRPr="003F1449">
        <w:rPr>
          <w:rFonts w:ascii="Times New Roman" w:hAnsi="Times New Roman" w:cs="Times New Roman"/>
          <w:sz w:val="20"/>
          <w:szCs w:val="20"/>
        </w:rPr>
        <w:t xml:space="preserve"> — losses occurring in the copper windings due to harmonic currents. These power losses are primarily evaluated as heat losses. Since each harmonic order produces a separate current component, it is appropriate to calculate the copper winding losses for each harmonic order individually and then determine their total value.</w:t>
      </w:r>
    </w:p>
    <w:p w14:paraId="3BE0FC3E" w14:textId="77777777" w:rsidR="003F1449" w:rsidRDefault="003F1449" w:rsidP="00323C7F">
      <w:pPr>
        <w:spacing w:after="0" w:line="240" w:lineRule="auto"/>
        <w:ind w:firstLine="284"/>
        <w:jc w:val="both"/>
        <w:rPr>
          <w:rFonts w:ascii="Times New Roman" w:hAnsi="Times New Roman" w:cs="Times New Roman"/>
          <w:sz w:val="20"/>
          <w:szCs w:val="20"/>
        </w:rPr>
      </w:pPr>
    </w:p>
    <w:tbl>
      <w:tblPr>
        <w:tblStyle w:val="a3"/>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gridCol w:w="1143"/>
      </w:tblGrid>
      <w:tr w:rsidR="003F1449" w14:paraId="5632077E" w14:textId="77777777" w:rsidTr="00F006D9">
        <w:trPr>
          <w:trHeight w:val="517"/>
        </w:trPr>
        <w:tc>
          <w:tcPr>
            <w:tcW w:w="8397" w:type="dxa"/>
          </w:tcPr>
          <w:p w14:paraId="6C40BEAB" w14:textId="6F942005" w:rsidR="003F1449" w:rsidRPr="001D43B0" w:rsidRDefault="003F1449" w:rsidP="00323C7F">
            <w:pPr>
              <w:spacing w:line="276" w:lineRule="auto"/>
              <w:ind w:firstLine="284"/>
              <w:jc w:val="center"/>
              <w:rPr>
                <w:bCs/>
                <w:i/>
                <w:sz w:val="24"/>
                <w:szCs w:val="24"/>
                <w:lang w:val="en-US"/>
              </w:rPr>
            </w:pPr>
            <w:proofErr w:type="spellStart"/>
            <w:r w:rsidRPr="001D43B0">
              <w:rPr>
                <w:bCs/>
                <w:i/>
                <w:sz w:val="24"/>
                <w:szCs w:val="24"/>
                <w:lang w:val="en-US"/>
              </w:rPr>
              <w:t>P</w:t>
            </w:r>
            <w:r w:rsidRPr="001D43B0">
              <w:rPr>
                <w:bCs/>
                <w:i/>
                <w:sz w:val="24"/>
                <w:szCs w:val="24"/>
                <w:vertAlign w:val="subscript"/>
                <w:lang w:val="en-US"/>
              </w:rPr>
              <w:t>cop.h</w:t>
            </w:r>
            <w:proofErr w:type="spellEnd"/>
            <w:r w:rsidRPr="001D43B0">
              <w:rPr>
                <w:bCs/>
                <w:i/>
                <w:sz w:val="24"/>
                <w:szCs w:val="24"/>
                <w:vertAlign w:val="subscript"/>
                <w:lang w:val="en-US"/>
              </w:rPr>
              <w:t>.</w:t>
            </w:r>
            <w:r w:rsidRPr="001D43B0">
              <w:rPr>
                <w:bCs/>
                <w:sz w:val="24"/>
                <w:szCs w:val="24"/>
                <w:lang w:val="en-US"/>
              </w:rPr>
              <w:t>= ∑</w:t>
            </w:r>
            <w:r w:rsidRPr="001D43B0">
              <w:rPr>
                <w:bCs/>
                <w:i/>
                <w:sz w:val="24"/>
                <w:szCs w:val="24"/>
                <w:lang w:val="en-US"/>
              </w:rPr>
              <w:t>I</w:t>
            </w:r>
            <w:r w:rsidRPr="001D43B0">
              <w:rPr>
                <w:bCs/>
                <w:i/>
                <w:sz w:val="24"/>
                <w:szCs w:val="24"/>
                <w:vertAlign w:val="subscript"/>
                <w:lang w:val="en-US"/>
              </w:rPr>
              <w:t>h</w:t>
            </w:r>
            <w:r w:rsidRPr="001D43B0">
              <w:rPr>
                <w:bCs/>
                <w:i/>
                <w:sz w:val="24"/>
                <w:szCs w:val="24"/>
                <w:vertAlign w:val="superscript"/>
                <w:lang w:val="en-US"/>
              </w:rPr>
              <w:t>2</w:t>
            </w:r>
            <w:r w:rsidRPr="001D43B0">
              <w:rPr>
                <w:bCs/>
                <w:i/>
                <w:sz w:val="24"/>
                <w:szCs w:val="24"/>
                <w:lang w:val="en-US"/>
              </w:rPr>
              <w:t>·R</w:t>
            </w:r>
          </w:p>
        </w:tc>
        <w:tc>
          <w:tcPr>
            <w:tcW w:w="1143" w:type="dxa"/>
          </w:tcPr>
          <w:p w14:paraId="3DA3F670" w14:textId="4C2F62F7" w:rsidR="003F1449" w:rsidRPr="003B56BD" w:rsidRDefault="003F1449" w:rsidP="007A3153">
            <w:pPr>
              <w:ind w:firstLine="284"/>
              <w:jc w:val="right"/>
              <w:rPr>
                <w:lang w:val="en-US"/>
              </w:rPr>
            </w:pPr>
            <w:r>
              <w:rPr>
                <w:lang w:val="en-US"/>
              </w:rPr>
              <w:t>(6)</w:t>
            </w:r>
          </w:p>
        </w:tc>
      </w:tr>
    </w:tbl>
    <w:p w14:paraId="5FF260F0" w14:textId="1996344A" w:rsidR="003F1449" w:rsidRDefault="00F006D9" w:rsidP="00323C7F">
      <w:pPr>
        <w:spacing w:after="0" w:line="240" w:lineRule="auto"/>
        <w:ind w:firstLine="284"/>
        <w:jc w:val="both"/>
        <w:rPr>
          <w:rFonts w:ascii="Times New Roman" w:hAnsi="Times New Roman" w:cs="Times New Roman"/>
          <w:sz w:val="20"/>
          <w:szCs w:val="20"/>
        </w:rPr>
      </w:pPr>
      <w:proofErr w:type="spellStart"/>
      <w:proofErr w:type="gramStart"/>
      <w:r w:rsidRPr="00F006D9">
        <w:rPr>
          <w:rFonts w:ascii="Times New Roman" w:hAnsi="Times New Roman" w:cs="Times New Roman"/>
          <w:sz w:val="20"/>
          <w:szCs w:val="20"/>
        </w:rPr>
        <w:t>P</w:t>
      </w:r>
      <w:r w:rsidR="003F1449" w:rsidRPr="003F1449">
        <w:rPr>
          <w:rFonts w:ascii="Times New Roman" w:hAnsi="Times New Roman" w:cs="Times New Roman"/>
          <w:sz w:val="20"/>
          <w:szCs w:val="20"/>
          <w:vertAlign w:val="subscript"/>
        </w:rPr>
        <w:t>core,h</w:t>
      </w:r>
      <w:proofErr w:type="spellEnd"/>
      <w:proofErr w:type="gramEnd"/>
      <w:r w:rsidR="003F1449" w:rsidRPr="003F1449">
        <w:rPr>
          <w:rFonts w:ascii="Times New Roman" w:hAnsi="Times New Roman" w:cs="Times New Roman"/>
          <w:sz w:val="20"/>
          <w:szCs w:val="20"/>
        </w:rPr>
        <w:t xml:space="preserve"> — losses occurring in the magnetic core due to higher-order harmonics, which have a somewhat complex nature. Magnetic core losses are explained not only by heating of the core but also by the degree of magnetic flux dispersion within it.</w:t>
      </w:r>
    </w:p>
    <w:p w14:paraId="2EB4FC9A" w14:textId="4FB7DF1F" w:rsidR="004B539B" w:rsidRPr="007A3153" w:rsidRDefault="004B539B" w:rsidP="004B539B">
      <w:pPr>
        <w:spacing w:after="0" w:line="240" w:lineRule="auto"/>
        <w:ind w:firstLine="284"/>
        <w:jc w:val="right"/>
        <w:rPr>
          <w:rFonts w:ascii="Times New Roman" w:hAnsi="Times New Roman" w:cs="Times New Roman"/>
          <w:sz w:val="20"/>
          <w:szCs w:val="20"/>
        </w:rPr>
      </w:pPr>
      <w:proofErr w:type="spellStart"/>
      <w:r w:rsidRPr="007A3153">
        <w:rPr>
          <w:rFonts w:ascii="Times New Roman" w:hAnsi="Times New Roman" w:cs="Times New Roman"/>
          <w:bCs/>
          <w:i/>
          <w:sz w:val="20"/>
          <w:szCs w:val="20"/>
        </w:rPr>
        <w:t>P</w:t>
      </w:r>
      <w:r w:rsidRPr="007A3153">
        <w:rPr>
          <w:rFonts w:ascii="Times New Roman" w:hAnsi="Times New Roman" w:cs="Times New Roman"/>
          <w:bCs/>
          <w:i/>
          <w:sz w:val="20"/>
          <w:szCs w:val="20"/>
          <w:vertAlign w:val="subscript"/>
        </w:rPr>
        <w:t>core.h</w:t>
      </w:r>
      <w:proofErr w:type="spellEnd"/>
      <w:proofErr w:type="gramStart"/>
      <w:r w:rsidRPr="007A3153">
        <w:rPr>
          <w:rFonts w:ascii="Times New Roman" w:hAnsi="Times New Roman" w:cs="Times New Roman"/>
          <w:bCs/>
          <w:i/>
          <w:sz w:val="20"/>
          <w:szCs w:val="20"/>
        </w:rPr>
        <w:t>=</w:t>
      </w:r>
      <w:r w:rsidRPr="007A3153">
        <w:rPr>
          <w:rFonts w:ascii="Times New Roman" w:hAnsi="Times New Roman" w:cs="Times New Roman"/>
          <w:bCs/>
          <w:sz w:val="20"/>
          <w:szCs w:val="20"/>
        </w:rPr>
        <w:t xml:space="preserve">  C</w:t>
      </w:r>
      <w:proofErr w:type="gramEnd"/>
      <w:r w:rsidRPr="007A3153">
        <w:rPr>
          <w:rFonts w:ascii="Times New Roman" w:hAnsi="Times New Roman" w:cs="Times New Roman"/>
          <w:bCs/>
          <w:sz w:val="20"/>
          <w:szCs w:val="20"/>
        </w:rPr>
        <w:t xml:space="preserve"> * (hf</w:t>
      </w:r>
      <w:proofErr w:type="gramStart"/>
      <w:r w:rsidRPr="007A3153">
        <w:rPr>
          <w:rFonts w:ascii="Times New Roman" w:hAnsi="Times New Roman" w:cs="Times New Roman"/>
          <w:bCs/>
          <w:sz w:val="20"/>
          <w:szCs w:val="20"/>
          <w:vertAlign w:val="subscript"/>
        </w:rPr>
        <w:t>1</w:t>
      </w:r>
      <w:r w:rsidRPr="007A3153">
        <w:rPr>
          <w:rFonts w:ascii="Times New Roman" w:hAnsi="Times New Roman" w:cs="Times New Roman"/>
          <w:bCs/>
          <w:sz w:val="20"/>
          <w:szCs w:val="20"/>
        </w:rPr>
        <w:t>)</w:t>
      </w:r>
      <w:r w:rsidRPr="007A3153">
        <w:rPr>
          <w:rFonts w:ascii="Times New Roman" w:hAnsi="Times New Roman" w:cs="Times New Roman"/>
          <w:bCs/>
          <w:sz w:val="20"/>
          <w:szCs w:val="20"/>
          <w:vertAlign w:val="superscript"/>
        </w:rPr>
        <w:t>α</w:t>
      </w:r>
      <w:proofErr w:type="gramEnd"/>
      <w:r w:rsidRPr="007A3153">
        <w:rPr>
          <w:rFonts w:ascii="Times New Roman" w:hAnsi="Times New Roman" w:cs="Times New Roman"/>
          <w:bCs/>
          <w:sz w:val="20"/>
          <w:szCs w:val="20"/>
          <w:vertAlign w:val="superscript"/>
        </w:rPr>
        <w:t xml:space="preserve"> </w:t>
      </w:r>
      <w:r w:rsidRPr="007A3153">
        <w:rPr>
          <w:rFonts w:ascii="Times New Roman" w:hAnsi="Times New Roman" w:cs="Times New Roman"/>
          <w:bCs/>
          <w:sz w:val="20"/>
          <w:szCs w:val="20"/>
        </w:rPr>
        <w:tab/>
      </w:r>
      <w:r w:rsidRPr="007A3153">
        <w:rPr>
          <w:rFonts w:ascii="Times New Roman" w:hAnsi="Times New Roman" w:cs="Times New Roman"/>
          <w:bCs/>
          <w:sz w:val="20"/>
          <w:szCs w:val="20"/>
        </w:rPr>
        <w:tab/>
      </w:r>
      <w:r w:rsidRPr="007A3153">
        <w:rPr>
          <w:rFonts w:ascii="Times New Roman" w:hAnsi="Times New Roman" w:cs="Times New Roman"/>
          <w:bCs/>
          <w:sz w:val="20"/>
          <w:szCs w:val="20"/>
        </w:rPr>
        <w:tab/>
      </w:r>
      <w:r w:rsidRPr="007A3153">
        <w:rPr>
          <w:rFonts w:ascii="Times New Roman" w:hAnsi="Times New Roman" w:cs="Times New Roman"/>
          <w:bCs/>
          <w:sz w:val="20"/>
          <w:szCs w:val="20"/>
        </w:rPr>
        <w:tab/>
      </w:r>
      <w:r w:rsidRPr="007A3153">
        <w:rPr>
          <w:rFonts w:ascii="Times New Roman" w:hAnsi="Times New Roman" w:cs="Times New Roman"/>
          <w:bCs/>
          <w:sz w:val="20"/>
          <w:szCs w:val="20"/>
        </w:rPr>
        <w:tab/>
      </w:r>
      <w:r w:rsidRPr="007A3153">
        <w:rPr>
          <w:rFonts w:ascii="Times New Roman" w:hAnsi="Times New Roman" w:cs="Times New Roman"/>
          <w:bCs/>
          <w:sz w:val="20"/>
          <w:szCs w:val="20"/>
        </w:rPr>
        <w:tab/>
        <w:t>(</w:t>
      </w:r>
      <w:r w:rsidR="007A3153">
        <w:rPr>
          <w:rFonts w:ascii="Times New Roman" w:hAnsi="Times New Roman" w:cs="Times New Roman"/>
          <w:bCs/>
          <w:sz w:val="20"/>
          <w:szCs w:val="20"/>
        </w:rPr>
        <w:t>7</w:t>
      </w:r>
      <w:r w:rsidRPr="007A3153">
        <w:rPr>
          <w:rFonts w:ascii="Times New Roman" w:hAnsi="Times New Roman" w:cs="Times New Roman"/>
          <w:bCs/>
          <w:sz w:val="20"/>
          <w:szCs w:val="20"/>
        </w:rPr>
        <w:t>)</w:t>
      </w:r>
    </w:p>
    <w:p w14:paraId="7424DCFD" w14:textId="2E347D3B" w:rsidR="003F1449" w:rsidRDefault="00F006D9" w:rsidP="00323C7F">
      <w:pPr>
        <w:spacing w:after="0" w:line="240" w:lineRule="auto"/>
        <w:ind w:firstLine="284"/>
        <w:jc w:val="both"/>
        <w:rPr>
          <w:rFonts w:ascii="Times New Roman" w:hAnsi="Times New Roman" w:cs="Times New Roman"/>
          <w:sz w:val="20"/>
          <w:szCs w:val="20"/>
        </w:rPr>
      </w:pPr>
      <w:r w:rsidRPr="00F006D9">
        <w:rPr>
          <w:rFonts w:ascii="Times New Roman" w:hAnsi="Times New Roman" w:cs="Times New Roman"/>
          <w:sz w:val="20"/>
          <w:szCs w:val="20"/>
        </w:rPr>
        <w:t>Where:</w:t>
      </w:r>
      <w:r>
        <w:rPr>
          <w:rFonts w:ascii="Times New Roman" w:hAnsi="Times New Roman" w:cs="Times New Roman"/>
          <w:sz w:val="20"/>
          <w:szCs w:val="20"/>
        </w:rPr>
        <w:t xml:space="preserve">  α — 1.5–2, </w:t>
      </w:r>
      <w:r w:rsidRPr="00F006D9">
        <w:rPr>
          <w:rFonts w:ascii="Times New Roman" w:hAnsi="Times New Roman" w:cs="Times New Roman"/>
          <w:sz w:val="20"/>
          <w:szCs w:val="20"/>
        </w:rPr>
        <w:t>C — coefficient dependent on the material type.</w:t>
      </w:r>
    </w:p>
    <w:p w14:paraId="4829BCEB" w14:textId="49E56757" w:rsidR="005A62E2" w:rsidRDefault="005A62E2" w:rsidP="00323C7F">
      <w:pPr>
        <w:spacing w:before="240" w:after="240" w:line="240" w:lineRule="auto"/>
        <w:ind w:firstLine="284"/>
        <w:jc w:val="center"/>
        <w:rPr>
          <w:rFonts w:ascii="Times New Roman" w:hAnsi="Times New Roman" w:cs="Times New Roman"/>
          <w:b/>
          <w:sz w:val="24"/>
          <w:szCs w:val="24"/>
        </w:rPr>
      </w:pPr>
      <w:r w:rsidRPr="00C1144E">
        <w:rPr>
          <w:rFonts w:ascii="Times New Roman" w:hAnsi="Times New Roman" w:cs="Times New Roman"/>
          <w:b/>
          <w:sz w:val="24"/>
          <w:szCs w:val="24"/>
        </w:rPr>
        <w:t>EXPERIMENTAL RESEARCH</w:t>
      </w:r>
    </w:p>
    <w:p w14:paraId="54D488CE" w14:textId="6757BF40" w:rsidR="00490AEB" w:rsidRDefault="00F006D9" w:rsidP="00323C7F">
      <w:pPr>
        <w:spacing w:after="0" w:line="240" w:lineRule="auto"/>
        <w:ind w:firstLine="284"/>
        <w:jc w:val="both"/>
        <w:rPr>
          <w:rFonts w:ascii="Times New Roman" w:hAnsi="Times New Roman" w:cs="Times New Roman"/>
          <w:sz w:val="20"/>
          <w:szCs w:val="20"/>
        </w:rPr>
      </w:pPr>
      <w:r w:rsidRPr="00F006D9">
        <w:rPr>
          <w:rFonts w:ascii="Times New Roman" w:hAnsi="Times New Roman" w:cs="Times New Roman"/>
          <w:sz w:val="20"/>
          <w:szCs w:val="20"/>
        </w:rPr>
        <w:t>Thus, harmonics affect excavator efficiency not only through energy losses but also act as a comprehensive source of risk that directly impacts operational reliability, mechanical service life, safety, and the stability of automatic control systems [</w:t>
      </w:r>
      <w:r w:rsidR="003844B9">
        <w:rPr>
          <w:rFonts w:ascii="Times New Roman" w:hAnsi="Times New Roman" w:cs="Times New Roman"/>
          <w:sz w:val="20"/>
          <w:szCs w:val="20"/>
        </w:rPr>
        <w:t>27-30</w:t>
      </w:r>
      <w:r w:rsidRPr="00F006D9">
        <w:rPr>
          <w:rFonts w:ascii="Times New Roman" w:hAnsi="Times New Roman" w:cs="Times New Roman"/>
          <w:sz w:val="20"/>
          <w:szCs w:val="20"/>
        </w:rPr>
        <w:t>]. Consequently, real-time analysis of the harmonic spectrum and the development of proactive protection mechanisms are considered key priorities in modern intelligent monitoring systems.</w:t>
      </w:r>
      <w:r w:rsidR="00FD4842">
        <w:rPr>
          <w:rFonts w:ascii="Times New Roman" w:hAnsi="Times New Roman" w:cs="Times New Roman"/>
          <w:sz w:val="20"/>
          <w:szCs w:val="20"/>
        </w:rPr>
        <w:t xml:space="preserve"> </w:t>
      </w:r>
      <w:r w:rsidRPr="00F006D9">
        <w:rPr>
          <w:rFonts w:ascii="Times New Roman" w:hAnsi="Times New Roman" w:cs="Times New Roman"/>
          <w:sz w:val="20"/>
          <w:szCs w:val="20"/>
        </w:rPr>
        <w:t>To evaluate the above-mentioned impact levels and to calculate power losses caused by higher-order harmonics, dedicated software was developed. This software calculates the proportion of harmonics relative to nominal values and the associated power losses, taking into account the bucket capacity of mining excavators and the characteristics of their electric drive control systems</w:t>
      </w:r>
      <w:r w:rsidR="006E08B1">
        <w:rPr>
          <w:rFonts w:ascii="Times New Roman" w:hAnsi="Times New Roman" w:cs="Times New Roman"/>
          <w:sz w:val="20"/>
          <w:szCs w:val="20"/>
        </w:rPr>
        <w:t xml:space="preserve"> </w:t>
      </w:r>
      <w:r w:rsidR="006E08B1">
        <w:rPr>
          <w:rFonts w:ascii="Times New Roman" w:hAnsi="Times New Roman" w:cs="Times New Roman"/>
          <w:sz w:val="20"/>
          <w:szCs w:val="20"/>
          <w:lang w:val="uz-Cyrl-UZ"/>
        </w:rPr>
        <w:t>(</w:t>
      </w:r>
      <w:r w:rsidR="006E08B1" w:rsidRPr="006E08B1">
        <w:rPr>
          <w:rFonts w:ascii="Times New Roman" w:hAnsi="Times New Roman" w:cs="Times New Roman"/>
          <w:sz w:val="20"/>
          <w:szCs w:val="20"/>
          <w:lang w:val="uz-Cyrl-UZ"/>
        </w:rPr>
        <w:t xml:space="preserve">figure </w:t>
      </w:r>
      <w:r w:rsidR="006E08B1" w:rsidRPr="006E08B1">
        <w:rPr>
          <w:rFonts w:ascii="Times New Roman" w:hAnsi="Times New Roman" w:cs="Times New Roman"/>
          <w:sz w:val="20"/>
          <w:szCs w:val="20"/>
          <w:lang w:val="uz-Cyrl-UZ"/>
        </w:rPr>
        <w:t>1</w:t>
      </w:r>
      <w:r w:rsidR="006E08B1">
        <w:rPr>
          <w:rFonts w:ascii="Times New Roman" w:hAnsi="Times New Roman" w:cs="Times New Roman"/>
          <w:sz w:val="20"/>
          <w:szCs w:val="20"/>
          <w:lang w:val="uz-Cyrl-UZ"/>
        </w:rPr>
        <w:t>)</w:t>
      </w:r>
      <w:r w:rsidRPr="00F006D9">
        <w:rPr>
          <w:rFonts w:ascii="Times New Roman" w:hAnsi="Times New Roman" w:cs="Times New Roman"/>
          <w:sz w:val="20"/>
          <w:szCs w:val="20"/>
        </w:rPr>
        <w:t>. In addition, by entering the operating time of the equipment, the software determines total power and energy losses and generates histograms illustrating harmonic contributions.</w:t>
      </w:r>
      <w:r w:rsidR="00FD4842">
        <w:rPr>
          <w:rFonts w:ascii="Times New Roman" w:hAnsi="Times New Roman" w:cs="Times New Roman"/>
          <w:sz w:val="20"/>
          <w:szCs w:val="20"/>
        </w:rPr>
        <w:t xml:space="preserve"> </w:t>
      </w:r>
      <w:r w:rsidRPr="00F006D9">
        <w:rPr>
          <w:rFonts w:ascii="Times New Roman" w:hAnsi="Times New Roman" w:cs="Times New Roman"/>
          <w:sz w:val="20"/>
          <w:szCs w:val="20"/>
        </w:rPr>
        <w:t>Based on the results of experimental measurements conducted on excavator electric drives, it can be concluded that harmonic generation depends not only on the control strategy but also directly on the operating mode of the excavator. Therefore, excavator operating conditions must be explicitly considered in all calculations</w:t>
      </w:r>
      <w:r>
        <w:rPr>
          <w:rFonts w:ascii="Times New Roman" w:hAnsi="Times New Roman" w:cs="Times New Roman"/>
          <w:sz w:val="20"/>
          <w:szCs w:val="20"/>
        </w:rPr>
        <w:t>.</w:t>
      </w:r>
    </w:p>
    <w:p w14:paraId="7D80A361" w14:textId="5F4C8598" w:rsidR="00F006D9" w:rsidRDefault="00F006D9" w:rsidP="00323C7F">
      <w:pPr>
        <w:spacing w:after="0" w:line="240" w:lineRule="auto"/>
        <w:ind w:firstLine="284"/>
        <w:jc w:val="center"/>
        <w:rPr>
          <w:rFonts w:ascii="Times New Roman" w:hAnsi="Times New Roman" w:cs="Times New Roman"/>
          <w:sz w:val="20"/>
          <w:szCs w:val="20"/>
        </w:rPr>
      </w:pPr>
      <w:r w:rsidRPr="00EE614A">
        <w:rPr>
          <w:rFonts w:ascii="Times New Roman" w:hAnsi="Times New Roman" w:cs="Times New Roman"/>
          <w:noProof/>
          <w:sz w:val="24"/>
          <w:szCs w:val="24"/>
          <w:lang w:eastAsia="ru-RU"/>
        </w:rPr>
        <w:lastRenderedPageBreak/>
        <w:drawing>
          <wp:inline distT="0" distB="0" distL="0" distR="0" wp14:anchorId="15AE0E02" wp14:editId="40C3DAFC">
            <wp:extent cx="5324475" cy="132801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343086" cy="1332658"/>
                    </a:xfrm>
                    <a:prstGeom prst="rect">
                      <a:avLst/>
                    </a:prstGeom>
                  </pic:spPr>
                </pic:pic>
              </a:graphicData>
            </a:graphic>
          </wp:inline>
        </w:drawing>
      </w:r>
    </w:p>
    <w:p w14:paraId="57E5F6DE" w14:textId="5F6EA04C" w:rsidR="00F006D9" w:rsidRDefault="00F006D9" w:rsidP="00323C7F">
      <w:pPr>
        <w:spacing w:after="0" w:line="240" w:lineRule="auto"/>
        <w:ind w:firstLine="284"/>
        <w:jc w:val="center"/>
        <w:rPr>
          <w:rFonts w:ascii="Times New Roman" w:hAnsi="Times New Roman" w:cs="Times New Roman"/>
          <w:sz w:val="18"/>
          <w:szCs w:val="18"/>
        </w:rPr>
      </w:pPr>
      <w:r w:rsidRPr="009D76B4">
        <w:rPr>
          <w:rFonts w:ascii="Times New Roman" w:hAnsi="Times New Roman" w:cs="Times New Roman"/>
          <w:b/>
          <w:sz w:val="18"/>
          <w:szCs w:val="18"/>
        </w:rPr>
        <w:t>FIGURE 1</w:t>
      </w:r>
      <w:r w:rsidRPr="009D76B4">
        <w:rPr>
          <w:rFonts w:ascii="Times New Roman" w:hAnsi="Times New Roman" w:cs="Times New Roman"/>
          <w:sz w:val="18"/>
          <w:szCs w:val="18"/>
        </w:rPr>
        <w:t>. Software interface for harmonic analysis and power loss determination in the electrical power supply system of mining excavators</w:t>
      </w:r>
    </w:p>
    <w:p w14:paraId="7ABBC81E" w14:textId="77777777" w:rsidR="006E08B1" w:rsidRDefault="006E08B1" w:rsidP="00323C7F">
      <w:pPr>
        <w:spacing w:after="0" w:line="240" w:lineRule="auto"/>
        <w:ind w:firstLine="284"/>
        <w:jc w:val="center"/>
        <w:rPr>
          <w:rFonts w:ascii="Times New Roman" w:hAnsi="Times New Roman" w:cs="Times New Roman"/>
          <w:sz w:val="18"/>
          <w:szCs w:val="18"/>
        </w:rPr>
      </w:pPr>
    </w:p>
    <w:p w14:paraId="532DF95A" w14:textId="069BFC24" w:rsidR="00F006D9" w:rsidRPr="00935A44" w:rsidRDefault="006E08B1" w:rsidP="006E08B1">
      <w:pPr>
        <w:spacing w:after="0" w:line="240" w:lineRule="auto"/>
        <w:ind w:firstLine="284"/>
        <w:jc w:val="both"/>
        <w:rPr>
          <w:rFonts w:ascii="Times New Roman" w:hAnsi="Times New Roman" w:cs="Times New Roman"/>
          <w:sz w:val="18"/>
          <w:szCs w:val="18"/>
          <w:highlight w:val="yellow"/>
          <w:lang w:val="uz-Cyrl-UZ"/>
        </w:rPr>
      </w:pPr>
      <w:r w:rsidRPr="00935A44">
        <w:rPr>
          <w:rFonts w:ascii="Times New Roman" w:hAnsi="Times New Roman" w:cs="Times New Roman"/>
          <w:sz w:val="20"/>
          <w:szCs w:val="20"/>
          <w:highlight w:val="yellow"/>
        </w:rPr>
        <w:t>Figure 2a illustrates the heavy or dynamic operating mode of the excavator electric drive, in which the total harmonic distortion reaches THD ≈ 107%. This indicates a very high contribution of higher-order harmonics. Under such conditions, the effective value of the current increases, leading to additional active power losses, excessive heating of electrical machines, transformers, and cables, as well as accelerated insulation degradation. Figure 2b shows the excavator operating in a relatively stable or light mode, where the total harmonic distortion is approximately THD ≈ 26.9%. This value is significantly lower compared to the dynamic operating mode and indicates the dominance of the fundamental harmonic.</w:t>
      </w:r>
    </w:p>
    <w:p w14:paraId="326AF460" w14:textId="58EFE7C9" w:rsidR="007A3153" w:rsidRPr="00935A44" w:rsidRDefault="007A3153" w:rsidP="007A3153">
      <w:pPr>
        <w:spacing w:after="0" w:line="240" w:lineRule="auto"/>
        <w:ind w:firstLine="284"/>
        <w:jc w:val="center"/>
        <w:rPr>
          <w:rFonts w:ascii="Times New Roman" w:hAnsi="Times New Roman" w:cs="Times New Roman"/>
          <w:sz w:val="24"/>
          <w:szCs w:val="24"/>
          <w:highlight w:val="yellow"/>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08B1" w:rsidRPr="00935A44" w14:paraId="5F44151A" w14:textId="77777777" w:rsidTr="00935A44">
        <w:tc>
          <w:tcPr>
            <w:tcW w:w="4675" w:type="dxa"/>
          </w:tcPr>
          <w:p w14:paraId="2A13429E" w14:textId="72230F34" w:rsidR="006E08B1" w:rsidRPr="00935A44" w:rsidRDefault="006E08B1" w:rsidP="00F2435E">
            <w:pPr>
              <w:overflowPunct w:val="0"/>
              <w:autoSpaceDE w:val="0"/>
              <w:autoSpaceDN w:val="0"/>
              <w:adjustRightInd w:val="0"/>
              <w:jc w:val="center"/>
              <w:textAlignment w:val="baseline"/>
              <w:rPr>
                <w:b/>
                <w:bCs/>
                <w:sz w:val="18"/>
                <w:szCs w:val="18"/>
                <w:highlight w:val="yellow"/>
                <w:lang w:val="uz-Cyrl-UZ"/>
              </w:rPr>
            </w:pPr>
            <w:r w:rsidRPr="00935A44">
              <w:rPr>
                <w:noProof/>
                <w:highlight w:val="yellow"/>
              </w:rPr>
              <w:drawing>
                <wp:inline distT="0" distB="0" distL="0" distR="0" wp14:anchorId="460B254B" wp14:editId="5FB01BA5">
                  <wp:extent cx="2828918" cy="2044065"/>
                  <wp:effectExtent l="0" t="0" r="0" b="0"/>
                  <wp:docPr id="390388368" name="Рисунок 39038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027" t="11890" r="1920" b="22222"/>
                          <a:stretch/>
                        </pic:blipFill>
                        <pic:spPr bwMode="auto">
                          <a:xfrm>
                            <a:off x="0" y="0"/>
                            <a:ext cx="2846701" cy="205691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FEF6D62" w14:textId="7C2A791D" w:rsidR="006E08B1" w:rsidRPr="00935A44" w:rsidRDefault="006E08B1" w:rsidP="00F2435E">
            <w:pPr>
              <w:overflowPunct w:val="0"/>
              <w:autoSpaceDE w:val="0"/>
              <w:autoSpaceDN w:val="0"/>
              <w:adjustRightInd w:val="0"/>
              <w:jc w:val="center"/>
              <w:textAlignment w:val="baseline"/>
              <w:rPr>
                <w:b/>
                <w:bCs/>
                <w:sz w:val="18"/>
                <w:szCs w:val="18"/>
                <w:highlight w:val="yellow"/>
                <w:lang w:val="uz-Cyrl-UZ"/>
              </w:rPr>
            </w:pPr>
            <w:r w:rsidRPr="00935A44">
              <w:rPr>
                <w:noProof/>
                <w:highlight w:val="yellow"/>
              </w:rPr>
              <w:drawing>
                <wp:inline distT="0" distB="0" distL="0" distR="0" wp14:anchorId="047538C3" wp14:editId="200F419F">
                  <wp:extent cx="2734734" cy="2044406"/>
                  <wp:effectExtent l="0" t="0" r="8890" b="0"/>
                  <wp:docPr id="920001642" name="Рисунок 92000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489" t="6838" r="1919" b="22906"/>
                          <a:stretch/>
                        </pic:blipFill>
                        <pic:spPr bwMode="auto">
                          <a:xfrm>
                            <a:off x="0" y="0"/>
                            <a:ext cx="2769450" cy="2070358"/>
                          </a:xfrm>
                          <a:prstGeom prst="rect">
                            <a:avLst/>
                          </a:prstGeom>
                          <a:ln>
                            <a:noFill/>
                          </a:ln>
                          <a:extLst>
                            <a:ext uri="{53640926-AAD7-44D8-BBD7-CCE9431645EC}">
                              <a14:shadowObscured xmlns:a14="http://schemas.microsoft.com/office/drawing/2010/main"/>
                            </a:ext>
                          </a:extLst>
                        </pic:spPr>
                      </pic:pic>
                    </a:graphicData>
                  </a:graphic>
                </wp:inline>
              </w:drawing>
            </w:r>
          </w:p>
        </w:tc>
      </w:tr>
      <w:tr w:rsidR="006E08B1" w:rsidRPr="00935A44" w14:paraId="517D6BB7" w14:textId="77777777" w:rsidTr="00935A44">
        <w:tc>
          <w:tcPr>
            <w:tcW w:w="4675" w:type="dxa"/>
          </w:tcPr>
          <w:p w14:paraId="51EA71BE" w14:textId="39E8A270" w:rsidR="006E08B1" w:rsidRPr="00935A44" w:rsidRDefault="006E08B1" w:rsidP="00F2435E">
            <w:pPr>
              <w:overflowPunct w:val="0"/>
              <w:autoSpaceDE w:val="0"/>
              <w:autoSpaceDN w:val="0"/>
              <w:adjustRightInd w:val="0"/>
              <w:jc w:val="center"/>
              <w:textAlignment w:val="baseline"/>
              <w:rPr>
                <w:b/>
                <w:bCs/>
                <w:highlight w:val="yellow"/>
                <w:lang w:val="uz-Cyrl-UZ"/>
              </w:rPr>
            </w:pPr>
            <w:r w:rsidRPr="00935A44">
              <w:rPr>
                <w:highlight w:val="yellow"/>
              </w:rPr>
              <w:t xml:space="preserve">a)                                                        </w:t>
            </w:r>
          </w:p>
        </w:tc>
        <w:tc>
          <w:tcPr>
            <w:tcW w:w="4675" w:type="dxa"/>
          </w:tcPr>
          <w:p w14:paraId="2A1A640F" w14:textId="292496B2" w:rsidR="006E08B1" w:rsidRPr="00935A44" w:rsidRDefault="006E08B1" w:rsidP="00F2435E">
            <w:pPr>
              <w:overflowPunct w:val="0"/>
              <w:autoSpaceDE w:val="0"/>
              <w:autoSpaceDN w:val="0"/>
              <w:adjustRightInd w:val="0"/>
              <w:jc w:val="center"/>
              <w:textAlignment w:val="baseline"/>
              <w:rPr>
                <w:b/>
                <w:bCs/>
                <w:highlight w:val="yellow"/>
                <w:lang w:val="uz-Cyrl-UZ"/>
              </w:rPr>
            </w:pPr>
            <w:r w:rsidRPr="00935A44">
              <w:rPr>
                <w:highlight w:val="yellow"/>
              </w:rPr>
              <w:t>b)</w:t>
            </w:r>
          </w:p>
        </w:tc>
      </w:tr>
    </w:tbl>
    <w:p w14:paraId="42F2F27B" w14:textId="05DD0FAB" w:rsidR="00F2435E" w:rsidRPr="00935A44" w:rsidRDefault="00F2435E" w:rsidP="00F2435E">
      <w:pPr>
        <w:overflowPunct w:val="0"/>
        <w:autoSpaceDE w:val="0"/>
        <w:autoSpaceDN w:val="0"/>
        <w:adjustRightInd w:val="0"/>
        <w:spacing w:after="0" w:line="240" w:lineRule="auto"/>
        <w:ind w:firstLine="284"/>
        <w:jc w:val="center"/>
        <w:textAlignment w:val="baseline"/>
        <w:rPr>
          <w:rFonts w:ascii="Times New Roman" w:hAnsi="Times New Roman" w:cs="Times New Roman"/>
          <w:sz w:val="18"/>
          <w:szCs w:val="18"/>
          <w:highlight w:val="yellow"/>
          <w:lang w:val="uz-Cyrl-UZ"/>
        </w:rPr>
      </w:pPr>
      <w:r w:rsidRPr="00935A44">
        <w:rPr>
          <w:rFonts w:ascii="Times New Roman" w:hAnsi="Times New Roman" w:cs="Times New Roman"/>
          <w:b/>
          <w:bCs/>
          <w:sz w:val="18"/>
          <w:szCs w:val="18"/>
          <w:highlight w:val="yellow"/>
        </w:rPr>
        <w:t>FIGURE 2.</w:t>
      </w:r>
      <w:r w:rsidRPr="00935A44">
        <w:rPr>
          <w:rFonts w:ascii="Times New Roman" w:hAnsi="Times New Roman" w:cs="Times New Roman"/>
          <w:sz w:val="18"/>
          <w:szCs w:val="18"/>
          <w:highlight w:val="yellow"/>
        </w:rPr>
        <w:t xml:space="preserve"> Harmonic histograms obtained from measurements of the EKG-15 excavator electric drive using a Fluke 438 II power analyzer under a transistor-based control method: a) heavy or dynamic operating mode, b) stable or light operating mode</w:t>
      </w:r>
    </w:p>
    <w:p w14:paraId="317FF9CF" w14:textId="62F98D42" w:rsidR="00F2435E" w:rsidRPr="00F2435E" w:rsidRDefault="00F2435E" w:rsidP="00F2435E">
      <w:pPr>
        <w:overflowPunct w:val="0"/>
        <w:autoSpaceDE w:val="0"/>
        <w:autoSpaceDN w:val="0"/>
        <w:adjustRightInd w:val="0"/>
        <w:spacing w:before="240" w:after="240" w:line="240" w:lineRule="auto"/>
        <w:ind w:firstLine="284"/>
        <w:jc w:val="both"/>
        <w:textAlignment w:val="baseline"/>
        <w:rPr>
          <w:rFonts w:ascii="Times New Roman" w:hAnsi="Times New Roman" w:cs="Times New Roman"/>
          <w:sz w:val="20"/>
          <w:szCs w:val="20"/>
        </w:rPr>
      </w:pPr>
      <w:r w:rsidRPr="00935A44">
        <w:rPr>
          <w:rFonts w:ascii="Times New Roman" w:hAnsi="Times New Roman" w:cs="Times New Roman"/>
          <w:sz w:val="20"/>
          <w:szCs w:val="20"/>
          <w:highlight w:val="yellow"/>
        </w:rPr>
        <w:t>Thus, as the operating mode of the excavator changes, the harmonic composition varies substantially. The generation of higher-order harmonics depends not only on the electric drive control method but also directly on the excavator operating mode, load level, and duty cycle. An increase in harmonic content leads to deterioration of power quality, growth of reactive power, and an increase in both power and energy losses. The results presented in this paper provide a scientific basis for assessing the level of harmonic impact under various operating conditions of mining excavators, calculating power losses, and developing effective measures for their reduction, thereby addressing one of the most pressing challenges in modern industrial power supply systems.</w:t>
      </w:r>
    </w:p>
    <w:p w14:paraId="660CEB14" w14:textId="39B00A17" w:rsidR="00324C1D" w:rsidRDefault="002F14E9" w:rsidP="00F2435E">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eastAsia="de-DE"/>
        </w:rPr>
      </w:pPr>
      <w:r>
        <w:rPr>
          <w:rFonts w:ascii="Times New Roman" w:eastAsia="Times New Roman" w:hAnsi="Times New Roman" w:cs="Times New Roman"/>
          <w:b/>
          <w:sz w:val="24"/>
          <w:szCs w:val="24"/>
          <w:lang w:eastAsia="de-DE"/>
        </w:rPr>
        <w:t>R</w:t>
      </w:r>
      <w:r w:rsidR="00324C1D" w:rsidRPr="00287E0A">
        <w:rPr>
          <w:rFonts w:ascii="Times New Roman" w:eastAsia="Times New Roman" w:hAnsi="Times New Roman" w:cs="Times New Roman"/>
          <w:b/>
          <w:sz w:val="24"/>
          <w:szCs w:val="24"/>
          <w:lang w:eastAsia="de-DE"/>
        </w:rPr>
        <w:t>ESEARCH RESULTS</w:t>
      </w:r>
    </w:p>
    <w:p w14:paraId="6940B889" w14:textId="5F7175A8" w:rsidR="00F006D9" w:rsidRDefault="002428E9" w:rsidP="00323C7F">
      <w:pPr>
        <w:spacing w:after="0" w:line="240" w:lineRule="auto"/>
        <w:ind w:firstLine="284"/>
        <w:jc w:val="both"/>
        <w:rPr>
          <w:rFonts w:ascii="Times New Roman" w:hAnsi="Times New Roman" w:cs="Times New Roman"/>
          <w:sz w:val="20"/>
          <w:szCs w:val="20"/>
        </w:rPr>
      </w:pPr>
      <w:r w:rsidRPr="002428E9">
        <w:rPr>
          <w:rFonts w:ascii="Times New Roman" w:hAnsi="Times New Roman" w:cs="Times New Roman"/>
          <w:sz w:val="20"/>
          <w:szCs w:val="20"/>
        </w:rPr>
        <w:t>The results obtained from the measuring device are entered into the calculation software, and the calculations are performed. The measurement was taken for a single operating cycle, with a cycle duration of 41 seconds (0.012 hours). The values determined from the measurements are as follows: nominal current of 1630 A, nominal power of 1250 kW, and voltage of 430 V. The harmonic proportions obtained from the measurements are entered into the program interface window</w:t>
      </w:r>
      <w:r w:rsidR="006E08B1">
        <w:rPr>
          <w:rFonts w:ascii="Times New Roman" w:hAnsi="Times New Roman" w:cs="Times New Roman"/>
          <w:sz w:val="20"/>
          <w:szCs w:val="20"/>
          <w:lang w:val="uz-Cyrl-UZ"/>
        </w:rPr>
        <w:t xml:space="preserve"> </w:t>
      </w:r>
      <w:r w:rsidR="006E08B1" w:rsidRPr="006E08B1">
        <w:rPr>
          <w:rFonts w:ascii="Times New Roman" w:hAnsi="Times New Roman" w:cs="Times New Roman"/>
          <w:sz w:val="20"/>
          <w:szCs w:val="20"/>
          <w:lang w:val="uz-Cyrl-UZ"/>
        </w:rPr>
        <w:t>and algorithm</w:t>
      </w:r>
      <w:r w:rsidRPr="002428E9">
        <w:rPr>
          <w:rFonts w:ascii="Times New Roman" w:hAnsi="Times New Roman" w:cs="Times New Roman"/>
          <w:sz w:val="20"/>
          <w:szCs w:val="20"/>
        </w:rPr>
        <w:t>, as shown in the following figure</w:t>
      </w:r>
      <w:r w:rsidR="006E08B1">
        <w:rPr>
          <w:rFonts w:ascii="Times New Roman" w:hAnsi="Times New Roman" w:cs="Times New Roman"/>
          <w:sz w:val="20"/>
          <w:szCs w:val="20"/>
        </w:rPr>
        <w:t xml:space="preserve"> 3-5</w:t>
      </w:r>
      <w:r w:rsidRPr="002428E9">
        <w:rPr>
          <w:rFonts w:ascii="Times New Roman" w:hAnsi="Times New Roman" w:cs="Times New Roman"/>
          <w:sz w:val="20"/>
          <w:szCs w:val="20"/>
        </w:rPr>
        <w:t>.</w:t>
      </w:r>
    </w:p>
    <w:p w14:paraId="3E8E47C6" w14:textId="0A4B1C0C" w:rsidR="002428E9" w:rsidRDefault="002428E9" w:rsidP="00323C7F">
      <w:pPr>
        <w:spacing w:after="0" w:line="240" w:lineRule="auto"/>
        <w:ind w:firstLine="284"/>
        <w:jc w:val="center"/>
        <w:rPr>
          <w:rFonts w:ascii="Times New Roman" w:hAnsi="Times New Roman" w:cs="Times New Roman"/>
          <w:sz w:val="20"/>
          <w:szCs w:val="20"/>
        </w:rPr>
      </w:pPr>
      <w:r w:rsidRPr="004B437F">
        <w:rPr>
          <w:rFonts w:ascii="Times New Roman" w:hAnsi="Times New Roman" w:cs="Times New Roman"/>
          <w:noProof/>
          <w:sz w:val="24"/>
          <w:szCs w:val="24"/>
          <w:lang w:eastAsia="ru-RU"/>
        </w:rPr>
        <w:lastRenderedPageBreak/>
        <w:drawing>
          <wp:inline distT="0" distB="0" distL="0" distR="0" wp14:anchorId="7E7FA9CF" wp14:editId="1A3C4EAE">
            <wp:extent cx="6326978" cy="29761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20000" contrast="70000"/>
                              </a14:imgEffect>
                            </a14:imgLayer>
                          </a14:imgProps>
                        </a:ext>
                      </a:extLst>
                    </a:blip>
                    <a:srcRect b="5655"/>
                    <a:stretch/>
                  </pic:blipFill>
                  <pic:spPr bwMode="auto">
                    <a:xfrm>
                      <a:off x="0" y="0"/>
                      <a:ext cx="6366265" cy="2994593"/>
                    </a:xfrm>
                    <a:prstGeom prst="rect">
                      <a:avLst/>
                    </a:prstGeom>
                    <a:ln>
                      <a:noFill/>
                    </a:ln>
                    <a:extLst>
                      <a:ext uri="{53640926-AAD7-44D8-BBD7-CCE9431645EC}">
                        <a14:shadowObscured xmlns:a14="http://schemas.microsoft.com/office/drawing/2010/main"/>
                      </a:ext>
                    </a:extLst>
                  </pic:spPr>
                </pic:pic>
              </a:graphicData>
            </a:graphic>
          </wp:inline>
        </w:drawing>
      </w:r>
    </w:p>
    <w:p w14:paraId="09BBA72F" w14:textId="77777777" w:rsidR="00907E2F" w:rsidRDefault="00907E2F" w:rsidP="00323C7F">
      <w:pPr>
        <w:spacing w:after="0" w:line="240" w:lineRule="auto"/>
        <w:ind w:firstLine="284"/>
        <w:jc w:val="center"/>
        <w:rPr>
          <w:rFonts w:ascii="Times New Roman" w:hAnsi="Times New Roman" w:cs="Times New Roman"/>
          <w:b/>
          <w:sz w:val="18"/>
          <w:szCs w:val="18"/>
        </w:rPr>
      </w:pPr>
    </w:p>
    <w:p w14:paraId="272999CC" w14:textId="16A31725" w:rsidR="002428E9" w:rsidRDefault="002428E9" w:rsidP="00323C7F">
      <w:pPr>
        <w:spacing w:after="0" w:line="240" w:lineRule="auto"/>
        <w:ind w:firstLine="284"/>
        <w:jc w:val="center"/>
        <w:rPr>
          <w:rFonts w:ascii="Times New Roman" w:hAnsi="Times New Roman" w:cs="Times New Roman"/>
          <w:sz w:val="18"/>
          <w:szCs w:val="18"/>
        </w:rPr>
      </w:pPr>
      <w:r w:rsidRPr="009D76B4">
        <w:rPr>
          <w:rFonts w:ascii="Times New Roman" w:hAnsi="Times New Roman" w:cs="Times New Roman"/>
          <w:b/>
          <w:sz w:val="18"/>
          <w:szCs w:val="18"/>
        </w:rPr>
        <w:t>FIGURE 3</w:t>
      </w:r>
      <w:r w:rsidRPr="009D76B4">
        <w:rPr>
          <w:rFonts w:ascii="Times New Roman" w:hAnsi="Times New Roman" w:cs="Times New Roman"/>
          <w:sz w:val="18"/>
          <w:szCs w:val="18"/>
        </w:rPr>
        <w:t>. Parameter input window of the software for performing calculations</w:t>
      </w:r>
    </w:p>
    <w:p w14:paraId="6742454B" w14:textId="77777777" w:rsidR="006E08B1" w:rsidRDefault="006E08B1" w:rsidP="00323C7F">
      <w:pPr>
        <w:spacing w:after="0" w:line="240" w:lineRule="auto"/>
        <w:ind w:firstLine="284"/>
        <w:jc w:val="center"/>
        <w:rPr>
          <w:rFonts w:ascii="Times New Roman" w:hAnsi="Times New Roman" w:cs="Times New Roman"/>
          <w:sz w:val="18"/>
          <w:szCs w:val="18"/>
        </w:rPr>
      </w:pPr>
    </w:p>
    <w:p w14:paraId="1FD90A2D" w14:textId="7BC21E28" w:rsidR="002F14E9" w:rsidRPr="002F14E9" w:rsidRDefault="002F14E9" w:rsidP="00323C7F">
      <w:pPr>
        <w:spacing w:after="0" w:line="240" w:lineRule="auto"/>
        <w:ind w:firstLine="284"/>
        <w:jc w:val="center"/>
        <w:rPr>
          <w:rFonts w:ascii="Times New Roman" w:eastAsia="Times New Roman" w:hAnsi="Times New Roman" w:cs="Times New Roman"/>
          <w:sz w:val="24"/>
          <w:szCs w:val="24"/>
          <w:lang w:val="ru-RU" w:eastAsia="ru-RU"/>
        </w:rPr>
      </w:pPr>
      <w:r w:rsidRPr="002F14E9">
        <w:rPr>
          <w:rFonts w:ascii="Times New Roman" w:eastAsia="Times New Roman" w:hAnsi="Times New Roman" w:cs="Times New Roman"/>
          <w:noProof/>
          <w:sz w:val="24"/>
          <w:szCs w:val="24"/>
          <w:lang w:val="ru-RU" w:eastAsia="ru-RU"/>
        </w:rPr>
        <w:drawing>
          <wp:inline distT="0" distB="0" distL="0" distR="0" wp14:anchorId="20560A62" wp14:editId="232BDAA0">
            <wp:extent cx="5455762" cy="45202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147"/>
                    <a:stretch/>
                  </pic:blipFill>
                  <pic:spPr bwMode="auto">
                    <a:xfrm>
                      <a:off x="0" y="0"/>
                      <a:ext cx="5527870" cy="4579985"/>
                    </a:xfrm>
                    <a:prstGeom prst="rect">
                      <a:avLst/>
                    </a:prstGeom>
                    <a:noFill/>
                    <a:ln>
                      <a:noFill/>
                    </a:ln>
                    <a:extLst>
                      <a:ext uri="{53640926-AAD7-44D8-BBD7-CCE9431645EC}">
                        <a14:shadowObscured xmlns:a14="http://schemas.microsoft.com/office/drawing/2010/main"/>
                      </a:ext>
                    </a:extLst>
                  </pic:spPr>
                </pic:pic>
              </a:graphicData>
            </a:graphic>
          </wp:inline>
        </w:drawing>
      </w:r>
    </w:p>
    <w:p w14:paraId="5B0D5A85" w14:textId="6BC9672C" w:rsidR="002428E9" w:rsidRPr="009D76B4" w:rsidRDefault="002428E9" w:rsidP="00323C7F">
      <w:pPr>
        <w:spacing w:after="0" w:line="240" w:lineRule="auto"/>
        <w:ind w:firstLine="284"/>
        <w:jc w:val="center"/>
        <w:rPr>
          <w:rFonts w:ascii="Times New Roman" w:hAnsi="Times New Roman" w:cs="Times New Roman"/>
          <w:sz w:val="18"/>
          <w:szCs w:val="18"/>
        </w:rPr>
      </w:pPr>
      <w:r w:rsidRPr="009D76B4">
        <w:rPr>
          <w:rFonts w:ascii="Times New Roman" w:hAnsi="Times New Roman" w:cs="Times New Roman"/>
          <w:b/>
          <w:sz w:val="18"/>
          <w:szCs w:val="18"/>
        </w:rPr>
        <w:t xml:space="preserve">FIGURE </w:t>
      </w:r>
      <w:r w:rsidR="009D76B4">
        <w:rPr>
          <w:rFonts w:ascii="Times New Roman" w:hAnsi="Times New Roman" w:cs="Times New Roman"/>
          <w:b/>
          <w:sz w:val="18"/>
          <w:szCs w:val="18"/>
        </w:rPr>
        <w:t>4</w:t>
      </w:r>
      <w:r w:rsidRPr="009D76B4">
        <w:rPr>
          <w:rFonts w:ascii="Times New Roman" w:hAnsi="Times New Roman" w:cs="Times New Roman"/>
          <w:b/>
          <w:sz w:val="18"/>
          <w:szCs w:val="18"/>
        </w:rPr>
        <w:t>.</w:t>
      </w:r>
      <w:r w:rsidRPr="009D76B4">
        <w:rPr>
          <w:rFonts w:ascii="Times New Roman" w:hAnsi="Times New Roman" w:cs="Times New Roman"/>
          <w:sz w:val="18"/>
          <w:szCs w:val="18"/>
        </w:rPr>
        <w:t xml:space="preserve"> Operating algorithm of the software</w:t>
      </w:r>
    </w:p>
    <w:p w14:paraId="7C43C551" w14:textId="65F5EF9C" w:rsidR="00415F14" w:rsidRDefault="00415F14" w:rsidP="007A3153">
      <w:pPr>
        <w:spacing w:after="0" w:line="240" w:lineRule="auto"/>
        <w:jc w:val="center"/>
        <w:rPr>
          <w:rFonts w:ascii="Times New Roman" w:hAnsi="Times New Roman" w:cs="Times New Roman"/>
          <w:b/>
          <w:sz w:val="20"/>
          <w:szCs w:val="20"/>
        </w:rPr>
      </w:pPr>
      <w:r w:rsidRPr="00B94042">
        <w:rPr>
          <w:rFonts w:ascii="Times New Roman" w:hAnsi="Times New Roman" w:cs="Times New Roman"/>
          <w:noProof/>
          <w:sz w:val="24"/>
          <w:szCs w:val="24"/>
          <w:lang w:eastAsia="ru-RU"/>
        </w:rPr>
        <w:lastRenderedPageBreak/>
        <w:drawing>
          <wp:inline distT="0" distB="0" distL="0" distR="0" wp14:anchorId="1DB9B1C1" wp14:editId="10CBB7F5">
            <wp:extent cx="5915025" cy="34863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70000"/>
                              </a14:imgEffect>
                            </a14:imgLayer>
                          </a14:imgProps>
                        </a:ext>
                      </a:extLst>
                    </a:blip>
                    <a:stretch>
                      <a:fillRect/>
                    </a:stretch>
                  </pic:blipFill>
                  <pic:spPr>
                    <a:xfrm>
                      <a:off x="0" y="0"/>
                      <a:ext cx="5970917" cy="3519253"/>
                    </a:xfrm>
                    <a:prstGeom prst="rect">
                      <a:avLst/>
                    </a:prstGeom>
                  </pic:spPr>
                </pic:pic>
              </a:graphicData>
            </a:graphic>
          </wp:inline>
        </w:drawing>
      </w:r>
      <w:r w:rsidRPr="00415F14">
        <w:rPr>
          <w:rFonts w:ascii="Times New Roman" w:hAnsi="Times New Roman" w:cs="Times New Roman"/>
          <w:b/>
          <w:sz w:val="20"/>
          <w:szCs w:val="20"/>
        </w:rPr>
        <w:t xml:space="preserve"> </w:t>
      </w:r>
    </w:p>
    <w:p w14:paraId="1DC1BC9E" w14:textId="00E448BF" w:rsidR="00415F14" w:rsidRPr="009D76B4" w:rsidRDefault="00415F14" w:rsidP="00323C7F">
      <w:pPr>
        <w:spacing w:after="0" w:line="240" w:lineRule="auto"/>
        <w:ind w:firstLine="284"/>
        <w:jc w:val="center"/>
        <w:rPr>
          <w:rFonts w:ascii="Times New Roman" w:hAnsi="Times New Roman" w:cs="Times New Roman"/>
          <w:sz w:val="18"/>
          <w:szCs w:val="18"/>
        </w:rPr>
      </w:pPr>
      <w:r w:rsidRPr="009D76B4">
        <w:rPr>
          <w:rFonts w:ascii="Times New Roman" w:hAnsi="Times New Roman" w:cs="Times New Roman"/>
          <w:b/>
          <w:sz w:val="18"/>
          <w:szCs w:val="18"/>
        </w:rPr>
        <w:t xml:space="preserve">FIGURE </w:t>
      </w:r>
      <w:r w:rsidR="009D76B4">
        <w:rPr>
          <w:rFonts w:ascii="Times New Roman" w:hAnsi="Times New Roman" w:cs="Times New Roman"/>
          <w:b/>
          <w:sz w:val="18"/>
          <w:szCs w:val="18"/>
        </w:rPr>
        <w:t>5</w:t>
      </w:r>
      <w:r w:rsidRPr="009D76B4">
        <w:rPr>
          <w:rFonts w:ascii="Times New Roman" w:hAnsi="Times New Roman" w:cs="Times New Roman"/>
          <w:sz w:val="18"/>
          <w:szCs w:val="18"/>
        </w:rPr>
        <w:t>. Calculation results and harmonic histogram</w:t>
      </w:r>
    </w:p>
    <w:p w14:paraId="660032CA" w14:textId="2C6DB63E" w:rsidR="00415F14" w:rsidRDefault="00415F14" w:rsidP="00323C7F">
      <w:pPr>
        <w:spacing w:after="0" w:line="240" w:lineRule="auto"/>
        <w:ind w:firstLine="284"/>
        <w:jc w:val="center"/>
        <w:rPr>
          <w:rFonts w:ascii="Times New Roman" w:hAnsi="Times New Roman" w:cs="Times New Roman"/>
          <w:sz w:val="20"/>
          <w:szCs w:val="20"/>
        </w:rPr>
      </w:pPr>
    </w:p>
    <w:p w14:paraId="3829A4E7" w14:textId="0635ABFD" w:rsidR="002428E9" w:rsidRDefault="002428E9" w:rsidP="007A3153">
      <w:pPr>
        <w:spacing w:after="0" w:line="240" w:lineRule="auto"/>
        <w:ind w:firstLine="284"/>
        <w:jc w:val="both"/>
        <w:rPr>
          <w:rFonts w:ascii="Times New Roman" w:hAnsi="Times New Roman" w:cs="Times New Roman"/>
          <w:sz w:val="20"/>
          <w:szCs w:val="20"/>
        </w:rPr>
      </w:pPr>
      <w:r w:rsidRPr="002428E9">
        <w:rPr>
          <w:rFonts w:ascii="Times New Roman" w:hAnsi="Times New Roman" w:cs="Times New Roman"/>
          <w:sz w:val="20"/>
          <w:szCs w:val="20"/>
        </w:rPr>
        <w:t xml:space="preserve">The following Table </w:t>
      </w:r>
      <w:r w:rsidR="006E08B1">
        <w:rPr>
          <w:rFonts w:ascii="Times New Roman" w:hAnsi="Times New Roman" w:cs="Times New Roman"/>
          <w:sz w:val="20"/>
          <w:szCs w:val="20"/>
        </w:rPr>
        <w:t>1</w:t>
      </w:r>
      <w:r w:rsidRPr="002428E9">
        <w:rPr>
          <w:rFonts w:ascii="Times New Roman" w:hAnsi="Times New Roman" w:cs="Times New Roman"/>
          <w:sz w:val="20"/>
          <w:szCs w:val="20"/>
        </w:rPr>
        <w:t xml:space="preserve"> presents the harmonic and power loss values occurring in mining excavators with a bucket capacity of 15 m³ under different control methods. These values were obtained from experimental measurements and calculated using the developed software. The harmonics and the associated power losses are directly dependent on the operating mode, and their values are given within the respective variation ranges.</w:t>
      </w:r>
    </w:p>
    <w:p w14:paraId="255F5C14" w14:textId="77777777" w:rsidR="00324C1D" w:rsidRDefault="00324C1D" w:rsidP="007A3153">
      <w:pPr>
        <w:spacing w:after="0" w:line="240" w:lineRule="auto"/>
        <w:ind w:firstLine="284"/>
        <w:jc w:val="both"/>
        <w:rPr>
          <w:rFonts w:ascii="Times New Roman" w:hAnsi="Times New Roman" w:cs="Times New Roman"/>
          <w:sz w:val="20"/>
          <w:szCs w:val="20"/>
        </w:rPr>
      </w:pPr>
    </w:p>
    <w:p w14:paraId="2BECB95C" w14:textId="7264554D" w:rsidR="00324C1D" w:rsidRDefault="009D76B4" w:rsidP="007A3153">
      <w:pPr>
        <w:spacing w:after="0" w:line="240" w:lineRule="auto"/>
        <w:ind w:firstLine="284"/>
        <w:jc w:val="both"/>
        <w:rPr>
          <w:rFonts w:ascii="Times New Roman" w:hAnsi="Times New Roman" w:cs="Times New Roman"/>
          <w:sz w:val="20"/>
          <w:szCs w:val="20"/>
        </w:rPr>
      </w:pPr>
      <w:r w:rsidRPr="00415F14">
        <w:rPr>
          <w:rFonts w:ascii="Times New Roman" w:hAnsi="Times New Roman" w:cs="Times New Roman"/>
          <w:b/>
          <w:bCs/>
          <w:sz w:val="20"/>
          <w:szCs w:val="20"/>
        </w:rPr>
        <w:t xml:space="preserve">TABLE </w:t>
      </w:r>
      <w:r w:rsidR="00FD4842">
        <w:rPr>
          <w:rFonts w:ascii="Times New Roman" w:hAnsi="Times New Roman" w:cs="Times New Roman"/>
          <w:b/>
          <w:bCs/>
          <w:sz w:val="20"/>
          <w:szCs w:val="20"/>
        </w:rPr>
        <w:t>1</w:t>
      </w:r>
      <w:r w:rsidRPr="00415F14">
        <w:rPr>
          <w:rFonts w:ascii="Times New Roman" w:hAnsi="Times New Roman" w:cs="Times New Roman"/>
          <w:b/>
          <w:bCs/>
          <w:sz w:val="20"/>
          <w:szCs w:val="20"/>
        </w:rPr>
        <w:t>.</w:t>
      </w:r>
      <w:r w:rsidRPr="00324C1D">
        <w:rPr>
          <w:rFonts w:ascii="Times New Roman" w:hAnsi="Times New Roman" w:cs="Times New Roman"/>
          <w:sz w:val="20"/>
          <w:szCs w:val="20"/>
        </w:rPr>
        <w:t xml:space="preserve"> </w:t>
      </w:r>
      <w:r w:rsidR="00324C1D" w:rsidRPr="00324C1D">
        <w:rPr>
          <w:rFonts w:ascii="Times New Roman" w:hAnsi="Times New Roman" w:cs="Times New Roman"/>
          <w:sz w:val="20"/>
          <w:szCs w:val="20"/>
        </w:rPr>
        <w:t>Harmonics and power losses in mining excavators with a 15 m³ bucket under different control methods</w:t>
      </w:r>
    </w:p>
    <w:tbl>
      <w:tblPr>
        <w:tblStyle w:val="a3"/>
        <w:tblW w:w="9024" w:type="dxa"/>
        <w:jc w:val="center"/>
        <w:tblLook w:val="04A0" w:firstRow="1" w:lastRow="0" w:firstColumn="1" w:lastColumn="0" w:noHBand="0" w:noVBand="1"/>
      </w:tblPr>
      <w:tblGrid>
        <w:gridCol w:w="777"/>
        <w:gridCol w:w="3397"/>
        <w:gridCol w:w="1618"/>
        <w:gridCol w:w="1616"/>
        <w:gridCol w:w="1616"/>
      </w:tblGrid>
      <w:tr w:rsidR="002428E9" w:rsidRPr="004B539B" w14:paraId="65CA602B" w14:textId="77777777" w:rsidTr="004B539B">
        <w:trPr>
          <w:trHeight w:val="423"/>
          <w:jc w:val="center"/>
        </w:trPr>
        <w:tc>
          <w:tcPr>
            <w:tcW w:w="777" w:type="dxa"/>
            <w:vAlign w:val="center"/>
          </w:tcPr>
          <w:p w14:paraId="4EBDDB88" w14:textId="77777777" w:rsidR="002428E9" w:rsidRPr="004B539B" w:rsidRDefault="002428E9" w:rsidP="007A3153">
            <w:pPr>
              <w:ind w:firstLine="284"/>
              <w:jc w:val="center"/>
              <w:rPr>
                <w:b/>
                <w:bCs/>
              </w:rPr>
            </w:pPr>
            <w:r w:rsidRPr="004B539B">
              <w:rPr>
                <w:b/>
                <w:bCs/>
              </w:rPr>
              <w:t>№</w:t>
            </w:r>
          </w:p>
        </w:tc>
        <w:tc>
          <w:tcPr>
            <w:tcW w:w="3397" w:type="dxa"/>
            <w:vAlign w:val="center"/>
          </w:tcPr>
          <w:p w14:paraId="649BD63B" w14:textId="77777777" w:rsidR="002428E9" w:rsidRPr="004B539B" w:rsidRDefault="002428E9" w:rsidP="007A3153">
            <w:pPr>
              <w:ind w:firstLine="284"/>
              <w:jc w:val="center"/>
              <w:rPr>
                <w:b/>
                <w:bCs/>
              </w:rPr>
            </w:pPr>
            <w:r w:rsidRPr="004B539B">
              <w:rPr>
                <w:b/>
                <w:bCs/>
              </w:rPr>
              <w:t xml:space="preserve">Type </w:t>
            </w:r>
            <w:proofErr w:type="spellStart"/>
            <w:r w:rsidRPr="004B539B">
              <w:rPr>
                <w:b/>
                <w:bCs/>
              </w:rPr>
              <w:t>of</w:t>
            </w:r>
            <w:proofErr w:type="spellEnd"/>
            <w:r w:rsidRPr="004B539B">
              <w:rPr>
                <w:b/>
                <w:bCs/>
              </w:rPr>
              <w:t xml:space="preserve"> Drive</w:t>
            </w:r>
          </w:p>
        </w:tc>
        <w:tc>
          <w:tcPr>
            <w:tcW w:w="1618" w:type="dxa"/>
            <w:vAlign w:val="center"/>
          </w:tcPr>
          <w:p w14:paraId="49768FDE" w14:textId="77777777" w:rsidR="002428E9" w:rsidRPr="004B539B" w:rsidRDefault="002428E9" w:rsidP="007A3153">
            <w:pPr>
              <w:ind w:firstLine="284"/>
              <w:jc w:val="center"/>
              <w:rPr>
                <w:b/>
                <w:bCs/>
              </w:rPr>
            </w:pPr>
            <w:r w:rsidRPr="004B539B">
              <w:rPr>
                <w:b/>
                <w:bCs/>
              </w:rPr>
              <w:t xml:space="preserve">THD </w:t>
            </w:r>
            <w:proofErr w:type="spellStart"/>
            <w:r w:rsidRPr="004B539B">
              <w:rPr>
                <w:b/>
                <w:bCs/>
              </w:rPr>
              <w:t>of</w:t>
            </w:r>
            <w:proofErr w:type="spellEnd"/>
            <w:r w:rsidRPr="004B539B">
              <w:rPr>
                <w:b/>
                <w:bCs/>
              </w:rPr>
              <w:t xml:space="preserve"> Current, %</w:t>
            </w:r>
          </w:p>
        </w:tc>
        <w:tc>
          <w:tcPr>
            <w:tcW w:w="1616" w:type="dxa"/>
            <w:vAlign w:val="center"/>
          </w:tcPr>
          <w:p w14:paraId="647A09D8" w14:textId="77777777" w:rsidR="002428E9" w:rsidRPr="004B539B" w:rsidRDefault="002428E9" w:rsidP="007A3153">
            <w:pPr>
              <w:ind w:firstLine="284"/>
              <w:jc w:val="center"/>
              <w:rPr>
                <w:b/>
                <w:bCs/>
              </w:rPr>
            </w:pPr>
            <w:r w:rsidRPr="004B539B">
              <w:rPr>
                <w:b/>
                <w:bCs/>
              </w:rPr>
              <w:t xml:space="preserve">THD </w:t>
            </w:r>
            <w:proofErr w:type="spellStart"/>
            <w:r w:rsidRPr="004B539B">
              <w:rPr>
                <w:b/>
                <w:bCs/>
              </w:rPr>
              <w:t>of</w:t>
            </w:r>
            <w:proofErr w:type="spellEnd"/>
            <w:r w:rsidRPr="004B539B">
              <w:rPr>
                <w:b/>
                <w:bCs/>
              </w:rPr>
              <w:t xml:space="preserve"> </w:t>
            </w:r>
            <w:proofErr w:type="spellStart"/>
            <w:r w:rsidRPr="004B539B">
              <w:rPr>
                <w:b/>
                <w:bCs/>
              </w:rPr>
              <w:t>Voltage</w:t>
            </w:r>
            <w:proofErr w:type="spellEnd"/>
            <w:r w:rsidRPr="004B539B">
              <w:rPr>
                <w:b/>
                <w:bCs/>
              </w:rPr>
              <w:t>, %</w:t>
            </w:r>
          </w:p>
        </w:tc>
        <w:tc>
          <w:tcPr>
            <w:tcW w:w="1616" w:type="dxa"/>
            <w:vAlign w:val="center"/>
          </w:tcPr>
          <w:p w14:paraId="38D88746" w14:textId="77777777" w:rsidR="002428E9" w:rsidRPr="004B539B" w:rsidRDefault="002428E9" w:rsidP="007A3153">
            <w:pPr>
              <w:ind w:firstLine="284"/>
              <w:jc w:val="center"/>
              <w:rPr>
                <w:b/>
                <w:bCs/>
              </w:rPr>
            </w:pPr>
            <w:r w:rsidRPr="004B539B">
              <w:rPr>
                <w:b/>
                <w:bCs/>
              </w:rPr>
              <w:t xml:space="preserve">Power </w:t>
            </w:r>
            <w:proofErr w:type="spellStart"/>
            <w:r w:rsidRPr="004B539B">
              <w:rPr>
                <w:b/>
                <w:bCs/>
              </w:rPr>
              <w:t>Loss</w:t>
            </w:r>
            <w:proofErr w:type="spellEnd"/>
            <w:r w:rsidRPr="004B539B">
              <w:rPr>
                <w:b/>
                <w:bCs/>
              </w:rPr>
              <w:t>, %</w:t>
            </w:r>
          </w:p>
        </w:tc>
      </w:tr>
      <w:tr w:rsidR="002428E9" w:rsidRPr="004B539B" w14:paraId="2002ACA9" w14:textId="77777777" w:rsidTr="004B539B">
        <w:trPr>
          <w:trHeight w:val="211"/>
          <w:jc w:val="center"/>
        </w:trPr>
        <w:tc>
          <w:tcPr>
            <w:tcW w:w="777" w:type="dxa"/>
            <w:vAlign w:val="center"/>
          </w:tcPr>
          <w:p w14:paraId="1FD8465D" w14:textId="5B00B3D7" w:rsidR="002428E9" w:rsidRPr="004B539B" w:rsidRDefault="002428E9" w:rsidP="007A3153">
            <w:pPr>
              <w:ind w:firstLine="284"/>
              <w:jc w:val="center"/>
              <w:rPr>
                <w:lang w:val="en-US"/>
              </w:rPr>
            </w:pPr>
            <w:r w:rsidRPr="004B539B">
              <w:t>1</w:t>
            </w:r>
            <w:r w:rsidR="001D43B0" w:rsidRPr="004B539B">
              <w:rPr>
                <w:lang w:val="en-US"/>
              </w:rPr>
              <w:t>.</w:t>
            </w:r>
          </w:p>
        </w:tc>
        <w:tc>
          <w:tcPr>
            <w:tcW w:w="3397" w:type="dxa"/>
            <w:vAlign w:val="center"/>
          </w:tcPr>
          <w:p w14:paraId="4710111C" w14:textId="77777777" w:rsidR="002428E9" w:rsidRPr="004B539B" w:rsidRDefault="002428E9" w:rsidP="007A3153">
            <w:pPr>
              <w:ind w:firstLine="284"/>
              <w:jc w:val="center"/>
            </w:pPr>
            <w:proofErr w:type="spellStart"/>
            <w:r w:rsidRPr="004B539B">
              <w:t>Thyristor</w:t>
            </w:r>
            <w:proofErr w:type="spellEnd"/>
            <w:r w:rsidRPr="004B539B">
              <w:t xml:space="preserve"> </w:t>
            </w:r>
            <w:proofErr w:type="spellStart"/>
            <w:r w:rsidRPr="004B539B">
              <w:t>rectifier</w:t>
            </w:r>
            <w:proofErr w:type="spellEnd"/>
            <w:r w:rsidRPr="004B539B">
              <w:t xml:space="preserve"> – DC </w:t>
            </w:r>
            <w:proofErr w:type="spellStart"/>
            <w:r w:rsidRPr="004B539B">
              <w:t>motor</w:t>
            </w:r>
            <w:proofErr w:type="spellEnd"/>
          </w:p>
        </w:tc>
        <w:tc>
          <w:tcPr>
            <w:tcW w:w="1618" w:type="dxa"/>
            <w:vAlign w:val="center"/>
          </w:tcPr>
          <w:p w14:paraId="4E6D4945" w14:textId="77777777" w:rsidR="002428E9" w:rsidRPr="004B539B" w:rsidRDefault="002428E9" w:rsidP="007A3153">
            <w:pPr>
              <w:ind w:firstLine="284"/>
              <w:jc w:val="center"/>
            </w:pPr>
            <w:r w:rsidRPr="004B539B">
              <w:t>26–102</w:t>
            </w:r>
          </w:p>
        </w:tc>
        <w:tc>
          <w:tcPr>
            <w:tcW w:w="1616" w:type="dxa"/>
            <w:vAlign w:val="center"/>
          </w:tcPr>
          <w:p w14:paraId="51A0BDB2" w14:textId="77777777" w:rsidR="002428E9" w:rsidRPr="004B539B" w:rsidRDefault="002428E9" w:rsidP="007A3153">
            <w:pPr>
              <w:ind w:firstLine="284"/>
              <w:jc w:val="center"/>
            </w:pPr>
            <w:r w:rsidRPr="004B539B">
              <w:t>14–21</w:t>
            </w:r>
          </w:p>
        </w:tc>
        <w:tc>
          <w:tcPr>
            <w:tcW w:w="1616" w:type="dxa"/>
            <w:vAlign w:val="center"/>
          </w:tcPr>
          <w:p w14:paraId="1E9A4981" w14:textId="77777777" w:rsidR="002428E9" w:rsidRPr="004B539B" w:rsidRDefault="002428E9" w:rsidP="007A3153">
            <w:pPr>
              <w:ind w:firstLine="284"/>
              <w:jc w:val="center"/>
            </w:pPr>
            <w:r w:rsidRPr="004B539B">
              <w:t>15–20</w:t>
            </w:r>
          </w:p>
        </w:tc>
      </w:tr>
      <w:tr w:rsidR="002428E9" w:rsidRPr="004B539B" w14:paraId="18FE464F" w14:textId="77777777" w:rsidTr="004B539B">
        <w:trPr>
          <w:trHeight w:val="211"/>
          <w:jc w:val="center"/>
        </w:trPr>
        <w:tc>
          <w:tcPr>
            <w:tcW w:w="777" w:type="dxa"/>
            <w:vAlign w:val="center"/>
          </w:tcPr>
          <w:p w14:paraId="21A69E39" w14:textId="4500131A" w:rsidR="002428E9" w:rsidRPr="004B539B" w:rsidRDefault="002428E9" w:rsidP="007A3153">
            <w:pPr>
              <w:ind w:firstLine="284"/>
              <w:jc w:val="center"/>
              <w:rPr>
                <w:lang w:val="en-US"/>
              </w:rPr>
            </w:pPr>
            <w:r w:rsidRPr="004B539B">
              <w:t>2</w:t>
            </w:r>
            <w:r w:rsidR="001D43B0" w:rsidRPr="004B539B">
              <w:rPr>
                <w:lang w:val="en-US"/>
              </w:rPr>
              <w:t>.</w:t>
            </w:r>
          </w:p>
        </w:tc>
        <w:tc>
          <w:tcPr>
            <w:tcW w:w="3397" w:type="dxa"/>
            <w:vAlign w:val="center"/>
          </w:tcPr>
          <w:p w14:paraId="1010A77C" w14:textId="77777777" w:rsidR="002428E9" w:rsidRPr="004B539B" w:rsidRDefault="002428E9" w:rsidP="007A3153">
            <w:pPr>
              <w:ind w:firstLine="284"/>
              <w:jc w:val="center"/>
            </w:pPr>
            <w:proofErr w:type="spellStart"/>
            <w:r w:rsidRPr="004B539B">
              <w:t>Transistor</w:t>
            </w:r>
            <w:proofErr w:type="spellEnd"/>
            <w:r w:rsidRPr="004B539B">
              <w:t xml:space="preserve"> </w:t>
            </w:r>
            <w:proofErr w:type="spellStart"/>
            <w:r w:rsidRPr="004B539B">
              <w:t>rectifier</w:t>
            </w:r>
            <w:proofErr w:type="spellEnd"/>
            <w:r w:rsidRPr="004B539B">
              <w:t xml:space="preserve"> – DC </w:t>
            </w:r>
            <w:proofErr w:type="spellStart"/>
            <w:r w:rsidRPr="004B539B">
              <w:t>motor</w:t>
            </w:r>
            <w:proofErr w:type="spellEnd"/>
          </w:p>
        </w:tc>
        <w:tc>
          <w:tcPr>
            <w:tcW w:w="1618" w:type="dxa"/>
            <w:vAlign w:val="center"/>
          </w:tcPr>
          <w:p w14:paraId="69F5EB0E" w14:textId="77777777" w:rsidR="002428E9" w:rsidRPr="004B539B" w:rsidRDefault="002428E9" w:rsidP="007A3153">
            <w:pPr>
              <w:ind w:firstLine="284"/>
              <w:jc w:val="center"/>
            </w:pPr>
            <w:r w:rsidRPr="004B539B">
              <w:t>45–87</w:t>
            </w:r>
          </w:p>
        </w:tc>
        <w:tc>
          <w:tcPr>
            <w:tcW w:w="1616" w:type="dxa"/>
            <w:vAlign w:val="center"/>
          </w:tcPr>
          <w:p w14:paraId="1A475BF8" w14:textId="77777777" w:rsidR="002428E9" w:rsidRPr="004B539B" w:rsidRDefault="002428E9" w:rsidP="007A3153">
            <w:pPr>
              <w:ind w:firstLine="284"/>
              <w:jc w:val="center"/>
            </w:pPr>
            <w:r w:rsidRPr="004B539B">
              <w:t>12–18</w:t>
            </w:r>
          </w:p>
        </w:tc>
        <w:tc>
          <w:tcPr>
            <w:tcW w:w="1616" w:type="dxa"/>
            <w:vAlign w:val="center"/>
          </w:tcPr>
          <w:p w14:paraId="3E9FF171" w14:textId="786FC01C" w:rsidR="002428E9" w:rsidRPr="004B539B" w:rsidRDefault="002F14E9" w:rsidP="007A3153">
            <w:pPr>
              <w:ind w:firstLine="284"/>
              <w:jc w:val="center"/>
              <w:rPr>
                <w:lang w:val="en-US"/>
              </w:rPr>
            </w:pPr>
            <w:r w:rsidRPr="004B539B">
              <w:rPr>
                <w:lang w:val="en-US"/>
              </w:rPr>
              <w:t>12-16</w:t>
            </w:r>
          </w:p>
        </w:tc>
      </w:tr>
      <w:tr w:rsidR="002428E9" w:rsidRPr="004B539B" w14:paraId="1456DB97" w14:textId="77777777" w:rsidTr="004B539B">
        <w:trPr>
          <w:trHeight w:val="435"/>
          <w:jc w:val="center"/>
        </w:trPr>
        <w:tc>
          <w:tcPr>
            <w:tcW w:w="777" w:type="dxa"/>
            <w:vAlign w:val="center"/>
          </w:tcPr>
          <w:p w14:paraId="6DDBF866" w14:textId="2EE997AD" w:rsidR="002428E9" w:rsidRPr="004B539B" w:rsidRDefault="002428E9" w:rsidP="007A3153">
            <w:pPr>
              <w:ind w:firstLine="284"/>
              <w:jc w:val="center"/>
              <w:rPr>
                <w:lang w:val="en-US"/>
              </w:rPr>
            </w:pPr>
            <w:r w:rsidRPr="004B539B">
              <w:t>3</w:t>
            </w:r>
            <w:r w:rsidR="001D43B0" w:rsidRPr="004B539B">
              <w:rPr>
                <w:lang w:val="en-US"/>
              </w:rPr>
              <w:t>.</w:t>
            </w:r>
          </w:p>
        </w:tc>
        <w:tc>
          <w:tcPr>
            <w:tcW w:w="3397" w:type="dxa"/>
            <w:vAlign w:val="center"/>
          </w:tcPr>
          <w:p w14:paraId="2AD547A2" w14:textId="77777777" w:rsidR="002428E9" w:rsidRPr="004B539B" w:rsidRDefault="002428E9" w:rsidP="007A3153">
            <w:pPr>
              <w:ind w:firstLine="284"/>
              <w:jc w:val="center"/>
            </w:pPr>
            <w:r w:rsidRPr="004B539B">
              <w:t xml:space="preserve">Frequency </w:t>
            </w:r>
            <w:proofErr w:type="spellStart"/>
            <w:r w:rsidRPr="004B539B">
              <w:t>converter</w:t>
            </w:r>
            <w:proofErr w:type="spellEnd"/>
            <w:r w:rsidRPr="004B539B">
              <w:t xml:space="preserve"> – </w:t>
            </w:r>
            <w:proofErr w:type="spellStart"/>
            <w:r w:rsidRPr="004B539B">
              <w:t>asynchronous</w:t>
            </w:r>
            <w:proofErr w:type="spellEnd"/>
            <w:r w:rsidRPr="004B539B">
              <w:t xml:space="preserve"> </w:t>
            </w:r>
            <w:proofErr w:type="spellStart"/>
            <w:r w:rsidRPr="004B539B">
              <w:t>motor</w:t>
            </w:r>
            <w:proofErr w:type="spellEnd"/>
          </w:p>
        </w:tc>
        <w:tc>
          <w:tcPr>
            <w:tcW w:w="1618" w:type="dxa"/>
            <w:vAlign w:val="center"/>
          </w:tcPr>
          <w:p w14:paraId="5329DEF4" w14:textId="77777777" w:rsidR="002428E9" w:rsidRPr="004B539B" w:rsidRDefault="002428E9" w:rsidP="007A3153">
            <w:pPr>
              <w:ind w:firstLine="284"/>
              <w:jc w:val="center"/>
            </w:pPr>
            <w:r w:rsidRPr="004B539B">
              <w:t>30–35</w:t>
            </w:r>
          </w:p>
        </w:tc>
        <w:tc>
          <w:tcPr>
            <w:tcW w:w="1616" w:type="dxa"/>
            <w:vAlign w:val="center"/>
          </w:tcPr>
          <w:p w14:paraId="085B0CF6" w14:textId="77777777" w:rsidR="002428E9" w:rsidRPr="004B539B" w:rsidRDefault="002428E9" w:rsidP="007A3153">
            <w:pPr>
              <w:ind w:firstLine="284"/>
              <w:jc w:val="center"/>
            </w:pPr>
            <w:r w:rsidRPr="004B539B">
              <w:t>7–14</w:t>
            </w:r>
          </w:p>
        </w:tc>
        <w:tc>
          <w:tcPr>
            <w:tcW w:w="1616" w:type="dxa"/>
            <w:vAlign w:val="center"/>
          </w:tcPr>
          <w:p w14:paraId="280CF66F" w14:textId="6AC17110" w:rsidR="002428E9" w:rsidRPr="004B539B" w:rsidRDefault="002F14E9" w:rsidP="007A3153">
            <w:pPr>
              <w:ind w:firstLine="284"/>
              <w:jc w:val="center"/>
              <w:rPr>
                <w:lang w:val="en-US"/>
              </w:rPr>
            </w:pPr>
            <w:r w:rsidRPr="004B539B">
              <w:rPr>
                <w:lang w:val="en-US"/>
              </w:rPr>
              <w:t>3-7</w:t>
            </w:r>
          </w:p>
        </w:tc>
      </w:tr>
    </w:tbl>
    <w:p w14:paraId="337F7EEA" w14:textId="0E42C4DF" w:rsidR="00C1144E" w:rsidRPr="00C1144E" w:rsidRDefault="00CA398A" w:rsidP="00323C7F">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3EB06336" w14:textId="77777777" w:rsidR="00324C1D" w:rsidRDefault="00324C1D" w:rsidP="00323C7F">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24C1D">
        <w:rPr>
          <w:rFonts w:ascii="Times New Roman" w:hAnsi="Times New Roman" w:cs="Times New Roman"/>
          <w:sz w:val="20"/>
        </w:rPr>
        <w:t>Currently, in mining excavators, the use of control devices (thyristor and transistor converters, as well as frequency converters) combined with dynamically varying loads results in the generation of higher-order harmonics in the power network. These harmonics cause power losses, heating, insulation aging, and deterioration of power quality in motors, transformers, and other electrical equipment. Effectively addressing these issues requires specialized software, which is not merely a data recording tool but serves as a system for analyzing the harmonic spectrum, calculating energy losses, recommending filtering strategies, and providing real-time monitoring capabilities.</w:t>
      </w:r>
    </w:p>
    <w:p w14:paraId="18B5DC07" w14:textId="5B90FCC5" w:rsidR="00324C1D" w:rsidRDefault="00324C1D" w:rsidP="00323C7F">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324C1D">
        <w:rPr>
          <w:rFonts w:ascii="Times New Roman" w:hAnsi="Times New Roman" w:cs="Times New Roman"/>
          <w:sz w:val="20"/>
        </w:rPr>
        <w:t xml:space="preserve">The software developed based on the presented methodology serves as a crucial tool for the electric drives of mining excavators, enabling not only the identification of harmonic spectra and calculation of power losses but also real-time monitoring, filter selection, and support in operational decision-making. It significantly contributes to energy savings, enhanced equipment reliability, reduced maintenance costs, and compliance of power quality with standards. For example, using measurements from an experimental cycle lasting 41 seconds (1630 A, 1250 kW, 430 V), the automatically calculated harmonics and power losses clearly demonstrate the economic and technical benefits of </w:t>
      </w:r>
      <w:r w:rsidRPr="00324C1D">
        <w:rPr>
          <w:rFonts w:ascii="Times New Roman" w:hAnsi="Times New Roman" w:cs="Times New Roman"/>
          <w:sz w:val="20"/>
        </w:rPr>
        <w:lastRenderedPageBreak/>
        <w:t>implementing DT: within a short period, an optimal filter strategy can be selected, annual energy savings realized, and potential equipment malfunctions prevented.</w:t>
      </w:r>
    </w:p>
    <w:p w14:paraId="5FF2BC5A" w14:textId="0930AE80" w:rsidR="00F84944" w:rsidRPr="004475D9"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37575F6A" w14:textId="77777777" w:rsidR="00493988" w:rsidRPr="00493988" w:rsidRDefault="00493988" w:rsidP="0069653C">
      <w:pPr>
        <w:tabs>
          <w:tab w:val="left" w:pos="284"/>
        </w:tabs>
        <w:spacing w:after="0" w:line="240" w:lineRule="auto"/>
        <w:jc w:val="both"/>
        <w:rPr>
          <w:rFonts w:ascii="Times New Roman" w:hAnsi="Times New Roman" w:cs="Times New Roman"/>
          <w:sz w:val="20"/>
          <w:szCs w:val="20"/>
        </w:rPr>
      </w:pPr>
      <w:bookmarkStart w:id="1" w:name="_Hlk217261184"/>
      <w:r w:rsidRPr="00493988">
        <w:rPr>
          <w:rFonts w:ascii="Times New Roman" w:hAnsi="Times New Roman" w:cs="Times New Roman"/>
          <w:sz w:val="20"/>
          <w:szCs w:val="20"/>
        </w:rPr>
        <w:t>1.</w:t>
      </w:r>
      <w:r w:rsidRPr="00493988">
        <w:rPr>
          <w:rFonts w:ascii="Times New Roman" w:hAnsi="Times New Roman" w:cs="Times New Roman"/>
          <w:sz w:val="20"/>
          <w:szCs w:val="20"/>
        </w:rPr>
        <w:tab/>
        <w:t>Li X., Zhang Y., Zhou M., et al. Electro-Hydraulic Control and Energy Recovery System in Excavators // IEEE Transactions on Industrial Electronics, 2023, Vol. 70, №6, pp. 5104–5115.</w:t>
      </w:r>
    </w:p>
    <w:p w14:paraId="2DF42ECA" w14:textId="7AD55A01"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2.</w:t>
      </w:r>
      <w:r w:rsidRPr="00493988">
        <w:rPr>
          <w:rFonts w:ascii="Times New Roman" w:hAnsi="Times New Roman" w:cs="Times New Roman"/>
          <w:sz w:val="20"/>
          <w:szCs w:val="20"/>
        </w:rPr>
        <w:tab/>
        <w:t xml:space="preserve">O. Toirov, Sh. Azimov, Z. Toirov. Improving the cooling system of reactive power compensation devices used in railway power supply // AIP Conference Proceedings, 3331, 1, 050030, (2025). </w:t>
      </w:r>
      <w:hyperlink r:id="rId14" w:history="1">
        <w:r w:rsidR="001D43B0" w:rsidRPr="00E041AF">
          <w:rPr>
            <w:rStyle w:val="a6"/>
            <w:rFonts w:ascii="Times New Roman" w:hAnsi="Times New Roman" w:cs="Times New Roman"/>
            <w:sz w:val="20"/>
            <w:szCs w:val="20"/>
          </w:rPr>
          <w:t>https://doi.org/10.1063/5.0305670</w:t>
        </w:r>
      </w:hyperlink>
      <w:r w:rsidR="001D43B0">
        <w:rPr>
          <w:rFonts w:ascii="Times New Roman" w:hAnsi="Times New Roman" w:cs="Times New Roman"/>
          <w:sz w:val="20"/>
          <w:szCs w:val="20"/>
        </w:rPr>
        <w:t xml:space="preserve"> </w:t>
      </w:r>
    </w:p>
    <w:p w14:paraId="081A83FE" w14:textId="2E4975A9" w:rsidR="0087675E"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3.</w:t>
      </w:r>
      <w:r w:rsidRPr="00493988">
        <w:rPr>
          <w:rFonts w:ascii="Times New Roman" w:hAnsi="Times New Roman" w:cs="Times New Roman"/>
          <w:sz w:val="20"/>
          <w:szCs w:val="20"/>
        </w:rPr>
        <w:tab/>
      </w:r>
      <w:r w:rsidR="0087675E" w:rsidRPr="00675DAA">
        <w:rPr>
          <w:rFonts w:ascii="Times New Roman" w:hAnsi="Times New Roman" w:cs="Times New Roman"/>
          <w:sz w:val="20"/>
          <w:szCs w:val="20"/>
          <w:lang w:val="uz-Cyrl-UZ"/>
        </w:rPr>
        <w:t>J.Arrillaga</w:t>
      </w:r>
      <w:r w:rsidR="0087675E">
        <w:rPr>
          <w:rFonts w:ascii="Times New Roman" w:hAnsi="Times New Roman" w:cs="Times New Roman"/>
          <w:sz w:val="20"/>
          <w:szCs w:val="20"/>
        </w:rPr>
        <w:t>.</w:t>
      </w:r>
      <w:r w:rsidR="0087675E" w:rsidRPr="00675DAA">
        <w:rPr>
          <w:rFonts w:ascii="Times New Roman" w:hAnsi="Times New Roman" w:cs="Times New Roman"/>
          <w:sz w:val="20"/>
          <w:szCs w:val="20"/>
          <w:lang w:val="uz-Cyrl-UZ"/>
        </w:rPr>
        <w:t xml:space="preserve"> Power System Harmonic Analysis // Wiley. Chichester, 2003.</w:t>
      </w:r>
    </w:p>
    <w:p w14:paraId="0AFC94EB" w14:textId="2EE56460" w:rsidR="00493988"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  </w:t>
      </w:r>
      <w:r w:rsidRPr="00493988">
        <w:rPr>
          <w:rFonts w:ascii="Times New Roman" w:hAnsi="Times New Roman" w:cs="Times New Roman"/>
          <w:sz w:val="20"/>
          <w:szCs w:val="20"/>
        </w:rPr>
        <w:t xml:space="preserve">O. Toirov, Sh. Azimov, Z. Najmitdinov, M. Sharipov, Z. Toirov. Improvement of the cooling system of reactive power compensating devices used in railway power supply // E3S Web of Conferences, 497, 01015, (2024). </w:t>
      </w:r>
      <w:hyperlink r:id="rId15" w:history="1">
        <w:r w:rsidRPr="00E041AF">
          <w:rPr>
            <w:rStyle w:val="a6"/>
            <w:rFonts w:ascii="Times New Roman" w:hAnsi="Times New Roman" w:cs="Times New Roman"/>
            <w:sz w:val="20"/>
            <w:szCs w:val="20"/>
          </w:rPr>
          <w:t>https://doi.org/10.1051/e3sconf/202449701015</w:t>
        </w:r>
      </w:hyperlink>
      <w:r>
        <w:rPr>
          <w:rFonts w:ascii="Times New Roman" w:hAnsi="Times New Roman" w:cs="Times New Roman"/>
          <w:sz w:val="20"/>
          <w:szCs w:val="20"/>
        </w:rPr>
        <w:t xml:space="preserve"> </w:t>
      </w:r>
      <w:r w:rsidR="00493988" w:rsidRPr="00493988">
        <w:rPr>
          <w:rFonts w:ascii="Times New Roman" w:hAnsi="Times New Roman" w:cs="Times New Roman"/>
          <w:sz w:val="20"/>
          <w:szCs w:val="20"/>
        </w:rPr>
        <w:t xml:space="preserve">D. </w:t>
      </w:r>
      <w:proofErr w:type="spellStart"/>
      <w:r w:rsidR="00493988" w:rsidRPr="00493988">
        <w:rPr>
          <w:rFonts w:ascii="Times New Roman" w:hAnsi="Times New Roman" w:cs="Times New Roman"/>
          <w:sz w:val="20"/>
          <w:szCs w:val="20"/>
        </w:rPr>
        <w:t>Jumaeva</w:t>
      </w:r>
      <w:proofErr w:type="spellEnd"/>
      <w:r w:rsidR="00493988" w:rsidRPr="00493988">
        <w:rPr>
          <w:rFonts w:ascii="Times New Roman" w:hAnsi="Times New Roman" w:cs="Times New Roman"/>
          <w:sz w:val="20"/>
          <w:szCs w:val="20"/>
        </w:rPr>
        <w:t xml:space="preserve">, B. Numonov, N. </w:t>
      </w:r>
      <w:proofErr w:type="spellStart"/>
      <w:r w:rsidR="00493988" w:rsidRPr="00493988">
        <w:rPr>
          <w:rFonts w:ascii="Times New Roman" w:hAnsi="Times New Roman" w:cs="Times New Roman"/>
          <w:sz w:val="20"/>
          <w:szCs w:val="20"/>
        </w:rPr>
        <w:t>Raxmatullaeva</w:t>
      </w:r>
      <w:proofErr w:type="spellEnd"/>
      <w:r w:rsidR="00493988" w:rsidRPr="00493988">
        <w:rPr>
          <w:rFonts w:ascii="Times New Roman" w:hAnsi="Times New Roman" w:cs="Times New Roman"/>
          <w:sz w:val="20"/>
          <w:szCs w:val="20"/>
        </w:rPr>
        <w:t xml:space="preserve">, M. </w:t>
      </w:r>
      <w:proofErr w:type="spellStart"/>
      <w:r w:rsidR="00493988" w:rsidRPr="00493988">
        <w:rPr>
          <w:rFonts w:ascii="Times New Roman" w:hAnsi="Times New Roman" w:cs="Times New Roman"/>
          <w:sz w:val="20"/>
          <w:szCs w:val="20"/>
        </w:rPr>
        <w:t>Shamuratova</w:t>
      </w:r>
      <w:proofErr w:type="spellEnd"/>
      <w:r w:rsidR="00493988" w:rsidRPr="00493988">
        <w:rPr>
          <w:rFonts w:ascii="Times New Roman" w:hAnsi="Times New Roman" w:cs="Times New Roman"/>
          <w:sz w:val="20"/>
          <w:szCs w:val="20"/>
        </w:rPr>
        <w:t xml:space="preserve">. Obtaining of highly energy-efficient activated carbons based on wood, // E3S Web of Conferences 410, 01018, (2023). </w:t>
      </w:r>
      <w:hyperlink r:id="rId16" w:history="1">
        <w:r w:rsidR="001D43B0" w:rsidRPr="00E041AF">
          <w:rPr>
            <w:rStyle w:val="a6"/>
            <w:rFonts w:ascii="Times New Roman" w:hAnsi="Times New Roman" w:cs="Times New Roman"/>
            <w:sz w:val="20"/>
            <w:szCs w:val="20"/>
          </w:rPr>
          <w:t>https://doi.org/10.1051/e3sconf/202341001018</w:t>
        </w:r>
      </w:hyperlink>
      <w:r w:rsidR="001D43B0">
        <w:rPr>
          <w:rFonts w:ascii="Times New Roman" w:hAnsi="Times New Roman" w:cs="Times New Roman"/>
          <w:sz w:val="20"/>
          <w:szCs w:val="20"/>
        </w:rPr>
        <w:t xml:space="preserve"> </w:t>
      </w:r>
      <w:r w:rsidR="00493988" w:rsidRPr="00493988">
        <w:rPr>
          <w:rFonts w:ascii="Times New Roman" w:hAnsi="Times New Roman" w:cs="Times New Roman"/>
          <w:sz w:val="20"/>
          <w:szCs w:val="20"/>
        </w:rPr>
        <w:t xml:space="preserve"> </w:t>
      </w:r>
      <w:r w:rsidR="001D43B0">
        <w:rPr>
          <w:rFonts w:ascii="Times New Roman" w:hAnsi="Times New Roman" w:cs="Times New Roman"/>
          <w:sz w:val="20"/>
          <w:szCs w:val="20"/>
        </w:rPr>
        <w:t xml:space="preserve"> </w:t>
      </w:r>
    </w:p>
    <w:p w14:paraId="16E9C388" w14:textId="349E4FAC"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5.</w:t>
      </w:r>
      <w:r w:rsidRPr="00493988">
        <w:rPr>
          <w:rFonts w:ascii="Times New Roman" w:hAnsi="Times New Roman" w:cs="Times New Roman"/>
          <w:sz w:val="20"/>
          <w:szCs w:val="20"/>
        </w:rPr>
        <w:tab/>
        <w:t xml:space="preserve">D. </w:t>
      </w:r>
      <w:proofErr w:type="spellStart"/>
      <w:r w:rsidRPr="00493988">
        <w:rPr>
          <w:rFonts w:ascii="Times New Roman" w:hAnsi="Times New Roman" w:cs="Times New Roman"/>
          <w:sz w:val="20"/>
          <w:szCs w:val="20"/>
        </w:rPr>
        <w:t>Jumaeva</w:t>
      </w:r>
      <w:proofErr w:type="spellEnd"/>
      <w:r w:rsidRPr="00493988">
        <w:rPr>
          <w:rFonts w:ascii="Times New Roman" w:hAnsi="Times New Roman" w:cs="Times New Roman"/>
          <w:sz w:val="20"/>
          <w:szCs w:val="20"/>
        </w:rPr>
        <w:t xml:space="preserve">, U. Raximov, O. Ergashev, A. Abdyrakhimov, Basic thermodynamic description of adsorption of polar and nonpolar molecules on AOGW, // E3S Web of Conferences 425, 04003 (2023) </w:t>
      </w:r>
      <w:hyperlink r:id="rId17" w:history="1">
        <w:r w:rsidR="001D43B0" w:rsidRPr="00E041AF">
          <w:rPr>
            <w:rStyle w:val="a6"/>
            <w:rFonts w:ascii="Times New Roman" w:hAnsi="Times New Roman" w:cs="Times New Roman"/>
            <w:sz w:val="20"/>
            <w:szCs w:val="20"/>
          </w:rPr>
          <w:t>https://doi.org/10.1051/e3sconf/202343401020</w:t>
        </w:r>
      </w:hyperlink>
      <w:r w:rsidR="001D43B0">
        <w:rPr>
          <w:rFonts w:ascii="Times New Roman" w:hAnsi="Times New Roman" w:cs="Times New Roman"/>
          <w:sz w:val="20"/>
          <w:szCs w:val="20"/>
        </w:rPr>
        <w:t xml:space="preserve"> </w:t>
      </w:r>
    </w:p>
    <w:p w14:paraId="20FEE8D0" w14:textId="6076CFE3"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6.</w:t>
      </w:r>
      <w:r w:rsidRPr="00493988">
        <w:rPr>
          <w:rFonts w:ascii="Times New Roman" w:hAnsi="Times New Roman" w:cs="Times New Roman"/>
          <w:sz w:val="20"/>
          <w:szCs w:val="20"/>
        </w:rPr>
        <w:tab/>
        <w:t xml:space="preserve">O. Toirov, S. Khalikov, </w:t>
      </w:r>
      <w:proofErr w:type="spellStart"/>
      <w:r w:rsidRPr="00493988">
        <w:rPr>
          <w:rFonts w:ascii="Times New Roman" w:hAnsi="Times New Roman" w:cs="Times New Roman"/>
          <w:sz w:val="20"/>
          <w:szCs w:val="20"/>
        </w:rPr>
        <w:t>Sodikjon</w:t>
      </w:r>
      <w:proofErr w:type="spellEnd"/>
      <w:r w:rsidRPr="00493988">
        <w:rPr>
          <w:rFonts w:ascii="Times New Roman" w:hAnsi="Times New Roman" w:cs="Times New Roman"/>
          <w:sz w:val="20"/>
          <w:szCs w:val="20"/>
        </w:rPr>
        <w:t xml:space="preserve"> Khalikov, F. Sharopov, Studies of reliability indicators of pumping units of machine irrigation on the example of the “Namangan” pumping station, // E3S Web of Conferences 410, 05015, (2023). </w:t>
      </w:r>
      <w:hyperlink r:id="rId18" w:history="1">
        <w:r w:rsidR="001D43B0" w:rsidRPr="00E041AF">
          <w:rPr>
            <w:rStyle w:val="a6"/>
            <w:rFonts w:ascii="Times New Roman" w:hAnsi="Times New Roman" w:cs="Times New Roman"/>
            <w:sz w:val="20"/>
            <w:szCs w:val="20"/>
          </w:rPr>
          <w:t>https://doi.org/10.1051/e3sconf/202341005015</w:t>
        </w:r>
      </w:hyperlink>
      <w:r w:rsidR="001D43B0">
        <w:rPr>
          <w:rFonts w:ascii="Times New Roman" w:hAnsi="Times New Roman" w:cs="Times New Roman"/>
          <w:sz w:val="20"/>
          <w:szCs w:val="20"/>
        </w:rPr>
        <w:t xml:space="preserve"> </w:t>
      </w:r>
    </w:p>
    <w:p w14:paraId="6E363413" w14:textId="58159871"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7.</w:t>
      </w:r>
      <w:r w:rsidRPr="00493988">
        <w:rPr>
          <w:rFonts w:ascii="Times New Roman" w:hAnsi="Times New Roman" w:cs="Times New Roman"/>
          <w:sz w:val="20"/>
          <w:szCs w:val="20"/>
        </w:rPr>
        <w:tab/>
        <w:t xml:space="preserve">Bystrov, S. Giyasov, M. </w:t>
      </w:r>
      <w:proofErr w:type="spellStart"/>
      <w:r w:rsidRPr="00493988">
        <w:rPr>
          <w:rFonts w:ascii="Times New Roman" w:hAnsi="Times New Roman" w:cs="Times New Roman"/>
          <w:sz w:val="20"/>
          <w:szCs w:val="20"/>
        </w:rPr>
        <w:t>Taniev</w:t>
      </w:r>
      <w:proofErr w:type="spellEnd"/>
      <w:r w:rsidRPr="00493988">
        <w:rPr>
          <w:rFonts w:ascii="Times New Roman" w:hAnsi="Times New Roman" w:cs="Times New Roman"/>
          <w:sz w:val="20"/>
          <w:szCs w:val="20"/>
        </w:rPr>
        <w:t xml:space="preserve">, S. Urokov, Role of Reengineering in Training of Specialists // ACM International Conference Proceeding Series (2020)  </w:t>
      </w:r>
      <w:hyperlink r:id="rId19" w:history="1">
        <w:r w:rsidR="001D43B0" w:rsidRPr="00E041AF">
          <w:rPr>
            <w:rStyle w:val="a6"/>
            <w:rFonts w:ascii="Times New Roman" w:hAnsi="Times New Roman" w:cs="Times New Roman"/>
            <w:sz w:val="20"/>
            <w:szCs w:val="20"/>
          </w:rPr>
          <w:t>https://doi.org/10.1145/3386723.3387868</w:t>
        </w:r>
      </w:hyperlink>
      <w:r w:rsidR="001D43B0">
        <w:rPr>
          <w:rFonts w:ascii="Times New Roman" w:hAnsi="Times New Roman" w:cs="Times New Roman"/>
          <w:sz w:val="20"/>
          <w:szCs w:val="20"/>
        </w:rPr>
        <w:t xml:space="preserve"> </w:t>
      </w:r>
    </w:p>
    <w:p w14:paraId="3078A5CE" w14:textId="59869A6A"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8.</w:t>
      </w:r>
      <w:r w:rsidRPr="00493988">
        <w:rPr>
          <w:rFonts w:ascii="Times New Roman" w:hAnsi="Times New Roman" w:cs="Times New Roman"/>
          <w:sz w:val="20"/>
          <w:szCs w:val="20"/>
        </w:rPr>
        <w:tab/>
        <w:t xml:space="preserve">O. Toirov, V. Ivanova, V. Tsypkina, D. </w:t>
      </w:r>
      <w:proofErr w:type="spellStart"/>
      <w:r w:rsidRPr="00493988">
        <w:rPr>
          <w:rFonts w:ascii="Times New Roman" w:hAnsi="Times New Roman" w:cs="Times New Roman"/>
          <w:sz w:val="20"/>
          <w:szCs w:val="20"/>
        </w:rPr>
        <w:t>Jumaeva</w:t>
      </w:r>
      <w:proofErr w:type="spellEnd"/>
      <w:r w:rsidRPr="00493988">
        <w:rPr>
          <w:rFonts w:ascii="Times New Roman" w:hAnsi="Times New Roman" w:cs="Times New Roman"/>
          <w:sz w:val="20"/>
          <w:szCs w:val="20"/>
        </w:rPr>
        <w:t xml:space="preserve">, D. Abdullaeva, Improvement of the multifilament wire lager for cable production, // E3S Web of Conferences 411, 01041 (2023), </w:t>
      </w:r>
      <w:hyperlink r:id="rId20" w:history="1">
        <w:r w:rsidR="001D43B0" w:rsidRPr="00E041AF">
          <w:rPr>
            <w:rStyle w:val="a6"/>
            <w:rFonts w:ascii="Times New Roman" w:hAnsi="Times New Roman" w:cs="Times New Roman"/>
            <w:sz w:val="20"/>
            <w:szCs w:val="20"/>
          </w:rPr>
          <w:t>https://doi.org/10.1051/e3sconf/202341101041</w:t>
        </w:r>
      </w:hyperlink>
      <w:r w:rsidR="001D43B0">
        <w:rPr>
          <w:rFonts w:ascii="Times New Roman" w:hAnsi="Times New Roman" w:cs="Times New Roman"/>
          <w:sz w:val="20"/>
          <w:szCs w:val="20"/>
        </w:rPr>
        <w:t xml:space="preserve"> </w:t>
      </w:r>
    </w:p>
    <w:p w14:paraId="07DA4D4E" w14:textId="4EA8D60F" w:rsidR="0087675E" w:rsidRPr="00675DAA" w:rsidRDefault="00493988" w:rsidP="0069653C">
      <w:pPr>
        <w:tabs>
          <w:tab w:val="left" w:pos="284"/>
        </w:tabs>
        <w:spacing w:after="0" w:line="240" w:lineRule="auto"/>
        <w:jc w:val="both"/>
        <w:rPr>
          <w:rFonts w:ascii="Times New Roman" w:hAnsi="Times New Roman" w:cs="Times New Roman"/>
          <w:sz w:val="20"/>
          <w:szCs w:val="20"/>
          <w:lang w:val="uz-Cyrl-UZ"/>
        </w:rPr>
      </w:pPr>
      <w:r w:rsidRPr="00493988">
        <w:rPr>
          <w:rFonts w:ascii="Times New Roman" w:hAnsi="Times New Roman" w:cs="Times New Roman"/>
          <w:sz w:val="20"/>
          <w:szCs w:val="20"/>
        </w:rPr>
        <w:t>9.</w:t>
      </w:r>
      <w:r w:rsidRPr="00493988">
        <w:rPr>
          <w:rFonts w:ascii="Times New Roman" w:hAnsi="Times New Roman" w:cs="Times New Roman"/>
          <w:sz w:val="20"/>
          <w:szCs w:val="20"/>
        </w:rPr>
        <w:tab/>
      </w:r>
      <w:r w:rsidR="0087675E" w:rsidRPr="00675DAA">
        <w:rPr>
          <w:rFonts w:ascii="Times New Roman" w:hAnsi="Times New Roman" w:cs="Times New Roman"/>
          <w:sz w:val="20"/>
          <w:szCs w:val="20"/>
          <w:lang w:val="uz-Cyrl-UZ"/>
        </w:rPr>
        <w:t>Z.</w:t>
      </w:r>
      <w:r w:rsidR="0087675E">
        <w:rPr>
          <w:rFonts w:ascii="Times New Roman" w:hAnsi="Times New Roman" w:cs="Times New Roman"/>
          <w:sz w:val="20"/>
          <w:szCs w:val="20"/>
        </w:rPr>
        <w:t xml:space="preserve"> </w:t>
      </w:r>
      <w:r w:rsidR="0087675E" w:rsidRPr="00675DAA">
        <w:rPr>
          <w:rFonts w:ascii="Times New Roman" w:hAnsi="Times New Roman" w:cs="Times New Roman"/>
          <w:sz w:val="20"/>
          <w:szCs w:val="20"/>
          <w:lang w:val="uz-Cyrl-UZ"/>
        </w:rPr>
        <w:t xml:space="preserve">Chen, </w:t>
      </w:r>
      <w:r w:rsidR="0087675E">
        <w:rPr>
          <w:rFonts w:ascii="Times New Roman" w:hAnsi="Times New Roman" w:cs="Times New Roman"/>
          <w:sz w:val="20"/>
          <w:szCs w:val="20"/>
        </w:rPr>
        <w:t xml:space="preserve">E. </w:t>
      </w:r>
      <w:r w:rsidR="0087675E" w:rsidRPr="00675DAA">
        <w:rPr>
          <w:rFonts w:ascii="Times New Roman" w:hAnsi="Times New Roman" w:cs="Times New Roman"/>
          <w:sz w:val="20"/>
          <w:szCs w:val="20"/>
          <w:lang w:val="uz-Cyrl-UZ"/>
        </w:rPr>
        <w:t>Spooner. Torque Ripple and Mechanical Stress in Harmonic-Rich Drives // IEEE Transactions on Energy Conversion. New York, 2018.</w:t>
      </w:r>
    </w:p>
    <w:p w14:paraId="1F7D8EB4" w14:textId="4B303561" w:rsidR="00493988"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10. </w:t>
      </w:r>
      <w:r w:rsidR="00493988" w:rsidRPr="00493988">
        <w:rPr>
          <w:rFonts w:ascii="Times New Roman" w:hAnsi="Times New Roman" w:cs="Times New Roman"/>
          <w:sz w:val="20"/>
          <w:szCs w:val="20"/>
        </w:rPr>
        <w:t xml:space="preserve">O. Toirov, T. Kamalov, U. Mirkhonov, S. Urokov, D. </w:t>
      </w:r>
      <w:proofErr w:type="spellStart"/>
      <w:r w:rsidR="00493988" w:rsidRPr="00493988">
        <w:rPr>
          <w:rFonts w:ascii="Times New Roman" w:hAnsi="Times New Roman" w:cs="Times New Roman"/>
          <w:sz w:val="20"/>
          <w:szCs w:val="20"/>
        </w:rPr>
        <w:t>Jumaeva</w:t>
      </w:r>
      <w:proofErr w:type="spellEnd"/>
      <w:r w:rsidR="00493988" w:rsidRPr="00493988">
        <w:rPr>
          <w:rFonts w:ascii="Times New Roman" w:hAnsi="Times New Roman" w:cs="Times New Roman"/>
          <w:sz w:val="20"/>
          <w:szCs w:val="20"/>
        </w:rPr>
        <w:t xml:space="preserve">, The mathematical model and a block diagram of a synchronous motor compressor unit with a system of automatic control of the excitation // E3S Web of Conferences, 288, 01083, (2021), </w:t>
      </w:r>
      <w:hyperlink r:id="rId21" w:history="1">
        <w:r w:rsidR="001D43B0" w:rsidRPr="00E041AF">
          <w:rPr>
            <w:rStyle w:val="a6"/>
            <w:rFonts w:ascii="Times New Roman" w:hAnsi="Times New Roman" w:cs="Times New Roman"/>
            <w:sz w:val="20"/>
            <w:szCs w:val="20"/>
          </w:rPr>
          <w:t>https://doi.org/10.1051/e3sconf/202128801083</w:t>
        </w:r>
      </w:hyperlink>
      <w:r w:rsidR="001D43B0">
        <w:rPr>
          <w:rFonts w:ascii="Times New Roman" w:hAnsi="Times New Roman" w:cs="Times New Roman"/>
          <w:sz w:val="20"/>
          <w:szCs w:val="20"/>
        </w:rPr>
        <w:t xml:space="preserve"> </w:t>
      </w:r>
    </w:p>
    <w:p w14:paraId="3D249220" w14:textId="77777777" w:rsidR="0087675E" w:rsidRPr="00675DAA" w:rsidRDefault="00493988" w:rsidP="0069653C">
      <w:pPr>
        <w:tabs>
          <w:tab w:val="left" w:pos="284"/>
        </w:tabs>
        <w:spacing w:after="0" w:line="240" w:lineRule="auto"/>
        <w:jc w:val="both"/>
        <w:rPr>
          <w:rFonts w:ascii="Times New Roman" w:hAnsi="Times New Roman" w:cs="Times New Roman"/>
          <w:sz w:val="20"/>
          <w:szCs w:val="20"/>
          <w:lang w:val="uz-Cyrl-UZ"/>
        </w:rPr>
      </w:pPr>
      <w:r w:rsidRPr="00493988">
        <w:rPr>
          <w:rFonts w:ascii="Times New Roman" w:hAnsi="Times New Roman" w:cs="Times New Roman"/>
          <w:sz w:val="20"/>
          <w:szCs w:val="20"/>
        </w:rPr>
        <w:t>1</w:t>
      </w:r>
      <w:r w:rsidR="0087675E">
        <w:rPr>
          <w:rFonts w:ascii="Times New Roman" w:hAnsi="Times New Roman" w:cs="Times New Roman"/>
          <w:sz w:val="20"/>
          <w:szCs w:val="20"/>
        </w:rPr>
        <w:t>1</w:t>
      </w:r>
      <w:r w:rsidRPr="00493988">
        <w:rPr>
          <w:rFonts w:ascii="Times New Roman" w:hAnsi="Times New Roman" w:cs="Times New Roman"/>
          <w:sz w:val="20"/>
          <w:szCs w:val="20"/>
        </w:rPr>
        <w:t>.</w:t>
      </w:r>
      <w:r w:rsidR="0087675E">
        <w:rPr>
          <w:rFonts w:ascii="Times New Roman" w:hAnsi="Times New Roman" w:cs="Times New Roman"/>
          <w:sz w:val="20"/>
          <w:szCs w:val="20"/>
        </w:rPr>
        <w:t xml:space="preserve"> </w:t>
      </w:r>
      <w:r w:rsidR="0087675E" w:rsidRPr="00675DAA">
        <w:rPr>
          <w:rFonts w:ascii="Times New Roman" w:hAnsi="Times New Roman" w:cs="Times New Roman"/>
          <w:sz w:val="20"/>
          <w:szCs w:val="20"/>
          <w:lang w:val="uz-Cyrl-UZ"/>
        </w:rPr>
        <w:t>Nasir B.A. Determination of the Harmonic Losses in an Induction Motor Fed by an Inverter Drive // ETASR. 2022.</w:t>
      </w:r>
    </w:p>
    <w:p w14:paraId="2ED85214" w14:textId="4E9323A8" w:rsidR="00493988"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12. </w:t>
      </w:r>
      <w:r w:rsidR="00493988" w:rsidRPr="00493988">
        <w:rPr>
          <w:rFonts w:ascii="Times New Roman" w:hAnsi="Times New Roman" w:cs="Times New Roman"/>
          <w:sz w:val="20"/>
          <w:szCs w:val="20"/>
        </w:rPr>
        <w:t xml:space="preserve">O. Toirov, S. Urokov, U. Mirkhonov, H. </w:t>
      </w:r>
      <w:proofErr w:type="spellStart"/>
      <w:r w:rsidR="00493988" w:rsidRPr="00493988">
        <w:rPr>
          <w:rFonts w:ascii="Times New Roman" w:hAnsi="Times New Roman" w:cs="Times New Roman"/>
          <w:sz w:val="20"/>
          <w:szCs w:val="20"/>
        </w:rPr>
        <w:t>Afrisal</w:t>
      </w:r>
      <w:proofErr w:type="spellEnd"/>
      <w:r w:rsidR="00493988" w:rsidRPr="00493988">
        <w:rPr>
          <w:rFonts w:ascii="Times New Roman" w:hAnsi="Times New Roman" w:cs="Times New Roman"/>
          <w:sz w:val="20"/>
          <w:szCs w:val="20"/>
        </w:rPr>
        <w:t xml:space="preserve">, D. </w:t>
      </w:r>
      <w:proofErr w:type="spellStart"/>
      <w:r w:rsidR="00493988" w:rsidRPr="00493988">
        <w:rPr>
          <w:rFonts w:ascii="Times New Roman" w:hAnsi="Times New Roman" w:cs="Times New Roman"/>
          <w:sz w:val="20"/>
          <w:szCs w:val="20"/>
        </w:rPr>
        <w:t>Jumaeva</w:t>
      </w:r>
      <w:proofErr w:type="spellEnd"/>
      <w:r w:rsidR="00493988" w:rsidRPr="00493988">
        <w:rPr>
          <w:rFonts w:ascii="Times New Roman" w:hAnsi="Times New Roman" w:cs="Times New Roman"/>
          <w:sz w:val="20"/>
          <w:szCs w:val="20"/>
        </w:rPr>
        <w:t xml:space="preserve">, Experimental study of the control of operating modes of a plate feeder based on a frequency-controlled electric drive, // E3S Web of Conferences, SUSE-2021, 288, </w:t>
      </w:r>
      <w:proofErr w:type="gramStart"/>
      <w:r w:rsidR="00493988" w:rsidRPr="00493988">
        <w:rPr>
          <w:rFonts w:ascii="Times New Roman" w:hAnsi="Times New Roman" w:cs="Times New Roman"/>
          <w:sz w:val="20"/>
          <w:szCs w:val="20"/>
        </w:rPr>
        <w:t>01086  (</w:t>
      </w:r>
      <w:proofErr w:type="gramEnd"/>
      <w:r w:rsidR="00493988" w:rsidRPr="00493988">
        <w:rPr>
          <w:rFonts w:ascii="Times New Roman" w:hAnsi="Times New Roman" w:cs="Times New Roman"/>
          <w:sz w:val="20"/>
          <w:szCs w:val="20"/>
        </w:rPr>
        <w:t xml:space="preserve">2021). </w:t>
      </w:r>
      <w:hyperlink r:id="rId22" w:history="1">
        <w:r w:rsidR="001D43B0" w:rsidRPr="00E041AF">
          <w:rPr>
            <w:rStyle w:val="a6"/>
            <w:rFonts w:ascii="Times New Roman" w:hAnsi="Times New Roman" w:cs="Times New Roman"/>
            <w:sz w:val="20"/>
            <w:szCs w:val="20"/>
          </w:rPr>
          <w:t>https://doi.org/10.1051/e3sconf/202128801086</w:t>
        </w:r>
      </w:hyperlink>
      <w:r w:rsidR="001D43B0">
        <w:rPr>
          <w:rFonts w:ascii="Times New Roman" w:hAnsi="Times New Roman" w:cs="Times New Roman"/>
          <w:sz w:val="20"/>
          <w:szCs w:val="20"/>
        </w:rPr>
        <w:t xml:space="preserve"> </w:t>
      </w:r>
      <w:r w:rsidR="00493988" w:rsidRPr="00493988">
        <w:rPr>
          <w:rFonts w:ascii="Times New Roman" w:hAnsi="Times New Roman" w:cs="Times New Roman"/>
          <w:sz w:val="20"/>
          <w:szCs w:val="20"/>
        </w:rPr>
        <w:t xml:space="preserve"> </w:t>
      </w:r>
    </w:p>
    <w:p w14:paraId="0E9E6A66" w14:textId="7306F831" w:rsidR="0087675E"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13. </w:t>
      </w:r>
      <w:r w:rsidRPr="00493988">
        <w:rPr>
          <w:rFonts w:ascii="Times New Roman" w:hAnsi="Times New Roman" w:cs="Times New Roman"/>
          <w:sz w:val="20"/>
          <w:szCs w:val="20"/>
        </w:rPr>
        <w:t xml:space="preserve">D. Bystrov, M. </w:t>
      </w:r>
      <w:proofErr w:type="spellStart"/>
      <w:r w:rsidRPr="00493988">
        <w:rPr>
          <w:rFonts w:ascii="Times New Roman" w:hAnsi="Times New Roman" w:cs="Times New Roman"/>
          <w:sz w:val="20"/>
          <w:szCs w:val="20"/>
        </w:rPr>
        <w:t>Gulzoda</w:t>
      </w:r>
      <w:proofErr w:type="spellEnd"/>
      <w:r w:rsidRPr="00493988">
        <w:rPr>
          <w:rFonts w:ascii="Times New Roman" w:hAnsi="Times New Roman" w:cs="Times New Roman"/>
          <w:sz w:val="20"/>
          <w:szCs w:val="20"/>
        </w:rPr>
        <w:t xml:space="preserve">, Y. </w:t>
      </w:r>
      <w:proofErr w:type="spellStart"/>
      <w:r w:rsidRPr="00493988">
        <w:rPr>
          <w:rFonts w:ascii="Times New Roman" w:hAnsi="Times New Roman" w:cs="Times New Roman"/>
          <w:sz w:val="20"/>
          <w:szCs w:val="20"/>
        </w:rPr>
        <w:t>Dilfuza</w:t>
      </w:r>
      <w:proofErr w:type="spellEnd"/>
      <w:r w:rsidRPr="00493988">
        <w:rPr>
          <w:rFonts w:ascii="Times New Roman" w:hAnsi="Times New Roman" w:cs="Times New Roman"/>
          <w:sz w:val="20"/>
          <w:szCs w:val="20"/>
        </w:rPr>
        <w:t xml:space="preserve">, Fuzzy Systems for Computational Linguistics and Natural Language (2020) // ACM International Conference Proceeding Series, </w:t>
      </w:r>
      <w:hyperlink r:id="rId23" w:history="1">
        <w:r w:rsidRPr="00E041AF">
          <w:rPr>
            <w:rStyle w:val="a6"/>
            <w:rFonts w:ascii="Times New Roman" w:hAnsi="Times New Roman" w:cs="Times New Roman"/>
            <w:sz w:val="20"/>
            <w:szCs w:val="20"/>
          </w:rPr>
          <w:t>https://doi.org/10.1145/3386723.3387873</w:t>
        </w:r>
      </w:hyperlink>
      <w:r>
        <w:rPr>
          <w:rFonts w:ascii="Times New Roman" w:hAnsi="Times New Roman" w:cs="Times New Roman"/>
          <w:sz w:val="20"/>
          <w:szCs w:val="20"/>
        </w:rPr>
        <w:t xml:space="preserve"> </w:t>
      </w:r>
      <w:r w:rsidRPr="00493988">
        <w:rPr>
          <w:rFonts w:ascii="Times New Roman" w:hAnsi="Times New Roman" w:cs="Times New Roman"/>
          <w:sz w:val="20"/>
          <w:szCs w:val="20"/>
        </w:rPr>
        <w:t xml:space="preserve">  </w:t>
      </w:r>
    </w:p>
    <w:p w14:paraId="5047E7EF" w14:textId="77777777" w:rsidR="0087675E"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1</w:t>
      </w:r>
      <w:r w:rsidR="0087675E">
        <w:rPr>
          <w:rFonts w:ascii="Times New Roman" w:hAnsi="Times New Roman" w:cs="Times New Roman"/>
          <w:sz w:val="20"/>
          <w:szCs w:val="20"/>
        </w:rPr>
        <w:t>4</w:t>
      </w:r>
      <w:r w:rsidRPr="00493988">
        <w:rPr>
          <w:rFonts w:ascii="Times New Roman" w:hAnsi="Times New Roman" w:cs="Times New Roman"/>
          <w:sz w:val="20"/>
          <w:szCs w:val="20"/>
        </w:rPr>
        <w:t>.</w:t>
      </w:r>
      <w:r w:rsidRPr="00493988">
        <w:rPr>
          <w:rFonts w:ascii="Times New Roman" w:hAnsi="Times New Roman" w:cs="Times New Roman"/>
          <w:sz w:val="20"/>
          <w:szCs w:val="20"/>
        </w:rPr>
        <w:tab/>
        <w:t xml:space="preserve">O. Toirov, S. Khalikov, Diagnostics of pumping units of pumping station of machine water lifting, // E3S Web of Conferences 365, 04013, (2023).  </w:t>
      </w:r>
      <w:r w:rsidR="0087675E">
        <w:rPr>
          <w:rFonts w:ascii="Times New Roman" w:hAnsi="Times New Roman" w:cs="Times New Roman"/>
          <w:sz w:val="20"/>
          <w:szCs w:val="20"/>
        </w:rPr>
        <w:fldChar w:fldCharType="begin"/>
      </w:r>
      <w:r w:rsidR="0087675E">
        <w:rPr>
          <w:rFonts w:ascii="Times New Roman" w:hAnsi="Times New Roman" w:cs="Times New Roman"/>
          <w:sz w:val="20"/>
          <w:szCs w:val="20"/>
        </w:rPr>
        <w:instrText>HYPERLINK "</w:instrText>
      </w:r>
      <w:r w:rsidR="0087675E" w:rsidRPr="0087675E">
        <w:rPr>
          <w:rFonts w:ascii="Times New Roman" w:hAnsi="Times New Roman" w:cs="Times New Roman"/>
          <w:sz w:val="20"/>
          <w:szCs w:val="20"/>
        </w:rPr>
        <w:instrText>https://doi.org/10.1051/e3sconf/202336504013</w:instrText>
      </w:r>
      <w:r w:rsidR="0087675E">
        <w:rPr>
          <w:rFonts w:ascii="Times New Roman" w:hAnsi="Times New Roman" w:cs="Times New Roman"/>
          <w:sz w:val="20"/>
          <w:szCs w:val="20"/>
        </w:rPr>
        <w:instrText xml:space="preserve"> </w:instrText>
      </w:r>
    </w:p>
    <w:p w14:paraId="7199AACA" w14:textId="77777777" w:rsidR="0087675E" w:rsidRPr="00E640F2" w:rsidRDefault="0087675E" w:rsidP="0069653C">
      <w:pPr>
        <w:tabs>
          <w:tab w:val="left" w:pos="284"/>
        </w:tabs>
        <w:spacing w:after="0" w:line="240" w:lineRule="auto"/>
        <w:jc w:val="both"/>
        <w:rPr>
          <w:rStyle w:val="a6"/>
          <w:rFonts w:ascii="Times New Roman" w:hAnsi="Times New Roman" w:cs="Times New Roman"/>
          <w:sz w:val="20"/>
          <w:szCs w:val="20"/>
        </w:rPr>
      </w:pPr>
      <w:r>
        <w:rPr>
          <w:rFonts w:ascii="Times New Roman" w:hAnsi="Times New Roman" w:cs="Times New Roman"/>
          <w:sz w:val="20"/>
          <w:szCs w:val="20"/>
        </w:rPr>
        <w:instrText>15"</w:instrText>
      </w:r>
      <w:r>
        <w:rPr>
          <w:rFonts w:ascii="Times New Roman" w:hAnsi="Times New Roman" w:cs="Times New Roman"/>
          <w:sz w:val="20"/>
          <w:szCs w:val="20"/>
        </w:rPr>
      </w:r>
      <w:r>
        <w:rPr>
          <w:rFonts w:ascii="Times New Roman" w:hAnsi="Times New Roman" w:cs="Times New Roman"/>
          <w:sz w:val="20"/>
          <w:szCs w:val="20"/>
        </w:rPr>
        <w:fldChar w:fldCharType="separate"/>
      </w:r>
      <w:r w:rsidRPr="00E640F2">
        <w:rPr>
          <w:rStyle w:val="a6"/>
          <w:rFonts w:ascii="Times New Roman" w:hAnsi="Times New Roman" w:cs="Times New Roman"/>
          <w:sz w:val="20"/>
          <w:szCs w:val="20"/>
        </w:rPr>
        <w:t xml:space="preserve">https://doi.org/10.1051/e3sconf/202336504013 </w:t>
      </w:r>
    </w:p>
    <w:p w14:paraId="388F8E25" w14:textId="2F3A07F6" w:rsidR="0087675E" w:rsidRPr="0087675E" w:rsidRDefault="0087675E" w:rsidP="0069653C">
      <w:pPr>
        <w:tabs>
          <w:tab w:val="left" w:pos="284"/>
        </w:tabs>
        <w:spacing w:after="0" w:line="240" w:lineRule="auto"/>
        <w:jc w:val="both"/>
        <w:rPr>
          <w:rFonts w:ascii="Times New Roman" w:hAnsi="Times New Roman" w:cs="Times New Roman"/>
          <w:sz w:val="20"/>
          <w:szCs w:val="20"/>
        </w:rPr>
      </w:pPr>
      <w:r w:rsidRPr="00E640F2">
        <w:rPr>
          <w:rStyle w:val="a6"/>
          <w:rFonts w:ascii="Times New Roman" w:hAnsi="Times New Roman" w:cs="Times New Roman"/>
          <w:sz w:val="20"/>
          <w:szCs w:val="20"/>
        </w:rPr>
        <w:t>15</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675DAA">
        <w:rPr>
          <w:rFonts w:ascii="Times New Roman" w:hAnsi="Times New Roman" w:cs="Times New Roman"/>
          <w:sz w:val="20"/>
          <w:szCs w:val="20"/>
          <w:lang w:val="uz-Cyrl-UZ"/>
        </w:rPr>
        <w:t>Grady M. Understanding Power System Harmonics // Baylor University. Waco, 2012.</w:t>
      </w:r>
    </w:p>
    <w:p w14:paraId="57219319" w14:textId="3A69EE79"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1</w:t>
      </w:r>
      <w:r w:rsidR="0087675E">
        <w:rPr>
          <w:rFonts w:ascii="Times New Roman" w:hAnsi="Times New Roman" w:cs="Times New Roman"/>
          <w:sz w:val="20"/>
          <w:szCs w:val="20"/>
        </w:rPr>
        <w:t>6</w:t>
      </w:r>
      <w:r w:rsidRPr="00493988">
        <w:rPr>
          <w:rFonts w:ascii="Times New Roman" w:hAnsi="Times New Roman" w:cs="Times New Roman"/>
          <w:sz w:val="20"/>
          <w:szCs w:val="20"/>
        </w:rPr>
        <w:t>.</w:t>
      </w:r>
      <w:r w:rsidRPr="00493988">
        <w:rPr>
          <w:rFonts w:ascii="Times New Roman" w:hAnsi="Times New Roman" w:cs="Times New Roman"/>
          <w:sz w:val="20"/>
          <w:szCs w:val="20"/>
        </w:rPr>
        <w:tab/>
        <w:t xml:space="preserve">O. Toirov, I. Khujaev, J. </w:t>
      </w:r>
      <w:proofErr w:type="spellStart"/>
      <w:r w:rsidRPr="00493988">
        <w:rPr>
          <w:rFonts w:ascii="Times New Roman" w:hAnsi="Times New Roman" w:cs="Times New Roman"/>
          <w:sz w:val="20"/>
          <w:szCs w:val="20"/>
        </w:rPr>
        <w:t>Jumayev</w:t>
      </w:r>
      <w:proofErr w:type="spellEnd"/>
      <w:r w:rsidRPr="00493988">
        <w:rPr>
          <w:rFonts w:ascii="Times New Roman" w:hAnsi="Times New Roman" w:cs="Times New Roman"/>
          <w:sz w:val="20"/>
          <w:szCs w:val="20"/>
        </w:rPr>
        <w:t xml:space="preserve">, M. Hamdamov, Modeling of vertical axis wind turbine using Ansys Fluent package program, // E3S Web of Conferences 401, 04040 (2023). </w:t>
      </w:r>
      <w:hyperlink r:id="rId24" w:history="1">
        <w:r w:rsidR="001D43B0" w:rsidRPr="00E041AF">
          <w:rPr>
            <w:rStyle w:val="a6"/>
            <w:rFonts w:ascii="Times New Roman" w:hAnsi="Times New Roman" w:cs="Times New Roman"/>
            <w:sz w:val="20"/>
            <w:szCs w:val="20"/>
          </w:rPr>
          <w:t>https://doi.org/10.1051/e3sconf/202340104040</w:t>
        </w:r>
      </w:hyperlink>
      <w:r w:rsidR="001D43B0">
        <w:rPr>
          <w:rFonts w:ascii="Times New Roman" w:hAnsi="Times New Roman" w:cs="Times New Roman"/>
          <w:sz w:val="20"/>
          <w:szCs w:val="20"/>
        </w:rPr>
        <w:t xml:space="preserve"> </w:t>
      </w:r>
    </w:p>
    <w:p w14:paraId="6852BA26" w14:textId="628C7801" w:rsidR="0087675E"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17. </w:t>
      </w:r>
      <w:r w:rsidRPr="00675DAA">
        <w:rPr>
          <w:rFonts w:ascii="Times New Roman" w:hAnsi="Times New Roman" w:cs="Times New Roman"/>
          <w:sz w:val="20"/>
          <w:szCs w:val="20"/>
          <w:lang w:val="uz-Cyrl-UZ"/>
        </w:rPr>
        <w:t>M Siddique. Investigation of Harmonic Losses to Reduce Rotor Copper Loss // MDPI. 2025.</w:t>
      </w:r>
    </w:p>
    <w:p w14:paraId="57B6B3C3" w14:textId="77777777" w:rsidR="0087675E"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18. </w:t>
      </w:r>
      <w:r w:rsidRPr="00493988">
        <w:rPr>
          <w:rFonts w:ascii="Times New Roman" w:hAnsi="Times New Roman" w:cs="Times New Roman"/>
          <w:sz w:val="20"/>
          <w:szCs w:val="20"/>
        </w:rPr>
        <w:t xml:space="preserve">О. Toirov, D. </w:t>
      </w:r>
      <w:proofErr w:type="spellStart"/>
      <w:r w:rsidRPr="00493988">
        <w:rPr>
          <w:rFonts w:ascii="Times New Roman" w:hAnsi="Times New Roman" w:cs="Times New Roman"/>
          <w:sz w:val="20"/>
          <w:szCs w:val="20"/>
        </w:rPr>
        <w:t>Jumaeva</w:t>
      </w:r>
      <w:proofErr w:type="spellEnd"/>
      <w:r w:rsidRPr="00493988">
        <w:rPr>
          <w:rFonts w:ascii="Times New Roman" w:hAnsi="Times New Roman" w:cs="Times New Roman"/>
          <w:sz w:val="20"/>
          <w:szCs w:val="20"/>
        </w:rPr>
        <w:t xml:space="preserve">, U. Mirkhonov, S. Urokov, S. Ergashev, Frequency-controlled asynchronous electric drives and their energy parameters, // AIP Conference Proceedings 2552, 040021, (2022).  </w:t>
      </w:r>
      <w:hyperlink r:id="rId25" w:history="1">
        <w:r w:rsidRPr="00183680">
          <w:rPr>
            <w:rStyle w:val="a6"/>
            <w:rFonts w:ascii="Times New Roman" w:hAnsi="Times New Roman" w:cs="Times New Roman"/>
            <w:sz w:val="20"/>
            <w:szCs w:val="20"/>
          </w:rPr>
          <w:t>https://doi.org/10.1063/5.0218808</w:t>
        </w:r>
      </w:hyperlink>
      <w:r>
        <w:rPr>
          <w:rFonts w:ascii="Times New Roman" w:hAnsi="Times New Roman" w:cs="Times New Roman"/>
          <w:sz w:val="20"/>
          <w:szCs w:val="20"/>
        </w:rPr>
        <w:t xml:space="preserve"> </w:t>
      </w:r>
      <w:r w:rsidRPr="00493988">
        <w:rPr>
          <w:rFonts w:ascii="Times New Roman" w:hAnsi="Times New Roman" w:cs="Times New Roman"/>
          <w:sz w:val="20"/>
          <w:szCs w:val="20"/>
        </w:rPr>
        <w:t xml:space="preserve"> </w:t>
      </w:r>
    </w:p>
    <w:p w14:paraId="7DF50018" w14:textId="61CFDC7E" w:rsidR="0087675E"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19. </w:t>
      </w:r>
      <w:r w:rsidRPr="00675DAA">
        <w:rPr>
          <w:rFonts w:ascii="Times New Roman" w:hAnsi="Times New Roman" w:cs="Times New Roman"/>
          <w:sz w:val="20"/>
          <w:szCs w:val="20"/>
          <w:lang w:val="uz-Cyrl-UZ"/>
        </w:rPr>
        <w:t>P.</w:t>
      </w:r>
      <w:r>
        <w:rPr>
          <w:rFonts w:ascii="Times New Roman" w:hAnsi="Times New Roman" w:cs="Times New Roman"/>
          <w:sz w:val="20"/>
          <w:szCs w:val="20"/>
        </w:rPr>
        <w:t xml:space="preserve"> </w:t>
      </w:r>
      <w:r w:rsidRPr="00675DAA">
        <w:rPr>
          <w:rFonts w:ascii="Times New Roman" w:hAnsi="Times New Roman" w:cs="Times New Roman"/>
          <w:sz w:val="20"/>
          <w:szCs w:val="20"/>
          <w:lang w:val="uz-Cyrl-UZ"/>
        </w:rPr>
        <w:t>Grady Understanding Power System Harmonics // Dept. of Electrical &amp; Computer Engineering, Baylor University. Waco, April 2012.</w:t>
      </w:r>
    </w:p>
    <w:p w14:paraId="080E9F13" w14:textId="47602A19" w:rsidR="00FD4842"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 </w:t>
      </w:r>
      <w:r w:rsidR="00FD4842" w:rsidRPr="00493988">
        <w:rPr>
          <w:rFonts w:ascii="Times New Roman" w:hAnsi="Times New Roman" w:cs="Times New Roman"/>
          <w:sz w:val="20"/>
          <w:szCs w:val="20"/>
        </w:rPr>
        <w:t xml:space="preserve">O. Toirov, T. Sadullaev, D. Abdullaev, D. </w:t>
      </w:r>
      <w:proofErr w:type="spellStart"/>
      <w:r w:rsidR="00FD4842" w:rsidRPr="00493988">
        <w:rPr>
          <w:rFonts w:ascii="Times New Roman" w:hAnsi="Times New Roman" w:cs="Times New Roman"/>
          <w:sz w:val="20"/>
          <w:szCs w:val="20"/>
        </w:rPr>
        <w:t>Jumaeva</w:t>
      </w:r>
      <w:proofErr w:type="spellEnd"/>
      <w:r w:rsidR="00FD4842" w:rsidRPr="00493988">
        <w:rPr>
          <w:rFonts w:ascii="Times New Roman" w:hAnsi="Times New Roman" w:cs="Times New Roman"/>
          <w:sz w:val="20"/>
          <w:szCs w:val="20"/>
        </w:rPr>
        <w:t xml:space="preserve">, Sh. Ergashev, I.B. Sapaev, Development of contactless switching devices for asynchronous machines in order to save energy and resources, // E3S Web of Conferences 383, 01029, (2023). </w:t>
      </w:r>
      <w:hyperlink r:id="rId26" w:history="1">
        <w:r w:rsidR="00FD4842" w:rsidRPr="00183680">
          <w:rPr>
            <w:rStyle w:val="a6"/>
            <w:rFonts w:ascii="Times New Roman" w:hAnsi="Times New Roman" w:cs="Times New Roman"/>
            <w:sz w:val="20"/>
            <w:szCs w:val="20"/>
          </w:rPr>
          <w:t>https://doi.org/10.1051/e3sconf/202338301029</w:t>
        </w:r>
      </w:hyperlink>
      <w:r w:rsidR="00FD4842">
        <w:rPr>
          <w:rFonts w:ascii="Times New Roman" w:hAnsi="Times New Roman" w:cs="Times New Roman"/>
          <w:sz w:val="20"/>
          <w:szCs w:val="20"/>
        </w:rPr>
        <w:t xml:space="preserve"> </w:t>
      </w:r>
      <w:r w:rsidR="00FD4842" w:rsidRPr="00493988">
        <w:rPr>
          <w:rFonts w:ascii="Times New Roman" w:hAnsi="Times New Roman" w:cs="Times New Roman"/>
          <w:sz w:val="20"/>
          <w:szCs w:val="20"/>
        </w:rPr>
        <w:t xml:space="preserve"> </w:t>
      </w:r>
    </w:p>
    <w:p w14:paraId="443F38F2" w14:textId="67A7EA2D" w:rsidR="0087675E"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21. </w:t>
      </w:r>
      <w:r w:rsidRPr="00675DAA">
        <w:rPr>
          <w:rFonts w:ascii="Times New Roman" w:hAnsi="Times New Roman" w:cs="Times New Roman"/>
          <w:sz w:val="20"/>
          <w:szCs w:val="20"/>
          <w:lang w:val="uz-Cyrl-UZ"/>
        </w:rPr>
        <w:t>S</w:t>
      </w:r>
      <w:r>
        <w:rPr>
          <w:rFonts w:ascii="Times New Roman" w:hAnsi="Times New Roman" w:cs="Times New Roman"/>
          <w:sz w:val="20"/>
          <w:szCs w:val="20"/>
        </w:rPr>
        <w:t xml:space="preserve">. </w:t>
      </w:r>
      <w:r w:rsidRPr="00675DAA">
        <w:rPr>
          <w:rFonts w:ascii="Times New Roman" w:hAnsi="Times New Roman" w:cs="Times New Roman"/>
          <w:sz w:val="20"/>
          <w:szCs w:val="20"/>
          <w:lang w:val="uz-Cyrl-UZ"/>
        </w:rPr>
        <w:t xml:space="preserve">Rahman, </w:t>
      </w:r>
      <w:r>
        <w:rPr>
          <w:rFonts w:ascii="Times New Roman" w:hAnsi="Times New Roman" w:cs="Times New Roman"/>
          <w:sz w:val="20"/>
          <w:szCs w:val="20"/>
        </w:rPr>
        <w:t xml:space="preserve">T. </w:t>
      </w:r>
      <w:r w:rsidRPr="00675DAA">
        <w:rPr>
          <w:rFonts w:ascii="Times New Roman" w:hAnsi="Times New Roman" w:cs="Times New Roman"/>
          <w:sz w:val="20"/>
          <w:szCs w:val="20"/>
          <w:lang w:val="uz-Cyrl-UZ"/>
        </w:rPr>
        <w:t>Akter</w:t>
      </w:r>
      <w:r>
        <w:rPr>
          <w:rFonts w:ascii="Times New Roman" w:hAnsi="Times New Roman" w:cs="Times New Roman"/>
          <w:sz w:val="20"/>
          <w:szCs w:val="20"/>
        </w:rPr>
        <w:t>, M.</w:t>
      </w:r>
      <w:r w:rsidRPr="00675DAA">
        <w:rPr>
          <w:rFonts w:ascii="Times New Roman" w:hAnsi="Times New Roman" w:cs="Times New Roman"/>
          <w:sz w:val="20"/>
          <w:szCs w:val="20"/>
          <w:lang w:val="uz-Cyrl-UZ"/>
        </w:rPr>
        <w:t xml:space="preserve"> Hossain, </w:t>
      </w:r>
      <w:r>
        <w:rPr>
          <w:rFonts w:ascii="Times New Roman" w:hAnsi="Times New Roman" w:cs="Times New Roman"/>
          <w:sz w:val="20"/>
          <w:szCs w:val="20"/>
        </w:rPr>
        <w:t xml:space="preserve">M. </w:t>
      </w:r>
      <w:r w:rsidRPr="00675DAA">
        <w:rPr>
          <w:rFonts w:ascii="Times New Roman" w:hAnsi="Times New Roman" w:cs="Times New Roman"/>
          <w:sz w:val="20"/>
          <w:szCs w:val="20"/>
          <w:lang w:val="uz-Cyrl-UZ"/>
        </w:rPr>
        <w:t>Mahmud</w:t>
      </w:r>
      <w:r>
        <w:rPr>
          <w:rFonts w:ascii="Times New Roman" w:hAnsi="Times New Roman" w:cs="Times New Roman"/>
          <w:sz w:val="20"/>
          <w:szCs w:val="20"/>
        </w:rPr>
        <w:t xml:space="preserve">. </w:t>
      </w:r>
      <w:r w:rsidRPr="00675DAA">
        <w:rPr>
          <w:rFonts w:ascii="Times New Roman" w:hAnsi="Times New Roman" w:cs="Times New Roman"/>
          <w:sz w:val="20"/>
          <w:szCs w:val="20"/>
          <w:lang w:val="uz-Cyrl-UZ"/>
        </w:rPr>
        <w:t>Comparative Study on Thyristor and Rectifier Circuit Based DC Motor Control with Improved Power Factor and Total Harmonic Distortion // 2022.</w:t>
      </w:r>
    </w:p>
    <w:p w14:paraId="33F944BD" w14:textId="11ACEB30" w:rsidR="00FD4842"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22. </w:t>
      </w:r>
      <w:r w:rsidR="00FD4842" w:rsidRPr="00493988">
        <w:rPr>
          <w:rFonts w:ascii="Times New Roman" w:hAnsi="Times New Roman" w:cs="Times New Roman"/>
          <w:sz w:val="20"/>
          <w:szCs w:val="20"/>
        </w:rPr>
        <w:t xml:space="preserve">O. Toirov, S. Khalikov, Algorithm and Software Implementation of the Diagnostic System for the Technical Condition of Powerful Units, // E3S Web of Conferences 377, 01004, (2023). </w:t>
      </w:r>
      <w:hyperlink r:id="rId27" w:history="1">
        <w:r w:rsidR="00FD4842" w:rsidRPr="00183680">
          <w:rPr>
            <w:rStyle w:val="a6"/>
            <w:rFonts w:ascii="Times New Roman" w:hAnsi="Times New Roman" w:cs="Times New Roman"/>
            <w:sz w:val="20"/>
            <w:szCs w:val="20"/>
          </w:rPr>
          <w:t>https://doi.org/10.1051/e3sconf/202337701004</w:t>
        </w:r>
      </w:hyperlink>
      <w:r w:rsidR="00FD4842">
        <w:rPr>
          <w:rFonts w:ascii="Times New Roman" w:hAnsi="Times New Roman" w:cs="Times New Roman"/>
          <w:sz w:val="20"/>
          <w:szCs w:val="20"/>
        </w:rPr>
        <w:t xml:space="preserve"> </w:t>
      </w:r>
    </w:p>
    <w:p w14:paraId="44431CA7" w14:textId="6170AE9E" w:rsidR="0087675E"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23. </w:t>
      </w:r>
      <w:r w:rsidRPr="00675DAA">
        <w:rPr>
          <w:rFonts w:ascii="Times New Roman" w:hAnsi="Times New Roman" w:cs="Times New Roman"/>
          <w:sz w:val="20"/>
          <w:szCs w:val="20"/>
          <w:lang w:val="uz-Cyrl-UZ"/>
        </w:rPr>
        <w:t>H.</w:t>
      </w:r>
      <w:r>
        <w:rPr>
          <w:rFonts w:ascii="Times New Roman" w:hAnsi="Times New Roman" w:cs="Times New Roman"/>
          <w:sz w:val="20"/>
          <w:szCs w:val="20"/>
        </w:rPr>
        <w:t xml:space="preserve"> </w:t>
      </w:r>
      <w:r w:rsidRPr="00675DAA">
        <w:rPr>
          <w:rFonts w:ascii="Times New Roman" w:hAnsi="Times New Roman" w:cs="Times New Roman"/>
          <w:sz w:val="20"/>
          <w:szCs w:val="20"/>
          <w:lang w:val="uz-Cyrl-UZ"/>
        </w:rPr>
        <w:t>Akagi Instantaneous Reactive Power Theory and Applications to Power Conditioning // IEEE Press. New York, 2017.</w:t>
      </w:r>
    </w:p>
    <w:p w14:paraId="4E8B280E" w14:textId="3392BB11" w:rsidR="00FD4842"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24</w:t>
      </w:r>
      <w:r w:rsidR="00FD4842">
        <w:rPr>
          <w:rFonts w:ascii="Times New Roman" w:hAnsi="Times New Roman" w:cs="Times New Roman"/>
          <w:sz w:val="20"/>
          <w:szCs w:val="20"/>
        </w:rPr>
        <w:t xml:space="preserve">. </w:t>
      </w:r>
      <w:r w:rsidR="00FD4842" w:rsidRPr="00493988">
        <w:rPr>
          <w:rFonts w:ascii="Times New Roman" w:hAnsi="Times New Roman" w:cs="Times New Roman"/>
          <w:sz w:val="20"/>
          <w:szCs w:val="20"/>
        </w:rPr>
        <w:t xml:space="preserve">O. Toirov, S. Khalikov, Diagnostics of pumping units of pumping station of machine water lifting, // E3S Web of Conferences 365, 04013, (2023).  </w:t>
      </w:r>
      <w:hyperlink r:id="rId28" w:history="1">
        <w:r w:rsidR="001D43B0" w:rsidRPr="00E041AF">
          <w:rPr>
            <w:rStyle w:val="a6"/>
            <w:rFonts w:ascii="Times New Roman" w:hAnsi="Times New Roman" w:cs="Times New Roman"/>
            <w:sz w:val="20"/>
            <w:szCs w:val="20"/>
          </w:rPr>
          <w:t>https://doi.org/10.1051/e3sconf/202336504013</w:t>
        </w:r>
      </w:hyperlink>
      <w:r w:rsidR="001D43B0">
        <w:rPr>
          <w:rFonts w:ascii="Times New Roman" w:hAnsi="Times New Roman" w:cs="Times New Roman"/>
          <w:sz w:val="20"/>
          <w:szCs w:val="20"/>
        </w:rPr>
        <w:t xml:space="preserve"> </w:t>
      </w:r>
    </w:p>
    <w:p w14:paraId="3FCAEFA7" w14:textId="22CDE4B4" w:rsidR="00FD4842"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r w:rsidR="00493988" w:rsidRPr="00493988">
        <w:rPr>
          <w:rFonts w:ascii="Times New Roman" w:hAnsi="Times New Roman" w:cs="Times New Roman"/>
          <w:sz w:val="20"/>
          <w:szCs w:val="20"/>
        </w:rPr>
        <w:t>.</w:t>
      </w:r>
      <w:r w:rsidR="00FD4842" w:rsidRPr="00493988">
        <w:rPr>
          <w:rFonts w:ascii="Times New Roman" w:hAnsi="Times New Roman" w:cs="Times New Roman"/>
          <w:sz w:val="20"/>
          <w:szCs w:val="20"/>
        </w:rPr>
        <w:t xml:space="preserve"> </w:t>
      </w:r>
      <w:proofErr w:type="spellStart"/>
      <w:r w:rsidR="00FD4842" w:rsidRPr="00493988">
        <w:rPr>
          <w:rFonts w:ascii="Times New Roman" w:hAnsi="Times New Roman" w:cs="Times New Roman"/>
          <w:sz w:val="20"/>
          <w:szCs w:val="20"/>
        </w:rPr>
        <w:t>Jumaeva</w:t>
      </w:r>
      <w:proofErr w:type="spellEnd"/>
      <w:r w:rsidR="00FD4842" w:rsidRPr="00493988">
        <w:rPr>
          <w:rFonts w:ascii="Times New Roman" w:hAnsi="Times New Roman" w:cs="Times New Roman"/>
          <w:sz w:val="20"/>
          <w:szCs w:val="20"/>
        </w:rPr>
        <w:t xml:space="preserve">, Z. Okhunjanov, U. Raximov, R. </w:t>
      </w:r>
      <w:proofErr w:type="spellStart"/>
      <w:r w:rsidR="00FD4842" w:rsidRPr="00493988">
        <w:rPr>
          <w:rFonts w:ascii="Times New Roman" w:hAnsi="Times New Roman" w:cs="Times New Roman"/>
          <w:sz w:val="20"/>
          <w:szCs w:val="20"/>
        </w:rPr>
        <w:t>Akhrorova</w:t>
      </w:r>
      <w:proofErr w:type="spellEnd"/>
      <w:r w:rsidR="00FD4842" w:rsidRPr="00493988">
        <w:rPr>
          <w:rFonts w:ascii="Times New Roman" w:hAnsi="Times New Roman" w:cs="Times New Roman"/>
          <w:sz w:val="20"/>
          <w:szCs w:val="20"/>
        </w:rPr>
        <w:t xml:space="preserve">. Investigation of the adsorption of nonpolar adsorbate molecules on the </w:t>
      </w:r>
      <w:proofErr w:type="spellStart"/>
      <w:r w:rsidR="00FD4842" w:rsidRPr="00493988">
        <w:rPr>
          <w:rFonts w:ascii="Times New Roman" w:hAnsi="Times New Roman" w:cs="Times New Roman"/>
          <w:sz w:val="20"/>
          <w:szCs w:val="20"/>
        </w:rPr>
        <w:t>illite</w:t>
      </w:r>
      <w:proofErr w:type="spellEnd"/>
      <w:r w:rsidR="00FD4842" w:rsidRPr="00493988">
        <w:rPr>
          <w:rFonts w:ascii="Times New Roman" w:hAnsi="Times New Roman" w:cs="Times New Roman"/>
          <w:sz w:val="20"/>
          <w:szCs w:val="20"/>
        </w:rPr>
        <w:t xml:space="preserve"> surface, // Journal of Chemical Technology and Metallurgy, 58, 2, (2023). </w:t>
      </w:r>
      <w:hyperlink r:id="rId29" w:history="1">
        <w:r w:rsidR="00FD4842" w:rsidRPr="00183680">
          <w:rPr>
            <w:rStyle w:val="a6"/>
            <w:rFonts w:ascii="Times New Roman" w:hAnsi="Times New Roman" w:cs="Times New Roman"/>
            <w:sz w:val="20"/>
            <w:szCs w:val="20"/>
          </w:rPr>
          <w:t>https://doi.org/10.59957/jctm.v58i2.61</w:t>
        </w:r>
      </w:hyperlink>
      <w:r w:rsidR="00FD4842">
        <w:rPr>
          <w:rFonts w:ascii="Times New Roman" w:hAnsi="Times New Roman" w:cs="Times New Roman"/>
          <w:sz w:val="20"/>
          <w:szCs w:val="20"/>
        </w:rPr>
        <w:t xml:space="preserve"> </w:t>
      </w:r>
      <w:r w:rsidR="00FD4842" w:rsidRPr="00493988">
        <w:rPr>
          <w:rFonts w:ascii="Times New Roman" w:hAnsi="Times New Roman" w:cs="Times New Roman"/>
          <w:sz w:val="20"/>
          <w:szCs w:val="20"/>
        </w:rPr>
        <w:t xml:space="preserve"> </w:t>
      </w:r>
    </w:p>
    <w:p w14:paraId="23E21F48" w14:textId="7E2217A3" w:rsidR="00FD4842"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26</w:t>
      </w:r>
      <w:r w:rsidR="00FD4842">
        <w:rPr>
          <w:rFonts w:ascii="Times New Roman" w:hAnsi="Times New Roman" w:cs="Times New Roman"/>
          <w:sz w:val="20"/>
          <w:szCs w:val="20"/>
        </w:rPr>
        <w:t xml:space="preserve">. </w:t>
      </w:r>
      <w:r w:rsidR="00FD4842" w:rsidRPr="00493988">
        <w:rPr>
          <w:rFonts w:ascii="Times New Roman" w:hAnsi="Times New Roman" w:cs="Times New Roman"/>
          <w:sz w:val="20"/>
          <w:szCs w:val="20"/>
        </w:rPr>
        <w:t xml:space="preserve">O. Toirov, K. </w:t>
      </w:r>
      <w:proofErr w:type="spellStart"/>
      <w:r w:rsidR="00FD4842" w:rsidRPr="00493988">
        <w:rPr>
          <w:rFonts w:ascii="Times New Roman" w:hAnsi="Times New Roman" w:cs="Times New Roman"/>
          <w:sz w:val="20"/>
          <w:szCs w:val="20"/>
        </w:rPr>
        <w:t>Alimkhodjaev</w:t>
      </w:r>
      <w:proofErr w:type="spellEnd"/>
      <w:r w:rsidR="00FD4842" w:rsidRPr="00493988">
        <w:rPr>
          <w:rFonts w:ascii="Times New Roman" w:hAnsi="Times New Roman" w:cs="Times New Roman"/>
          <w:sz w:val="20"/>
          <w:szCs w:val="20"/>
        </w:rPr>
        <w:t xml:space="preserve">, A. </w:t>
      </w:r>
      <w:proofErr w:type="spellStart"/>
      <w:r w:rsidR="00FD4842" w:rsidRPr="00493988">
        <w:rPr>
          <w:rFonts w:ascii="Times New Roman" w:hAnsi="Times New Roman" w:cs="Times New Roman"/>
          <w:sz w:val="20"/>
          <w:szCs w:val="20"/>
        </w:rPr>
        <w:t>Pardaboev</w:t>
      </w:r>
      <w:proofErr w:type="spellEnd"/>
      <w:r w:rsidR="00FD4842" w:rsidRPr="00493988">
        <w:rPr>
          <w:rFonts w:ascii="Times New Roman" w:hAnsi="Times New Roman" w:cs="Times New Roman"/>
          <w:sz w:val="20"/>
          <w:szCs w:val="20"/>
        </w:rPr>
        <w:t xml:space="preserve">, Analysis and ways of reducing electricity losses in the electric power systems of industrial enterprises, // E3S Web of Conferences, SUSE-2021, 288, 01085 (2021). </w:t>
      </w:r>
      <w:hyperlink r:id="rId30" w:history="1">
        <w:r w:rsidR="00FD4842" w:rsidRPr="00183680">
          <w:rPr>
            <w:rStyle w:val="a6"/>
            <w:rFonts w:ascii="Times New Roman" w:hAnsi="Times New Roman" w:cs="Times New Roman"/>
            <w:sz w:val="20"/>
            <w:szCs w:val="20"/>
          </w:rPr>
          <w:t>https://doi.org/10.1051/e3sconf/202128801085</w:t>
        </w:r>
      </w:hyperlink>
      <w:r w:rsidR="00FD4842">
        <w:rPr>
          <w:rFonts w:ascii="Times New Roman" w:hAnsi="Times New Roman" w:cs="Times New Roman"/>
          <w:sz w:val="20"/>
          <w:szCs w:val="20"/>
        </w:rPr>
        <w:t xml:space="preserve"> </w:t>
      </w:r>
      <w:r w:rsidR="00FD4842" w:rsidRPr="00493988">
        <w:rPr>
          <w:rFonts w:ascii="Times New Roman" w:hAnsi="Times New Roman" w:cs="Times New Roman"/>
          <w:sz w:val="20"/>
          <w:szCs w:val="20"/>
        </w:rPr>
        <w:t xml:space="preserve"> </w:t>
      </w:r>
    </w:p>
    <w:p w14:paraId="34D6C521" w14:textId="18E43067" w:rsidR="00FD4842" w:rsidRPr="00493988" w:rsidRDefault="00FD4842"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87675E">
        <w:rPr>
          <w:rFonts w:ascii="Times New Roman" w:hAnsi="Times New Roman" w:cs="Times New Roman"/>
          <w:sz w:val="20"/>
          <w:szCs w:val="20"/>
        </w:rPr>
        <w:t>7</w:t>
      </w:r>
      <w:r>
        <w:rPr>
          <w:rFonts w:ascii="Times New Roman" w:hAnsi="Times New Roman" w:cs="Times New Roman"/>
          <w:sz w:val="20"/>
          <w:szCs w:val="20"/>
        </w:rPr>
        <w:t>.</w:t>
      </w:r>
      <w:r w:rsidR="0087675E">
        <w:rPr>
          <w:rFonts w:ascii="Times New Roman" w:hAnsi="Times New Roman" w:cs="Times New Roman"/>
          <w:sz w:val="20"/>
          <w:szCs w:val="20"/>
        </w:rPr>
        <w:t xml:space="preserve"> </w:t>
      </w:r>
      <w:proofErr w:type="spellStart"/>
      <w:proofErr w:type="gramStart"/>
      <w:r w:rsidRPr="00493988">
        <w:rPr>
          <w:rFonts w:ascii="Times New Roman" w:hAnsi="Times New Roman" w:cs="Times New Roman"/>
          <w:sz w:val="20"/>
          <w:szCs w:val="20"/>
        </w:rPr>
        <w:t>O.Toirov</w:t>
      </w:r>
      <w:proofErr w:type="spellEnd"/>
      <w:proofErr w:type="gramEnd"/>
      <w:r w:rsidRPr="00493988">
        <w:rPr>
          <w:rFonts w:ascii="Times New Roman" w:hAnsi="Times New Roman" w:cs="Times New Roman"/>
          <w:sz w:val="20"/>
          <w:szCs w:val="20"/>
        </w:rPr>
        <w:t xml:space="preserve">, K. </w:t>
      </w:r>
      <w:proofErr w:type="spellStart"/>
      <w:r w:rsidRPr="00493988">
        <w:rPr>
          <w:rFonts w:ascii="Times New Roman" w:hAnsi="Times New Roman" w:cs="Times New Roman"/>
          <w:sz w:val="20"/>
          <w:szCs w:val="20"/>
        </w:rPr>
        <w:t>Allaev</w:t>
      </w:r>
      <w:proofErr w:type="spellEnd"/>
      <w:r w:rsidRPr="00493988">
        <w:rPr>
          <w:rFonts w:ascii="Times New Roman" w:hAnsi="Times New Roman" w:cs="Times New Roman"/>
          <w:sz w:val="20"/>
          <w:szCs w:val="20"/>
        </w:rPr>
        <w:t xml:space="preserve">, J. </w:t>
      </w:r>
      <w:proofErr w:type="spellStart"/>
      <w:r w:rsidRPr="00493988">
        <w:rPr>
          <w:rFonts w:ascii="Times New Roman" w:hAnsi="Times New Roman" w:cs="Times New Roman"/>
          <w:sz w:val="20"/>
          <w:szCs w:val="20"/>
        </w:rPr>
        <w:t>Toshov</w:t>
      </w:r>
      <w:proofErr w:type="spellEnd"/>
      <w:r w:rsidRPr="00493988">
        <w:rPr>
          <w:rFonts w:ascii="Times New Roman" w:hAnsi="Times New Roman" w:cs="Times New Roman"/>
          <w:sz w:val="20"/>
          <w:szCs w:val="20"/>
        </w:rPr>
        <w:t xml:space="preserve">, Modern state of the energy sector of Uzbekistan and issues of their development, E3S Web of Conferences 401, 05090 (2023). </w:t>
      </w:r>
      <w:hyperlink r:id="rId31" w:history="1">
        <w:r w:rsidR="001D43B0" w:rsidRPr="00E041AF">
          <w:rPr>
            <w:rStyle w:val="a6"/>
            <w:rFonts w:ascii="Times New Roman" w:hAnsi="Times New Roman" w:cs="Times New Roman"/>
            <w:sz w:val="20"/>
            <w:szCs w:val="20"/>
          </w:rPr>
          <w:t>https://doi.org/10.1051/e3sconf/202340105090</w:t>
        </w:r>
      </w:hyperlink>
      <w:r w:rsidR="001D43B0">
        <w:rPr>
          <w:rFonts w:ascii="Times New Roman" w:hAnsi="Times New Roman" w:cs="Times New Roman"/>
          <w:sz w:val="20"/>
          <w:szCs w:val="20"/>
        </w:rPr>
        <w:t xml:space="preserve"> </w:t>
      </w:r>
    </w:p>
    <w:p w14:paraId="1CE969A9" w14:textId="7668D1B4"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 xml:space="preserve"> 2</w:t>
      </w:r>
      <w:r w:rsidR="0087675E">
        <w:rPr>
          <w:rFonts w:ascii="Times New Roman" w:hAnsi="Times New Roman" w:cs="Times New Roman"/>
          <w:sz w:val="20"/>
          <w:szCs w:val="20"/>
        </w:rPr>
        <w:t>8</w:t>
      </w:r>
      <w:r w:rsidRPr="00493988">
        <w:rPr>
          <w:rFonts w:ascii="Times New Roman" w:hAnsi="Times New Roman" w:cs="Times New Roman"/>
          <w:sz w:val="20"/>
          <w:szCs w:val="20"/>
        </w:rPr>
        <w:t>.</w:t>
      </w:r>
      <w:r w:rsidR="00FD4842">
        <w:rPr>
          <w:rFonts w:ascii="Times New Roman" w:hAnsi="Times New Roman" w:cs="Times New Roman"/>
          <w:sz w:val="20"/>
          <w:szCs w:val="20"/>
        </w:rPr>
        <w:t xml:space="preserve"> </w:t>
      </w:r>
      <w:proofErr w:type="spellStart"/>
      <w:proofErr w:type="gramStart"/>
      <w:r w:rsidRPr="00493988">
        <w:rPr>
          <w:rFonts w:ascii="Times New Roman" w:hAnsi="Times New Roman" w:cs="Times New Roman"/>
          <w:sz w:val="20"/>
          <w:szCs w:val="20"/>
        </w:rPr>
        <w:t>O.Toirov</w:t>
      </w:r>
      <w:proofErr w:type="spellEnd"/>
      <w:proofErr w:type="gramEnd"/>
      <w:r w:rsidRPr="00493988">
        <w:rPr>
          <w:rFonts w:ascii="Times New Roman" w:hAnsi="Times New Roman" w:cs="Times New Roman"/>
          <w:sz w:val="20"/>
          <w:szCs w:val="20"/>
        </w:rPr>
        <w:t xml:space="preserve">, S. Abdi Yonis, Z. Yusupov, A. Habbal, Control Approach </w:t>
      </w:r>
      <w:proofErr w:type="gramStart"/>
      <w:r w:rsidRPr="00493988">
        <w:rPr>
          <w:rFonts w:ascii="Times New Roman" w:hAnsi="Times New Roman" w:cs="Times New Roman"/>
          <w:sz w:val="20"/>
          <w:szCs w:val="20"/>
        </w:rPr>
        <w:t>Of</w:t>
      </w:r>
      <w:proofErr w:type="gramEnd"/>
      <w:r w:rsidRPr="00493988">
        <w:rPr>
          <w:rFonts w:ascii="Times New Roman" w:hAnsi="Times New Roman" w:cs="Times New Roman"/>
          <w:sz w:val="20"/>
          <w:szCs w:val="20"/>
        </w:rPr>
        <w:t xml:space="preserve"> </w:t>
      </w:r>
      <w:proofErr w:type="gramStart"/>
      <w:r w:rsidRPr="00493988">
        <w:rPr>
          <w:rFonts w:ascii="Times New Roman" w:hAnsi="Times New Roman" w:cs="Times New Roman"/>
          <w:sz w:val="20"/>
          <w:szCs w:val="20"/>
        </w:rPr>
        <w:t>A</w:t>
      </w:r>
      <w:proofErr w:type="gramEnd"/>
      <w:r w:rsidRPr="00493988">
        <w:rPr>
          <w:rFonts w:ascii="Times New Roman" w:hAnsi="Times New Roman" w:cs="Times New Roman"/>
          <w:sz w:val="20"/>
          <w:szCs w:val="20"/>
        </w:rPr>
        <w:t xml:space="preserve"> Grid Connected </w:t>
      </w:r>
      <w:proofErr w:type="spellStart"/>
      <w:r w:rsidRPr="00493988">
        <w:rPr>
          <w:rFonts w:ascii="Times New Roman" w:hAnsi="Times New Roman" w:cs="Times New Roman"/>
          <w:sz w:val="20"/>
          <w:szCs w:val="20"/>
        </w:rPr>
        <w:t>Dfig</w:t>
      </w:r>
      <w:proofErr w:type="spellEnd"/>
      <w:r w:rsidRPr="00493988">
        <w:rPr>
          <w:rFonts w:ascii="Times New Roman" w:hAnsi="Times New Roman" w:cs="Times New Roman"/>
          <w:sz w:val="20"/>
          <w:szCs w:val="20"/>
        </w:rPr>
        <w:t xml:space="preserve"> Based Wind Turbine Using </w:t>
      </w:r>
      <w:proofErr w:type="spellStart"/>
      <w:r w:rsidRPr="00493988">
        <w:rPr>
          <w:rFonts w:ascii="Times New Roman" w:hAnsi="Times New Roman" w:cs="Times New Roman"/>
          <w:sz w:val="20"/>
          <w:szCs w:val="20"/>
        </w:rPr>
        <w:t>Mppt</w:t>
      </w:r>
      <w:proofErr w:type="spellEnd"/>
      <w:r w:rsidRPr="00493988">
        <w:rPr>
          <w:rFonts w:ascii="Times New Roman" w:hAnsi="Times New Roman" w:cs="Times New Roman"/>
          <w:sz w:val="20"/>
          <w:szCs w:val="20"/>
        </w:rPr>
        <w:t xml:space="preserve"> </w:t>
      </w:r>
      <w:proofErr w:type="gramStart"/>
      <w:r w:rsidRPr="00493988">
        <w:rPr>
          <w:rFonts w:ascii="Times New Roman" w:hAnsi="Times New Roman" w:cs="Times New Roman"/>
          <w:sz w:val="20"/>
          <w:szCs w:val="20"/>
        </w:rPr>
        <w:t>And</w:t>
      </w:r>
      <w:proofErr w:type="gramEnd"/>
      <w:r w:rsidRPr="00493988">
        <w:rPr>
          <w:rFonts w:ascii="Times New Roman" w:hAnsi="Times New Roman" w:cs="Times New Roman"/>
          <w:sz w:val="20"/>
          <w:szCs w:val="20"/>
        </w:rPr>
        <w:t xml:space="preserve"> Pi Controller, // Advances in Electrical and Electronic Engineering, 21, 3, (2023).  </w:t>
      </w:r>
      <w:hyperlink r:id="rId32" w:history="1">
        <w:r w:rsidR="00FD4842" w:rsidRPr="00183680">
          <w:rPr>
            <w:rStyle w:val="a6"/>
            <w:rFonts w:ascii="Times New Roman" w:hAnsi="Times New Roman" w:cs="Times New Roman"/>
            <w:sz w:val="20"/>
            <w:szCs w:val="20"/>
          </w:rPr>
          <w:t>https://doi.org/10.15598/aeee.v21i3.5149</w:t>
        </w:r>
      </w:hyperlink>
      <w:r w:rsidR="00FD4842">
        <w:rPr>
          <w:rFonts w:ascii="Times New Roman" w:hAnsi="Times New Roman" w:cs="Times New Roman"/>
          <w:sz w:val="20"/>
          <w:szCs w:val="20"/>
        </w:rPr>
        <w:t xml:space="preserve"> </w:t>
      </w:r>
      <w:r w:rsidRPr="00493988">
        <w:rPr>
          <w:rFonts w:ascii="Times New Roman" w:hAnsi="Times New Roman" w:cs="Times New Roman"/>
          <w:sz w:val="20"/>
          <w:szCs w:val="20"/>
        </w:rPr>
        <w:t xml:space="preserve"> </w:t>
      </w:r>
    </w:p>
    <w:p w14:paraId="4187280D" w14:textId="2DF0CCBB" w:rsidR="00493988" w:rsidRPr="00493988" w:rsidRDefault="00493988" w:rsidP="0069653C">
      <w:pPr>
        <w:tabs>
          <w:tab w:val="left" w:pos="284"/>
        </w:tabs>
        <w:spacing w:after="0" w:line="240" w:lineRule="auto"/>
        <w:jc w:val="both"/>
        <w:rPr>
          <w:rFonts w:ascii="Times New Roman" w:hAnsi="Times New Roman" w:cs="Times New Roman"/>
          <w:sz w:val="20"/>
          <w:szCs w:val="20"/>
        </w:rPr>
      </w:pPr>
      <w:r w:rsidRPr="00493988">
        <w:rPr>
          <w:rFonts w:ascii="Times New Roman" w:hAnsi="Times New Roman" w:cs="Times New Roman"/>
          <w:sz w:val="20"/>
          <w:szCs w:val="20"/>
        </w:rPr>
        <w:t>2</w:t>
      </w:r>
      <w:r w:rsidR="0087675E">
        <w:rPr>
          <w:rFonts w:ascii="Times New Roman" w:hAnsi="Times New Roman" w:cs="Times New Roman"/>
          <w:sz w:val="20"/>
          <w:szCs w:val="20"/>
        </w:rPr>
        <w:t>9</w:t>
      </w:r>
      <w:r w:rsidRPr="00493988">
        <w:rPr>
          <w:rFonts w:ascii="Times New Roman" w:hAnsi="Times New Roman" w:cs="Times New Roman"/>
          <w:sz w:val="20"/>
          <w:szCs w:val="20"/>
        </w:rPr>
        <w:t>.</w:t>
      </w:r>
      <w:r w:rsidRPr="00493988">
        <w:rPr>
          <w:rFonts w:ascii="Times New Roman" w:hAnsi="Times New Roman" w:cs="Times New Roman"/>
          <w:sz w:val="20"/>
          <w:szCs w:val="20"/>
        </w:rPr>
        <w:tab/>
        <w:t xml:space="preserve">D. </w:t>
      </w:r>
      <w:proofErr w:type="spellStart"/>
      <w:r w:rsidRPr="00493988">
        <w:rPr>
          <w:rFonts w:ascii="Times New Roman" w:hAnsi="Times New Roman" w:cs="Times New Roman"/>
          <w:sz w:val="20"/>
          <w:szCs w:val="20"/>
        </w:rPr>
        <w:t>Jumaeva</w:t>
      </w:r>
      <w:proofErr w:type="spellEnd"/>
      <w:r w:rsidRPr="00493988">
        <w:rPr>
          <w:rFonts w:ascii="Times New Roman" w:hAnsi="Times New Roman" w:cs="Times New Roman"/>
          <w:sz w:val="20"/>
          <w:szCs w:val="20"/>
        </w:rPr>
        <w:t xml:space="preserve">, A. Abdurakhimov, Kh. Abdurakhimov, N. </w:t>
      </w:r>
      <w:proofErr w:type="spellStart"/>
      <w:r w:rsidRPr="00493988">
        <w:rPr>
          <w:rFonts w:ascii="Times New Roman" w:hAnsi="Times New Roman" w:cs="Times New Roman"/>
          <w:sz w:val="20"/>
          <w:szCs w:val="20"/>
        </w:rPr>
        <w:t>Rakhmatullaeva</w:t>
      </w:r>
      <w:proofErr w:type="spellEnd"/>
      <w:r w:rsidRPr="00493988">
        <w:rPr>
          <w:rFonts w:ascii="Times New Roman" w:hAnsi="Times New Roman" w:cs="Times New Roman"/>
          <w:sz w:val="20"/>
          <w:szCs w:val="20"/>
        </w:rPr>
        <w:t xml:space="preserve">, O.  </w:t>
      </w:r>
      <w:proofErr w:type="gramStart"/>
      <w:r w:rsidRPr="00493988">
        <w:rPr>
          <w:rFonts w:ascii="Times New Roman" w:hAnsi="Times New Roman" w:cs="Times New Roman"/>
          <w:sz w:val="20"/>
          <w:szCs w:val="20"/>
        </w:rPr>
        <w:t>Toirov,  Energy</w:t>
      </w:r>
      <w:proofErr w:type="gramEnd"/>
      <w:r w:rsidRPr="00493988">
        <w:rPr>
          <w:rFonts w:ascii="Times New Roman" w:hAnsi="Times New Roman" w:cs="Times New Roman"/>
          <w:sz w:val="20"/>
          <w:szCs w:val="20"/>
        </w:rPr>
        <w:t xml:space="preserve"> of adsorption of an adsorbent in solving environmental problems, // E3S Web of Conferences, SUSE-2021, 288, 01082 (2021). </w:t>
      </w:r>
      <w:hyperlink r:id="rId33" w:history="1">
        <w:r w:rsidR="00FD4842" w:rsidRPr="00183680">
          <w:rPr>
            <w:rStyle w:val="a6"/>
            <w:rFonts w:ascii="Times New Roman" w:hAnsi="Times New Roman" w:cs="Times New Roman"/>
            <w:sz w:val="20"/>
            <w:szCs w:val="20"/>
          </w:rPr>
          <w:t>https://doi.org/10.1051/e3sconf/202128801082</w:t>
        </w:r>
      </w:hyperlink>
      <w:r w:rsidR="00FD4842">
        <w:rPr>
          <w:rFonts w:ascii="Times New Roman" w:hAnsi="Times New Roman" w:cs="Times New Roman"/>
          <w:sz w:val="20"/>
          <w:szCs w:val="20"/>
        </w:rPr>
        <w:t xml:space="preserve"> </w:t>
      </w:r>
      <w:r w:rsidRPr="00493988">
        <w:rPr>
          <w:rFonts w:ascii="Times New Roman" w:hAnsi="Times New Roman" w:cs="Times New Roman"/>
          <w:sz w:val="20"/>
          <w:szCs w:val="20"/>
        </w:rPr>
        <w:t xml:space="preserve"> </w:t>
      </w:r>
    </w:p>
    <w:p w14:paraId="79184247" w14:textId="5B029669" w:rsidR="00493988" w:rsidRPr="00493988" w:rsidRDefault="0087675E" w:rsidP="0069653C">
      <w:pPr>
        <w:tabs>
          <w:tab w:val="left" w:pos="28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30</w:t>
      </w:r>
      <w:r w:rsidR="00493988" w:rsidRPr="00493988">
        <w:rPr>
          <w:rFonts w:ascii="Times New Roman" w:hAnsi="Times New Roman" w:cs="Times New Roman"/>
          <w:sz w:val="20"/>
          <w:szCs w:val="20"/>
        </w:rPr>
        <w:t>.</w:t>
      </w:r>
      <w:r w:rsidR="00493988" w:rsidRPr="00493988">
        <w:rPr>
          <w:rFonts w:ascii="Times New Roman" w:hAnsi="Times New Roman" w:cs="Times New Roman"/>
          <w:sz w:val="20"/>
          <w:szCs w:val="20"/>
        </w:rPr>
        <w:tab/>
        <w:t xml:space="preserve">O. Toirov, M. </w:t>
      </w:r>
      <w:proofErr w:type="spellStart"/>
      <w:r w:rsidR="00493988" w:rsidRPr="00493988">
        <w:rPr>
          <w:rFonts w:ascii="Times New Roman" w:hAnsi="Times New Roman" w:cs="Times New Roman"/>
          <w:sz w:val="20"/>
          <w:szCs w:val="20"/>
        </w:rPr>
        <w:t>Khalikova</w:t>
      </w:r>
      <w:proofErr w:type="spellEnd"/>
      <w:r w:rsidR="00493988" w:rsidRPr="00493988">
        <w:rPr>
          <w:rFonts w:ascii="Times New Roman" w:hAnsi="Times New Roman" w:cs="Times New Roman"/>
          <w:sz w:val="20"/>
          <w:szCs w:val="20"/>
        </w:rPr>
        <w:t xml:space="preserve">, D. </w:t>
      </w:r>
      <w:proofErr w:type="spellStart"/>
      <w:r w:rsidR="00493988" w:rsidRPr="00493988">
        <w:rPr>
          <w:rFonts w:ascii="Times New Roman" w:hAnsi="Times New Roman" w:cs="Times New Roman"/>
          <w:sz w:val="20"/>
          <w:szCs w:val="20"/>
        </w:rPr>
        <w:t>Jumaeva</w:t>
      </w:r>
      <w:proofErr w:type="spellEnd"/>
      <w:r w:rsidR="00493988" w:rsidRPr="00493988">
        <w:rPr>
          <w:rFonts w:ascii="Times New Roman" w:hAnsi="Times New Roman" w:cs="Times New Roman"/>
          <w:sz w:val="20"/>
          <w:szCs w:val="20"/>
        </w:rPr>
        <w:t xml:space="preserve">, S. Kakharov, (2023) Development of a mathematical model of a frequency-controlled electromagnetic vibration motor taking into account the nonlinear dependences of the characteristics of the elements, // E3S Web of Conferences 401, 05089, (2023). </w:t>
      </w:r>
      <w:hyperlink r:id="rId34" w:history="1">
        <w:r w:rsidR="00FD4842" w:rsidRPr="00183680">
          <w:rPr>
            <w:rStyle w:val="a6"/>
            <w:rFonts w:ascii="Times New Roman" w:hAnsi="Times New Roman" w:cs="Times New Roman"/>
            <w:sz w:val="20"/>
            <w:szCs w:val="20"/>
          </w:rPr>
          <w:t>https://doi.org/10.1051/e3sconf/202340105089</w:t>
        </w:r>
      </w:hyperlink>
      <w:r w:rsidR="00FD4842">
        <w:rPr>
          <w:rFonts w:ascii="Times New Roman" w:hAnsi="Times New Roman" w:cs="Times New Roman"/>
          <w:sz w:val="20"/>
          <w:szCs w:val="20"/>
        </w:rPr>
        <w:t xml:space="preserve"> </w:t>
      </w:r>
      <w:r w:rsidR="00493988" w:rsidRPr="00493988">
        <w:rPr>
          <w:rFonts w:ascii="Times New Roman" w:hAnsi="Times New Roman" w:cs="Times New Roman"/>
          <w:sz w:val="20"/>
          <w:szCs w:val="20"/>
        </w:rPr>
        <w:t xml:space="preserve"> </w:t>
      </w:r>
    </w:p>
    <w:bookmarkEnd w:id="1"/>
    <w:p w14:paraId="5B30AF25" w14:textId="3D411EFA" w:rsidR="00683229" w:rsidRPr="00675DAA" w:rsidRDefault="00683229" w:rsidP="00493988">
      <w:pPr>
        <w:spacing w:after="0" w:line="240" w:lineRule="auto"/>
        <w:ind w:firstLine="426"/>
        <w:jc w:val="both"/>
        <w:rPr>
          <w:rFonts w:ascii="Times New Roman" w:hAnsi="Times New Roman" w:cs="Times New Roman"/>
          <w:b/>
          <w:bCs/>
          <w:sz w:val="20"/>
          <w:szCs w:val="20"/>
        </w:rPr>
      </w:pPr>
    </w:p>
    <w:sectPr w:rsidR="00683229" w:rsidRPr="00675DAA"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7DFE"/>
    <w:multiLevelType w:val="hybridMultilevel"/>
    <w:tmpl w:val="95B4A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9A68BC"/>
    <w:multiLevelType w:val="hybridMultilevel"/>
    <w:tmpl w:val="192E6CF0"/>
    <w:lvl w:ilvl="0" w:tplc="8B4A41C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7A4759"/>
    <w:multiLevelType w:val="multilevel"/>
    <w:tmpl w:val="AB72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985015674">
    <w:abstractNumId w:val="2"/>
  </w:num>
  <w:num w:numId="2" w16cid:durableId="1144665477">
    <w:abstractNumId w:val="1"/>
  </w:num>
  <w:num w:numId="3" w16cid:durableId="1947537273">
    <w:abstractNumId w:val="7"/>
  </w:num>
  <w:num w:numId="4" w16cid:durableId="132066837">
    <w:abstractNumId w:val="4"/>
  </w:num>
  <w:num w:numId="5" w16cid:durableId="1844978415">
    <w:abstractNumId w:val="3"/>
  </w:num>
  <w:num w:numId="6" w16cid:durableId="1874223867">
    <w:abstractNumId w:val="0"/>
  </w:num>
  <w:num w:numId="7" w16cid:durableId="1530072794">
    <w:abstractNumId w:val="6"/>
  </w:num>
  <w:num w:numId="8" w16cid:durableId="4370685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706"/>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4AF"/>
    <w:rsid w:val="000F7CF5"/>
    <w:rsid w:val="001004DA"/>
    <w:rsid w:val="0010058C"/>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55F"/>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43B0"/>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28E9"/>
    <w:rsid w:val="0024323B"/>
    <w:rsid w:val="002434DD"/>
    <w:rsid w:val="00243529"/>
    <w:rsid w:val="00244F00"/>
    <w:rsid w:val="002459B2"/>
    <w:rsid w:val="002466F0"/>
    <w:rsid w:val="00246EEF"/>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90C"/>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4E9"/>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C7F"/>
    <w:rsid w:val="00323F55"/>
    <w:rsid w:val="003240B1"/>
    <w:rsid w:val="0032482A"/>
    <w:rsid w:val="00324C1D"/>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2CC9"/>
    <w:rsid w:val="00342E3E"/>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44B9"/>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6BD"/>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19F"/>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449"/>
    <w:rsid w:val="003F1E3E"/>
    <w:rsid w:val="003F23D6"/>
    <w:rsid w:val="003F3D1E"/>
    <w:rsid w:val="003F44D0"/>
    <w:rsid w:val="003F513B"/>
    <w:rsid w:val="003F52BF"/>
    <w:rsid w:val="003F5FB1"/>
    <w:rsid w:val="003F6029"/>
    <w:rsid w:val="003F616B"/>
    <w:rsid w:val="003F668A"/>
    <w:rsid w:val="003F6997"/>
    <w:rsid w:val="003F6A6B"/>
    <w:rsid w:val="003F6C80"/>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5F14"/>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5D9"/>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0AEB"/>
    <w:rsid w:val="00491A0F"/>
    <w:rsid w:val="0049214D"/>
    <w:rsid w:val="004923AA"/>
    <w:rsid w:val="00493930"/>
    <w:rsid w:val="00493988"/>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39B"/>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626"/>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1EB4"/>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ED1"/>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87715"/>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2E2"/>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14C5"/>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996"/>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5DAA"/>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653C"/>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8B1"/>
    <w:rsid w:val="006E0DBB"/>
    <w:rsid w:val="006E13C2"/>
    <w:rsid w:val="006E166C"/>
    <w:rsid w:val="006E235E"/>
    <w:rsid w:val="006E33A1"/>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66AF"/>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3DAA"/>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153"/>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98C"/>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75E"/>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5BD8"/>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E2F"/>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B9C"/>
    <w:rsid w:val="00932C72"/>
    <w:rsid w:val="00933A6B"/>
    <w:rsid w:val="00934606"/>
    <w:rsid w:val="00934DDF"/>
    <w:rsid w:val="009351B7"/>
    <w:rsid w:val="00935A44"/>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3BAA"/>
    <w:rsid w:val="009D478F"/>
    <w:rsid w:val="009D49CE"/>
    <w:rsid w:val="009D5F6F"/>
    <w:rsid w:val="009D680C"/>
    <w:rsid w:val="009D682F"/>
    <w:rsid w:val="009D7032"/>
    <w:rsid w:val="009D7089"/>
    <w:rsid w:val="009D76B4"/>
    <w:rsid w:val="009D7708"/>
    <w:rsid w:val="009D7ADD"/>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0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4EF4"/>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27A"/>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1DF4"/>
    <w:rsid w:val="00B021F8"/>
    <w:rsid w:val="00B0265A"/>
    <w:rsid w:val="00B0355D"/>
    <w:rsid w:val="00B03638"/>
    <w:rsid w:val="00B047B3"/>
    <w:rsid w:val="00B04A9C"/>
    <w:rsid w:val="00B04CCF"/>
    <w:rsid w:val="00B0582E"/>
    <w:rsid w:val="00B0689E"/>
    <w:rsid w:val="00B06CEF"/>
    <w:rsid w:val="00B071F9"/>
    <w:rsid w:val="00B075FC"/>
    <w:rsid w:val="00B1035B"/>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44E"/>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47D96"/>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045"/>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3B3"/>
    <w:rsid w:val="00D3480A"/>
    <w:rsid w:val="00D35664"/>
    <w:rsid w:val="00D36602"/>
    <w:rsid w:val="00D36DE9"/>
    <w:rsid w:val="00D36F1C"/>
    <w:rsid w:val="00D37BBF"/>
    <w:rsid w:val="00D37DEE"/>
    <w:rsid w:val="00D40AF6"/>
    <w:rsid w:val="00D40E46"/>
    <w:rsid w:val="00D4314C"/>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1A82"/>
    <w:rsid w:val="00D93048"/>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77DEE"/>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06D9"/>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35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94"/>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5B6E"/>
    <w:rsid w:val="00F5612E"/>
    <w:rsid w:val="00F573C0"/>
    <w:rsid w:val="00F57785"/>
    <w:rsid w:val="00F607AF"/>
    <w:rsid w:val="00F61724"/>
    <w:rsid w:val="00F6475D"/>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8C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4842"/>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docId w15:val="{9850585D-6D6C-4CE2-B21E-5B51D5FB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Balloon Text"/>
    <w:basedOn w:val="a"/>
    <w:link w:val="a8"/>
    <w:uiPriority w:val="99"/>
    <w:semiHidden/>
    <w:unhideWhenUsed/>
    <w:rsid w:val="003B56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56BD"/>
    <w:rPr>
      <w:rFonts w:ascii="Tahoma" w:hAnsi="Tahoma" w:cs="Tahoma"/>
      <w:sz w:val="16"/>
      <w:szCs w:val="16"/>
    </w:rPr>
  </w:style>
  <w:style w:type="paragraph" w:styleId="a9">
    <w:name w:val="Normal (Web)"/>
    <w:basedOn w:val="a"/>
    <w:uiPriority w:val="99"/>
    <w:semiHidden/>
    <w:unhideWhenUsed/>
    <w:rsid w:val="003B56B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Strong"/>
    <w:basedOn w:val="a0"/>
    <w:uiPriority w:val="22"/>
    <w:qFormat/>
    <w:rsid w:val="003B56BD"/>
    <w:rPr>
      <w:b/>
      <w:bCs/>
    </w:rPr>
  </w:style>
  <w:style w:type="character" w:styleId="ab">
    <w:name w:val="Emphasis"/>
    <w:basedOn w:val="a0"/>
    <w:uiPriority w:val="20"/>
    <w:qFormat/>
    <w:rsid w:val="003B56BD"/>
    <w:rPr>
      <w:i/>
      <w:iCs/>
    </w:rPr>
  </w:style>
  <w:style w:type="character" w:styleId="ac">
    <w:name w:val="Placeholder Text"/>
    <w:basedOn w:val="a0"/>
    <w:uiPriority w:val="99"/>
    <w:semiHidden/>
    <w:rsid w:val="00D4314C"/>
    <w:rPr>
      <w:color w:val="808080"/>
    </w:rPr>
  </w:style>
  <w:style w:type="character" w:styleId="ad">
    <w:name w:val="Unresolved Mention"/>
    <w:basedOn w:val="a0"/>
    <w:uiPriority w:val="99"/>
    <w:semiHidden/>
    <w:unhideWhenUsed/>
    <w:rsid w:val="00713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272174138">
      <w:bodyDiv w:val="1"/>
      <w:marLeft w:val="0"/>
      <w:marRight w:val="0"/>
      <w:marTop w:val="0"/>
      <w:marBottom w:val="0"/>
      <w:divBdr>
        <w:top w:val="none" w:sz="0" w:space="0" w:color="auto"/>
        <w:left w:val="none" w:sz="0" w:space="0" w:color="auto"/>
        <w:bottom w:val="none" w:sz="0" w:space="0" w:color="auto"/>
        <w:right w:val="none" w:sz="0" w:space="0" w:color="auto"/>
      </w:divBdr>
    </w:div>
    <w:div w:id="52182679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781099827">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hyperlink" Target="https://doi.org/10.1051/e3sconf/202341005015" TargetMode="External"/><Relationship Id="rId26" Type="http://schemas.openxmlformats.org/officeDocument/2006/relationships/hyperlink" Target="https://doi.org/10.1051/e3sconf/202338301029" TargetMode="External"/><Relationship Id="rId3" Type="http://schemas.openxmlformats.org/officeDocument/2006/relationships/settings" Target="settings.xml"/><Relationship Id="rId21" Type="http://schemas.openxmlformats.org/officeDocument/2006/relationships/hyperlink" Target="https://doi.org/10.1051/e3sconf/202128801083" TargetMode="External"/><Relationship Id="rId34" Type="http://schemas.openxmlformats.org/officeDocument/2006/relationships/hyperlink" Target="https://doi.org/10.1051/e3sconf/202340105089"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doi.org/10.1051/e3sconf/202343401020" TargetMode="External"/><Relationship Id="rId25" Type="http://schemas.openxmlformats.org/officeDocument/2006/relationships/hyperlink" Target="https://doi.org/10.1063/5.0218808" TargetMode="External"/><Relationship Id="rId33" Type="http://schemas.openxmlformats.org/officeDocument/2006/relationships/hyperlink" Target="https://doi.org/10.1051/e3sconf/202128801082" TargetMode="External"/><Relationship Id="rId2" Type="http://schemas.openxmlformats.org/officeDocument/2006/relationships/styles" Target="styles.xml"/><Relationship Id="rId16" Type="http://schemas.openxmlformats.org/officeDocument/2006/relationships/hyperlink" Target="https://doi.org/10.1051/e3sconf/202341001018" TargetMode="External"/><Relationship Id="rId20" Type="http://schemas.openxmlformats.org/officeDocument/2006/relationships/hyperlink" Target="https://doi.org/10.1051/e3sconf/202341101041" TargetMode="External"/><Relationship Id="rId29" Type="http://schemas.openxmlformats.org/officeDocument/2006/relationships/hyperlink" Target="https://doi.org/10.59957/jctm.v58i2.6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1051/e3sconf/202340104040" TargetMode="External"/><Relationship Id="rId32" Type="http://schemas.openxmlformats.org/officeDocument/2006/relationships/hyperlink" Target="https://doi.org/10.15598/aeee.v21i3.5149" TargetMode="External"/><Relationship Id="rId5" Type="http://schemas.openxmlformats.org/officeDocument/2006/relationships/hyperlink" Target="mailto:olimjontoirov@gmail.com" TargetMode="External"/><Relationship Id="rId15" Type="http://schemas.openxmlformats.org/officeDocument/2006/relationships/hyperlink" Target="https://doi.org/10.1051/e3sconf/202449701015" TargetMode="External"/><Relationship Id="rId23" Type="http://schemas.openxmlformats.org/officeDocument/2006/relationships/hyperlink" Target="https://doi.org/10.1145/3386723.3387873" TargetMode="External"/><Relationship Id="rId28" Type="http://schemas.openxmlformats.org/officeDocument/2006/relationships/hyperlink" Target="https://doi.org/10.1051/e3sconf/202336504013"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doi.org/10.1145/3386723.3387868" TargetMode="External"/><Relationship Id="rId31" Type="http://schemas.openxmlformats.org/officeDocument/2006/relationships/hyperlink" Target="https://doi.org/10.1051/e3sconf/20234010509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63/5.0305670" TargetMode="External"/><Relationship Id="rId22" Type="http://schemas.openxmlformats.org/officeDocument/2006/relationships/hyperlink" Target="https://doi.org/10.1051/e3sconf/202128801086" TargetMode="External"/><Relationship Id="rId27" Type="http://schemas.openxmlformats.org/officeDocument/2006/relationships/hyperlink" Target="https://doi.org/10.1051/e3sconf/202337701004" TargetMode="External"/><Relationship Id="rId30" Type="http://schemas.openxmlformats.org/officeDocument/2006/relationships/hyperlink" Target="https://doi.org/10.1051/e3sconf/202128801085"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3653</Words>
  <Characters>20824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eso</dc:creator>
  <cp:lastModifiedBy>Пользователь</cp:lastModifiedBy>
  <cp:revision>12</cp:revision>
  <cp:lastPrinted>2023-12-26T18:03:00Z</cp:lastPrinted>
  <dcterms:created xsi:type="dcterms:W3CDTF">2025-12-24T20:58:00Z</dcterms:created>
  <dcterms:modified xsi:type="dcterms:W3CDTF">2026-01-04T10:41:00Z</dcterms:modified>
</cp:coreProperties>
</file>