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E3F68" w14:textId="77777777" w:rsidR="001B2829" w:rsidRPr="00E773A2" w:rsidRDefault="00A86E12" w:rsidP="000C7732">
      <w:pPr>
        <w:spacing w:before="1200" w:line="240" w:lineRule="auto"/>
        <w:jc w:val="center"/>
        <w:rPr>
          <w:rFonts w:ascii="Times New Roman" w:hAnsi="Times New Roman" w:cs="Times New Roman"/>
          <w:b/>
          <w:bCs/>
          <w:sz w:val="36"/>
          <w:szCs w:val="36"/>
        </w:rPr>
      </w:pPr>
      <w:bookmarkStart w:id="0" w:name="_Hlk216828107"/>
      <w:bookmarkEnd w:id="0"/>
      <w:r w:rsidRPr="00E773A2">
        <w:rPr>
          <w:rFonts w:ascii="Times New Roman" w:hAnsi="Times New Roman" w:cs="Times New Roman"/>
          <w:b/>
          <w:bCs/>
          <w:sz w:val="36"/>
          <w:szCs w:val="36"/>
        </w:rPr>
        <w:t>Improving Mathematics Teaching in Higher Education through a Competency-Based and STEAM-Integrated Approach</w:t>
      </w:r>
    </w:p>
    <w:p w14:paraId="5309FD72" w14:textId="5E828A2C" w:rsidR="00451930" w:rsidRPr="00E773A2" w:rsidRDefault="00A86E12" w:rsidP="000C7732">
      <w:pPr>
        <w:spacing w:before="240" w:line="240" w:lineRule="auto"/>
        <w:jc w:val="center"/>
        <w:rPr>
          <w:rFonts w:ascii="Times New Roman" w:hAnsi="Times New Roman" w:cs="Times New Roman"/>
          <w:sz w:val="20"/>
          <w:szCs w:val="20"/>
        </w:rPr>
      </w:pPr>
      <w:proofErr w:type="spellStart"/>
      <w:proofErr w:type="gramStart"/>
      <w:r w:rsidRPr="00E773A2">
        <w:rPr>
          <w:rFonts w:ascii="Times New Roman" w:hAnsi="Times New Roman" w:cs="Times New Roman"/>
          <w:sz w:val="28"/>
          <w:szCs w:val="28"/>
        </w:rPr>
        <w:t>O‘</w:t>
      </w:r>
      <w:proofErr w:type="gramEnd"/>
      <w:r w:rsidRPr="00E773A2">
        <w:rPr>
          <w:rFonts w:ascii="Times New Roman" w:hAnsi="Times New Roman" w:cs="Times New Roman"/>
          <w:sz w:val="28"/>
          <w:szCs w:val="28"/>
        </w:rPr>
        <w:t>g‘iloy</w:t>
      </w:r>
      <w:proofErr w:type="spellEnd"/>
      <w:r w:rsidRPr="00E773A2">
        <w:rPr>
          <w:rFonts w:ascii="Times New Roman" w:hAnsi="Times New Roman" w:cs="Times New Roman"/>
          <w:sz w:val="28"/>
          <w:szCs w:val="28"/>
        </w:rPr>
        <w:t xml:space="preserve"> </w:t>
      </w:r>
      <w:proofErr w:type="spellStart"/>
      <w:r w:rsidRPr="00E773A2">
        <w:rPr>
          <w:rFonts w:ascii="Times New Roman" w:hAnsi="Times New Roman" w:cs="Times New Roman"/>
          <w:sz w:val="28"/>
          <w:szCs w:val="28"/>
        </w:rPr>
        <w:t>Sultonova</w:t>
      </w:r>
      <w:proofErr w:type="spellEnd"/>
      <w:r w:rsidR="00E773A2" w:rsidRPr="00E773A2">
        <w:rPr>
          <w:rFonts w:ascii="Times New Roman" w:hAnsi="Times New Roman" w:cs="Times New Roman"/>
          <w:sz w:val="28"/>
          <w:szCs w:val="28"/>
        </w:rPr>
        <w:t xml:space="preserve"> </w:t>
      </w:r>
      <w:r w:rsidR="006C7C21" w:rsidRPr="00E773A2">
        <w:rPr>
          <w:rFonts w:ascii="Times New Roman" w:hAnsi="Times New Roman" w:cs="Times New Roman"/>
          <w:szCs w:val="18"/>
          <w:vertAlign w:val="superscript"/>
        </w:rPr>
        <w:t>a)</w:t>
      </w:r>
      <w:r w:rsidRPr="00E773A2">
        <w:rPr>
          <w:rFonts w:ascii="Times New Roman" w:hAnsi="Times New Roman" w:cs="Times New Roman"/>
          <w:sz w:val="28"/>
          <w:szCs w:val="28"/>
        </w:rPr>
        <w:t xml:space="preserve">, </w:t>
      </w:r>
      <w:proofErr w:type="spellStart"/>
      <w:r w:rsidRPr="00E773A2">
        <w:rPr>
          <w:rFonts w:ascii="Times New Roman" w:hAnsi="Times New Roman" w:cs="Times New Roman"/>
          <w:sz w:val="28"/>
          <w:szCs w:val="28"/>
        </w:rPr>
        <w:t>Rasul</w:t>
      </w:r>
      <w:proofErr w:type="spellEnd"/>
      <w:r w:rsidRPr="00E773A2">
        <w:rPr>
          <w:rFonts w:ascii="Times New Roman" w:hAnsi="Times New Roman" w:cs="Times New Roman"/>
          <w:sz w:val="28"/>
          <w:szCs w:val="28"/>
        </w:rPr>
        <w:t xml:space="preserve"> </w:t>
      </w:r>
      <w:proofErr w:type="spellStart"/>
      <w:r w:rsidRPr="00E773A2">
        <w:rPr>
          <w:rFonts w:ascii="Times New Roman" w:hAnsi="Times New Roman" w:cs="Times New Roman"/>
          <w:sz w:val="28"/>
          <w:szCs w:val="28"/>
        </w:rPr>
        <w:t>Turayev</w:t>
      </w:r>
      <w:proofErr w:type="spellEnd"/>
      <w:r w:rsidRPr="00E773A2">
        <w:rPr>
          <w:rFonts w:ascii="Times New Roman" w:hAnsi="Times New Roman" w:cs="Times New Roman"/>
          <w:sz w:val="28"/>
          <w:szCs w:val="28"/>
        </w:rPr>
        <w:t xml:space="preserve">, </w:t>
      </w:r>
      <w:proofErr w:type="spellStart"/>
      <w:r w:rsidRPr="00E773A2">
        <w:rPr>
          <w:rFonts w:ascii="Times New Roman" w:hAnsi="Times New Roman" w:cs="Times New Roman"/>
          <w:sz w:val="28"/>
          <w:szCs w:val="28"/>
        </w:rPr>
        <w:t>Ergash</w:t>
      </w:r>
      <w:proofErr w:type="spellEnd"/>
      <w:r w:rsidRPr="00E773A2">
        <w:rPr>
          <w:rFonts w:ascii="Times New Roman" w:hAnsi="Times New Roman" w:cs="Times New Roman"/>
          <w:sz w:val="28"/>
          <w:szCs w:val="28"/>
        </w:rPr>
        <w:t xml:space="preserve"> </w:t>
      </w:r>
      <w:proofErr w:type="spellStart"/>
      <w:r w:rsidRPr="00E773A2">
        <w:rPr>
          <w:rFonts w:ascii="Times New Roman" w:hAnsi="Times New Roman" w:cs="Times New Roman"/>
          <w:sz w:val="28"/>
          <w:szCs w:val="28"/>
        </w:rPr>
        <w:t>Turayev</w:t>
      </w:r>
      <w:proofErr w:type="spellEnd"/>
      <w:r w:rsidRPr="00E773A2">
        <w:rPr>
          <w:rFonts w:ascii="Times New Roman" w:hAnsi="Times New Roman" w:cs="Times New Roman"/>
          <w:sz w:val="28"/>
          <w:szCs w:val="28"/>
        </w:rPr>
        <w:t xml:space="preserve">, </w:t>
      </w:r>
      <w:proofErr w:type="spellStart"/>
      <w:r w:rsidRPr="00E773A2">
        <w:rPr>
          <w:rFonts w:ascii="Times New Roman" w:hAnsi="Times New Roman" w:cs="Times New Roman"/>
          <w:sz w:val="28"/>
          <w:szCs w:val="28"/>
        </w:rPr>
        <w:t>Qahramon</w:t>
      </w:r>
      <w:proofErr w:type="spellEnd"/>
      <w:r w:rsidRPr="00E773A2">
        <w:rPr>
          <w:rFonts w:ascii="Times New Roman" w:hAnsi="Times New Roman" w:cs="Times New Roman"/>
          <w:sz w:val="28"/>
          <w:szCs w:val="28"/>
        </w:rPr>
        <w:t xml:space="preserve"> </w:t>
      </w:r>
      <w:proofErr w:type="spellStart"/>
      <w:r w:rsidRPr="00E773A2">
        <w:rPr>
          <w:rFonts w:ascii="Times New Roman" w:hAnsi="Times New Roman" w:cs="Times New Roman"/>
          <w:sz w:val="28"/>
          <w:szCs w:val="28"/>
        </w:rPr>
        <w:t>Eshqorayev</w:t>
      </w:r>
      <w:proofErr w:type="spellEnd"/>
      <w:r w:rsidRPr="00E773A2">
        <w:rPr>
          <w:rFonts w:ascii="Times New Roman" w:hAnsi="Times New Roman" w:cs="Times New Roman"/>
          <w:sz w:val="28"/>
          <w:szCs w:val="28"/>
        </w:rPr>
        <w:t xml:space="preserve">, </w:t>
      </w:r>
      <w:proofErr w:type="spellStart"/>
      <w:r w:rsidRPr="00E773A2">
        <w:rPr>
          <w:rFonts w:ascii="Times New Roman" w:hAnsi="Times New Roman" w:cs="Times New Roman"/>
          <w:sz w:val="28"/>
          <w:szCs w:val="28"/>
        </w:rPr>
        <w:t>Aburaxmat</w:t>
      </w:r>
      <w:proofErr w:type="spellEnd"/>
      <w:r w:rsidRPr="00E773A2">
        <w:rPr>
          <w:rFonts w:ascii="Times New Roman" w:hAnsi="Times New Roman" w:cs="Times New Roman"/>
          <w:sz w:val="28"/>
          <w:szCs w:val="28"/>
        </w:rPr>
        <w:t xml:space="preserve"> </w:t>
      </w:r>
      <w:proofErr w:type="spellStart"/>
      <w:r w:rsidRPr="00E773A2">
        <w:rPr>
          <w:rFonts w:ascii="Times New Roman" w:hAnsi="Times New Roman" w:cs="Times New Roman"/>
          <w:sz w:val="28"/>
          <w:szCs w:val="28"/>
        </w:rPr>
        <w:t>Eshqorayev</w:t>
      </w:r>
      <w:proofErr w:type="spellEnd"/>
      <w:r w:rsidRPr="00E773A2">
        <w:rPr>
          <w:rFonts w:ascii="Times New Roman" w:hAnsi="Times New Roman" w:cs="Times New Roman"/>
          <w:sz w:val="28"/>
          <w:szCs w:val="28"/>
        </w:rPr>
        <w:t xml:space="preserve">, </w:t>
      </w:r>
      <w:proofErr w:type="spellStart"/>
      <w:r w:rsidRPr="00E773A2">
        <w:rPr>
          <w:rFonts w:ascii="Times New Roman" w:hAnsi="Times New Roman" w:cs="Times New Roman"/>
          <w:sz w:val="28"/>
          <w:szCs w:val="28"/>
        </w:rPr>
        <w:t>Hilola</w:t>
      </w:r>
      <w:proofErr w:type="spellEnd"/>
      <w:r w:rsidRPr="00E773A2">
        <w:rPr>
          <w:rFonts w:ascii="Times New Roman" w:hAnsi="Times New Roman" w:cs="Times New Roman"/>
          <w:sz w:val="28"/>
          <w:szCs w:val="28"/>
        </w:rPr>
        <w:t xml:space="preserve"> </w:t>
      </w:r>
      <w:proofErr w:type="spellStart"/>
      <w:r w:rsidRPr="00E773A2">
        <w:rPr>
          <w:rFonts w:ascii="Times New Roman" w:hAnsi="Times New Roman" w:cs="Times New Roman"/>
          <w:sz w:val="28"/>
          <w:szCs w:val="28"/>
        </w:rPr>
        <w:t>Abdusamatova</w:t>
      </w:r>
      <w:proofErr w:type="spellEnd"/>
    </w:p>
    <w:p w14:paraId="7B0D1AED" w14:textId="2E553C34" w:rsidR="00A86E12" w:rsidRPr="00E773A2" w:rsidRDefault="00A86E12" w:rsidP="000C7732">
      <w:pPr>
        <w:spacing w:after="0" w:line="240" w:lineRule="auto"/>
        <w:jc w:val="center"/>
        <w:rPr>
          <w:rFonts w:ascii="Times New Roman" w:hAnsi="Times New Roman" w:cs="Times New Roman"/>
          <w:i/>
          <w:iCs/>
          <w:szCs w:val="18"/>
          <w:vertAlign w:val="superscript"/>
        </w:rPr>
      </w:pPr>
      <w:r w:rsidRPr="00E773A2">
        <w:rPr>
          <w:rFonts w:ascii="Times New Roman" w:hAnsi="Times New Roman" w:cs="Times New Roman"/>
          <w:i/>
          <w:iCs/>
          <w:sz w:val="20"/>
          <w:szCs w:val="20"/>
        </w:rPr>
        <w:t>Termez State University of Engineering and Agrotechnology, Term</w:t>
      </w:r>
      <w:r w:rsidR="0054678A" w:rsidRPr="00E773A2">
        <w:rPr>
          <w:rFonts w:ascii="Times New Roman" w:hAnsi="Times New Roman" w:cs="Times New Roman"/>
          <w:i/>
          <w:iCs/>
          <w:sz w:val="20"/>
          <w:szCs w:val="20"/>
        </w:rPr>
        <w:t>e</w:t>
      </w:r>
      <w:r w:rsidRPr="00E773A2">
        <w:rPr>
          <w:rFonts w:ascii="Times New Roman" w:hAnsi="Times New Roman" w:cs="Times New Roman"/>
          <w:i/>
          <w:iCs/>
          <w:sz w:val="20"/>
          <w:szCs w:val="20"/>
        </w:rPr>
        <w:t>z, Uzbekistan</w:t>
      </w:r>
    </w:p>
    <w:p w14:paraId="63833073" w14:textId="711A9D38" w:rsidR="001B2829" w:rsidRPr="00E773A2" w:rsidRDefault="00451930" w:rsidP="000C7732">
      <w:pPr>
        <w:spacing w:before="200" w:line="240" w:lineRule="auto"/>
        <w:jc w:val="center"/>
        <w:rPr>
          <w:rFonts w:ascii="Times New Roman" w:hAnsi="Times New Roman" w:cs="Times New Roman"/>
          <w:i/>
          <w:iCs/>
          <w:sz w:val="28"/>
          <w:szCs w:val="28"/>
        </w:rPr>
      </w:pPr>
      <w:r w:rsidRPr="00E773A2">
        <w:rPr>
          <w:rFonts w:ascii="Times New Roman" w:hAnsi="Times New Roman" w:cs="Times New Roman"/>
          <w:i/>
          <w:iCs/>
          <w:szCs w:val="18"/>
          <w:vertAlign w:val="superscript"/>
        </w:rPr>
        <w:t>a)</w:t>
      </w:r>
      <w:r w:rsidRPr="00E773A2">
        <w:rPr>
          <w:rFonts w:ascii="Times New Roman" w:hAnsi="Times New Roman" w:cs="Times New Roman"/>
          <w:i/>
          <w:iCs/>
          <w:sz w:val="20"/>
          <w:szCs w:val="20"/>
        </w:rPr>
        <w:t xml:space="preserve"> </w:t>
      </w:r>
      <w:r w:rsidR="00A86E12" w:rsidRPr="00E773A2">
        <w:rPr>
          <w:rFonts w:ascii="Times New Roman" w:hAnsi="Times New Roman" w:cs="Times New Roman"/>
          <w:i/>
          <w:iCs/>
          <w:sz w:val="20"/>
          <w:szCs w:val="20"/>
        </w:rPr>
        <w:t xml:space="preserve">Corresponding author: </w:t>
      </w:r>
      <w:hyperlink r:id="rId6" w:history="1">
        <w:r w:rsidR="0032239B" w:rsidRPr="00E773A2">
          <w:rPr>
            <w:rStyle w:val="aff9"/>
            <w:rFonts w:ascii="Times New Roman" w:hAnsi="Times New Roman" w:cs="Times New Roman"/>
            <w:i/>
            <w:iCs/>
            <w:sz w:val="20"/>
            <w:szCs w:val="20"/>
          </w:rPr>
          <w:t>qanvar94@mail.ru</w:t>
        </w:r>
      </w:hyperlink>
    </w:p>
    <w:p w14:paraId="1517D154" w14:textId="34949391" w:rsidR="00451930" w:rsidRPr="00E773A2" w:rsidRDefault="0032239B" w:rsidP="000C7732">
      <w:pPr>
        <w:spacing w:before="360" w:after="360" w:line="240" w:lineRule="auto"/>
        <w:ind w:left="284"/>
        <w:jc w:val="both"/>
        <w:rPr>
          <w:rFonts w:ascii="Times New Roman" w:hAnsi="Times New Roman" w:cs="Times New Roman"/>
          <w:sz w:val="18"/>
          <w:szCs w:val="28"/>
        </w:rPr>
      </w:pPr>
      <w:r w:rsidRPr="00E773A2">
        <w:rPr>
          <w:rFonts w:ascii="Times New Roman" w:hAnsi="Times New Roman" w:cs="Times New Roman"/>
          <w:b/>
          <w:sz w:val="18"/>
          <w:szCs w:val="28"/>
        </w:rPr>
        <w:t>Abstract</w:t>
      </w:r>
      <w:r w:rsidR="00451930" w:rsidRPr="00E773A2">
        <w:rPr>
          <w:rFonts w:ascii="Times New Roman" w:hAnsi="Times New Roman" w:cs="Times New Roman"/>
          <w:b/>
          <w:sz w:val="18"/>
          <w:szCs w:val="28"/>
        </w:rPr>
        <w:t>.</w:t>
      </w:r>
      <w:r w:rsidR="00451930" w:rsidRPr="00E773A2">
        <w:rPr>
          <w:rFonts w:ascii="Times New Roman" w:hAnsi="Times New Roman" w:cs="Times New Roman"/>
          <w:sz w:val="18"/>
          <w:szCs w:val="28"/>
        </w:rPr>
        <w:t xml:space="preserve"> This quasi-experimental study examines the effectiveness of a competency-based and STEAM-integrated instructional approach in improving undergraduate mathematics learning outcomes in higher education. The study involved a total of 460 undergraduate students, including an experimental group (n=230) and a control group (n=230). The experimental group was instructed using a competency-based teaching model enriched with interdisciplinary STEAM elements, while the control group received traditional lecture-based instruction. Students’ learning outcomes were measured using achievement pre-tests and post-tests. Quantitative data were analyzed using paired-samples and independent-samples t-tests. The results revealed a statistically significant improvement in the experimental group (p &lt; 0.001) with a large effect size (Cohen’s d=1.48). The findings demonstrate that integrating competency-based principles with STEAM methodology significantly enhances students’ mathematical achievement.</w:t>
      </w:r>
    </w:p>
    <w:p w14:paraId="71A91B3E" w14:textId="27443BD7" w:rsidR="001B2829" w:rsidRPr="00E773A2" w:rsidRDefault="00451930" w:rsidP="00502492">
      <w:pPr>
        <w:overflowPunct w:val="0"/>
        <w:autoSpaceDE w:val="0"/>
        <w:autoSpaceDN w:val="0"/>
        <w:adjustRightInd w:val="0"/>
        <w:spacing w:before="240" w:after="240" w:line="240" w:lineRule="auto"/>
        <w:ind w:firstLine="284"/>
        <w:jc w:val="center"/>
        <w:textAlignment w:val="baseline"/>
        <w:rPr>
          <w:rFonts w:ascii="Times New Roman" w:eastAsiaTheme="minorHAnsi" w:hAnsi="Times New Roman" w:cs="Times New Roman"/>
          <w:b/>
          <w:sz w:val="24"/>
          <w:szCs w:val="24"/>
        </w:rPr>
      </w:pPr>
      <w:r w:rsidRPr="00E773A2">
        <w:rPr>
          <w:rFonts w:ascii="Times New Roman" w:eastAsiaTheme="minorHAnsi" w:hAnsi="Times New Roman" w:cs="Times New Roman"/>
          <w:b/>
          <w:sz w:val="24"/>
          <w:szCs w:val="24"/>
        </w:rPr>
        <w:t>INTRODUCTION</w:t>
      </w:r>
    </w:p>
    <w:p w14:paraId="473AE6AB" w14:textId="42EDE9D5" w:rsidR="00F80062" w:rsidRPr="00E773A2" w:rsidRDefault="00A86E12" w:rsidP="000C7732">
      <w:pPr>
        <w:spacing w:after="0" w:line="240" w:lineRule="auto"/>
        <w:ind w:firstLine="284"/>
        <w:jc w:val="both"/>
        <w:rPr>
          <w:rFonts w:ascii="Times New Roman" w:hAnsi="Times New Roman" w:cs="Times New Roman"/>
          <w:sz w:val="20"/>
          <w:szCs w:val="20"/>
        </w:rPr>
      </w:pPr>
      <w:r w:rsidRPr="00E773A2">
        <w:rPr>
          <w:rFonts w:ascii="Times New Roman" w:hAnsi="Times New Roman" w:cs="Times New Roman"/>
          <w:sz w:val="20"/>
          <w:szCs w:val="20"/>
        </w:rPr>
        <w:t>In recent years, higher education systems worldwide have increasingly emphasized the development of students’ competencies rather than the mere transmission of subject knowledge. This shift is driven by the growing demand for graduates who are capable of applying mathematical knowledge in real-life and professional contexts, engaging in independent problem-solving, and adapting to rapidly changing technological and social environments. As a result, improving the effectiveness of mathematics teaching in higher education has become a critical pedagogical</w:t>
      </w:r>
      <w:r w:rsidR="00F80062" w:rsidRPr="00E773A2">
        <w:rPr>
          <w:rFonts w:ascii="Times New Roman" w:hAnsi="Times New Roman" w:cs="Times New Roman"/>
          <w:sz w:val="20"/>
          <w:szCs w:val="20"/>
        </w:rPr>
        <w:t xml:space="preserve"> challenge.</w:t>
      </w:r>
    </w:p>
    <w:p w14:paraId="7F8708DD" w14:textId="09FF7798" w:rsidR="001B2829" w:rsidRPr="00E773A2" w:rsidRDefault="00A86E12" w:rsidP="000C7732">
      <w:pPr>
        <w:spacing w:after="0" w:line="240" w:lineRule="auto"/>
        <w:ind w:firstLine="284"/>
        <w:jc w:val="both"/>
        <w:rPr>
          <w:rFonts w:ascii="Times New Roman" w:hAnsi="Times New Roman" w:cs="Times New Roman"/>
          <w:sz w:val="20"/>
          <w:szCs w:val="20"/>
        </w:rPr>
      </w:pPr>
      <w:r w:rsidRPr="00E773A2">
        <w:rPr>
          <w:rFonts w:ascii="Times New Roman" w:hAnsi="Times New Roman" w:cs="Times New Roman"/>
          <w:sz w:val="20"/>
          <w:szCs w:val="20"/>
        </w:rPr>
        <w:t>Traditional approaches to teaching mathematics in universities often focus on theoretical explanations and procedural exercises, which may limit students’ ability to transfer knowledge to practical situations. Numerous studies in mathematics education highlight that such approaches frequently lead to passive learning, low motivation, and insufficient development of higher-order thinking skills. In response, the competency-based approach has been proposed as a promising framework for aligning educational outcomes with the needs of contemporary society and the labor market.</w:t>
      </w:r>
      <w:r w:rsidR="00DB59E4" w:rsidRPr="00E773A2">
        <w:rPr>
          <w:rFonts w:ascii="Times New Roman" w:hAnsi="Times New Roman" w:cs="Times New Roman"/>
          <w:sz w:val="20"/>
          <w:szCs w:val="20"/>
        </w:rPr>
        <w:t xml:space="preserve"> </w:t>
      </w:r>
      <w:r w:rsidRPr="00E773A2">
        <w:rPr>
          <w:rFonts w:ascii="Times New Roman" w:hAnsi="Times New Roman" w:cs="Times New Roman"/>
          <w:sz w:val="20"/>
          <w:szCs w:val="20"/>
        </w:rPr>
        <w:t>The competency-based approach emphasizes the integration of knowledge, skills, and attitudes, enabling students to apply what they have learned in diverse and unfamiliar situations. Recently, STEAM education has gained considerable attention as an interdisciplinary approach connecting mathematics with real-life applications. This study addresses this gap by investigating the effectiveness of a competency-based and STEAM-integrated instructional approach in higher education.</w:t>
      </w:r>
    </w:p>
    <w:p w14:paraId="080B9179" w14:textId="146C7E5A" w:rsidR="00502492" w:rsidRPr="00E773A2" w:rsidRDefault="00502492" w:rsidP="00502492">
      <w:pPr>
        <w:spacing w:after="0" w:line="240" w:lineRule="auto"/>
        <w:ind w:firstLine="284"/>
        <w:jc w:val="both"/>
        <w:rPr>
          <w:rFonts w:ascii="Times New Roman" w:hAnsi="Times New Roman" w:cs="Times New Roman"/>
          <w:sz w:val="20"/>
          <w:szCs w:val="20"/>
        </w:rPr>
      </w:pPr>
      <w:r w:rsidRPr="00E773A2">
        <w:rPr>
          <w:rFonts w:ascii="Times New Roman" w:hAnsi="Times New Roman" w:cs="Times New Roman"/>
          <w:sz w:val="20"/>
          <w:szCs w:val="20"/>
        </w:rPr>
        <w:t>This figure-1 illustrates the interaction between competency-based principles, interdisciplinary STEAM integration, and active learning strategies, demonstrating how these components collectively contribute to enhanced mathematical learning outcomes</w:t>
      </w:r>
    </w:p>
    <w:p w14:paraId="637B30CA" w14:textId="77777777" w:rsidR="00502492" w:rsidRPr="00E773A2" w:rsidRDefault="00502492" w:rsidP="000C7732">
      <w:pPr>
        <w:spacing w:after="0" w:line="240" w:lineRule="auto"/>
        <w:ind w:firstLine="284"/>
        <w:jc w:val="both"/>
        <w:rPr>
          <w:rFonts w:ascii="Times New Roman" w:hAnsi="Times New Roman" w:cs="Times New Roman"/>
          <w:sz w:val="20"/>
          <w:szCs w:val="20"/>
        </w:rPr>
      </w:pPr>
    </w:p>
    <w:p w14:paraId="02E76C45" w14:textId="5EF7D7E8" w:rsidR="00FB4D80" w:rsidRPr="00E773A2" w:rsidRDefault="00FB4D80" w:rsidP="00502492">
      <w:pPr>
        <w:spacing w:after="0" w:line="240" w:lineRule="auto"/>
        <w:jc w:val="center"/>
        <w:rPr>
          <w:rFonts w:ascii="Times New Roman" w:hAnsi="Times New Roman" w:cs="Times New Roman"/>
          <w:sz w:val="20"/>
          <w:szCs w:val="20"/>
        </w:rPr>
      </w:pPr>
      <w:r w:rsidRPr="00E773A2">
        <w:rPr>
          <w:rFonts w:ascii="Times New Roman" w:hAnsi="Times New Roman" w:cs="Times New Roman"/>
          <w:noProof/>
          <w:sz w:val="20"/>
          <w:szCs w:val="20"/>
          <w:lang w:val="ru-RU" w:eastAsia="ru-RU"/>
        </w:rPr>
        <w:lastRenderedPageBreak/>
        <w:drawing>
          <wp:inline distT="0" distB="0" distL="0" distR="0" wp14:anchorId="504F636D" wp14:editId="4CF5894D">
            <wp:extent cx="4600575" cy="2470875"/>
            <wp:effectExtent l="0" t="0" r="0" b="5715"/>
            <wp:docPr id="336382677" name="Рисунок 1" descr="An Integrative Outlook on STEAM Education | Connecticut Childre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An Integrative Outlook on STEAM Education | Connecticut Childre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630983" cy="2487207"/>
                    </a:xfrm>
                    <a:prstGeom prst="rect">
                      <a:avLst/>
                    </a:prstGeom>
                    <a:noFill/>
                    <a:ln>
                      <a:noFill/>
                    </a:ln>
                  </pic:spPr>
                </pic:pic>
              </a:graphicData>
            </a:graphic>
          </wp:inline>
        </w:drawing>
      </w:r>
    </w:p>
    <w:p w14:paraId="052C7200" w14:textId="6F20638E" w:rsidR="00502492" w:rsidRPr="00E773A2" w:rsidRDefault="00502492" w:rsidP="00E773A2">
      <w:pPr>
        <w:spacing w:after="0" w:line="240" w:lineRule="auto"/>
        <w:ind w:firstLine="284"/>
        <w:jc w:val="center"/>
        <w:rPr>
          <w:rFonts w:ascii="Times New Roman" w:hAnsi="Times New Roman" w:cs="Times New Roman"/>
          <w:noProof/>
          <w:sz w:val="20"/>
          <w:szCs w:val="20"/>
        </w:rPr>
      </w:pPr>
      <w:r w:rsidRPr="00E773A2">
        <w:rPr>
          <w:rFonts w:ascii="Times New Roman" w:hAnsi="Times New Roman" w:cs="Times New Roman"/>
          <w:noProof/>
          <w:sz w:val="20"/>
          <w:szCs w:val="20"/>
        </w:rPr>
        <w:t>a)</w:t>
      </w:r>
    </w:p>
    <w:p w14:paraId="43B9A04D" w14:textId="03314D71" w:rsidR="00FB4D80" w:rsidRPr="00E773A2" w:rsidRDefault="00FB4D80" w:rsidP="00502492">
      <w:pPr>
        <w:spacing w:after="0" w:line="240" w:lineRule="auto"/>
        <w:jc w:val="center"/>
        <w:rPr>
          <w:rFonts w:ascii="Times New Roman" w:hAnsi="Times New Roman" w:cs="Times New Roman"/>
          <w:b/>
          <w:bCs/>
          <w:sz w:val="20"/>
          <w:szCs w:val="20"/>
        </w:rPr>
      </w:pPr>
      <w:r w:rsidRPr="00E773A2">
        <w:rPr>
          <w:rFonts w:ascii="Times New Roman" w:hAnsi="Times New Roman" w:cs="Times New Roman"/>
          <w:noProof/>
          <w:sz w:val="20"/>
          <w:szCs w:val="20"/>
          <w:lang w:val="ru-RU" w:eastAsia="ru-RU"/>
        </w:rPr>
        <w:drawing>
          <wp:inline distT="0" distB="0" distL="0" distR="0" wp14:anchorId="0FB68B1F" wp14:editId="3716D256">
            <wp:extent cx="4533900" cy="3041491"/>
            <wp:effectExtent l="0" t="0" r="0" b="6985"/>
            <wp:docPr id="1324882257" name="Рисунок 2" descr="Competency-Based Education Progr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Competency-Based Education Programs"/>
                    <pic:cNvPicPr>
                      <a:picLocks noChangeAspect="1" noChangeArrowheads="1"/>
                    </pic:cNvPicPr>
                  </pic:nvPicPr>
                  <pic:blipFill rotWithShape="1">
                    <a:blip r:embed="rId8">
                      <a:clrChange>
                        <a:clrFrom>
                          <a:srgbClr val="F2F2F2"/>
                        </a:clrFrom>
                        <a:clrTo>
                          <a:srgbClr val="F2F2F2">
                            <a:alpha val="0"/>
                          </a:srgbClr>
                        </a:clrTo>
                      </a:clrChange>
                      <a:extLst>
                        <a:ext uri="{28A0092B-C50C-407E-A947-70E740481C1C}">
                          <a14:useLocalDpi xmlns:a14="http://schemas.microsoft.com/office/drawing/2010/main" val="0"/>
                        </a:ext>
                      </a:extLst>
                    </a:blip>
                    <a:srcRect t="19317"/>
                    <a:stretch>
                      <a:fillRect/>
                    </a:stretch>
                  </pic:blipFill>
                  <pic:spPr bwMode="auto">
                    <a:xfrm>
                      <a:off x="0" y="0"/>
                      <a:ext cx="4540272" cy="3045766"/>
                    </a:xfrm>
                    <a:prstGeom prst="rect">
                      <a:avLst/>
                    </a:prstGeom>
                    <a:noFill/>
                    <a:ln>
                      <a:noFill/>
                    </a:ln>
                    <a:extLst>
                      <a:ext uri="{53640926-AAD7-44D8-BBD7-CCE9431645EC}">
                        <a14:shadowObscured xmlns:a14="http://schemas.microsoft.com/office/drawing/2010/main"/>
                      </a:ext>
                    </a:extLst>
                  </pic:spPr>
                </pic:pic>
              </a:graphicData>
            </a:graphic>
          </wp:inline>
        </w:drawing>
      </w:r>
    </w:p>
    <w:p w14:paraId="45A115C5" w14:textId="08CBADFB" w:rsidR="00502492" w:rsidRPr="00E773A2" w:rsidRDefault="00502492" w:rsidP="000C7732">
      <w:pPr>
        <w:spacing w:after="0" w:line="240" w:lineRule="auto"/>
        <w:ind w:firstLine="284"/>
        <w:jc w:val="center"/>
        <w:rPr>
          <w:rFonts w:ascii="Times New Roman" w:hAnsi="Times New Roman" w:cs="Times New Roman"/>
          <w:sz w:val="20"/>
          <w:szCs w:val="20"/>
        </w:rPr>
      </w:pPr>
      <w:r w:rsidRPr="00E773A2">
        <w:rPr>
          <w:rFonts w:ascii="Times New Roman" w:hAnsi="Times New Roman" w:cs="Times New Roman"/>
          <w:sz w:val="20"/>
          <w:szCs w:val="20"/>
        </w:rPr>
        <w:t>b)</w:t>
      </w:r>
    </w:p>
    <w:p w14:paraId="0AC0109D" w14:textId="6A8F59FE" w:rsidR="006C7C21" w:rsidRPr="00E773A2" w:rsidRDefault="001C2200" w:rsidP="006F2ABA">
      <w:pPr>
        <w:spacing w:after="0" w:line="240" w:lineRule="auto"/>
        <w:ind w:firstLine="284"/>
        <w:jc w:val="center"/>
        <w:rPr>
          <w:rFonts w:ascii="Times New Roman" w:hAnsi="Times New Roman" w:cs="Times New Roman"/>
          <w:bCs/>
          <w:sz w:val="20"/>
          <w:szCs w:val="20"/>
        </w:rPr>
      </w:pPr>
      <w:bookmarkStart w:id="1" w:name="_Hlk218668477"/>
      <w:r w:rsidRPr="00E773A2">
        <w:rPr>
          <w:rFonts w:ascii="Times New Roman" w:hAnsi="Times New Roman" w:cs="Times New Roman"/>
          <w:b/>
          <w:bCs/>
          <w:sz w:val="20"/>
          <w:szCs w:val="20"/>
        </w:rPr>
        <w:t>FIGURE 1</w:t>
      </w:r>
      <w:r w:rsidR="005D30FB" w:rsidRPr="00E773A2">
        <w:rPr>
          <w:rFonts w:ascii="Times New Roman" w:hAnsi="Times New Roman" w:cs="Times New Roman"/>
          <w:b/>
          <w:bCs/>
          <w:sz w:val="20"/>
          <w:szCs w:val="20"/>
        </w:rPr>
        <w:t xml:space="preserve">. </w:t>
      </w:r>
      <w:r w:rsidR="005D30FB" w:rsidRPr="00E773A2">
        <w:rPr>
          <w:rFonts w:ascii="Times New Roman" w:hAnsi="Times New Roman" w:cs="Times New Roman"/>
          <w:bCs/>
          <w:sz w:val="20"/>
          <w:szCs w:val="20"/>
        </w:rPr>
        <w:t>Conceptual framework of the competency-based and STEAM-integrated mathematics teaching model.</w:t>
      </w:r>
      <w:r w:rsidR="006F2ABA" w:rsidRPr="00E773A2">
        <w:rPr>
          <w:rFonts w:ascii="Times New Roman" w:hAnsi="Times New Roman" w:cs="Times New Roman"/>
          <w:bCs/>
          <w:sz w:val="20"/>
          <w:szCs w:val="20"/>
        </w:rPr>
        <w:t xml:space="preserve"> </w:t>
      </w:r>
      <w:r w:rsidR="006C7C21" w:rsidRPr="00E773A2">
        <w:rPr>
          <w:rFonts w:ascii="Times New Roman" w:hAnsi="Times New Roman" w:cs="Times New Roman"/>
          <w:bCs/>
          <w:sz w:val="20"/>
          <w:szCs w:val="20"/>
        </w:rPr>
        <w:t xml:space="preserve">a) </w:t>
      </w:r>
      <w:r w:rsidR="00744658" w:rsidRPr="00E773A2">
        <w:rPr>
          <w:rFonts w:ascii="Times New Roman" w:hAnsi="Times New Roman" w:cs="Times New Roman"/>
          <w:bCs/>
          <w:sz w:val="20"/>
          <w:szCs w:val="20"/>
        </w:rPr>
        <w:t>The STEAM pyramid model illustrates the progressive levels of integration across disciplines. At the lower levels, subjects are taught separately (content-specific and discipline-specific). As instruction advances, learning becomes multidisciplinary and increasingly integrative, linking concepts across fields. At the highest level, the STEAM framework promotes a holistic, life-oriented approach that fosters creativity, problem solving, and competency development. In this model, science and technology are interpreted through engineering and the arts, while mathematics forms the conceptual foundation that enables learners to apply knowledge to real-world contexts</w:t>
      </w:r>
      <w:r w:rsidR="006C7C21" w:rsidRPr="00E773A2">
        <w:rPr>
          <w:rFonts w:ascii="Times New Roman" w:hAnsi="Times New Roman" w:cs="Times New Roman"/>
          <w:bCs/>
          <w:sz w:val="20"/>
          <w:szCs w:val="20"/>
        </w:rPr>
        <w:t xml:space="preserve">; b) </w:t>
      </w:r>
      <w:r w:rsidR="00744658" w:rsidRPr="00E773A2">
        <w:rPr>
          <w:rFonts w:ascii="Times New Roman" w:hAnsi="Times New Roman" w:cs="Times New Roman"/>
          <w:bCs/>
          <w:sz w:val="20"/>
          <w:szCs w:val="20"/>
        </w:rPr>
        <w:t>The competency pyramid illustrates the developmental progression from foundational learner characteristics to demonstrated performance. At the base, students enter the learning process with certain traits and characteristics that shape how they engage with instruction. Through structured learning experiences, these traits are gradually transformed into skills, abilities, and knowledge. Integrated learning experiences further synthesize these components, supporting the formation of stable competencies. At the top of the pyramid, learners are able to demonstrate their competencies in authentic contexts. Assessment operates across all levels, ensuring that growth is monitored, learning gaps are identified, and demonstrated performance accurately reflects competency development.</w:t>
      </w:r>
    </w:p>
    <w:bookmarkEnd w:id="1"/>
    <w:p w14:paraId="42B54256" w14:textId="251198B1" w:rsidR="001B2829" w:rsidRPr="00E773A2" w:rsidRDefault="001C2200" w:rsidP="00502492">
      <w:pPr>
        <w:overflowPunct w:val="0"/>
        <w:autoSpaceDE w:val="0"/>
        <w:autoSpaceDN w:val="0"/>
        <w:adjustRightInd w:val="0"/>
        <w:spacing w:before="240" w:after="240" w:line="240" w:lineRule="auto"/>
        <w:ind w:firstLine="284"/>
        <w:jc w:val="center"/>
        <w:textAlignment w:val="baseline"/>
        <w:rPr>
          <w:rFonts w:ascii="Times New Roman" w:eastAsiaTheme="minorHAnsi" w:hAnsi="Times New Roman" w:cs="Times New Roman"/>
          <w:b/>
          <w:sz w:val="24"/>
          <w:szCs w:val="24"/>
        </w:rPr>
      </w:pPr>
      <w:r w:rsidRPr="00E773A2">
        <w:rPr>
          <w:rFonts w:ascii="Times New Roman" w:eastAsiaTheme="minorHAnsi" w:hAnsi="Times New Roman" w:cs="Times New Roman"/>
          <w:b/>
          <w:sz w:val="24"/>
          <w:szCs w:val="24"/>
        </w:rPr>
        <w:lastRenderedPageBreak/>
        <w:t>RESEARCH METHODOLOGY</w:t>
      </w:r>
    </w:p>
    <w:p w14:paraId="7A44BBCE" w14:textId="77777777" w:rsidR="005D30FB" w:rsidRPr="00E773A2" w:rsidRDefault="00A86E12" w:rsidP="000C7732">
      <w:pPr>
        <w:spacing w:after="0" w:line="240" w:lineRule="auto"/>
        <w:ind w:firstLine="284"/>
        <w:jc w:val="both"/>
        <w:rPr>
          <w:rFonts w:ascii="Times New Roman" w:hAnsi="Times New Roman" w:cs="Times New Roman"/>
          <w:sz w:val="20"/>
          <w:szCs w:val="20"/>
        </w:rPr>
      </w:pPr>
      <w:r w:rsidRPr="00E773A2">
        <w:rPr>
          <w:rFonts w:ascii="Times New Roman" w:hAnsi="Times New Roman" w:cs="Times New Roman"/>
          <w:sz w:val="20"/>
          <w:szCs w:val="20"/>
        </w:rPr>
        <w:t>This study employed a quasi-experimental research design involving experimental and control groups of undergraduate students. The experimental group received competency-based and STEAM-integrated instruction, while the control group followed traditional lecture-based methods.</w:t>
      </w:r>
    </w:p>
    <w:p w14:paraId="54666A10" w14:textId="65F98B37" w:rsidR="00FB4D80" w:rsidRPr="00E773A2" w:rsidRDefault="00FB4D80" w:rsidP="0054678A">
      <w:pPr>
        <w:spacing w:after="0" w:line="240" w:lineRule="auto"/>
        <w:jc w:val="center"/>
        <w:rPr>
          <w:rFonts w:ascii="Times New Roman" w:hAnsi="Times New Roman" w:cs="Times New Roman"/>
          <w:sz w:val="20"/>
          <w:szCs w:val="20"/>
        </w:rPr>
      </w:pPr>
      <w:r w:rsidRPr="00E773A2">
        <w:rPr>
          <w:rFonts w:ascii="Times New Roman" w:hAnsi="Times New Roman" w:cs="Times New Roman"/>
          <w:noProof/>
          <w:sz w:val="20"/>
          <w:szCs w:val="20"/>
          <w:lang w:val="ru-RU" w:eastAsia="ru-RU"/>
        </w:rPr>
        <w:drawing>
          <wp:inline distT="0" distB="0" distL="0" distR="0" wp14:anchorId="315EB58B" wp14:editId="54DE493F">
            <wp:extent cx="4427220" cy="2950210"/>
            <wp:effectExtent l="0" t="0" r="0" b="2540"/>
            <wp:docPr id="199278679" name="Рисунок 3" descr="Flowchart of Quasi-experimental Design | Download Scientific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Flowchart of Quasi-experimental Design | Download Scientific ..."/>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32114" cy="2953471"/>
                    </a:xfrm>
                    <a:prstGeom prst="rect">
                      <a:avLst/>
                    </a:prstGeom>
                    <a:noFill/>
                    <a:ln>
                      <a:noFill/>
                    </a:ln>
                  </pic:spPr>
                </pic:pic>
              </a:graphicData>
            </a:graphic>
          </wp:inline>
        </w:drawing>
      </w:r>
    </w:p>
    <w:p w14:paraId="7ADD684D" w14:textId="1A5DD973" w:rsidR="00502492" w:rsidRPr="00E773A2" w:rsidRDefault="00502492" w:rsidP="00502492">
      <w:pPr>
        <w:spacing w:after="0" w:line="240" w:lineRule="auto"/>
        <w:jc w:val="center"/>
        <w:rPr>
          <w:rFonts w:ascii="Times New Roman" w:hAnsi="Times New Roman" w:cs="Times New Roman"/>
          <w:sz w:val="20"/>
          <w:szCs w:val="20"/>
        </w:rPr>
      </w:pPr>
      <w:r w:rsidRPr="00E773A2">
        <w:rPr>
          <w:rFonts w:ascii="Times New Roman" w:hAnsi="Times New Roman" w:cs="Times New Roman"/>
          <w:sz w:val="20"/>
          <w:szCs w:val="20"/>
        </w:rPr>
        <w:t>a)</w:t>
      </w:r>
    </w:p>
    <w:p w14:paraId="55B30ECA" w14:textId="5F61A1A5" w:rsidR="00FB4D80" w:rsidRPr="00E773A2" w:rsidRDefault="00FB4D80" w:rsidP="0054678A">
      <w:pPr>
        <w:spacing w:after="0" w:line="240" w:lineRule="auto"/>
        <w:jc w:val="center"/>
        <w:rPr>
          <w:rFonts w:ascii="Times New Roman" w:hAnsi="Times New Roman" w:cs="Times New Roman"/>
          <w:sz w:val="20"/>
          <w:szCs w:val="20"/>
        </w:rPr>
      </w:pPr>
      <w:r w:rsidRPr="00E773A2">
        <w:rPr>
          <w:rFonts w:ascii="Times New Roman" w:hAnsi="Times New Roman" w:cs="Times New Roman"/>
          <w:noProof/>
          <w:sz w:val="20"/>
          <w:szCs w:val="20"/>
          <w:lang w:val="ru-RU" w:eastAsia="ru-RU"/>
        </w:rPr>
        <w:drawing>
          <wp:inline distT="0" distB="0" distL="0" distR="0" wp14:anchorId="3F831248" wp14:editId="0D9F18A3">
            <wp:extent cx="5972175" cy="3038475"/>
            <wp:effectExtent l="0" t="0" r="9525" b="9525"/>
            <wp:docPr id="1110608471" name="Рисунок 4" descr="Flow chart for the process of forming experimental and contro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Flow chart for the process of forming experimental and control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87817" cy="3046433"/>
                    </a:xfrm>
                    <a:prstGeom prst="rect">
                      <a:avLst/>
                    </a:prstGeom>
                    <a:noFill/>
                    <a:ln>
                      <a:noFill/>
                    </a:ln>
                  </pic:spPr>
                </pic:pic>
              </a:graphicData>
            </a:graphic>
          </wp:inline>
        </w:drawing>
      </w:r>
    </w:p>
    <w:p w14:paraId="4ADBDD35" w14:textId="6E3789A7" w:rsidR="00502492" w:rsidRPr="00E773A2" w:rsidRDefault="00502492" w:rsidP="00502492">
      <w:pPr>
        <w:spacing w:after="0" w:line="240" w:lineRule="auto"/>
        <w:ind w:firstLine="284"/>
        <w:jc w:val="center"/>
        <w:rPr>
          <w:rFonts w:ascii="Times New Roman" w:hAnsi="Times New Roman" w:cs="Times New Roman"/>
          <w:sz w:val="20"/>
          <w:szCs w:val="20"/>
        </w:rPr>
      </w:pPr>
      <w:r w:rsidRPr="00E773A2">
        <w:rPr>
          <w:rFonts w:ascii="Times New Roman" w:hAnsi="Times New Roman" w:cs="Times New Roman"/>
          <w:sz w:val="20"/>
          <w:szCs w:val="20"/>
        </w:rPr>
        <w:t>b)</w:t>
      </w:r>
    </w:p>
    <w:p w14:paraId="478A3EC4" w14:textId="77777777" w:rsidR="00744658" w:rsidRPr="00E773A2" w:rsidRDefault="001C2200" w:rsidP="0054678A">
      <w:pPr>
        <w:spacing w:after="0" w:line="240" w:lineRule="auto"/>
        <w:ind w:firstLine="284"/>
        <w:jc w:val="center"/>
        <w:rPr>
          <w:rFonts w:ascii="Times New Roman" w:hAnsi="Times New Roman" w:cs="Times New Roman"/>
          <w:bCs/>
          <w:sz w:val="20"/>
          <w:szCs w:val="20"/>
        </w:rPr>
      </w:pPr>
      <w:r w:rsidRPr="00E773A2">
        <w:rPr>
          <w:rFonts w:ascii="Times New Roman" w:hAnsi="Times New Roman" w:cs="Times New Roman"/>
          <w:b/>
          <w:bCs/>
          <w:sz w:val="20"/>
          <w:szCs w:val="20"/>
        </w:rPr>
        <w:t xml:space="preserve">FIGURE 2. </w:t>
      </w:r>
      <w:r w:rsidR="005D30FB" w:rsidRPr="00E773A2">
        <w:rPr>
          <w:rFonts w:ascii="Times New Roman" w:hAnsi="Times New Roman" w:cs="Times New Roman"/>
          <w:bCs/>
          <w:sz w:val="20"/>
          <w:szCs w:val="20"/>
        </w:rPr>
        <w:t>Quasi-experimental research design with experimental and control groups.</w:t>
      </w:r>
      <w:r w:rsidR="0054678A" w:rsidRPr="00E773A2">
        <w:rPr>
          <w:rFonts w:ascii="Times New Roman" w:hAnsi="Times New Roman" w:cs="Times New Roman"/>
          <w:bCs/>
          <w:sz w:val="20"/>
          <w:szCs w:val="20"/>
        </w:rPr>
        <w:t xml:space="preserve"> </w:t>
      </w:r>
    </w:p>
    <w:p w14:paraId="38FE33C2" w14:textId="77777777" w:rsidR="00744658" w:rsidRPr="00E773A2" w:rsidRDefault="0054678A" w:rsidP="00744658">
      <w:pPr>
        <w:spacing w:after="0" w:line="240" w:lineRule="auto"/>
        <w:ind w:firstLine="284"/>
        <w:jc w:val="both"/>
        <w:rPr>
          <w:rFonts w:ascii="Times New Roman" w:hAnsi="Times New Roman" w:cs="Times New Roman"/>
          <w:bCs/>
          <w:sz w:val="20"/>
          <w:szCs w:val="20"/>
        </w:rPr>
      </w:pPr>
      <w:bookmarkStart w:id="2" w:name="_Hlk218668523"/>
      <w:r w:rsidRPr="00E773A2">
        <w:rPr>
          <w:rFonts w:ascii="Times New Roman" w:hAnsi="Times New Roman" w:cs="Times New Roman"/>
          <w:bCs/>
          <w:sz w:val="20"/>
          <w:szCs w:val="20"/>
        </w:rPr>
        <w:t xml:space="preserve">a) </w:t>
      </w:r>
      <w:r w:rsidR="00744658" w:rsidRPr="00E773A2">
        <w:rPr>
          <w:rFonts w:ascii="Times New Roman" w:hAnsi="Times New Roman" w:cs="Times New Roman"/>
          <w:bCs/>
          <w:sz w:val="20"/>
          <w:szCs w:val="20"/>
        </w:rPr>
        <w:t>The research procedure for the implementation of the PBL intervention. During Phase I, students receive a PBL briefing followed by the regular teaching and learning process in the Diploma in Civil Engineering program. In Phase II, students are divided into two groups: the PBL group (n = 30) and the conventional instruction group (n = 30). Over Weeks 1–8, each group follows its respective instructional approach. During Weeks 9–10, students are assessed, after which the collected data are analyzed, leading to the formulation of study conclusions.</w:t>
      </w:r>
    </w:p>
    <w:p w14:paraId="002887C3" w14:textId="58977EEB" w:rsidR="00DA2C56" w:rsidRPr="00E773A2" w:rsidRDefault="0054678A" w:rsidP="00E773A2">
      <w:pPr>
        <w:spacing w:after="0" w:line="240" w:lineRule="auto"/>
        <w:ind w:firstLine="284"/>
        <w:jc w:val="both"/>
        <w:rPr>
          <w:rFonts w:ascii="Times New Roman" w:hAnsi="Times New Roman" w:cs="Times New Roman"/>
          <w:bCs/>
          <w:sz w:val="20"/>
          <w:szCs w:val="20"/>
        </w:rPr>
      </w:pPr>
      <w:r w:rsidRPr="00E773A2">
        <w:rPr>
          <w:rFonts w:ascii="Times New Roman" w:hAnsi="Times New Roman" w:cs="Times New Roman"/>
          <w:bCs/>
          <w:sz w:val="20"/>
          <w:szCs w:val="20"/>
        </w:rPr>
        <w:lastRenderedPageBreak/>
        <w:t xml:space="preserve"> b) </w:t>
      </w:r>
      <w:r w:rsidR="00744658" w:rsidRPr="00E773A2">
        <w:rPr>
          <w:rFonts w:ascii="Times New Roman" w:hAnsi="Times New Roman" w:cs="Times New Roman"/>
          <w:bCs/>
          <w:sz w:val="20"/>
          <w:szCs w:val="20"/>
        </w:rPr>
        <w:t>Flow diagram of participant selection. Surveys were initially collected from 780 participants. Individuals who did not volunteer for the intervention were excluded (n = 466), leaving 299 participants. Those reporting a psychiatric diagnosis were then excluded (n = 41), resulting in 258 participants. Next, participants were screened based on their perception of the meaning of life; individuals who reported a meaningful perception were excluded (n = 152). The remaining participants were categorized as meaningless (n = 26) or undecided (n = 80), forming a potential working group consisting of 106 individuals</w:t>
      </w:r>
      <w:bookmarkEnd w:id="2"/>
      <w:r w:rsidR="00744658" w:rsidRPr="00E773A2">
        <w:rPr>
          <w:rFonts w:ascii="Times New Roman" w:hAnsi="Times New Roman" w:cs="Times New Roman"/>
          <w:bCs/>
          <w:sz w:val="20"/>
          <w:szCs w:val="20"/>
        </w:rPr>
        <w:t>.</w:t>
      </w:r>
    </w:p>
    <w:p w14:paraId="22D27F62" w14:textId="16135ECC" w:rsidR="004378E0" w:rsidRPr="00E773A2" w:rsidRDefault="005D30FB" w:rsidP="00DA2C56">
      <w:pPr>
        <w:spacing w:after="0" w:line="240" w:lineRule="auto"/>
        <w:ind w:firstLine="284"/>
        <w:jc w:val="both"/>
        <w:rPr>
          <w:rFonts w:ascii="Times New Roman" w:hAnsi="Times New Roman" w:cs="Times New Roman"/>
          <w:bCs/>
          <w:sz w:val="20"/>
          <w:szCs w:val="20"/>
        </w:rPr>
      </w:pPr>
      <w:r w:rsidRPr="00E773A2">
        <w:rPr>
          <w:rFonts w:ascii="Times New Roman" w:hAnsi="Times New Roman" w:cs="Times New Roman"/>
          <w:bCs/>
          <w:sz w:val="20"/>
          <w:szCs w:val="20"/>
        </w:rPr>
        <w:t>This figure presents the structure of the quasi-experimental design, including the pre-test and post-test stages, and clarifies the comparative logic used to evaluate the effectiveness of</w:t>
      </w:r>
      <w:r w:rsidR="004378E0" w:rsidRPr="00E773A2">
        <w:rPr>
          <w:rFonts w:ascii="Times New Roman" w:hAnsi="Times New Roman" w:cs="Times New Roman"/>
          <w:bCs/>
          <w:sz w:val="20"/>
          <w:szCs w:val="20"/>
        </w:rPr>
        <w:t xml:space="preserve"> the instructional intervention</w:t>
      </w:r>
    </w:p>
    <w:p w14:paraId="502F6DAD" w14:textId="006D8A5A" w:rsidR="00676C0F" w:rsidRPr="00E773A2" w:rsidRDefault="004378E0" w:rsidP="000C7732">
      <w:pPr>
        <w:spacing w:before="240" w:after="240" w:line="240" w:lineRule="auto"/>
        <w:ind w:firstLine="284"/>
        <w:jc w:val="center"/>
        <w:rPr>
          <w:rFonts w:ascii="Times New Roman" w:hAnsi="Times New Roman" w:cs="Times New Roman"/>
          <w:b/>
          <w:bCs/>
          <w:sz w:val="24"/>
          <w:szCs w:val="20"/>
        </w:rPr>
      </w:pPr>
      <w:r w:rsidRPr="00E773A2">
        <w:rPr>
          <w:rFonts w:ascii="Times New Roman" w:hAnsi="Times New Roman" w:cs="Times New Roman"/>
          <w:b/>
          <w:sz w:val="24"/>
          <w:szCs w:val="20"/>
        </w:rPr>
        <w:t>RESULTS</w:t>
      </w:r>
    </w:p>
    <w:p w14:paraId="2DA1073D" w14:textId="3E8FC479" w:rsidR="009963FF" w:rsidRPr="00E773A2" w:rsidRDefault="007C35F0" w:rsidP="000C7732">
      <w:pPr>
        <w:spacing w:after="0" w:line="240" w:lineRule="auto"/>
        <w:ind w:firstLine="284"/>
        <w:jc w:val="both"/>
        <w:rPr>
          <w:rFonts w:ascii="Times New Roman" w:hAnsi="Times New Roman" w:cs="Times New Roman"/>
          <w:sz w:val="20"/>
          <w:szCs w:val="20"/>
        </w:rPr>
      </w:pPr>
      <w:r w:rsidRPr="00E773A2">
        <w:rPr>
          <w:rFonts w:ascii="Times New Roman" w:hAnsi="Times New Roman" w:cs="Times New Roman"/>
          <w:b/>
          <w:bCs/>
          <w:i/>
          <w:iCs/>
          <w:sz w:val="20"/>
          <w:szCs w:val="20"/>
        </w:rPr>
        <w:t>Descriptive statistics.</w:t>
      </w:r>
      <w:r w:rsidRPr="00E773A2">
        <w:rPr>
          <w:rFonts w:ascii="Times New Roman" w:hAnsi="Times New Roman" w:cs="Times New Roman"/>
          <w:b/>
          <w:bCs/>
          <w:sz w:val="20"/>
          <w:szCs w:val="20"/>
        </w:rPr>
        <w:t xml:space="preserve"> </w:t>
      </w:r>
      <w:r w:rsidR="009963FF" w:rsidRPr="00E773A2">
        <w:rPr>
          <w:rFonts w:ascii="Times New Roman" w:hAnsi="Times New Roman" w:cs="Times New Roman"/>
          <w:sz w:val="20"/>
          <w:szCs w:val="20"/>
        </w:rPr>
        <w:t>This section presents the quantitative results of the quasi-experimental study examining the effects of a competency-based and STEAM-integrated instructional approach on undergraduate students’ mathematics learning outcomes.</w:t>
      </w:r>
    </w:p>
    <w:p w14:paraId="745F4E8C" w14:textId="752965B3" w:rsidR="001B2829" w:rsidRPr="00E773A2" w:rsidRDefault="00676C0F" w:rsidP="00502492">
      <w:pPr>
        <w:spacing w:after="0" w:line="240" w:lineRule="auto"/>
        <w:ind w:firstLine="284"/>
        <w:jc w:val="center"/>
        <w:rPr>
          <w:rFonts w:ascii="Times New Roman" w:hAnsi="Times New Roman" w:cs="Times New Roman"/>
          <w:b/>
          <w:bCs/>
          <w:sz w:val="20"/>
          <w:szCs w:val="20"/>
        </w:rPr>
      </w:pPr>
      <w:r w:rsidRPr="00E773A2">
        <w:rPr>
          <w:rFonts w:ascii="Times New Roman" w:hAnsi="Times New Roman" w:cs="Times New Roman"/>
          <w:b/>
          <w:bCs/>
          <w:sz w:val="20"/>
          <w:szCs w:val="20"/>
        </w:rPr>
        <w:t xml:space="preserve">Table 1. </w:t>
      </w:r>
      <w:r w:rsidRPr="00E773A2">
        <w:rPr>
          <w:rFonts w:ascii="Times New Roman" w:hAnsi="Times New Roman" w:cs="Times New Roman"/>
          <w:sz w:val="20"/>
          <w:szCs w:val="20"/>
        </w:rPr>
        <w:t>Comparison of Pre-test and Post-test Scores</w:t>
      </w:r>
    </w:p>
    <w:tbl>
      <w:tblPr>
        <w:tblStyle w:val="aff1"/>
        <w:tblW w:w="0" w:type="auto"/>
        <w:jc w:val="center"/>
        <w:tblLook w:val="04A0" w:firstRow="1" w:lastRow="0" w:firstColumn="1" w:lastColumn="0" w:noHBand="0" w:noVBand="1"/>
      </w:tblPr>
      <w:tblGrid>
        <w:gridCol w:w="1870"/>
        <w:gridCol w:w="1870"/>
        <w:gridCol w:w="1870"/>
        <w:gridCol w:w="1870"/>
        <w:gridCol w:w="1870"/>
      </w:tblGrid>
      <w:tr w:rsidR="00502492" w:rsidRPr="00E773A2" w14:paraId="1920F5D0" w14:textId="77777777" w:rsidTr="00502492">
        <w:trPr>
          <w:jc w:val="center"/>
        </w:trPr>
        <w:tc>
          <w:tcPr>
            <w:tcW w:w="1870" w:type="dxa"/>
            <w:vAlign w:val="center"/>
          </w:tcPr>
          <w:p w14:paraId="2375EC85" w14:textId="19ACEF2F" w:rsidR="00502492" w:rsidRPr="00E773A2" w:rsidRDefault="00502492" w:rsidP="00502492">
            <w:pPr>
              <w:jc w:val="center"/>
              <w:rPr>
                <w:rFonts w:ascii="Times New Roman" w:hAnsi="Times New Roman" w:cs="Times New Roman"/>
              </w:rPr>
            </w:pPr>
            <w:r w:rsidRPr="00E773A2">
              <w:rPr>
                <w:rFonts w:ascii="Times New Roman" w:hAnsi="Times New Roman" w:cs="Times New Roman"/>
                <w:b/>
                <w:bCs/>
                <w:sz w:val="18"/>
                <w:szCs w:val="18"/>
                <w:lang w:val="ru-RU"/>
              </w:rPr>
              <w:t>Group</w:t>
            </w:r>
          </w:p>
        </w:tc>
        <w:tc>
          <w:tcPr>
            <w:tcW w:w="1870" w:type="dxa"/>
            <w:vAlign w:val="center"/>
          </w:tcPr>
          <w:p w14:paraId="7DFF7B89" w14:textId="1A60A69C" w:rsidR="00502492" w:rsidRPr="00E773A2" w:rsidRDefault="00502492" w:rsidP="00502492">
            <w:pPr>
              <w:jc w:val="center"/>
              <w:rPr>
                <w:rFonts w:ascii="Times New Roman" w:hAnsi="Times New Roman" w:cs="Times New Roman"/>
              </w:rPr>
            </w:pPr>
            <w:r w:rsidRPr="00E773A2">
              <w:rPr>
                <w:rFonts w:ascii="Times New Roman" w:hAnsi="Times New Roman" w:cs="Times New Roman"/>
                <w:b/>
                <w:bCs/>
                <w:sz w:val="18"/>
                <w:szCs w:val="18"/>
                <w:lang w:val="ru-RU"/>
              </w:rPr>
              <w:t>n</w:t>
            </w:r>
          </w:p>
        </w:tc>
        <w:tc>
          <w:tcPr>
            <w:tcW w:w="1870" w:type="dxa"/>
            <w:vAlign w:val="center"/>
          </w:tcPr>
          <w:p w14:paraId="4D333313" w14:textId="08E45B8F" w:rsidR="00502492" w:rsidRPr="00E773A2" w:rsidRDefault="00502492" w:rsidP="00502492">
            <w:pPr>
              <w:jc w:val="center"/>
              <w:rPr>
                <w:rFonts w:ascii="Times New Roman" w:hAnsi="Times New Roman" w:cs="Times New Roman"/>
              </w:rPr>
            </w:pPr>
            <w:proofErr w:type="spellStart"/>
            <w:r w:rsidRPr="00E773A2">
              <w:rPr>
                <w:rFonts w:ascii="Times New Roman" w:hAnsi="Times New Roman" w:cs="Times New Roman"/>
                <w:b/>
                <w:bCs/>
                <w:sz w:val="18"/>
                <w:szCs w:val="18"/>
                <w:lang w:val="ru-RU"/>
              </w:rPr>
              <w:t>Pre-test</w:t>
            </w:r>
            <w:proofErr w:type="spellEnd"/>
            <w:r w:rsidRPr="00E773A2">
              <w:rPr>
                <w:rFonts w:ascii="Times New Roman" w:hAnsi="Times New Roman" w:cs="Times New Roman"/>
                <w:b/>
                <w:bCs/>
                <w:sz w:val="18"/>
                <w:szCs w:val="18"/>
                <w:lang w:val="ru-RU"/>
              </w:rPr>
              <w:t xml:space="preserve"> </w:t>
            </w:r>
            <w:proofErr w:type="spellStart"/>
            <w:r w:rsidRPr="00E773A2">
              <w:rPr>
                <w:rFonts w:ascii="Times New Roman" w:hAnsi="Times New Roman" w:cs="Times New Roman"/>
                <w:b/>
                <w:bCs/>
                <w:sz w:val="18"/>
                <w:szCs w:val="18"/>
                <w:lang w:val="ru-RU"/>
              </w:rPr>
              <w:t>Mean</w:t>
            </w:r>
            <w:proofErr w:type="spellEnd"/>
            <w:r w:rsidRPr="00E773A2">
              <w:rPr>
                <w:rFonts w:ascii="Times New Roman" w:hAnsi="Times New Roman" w:cs="Times New Roman"/>
                <w:b/>
                <w:bCs/>
                <w:sz w:val="18"/>
                <w:szCs w:val="18"/>
                <w:lang w:val="ru-RU"/>
              </w:rPr>
              <w:t xml:space="preserve"> (SD)</w:t>
            </w:r>
          </w:p>
        </w:tc>
        <w:tc>
          <w:tcPr>
            <w:tcW w:w="1870" w:type="dxa"/>
            <w:vAlign w:val="center"/>
          </w:tcPr>
          <w:p w14:paraId="403B46EE" w14:textId="3B9928DC" w:rsidR="00502492" w:rsidRPr="00E773A2" w:rsidRDefault="00502492" w:rsidP="00502492">
            <w:pPr>
              <w:jc w:val="center"/>
              <w:rPr>
                <w:rFonts w:ascii="Times New Roman" w:hAnsi="Times New Roman" w:cs="Times New Roman"/>
              </w:rPr>
            </w:pPr>
            <w:proofErr w:type="spellStart"/>
            <w:r w:rsidRPr="00E773A2">
              <w:rPr>
                <w:rFonts w:ascii="Times New Roman" w:hAnsi="Times New Roman" w:cs="Times New Roman"/>
                <w:b/>
                <w:bCs/>
                <w:sz w:val="18"/>
                <w:szCs w:val="18"/>
                <w:lang w:val="ru-RU"/>
              </w:rPr>
              <w:t>Post-test</w:t>
            </w:r>
            <w:proofErr w:type="spellEnd"/>
            <w:r w:rsidRPr="00E773A2">
              <w:rPr>
                <w:rFonts w:ascii="Times New Roman" w:hAnsi="Times New Roman" w:cs="Times New Roman"/>
                <w:b/>
                <w:bCs/>
                <w:sz w:val="18"/>
                <w:szCs w:val="18"/>
                <w:lang w:val="ru-RU"/>
              </w:rPr>
              <w:t xml:space="preserve"> </w:t>
            </w:r>
            <w:proofErr w:type="spellStart"/>
            <w:r w:rsidRPr="00E773A2">
              <w:rPr>
                <w:rFonts w:ascii="Times New Roman" w:hAnsi="Times New Roman" w:cs="Times New Roman"/>
                <w:b/>
                <w:bCs/>
                <w:sz w:val="18"/>
                <w:szCs w:val="18"/>
                <w:lang w:val="ru-RU"/>
              </w:rPr>
              <w:t>Mean</w:t>
            </w:r>
            <w:proofErr w:type="spellEnd"/>
            <w:r w:rsidRPr="00E773A2">
              <w:rPr>
                <w:rFonts w:ascii="Times New Roman" w:hAnsi="Times New Roman" w:cs="Times New Roman"/>
                <w:b/>
                <w:bCs/>
                <w:sz w:val="18"/>
                <w:szCs w:val="18"/>
                <w:lang w:val="ru-RU"/>
              </w:rPr>
              <w:t xml:space="preserve"> (SD)</w:t>
            </w:r>
          </w:p>
        </w:tc>
        <w:tc>
          <w:tcPr>
            <w:tcW w:w="1870" w:type="dxa"/>
            <w:vAlign w:val="center"/>
          </w:tcPr>
          <w:p w14:paraId="3D1CE8EF" w14:textId="7DC14454" w:rsidR="00502492" w:rsidRPr="00E773A2" w:rsidRDefault="00502492" w:rsidP="00502492">
            <w:pPr>
              <w:jc w:val="center"/>
              <w:rPr>
                <w:rFonts w:ascii="Times New Roman" w:hAnsi="Times New Roman" w:cs="Times New Roman"/>
              </w:rPr>
            </w:pPr>
            <w:proofErr w:type="spellStart"/>
            <w:r w:rsidRPr="00E773A2">
              <w:rPr>
                <w:rFonts w:ascii="Times New Roman" w:hAnsi="Times New Roman" w:cs="Times New Roman"/>
                <w:b/>
                <w:bCs/>
                <w:sz w:val="18"/>
                <w:szCs w:val="18"/>
                <w:lang w:val="ru-RU"/>
              </w:rPr>
              <w:t>Mean</w:t>
            </w:r>
            <w:proofErr w:type="spellEnd"/>
            <w:r w:rsidRPr="00E773A2">
              <w:rPr>
                <w:rFonts w:ascii="Times New Roman" w:hAnsi="Times New Roman" w:cs="Times New Roman"/>
                <w:b/>
                <w:bCs/>
                <w:sz w:val="18"/>
                <w:szCs w:val="18"/>
                <w:lang w:val="ru-RU"/>
              </w:rPr>
              <w:t xml:space="preserve"> </w:t>
            </w:r>
            <w:proofErr w:type="spellStart"/>
            <w:r w:rsidRPr="00E773A2">
              <w:rPr>
                <w:rFonts w:ascii="Times New Roman" w:hAnsi="Times New Roman" w:cs="Times New Roman"/>
                <w:b/>
                <w:bCs/>
                <w:sz w:val="18"/>
                <w:szCs w:val="18"/>
                <w:lang w:val="ru-RU"/>
              </w:rPr>
              <w:t>Gain</w:t>
            </w:r>
            <w:proofErr w:type="spellEnd"/>
          </w:p>
        </w:tc>
      </w:tr>
      <w:tr w:rsidR="00502492" w:rsidRPr="00E773A2" w14:paraId="20EE6156" w14:textId="77777777" w:rsidTr="00502492">
        <w:trPr>
          <w:jc w:val="center"/>
        </w:trPr>
        <w:tc>
          <w:tcPr>
            <w:tcW w:w="1870" w:type="dxa"/>
            <w:vAlign w:val="center"/>
          </w:tcPr>
          <w:p w14:paraId="2082F000" w14:textId="4E82B3B4" w:rsidR="00502492" w:rsidRPr="00E773A2" w:rsidRDefault="00502492" w:rsidP="00502492">
            <w:pPr>
              <w:jc w:val="center"/>
              <w:rPr>
                <w:rFonts w:ascii="Times New Roman" w:hAnsi="Times New Roman" w:cs="Times New Roman"/>
              </w:rPr>
            </w:pPr>
            <w:proofErr w:type="spellStart"/>
            <w:r w:rsidRPr="00E773A2">
              <w:rPr>
                <w:rFonts w:ascii="Times New Roman" w:hAnsi="Times New Roman" w:cs="Times New Roman"/>
                <w:sz w:val="18"/>
                <w:szCs w:val="18"/>
                <w:lang w:val="ru-RU"/>
              </w:rPr>
              <w:t>Experimental</w:t>
            </w:r>
            <w:proofErr w:type="spellEnd"/>
          </w:p>
        </w:tc>
        <w:tc>
          <w:tcPr>
            <w:tcW w:w="1870" w:type="dxa"/>
            <w:vAlign w:val="center"/>
          </w:tcPr>
          <w:p w14:paraId="5A3DF5C2" w14:textId="0734DD3B" w:rsidR="00502492" w:rsidRPr="00E773A2" w:rsidRDefault="00502492" w:rsidP="00502492">
            <w:pPr>
              <w:jc w:val="center"/>
              <w:rPr>
                <w:rFonts w:ascii="Times New Roman" w:hAnsi="Times New Roman" w:cs="Times New Roman"/>
              </w:rPr>
            </w:pPr>
            <w:r w:rsidRPr="00E773A2">
              <w:rPr>
                <w:rFonts w:ascii="Times New Roman" w:hAnsi="Times New Roman" w:cs="Times New Roman"/>
                <w:sz w:val="18"/>
                <w:szCs w:val="18"/>
                <w:lang w:val="ru-RU"/>
              </w:rPr>
              <w:t>2</w:t>
            </w:r>
            <w:r w:rsidRPr="00E773A2">
              <w:rPr>
                <w:rFonts w:ascii="Times New Roman" w:hAnsi="Times New Roman" w:cs="Times New Roman"/>
                <w:sz w:val="18"/>
                <w:szCs w:val="18"/>
              </w:rPr>
              <w:t>30</w:t>
            </w:r>
          </w:p>
        </w:tc>
        <w:tc>
          <w:tcPr>
            <w:tcW w:w="1870" w:type="dxa"/>
            <w:vAlign w:val="center"/>
          </w:tcPr>
          <w:p w14:paraId="1609F171" w14:textId="1217D5EF" w:rsidR="00502492" w:rsidRPr="00E773A2" w:rsidRDefault="00502492" w:rsidP="00502492">
            <w:pPr>
              <w:jc w:val="center"/>
              <w:rPr>
                <w:rFonts w:ascii="Times New Roman" w:hAnsi="Times New Roman" w:cs="Times New Roman"/>
              </w:rPr>
            </w:pPr>
            <w:r w:rsidRPr="00E773A2">
              <w:rPr>
                <w:rFonts w:ascii="Times New Roman" w:hAnsi="Times New Roman" w:cs="Times New Roman"/>
                <w:sz w:val="18"/>
                <w:szCs w:val="18"/>
                <w:lang w:val="ru-RU"/>
              </w:rPr>
              <w:t>54.87 (4.29)</w:t>
            </w:r>
          </w:p>
        </w:tc>
        <w:tc>
          <w:tcPr>
            <w:tcW w:w="1870" w:type="dxa"/>
            <w:vAlign w:val="center"/>
          </w:tcPr>
          <w:p w14:paraId="168026FD" w14:textId="3776FFD3" w:rsidR="00502492" w:rsidRPr="00E773A2" w:rsidRDefault="00502492" w:rsidP="00502492">
            <w:pPr>
              <w:jc w:val="center"/>
              <w:rPr>
                <w:rFonts w:ascii="Times New Roman" w:hAnsi="Times New Roman" w:cs="Times New Roman"/>
              </w:rPr>
            </w:pPr>
            <w:r w:rsidRPr="00E773A2">
              <w:rPr>
                <w:rFonts w:ascii="Times New Roman" w:hAnsi="Times New Roman" w:cs="Times New Roman"/>
                <w:sz w:val="18"/>
                <w:szCs w:val="18"/>
                <w:lang w:val="ru-RU"/>
              </w:rPr>
              <w:t>68.70 (4.63)</w:t>
            </w:r>
          </w:p>
        </w:tc>
        <w:tc>
          <w:tcPr>
            <w:tcW w:w="1870" w:type="dxa"/>
            <w:vAlign w:val="center"/>
          </w:tcPr>
          <w:p w14:paraId="4D646E75" w14:textId="6B411EDC" w:rsidR="00502492" w:rsidRPr="00E773A2" w:rsidRDefault="00502492" w:rsidP="00502492">
            <w:pPr>
              <w:jc w:val="center"/>
              <w:rPr>
                <w:rFonts w:ascii="Times New Roman" w:hAnsi="Times New Roman" w:cs="Times New Roman"/>
              </w:rPr>
            </w:pPr>
            <w:r w:rsidRPr="00E773A2">
              <w:rPr>
                <w:rFonts w:ascii="Times New Roman" w:hAnsi="Times New Roman" w:cs="Times New Roman"/>
                <w:b/>
                <w:bCs/>
                <w:sz w:val="18"/>
                <w:szCs w:val="18"/>
                <w:lang w:val="ru-RU"/>
              </w:rPr>
              <w:t>+13.84</w:t>
            </w:r>
          </w:p>
        </w:tc>
      </w:tr>
      <w:tr w:rsidR="00502492" w:rsidRPr="00E773A2" w14:paraId="33E5F578" w14:textId="77777777" w:rsidTr="00502492">
        <w:trPr>
          <w:jc w:val="center"/>
        </w:trPr>
        <w:tc>
          <w:tcPr>
            <w:tcW w:w="1870" w:type="dxa"/>
            <w:vAlign w:val="center"/>
          </w:tcPr>
          <w:p w14:paraId="7418EA1E" w14:textId="3C49DCA0" w:rsidR="00502492" w:rsidRPr="00E773A2" w:rsidRDefault="00502492" w:rsidP="00502492">
            <w:pPr>
              <w:jc w:val="center"/>
              <w:rPr>
                <w:rFonts w:ascii="Times New Roman" w:hAnsi="Times New Roman" w:cs="Times New Roman"/>
              </w:rPr>
            </w:pPr>
            <w:r w:rsidRPr="00E773A2">
              <w:rPr>
                <w:rFonts w:ascii="Times New Roman" w:hAnsi="Times New Roman" w:cs="Times New Roman"/>
                <w:sz w:val="18"/>
                <w:szCs w:val="18"/>
                <w:lang w:val="ru-RU"/>
              </w:rPr>
              <w:t>Control</w:t>
            </w:r>
          </w:p>
        </w:tc>
        <w:tc>
          <w:tcPr>
            <w:tcW w:w="1870" w:type="dxa"/>
            <w:vAlign w:val="center"/>
          </w:tcPr>
          <w:p w14:paraId="7ADA84D8" w14:textId="78A1C5F5" w:rsidR="00502492" w:rsidRPr="00E773A2" w:rsidRDefault="00502492" w:rsidP="00502492">
            <w:pPr>
              <w:jc w:val="center"/>
              <w:rPr>
                <w:rFonts w:ascii="Times New Roman" w:hAnsi="Times New Roman" w:cs="Times New Roman"/>
              </w:rPr>
            </w:pPr>
            <w:r w:rsidRPr="00E773A2">
              <w:rPr>
                <w:rFonts w:ascii="Times New Roman" w:hAnsi="Times New Roman" w:cs="Times New Roman"/>
                <w:sz w:val="18"/>
                <w:szCs w:val="18"/>
                <w:lang w:val="ru-RU"/>
              </w:rPr>
              <w:t>230</w:t>
            </w:r>
          </w:p>
        </w:tc>
        <w:tc>
          <w:tcPr>
            <w:tcW w:w="1870" w:type="dxa"/>
            <w:vAlign w:val="center"/>
          </w:tcPr>
          <w:p w14:paraId="2C274DBA" w14:textId="71342E0E" w:rsidR="00502492" w:rsidRPr="00E773A2" w:rsidRDefault="00502492" w:rsidP="00502492">
            <w:pPr>
              <w:jc w:val="center"/>
              <w:rPr>
                <w:rFonts w:ascii="Times New Roman" w:hAnsi="Times New Roman" w:cs="Times New Roman"/>
              </w:rPr>
            </w:pPr>
            <w:r w:rsidRPr="00E773A2">
              <w:rPr>
                <w:rFonts w:ascii="Times New Roman" w:hAnsi="Times New Roman" w:cs="Times New Roman"/>
                <w:sz w:val="18"/>
                <w:szCs w:val="18"/>
                <w:lang w:val="ru-RU"/>
              </w:rPr>
              <w:t>55.07 (4.34)</w:t>
            </w:r>
          </w:p>
        </w:tc>
        <w:tc>
          <w:tcPr>
            <w:tcW w:w="1870" w:type="dxa"/>
            <w:vAlign w:val="center"/>
          </w:tcPr>
          <w:p w14:paraId="7ADDAAC3" w14:textId="79D7B835" w:rsidR="00502492" w:rsidRPr="00E773A2" w:rsidRDefault="00502492" w:rsidP="00502492">
            <w:pPr>
              <w:jc w:val="center"/>
              <w:rPr>
                <w:rFonts w:ascii="Times New Roman" w:hAnsi="Times New Roman" w:cs="Times New Roman"/>
              </w:rPr>
            </w:pPr>
            <w:r w:rsidRPr="00E773A2">
              <w:rPr>
                <w:rFonts w:ascii="Times New Roman" w:hAnsi="Times New Roman" w:cs="Times New Roman"/>
                <w:sz w:val="18"/>
                <w:szCs w:val="18"/>
                <w:lang w:val="ru-RU"/>
              </w:rPr>
              <w:t>58.62 (4.84)</w:t>
            </w:r>
          </w:p>
        </w:tc>
        <w:tc>
          <w:tcPr>
            <w:tcW w:w="1870" w:type="dxa"/>
            <w:vAlign w:val="center"/>
          </w:tcPr>
          <w:p w14:paraId="24ED0502" w14:textId="63C2C376" w:rsidR="00502492" w:rsidRPr="00E773A2" w:rsidRDefault="00502492" w:rsidP="00502492">
            <w:pPr>
              <w:jc w:val="center"/>
              <w:rPr>
                <w:rFonts w:ascii="Times New Roman" w:hAnsi="Times New Roman" w:cs="Times New Roman"/>
              </w:rPr>
            </w:pPr>
            <w:r w:rsidRPr="00E773A2">
              <w:rPr>
                <w:rFonts w:ascii="Times New Roman" w:hAnsi="Times New Roman" w:cs="Times New Roman"/>
                <w:b/>
                <w:bCs/>
                <w:sz w:val="18"/>
                <w:szCs w:val="18"/>
                <w:lang w:val="ru-RU"/>
              </w:rPr>
              <w:t>+3.55</w:t>
            </w:r>
          </w:p>
        </w:tc>
      </w:tr>
    </w:tbl>
    <w:p w14:paraId="2C1CA499" w14:textId="77777777" w:rsidR="00502492" w:rsidRPr="00E773A2" w:rsidRDefault="00502492" w:rsidP="000C7732">
      <w:pPr>
        <w:spacing w:after="0" w:line="240" w:lineRule="auto"/>
        <w:ind w:firstLine="284"/>
        <w:jc w:val="both"/>
        <w:rPr>
          <w:rFonts w:ascii="Times New Roman" w:hAnsi="Times New Roman" w:cs="Times New Roman"/>
          <w:sz w:val="20"/>
          <w:szCs w:val="20"/>
        </w:rPr>
      </w:pPr>
    </w:p>
    <w:p w14:paraId="0E8B0299" w14:textId="7095D16A" w:rsidR="009963FF" w:rsidRPr="00E773A2" w:rsidRDefault="009963FF" w:rsidP="00F536F6">
      <w:pPr>
        <w:spacing w:after="0" w:line="240" w:lineRule="auto"/>
        <w:ind w:firstLine="284"/>
        <w:jc w:val="both"/>
        <w:rPr>
          <w:rFonts w:ascii="Times New Roman" w:hAnsi="Times New Roman" w:cs="Times New Roman"/>
          <w:b/>
          <w:bCs/>
          <w:sz w:val="20"/>
          <w:szCs w:val="20"/>
        </w:rPr>
      </w:pPr>
      <w:r w:rsidRPr="00E773A2">
        <w:rPr>
          <w:rFonts w:ascii="Times New Roman" w:hAnsi="Times New Roman" w:cs="Times New Roman"/>
          <w:sz w:val="20"/>
          <w:szCs w:val="20"/>
        </w:rPr>
        <w:t>Table 1 summarizes the descriptive statistics of pre-test and post-test scores for both the experimental and control groups. At the beginning of the study, the two groups demonstrated comparable levels of mathematical achievement, indicating an equivalent baseline prior to the intervention.</w:t>
      </w:r>
    </w:p>
    <w:p w14:paraId="05EF5092" w14:textId="77777777" w:rsidR="009963FF" w:rsidRPr="00E773A2" w:rsidRDefault="009963FF" w:rsidP="000C7732">
      <w:pPr>
        <w:spacing w:after="0" w:line="240" w:lineRule="auto"/>
        <w:ind w:firstLine="284"/>
        <w:jc w:val="both"/>
        <w:rPr>
          <w:rFonts w:ascii="Times New Roman" w:hAnsi="Times New Roman" w:cs="Times New Roman"/>
          <w:sz w:val="20"/>
          <w:szCs w:val="20"/>
        </w:rPr>
      </w:pPr>
      <w:r w:rsidRPr="00E773A2">
        <w:rPr>
          <w:rFonts w:ascii="Times New Roman" w:hAnsi="Times New Roman" w:cs="Times New Roman"/>
          <w:sz w:val="20"/>
          <w:szCs w:val="20"/>
        </w:rPr>
        <w:t>The experimental group (n = 230) achieved a mean pre-test score of 54.87 (SD = 4.29), which increased to a mean post-test score of 68.70 (SD = 4.63). This represents a substantial mean gain of 13.84 points. In contrast, the control group (n = 230) showed a more modest improvement, with mean scores increasing from 55.07 (SD = 4.34) on the pre-test to 58.62 (SD = 4.84) on the post-test, corresponding to a mean gain of 3.55 points.</w:t>
      </w:r>
    </w:p>
    <w:p w14:paraId="0E2DBC90" w14:textId="132DA34A" w:rsidR="00676C0F" w:rsidRPr="00E773A2" w:rsidRDefault="00676C0F" w:rsidP="00DA2C56">
      <w:pPr>
        <w:spacing w:after="0" w:line="240" w:lineRule="auto"/>
        <w:jc w:val="center"/>
        <w:rPr>
          <w:rFonts w:ascii="Times New Roman" w:hAnsi="Times New Roman" w:cs="Times New Roman"/>
          <w:sz w:val="20"/>
          <w:szCs w:val="20"/>
          <w:lang w:val="ru-RU"/>
        </w:rPr>
      </w:pPr>
      <w:r w:rsidRPr="00E773A2">
        <w:rPr>
          <w:rFonts w:ascii="Times New Roman" w:hAnsi="Times New Roman" w:cs="Times New Roman"/>
          <w:noProof/>
          <w:sz w:val="20"/>
          <w:szCs w:val="20"/>
          <w:lang w:val="ru-RU" w:eastAsia="ru-RU"/>
        </w:rPr>
        <w:drawing>
          <wp:inline distT="0" distB="0" distL="0" distR="0" wp14:anchorId="4C770CAA" wp14:editId="3CB3E47A">
            <wp:extent cx="5775960" cy="2950763"/>
            <wp:effectExtent l="0" t="0" r="0" b="2540"/>
            <wp:docPr id="287244147"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1">
                      <a:extLst>
                        <a:ext uri="{28A0092B-C50C-407E-A947-70E740481C1C}">
                          <a14:useLocalDpi xmlns:a14="http://schemas.microsoft.com/office/drawing/2010/main" val="0"/>
                        </a:ext>
                      </a:extLst>
                    </a:blip>
                    <a:srcRect t="5731"/>
                    <a:stretch>
                      <a:fillRect/>
                    </a:stretch>
                  </pic:blipFill>
                  <pic:spPr bwMode="auto">
                    <a:xfrm>
                      <a:off x="0" y="0"/>
                      <a:ext cx="5784012" cy="2954877"/>
                    </a:xfrm>
                    <a:prstGeom prst="rect">
                      <a:avLst/>
                    </a:prstGeom>
                    <a:noFill/>
                    <a:ln>
                      <a:noFill/>
                    </a:ln>
                    <a:extLst>
                      <a:ext uri="{53640926-AAD7-44D8-BBD7-CCE9431645EC}">
                        <a14:shadowObscured xmlns:a14="http://schemas.microsoft.com/office/drawing/2010/main"/>
                      </a:ext>
                    </a:extLst>
                  </pic:spPr>
                </pic:pic>
              </a:graphicData>
            </a:graphic>
          </wp:inline>
        </w:drawing>
      </w:r>
    </w:p>
    <w:p w14:paraId="3DBABAF2" w14:textId="77777777" w:rsidR="00DA2C56" w:rsidRPr="00E773A2" w:rsidRDefault="003365F6" w:rsidP="000C7732">
      <w:pPr>
        <w:spacing w:after="0" w:line="240" w:lineRule="auto"/>
        <w:ind w:firstLine="284"/>
        <w:jc w:val="center"/>
        <w:rPr>
          <w:rFonts w:ascii="Times New Roman" w:hAnsi="Times New Roman" w:cs="Times New Roman"/>
          <w:bCs/>
          <w:sz w:val="20"/>
          <w:szCs w:val="20"/>
        </w:rPr>
      </w:pPr>
      <w:r w:rsidRPr="00E773A2">
        <w:rPr>
          <w:rFonts w:ascii="Times New Roman" w:hAnsi="Times New Roman" w:cs="Times New Roman"/>
          <w:b/>
          <w:bCs/>
          <w:sz w:val="20"/>
          <w:szCs w:val="20"/>
        </w:rPr>
        <w:t xml:space="preserve">FIGURE 3. </w:t>
      </w:r>
      <w:r w:rsidR="005D30FB" w:rsidRPr="00E773A2">
        <w:rPr>
          <w:rFonts w:ascii="Times New Roman" w:hAnsi="Times New Roman" w:cs="Times New Roman"/>
          <w:bCs/>
          <w:sz w:val="20"/>
          <w:szCs w:val="20"/>
        </w:rPr>
        <w:t>Comparison of pre-test and post-test mean scores between experimental and control groups.</w:t>
      </w:r>
    </w:p>
    <w:p w14:paraId="5E7CB973" w14:textId="77777777" w:rsidR="00DA2C56" w:rsidRPr="00E773A2" w:rsidRDefault="00DA2C56" w:rsidP="000C7732">
      <w:pPr>
        <w:spacing w:after="0" w:line="240" w:lineRule="auto"/>
        <w:ind w:firstLine="284"/>
        <w:jc w:val="center"/>
        <w:rPr>
          <w:rFonts w:ascii="Times New Roman" w:hAnsi="Times New Roman" w:cs="Times New Roman"/>
          <w:bCs/>
          <w:sz w:val="20"/>
          <w:szCs w:val="20"/>
        </w:rPr>
      </w:pPr>
    </w:p>
    <w:p w14:paraId="27BAE2A7" w14:textId="3FA2AABC" w:rsidR="00680702" w:rsidRPr="00E773A2" w:rsidRDefault="005D30FB" w:rsidP="00E27A83">
      <w:pPr>
        <w:spacing w:after="0" w:line="240" w:lineRule="auto"/>
        <w:ind w:firstLine="284"/>
        <w:jc w:val="both"/>
        <w:rPr>
          <w:rFonts w:ascii="Times New Roman" w:hAnsi="Times New Roman" w:cs="Times New Roman"/>
          <w:b/>
          <w:bCs/>
          <w:sz w:val="20"/>
          <w:szCs w:val="20"/>
        </w:rPr>
      </w:pPr>
      <w:r w:rsidRPr="00E773A2">
        <w:rPr>
          <w:rFonts w:ascii="Times New Roman" w:hAnsi="Times New Roman" w:cs="Times New Roman"/>
          <w:bCs/>
          <w:sz w:val="20"/>
          <w:szCs w:val="20"/>
        </w:rPr>
        <w:t>This figure highlights the magnitude of learning gains achieved by the experimental group compared to the control group, visually supporting the statistically significant differences identified through inferential analysis.</w:t>
      </w:r>
    </w:p>
    <w:p w14:paraId="506CFD6F" w14:textId="0A18F89B" w:rsidR="009963FF" w:rsidRPr="00E773A2" w:rsidRDefault="009963FF" w:rsidP="00D0633E">
      <w:pPr>
        <w:spacing w:after="0" w:line="240" w:lineRule="auto"/>
        <w:ind w:firstLine="284"/>
        <w:jc w:val="both"/>
        <w:rPr>
          <w:rFonts w:ascii="Times New Roman" w:hAnsi="Times New Roman" w:cs="Times New Roman"/>
          <w:b/>
          <w:bCs/>
          <w:sz w:val="20"/>
          <w:szCs w:val="20"/>
        </w:rPr>
      </w:pPr>
      <w:r w:rsidRPr="00E773A2">
        <w:rPr>
          <w:rFonts w:ascii="Times New Roman" w:hAnsi="Times New Roman" w:cs="Times New Roman"/>
          <w:b/>
          <w:bCs/>
          <w:i/>
          <w:iCs/>
          <w:sz w:val="20"/>
          <w:szCs w:val="20"/>
        </w:rPr>
        <w:t xml:space="preserve">Inferential </w:t>
      </w:r>
      <w:r w:rsidR="00F536F6" w:rsidRPr="00E773A2">
        <w:rPr>
          <w:rFonts w:ascii="Times New Roman" w:hAnsi="Times New Roman" w:cs="Times New Roman"/>
          <w:b/>
          <w:bCs/>
          <w:i/>
          <w:iCs/>
          <w:sz w:val="20"/>
          <w:szCs w:val="20"/>
        </w:rPr>
        <w:t>s</w:t>
      </w:r>
      <w:r w:rsidRPr="00E773A2">
        <w:rPr>
          <w:rFonts w:ascii="Times New Roman" w:hAnsi="Times New Roman" w:cs="Times New Roman"/>
          <w:b/>
          <w:bCs/>
          <w:i/>
          <w:iCs/>
          <w:sz w:val="20"/>
          <w:szCs w:val="20"/>
        </w:rPr>
        <w:t xml:space="preserve">tatistical </w:t>
      </w:r>
      <w:r w:rsidR="00F536F6" w:rsidRPr="00E773A2">
        <w:rPr>
          <w:rFonts w:ascii="Times New Roman" w:hAnsi="Times New Roman" w:cs="Times New Roman"/>
          <w:b/>
          <w:bCs/>
          <w:i/>
          <w:iCs/>
          <w:sz w:val="20"/>
          <w:szCs w:val="20"/>
        </w:rPr>
        <w:t>a</w:t>
      </w:r>
      <w:r w:rsidRPr="00E773A2">
        <w:rPr>
          <w:rFonts w:ascii="Times New Roman" w:hAnsi="Times New Roman" w:cs="Times New Roman"/>
          <w:b/>
          <w:bCs/>
          <w:i/>
          <w:iCs/>
          <w:sz w:val="20"/>
          <w:szCs w:val="20"/>
        </w:rPr>
        <w:t>nalysis</w:t>
      </w:r>
      <w:r w:rsidR="00F536F6" w:rsidRPr="00E773A2">
        <w:rPr>
          <w:rFonts w:ascii="Times New Roman" w:hAnsi="Times New Roman" w:cs="Times New Roman"/>
          <w:b/>
          <w:bCs/>
          <w:i/>
          <w:iCs/>
          <w:sz w:val="20"/>
          <w:szCs w:val="20"/>
        </w:rPr>
        <w:t>.</w:t>
      </w:r>
      <w:r w:rsidR="00F536F6" w:rsidRPr="00E773A2">
        <w:rPr>
          <w:rFonts w:ascii="Times New Roman" w:hAnsi="Times New Roman" w:cs="Times New Roman"/>
          <w:b/>
          <w:bCs/>
          <w:sz w:val="20"/>
          <w:szCs w:val="20"/>
        </w:rPr>
        <w:t xml:space="preserve"> </w:t>
      </w:r>
      <w:r w:rsidRPr="00E773A2">
        <w:rPr>
          <w:rFonts w:ascii="Times New Roman" w:hAnsi="Times New Roman" w:cs="Times New Roman"/>
          <w:sz w:val="20"/>
          <w:szCs w:val="20"/>
        </w:rPr>
        <w:t xml:space="preserve">To examine within-group changes, paired-samples t-tests were conducted. The results revealed a statistically significant improvement in the experimental group from pre-test to post-test, </w:t>
      </w:r>
      <w:proofErr w:type="gramStart"/>
      <w:r w:rsidRPr="00E773A2">
        <w:rPr>
          <w:rFonts w:ascii="Times New Roman" w:hAnsi="Times New Roman" w:cs="Times New Roman"/>
          <w:i/>
          <w:iCs/>
          <w:sz w:val="20"/>
          <w:szCs w:val="20"/>
        </w:rPr>
        <w:t>t</w:t>
      </w:r>
      <w:r w:rsidRPr="00E773A2">
        <w:rPr>
          <w:rFonts w:ascii="Times New Roman" w:hAnsi="Times New Roman" w:cs="Times New Roman"/>
          <w:sz w:val="20"/>
          <w:szCs w:val="20"/>
        </w:rPr>
        <w:t>(</w:t>
      </w:r>
      <w:proofErr w:type="gramEnd"/>
      <w:r w:rsidRPr="00E773A2">
        <w:rPr>
          <w:rFonts w:ascii="Times New Roman" w:hAnsi="Times New Roman" w:cs="Times New Roman"/>
          <w:sz w:val="20"/>
          <w:szCs w:val="20"/>
        </w:rPr>
        <w:t xml:space="preserve">229)=31.8, </w:t>
      </w:r>
      <w:r w:rsidRPr="00E773A2">
        <w:rPr>
          <w:rFonts w:ascii="Times New Roman" w:hAnsi="Times New Roman" w:cs="Times New Roman"/>
          <w:i/>
          <w:iCs/>
          <w:sz w:val="20"/>
          <w:szCs w:val="20"/>
        </w:rPr>
        <w:t>p</w:t>
      </w:r>
      <w:r w:rsidRPr="00E773A2">
        <w:rPr>
          <w:rFonts w:ascii="Times New Roman" w:hAnsi="Times New Roman" w:cs="Times New Roman"/>
          <w:sz w:val="20"/>
          <w:szCs w:val="20"/>
        </w:rPr>
        <w:t xml:space="preserve">&lt;0.001, indicating a strong positive effect of the competency-based and STEAM-integrated instructional approach. The control group also showed a statistically significant but comparatively smaller </w:t>
      </w:r>
      <w:r w:rsidRPr="00E773A2">
        <w:rPr>
          <w:rFonts w:ascii="Times New Roman" w:hAnsi="Times New Roman" w:cs="Times New Roman"/>
          <w:sz w:val="20"/>
          <w:szCs w:val="20"/>
        </w:rPr>
        <w:lastRenderedPageBreak/>
        <w:t xml:space="preserve">improvement, </w:t>
      </w:r>
      <w:proofErr w:type="gramStart"/>
      <w:r w:rsidRPr="00E773A2">
        <w:rPr>
          <w:rFonts w:ascii="Times New Roman" w:hAnsi="Times New Roman" w:cs="Times New Roman"/>
          <w:i/>
          <w:iCs/>
          <w:sz w:val="20"/>
          <w:szCs w:val="20"/>
        </w:rPr>
        <w:t>t</w:t>
      </w:r>
      <w:r w:rsidRPr="00E773A2">
        <w:rPr>
          <w:rFonts w:ascii="Times New Roman" w:hAnsi="Times New Roman" w:cs="Times New Roman"/>
          <w:sz w:val="20"/>
          <w:szCs w:val="20"/>
        </w:rPr>
        <w:t>(</w:t>
      </w:r>
      <w:proofErr w:type="gramEnd"/>
      <w:r w:rsidRPr="00E773A2">
        <w:rPr>
          <w:rFonts w:ascii="Times New Roman" w:hAnsi="Times New Roman" w:cs="Times New Roman"/>
          <w:sz w:val="20"/>
          <w:szCs w:val="20"/>
        </w:rPr>
        <w:t xml:space="preserve">229)=9.4, </w:t>
      </w:r>
      <w:r w:rsidRPr="00E773A2">
        <w:rPr>
          <w:rFonts w:ascii="Times New Roman" w:hAnsi="Times New Roman" w:cs="Times New Roman"/>
          <w:i/>
          <w:iCs/>
          <w:sz w:val="20"/>
          <w:szCs w:val="20"/>
        </w:rPr>
        <w:t>p</w:t>
      </w:r>
      <w:r w:rsidRPr="00E773A2">
        <w:rPr>
          <w:rFonts w:ascii="Times New Roman" w:hAnsi="Times New Roman" w:cs="Times New Roman"/>
          <w:sz w:val="20"/>
          <w:szCs w:val="20"/>
        </w:rPr>
        <w:t>&lt;0.01, reflecting natural progress associated with traditional instruction.</w:t>
      </w:r>
      <w:r w:rsidR="00680702" w:rsidRPr="00E773A2">
        <w:rPr>
          <w:rFonts w:ascii="Times New Roman" w:hAnsi="Times New Roman" w:cs="Times New Roman"/>
          <w:sz w:val="20"/>
          <w:szCs w:val="20"/>
        </w:rPr>
        <w:t xml:space="preserve"> The degrees of freedom reflect paired observations within each group </w:t>
      </w:r>
      <w:r w:rsidR="00680702" w:rsidRPr="00E773A2">
        <w:rPr>
          <w:rFonts w:ascii="Times New Roman" w:hAnsi="Times New Roman" w:cs="Times New Roman"/>
          <w:i/>
          <w:iCs/>
          <w:sz w:val="20"/>
          <w:szCs w:val="20"/>
        </w:rPr>
        <w:t>(</w:t>
      </w:r>
      <w:proofErr w:type="spellStart"/>
      <w:r w:rsidR="00680702" w:rsidRPr="00E773A2">
        <w:rPr>
          <w:rFonts w:ascii="Times New Roman" w:hAnsi="Times New Roman" w:cs="Times New Roman"/>
          <w:i/>
          <w:iCs/>
          <w:sz w:val="20"/>
          <w:szCs w:val="20"/>
        </w:rPr>
        <w:t>df</w:t>
      </w:r>
      <w:proofErr w:type="spellEnd"/>
      <w:r w:rsidR="00680702" w:rsidRPr="00E773A2">
        <w:rPr>
          <w:rFonts w:ascii="Times New Roman" w:hAnsi="Times New Roman" w:cs="Times New Roman"/>
          <w:i/>
          <w:iCs/>
          <w:sz w:val="20"/>
          <w:szCs w:val="20"/>
        </w:rPr>
        <w:t>=n−1)</w:t>
      </w:r>
      <w:r w:rsidR="00680702" w:rsidRPr="00E773A2">
        <w:rPr>
          <w:rFonts w:ascii="Times New Roman" w:hAnsi="Times New Roman" w:cs="Times New Roman"/>
          <w:sz w:val="20"/>
          <w:szCs w:val="20"/>
        </w:rPr>
        <w:t>.</w:t>
      </w:r>
    </w:p>
    <w:p w14:paraId="004370DB" w14:textId="35BE7EC1" w:rsidR="009963FF" w:rsidRPr="00E773A2" w:rsidRDefault="009963FF" w:rsidP="000C7732">
      <w:pPr>
        <w:spacing w:after="0" w:line="240" w:lineRule="auto"/>
        <w:ind w:firstLine="284"/>
        <w:jc w:val="both"/>
        <w:rPr>
          <w:rFonts w:ascii="Times New Roman" w:hAnsi="Times New Roman" w:cs="Times New Roman"/>
          <w:sz w:val="20"/>
          <w:szCs w:val="20"/>
        </w:rPr>
      </w:pPr>
      <w:r w:rsidRPr="00E773A2">
        <w:rPr>
          <w:rFonts w:ascii="Times New Roman" w:hAnsi="Times New Roman" w:cs="Times New Roman"/>
          <w:sz w:val="20"/>
          <w:szCs w:val="20"/>
        </w:rPr>
        <w:t xml:space="preserve">To compare learning outcomes between groups, an independent-samples t-test was performed on post-test scores. The analysis demonstrated a statistically significant difference between the experimental and control groups, </w:t>
      </w:r>
      <w:proofErr w:type="gramStart"/>
      <w:r w:rsidRPr="00E773A2">
        <w:rPr>
          <w:rFonts w:ascii="Times New Roman" w:hAnsi="Times New Roman" w:cs="Times New Roman"/>
          <w:i/>
          <w:iCs/>
          <w:sz w:val="20"/>
          <w:szCs w:val="20"/>
        </w:rPr>
        <w:t>t</w:t>
      </w:r>
      <w:r w:rsidRPr="00E773A2">
        <w:rPr>
          <w:rFonts w:ascii="Times New Roman" w:hAnsi="Times New Roman" w:cs="Times New Roman"/>
          <w:sz w:val="20"/>
          <w:szCs w:val="20"/>
        </w:rPr>
        <w:t>(</w:t>
      </w:r>
      <w:proofErr w:type="gramEnd"/>
      <w:r w:rsidRPr="00E773A2">
        <w:rPr>
          <w:rFonts w:ascii="Times New Roman" w:hAnsi="Times New Roman" w:cs="Times New Roman"/>
          <w:sz w:val="20"/>
          <w:szCs w:val="20"/>
        </w:rPr>
        <w:t xml:space="preserve">458)=22.6, </w:t>
      </w:r>
      <w:r w:rsidRPr="00E773A2">
        <w:rPr>
          <w:rFonts w:ascii="Times New Roman" w:hAnsi="Times New Roman" w:cs="Times New Roman"/>
          <w:i/>
          <w:iCs/>
          <w:sz w:val="20"/>
          <w:szCs w:val="20"/>
        </w:rPr>
        <w:t>p</w:t>
      </w:r>
      <w:r w:rsidRPr="00E773A2">
        <w:rPr>
          <w:rFonts w:ascii="Times New Roman" w:hAnsi="Times New Roman" w:cs="Times New Roman"/>
          <w:sz w:val="20"/>
          <w:szCs w:val="20"/>
        </w:rPr>
        <w:t xml:space="preserve">&lt;0.001. The effect size was large (Cohen’s </w:t>
      </w:r>
      <w:r w:rsidRPr="00E773A2">
        <w:rPr>
          <w:rFonts w:ascii="Times New Roman" w:hAnsi="Times New Roman" w:cs="Times New Roman"/>
          <w:i/>
          <w:iCs/>
          <w:sz w:val="20"/>
          <w:szCs w:val="20"/>
        </w:rPr>
        <w:t>d</w:t>
      </w:r>
      <w:r w:rsidRPr="00E773A2">
        <w:rPr>
          <w:rFonts w:ascii="Times New Roman" w:hAnsi="Times New Roman" w:cs="Times New Roman"/>
          <w:sz w:val="20"/>
          <w:szCs w:val="20"/>
        </w:rPr>
        <w:t>=1.48), indicating a strong practical impact of the instructional intervention on students’ mathematics achievement.</w:t>
      </w:r>
    </w:p>
    <w:p w14:paraId="2C9C22B4" w14:textId="77777777" w:rsidR="00DF2B7C" w:rsidRPr="00E773A2" w:rsidRDefault="00DF2B7C" w:rsidP="000C7732">
      <w:pPr>
        <w:spacing w:after="0" w:line="240" w:lineRule="auto"/>
        <w:ind w:firstLine="284"/>
        <w:jc w:val="both"/>
        <w:rPr>
          <w:rFonts w:ascii="Times New Roman" w:hAnsi="Times New Roman" w:cs="Times New Roman"/>
          <w:sz w:val="20"/>
          <w:szCs w:val="20"/>
        </w:rPr>
      </w:pPr>
    </w:p>
    <w:p w14:paraId="15240B5C" w14:textId="336A2885" w:rsidR="001B2829" w:rsidRPr="00E773A2" w:rsidRDefault="003365F6" w:rsidP="00FF3846">
      <w:pPr>
        <w:spacing w:before="240" w:after="240" w:line="240" w:lineRule="auto"/>
        <w:ind w:firstLine="284"/>
        <w:jc w:val="center"/>
        <w:rPr>
          <w:rFonts w:ascii="Times New Roman" w:hAnsi="Times New Roman" w:cs="Times New Roman"/>
          <w:b/>
          <w:sz w:val="24"/>
          <w:szCs w:val="20"/>
        </w:rPr>
      </w:pPr>
      <w:r w:rsidRPr="00E773A2">
        <w:rPr>
          <w:rFonts w:ascii="Times New Roman" w:hAnsi="Times New Roman" w:cs="Times New Roman"/>
          <w:b/>
          <w:sz w:val="24"/>
          <w:szCs w:val="20"/>
        </w:rPr>
        <w:t>DISCUSSION</w:t>
      </w:r>
    </w:p>
    <w:p w14:paraId="3F920E21" w14:textId="77777777" w:rsidR="009963FF" w:rsidRPr="00E773A2" w:rsidRDefault="009963FF" w:rsidP="000C7732">
      <w:pPr>
        <w:spacing w:after="0" w:line="240" w:lineRule="auto"/>
        <w:ind w:firstLine="284"/>
        <w:jc w:val="both"/>
        <w:rPr>
          <w:rFonts w:ascii="Times New Roman" w:hAnsi="Times New Roman" w:cs="Times New Roman"/>
          <w:sz w:val="20"/>
          <w:szCs w:val="20"/>
        </w:rPr>
      </w:pPr>
      <w:r w:rsidRPr="00E773A2">
        <w:rPr>
          <w:rFonts w:ascii="Times New Roman" w:hAnsi="Times New Roman" w:cs="Times New Roman"/>
          <w:sz w:val="20"/>
          <w:szCs w:val="20"/>
        </w:rPr>
        <w:t>The findings of this study provide robust empirical evidence supporting the effectiveness of a competency-based and STEAM-integrated approach to teaching mathematics in higher education. The substantial improvement observed in the experimental group, compared to the relatively modest gains in the control group, suggests that traditional lecture-based instruction alone is insufficient for fostering higher-order mathematical competencies.</w:t>
      </w:r>
    </w:p>
    <w:p w14:paraId="6134E473" w14:textId="34FE9533" w:rsidR="009963FF" w:rsidRPr="00E773A2" w:rsidRDefault="009963FF" w:rsidP="000C7732">
      <w:pPr>
        <w:spacing w:after="0" w:line="240" w:lineRule="auto"/>
        <w:ind w:firstLine="284"/>
        <w:jc w:val="both"/>
        <w:rPr>
          <w:rFonts w:ascii="Times New Roman" w:hAnsi="Times New Roman" w:cs="Times New Roman"/>
          <w:sz w:val="20"/>
          <w:szCs w:val="20"/>
        </w:rPr>
      </w:pPr>
      <w:r w:rsidRPr="00E773A2">
        <w:rPr>
          <w:rFonts w:ascii="Times New Roman" w:hAnsi="Times New Roman" w:cs="Times New Roman"/>
          <w:sz w:val="20"/>
          <w:szCs w:val="20"/>
        </w:rPr>
        <w:t>The large effect size obtained in the post-test comparison highlights not only statistical significance but also meaningful educational impact</w:t>
      </w:r>
      <w:r w:rsidR="00DA0B39">
        <w:rPr>
          <w:rFonts w:ascii="Times New Roman" w:hAnsi="Times New Roman" w:cs="Times New Roman"/>
          <w:sz w:val="20"/>
          <w:szCs w:val="20"/>
        </w:rPr>
        <w:t xml:space="preserve"> [18-47]</w:t>
      </w:r>
      <w:bookmarkStart w:id="3" w:name="_GoBack"/>
      <w:bookmarkEnd w:id="3"/>
      <w:r w:rsidRPr="00E773A2">
        <w:rPr>
          <w:rFonts w:ascii="Times New Roman" w:hAnsi="Times New Roman" w:cs="Times New Roman"/>
          <w:sz w:val="20"/>
          <w:szCs w:val="20"/>
        </w:rPr>
        <w:t>. This result can be attributed to the instructional model’s emphasis on active learning, interdisciplinary integration, and real-world problem-solving, which collectively promote deeper conceptual understanding and transferable skills.</w:t>
      </w:r>
    </w:p>
    <w:p w14:paraId="452CEF29" w14:textId="77777777" w:rsidR="009963FF" w:rsidRPr="00E773A2" w:rsidRDefault="009963FF" w:rsidP="000C7732">
      <w:pPr>
        <w:spacing w:after="0" w:line="240" w:lineRule="auto"/>
        <w:ind w:firstLine="284"/>
        <w:jc w:val="both"/>
        <w:rPr>
          <w:rFonts w:ascii="Times New Roman" w:hAnsi="Times New Roman" w:cs="Times New Roman"/>
          <w:sz w:val="20"/>
          <w:szCs w:val="20"/>
        </w:rPr>
      </w:pPr>
      <w:r w:rsidRPr="00E773A2">
        <w:rPr>
          <w:rFonts w:ascii="Times New Roman" w:hAnsi="Times New Roman" w:cs="Times New Roman"/>
          <w:sz w:val="20"/>
          <w:szCs w:val="20"/>
        </w:rPr>
        <w:t xml:space="preserve">These findings are consistent with previous research emphasizing the benefits of competency-oriented and interdisciplinary instructional strategies in STEM education. Studies by Freeman et al. (2014) and </w:t>
      </w:r>
      <w:proofErr w:type="spellStart"/>
      <w:r w:rsidRPr="00E773A2">
        <w:rPr>
          <w:rFonts w:ascii="Times New Roman" w:hAnsi="Times New Roman" w:cs="Times New Roman"/>
          <w:sz w:val="20"/>
          <w:szCs w:val="20"/>
        </w:rPr>
        <w:t>Yakman</w:t>
      </w:r>
      <w:proofErr w:type="spellEnd"/>
      <w:r w:rsidRPr="00E773A2">
        <w:rPr>
          <w:rFonts w:ascii="Times New Roman" w:hAnsi="Times New Roman" w:cs="Times New Roman"/>
          <w:sz w:val="20"/>
          <w:szCs w:val="20"/>
        </w:rPr>
        <w:t xml:space="preserve"> and Lee (2012) similarly reported that active, integrated learning environments lead to higher academic performance and increased student engagement. The present study extends this body of literature by demonstrating that such approaches are particularly effective in university-level mathematics education, where abstract concepts often pose challenges for learners.</w:t>
      </w:r>
    </w:p>
    <w:p w14:paraId="396BD310" w14:textId="77777777" w:rsidR="00E773A2" w:rsidRDefault="005D30FB" w:rsidP="000C7732">
      <w:pPr>
        <w:spacing w:after="0" w:line="240" w:lineRule="auto"/>
        <w:ind w:firstLine="284"/>
        <w:jc w:val="center"/>
        <w:rPr>
          <w:rFonts w:ascii="Times New Roman" w:hAnsi="Times New Roman" w:cs="Times New Roman"/>
          <w:b/>
          <w:bCs/>
          <w:sz w:val="20"/>
          <w:szCs w:val="20"/>
        </w:rPr>
      </w:pPr>
      <w:r w:rsidRPr="00E773A2">
        <w:rPr>
          <w:rFonts w:ascii="Times New Roman" w:hAnsi="Times New Roman" w:cs="Times New Roman"/>
          <w:noProof/>
          <w:sz w:val="20"/>
          <w:szCs w:val="20"/>
          <w:lang w:val="ru-RU" w:eastAsia="ru-RU"/>
        </w:rPr>
        <w:drawing>
          <wp:inline distT="0" distB="0" distL="0" distR="0" wp14:anchorId="4E4E73B7" wp14:editId="4DDB5E8D">
            <wp:extent cx="3724275" cy="2366984"/>
            <wp:effectExtent l="0" t="0" r="0" b="0"/>
            <wp:docPr id="523040066"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983" t="8333" r="11726"/>
                    <a:stretch>
                      <a:fillRect/>
                    </a:stretch>
                  </pic:blipFill>
                  <pic:spPr bwMode="auto">
                    <a:xfrm>
                      <a:off x="0" y="0"/>
                      <a:ext cx="3728085" cy="2369405"/>
                    </a:xfrm>
                    <a:prstGeom prst="rect">
                      <a:avLst/>
                    </a:prstGeom>
                    <a:noFill/>
                    <a:ln>
                      <a:noFill/>
                    </a:ln>
                    <a:extLst>
                      <a:ext uri="{53640926-AAD7-44D8-BBD7-CCE9431645EC}">
                        <a14:shadowObscured xmlns:a14="http://schemas.microsoft.com/office/drawing/2010/main"/>
                      </a:ext>
                    </a:extLst>
                  </pic:spPr>
                </pic:pic>
              </a:graphicData>
            </a:graphic>
          </wp:inline>
        </w:drawing>
      </w:r>
    </w:p>
    <w:p w14:paraId="64381F1C" w14:textId="73C721E2" w:rsidR="00502492" w:rsidRPr="00E773A2" w:rsidRDefault="003365F6" w:rsidP="000C7732">
      <w:pPr>
        <w:spacing w:after="0" w:line="240" w:lineRule="auto"/>
        <w:ind w:firstLine="284"/>
        <w:jc w:val="center"/>
        <w:rPr>
          <w:rFonts w:ascii="Times New Roman" w:hAnsi="Times New Roman" w:cs="Times New Roman"/>
          <w:bCs/>
          <w:sz w:val="20"/>
          <w:szCs w:val="20"/>
        </w:rPr>
      </w:pPr>
      <w:r w:rsidRPr="00E773A2">
        <w:rPr>
          <w:rFonts w:ascii="Times New Roman" w:hAnsi="Times New Roman" w:cs="Times New Roman"/>
          <w:b/>
          <w:bCs/>
          <w:sz w:val="20"/>
          <w:szCs w:val="20"/>
        </w:rPr>
        <w:t xml:space="preserve">FIGURE 4. </w:t>
      </w:r>
      <w:r w:rsidR="005D30FB" w:rsidRPr="00E773A2">
        <w:rPr>
          <w:rFonts w:ascii="Times New Roman" w:hAnsi="Times New Roman" w:cs="Times New Roman"/>
          <w:bCs/>
          <w:sz w:val="20"/>
          <w:szCs w:val="20"/>
        </w:rPr>
        <w:t>Interdisciplinary integration of mathematics within the STEAM framework.</w:t>
      </w:r>
    </w:p>
    <w:p w14:paraId="28E4D8D5" w14:textId="77777777" w:rsidR="00502492" w:rsidRPr="00E773A2" w:rsidRDefault="00502492" w:rsidP="000C7732">
      <w:pPr>
        <w:spacing w:after="0" w:line="240" w:lineRule="auto"/>
        <w:ind w:firstLine="284"/>
        <w:jc w:val="center"/>
        <w:rPr>
          <w:rFonts w:ascii="Times New Roman" w:hAnsi="Times New Roman" w:cs="Times New Roman"/>
          <w:bCs/>
          <w:sz w:val="20"/>
          <w:szCs w:val="20"/>
        </w:rPr>
      </w:pPr>
    </w:p>
    <w:p w14:paraId="718E80FD" w14:textId="77777777" w:rsidR="00E773A2" w:rsidRPr="00E773A2" w:rsidRDefault="00E773A2" w:rsidP="00E773A2">
      <w:pPr>
        <w:spacing w:after="0" w:line="240" w:lineRule="auto"/>
        <w:ind w:firstLine="284"/>
        <w:jc w:val="both"/>
        <w:rPr>
          <w:rFonts w:ascii="Times New Roman" w:hAnsi="Times New Roman" w:cs="Times New Roman"/>
          <w:sz w:val="20"/>
          <w:szCs w:val="20"/>
        </w:rPr>
      </w:pPr>
      <w:r w:rsidRPr="00E773A2">
        <w:rPr>
          <w:rFonts w:ascii="Times New Roman" w:hAnsi="Times New Roman" w:cs="Times New Roman"/>
          <w:sz w:val="20"/>
          <w:szCs w:val="20"/>
        </w:rPr>
        <w:t>Moreover, the results align with contemporary educational frameworks that emphasize the development of competencies rather than the mere acquisition of knowledge. By integrating STEAM principles, the instructional model encouraged students to connect mathematical concepts with practical applications, thereby enhancing motivation and learning relevance. This integration appears to be a key factor in the significant performance gains observed in the experimental group.</w:t>
      </w:r>
    </w:p>
    <w:p w14:paraId="02F75BE1" w14:textId="77777777" w:rsidR="00E773A2" w:rsidRPr="00E773A2" w:rsidRDefault="00E773A2" w:rsidP="00E773A2">
      <w:pPr>
        <w:spacing w:after="0" w:line="240" w:lineRule="auto"/>
        <w:ind w:firstLine="284"/>
        <w:jc w:val="both"/>
        <w:rPr>
          <w:rFonts w:ascii="Times New Roman" w:hAnsi="Times New Roman" w:cs="Times New Roman"/>
          <w:sz w:val="20"/>
          <w:szCs w:val="20"/>
        </w:rPr>
      </w:pPr>
      <w:r w:rsidRPr="00E773A2">
        <w:rPr>
          <w:rFonts w:ascii="Times New Roman" w:hAnsi="Times New Roman" w:cs="Times New Roman"/>
          <w:sz w:val="20"/>
          <w:szCs w:val="20"/>
        </w:rPr>
        <w:t>Despite the strengths of the study, certain limitations should be acknowledged. The research was conducted within a single institutional context, which may limit the generalizability of the findings. Future studies could expand the sample across multiple universities and explore longitudinal effects to assess the sustainability of learning gains over time.</w:t>
      </w:r>
    </w:p>
    <w:p w14:paraId="0EE22ADA" w14:textId="580E5A40" w:rsidR="005D30FB" w:rsidRPr="00E773A2" w:rsidRDefault="005D30FB" w:rsidP="00502492">
      <w:pPr>
        <w:spacing w:after="0" w:line="240" w:lineRule="auto"/>
        <w:ind w:firstLine="284"/>
        <w:jc w:val="both"/>
        <w:rPr>
          <w:rFonts w:ascii="Times New Roman" w:hAnsi="Times New Roman" w:cs="Times New Roman"/>
          <w:b/>
          <w:bCs/>
          <w:sz w:val="20"/>
          <w:szCs w:val="20"/>
        </w:rPr>
      </w:pPr>
      <w:r w:rsidRPr="00E773A2">
        <w:rPr>
          <w:rFonts w:ascii="Times New Roman" w:hAnsi="Times New Roman" w:cs="Times New Roman"/>
          <w:bCs/>
          <w:sz w:val="20"/>
          <w:szCs w:val="20"/>
        </w:rPr>
        <w:t>This figure demonstrates how mathematics is connected with science, technology, engineering, arts, and real-world problem-solving contexts, reinforcing the role of interdisciplinary learning in developing transferable competencies.</w:t>
      </w:r>
    </w:p>
    <w:p w14:paraId="42DD24D8" w14:textId="284F9E80" w:rsidR="001B2829" w:rsidRPr="00E773A2" w:rsidRDefault="003365F6" w:rsidP="00FF3846">
      <w:pPr>
        <w:spacing w:before="240" w:after="240" w:line="240" w:lineRule="auto"/>
        <w:ind w:firstLine="284"/>
        <w:jc w:val="center"/>
        <w:rPr>
          <w:rFonts w:ascii="Times New Roman" w:hAnsi="Times New Roman" w:cs="Times New Roman"/>
          <w:b/>
          <w:sz w:val="24"/>
          <w:szCs w:val="20"/>
        </w:rPr>
      </w:pPr>
      <w:r w:rsidRPr="00E773A2">
        <w:rPr>
          <w:rFonts w:ascii="Times New Roman" w:hAnsi="Times New Roman" w:cs="Times New Roman"/>
          <w:b/>
          <w:sz w:val="24"/>
          <w:szCs w:val="20"/>
        </w:rPr>
        <w:lastRenderedPageBreak/>
        <w:t>CONCLUSION</w:t>
      </w:r>
    </w:p>
    <w:p w14:paraId="38DB4843" w14:textId="77777777" w:rsidR="001B2829" w:rsidRPr="00E773A2" w:rsidRDefault="00A86E12" w:rsidP="000C7732">
      <w:pPr>
        <w:spacing w:after="0" w:line="240" w:lineRule="auto"/>
        <w:ind w:firstLine="284"/>
        <w:jc w:val="both"/>
        <w:rPr>
          <w:rFonts w:ascii="Times New Roman" w:hAnsi="Times New Roman" w:cs="Times New Roman"/>
          <w:sz w:val="20"/>
          <w:szCs w:val="20"/>
        </w:rPr>
      </w:pPr>
      <w:r w:rsidRPr="00E773A2">
        <w:rPr>
          <w:rFonts w:ascii="Times New Roman" w:hAnsi="Times New Roman" w:cs="Times New Roman"/>
          <w:sz w:val="20"/>
          <w:szCs w:val="20"/>
        </w:rPr>
        <w:t>This study demonstrates that integrating competency-based principles with STEAM methodology represents an effective strategy for improving the quality of mathematics teaching in higher education. The approach supports the development of key mathematical competencies and enhances student learning outcomes.</w:t>
      </w:r>
    </w:p>
    <w:p w14:paraId="4F700B5B" w14:textId="0566A4AE" w:rsidR="001B2829" w:rsidRPr="00E773A2" w:rsidRDefault="003365F6" w:rsidP="00FF3846">
      <w:pPr>
        <w:spacing w:before="240" w:after="240" w:line="240" w:lineRule="auto"/>
        <w:ind w:firstLine="284"/>
        <w:jc w:val="center"/>
        <w:rPr>
          <w:rFonts w:ascii="Times New Roman" w:hAnsi="Times New Roman" w:cs="Times New Roman"/>
          <w:b/>
          <w:sz w:val="24"/>
          <w:szCs w:val="20"/>
        </w:rPr>
      </w:pPr>
      <w:r w:rsidRPr="00E773A2">
        <w:rPr>
          <w:rFonts w:ascii="Times New Roman" w:hAnsi="Times New Roman" w:cs="Times New Roman"/>
          <w:b/>
          <w:sz w:val="24"/>
          <w:szCs w:val="20"/>
        </w:rPr>
        <w:t>REFERENCES</w:t>
      </w:r>
    </w:p>
    <w:p w14:paraId="74156FB2" w14:textId="77777777"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OECD. (2019). </w:t>
      </w:r>
      <w:r w:rsidRPr="00E773A2">
        <w:rPr>
          <w:rFonts w:ascii="Times New Roman" w:hAnsi="Times New Roman" w:cs="Times New Roman"/>
          <w:i/>
          <w:iCs/>
          <w:sz w:val="20"/>
          <w:szCs w:val="20"/>
        </w:rPr>
        <w:t>OECD Future of Education and Skills 2030: Education Working Papers.</w:t>
      </w:r>
      <w:r w:rsidRPr="00E773A2">
        <w:rPr>
          <w:rFonts w:ascii="Times New Roman" w:hAnsi="Times New Roman" w:cs="Times New Roman"/>
          <w:sz w:val="20"/>
          <w:szCs w:val="20"/>
        </w:rPr>
        <w:t xml:space="preserve"> OECD Publishing.</w:t>
      </w:r>
    </w:p>
    <w:p w14:paraId="756B07CE" w14:textId="2F0DD1D3"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Voogt, J., Fisser, P., Pareja Roblin, N., </w:t>
      </w:r>
      <w:proofErr w:type="spellStart"/>
      <w:r w:rsidRPr="00E773A2">
        <w:rPr>
          <w:rFonts w:ascii="Times New Roman" w:hAnsi="Times New Roman" w:cs="Times New Roman"/>
          <w:sz w:val="20"/>
          <w:szCs w:val="20"/>
        </w:rPr>
        <w:t>Tondeur</w:t>
      </w:r>
      <w:proofErr w:type="spellEnd"/>
      <w:r w:rsidRPr="00E773A2">
        <w:rPr>
          <w:rFonts w:ascii="Times New Roman" w:hAnsi="Times New Roman" w:cs="Times New Roman"/>
          <w:sz w:val="20"/>
          <w:szCs w:val="20"/>
        </w:rPr>
        <w:t xml:space="preserve">, J., &amp; van Braak, J. (2015). Technological pedagogical content knowledge – A review of the literature. </w:t>
      </w:r>
      <w:r w:rsidRPr="00E773A2">
        <w:rPr>
          <w:rFonts w:ascii="Times New Roman" w:hAnsi="Times New Roman" w:cs="Times New Roman"/>
          <w:i/>
          <w:iCs/>
          <w:sz w:val="20"/>
          <w:szCs w:val="20"/>
        </w:rPr>
        <w:t>Journal of Computer Assisted Learning</w:t>
      </w:r>
      <w:r w:rsidRPr="00E773A2">
        <w:rPr>
          <w:rFonts w:ascii="Times New Roman" w:hAnsi="Times New Roman" w:cs="Times New Roman"/>
          <w:sz w:val="20"/>
          <w:szCs w:val="20"/>
        </w:rPr>
        <w:t>, 31(2), 133–153.</w:t>
      </w:r>
      <w:r w:rsidR="00B40C80" w:rsidRPr="00E773A2">
        <w:rPr>
          <w:rFonts w:ascii="Times New Roman" w:hAnsi="Times New Roman" w:cs="Times New Roman"/>
          <w:sz w:val="20"/>
          <w:szCs w:val="20"/>
        </w:rPr>
        <w:t xml:space="preserve"> </w:t>
      </w:r>
      <w:hyperlink r:id="rId13" w:history="1">
        <w:r w:rsidR="00B40C80" w:rsidRPr="00E773A2">
          <w:rPr>
            <w:rStyle w:val="aff9"/>
            <w:rFonts w:ascii="Times New Roman" w:hAnsi="Times New Roman" w:cs="Times New Roman"/>
            <w:sz w:val="20"/>
            <w:szCs w:val="20"/>
          </w:rPr>
          <w:t>https://doi.org/10.1111/jcal.12093</w:t>
        </w:r>
      </w:hyperlink>
      <w:r w:rsidR="00B40C80" w:rsidRPr="00E773A2">
        <w:rPr>
          <w:rFonts w:ascii="Times New Roman" w:hAnsi="Times New Roman" w:cs="Times New Roman"/>
          <w:sz w:val="20"/>
          <w:szCs w:val="20"/>
        </w:rPr>
        <w:t xml:space="preserve"> </w:t>
      </w:r>
    </w:p>
    <w:p w14:paraId="26176BB0" w14:textId="77777777"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Bybee, R. W. (2013). The case for STEM education: Challenges and opportunities. </w:t>
      </w:r>
      <w:r w:rsidRPr="00E773A2">
        <w:rPr>
          <w:rFonts w:ascii="Times New Roman" w:hAnsi="Times New Roman" w:cs="Times New Roman"/>
          <w:i/>
          <w:iCs/>
          <w:sz w:val="20"/>
          <w:szCs w:val="20"/>
        </w:rPr>
        <w:t>NSTA Press</w:t>
      </w:r>
      <w:r w:rsidRPr="00E773A2">
        <w:rPr>
          <w:rFonts w:ascii="Times New Roman" w:hAnsi="Times New Roman" w:cs="Times New Roman"/>
          <w:sz w:val="20"/>
          <w:szCs w:val="20"/>
        </w:rPr>
        <w:t>.</w:t>
      </w:r>
    </w:p>
    <w:p w14:paraId="6B8B1088" w14:textId="68F3BB82"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English, L. D. (2017). Advancing elementary and middle school STEM education. </w:t>
      </w:r>
      <w:r w:rsidRPr="00E773A2">
        <w:rPr>
          <w:rFonts w:ascii="Times New Roman" w:hAnsi="Times New Roman" w:cs="Times New Roman"/>
          <w:i/>
          <w:iCs/>
          <w:sz w:val="20"/>
          <w:szCs w:val="20"/>
        </w:rPr>
        <w:t>International Journal of Science and Mathematics Education</w:t>
      </w:r>
      <w:r w:rsidRPr="00E773A2">
        <w:rPr>
          <w:rFonts w:ascii="Times New Roman" w:hAnsi="Times New Roman" w:cs="Times New Roman"/>
          <w:sz w:val="20"/>
          <w:szCs w:val="20"/>
        </w:rPr>
        <w:t>, 15(1), 5–24.</w:t>
      </w:r>
      <w:r w:rsidR="00B40C80" w:rsidRPr="00E773A2">
        <w:rPr>
          <w:rFonts w:ascii="Times New Roman" w:hAnsi="Times New Roman" w:cs="Times New Roman"/>
          <w:sz w:val="20"/>
          <w:szCs w:val="20"/>
        </w:rPr>
        <w:t xml:space="preserve"> </w:t>
      </w:r>
      <w:hyperlink r:id="rId14" w:history="1">
        <w:r w:rsidR="00B40C80" w:rsidRPr="00E773A2">
          <w:rPr>
            <w:rStyle w:val="aff9"/>
            <w:rFonts w:ascii="Times New Roman" w:hAnsi="Times New Roman" w:cs="Times New Roman"/>
            <w:sz w:val="20"/>
            <w:szCs w:val="20"/>
          </w:rPr>
          <w:t>https://doi.org/10.1007/s10763-017-9802-x</w:t>
        </w:r>
      </w:hyperlink>
      <w:r w:rsidR="00B40C80" w:rsidRPr="00E773A2">
        <w:rPr>
          <w:rFonts w:ascii="Times New Roman" w:hAnsi="Times New Roman" w:cs="Times New Roman"/>
          <w:sz w:val="20"/>
          <w:szCs w:val="20"/>
        </w:rPr>
        <w:t xml:space="preserve"> </w:t>
      </w:r>
    </w:p>
    <w:p w14:paraId="51062A31" w14:textId="77777777"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Shavelson, R. J. (2018). </w:t>
      </w:r>
      <w:r w:rsidRPr="00E773A2">
        <w:rPr>
          <w:rFonts w:ascii="Times New Roman" w:hAnsi="Times New Roman" w:cs="Times New Roman"/>
          <w:i/>
          <w:iCs/>
          <w:sz w:val="20"/>
          <w:szCs w:val="20"/>
        </w:rPr>
        <w:t>Measuring College Learning Responsibly.</w:t>
      </w:r>
      <w:r w:rsidRPr="00E773A2">
        <w:rPr>
          <w:rFonts w:ascii="Times New Roman" w:hAnsi="Times New Roman" w:cs="Times New Roman"/>
          <w:sz w:val="20"/>
          <w:szCs w:val="20"/>
        </w:rPr>
        <w:t xml:space="preserve"> Stanford University Press.</w:t>
      </w:r>
    </w:p>
    <w:p w14:paraId="748D6C25" w14:textId="39387AFE"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Rieckmann, M. (2012). Future-oriented higher education: Which key competencies should be fostered? </w:t>
      </w:r>
      <w:r w:rsidRPr="00E773A2">
        <w:rPr>
          <w:rFonts w:ascii="Times New Roman" w:hAnsi="Times New Roman" w:cs="Times New Roman"/>
          <w:i/>
          <w:iCs/>
          <w:sz w:val="20"/>
          <w:szCs w:val="20"/>
        </w:rPr>
        <w:t>Futures</w:t>
      </w:r>
      <w:r w:rsidRPr="00E773A2">
        <w:rPr>
          <w:rFonts w:ascii="Times New Roman" w:hAnsi="Times New Roman" w:cs="Times New Roman"/>
          <w:sz w:val="20"/>
          <w:szCs w:val="20"/>
        </w:rPr>
        <w:t>, 44(2), 127–135.</w:t>
      </w:r>
      <w:r w:rsidR="00B40C80" w:rsidRPr="00E773A2">
        <w:rPr>
          <w:rFonts w:ascii="Times New Roman" w:hAnsi="Times New Roman" w:cs="Times New Roman"/>
          <w:sz w:val="20"/>
          <w:szCs w:val="20"/>
        </w:rPr>
        <w:t xml:space="preserve"> </w:t>
      </w:r>
      <w:hyperlink r:id="rId15" w:history="1">
        <w:r w:rsidR="00B40C80" w:rsidRPr="00E773A2">
          <w:rPr>
            <w:rStyle w:val="aff9"/>
            <w:rFonts w:ascii="Times New Roman" w:hAnsi="Times New Roman" w:cs="Times New Roman"/>
            <w:sz w:val="20"/>
            <w:szCs w:val="20"/>
          </w:rPr>
          <w:t>https://doi.org/10.1016/j.futures.2011.09.005</w:t>
        </w:r>
      </w:hyperlink>
      <w:r w:rsidR="00B40C80" w:rsidRPr="00E773A2">
        <w:rPr>
          <w:rFonts w:ascii="Times New Roman" w:hAnsi="Times New Roman" w:cs="Times New Roman"/>
          <w:sz w:val="20"/>
          <w:szCs w:val="20"/>
        </w:rPr>
        <w:t xml:space="preserve"> </w:t>
      </w:r>
    </w:p>
    <w:p w14:paraId="707AB92E" w14:textId="77777777"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González, J., &amp; Wagenaar, R. (2005). Tuning educational structures in Europe. </w:t>
      </w:r>
      <w:r w:rsidRPr="00E773A2">
        <w:rPr>
          <w:rFonts w:ascii="Times New Roman" w:hAnsi="Times New Roman" w:cs="Times New Roman"/>
          <w:i/>
          <w:iCs/>
          <w:sz w:val="20"/>
          <w:szCs w:val="20"/>
        </w:rPr>
        <w:t>Universities’ contribution to the Bologna Process.</w:t>
      </w:r>
    </w:p>
    <w:p w14:paraId="2F1F0FB9" w14:textId="77777777"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Lai, E. R. (2011). Critical thinking: A literature review. </w:t>
      </w:r>
      <w:r w:rsidRPr="00E773A2">
        <w:rPr>
          <w:rFonts w:ascii="Times New Roman" w:hAnsi="Times New Roman" w:cs="Times New Roman"/>
          <w:i/>
          <w:iCs/>
          <w:sz w:val="20"/>
          <w:szCs w:val="20"/>
        </w:rPr>
        <w:t>Pearson Research Report.</w:t>
      </w:r>
    </w:p>
    <w:p w14:paraId="55AB0958" w14:textId="5BC933DA"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Kong, S. C., Chiu, M. M., &amp; Lai, M. (2018). A study of e-learning adoption in higher education. </w:t>
      </w:r>
      <w:r w:rsidRPr="00E773A2">
        <w:rPr>
          <w:rFonts w:ascii="Times New Roman" w:hAnsi="Times New Roman" w:cs="Times New Roman"/>
          <w:i/>
          <w:iCs/>
          <w:sz w:val="20"/>
          <w:szCs w:val="20"/>
        </w:rPr>
        <w:t>Computers &amp; Education</w:t>
      </w:r>
      <w:r w:rsidRPr="00E773A2">
        <w:rPr>
          <w:rFonts w:ascii="Times New Roman" w:hAnsi="Times New Roman" w:cs="Times New Roman"/>
          <w:sz w:val="20"/>
          <w:szCs w:val="20"/>
        </w:rPr>
        <w:t>, 125, 23–36.</w:t>
      </w:r>
      <w:r w:rsidR="00B40C80" w:rsidRPr="00E773A2">
        <w:rPr>
          <w:rFonts w:ascii="Times New Roman" w:hAnsi="Times New Roman" w:cs="Times New Roman"/>
          <w:sz w:val="20"/>
          <w:szCs w:val="20"/>
        </w:rPr>
        <w:t xml:space="preserve"> </w:t>
      </w:r>
      <w:hyperlink r:id="rId16" w:history="1">
        <w:r w:rsidR="00B40C80" w:rsidRPr="00E773A2">
          <w:rPr>
            <w:rStyle w:val="aff9"/>
            <w:rFonts w:ascii="Times New Roman" w:hAnsi="Times New Roman" w:cs="Times New Roman"/>
            <w:sz w:val="20"/>
            <w:szCs w:val="20"/>
          </w:rPr>
          <w:t>https://doi.org/10.1016/j.compedu.2018.05.004</w:t>
        </w:r>
      </w:hyperlink>
      <w:r w:rsidR="00B40C80" w:rsidRPr="00E773A2">
        <w:rPr>
          <w:rFonts w:ascii="Times New Roman" w:hAnsi="Times New Roman" w:cs="Times New Roman"/>
          <w:sz w:val="20"/>
          <w:szCs w:val="20"/>
        </w:rPr>
        <w:t xml:space="preserve"> </w:t>
      </w:r>
    </w:p>
    <w:p w14:paraId="1D924658" w14:textId="77777777"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proofErr w:type="spellStart"/>
      <w:r w:rsidRPr="00E773A2">
        <w:rPr>
          <w:rFonts w:ascii="Times New Roman" w:hAnsi="Times New Roman" w:cs="Times New Roman"/>
          <w:sz w:val="20"/>
          <w:szCs w:val="20"/>
        </w:rPr>
        <w:t>Yakman</w:t>
      </w:r>
      <w:proofErr w:type="spellEnd"/>
      <w:r w:rsidRPr="00E773A2">
        <w:rPr>
          <w:rFonts w:ascii="Times New Roman" w:hAnsi="Times New Roman" w:cs="Times New Roman"/>
          <w:sz w:val="20"/>
          <w:szCs w:val="20"/>
        </w:rPr>
        <w:t xml:space="preserve">, G., &amp; Lee, H. (2012). Exploring the exemplary STEAM education. </w:t>
      </w:r>
      <w:r w:rsidRPr="00E773A2">
        <w:rPr>
          <w:rFonts w:ascii="Times New Roman" w:hAnsi="Times New Roman" w:cs="Times New Roman"/>
          <w:i/>
          <w:iCs/>
          <w:sz w:val="20"/>
          <w:szCs w:val="20"/>
        </w:rPr>
        <w:t>Journal of the Korean Association for Science Education</w:t>
      </w:r>
      <w:r w:rsidRPr="00E773A2">
        <w:rPr>
          <w:rFonts w:ascii="Times New Roman" w:hAnsi="Times New Roman" w:cs="Times New Roman"/>
          <w:sz w:val="20"/>
          <w:szCs w:val="20"/>
        </w:rPr>
        <w:t>, 32(6), 1072–1086.</w:t>
      </w:r>
    </w:p>
    <w:p w14:paraId="0FA15B7D" w14:textId="374F1133"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Prince, M. (2004). Does active learning work? A review of the research. </w:t>
      </w:r>
      <w:r w:rsidRPr="00E773A2">
        <w:rPr>
          <w:rFonts w:ascii="Times New Roman" w:hAnsi="Times New Roman" w:cs="Times New Roman"/>
          <w:i/>
          <w:iCs/>
          <w:sz w:val="20"/>
          <w:szCs w:val="20"/>
        </w:rPr>
        <w:t>Journal of Engineering Education</w:t>
      </w:r>
      <w:r w:rsidRPr="00E773A2">
        <w:rPr>
          <w:rFonts w:ascii="Times New Roman" w:hAnsi="Times New Roman" w:cs="Times New Roman"/>
          <w:sz w:val="20"/>
          <w:szCs w:val="20"/>
        </w:rPr>
        <w:t>, 93(3), 223–231.</w:t>
      </w:r>
      <w:r w:rsidR="00B40C80" w:rsidRPr="00E773A2">
        <w:rPr>
          <w:rFonts w:ascii="Times New Roman" w:hAnsi="Times New Roman" w:cs="Times New Roman"/>
          <w:sz w:val="20"/>
          <w:szCs w:val="20"/>
        </w:rPr>
        <w:t xml:space="preserve"> </w:t>
      </w:r>
      <w:hyperlink r:id="rId17" w:history="1">
        <w:r w:rsidR="00B40C80" w:rsidRPr="00E773A2">
          <w:rPr>
            <w:rStyle w:val="aff9"/>
            <w:rFonts w:ascii="Times New Roman" w:hAnsi="Times New Roman" w:cs="Times New Roman"/>
            <w:sz w:val="20"/>
            <w:szCs w:val="20"/>
          </w:rPr>
          <w:t>https://doi.org/10.1002/j.2168-9830.2004.tb00809.x</w:t>
        </w:r>
      </w:hyperlink>
      <w:r w:rsidR="00B40C80" w:rsidRPr="00E773A2">
        <w:rPr>
          <w:rFonts w:ascii="Times New Roman" w:hAnsi="Times New Roman" w:cs="Times New Roman"/>
          <w:sz w:val="20"/>
          <w:szCs w:val="20"/>
        </w:rPr>
        <w:t xml:space="preserve"> </w:t>
      </w:r>
    </w:p>
    <w:p w14:paraId="3C3F82C2" w14:textId="67682ABF"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Freeman, S., et al. (2014). Active learning increases student performance in STEM. </w:t>
      </w:r>
      <w:r w:rsidRPr="00E773A2">
        <w:rPr>
          <w:rFonts w:ascii="Times New Roman" w:hAnsi="Times New Roman" w:cs="Times New Roman"/>
          <w:i/>
          <w:iCs/>
          <w:sz w:val="20"/>
          <w:szCs w:val="20"/>
        </w:rPr>
        <w:t>Proceedings of the National Academy of Sciences</w:t>
      </w:r>
      <w:r w:rsidRPr="00E773A2">
        <w:rPr>
          <w:rFonts w:ascii="Times New Roman" w:hAnsi="Times New Roman" w:cs="Times New Roman"/>
          <w:sz w:val="20"/>
          <w:szCs w:val="20"/>
        </w:rPr>
        <w:t>, 111(23), 8410–8415.</w:t>
      </w:r>
      <w:r w:rsidR="00B40C80" w:rsidRPr="00E773A2">
        <w:rPr>
          <w:rFonts w:ascii="Times New Roman" w:hAnsi="Times New Roman" w:cs="Times New Roman"/>
          <w:sz w:val="20"/>
          <w:szCs w:val="20"/>
        </w:rPr>
        <w:t xml:space="preserve"> </w:t>
      </w:r>
      <w:hyperlink r:id="rId18" w:tgtFrame="_new" w:history="1">
        <w:r w:rsidRPr="00E773A2">
          <w:rPr>
            <w:rStyle w:val="aff9"/>
            <w:rFonts w:ascii="Times New Roman" w:hAnsi="Times New Roman" w:cs="Times New Roman"/>
            <w:sz w:val="20"/>
            <w:szCs w:val="20"/>
          </w:rPr>
          <w:t>https://doi.org/10.1073/pnas.1319030111</w:t>
        </w:r>
      </w:hyperlink>
    </w:p>
    <w:p w14:paraId="6B8816BA" w14:textId="77777777"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Holmes, W., Bialik, M., &amp; Fadel, C. (2019). </w:t>
      </w:r>
      <w:r w:rsidRPr="00E773A2">
        <w:rPr>
          <w:rFonts w:ascii="Times New Roman" w:hAnsi="Times New Roman" w:cs="Times New Roman"/>
          <w:i/>
          <w:iCs/>
          <w:sz w:val="20"/>
          <w:szCs w:val="20"/>
        </w:rPr>
        <w:t>Artificial intelligence in education.</w:t>
      </w:r>
      <w:r w:rsidRPr="00E773A2">
        <w:rPr>
          <w:rFonts w:ascii="Times New Roman" w:hAnsi="Times New Roman" w:cs="Times New Roman"/>
          <w:sz w:val="20"/>
          <w:szCs w:val="20"/>
        </w:rPr>
        <w:t xml:space="preserve"> Center for Curriculum Redesign.</w:t>
      </w:r>
    </w:p>
    <w:p w14:paraId="5EDCDDFF" w14:textId="509B721E"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Darling-Hammond, L., et al. (2020). Implications for educational practice of the science of learning. </w:t>
      </w:r>
      <w:r w:rsidRPr="00E773A2">
        <w:rPr>
          <w:rFonts w:ascii="Times New Roman" w:hAnsi="Times New Roman" w:cs="Times New Roman"/>
          <w:i/>
          <w:iCs/>
          <w:sz w:val="20"/>
          <w:szCs w:val="20"/>
        </w:rPr>
        <w:t>Educational Psychologist</w:t>
      </w:r>
      <w:r w:rsidRPr="00E773A2">
        <w:rPr>
          <w:rFonts w:ascii="Times New Roman" w:hAnsi="Times New Roman" w:cs="Times New Roman"/>
          <w:sz w:val="20"/>
          <w:szCs w:val="20"/>
        </w:rPr>
        <w:t>, 55(2), 97–115.</w:t>
      </w:r>
      <w:r w:rsidR="00B40C80" w:rsidRPr="00E773A2">
        <w:rPr>
          <w:rFonts w:ascii="Times New Roman" w:hAnsi="Times New Roman" w:cs="Times New Roman"/>
          <w:sz w:val="20"/>
          <w:szCs w:val="20"/>
        </w:rPr>
        <w:t xml:space="preserve"> </w:t>
      </w:r>
      <w:hyperlink r:id="rId19" w:history="1">
        <w:r w:rsidR="00B40C80" w:rsidRPr="00E773A2">
          <w:rPr>
            <w:rStyle w:val="aff9"/>
            <w:rFonts w:ascii="Times New Roman" w:hAnsi="Times New Roman" w:cs="Times New Roman"/>
            <w:sz w:val="20"/>
            <w:szCs w:val="20"/>
          </w:rPr>
          <w:t>https://doi.org/10.1080/00461520.2020.1741114</w:t>
        </w:r>
      </w:hyperlink>
      <w:r w:rsidR="00B40C80" w:rsidRPr="00E773A2">
        <w:rPr>
          <w:rFonts w:ascii="Times New Roman" w:hAnsi="Times New Roman" w:cs="Times New Roman"/>
          <w:sz w:val="20"/>
          <w:szCs w:val="20"/>
        </w:rPr>
        <w:t xml:space="preserve"> </w:t>
      </w:r>
    </w:p>
    <w:p w14:paraId="5A3D665D" w14:textId="77777777" w:rsidR="00FB4D80" w:rsidRPr="00E773A2" w:rsidRDefault="00FB4D80" w:rsidP="000C7732">
      <w:pPr>
        <w:numPr>
          <w:ilvl w:val="0"/>
          <w:numId w:val="10"/>
        </w:numPr>
        <w:tabs>
          <w:tab w:val="clear" w:pos="720"/>
          <w:tab w:val="left" w:pos="284"/>
        </w:tabs>
        <w:spacing w:after="0" w:line="240" w:lineRule="auto"/>
        <w:ind w:left="0" w:firstLine="0"/>
        <w:jc w:val="both"/>
        <w:rPr>
          <w:rFonts w:ascii="Times New Roman" w:hAnsi="Times New Roman" w:cs="Times New Roman"/>
          <w:sz w:val="20"/>
          <w:szCs w:val="20"/>
        </w:rPr>
      </w:pPr>
      <w:r w:rsidRPr="00E773A2">
        <w:rPr>
          <w:rFonts w:ascii="Times New Roman" w:hAnsi="Times New Roman" w:cs="Times New Roman"/>
          <w:sz w:val="20"/>
          <w:szCs w:val="20"/>
        </w:rPr>
        <w:t xml:space="preserve">OECD. (2021). </w:t>
      </w:r>
      <w:r w:rsidRPr="00E773A2">
        <w:rPr>
          <w:rFonts w:ascii="Times New Roman" w:hAnsi="Times New Roman" w:cs="Times New Roman"/>
          <w:i/>
          <w:iCs/>
          <w:sz w:val="20"/>
          <w:szCs w:val="20"/>
        </w:rPr>
        <w:t>Innovating Education and Educating for Innovation.</w:t>
      </w:r>
      <w:r w:rsidRPr="00E773A2">
        <w:rPr>
          <w:rFonts w:ascii="Times New Roman" w:hAnsi="Times New Roman" w:cs="Times New Roman"/>
          <w:sz w:val="20"/>
          <w:szCs w:val="20"/>
        </w:rPr>
        <w:t xml:space="preserve"> OECD Publishing.</w:t>
      </w:r>
    </w:p>
    <w:p w14:paraId="4C14552E" w14:textId="52CCF8A5" w:rsidR="00CC7096" w:rsidRPr="00E773A2" w:rsidRDefault="00CC7096" w:rsidP="000C7732">
      <w:pPr>
        <w:pStyle w:val="ae"/>
        <w:numPr>
          <w:ilvl w:val="0"/>
          <w:numId w:val="10"/>
        </w:numPr>
        <w:tabs>
          <w:tab w:val="clear" w:pos="720"/>
          <w:tab w:val="left" w:pos="284"/>
        </w:tabs>
        <w:spacing w:after="0" w:line="240" w:lineRule="auto"/>
        <w:ind w:left="0" w:right="4" w:firstLine="0"/>
        <w:jc w:val="both"/>
        <w:rPr>
          <w:rFonts w:ascii="Times New Roman" w:hAnsi="Times New Roman" w:cs="Times New Roman"/>
          <w:b/>
          <w:bCs/>
          <w:sz w:val="20"/>
          <w:szCs w:val="20"/>
        </w:rPr>
      </w:pPr>
      <w:r w:rsidRPr="00E773A2">
        <w:rPr>
          <w:rFonts w:ascii="Times New Roman" w:hAnsi="Times New Roman" w:cs="Times New Roman"/>
          <w:color w:val="222222"/>
          <w:sz w:val="20"/>
          <w:szCs w:val="20"/>
          <w:shd w:val="clear" w:color="auto" w:fill="FFFFFF"/>
          <w:lang w:val="uz-Latn-UZ"/>
        </w:rPr>
        <w:t xml:space="preserve">Safarov, N., Yangiboev, R., Bo‘riyev, H., Karshiev, B., Gulboyev, O., Narzullayev, F., &amp; Qurbonov, A. (2025, February). </w:t>
      </w:r>
      <w:r w:rsidRPr="00E773A2">
        <w:rPr>
          <w:rFonts w:ascii="Times New Roman" w:hAnsi="Times New Roman" w:cs="Times New Roman"/>
          <w:color w:val="222222"/>
          <w:sz w:val="20"/>
          <w:szCs w:val="20"/>
          <w:shd w:val="clear" w:color="auto" w:fill="FFFFFF"/>
        </w:rPr>
        <w:t xml:space="preserve">Study of the influence of main factors on the mass and density of saw fiber separator raw material. In </w:t>
      </w:r>
      <w:r w:rsidRPr="00E773A2">
        <w:rPr>
          <w:rFonts w:ascii="Times New Roman" w:hAnsi="Times New Roman" w:cs="Times New Roman"/>
          <w:i/>
          <w:iCs/>
          <w:color w:val="222222"/>
          <w:sz w:val="20"/>
          <w:szCs w:val="20"/>
          <w:shd w:val="clear" w:color="auto" w:fill="FFFFFF"/>
        </w:rPr>
        <w:t>AIP Conference Proceedings</w:t>
      </w:r>
      <w:r w:rsidRPr="00E773A2">
        <w:rPr>
          <w:rFonts w:ascii="Times New Roman" w:hAnsi="Times New Roman" w:cs="Times New Roman"/>
          <w:color w:val="222222"/>
          <w:sz w:val="20"/>
          <w:szCs w:val="20"/>
          <w:shd w:val="clear" w:color="auto" w:fill="FFFFFF"/>
        </w:rPr>
        <w:t xml:space="preserve"> (Vol. 3268, No. 1, p. 020033). AIP Publishing LLC.</w:t>
      </w:r>
      <w:r w:rsidRPr="00E773A2">
        <w:rPr>
          <w:rFonts w:ascii="Times New Roman" w:hAnsi="Times New Roman" w:cs="Times New Roman"/>
          <w:b/>
          <w:bCs/>
          <w:sz w:val="20"/>
          <w:szCs w:val="20"/>
        </w:rPr>
        <w:t xml:space="preserve"> </w:t>
      </w:r>
      <w:hyperlink r:id="rId20" w:history="1">
        <w:r w:rsidRPr="00E773A2">
          <w:rPr>
            <w:rStyle w:val="aff9"/>
            <w:rFonts w:ascii="Times New Roman" w:hAnsi="Times New Roman" w:cs="Times New Roman"/>
            <w:bCs/>
            <w:sz w:val="20"/>
            <w:szCs w:val="20"/>
          </w:rPr>
          <w:t>https://doi.org/10.1063/5.0257374</w:t>
        </w:r>
      </w:hyperlink>
      <w:r w:rsidRPr="00E773A2">
        <w:rPr>
          <w:rFonts w:ascii="Times New Roman" w:hAnsi="Times New Roman" w:cs="Times New Roman"/>
          <w:b/>
          <w:bCs/>
          <w:sz w:val="20"/>
          <w:szCs w:val="20"/>
        </w:rPr>
        <w:t xml:space="preserve"> </w:t>
      </w:r>
    </w:p>
    <w:p w14:paraId="7CF6D9DD" w14:textId="78BE36DA" w:rsidR="0054678A" w:rsidRPr="00DA0B39" w:rsidRDefault="0054678A" w:rsidP="00DA0B39">
      <w:pPr>
        <w:pStyle w:val="ae"/>
        <w:numPr>
          <w:ilvl w:val="0"/>
          <w:numId w:val="10"/>
        </w:numPr>
        <w:tabs>
          <w:tab w:val="clear" w:pos="720"/>
          <w:tab w:val="left" w:pos="284"/>
        </w:tabs>
        <w:spacing w:after="0" w:line="240" w:lineRule="auto"/>
        <w:ind w:left="0" w:right="4" w:firstLine="0"/>
        <w:jc w:val="both"/>
        <w:rPr>
          <w:rFonts w:ascii="Times New Roman" w:hAnsi="Times New Roman" w:cs="Times New Roman"/>
          <w:sz w:val="20"/>
          <w:szCs w:val="20"/>
        </w:rPr>
      </w:pPr>
      <w:r w:rsidRPr="00DA0B39">
        <w:rPr>
          <w:rFonts w:ascii="Times New Roman" w:hAnsi="Times New Roman" w:cs="Times New Roman"/>
          <w:sz w:val="20"/>
          <w:szCs w:val="20"/>
        </w:rPr>
        <w:t xml:space="preserve">A.K. </w:t>
      </w:r>
      <w:proofErr w:type="spellStart"/>
      <w:r w:rsidRPr="00DA0B39">
        <w:rPr>
          <w:rFonts w:ascii="Times New Roman" w:hAnsi="Times New Roman" w:cs="Times New Roman"/>
          <w:sz w:val="20"/>
          <w:szCs w:val="20"/>
        </w:rPr>
        <w:t>Nomozov</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Kh.S</w:t>
      </w:r>
      <w:proofErr w:type="spellEnd"/>
      <w:r w:rsidRPr="00DA0B39">
        <w:rPr>
          <w:rFonts w:ascii="Times New Roman" w:hAnsi="Times New Roman" w:cs="Times New Roman"/>
          <w:sz w:val="20"/>
          <w:szCs w:val="20"/>
        </w:rPr>
        <w:t xml:space="preserve">. Beknazarov, Y.A. Geldiev, B.E. </w:t>
      </w:r>
      <w:proofErr w:type="spellStart"/>
      <w:r w:rsidRPr="00DA0B39">
        <w:rPr>
          <w:rFonts w:ascii="Times New Roman" w:hAnsi="Times New Roman" w:cs="Times New Roman"/>
          <w:sz w:val="20"/>
          <w:szCs w:val="20"/>
        </w:rPr>
        <w:t>Babamurodov</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N.Sh</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Muzaffarova</w:t>
      </w:r>
      <w:proofErr w:type="spellEnd"/>
      <w:r w:rsidRPr="00DA0B39">
        <w:rPr>
          <w:rFonts w:ascii="Times New Roman" w:hAnsi="Times New Roman" w:cs="Times New Roman"/>
          <w:sz w:val="20"/>
          <w:szCs w:val="20"/>
        </w:rPr>
        <w:t xml:space="preserve">, S.G. </w:t>
      </w:r>
      <w:proofErr w:type="spellStart"/>
      <w:r w:rsidRPr="00DA0B39">
        <w:rPr>
          <w:rFonts w:ascii="Times New Roman" w:hAnsi="Times New Roman" w:cs="Times New Roman"/>
          <w:sz w:val="20"/>
          <w:szCs w:val="20"/>
        </w:rPr>
        <w:t>Yuldashova</w:t>
      </w:r>
      <w:proofErr w:type="spellEnd"/>
      <w:r w:rsidRPr="00DA0B39">
        <w:rPr>
          <w:rFonts w:ascii="Times New Roman" w:hAnsi="Times New Roman" w:cs="Times New Roman"/>
          <w:sz w:val="20"/>
          <w:szCs w:val="20"/>
        </w:rPr>
        <w:t xml:space="preserve">. Synthesis of PFG brand corrosion inhibitor and its quantum chemical calculation results. Chem. </w:t>
      </w:r>
      <w:proofErr w:type="spellStart"/>
      <w:r w:rsidRPr="00DA0B39">
        <w:rPr>
          <w:rFonts w:ascii="Times New Roman" w:hAnsi="Times New Roman" w:cs="Times New Roman"/>
          <w:sz w:val="20"/>
          <w:szCs w:val="20"/>
        </w:rPr>
        <w:t>Probl</w:t>
      </w:r>
      <w:proofErr w:type="spellEnd"/>
      <w:r w:rsidRPr="00DA0B39">
        <w:rPr>
          <w:rFonts w:ascii="Times New Roman" w:hAnsi="Times New Roman" w:cs="Times New Roman"/>
          <w:sz w:val="20"/>
          <w:szCs w:val="20"/>
        </w:rPr>
        <w:t xml:space="preserve">., 2025, no. 3(23), 297–309. </w:t>
      </w:r>
      <w:hyperlink r:id="rId21" w:history="1">
        <w:r w:rsidRPr="00DA0B39">
          <w:rPr>
            <w:rStyle w:val="aff9"/>
            <w:rFonts w:ascii="Times New Roman" w:hAnsi="Times New Roman" w:cs="Times New Roman"/>
            <w:color w:val="auto"/>
            <w:sz w:val="20"/>
            <w:szCs w:val="20"/>
          </w:rPr>
          <w:t>https://doi.org/10.32737/2221-8688-2025-3-297-309</w:t>
        </w:r>
      </w:hyperlink>
    </w:p>
    <w:p w14:paraId="43C7E85B" w14:textId="77777777" w:rsidR="00DA0B39" w:rsidRPr="00DA0B39" w:rsidRDefault="00DA0B39" w:rsidP="00DA0B39">
      <w:pPr>
        <w:pStyle w:val="ae"/>
        <w:numPr>
          <w:ilvl w:val="0"/>
          <w:numId w:val="10"/>
        </w:numPr>
        <w:tabs>
          <w:tab w:val="left" w:pos="284"/>
          <w:tab w:val="left" w:pos="851"/>
          <w:tab w:val="left" w:pos="993"/>
        </w:tabs>
        <w:spacing w:after="0" w:line="240" w:lineRule="auto"/>
        <w:ind w:left="0" w:firstLine="0"/>
        <w:jc w:val="both"/>
        <w:rPr>
          <w:rFonts w:ascii="Times New Roman" w:hAnsi="Times New Roman" w:cs="Times New Roman"/>
          <w:sz w:val="20"/>
          <w:szCs w:val="20"/>
          <w:lang w:val="uz-Cyrl-UZ"/>
        </w:rPr>
      </w:pPr>
      <w:bookmarkStart w:id="4" w:name="_Hlk133650480"/>
      <w:bookmarkStart w:id="5" w:name="_Hlk218705325"/>
      <w:proofErr w:type="spellStart"/>
      <w:r w:rsidRPr="00DA0B39">
        <w:rPr>
          <w:rStyle w:val="af7"/>
          <w:rFonts w:ascii="Times New Roman" w:hAnsi="Times New Roman" w:cs="Times New Roman"/>
          <w:b w:val="0"/>
          <w:sz w:val="20"/>
          <w:szCs w:val="20"/>
        </w:rPr>
        <w:t>Mahmutkhonov</w:t>
      </w:r>
      <w:proofErr w:type="spellEnd"/>
      <w:r w:rsidRPr="00DA0B39">
        <w:rPr>
          <w:rStyle w:val="af7"/>
          <w:rFonts w:ascii="Times New Roman" w:hAnsi="Times New Roman" w:cs="Times New Roman"/>
          <w:b w:val="0"/>
          <w:sz w:val="20"/>
          <w:szCs w:val="20"/>
        </w:rPr>
        <w:t xml:space="preserve"> S., </w:t>
      </w:r>
      <w:proofErr w:type="spellStart"/>
      <w:r w:rsidRPr="00DA0B39">
        <w:rPr>
          <w:rStyle w:val="af7"/>
          <w:rFonts w:ascii="Times New Roman" w:hAnsi="Times New Roman" w:cs="Times New Roman"/>
          <w:b w:val="0"/>
          <w:sz w:val="20"/>
          <w:szCs w:val="20"/>
        </w:rPr>
        <w:t>Baizhonova</w:t>
      </w:r>
      <w:proofErr w:type="spellEnd"/>
      <w:r w:rsidRPr="00DA0B39">
        <w:rPr>
          <w:rStyle w:val="af7"/>
          <w:rFonts w:ascii="Times New Roman" w:hAnsi="Times New Roman" w:cs="Times New Roman"/>
          <w:b w:val="0"/>
          <w:sz w:val="20"/>
          <w:szCs w:val="20"/>
        </w:rPr>
        <w:t xml:space="preserve"> L., </w:t>
      </w:r>
      <w:proofErr w:type="spellStart"/>
      <w:r w:rsidRPr="00DA0B39">
        <w:rPr>
          <w:rStyle w:val="af7"/>
          <w:rFonts w:ascii="Times New Roman" w:hAnsi="Times New Roman" w:cs="Times New Roman"/>
          <w:b w:val="0"/>
          <w:sz w:val="20"/>
          <w:szCs w:val="20"/>
        </w:rPr>
        <w:t>Mustayev</w:t>
      </w:r>
      <w:proofErr w:type="spellEnd"/>
      <w:r w:rsidRPr="00DA0B39">
        <w:rPr>
          <w:rStyle w:val="af7"/>
          <w:rFonts w:ascii="Times New Roman" w:hAnsi="Times New Roman" w:cs="Times New Roman"/>
          <w:b w:val="0"/>
          <w:sz w:val="20"/>
          <w:szCs w:val="20"/>
        </w:rPr>
        <w:t xml:space="preserve"> R., </w:t>
      </w:r>
      <w:proofErr w:type="spellStart"/>
      <w:r w:rsidRPr="00DA0B39">
        <w:rPr>
          <w:rStyle w:val="af7"/>
          <w:rFonts w:ascii="Times New Roman" w:hAnsi="Times New Roman" w:cs="Times New Roman"/>
          <w:b w:val="0"/>
          <w:sz w:val="20"/>
          <w:szCs w:val="20"/>
        </w:rPr>
        <w:t>Tashmatova</w:t>
      </w:r>
      <w:proofErr w:type="spellEnd"/>
      <w:r w:rsidRPr="00DA0B39">
        <w:rPr>
          <w:rStyle w:val="af7"/>
          <w:rFonts w:ascii="Times New Roman" w:hAnsi="Times New Roman" w:cs="Times New Roman"/>
          <w:b w:val="0"/>
          <w:sz w:val="20"/>
          <w:szCs w:val="20"/>
        </w:rPr>
        <w:t xml:space="preserve"> S.</w:t>
      </w:r>
      <w:r w:rsidRPr="00DA0B39">
        <w:rPr>
          <w:rFonts w:ascii="Times New Roman" w:hAnsi="Times New Roman" w:cs="Times New Roman"/>
          <w:sz w:val="20"/>
          <w:szCs w:val="20"/>
        </w:rPr>
        <w:t xml:space="preserve"> Dynamic analysis of voltage-ampere characteristics and harmonic distortions in electric arc furnaces. // </w:t>
      </w:r>
      <w:r w:rsidRPr="00DA0B39">
        <w:rPr>
          <w:rStyle w:val="af8"/>
          <w:rFonts w:ascii="Times New Roman" w:hAnsi="Times New Roman" w:cs="Times New Roman"/>
          <w:sz w:val="20"/>
          <w:szCs w:val="20"/>
        </w:rPr>
        <w:t>AIP Conference Proceedings</w:t>
      </w:r>
      <w:r w:rsidRPr="00DA0B39">
        <w:rPr>
          <w:rFonts w:ascii="Times New Roman" w:hAnsi="Times New Roman" w:cs="Times New Roman"/>
          <w:sz w:val="20"/>
          <w:szCs w:val="20"/>
        </w:rPr>
        <w:t xml:space="preserve">. </w:t>
      </w:r>
      <w:r w:rsidRPr="00DA0B39">
        <w:rPr>
          <w:rStyle w:val="af7"/>
          <w:rFonts w:ascii="Times New Roman" w:hAnsi="Times New Roman" w:cs="Times New Roman"/>
          <w:b w:val="0"/>
          <w:sz w:val="20"/>
          <w:szCs w:val="20"/>
        </w:rPr>
        <w:t>3331</w:t>
      </w:r>
      <w:r w:rsidRPr="00DA0B39">
        <w:rPr>
          <w:rFonts w:ascii="Times New Roman" w:hAnsi="Times New Roman" w:cs="Times New Roman"/>
          <w:sz w:val="20"/>
          <w:szCs w:val="20"/>
        </w:rPr>
        <w:t xml:space="preserve">(1), 2025. </w:t>
      </w:r>
      <w:r w:rsidRPr="00DA0B39">
        <w:rPr>
          <w:rStyle w:val="af7"/>
          <w:rFonts w:ascii="Times New Roman" w:hAnsi="Times New Roman" w:cs="Times New Roman"/>
          <w:b w:val="0"/>
          <w:sz w:val="20"/>
          <w:szCs w:val="20"/>
        </w:rPr>
        <w:t>pp. 070023, 1–5.</w:t>
      </w:r>
      <w:r w:rsidRPr="00DA0B39">
        <w:rPr>
          <w:rFonts w:ascii="Times New Roman" w:hAnsi="Times New Roman" w:cs="Times New Roman"/>
          <w:sz w:val="20"/>
          <w:szCs w:val="20"/>
        </w:rPr>
        <w:t xml:space="preserve"> </w:t>
      </w:r>
      <w:hyperlink r:id="rId22" w:history="1">
        <w:r w:rsidRPr="00DA0B39">
          <w:rPr>
            <w:rStyle w:val="aff9"/>
            <w:rFonts w:ascii="Times New Roman" w:hAnsi="Times New Roman" w:cs="Times New Roman"/>
            <w:color w:val="auto"/>
            <w:sz w:val="20"/>
            <w:szCs w:val="20"/>
          </w:rPr>
          <w:t>https://doi.org/10.1063/5.0305745</w:t>
        </w:r>
      </w:hyperlink>
      <w:r w:rsidRPr="00DA0B39">
        <w:rPr>
          <w:rFonts w:ascii="Times New Roman" w:hAnsi="Times New Roman" w:cs="Times New Roman"/>
          <w:sz w:val="20"/>
          <w:szCs w:val="20"/>
          <w:lang w:val="uz-Cyrl-UZ"/>
        </w:rPr>
        <w:t>.</w:t>
      </w:r>
      <w:r w:rsidRPr="00DA0B39">
        <w:rPr>
          <w:rFonts w:ascii="Times New Roman" w:hAnsi="Times New Roman" w:cs="Times New Roman"/>
          <w:sz w:val="20"/>
          <w:szCs w:val="20"/>
        </w:rPr>
        <w:t xml:space="preserve"> </w:t>
      </w:r>
    </w:p>
    <w:p w14:paraId="6729C3EC" w14:textId="77777777" w:rsidR="00DA0B39" w:rsidRPr="00DA0B39" w:rsidRDefault="00DA0B39" w:rsidP="00DA0B39">
      <w:pPr>
        <w:pStyle w:val="ae"/>
        <w:numPr>
          <w:ilvl w:val="0"/>
          <w:numId w:val="10"/>
        </w:numPr>
        <w:tabs>
          <w:tab w:val="left" w:pos="284"/>
          <w:tab w:val="left" w:pos="851"/>
          <w:tab w:val="left" w:pos="993"/>
        </w:tabs>
        <w:spacing w:after="0" w:line="240" w:lineRule="auto"/>
        <w:ind w:left="0" w:firstLine="0"/>
        <w:jc w:val="both"/>
        <w:rPr>
          <w:rStyle w:val="aff9"/>
          <w:rFonts w:ascii="Times New Roman" w:hAnsi="Times New Roman" w:cs="Times New Roman"/>
          <w:color w:val="auto"/>
          <w:sz w:val="20"/>
          <w:szCs w:val="20"/>
        </w:rPr>
      </w:pPr>
      <w:r w:rsidRPr="00DA0B39">
        <w:rPr>
          <w:rFonts w:ascii="Times New Roman" w:hAnsi="Times New Roman" w:cs="Times New Roman"/>
          <w:sz w:val="20"/>
          <w:szCs w:val="20"/>
          <w:lang w:val="uz-Cyrl-UZ"/>
        </w:rPr>
        <w:t>Bobojanov M</w:t>
      </w:r>
      <w:r w:rsidRPr="00DA0B39">
        <w:rPr>
          <w:rFonts w:ascii="Times New Roman" w:hAnsi="Times New Roman" w:cs="Times New Roman"/>
          <w:sz w:val="20"/>
          <w:szCs w:val="20"/>
        </w:rPr>
        <w:t>.</w:t>
      </w:r>
      <w:r w:rsidRPr="00DA0B39">
        <w:rPr>
          <w:rFonts w:ascii="Times New Roman" w:hAnsi="Times New Roman" w:cs="Times New Roman"/>
          <w:sz w:val="20"/>
          <w:szCs w:val="20"/>
          <w:lang w:val="uz-Cyrl-UZ"/>
        </w:rPr>
        <w:t>, Mahmutkhonov S</w:t>
      </w:r>
      <w:r w:rsidRPr="00DA0B39">
        <w:rPr>
          <w:rFonts w:ascii="Times New Roman" w:hAnsi="Times New Roman" w:cs="Times New Roman"/>
          <w:sz w:val="20"/>
          <w:szCs w:val="20"/>
        </w:rPr>
        <w:t>.</w:t>
      </w:r>
      <w:r w:rsidRPr="00DA0B39">
        <w:rPr>
          <w:rFonts w:ascii="Times New Roman" w:hAnsi="Times New Roman" w:cs="Times New Roman"/>
          <w:sz w:val="20"/>
          <w:szCs w:val="20"/>
          <w:lang w:val="uz-Cyrl-UZ"/>
        </w:rPr>
        <w:t xml:space="preserve"> </w:t>
      </w:r>
      <w:r w:rsidRPr="00DA0B39">
        <w:rPr>
          <w:rFonts w:ascii="Times New Roman" w:hAnsi="Times New Roman" w:cs="Times New Roman"/>
          <w:sz w:val="20"/>
          <w:szCs w:val="20"/>
        </w:rPr>
        <w:t>Influence of the consumer to power quality at the point of connection</w:t>
      </w:r>
      <w:r w:rsidRPr="00DA0B39">
        <w:rPr>
          <w:rFonts w:ascii="Times New Roman" w:hAnsi="Times New Roman" w:cs="Times New Roman"/>
          <w:sz w:val="20"/>
          <w:szCs w:val="20"/>
          <w:lang w:val="uz-Cyrl-UZ"/>
        </w:rPr>
        <w:t xml:space="preserve"> // E3S Web of Conferences 384. 2023. РР, </w:t>
      </w:r>
      <w:r w:rsidRPr="00DA0B39">
        <w:rPr>
          <w:rFonts w:ascii="Times New Roman" w:hAnsi="Times New Roman" w:cs="Times New Roman"/>
          <w:sz w:val="20"/>
          <w:szCs w:val="20"/>
        </w:rPr>
        <w:t>01041</w:t>
      </w:r>
      <w:r w:rsidRPr="00DA0B39">
        <w:rPr>
          <w:rFonts w:ascii="Times New Roman" w:hAnsi="Times New Roman" w:cs="Times New Roman"/>
          <w:sz w:val="20"/>
          <w:szCs w:val="20"/>
          <w:lang w:val="uz-Cyrl-UZ"/>
        </w:rPr>
        <w:t>, 1-</w:t>
      </w:r>
      <w:r w:rsidRPr="00DA0B39">
        <w:rPr>
          <w:rFonts w:ascii="Times New Roman" w:hAnsi="Times New Roman" w:cs="Times New Roman"/>
          <w:sz w:val="20"/>
          <w:szCs w:val="20"/>
        </w:rPr>
        <w:t>5</w:t>
      </w:r>
      <w:r w:rsidRPr="00DA0B39">
        <w:rPr>
          <w:rFonts w:ascii="Times New Roman" w:hAnsi="Times New Roman" w:cs="Times New Roman"/>
          <w:sz w:val="20"/>
          <w:szCs w:val="20"/>
          <w:lang w:val="uz-Cyrl-UZ"/>
        </w:rPr>
        <w:t xml:space="preserve">. </w:t>
      </w:r>
      <w:r w:rsidRPr="00DA0B39">
        <w:rPr>
          <w:rFonts w:ascii="Times New Roman" w:hAnsi="Times New Roman" w:cs="Times New Roman"/>
        </w:rPr>
        <w:fldChar w:fldCharType="begin"/>
      </w:r>
      <w:r w:rsidRPr="00DA0B39">
        <w:rPr>
          <w:rFonts w:ascii="Times New Roman" w:hAnsi="Times New Roman" w:cs="Times New Roman"/>
          <w:sz w:val="20"/>
          <w:szCs w:val="20"/>
        </w:rPr>
        <w:instrText xml:space="preserve"> HYPERLINK "https://doi.org/10.1051/e3sconf/202338401041"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Cyrl-UZ"/>
        </w:rPr>
        <w:t>https://doi.org/10.1051/e3sconf/2023384010</w:t>
      </w:r>
      <w:r w:rsidRPr="00DA0B39">
        <w:rPr>
          <w:rStyle w:val="aff9"/>
          <w:rFonts w:ascii="Times New Roman" w:hAnsi="Times New Roman" w:cs="Times New Roman"/>
          <w:color w:val="auto"/>
          <w:sz w:val="20"/>
          <w:szCs w:val="20"/>
        </w:rPr>
        <w:t>41</w:t>
      </w:r>
      <w:r w:rsidRPr="00DA0B39">
        <w:rPr>
          <w:rStyle w:val="aff9"/>
          <w:rFonts w:ascii="Times New Roman" w:hAnsi="Times New Roman" w:cs="Times New Roman"/>
          <w:color w:val="auto"/>
          <w:sz w:val="20"/>
          <w:szCs w:val="20"/>
        </w:rPr>
        <w:fldChar w:fldCharType="end"/>
      </w:r>
      <w:r w:rsidRPr="00DA0B39">
        <w:rPr>
          <w:rStyle w:val="aff9"/>
          <w:rFonts w:ascii="Times New Roman" w:hAnsi="Times New Roman" w:cs="Times New Roman"/>
          <w:color w:val="auto"/>
          <w:sz w:val="20"/>
          <w:szCs w:val="20"/>
          <w:lang w:val="uz-Cyrl-UZ"/>
        </w:rPr>
        <w:t>.</w:t>
      </w:r>
    </w:p>
    <w:p w14:paraId="484E1EE8" w14:textId="77777777" w:rsidR="00DA0B39" w:rsidRPr="00DA0B39" w:rsidRDefault="00DA0B39" w:rsidP="00DA0B39">
      <w:pPr>
        <w:pStyle w:val="ae"/>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bookmarkStart w:id="6" w:name="_Hlk218354155"/>
      <w:bookmarkEnd w:id="4"/>
      <w:proofErr w:type="spellStart"/>
      <w:r w:rsidRPr="00DA0B39">
        <w:rPr>
          <w:rStyle w:val="af7"/>
          <w:rFonts w:ascii="Times New Roman" w:hAnsi="Times New Roman" w:cs="Times New Roman"/>
          <w:b w:val="0"/>
          <w:sz w:val="20"/>
          <w:szCs w:val="20"/>
        </w:rPr>
        <w:t>Bobojanov</w:t>
      </w:r>
      <w:proofErr w:type="spellEnd"/>
      <w:r w:rsidRPr="00DA0B39">
        <w:rPr>
          <w:rStyle w:val="af7"/>
          <w:rFonts w:ascii="Times New Roman" w:hAnsi="Times New Roman" w:cs="Times New Roman"/>
          <w:b w:val="0"/>
          <w:sz w:val="20"/>
          <w:szCs w:val="20"/>
        </w:rPr>
        <w:t xml:space="preserve"> M.K., </w:t>
      </w:r>
      <w:proofErr w:type="spellStart"/>
      <w:r w:rsidRPr="00DA0B39">
        <w:rPr>
          <w:rStyle w:val="af7"/>
          <w:rFonts w:ascii="Times New Roman" w:hAnsi="Times New Roman" w:cs="Times New Roman"/>
          <w:b w:val="0"/>
          <w:sz w:val="20"/>
          <w:szCs w:val="20"/>
        </w:rPr>
        <w:t>Karimov</w:t>
      </w:r>
      <w:proofErr w:type="spellEnd"/>
      <w:r w:rsidRPr="00DA0B39">
        <w:rPr>
          <w:rStyle w:val="af7"/>
          <w:rFonts w:ascii="Times New Roman" w:hAnsi="Times New Roman" w:cs="Times New Roman"/>
          <w:b w:val="0"/>
          <w:sz w:val="20"/>
          <w:szCs w:val="20"/>
        </w:rPr>
        <w:t xml:space="preserve"> R.Ch., </w:t>
      </w:r>
      <w:proofErr w:type="spellStart"/>
      <w:r w:rsidRPr="00DA0B39">
        <w:rPr>
          <w:rStyle w:val="af7"/>
          <w:rFonts w:ascii="Times New Roman" w:hAnsi="Times New Roman" w:cs="Times New Roman"/>
          <w:b w:val="0"/>
          <w:sz w:val="20"/>
          <w:szCs w:val="20"/>
        </w:rPr>
        <w:t>Popkova</w:t>
      </w:r>
      <w:proofErr w:type="spellEnd"/>
      <w:r w:rsidRPr="00DA0B39">
        <w:rPr>
          <w:rStyle w:val="af7"/>
          <w:rFonts w:ascii="Times New Roman" w:hAnsi="Times New Roman" w:cs="Times New Roman"/>
          <w:b w:val="0"/>
          <w:sz w:val="20"/>
          <w:szCs w:val="20"/>
        </w:rPr>
        <w:t xml:space="preserve"> O.S., </w:t>
      </w:r>
      <w:proofErr w:type="spellStart"/>
      <w:r w:rsidRPr="00DA0B39">
        <w:rPr>
          <w:rStyle w:val="af7"/>
          <w:rFonts w:ascii="Times New Roman" w:hAnsi="Times New Roman" w:cs="Times New Roman"/>
          <w:b w:val="0"/>
          <w:sz w:val="20"/>
          <w:szCs w:val="20"/>
        </w:rPr>
        <w:t>Tuychiev</w:t>
      </w:r>
      <w:proofErr w:type="spellEnd"/>
      <w:r w:rsidRPr="00DA0B39">
        <w:rPr>
          <w:rStyle w:val="af7"/>
          <w:rFonts w:ascii="Times New Roman" w:hAnsi="Times New Roman" w:cs="Times New Roman"/>
          <w:b w:val="0"/>
          <w:sz w:val="20"/>
          <w:szCs w:val="20"/>
        </w:rPr>
        <w:t xml:space="preserve"> F.N., </w:t>
      </w:r>
      <w:proofErr w:type="spellStart"/>
      <w:r w:rsidRPr="00DA0B39">
        <w:rPr>
          <w:rStyle w:val="af7"/>
          <w:rFonts w:ascii="Times New Roman" w:hAnsi="Times New Roman" w:cs="Times New Roman"/>
          <w:b w:val="0"/>
          <w:sz w:val="20"/>
          <w:szCs w:val="20"/>
        </w:rPr>
        <w:t>Makhmutkhanov</w:t>
      </w:r>
      <w:proofErr w:type="spellEnd"/>
      <w:r w:rsidRPr="00DA0B39">
        <w:rPr>
          <w:rStyle w:val="af7"/>
          <w:rFonts w:ascii="Times New Roman" w:hAnsi="Times New Roman" w:cs="Times New Roman"/>
          <w:b w:val="0"/>
          <w:sz w:val="20"/>
          <w:szCs w:val="20"/>
        </w:rPr>
        <w:t xml:space="preserve"> S.K.</w:t>
      </w:r>
      <w:r w:rsidRPr="00DA0B39">
        <w:rPr>
          <w:rFonts w:ascii="Times New Roman" w:hAnsi="Times New Roman" w:cs="Times New Roman"/>
          <w:sz w:val="20"/>
          <w:szCs w:val="20"/>
        </w:rPr>
        <w:t xml:space="preserve"> Analysis of the results of experimental studies of the arc furnace DSP-30. // </w:t>
      </w:r>
      <w:r w:rsidRPr="00DA0B39">
        <w:rPr>
          <w:rStyle w:val="af8"/>
          <w:rFonts w:ascii="Times New Roman" w:hAnsi="Times New Roman" w:cs="Times New Roman"/>
          <w:sz w:val="20"/>
          <w:szCs w:val="20"/>
        </w:rPr>
        <w:t>Power Engineering Research &amp; Technology</w:t>
      </w:r>
      <w:r w:rsidRPr="00DA0B39">
        <w:rPr>
          <w:rFonts w:ascii="Times New Roman" w:hAnsi="Times New Roman" w:cs="Times New Roman"/>
          <w:sz w:val="20"/>
          <w:szCs w:val="20"/>
        </w:rPr>
        <w:t xml:space="preserve">. </w:t>
      </w:r>
      <w:r w:rsidRPr="00DA0B39">
        <w:rPr>
          <w:rStyle w:val="af7"/>
          <w:rFonts w:ascii="Times New Roman" w:hAnsi="Times New Roman" w:cs="Times New Roman"/>
          <w:b w:val="0"/>
          <w:sz w:val="20"/>
          <w:szCs w:val="20"/>
        </w:rPr>
        <w:t>27</w:t>
      </w:r>
      <w:r w:rsidRPr="00DA0B39">
        <w:rPr>
          <w:rFonts w:ascii="Times New Roman" w:hAnsi="Times New Roman" w:cs="Times New Roman"/>
          <w:sz w:val="20"/>
          <w:szCs w:val="20"/>
        </w:rPr>
        <w:t xml:space="preserve">(2), 2025. </w:t>
      </w:r>
      <w:r w:rsidRPr="00DA0B39">
        <w:rPr>
          <w:rStyle w:val="af7"/>
          <w:rFonts w:ascii="Times New Roman" w:hAnsi="Times New Roman" w:cs="Times New Roman"/>
          <w:b w:val="0"/>
          <w:sz w:val="20"/>
          <w:szCs w:val="20"/>
        </w:rPr>
        <w:t>pp. 126–137.</w:t>
      </w:r>
      <w:r w:rsidRPr="00DA0B39">
        <w:rPr>
          <w:rFonts w:ascii="Times New Roman" w:hAnsi="Times New Roman" w:cs="Times New Roman"/>
          <w:sz w:val="20"/>
          <w:szCs w:val="20"/>
        </w:rPr>
        <w:t xml:space="preserve"> </w:t>
      </w:r>
      <w:hyperlink r:id="rId23" w:history="1">
        <w:r w:rsidRPr="00DA0B39">
          <w:rPr>
            <w:rStyle w:val="aff9"/>
            <w:rFonts w:ascii="Times New Roman" w:hAnsi="Times New Roman" w:cs="Times New Roman"/>
            <w:color w:val="auto"/>
            <w:sz w:val="20"/>
            <w:szCs w:val="20"/>
          </w:rPr>
          <w:t>https://doi.org/10.30724/1998-9903-2025-27-2-126-137</w:t>
        </w:r>
      </w:hyperlink>
      <w:r w:rsidRPr="00DA0B39">
        <w:rPr>
          <w:rFonts w:ascii="Times New Roman" w:hAnsi="Times New Roman" w:cs="Times New Roman"/>
          <w:sz w:val="20"/>
          <w:szCs w:val="20"/>
        </w:rPr>
        <w:t xml:space="preserve"> </w:t>
      </w:r>
    </w:p>
    <w:p w14:paraId="780492E1" w14:textId="77777777" w:rsidR="00DA0B39" w:rsidRPr="00DA0B39" w:rsidRDefault="00DA0B39" w:rsidP="00DA0B39">
      <w:pPr>
        <w:pStyle w:val="ae"/>
        <w:numPr>
          <w:ilvl w:val="0"/>
          <w:numId w:val="10"/>
        </w:numPr>
        <w:tabs>
          <w:tab w:val="left" w:pos="284"/>
          <w:tab w:val="left" w:pos="993"/>
        </w:tabs>
        <w:spacing w:after="0" w:line="240" w:lineRule="auto"/>
        <w:ind w:left="0" w:firstLine="0"/>
        <w:jc w:val="both"/>
        <w:rPr>
          <w:rFonts w:ascii="Times New Roman" w:hAnsi="Times New Roman" w:cs="Times New Roman"/>
          <w:sz w:val="20"/>
          <w:szCs w:val="20"/>
        </w:rPr>
      </w:pPr>
      <w:bookmarkStart w:id="7" w:name="_Hlk218354131"/>
      <w:bookmarkEnd w:id="6"/>
      <w:r w:rsidRPr="00DA0B39">
        <w:rPr>
          <w:rFonts w:ascii="Times New Roman" w:hAnsi="Times New Roman" w:cs="Times New Roman"/>
          <w:sz w:val="20"/>
          <w:szCs w:val="20"/>
          <w:lang w:val="uz-Cyrl-UZ"/>
        </w:rPr>
        <w:t xml:space="preserve">Reymov K.M., Makhmuthonov S.K., Turmanova G., Uzaqbaev Q.  Optimization of electric networks modes under conditions of  partial uncertainty of initial information // E3S Web of Conferences 289, 07023 (2021). -2021, pp: 1-4,  </w:t>
      </w:r>
      <w:r w:rsidRPr="00DA0B39">
        <w:rPr>
          <w:rFonts w:ascii="Times New Roman" w:hAnsi="Times New Roman" w:cs="Times New Roman"/>
        </w:rPr>
        <w:fldChar w:fldCharType="begin"/>
      </w:r>
      <w:r w:rsidRPr="00DA0B39">
        <w:rPr>
          <w:rFonts w:ascii="Times New Roman" w:hAnsi="Times New Roman" w:cs="Times New Roman"/>
        </w:rPr>
        <w:instrText>HYPERLINK "https://doi.org/10.1051/e3sconf/202128907023"</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Cyrl-UZ"/>
        </w:rPr>
        <w:t>https://doi.org/10.1051/e3sconf/202128907023</w:t>
      </w:r>
      <w:r w:rsidRPr="00DA0B39">
        <w:rPr>
          <w:rFonts w:ascii="Times New Roman" w:hAnsi="Times New Roman" w:cs="Times New Roman"/>
        </w:rPr>
        <w:fldChar w:fldCharType="end"/>
      </w:r>
      <w:r w:rsidRPr="00DA0B39">
        <w:rPr>
          <w:rFonts w:ascii="Times New Roman" w:hAnsi="Times New Roman" w:cs="Times New Roman"/>
          <w:sz w:val="20"/>
          <w:szCs w:val="20"/>
          <w:lang w:val="uz-Cyrl-UZ"/>
        </w:rPr>
        <w:t>.</w:t>
      </w:r>
      <w:bookmarkEnd w:id="7"/>
      <w:r w:rsidRPr="00DA0B39">
        <w:rPr>
          <w:rFonts w:ascii="Times New Roman" w:hAnsi="Times New Roman" w:cs="Times New Roman"/>
          <w:sz w:val="20"/>
          <w:szCs w:val="20"/>
          <w:lang w:val="uz-Cyrl-UZ"/>
        </w:rPr>
        <w:t xml:space="preserve"> </w:t>
      </w:r>
    </w:p>
    <w:p w14:paraId="6283B174"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R. K. Kurbaniyazov, A. M. Reimov, A.T. Dadakhodzhaev, Sh. S. Namazov, B. M. Beglov. Nitrogen-phosphoric fertilizers produced by introduction of Central Kyzylkum phosphate raw material into ammonium nitrate melt. Russian Journal of Applied Chemistry. Russ J Appl Chem (2007) 80(11): 1984-88.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"https://doi.org/10.1134/S1070427207110456"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https://doi.org/10.1134/S1070427207110456</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713BA8BF"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lastRenderedPageBreak/>
        <w:t xml:space="preserve">Namazov, Sh.S., Kurbaniyazov, R.K., Reimov, A.M., Beglov, B.M. Hardness of the granules of ammonium nitrate doped with the Central Kyzylkum Phosphorite. Russian Journal of Applied Chemistry. Russ J Appl Chem (2007) 81(6): 1103–1106.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"http://dx.doi.org/10.1134/s1070427208060402"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http://dx.doi.org/10.1134/s1070427208060402</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18C5A006"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Kurbaniiazov, R.K., Reimov, A.M., Namazov, Sh.S., Beglov, B.M. Nitrogen-phosphoric fertilizers obtained by interaction of the concentrated solutions of ammonium nitrate with the mineralized mass of the phosphorites of Central Kyzylkum. Russian Journal of Applied Chemistry. Russ J Appl Chem (2009) 82: 1123.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"https://link.springer.com/journal/11167"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https://link.springer.com/journal/11167</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7098CABD"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Alimov, U.K., Reimov, A.M., Namazov, Sh.S., Beglov, B.M. The insoluble part of phosphorus fertilizers, obtained by processing of phosphorites of central kyzylkum with partially ammoniated extraction phosphoric acid. Russian Journal of Applied Chemistry. Russ J Appl Chem (2010) 83(3): 545–552.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"https://doi.org/10.1134/S107042721030328"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https://doi.org/10.1134/S107042721030328</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30A69638"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Reymov, A.M., Namazov, S.S., Beglov, B.M. Effect of phosphate additives on physical-chemical properties of ammonium nitrate. Journal of Chemical Technology and Metallurgy 2013 48(4), 391-395.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"http://dl.uctm.edu/journal/"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http://dl.uctm.edu/journal/</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01DDA901"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Reymov Akhmed, Namazov Shafoat. Nitrogen-phosphorous fertilizers on the base of concentrated ammonium nitrate solution and Central Kyzylkum phosphate raw material. Polish Journal of Chemical Technology 16(3), Sep 2014, 30-35.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"https://doi.org/10.2478/pjct-2014-0046"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https://doi.org/10.2478/pjct-2014-0046</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2FA949DB"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Alisher Eshimbetov, Shahobiddin Adizov, Inderpreet Kaur, Akhmed Reymov. Is it possible to differentiate between 2-phenylaminodihydro-1,3-thiazine from 2-phenyliminotetrahydro-1,3-thiazine by spectral methods? New glance to the old problem. European Journal of Chemistry 12 (1) (2021).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"https://doi.org/10.5155/eurjchem.12.1.77-80.2068"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https://doi.org/10.5155/eurjchem.12.1.77-80.2068</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0C831CC6"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A.Ahmadjonov, U.Alimov, P.Tuychi, A.Seitnazarov, A.Reimov, Sh.Namazov, S.Sadullayev. Effect of temperature on the kinetics of the process of nitric acid decomposition of Arvaten serpentinite. IOP Conf. Series: Earth and Environmental Science  1142 (2023) 012034.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"https://www.scopus.com/pages/publications/85151285667"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https://www.scopus.com/pages/publications/85151285667</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1CF3839E"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Xudoyberdiev J., Reymov A., Kurbaniyazov R., Namazov S., Badalova O., Seytnazarov A. Mineral Composition of Nodular Phosphorite of Karakalpakstan and its Processing into Simple Superphosphate. (2023) E3S Web of Conferences, 449, art. no. 06005.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"https://www.scopus.com/inward/record.uri?eid=2-s2.0-85178595919&amp;doi=10.1051%2fe3sconf%2f202344906005&amp;partnerID=40"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https://www.scopus.com/inward/record.uri?eid=2-s2.0-85178595919&amp;doi=10.1051%2fe3sconf%2f202344906005&amp;partnerID=40</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450CF3E7"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Kosnazarov K., Ametov Y., Khabibullaev A., Reymov A., Turdimambetov I., Shaniyazov S., Berdimuratova A. Characteristics of dust-salt transfer from the dried bottom of the Aral Sea and the Aral region, as well as their lossout. E3S Web of Conferences.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"https://www.scopus.com/pages/publications/85212840616"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https://www.scopus.com/pages/publications/85212840616</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1CF5C4E7"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Seyilkhanova A., Reymov Q., Eshmuratov A., Gulimbetov B., Medetov M., Reymov A., Berdimuratova A., Shaniyazov Sh. E3S Web of Conferences ISSN: 25550403Volume: 575.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"https://www.scopus.com/pages/publications/85212825022"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https://www.scopus.com/pages/publications/85212825022</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1B8F9F8C"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Turdimambetov I., Murgaš F., Victor F., Oteuliev M., Madreimov A., Shamuratova G., Atabayev S., Reymov A. Geojournal of Tourism and Geosites. ISSN: 20650817, Volume: 57 Pages: 1941 – 1951.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"https://www.scopus.com/pages/publications/85213872579"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https://www.scopus.com/pages/publications/85213872579</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6FE8783A"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Temirov G., Alimov U., Seytnazarov A., Reymov A., Namazov S., Beglov B. Rheological Properties and Composition of Products of Phosphogypsum Conversion with Sodium Carbonate. Russian Journal of General Chemistry. ISSN: 10703632 Volume: 94 Issue: 7 Pages: 1837 – 1847.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"https://www.scopus.com/pages/publications/85202786813"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https://www.scopus.com/pages/publications/85202786813</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44593604"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Reymov A., Turdimambetov I., Pirnazarov N., Shaniyazov Sh., Absametova D., Baymurzaev A., Orazbaev A., Usnatdinov A.,Tajetdinov S. Exploring novel techniques for measuring and identifying minuscule dust particles in the atmosphere.</w:t>
      </w:r>
      <w:r w:rsidRPr="00DA0B39">
        <w:rPr>
          <w:rFonts w:ascii="Times New Roman" w:hAnsi="Times New Roman" w:cs="Times New Roman"/>
          <w:sz w:val="20"/>
          <w:szCs w:val="20"/>
        </w:rPr>
        <w:t xml:space="preserve"> </w:t>
      </w:r>
      <w:r w:rsidRPr="00DA0B39">
        <w:rPr>
          <w:rFonts w:ascii="Times New Roman" w:hAnsi="Times New Roman" w:cs="Times New Roman"/>
          <w:sz w:val="20"/>
          <w:szCs w:val="20"/>
          <w:lang w:val="uz-Latn-UZ"/>
        </w:rPr>
        <w:t xml:space="preserve">E3S Web of Conferences ISSN: 25550403 Volume: 575.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"https://www.scopus.com/pages/publications/85212822728"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https://www.scopus.com/pages/publications/85212822728</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2D7A157D"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Chavliyeva F., Turakulov B., Kucharov B., Erkayev A., Reymov A., Karshiboev M., Mamajonov M. Study of obtaining potassium hydroxide by electrochemical method on the bases of flotation and hallurgic potassium chloride. New Materials, Compounds and Applications ISSN: 25217194 Volume: 8 Issue: 2 Pages: 244 – 253.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"https://www.scopus.com/pages/publications/85204364412"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https://www.scopus.com/pages/publications/85204364412</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3F9734AD"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Kuldasheva S., Aziza A., Kulmatov R., Karimova G., Dauletbayeva R., Nortojiyeva G., Reymov A. Study and assessment of mineralogical, chemical and granulometric composition of volatile soil-sand aerosols from the dried-out part of the Aral Sea. E3S Web of Conferences ISSN: 25550403 Volume: 575.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"https://www.scopus.com/pages/publications/85212848932"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https://www.scopus.com/pages/publications/85212848932</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26CCA9A4"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M. Medetov, D. Musaev, U. Shakarbaev, A. Yusupova, J. Tajibaeva, A. Reymov, A. Yusupova, D. Bazarbaeva, B. Gulimbetov. Insect fauna of the Republic of Uzbekistan: Rare true bugs (Hemiptera, Heteroptera). Regulatory Mechanisms in Biosystems ISSN: 25198521 Volume: 15 Issue: 4 Pages: 882 – 888.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"https://www.scopus.com/pages/publications/85218798691"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https://www.scopus.com/pages/publications/85218798691</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1494B56C"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lastRenderedPageBreak/>
        <w:t xml:space="preserve">Kurbaniyazov R.K., Khudoyberdiev J.H., Reymov A.M., Namazov Sh.S., Radjapov R., Seytnazarov A.R. Characteristics of nodular phosphorites of karakalpakstan and their processing into granular simple superphosphate. ChemChemTech ISSN: 05792991 Volume: 68 Issue: 1 Pages: 109 – 119.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"https://www.scopus.com/pages/publications/85211354040?origin=resultslist"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https://www.scopus.com/pages/publications/85211354040?origin=resultslist</w:t>
      </w:r>
      <w:r w:rsidRPr="00DA0B39">
        <w:rPr>
          <w:rStyle w:val="aff9"/>
          <w:rFonts w:ascii="Times New Roman" w:hAnsi="Times New Roman" w:cs="Times New Roman"/>
          <w:color w:val="auto"/>
          <w:sz w:val="20"/>
          <w:szCs w:val="20"/>
          <w:lang w:val="uz-Latn-UZ"/>
        </w:rPr>
        <w:fldChar w:fldCharType="end"/>
      </w:r>
      <w:r w:rsidRPr="00DA0B39">
        <w:rPr>
          <w:rFonts w:ascii="Times New Roman" w:hAnsi="Times New Roman" w:cs="Times New Roman"/>
          <w:sz w:val="20"/>
          <w:szCs w:val="20"/>
          <w:lang w:val="uz-Latn-UZ"/>
        </w:rPr>
        <w:t xml:space="preserve"> </w:t>
      </w:r>
    </w:p>
    <w:p w14:paraId="2800B698" w14:textId="77777777" w:rsidR="00DA0B39" w:rsidRPr="00DA0B39" w:rsidRDefault="00DA0B39" w:rsidP="00DA0B39">
      <w:pPr>
        <w:pStyle w:val="ae"/>
        <w:numPr>
          <w:ilvl w:val="0"/>
          <w:numId w:val="10"/>
        </w:numPr>
        <w:tabs>
          <w:tab w:val="left" w:pos="142"/>
          <w:tab w:val="left" w:pos="284"/>
          <w:tab w:val="left" w:pos="851"/>
        </w:tabs>
        <w:spacing w:after="0" w:line="240" w:lineRule="auto"/>
        <w:ind w:left="0" w:firstLine="0"/>
        <w:jc w:val="both"/>
        <w:rPr>
          <w:rFonts w:ascii="Times New Roman" w:hAnsi="Times New Roman" w:cs="Times New Roman"/>
          <w:sz w:val="20"/>
          <w:szCs w:val="20"/>
          <w:lang w:val="uz-Latn-UZ"/>
        </w:rPr>
      </w:pPr>
      <w:r w:rsidRPr="00DA0B39">
        <w:rPr>
          <w:rFonts w:ascii="Times New Roman" w:hAnsi="Times New Roman" w:cs="Times New Roman"/>
          <w:sz w:val="20"/>
          <w:szCs w:val="20"/>
          <w:lang w:val="uz-Latn-UZ"/>
        </w:rPr>
        <w:t xml:space="preserve">M.ZH.Medetov, J.K.Abdullaeva, A.M. Reymov,  A.M.Miratdinova, A.K.Seytmuratov, J.D.Tajibaeva, R.S.Kadirov, N.A.Utemuratov, S.K.Kimyonazarov, J. Kudratov, R.S.Urazova, X.X.Keldiyova, U.B.Uralov. Diversity of true bugs (Hemiptera: Heteroptera) of the Southern Aral Sea Region, Uzbekistan. Biodiversitas ISSN: 1412033X Volume: 26 Issue: 7 Pages: 3125 – 3135. </w:t>
      </w:r>
      <w:r w:rsidRPr="00DA0B39">
        <w:rPr>
          <w:rFonts w:ascii="Times New Roman" w:hAnsi="Times New Roman" w:cs="Times New Roman"/>
        </w:rPr>
        <w:fldChar w:fldCharType="begin"/>
      </w:r>
      <w:r w:rsidRPr="00DA0B39">
        <w:rPr>
          <w:rFonts w:ascii="Times New Roman" w:hAnsi="Times New Roman" w:cs="Times New Roman"/>
        </w:rPr>
        <w:instrText xml:space="preserve"> HYPERLINK "https://www.scopus.com/pages/publications/105014219940?origin=resultslist" </w:instrText>
      </w:r>
      <w:r w:rsidRPr="00DA0B39">
        <w:rPr>
          <w:rFonts w:ascii="Times New Roman" w:hAnsi="Times New Roman" w:cs="Times New Roman"/>
        </w:rPr>
        <w:fldChar w:fldCharType="separate"/>
      </w:r>
      <w:r w:rsidRPr="00DA0B39">
        <w:rPr>
          <w:rStyle w:val="aff9"/>
          <w:rFonts w:ascii="Times New Roman" w:hAnsi="Times New Roman" w:cs="Times New Roman"/>
          <w:color w:val="auto"/>
          <w:sz w:val="20"/>
          <w:szCs w:val="20"/>
          <w:lang w:val="uz-Latn-UZ"/>
        </w:rPr>
        <w:t>https://www.scopus.com/pages/publications/105014219940?origin=resultslist</w:t>
      </w:r>
      <w:r w:rsidRPr="00DA0B39">
        <w:rPr>
          <w:rStyle w:val="aff9"/>
          <w:rFonts w:ascii="Times New Roman" w:hAnsi="Times New Roman" w:cs="Times New Roman"/>
          <w:color w:val="auto"/>
          <w:sz w:val="20"/>
          <w:szCs w:val="20"/>
          <w:lang w:val="uz-Latn-UZ"/>
        </w:rPr>
        <w:fldChar w:fldCharType="end"/>
      </w:r>
    </w:p>
    <w:p w14:paraId="3E69AE33" w14:textId="77777777" w:rsidR="00DA0B39" w:rsidRPr="00DA0B39" w:rsidRDefault="00DA0B39" w:rsidP="00DA0B39">
      <w:pPr>
        <w:pStyle w:val="ae"/>
        <w:numPr>
          <w:ilvl w:val="0"/>
          <w:numId w:val="10"/>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DA0B39">
        <w:rPr>
          <w:rFonts w:ascii="Times New Roman" w:hAnsi="Times New Roman" w:cs="Times New Roman"/>
          <w:sz w:val="20"/>
          <w:szCs w:val="20"/>
        </w:rPr>
        <w:t>Ulugbek</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Urinov</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Nilufar</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Hamidova</w:t>
      </w:r>
      <w:proofErr w:type="spellEnd"/>
      <w:r w:rsidRPr="00DA0B39">
        <w:rPr>
          <w:rFonts w:ascii="Times New Roman" w:hAnsi="Times New Roman" w:cs="Times New Roman"/>
          <w:sz w:val="20"/>
          <w:szCs w:val="20"/>
        </w:rPr>
        <w:t xml:space="preserve"> and </w:t>
      </w:r>
      <w:proofErr w:type="spellStart"/>
      <w:r w:rsidRPr="00DA0B39">
        <w:rPr>
          <w:rFonts w:ascii="Times New Roman" w:hAnsi="Times New Roman" w:cs="Times New Roman"/>
          <w:sz w:val="20"/>
          <w:szCs w:val="20"/>
        </w:rPr>
        <w:t>Ilhom</w:t>
      </w:r>
      <w:proofErr w:type="spellEnd"/>
      <w:r w:rsidRPr="00DA0B39">
        <w:rPr>
          <w:rFonts w:ascii="Times New Roman" w:hAnsi="Times New Roman" w:cs="Times New Roman"/>
          <w:sz w:val="20"/>
          <w:szCs w:val="20"/>
        </w:rPr>
        <w:t xml:space="preserve"> </w:t>
      </w:r>
      <w:proofErr w:type="spellStart"/>
      <w:proofErr w:type="gramStart"/>
      <w:r w:rsidRPr="00DA0B39">
        <w:rPr>
          <w:rFonts w:ascii="Times New Roman" w:hAnsi="Times New Roman" w:cs="Times New Roman"/>
          <w:sz w:val="20"/>
          <w:szCs w:val="20"/>
        </w:rPr>
        <w:t>Mirzakulov</w:t>
      </w:r>
      <w:proofErr w:type="spellEnd"/>
      <w:r w:rsidRPr="00DA0B39">
        <w:rPr>
          <w:rFonts w:ascii="Times New Roman" w:hAnsi="Times New Roman" w:cs="Times New Roman"/>
          <w:sz w:val="20"/>
          <w:szCs w:val="20"/>
        </w:rPr>
        <w:t xml:space="preserve"> .</w:t>
      </w:r>
      <w:proofErr w:type="gramEnd"/>
      <w:r w:rsidRPr="00DA0B39">
        <w:rPr>
          <w:rFonts w:ascii="Times New Roman" w:hAnsi="Times New Roman" w:cs="Times New Roman"/>
          <w:sz w:val="20"/>
          <w:szCs w:val="20"/>
        </w:rPr>
        <w:t xml:space="preserve"> Chemical technology of oligomers production from </w:t>
      </w:r>
      <w:proofErr w:type="spellStart"/>
      <w:r w:rsidRPr="00DA0B39">
        <w:rPr>
          <w:rFonts w:ascii="Times New Roman" w:hAnsi="Times New Roman" w:cs="Times New Roman"/>
          <w:sz w:val="20"/>
          <w:szCs w:val="20"/>
        </w:rPr>
        <w:t>homopolymer</w:t>
      </w:r>
      <w:proofErr w:type="spellEnd"/>
      <w:r w:rsidRPr="00DA0B39">
        <w:rPr>
          <w:rFonts w:ascii="Times New Roman" w:hAnsi="Times New Roman" w:cs="Times New Roman"/>
          <w:sz w:val="20"/>
          <w:szCs w:val="20"/>
        </w:rPr>
        <w:t xml:space="preserve"> based on </w:t>
      </w:r>
      <w:proofErr w:type="spellStart"/>
      <w:r w:rsidRPr="00DA0B39">
        <w:rPr>
          <w:rFonts w:ascii="Times New Roman" w:hAnsi="Times New Roman" w:cs="Times New Roman"/>
          <w:sz w:val="20"/>
          <w:szCs w:val="20"/>
        </w:rPr>
        <w:t>epichlorohydrin</w:t>
      </w:r>
      <w:proofErr w:type="spellEnd"/>
      <w:r w:rsidRPr="00DA0B39">
        <w:rPr>
          <w:rFonts w:ascii="Times New Roman" w:hAnsi="Times New Roman" w:cs="Times New Roman"/>
          <w:sz w:val="20"/>
          <w:szCs w:val="20"/>
        </w:rPr>
        <w:t xml:space="preserve"> and </w:t>
      </w:r>
      <w:proofErr w:type="spellStart"/>
      <w:r w:rsidRPr="00DA0B39">
        <w:rPr>
          <w:rFonts w:ascii="Times New Roman" w:hAnsi="Times New Roman" w:cs="Times New Roman"/>
          <w:sz w:val="20"/>
          <w:szCs w:val="20"/>
        </w:rPr>
        <w:t>morpholine</w:t>
      </w:r>
      <w:proofErr w:type="spellEnd"/>
      <w:r w:rsidRPr="00DA0B39">
        <w:rPr>
          <w:rFonts w:ascii="Times New Roman" w:hAnsi="Times New Roman" w:cs="Times New Roman"/>
          <w:sz w:val="20"/>
          <w:szCs w:val="20"/>
        </w:rPr>
        <w:t xml:space="preserve">. E3S Web of Conferences 497, 03030 (2024) ICECAE 2024. </w:t>
      </w:r>
      <w:hyperlink r:id="rId24" w:history="1">
        <w:r w:rsidRPr="00DA0B39">
          <w:rPr>
            <w:rStyle w:val="aff9"/>
            <w:rFonts w:ascii="Times New Roman" w:hAnsi="Times New Roman" w:cs="Times New Roman"/>
            <w:color w:val="auto"/>
            <w:sz w:val="20"/>
            <w:szCs w:val="20"/>
          </w:rPr>
          <w:t>https://doi.org/10.1051/e3sconf/202449703030</w:t>
        </w:r>
      </w:hyperlink>
    </w:p>
    <w:p w14:paraId="774CB137" w14:textId="77777777" w:rsidR="00DA0B39" w:rsidRPr="00DA0B39" w:rsidRDefault="00DA0B39" w:rsidP="00DA0B39">
      <w:pPr>
        <w:pStyle w:val="ae"/>
        <w:numPr>
          <w:ilvl w:val="0"/>
          <w:numId w:val="10"/>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DA0B39">
        <w:rPr>
          <w:rFonts w:ascii="Times New Roman" w:hAnsi="Times New Roman" w:cs="Times New Roman"/>
          <w:sz w:val="20"/>
          <w:szCs w:val="20"/>
        </w:rPr>
        <w:t>Bakhtiyor</w:t>
      </w:r>
      <w:proofErr w:type="spellEnd"/>
      <w:r w:rsidRPr="00DA0B39">
        <w:rPr>
          <w:rFonts w:ascii="Times New Roman" w:hAnsi="Times New Roman" w:cs="Times New Roman"/>
          <w:sz w:val="20"/>
          <w:szCs w:val="20"/>
        </w:rPr>
        <w:t xml:space="preserve">, K., </w:t>
      </w:r>
      <w:proofErr w:type="spellStart"/>
      <w:r w:rsidRPr="00DA0B39">
        <w:rPr>
          <w:rFonts w:ascii="Times New Roman" w:hAnsi="Times New Roman" w:cs="Times New Roman"/>
          <w:sz w:val="20"/>
          <w:szCs w:val="20"/>
        </w:rPr>
        <w:t>Gafurov</w:t>
      </w:r>
      <w:proofErr w:type="spellEnd"/>
      <w:r w:rsidRPr="00DA0B39">
        <w:rPr>
          <w:rFonts w:ascii="Times New Roman" w:hAnsi="Times New Roman" w:cs="Times New Roman"/>
          <w:sz w:val="20"/>
          <w:szCs w:val="20"/>
        </w:rPr>
        <w:t xml:space="preserve">, B., </w:t>
      </w:r>
      <w:proofErr w:type="spellStart"/>
      <w:r w:rsidRPr="00DA0B39">
        <w:rPr>
          <w:rFonts w:ascii="Times New Roman" w:hAnsi="Times New Roman" w:cs="Times New Roman"/>
          <w:sz w:val="20"/>
          <w:szCs w:val="20"/>
        </w:rPr>
        <w:t>Mamatkulov</w:t>
      </w:r>
      <w:proofErr w:type="spellEnd"/>
      <w:r w:rsidRPr="00DA0B39">
        <w:rPr>
          <w:rFonts w:ascii="Times New Roman" w:hAnsi="Times New Roman" w:cs="Times New Roman"/>
          <w:sz w:val="20"/>
          <w:szCs w:val="20"/>
        </w:rPr>
        <w:t xml:space="preserve">, A., </w:t>
      </w:r>
      <w:proofErr w:type="spellStart"/>
      <w:r w:rsidRPr="00DA0B39">
        <w:rPr>
          <w:rFonts w:ascii="Times New Roman" w:hAnsi="Times New Roman" w:cs="Times New Roman"/>
          <w:sz w:val="20"/>
          <w:szCs w:val="20"/>
        </w:rPr>
        <w:t>Shayimov</w:t>
      </w:r>
      <w:proofErr w:type="spellEnd"/>
      <w:r w:rsidRPr="00DA0B39">
        <w:rPr>
          <w:rFonts w:ascii="Times New Roman" w:hAnsi="Times New Roman" w:cs="Times New Roman"/>
          <w:sz w:val="20"/>
          <w:szCs w:val="20"/>
        </w:rPr>
        <w:t xml:space="preserve">, F., </w:t>
      </w:r>
      <w:proofErr w:type="spellStart"/>
      <w:r w:rsidRPr="00DA0B39">
        <w:rPr>
          <w:rFonts w:ascii="Times New Roman" w:hAnsi="Times New Roman" w:cs="Times New Roman"/>
          <w:sz w:val="20"/>
          <w:szCs w:val="20"/>
        </w:rPr>
        <w:t>Tukhtaev</w:t>
      </w:r>
      <w:proofErr w:type="spellEnd"/>
      <w:r w:rsidRPr="00DA0B39">
        <w:rPr>
          <w:rFonts w:ascii="Times New Roman" w:hAnsi="Times New Roman" w:cs="Times New Roman"/>
          <w:sz w:val="20"/>
          <w:szCs w:val="20"/>
        </w:rPr>
        <w:t xml:space="preserve">, B. AIP Conference Proceedings, 3331(1), 080001. </w:t>
      </w:r>
      <w:hyperlink r:id="rId25" w:history="1">
        <w:r w:rsidRPr="00DA0B39">
          <w:rPr>
            <w:rStyle w:val="aff9"/>
            <w:rFonts w:ascii="Times New Roman" w:hAnsi="Times New Roman" w:cs="Times New Roman"/>
            <w:color w:val="auto"/>
            <w:sz w:val="20"/>
            <w:szCs w:val="20"/>
          </w:rPr>
          <w:t>https://doi.org/10.1063/5.0306044</w:t>
        </w:r>
      </w:hyperlink>
      <w:r w:rsidRPr="00DA0B39">
        <w:rPr>
          <w:rFonts w:ascii="Times New Roman" w:hAnsi="Times New Roman" w:cs="Times New Roman"/>
          <w:sz w:val="20"/>
          <w:szCs w:val="20"/>
        </w:rPr>
        <w:t xml:space="preserve"> </w:t>
      </w:r>
    </w:p>
    <w:p w14:paraId="54379140" w14:textId="77777777" w:rsidR="00DA0B39" w:rsidRPr="00DA0B39" w:rsidRDefault="00DA0B39" w:rsidP="00DA0B39">
      <w:pPr>
        <w:pStyle w:val="ae"/>
        <w:numPr>
          <w:ilvl w:val="0"/>
          <w:numId w:val="10"/>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DA0B39">
        <w:rPr>
          <w:rFonts w:ascii="Times New Roman" w:hAnsi="Times New Roman" w:cs="Times New Roman"/>
          <w:sz w:val="20"/>
          <w:szCs w:val="20"/>
        </w:rPr>
        <w:t>Khusanov</w:t>
      </w:r>
      <w:proofErr w:type="spellEnd"/>
      <w:r w:rsidRPr="00DA0B39">
        <w:rPr>
          <w:rFonts w:ascii="Times New Roman" w:hAnsi="Times New Roman" w:cs="Times New Roman"/>
          <w:sz w:val="20"/>
          <w:szCs w:val="20"/>
        </w:rPr>
        <w:t xml:space="preserve">, B., </w:t>
      </w:r>
      <w:proofErr w:type="spellStart"/>
      <w:r w:rsidRPr="00DA0B39">
        <w:rPr>
          <w:rFonts w:ascii="Times New Roman" w:hAnsi="Times New Roman" w:cs="Times New Roman"/>
          <w:sz w:val="20"/>
          <w:szCs w:val="20"/>
        </w:rPr>
        <w:t>Keunimjaeva</w:t>
      </w:r>
      <w:proofErr w:type="spellEnd"/>
      <w:r w:rsidRPr="00DA0B39">
        <w:rPr>
          <w:rFonts w:ascii="Times New Roman" w:hAnsi="Times New Roman" w:cs="Times New Roman"/>
          <w:sz w:val="20"/>
          <w:szCs w:val="20"/>
        </w:rPr>
        <w:t xml:space="preserve">, A., </w:t>
      </w:r>
      <w:proofErr w:type="spellStart"/>
      <w:r w:rsidRPr="00DA0B39">
        <w:rPr>
          <w:rFonts w:ascii="Times New Roman" w:hAnsi="Times New Roman" w:cs="Times New Roman"/>
          <w:sz w:val="20"/>
          <w:szCs w:val="20"/>
        </w:rPr>
        <w:t>Jalelova</w:t>
      </w:r>
      <w:proofErr w:type="spellEnd"/>
      <w:r w:rsidRPr="00DA0B39">
        <w:rPr>
          <w:rFonts w:ascii="Times New Roman" w:hAnsi="Times New Roman" w:cs="Times New Roman"/>
          <w:sz w:val="20"/>
          <w:szCs w:val="20"/>
        </w:rPr>
        <w:t xml:space="preserve">, M., </w:t>
      </w:r>
      <w:proofErr w:type="spellStart"/>
      <w:r w:rsidRPr="00DA0B39">
        <w:rPr>
          <w:rFonts w:ascii="Times New Roman" w:hAnsi="Times New Roman" w:cs="Times New Roman"/>
          <w:sz w:val="20"/>
          <w:szCs w:val="20"/>
        </w:rPr>
        <w:t>Rustamov</w:t>
      </w:r>
      <w:proofErr w:type="spellEnd"/>
      <w:r w:rsidRPr="00DA0B39">
        <w:rPr>
          <w:rFonts w:ascii="Times New Roman" w:hAnsi="Times New Roman" w:cs="Times New Roman"/>
          <w:sz w:val="20"/>
          <w:szCs w:val="20"/>
        </w:rPr>
        <w:t xml:space="preserve">, S. AIP Conference </w:t>
      </w:r>
      <w:proofErr w:type="spellStart"/>
      <w:r w:rsidRPr="00DA0B39">
        <w:rPr>
          <w:rFonts w:ascii="Times New Roman" w:hAnsi="Times New Roman" w:cs="Times New Roman"/>
          <w:sz w:val="20"/>
          <w:szCs w:val="20"/>
        </w:rPr>
        <w:t>ProceedingsOpen</w:t>
      </w:r>
      <w:proofErr w:type="spellEnd"/>
      <w:r w:rsidRPr="00DA0B39">
        <w:rPr>
          <w:rFonts w:ascii="Times New Roman" w:hAnsi="Times New Roman" w:cs="Times New Roman"/>
          <w:sz w:val="20"/>
          <w:szCs w:val="20"/>
        </w:rPr>
        <w:t xml:space="preserve"> source preview, 2024, 3152(1), 030024. </w:t>
      </w:r>
      <w:hyperlink r:id="rId26" w:history="1">
        <w:r w:rsidRPr="00DA0B39">
          <w:rPr>
            <w:rStyle w:val="aff9"/>
            <w:rFonts w:ascii="Times New Roman" w:hAnsi="Times New Roman" w:cs="Times New Roman"/>
            <w:color w:val="auto"/>
            <w:sz w:val="20"/>
            <w:szCs w:val="20"/>
          </w:rPr>
          <w:t>https://doi.org/10.1063/5.0218924</w:t>
        </w:r>
      </w:hyperlink>
      <w:r w:rsidRPr="00DA0B39">
        <w:rPr>
          <w:rFonts w:ascii="Times New Roman" w:hAnsi="Times New Roman" w:cs="Times New Roman"/>
          <w:sz w:val="20"/>
          <w:szCs w:val="20"/>
        </w:rPr>
        <w:t xml:space="preserve"> </w:t>
      </w:r>
    </w:p>
    <w:p w14:paraId="72CC3145" w14:textId="77777777" w:rsidR="00DA0B39" w:rsidRPr="00DA0B39" w:rsidRDefault="00DA0B39" w:rsidP="00DA0B39">
      <w:pPr>
        <w:pStyle w:val="ae"/>
        <w:numPr>
          <w:ilvl w:val="0"/>
          <w:numId w:val="10"/>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DA0B39">
        <w:rPr>
          <w:rFonts w:ascii="Times New Roman" w:hAnsi="Times New Roman" w:cs="Times New Roman"/>
          <w:sz w:val="20"/>
          <w:szCs w:val="20"/>
        </w:rPr>
        <w:t>Khusanov</w:t>
      </w:r>
      <w:proofErr w:type="spellEnd"/>
      <w:r w:rsidRPr="00DA0B39">
        <w:rPr>
          <w:rFonts w:ascii="Times New Roman" w:hAnsi="Times New Roman" w:cs="Times New Roman"/>
          <w:sz w:val="20"/>
          <w:szCs w:val="20"/>
        </w:rPr>
        <w:t xml:space="preserve">, B., </w:t>
      </w:r>
      <w:proofErr w:type="spellStart"/>
      <w:r w:rsidRPr="00DA0B39">
        <w:rPr>
          <w:rFonts w:ascii="Times New Roman" w:hAnsi="Times New Roman" w:cs="Times New Roman"/>
          <w:sz w:val="20"/>
          <w:szCs w:val="20"/>
        </w:rPr>
        <w:t>Arzuova</w:t>
      </w:r>
      <w:proofErr w:type="spellEnd"/>
      <w:r w:rsidRPr="00DA0B39">
        <w:rPr>
          <w:rFonts w:ascii="Times New Roman" w:hAnsi="Times New Roman" w:cs="Times New Roman"/>
          <w:sz w:val="20"/>
          <w:szCs w:val="20"/>
        </w:rPr>
        <w:t xml:space="preserve">, S., </w:t>
      </w:r>
      <w:proofErr w:type="spellStart"/>
      <w:r w:rsidRPr="00DA0B39">
        <w:rPr>
          <w:rFonts w:ascii="Times New Roman" w:hAnsi="Times New Roman" w:cs="Times New Roman"/>
          <w:sz w:val="20"/>
          <w:szCs w:val="20"/>
        </w:rPr>
        <w:t>Radjapov</w:t>
      </w:r>
      <w:proofErr w:type="spellEnd"/>
      <w:r w:rsidRPr="00DA0B39">
        <w:rPr>
          <w:rFonts w:ascii="Times New Roman" w:hAnsi="Times New Roman" w:cs="Times New Roman"/>
          <w:sz w:val="20"/>
          <w:szCs w:val="20"/>
        </w:rPr>
        <w:t xml:space="preserve">, Z., </w:t>
      </w:r>
      <w:proofErr w:type="spellStart"/>
      <w:r w:rsidRPr="00DA0B39">
        <w:rPr>
          <w:rFonts w:ascii="Times New Roman" w:hAnsi="Times New Roman" w:cs="Times New Roman"/>
          <w:sz w:val="20"/>
          <w:szCs w:val="20"/>
        </w:rPr>
        <w:t>Babaev</w:t>
      </w:r>
      <w:proofErr w:type="spellEnd"/>
      <w:r w:rsidRPr="00DA0B39">
        <w:rPr>
          <w:rFonts w:ascii="Times New Roman" w:hAnsi="Times New Roman" w:cs="Times New Roman"/>
          <w:sz w:val="20"/>
          <w:szCs w:val="20"/>
        </w:rPr>
        <w:t xml:space="preserve">, O. AIP Conference </w:t>
      </w:r>
      <w:proofErr w:type="spellStart"/>
      <w:r w:rsidRPr="00DA0B39">
        <w:rPr>
          <w:rFonts w:ascii="Times New Roman" w:hAnsi="Times New Roman" w:cs="Times New Roman"/>
          <w:sz w:val="20"/>
          <w:szCs w:val="20"/>
        </w:rPr>
        <w:t>ProceedingsOpen</w:t>
      </w:r>
      <w:proofErr w:type="spellEnd"/>
      <w:r w:rsidRPr="00DA0B39">
        <w:rPr>
          <w:rFonts w:ascii="Times New Roman" w:hAnsi="Times New Roman" w:cs="Times New Roman"/>
          <w:sz w:val="20"/>
          <w:szCs w:val="20"/>
        </w:rPr>
        <w:t xml:space="preserve"> source preview, 2024, 3152(1), 030028. </w:t>
      </w:r>
      <w:hyperlink r:id="rId27" w:history="1">
        <w:r w:rsidRPr="00DA0B39">
          <w:rPr>
            <w:rStyle w:val="aff9"/>
            <w:rFonts w:ascii="Times New Roman" w:hAnsi="Times New Roman" w:cs="Times New Roman"/>
            <w:color w:val="auto"/>
            <w:sz w:val="20"/>
            <w:szCs w:val="20"/>
          </w:rPr>
          <w:t>https://doi.org/10.1063/5.0219241</w:t>
        </w:r>
      </w:hyperlink>
    </w:p>
    <w:bookmarkEnd w:id="5"/>
    <w:p w14:paraId="1E8B08EC" w14:textId="77777777" w:rsidR="00DA0B39" w:rsidRPr="00DA0B39" w:rsidRDefault="00DA0B39" w:rsidP="00DA0B39">
      <w:pPr>
        <w:pStyle w:val="ae"/>
        <w:numPr>
          <w:ilvl w:val="0"/>
          <w:numId w:val="10"/>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DA0B39">
        <w:rPr>
          <w:rFonts w:ascii="Times New Roman" w:hAnsi="Times New Roman" w:cs="Times New Roman"/>
          <w:sz w:val="20"/>
          <w:szCs w:val="20"/>
        </w:rPr>
        <w:t>Urishev</w:t>
      </w:r>
      <w:proofErr w:type="spellEnd"/>
      <w:r w:rsidRPr="00DA0B39">
        <w:rPr>
          <w:rFonts w:ascii="Times New Roman" w:hAnsi="Times New Roman" w:cs="Times New Roman"/>
          <w:sz w:val="20"/>
          <w:szCs w:val="20"/>
        </w:rPr>
        <w:t xml:space="preserve">, B., F. </w:t>
      </w:r>
      <w:proofErr w:type="spellStart"/>
      <w:r w:rsidRPr="00DA0B39">
        <w:rPr>
          <w:rFonts w:ascii="Times New Roman" w:hAnsi="Times New Roman" w:cs="Times New Roman"/>
          <w:sz w:val="20"/>
          <w:szCs w:val="20"/>
        </w:rPr>
        <w:t>Artikbekova</w:t>
      </w:r>
      <w:proofErr w:type="spellEnd"/>
      <w:r w:rsidRPr="00DA0B39">
        <w:rPr>
          <w:rFonts w:ascii="Times New Roman" w:hAnsi="Times New Roman" w:cs="Times New Roman"/>
          <w:sz w:val="20"/>
          <w:szCs w:val="20"/>
        </w:rPr>
        <w:t xml:space="preserve">, D. </w:t>
      </w:r>
      <w:proofErr w:type="spellStart"/>
      <w:r w:rsidRPr="00DA0B39">
        <w:rPr>
          <w:rFonts w:ascii="Times New Roman" w:hAnsi="Times New Roman" w:cs="Times New Roman"/>
          <w:sz w:val="20"/>
          <w:szCs w:val="20"/>
        </w:rPr>
        <w:t>Kuvvatov</w:t>
      </w:r>
      <w:proofErr w:type="spellEnd"/>
      <w:r w:rsidRPr="00DA0B39">
        <w:rPr>
          <w:rFonts w:ascii="Times New Roman" w:hAnsi="Times New Roman" w:cs="Times New Roman"/>
          <w:sz w:val="20"/>
          <w:szCs w:val="20"/>
        </w:rPr>
        <w:t xml:space="preserve">, F. </w:t>
      </w:r>
      <w:proofErr w:type="spellStart"/>
      <w:r w:rsidRPr="00DA0B39">
        <w:rPr>
          <w:rFonts w:ascii="Times New Roman" w:hAnsi="Times New Roman" w:cs="Times New Roman"/>
          <w:sz w:val="20"/>
          <w:szCs w:val="20"/>
        </w:rPr>
        <w:t>Nosirov</w:t>
      </w:r>
      <w:proofErr w:type="spellEnd"/>
      <w:r w:rsidRPr="00DA0B39">
        <w:rPr>
          <w:rFonts w:ascii="Times New Roman" w:hAnsi="Times New Roman" w:cs="Times New Roman"/>
          <w:sz w:val="20"/>
          <w:szCs w:val="20"/>
        </w:rPr>
        <w:t xml:space="preserve">, and U. </w:t>
      </w:r>
      <w:proofErr w:type="spellStart"/>
      <w:r w:rsidRPr="00DA0B39">
        <w:rPr>
          <w:rFonts w:ascii="Times New Roman" w:hAnsi="Times New Roman" w:cs="Times New Roman"/>
          <w:sz w:val="20"/>
          <w:szCs w:val="20"/>
        </w:rPr>
        <w:t>Kuvatov</w:t>
      </w:r>
      <w:proofErr w:type="spellEnd"/>
      <w:r w:rsidRPr="00DA0B39">
        <w:rPr>
          <w:rFonts w:ascii="Times New Roman" w:hAnsi="Times New Roman" w:cs="Times New Roman"/>
          <w:sz w:val="20"/>
          <w:szCs w:val="20"/>
        </w:rPr>
        <w:t>. 2022. “Trajectory of Sediment Deposition at the Bottom of Water Intake Structures of Pumping Stations.” IOP Conference Series: Materials Science and Engineering, 1030(1). https://doi.org/10.1088/1757-899X/1030/1/012137</w:t>
      </w:r>
    </w:p>
    <w:p w14:paraId="56E20C17" w14:textId="77777777" w:rsidR="00DA0B39" w:rsidRPr="00DA0B39" w:rsidRDefault="00DA0B39" w:rsidP="00DA0B39">
      <w:pPr>
        <w:pStyle w:val="ae"/>
        <w:numPr>
          <w:ilvl w:val="0"/>
          <w:numId w:val="10"/>
        </w:numPr>
        <w:tabs>
          <w:tab w:val="left" w:pos="284"/>
          <w:tab w:val="left" w:pos="851"/>
        </w:tabs>
        <w:spacing w:after="0" w:line="240" w:lineRule="auto"/>
        <w:ind w:left="0" w:firstLine="0"/>
        <w:jc w:val="both"/>
        <w:rPr>
          <w:rFonts w:ascii="Times New Roman" w:hAnsi="Times New Roman" w:cs="Times New Roman"/>
          <w:sz w:val="20"/>
          <w:szCs w:val="20"/>
        </w:rPr>
      </w:pPr>
      <w:proofErr w:type="spellStart"/>
      <w:r w:rsidRPr="00DA0B39">
        <w:rPr>
          <w:rFonts w:ascii="Times New Roman" w:hAnsi="Times New Roman" w:cs="Times New Roman"/>
          <w:sz w:val="20"/>
          <w:szCs w:val="20"/>
        </w:rPr>
        <w:t>Nosirov</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Fakhriddin</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Abdurasul</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Juraev</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Ibragim</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Khamdamov</w:t>
      </w:r>
      <w:proofErr w:type="spellEnd"/>
      <w:r w:rsidRPr="00DA0B39">
        <w:rPr>
          <w:rFonts w:ascii="Times New Roman" w:hAnsi="Times New Roman" w:cs="Times New Roman"/>
          <w:sz w:val="20"/>
          <w:szCs w:val="20"/>
        </w:rPr>
        <w:t xml:space="preserve">, and </w:t>
      </w:r>
      <w:proofErr w:type="spellStart"/>
      <w:r w:rsidRPr="00DA0B39">
        <w:rPr>
          <w:rFonts w:ascii="Times New Roman" w:hAnsi="Times New Roman" w:cs="Times New Roman"/>
          <w:sz w:val="20"/>
          <w:szCs w:val="20"/>
        </w:rPr>
        <w:t>Nurmukhammed</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Kuvatov</w:t>
      </w:r>
      <w:proofErr w:type="spellEnd"/>
      <w:r w:rsidRPr="00DA0B39">
        <w:rPr>
          <w:rFonts w:ascii="Times New Roman" w:hAnsi="Times New Roman" w:cs="Times New Roman"/>
          <w:sz w:val="20"/>
          <w:szCs w:val="20"/>
        </w:rPr>
        <w:t>. 2023. “Economic Calculation of a Photoelectric Station for Degradation Processes.” AIP Conference Proceedings. https://doi.org/10.1063/5.0130642</w:t>
      </w:r>
    </w:p>
    <w:p w14:paraId="344B31F2" w14:textId="38F6BDB3" w:rsidR="00DA0B39" w:rsidRPr="00DA0B39" w:rsidRDefault="00DA0B39" w:rsidP="00DA0B39">
      <w:pPr>
        <w:pStyle w:val="ae"/>
        <w:numPr>
          <w:ilvl w:val="0"/>
          <w:numId w:val="10"/>
        </w:numPr>
        <w:tabs>
          <w:tab w:val="left" w:pos="284"/>
        </w:tabs>
        <w:spacing w:after="0" w:line="240" w:lineRule="auto"/>
        <w:ind w:left="0" w:right="4" w:firstLine="0"/>
        <w:jc w:val="both"/>
        <w:rPr>
          <w:rFonts w:ascii="Times New Roman" w:hAnsi="Times New Roman" w:cs="Times New Roman"/>
          <w:sz w:val="20"/>
          <w:szCs w:val="20"/>
        </w:rPr>
      </w:pPr>
      <w:proofErr w:type="spellStart"/>
      <w:r w:rsidRPr="00DA0B39">
        <w:rPr>
          <w:rFonts w:ascii="Times New Roman" w:hAnsi="Times New Roman" w:cs="Times New Roman"/>
          <w:sz w:val="20"/>
          <w:szCs w:val="20"/>
        </w:rPr>
        <w:t>Nosirov</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Fakhriddin</w:t>
      </w:r>
      <w:proofErr w:type="spellEnd"/>
      <w:r w:rsidRPr="00DA0B39">
        <w:rPr>
          <w:rFonts w:ascii="Times New Roman" w:hAnsi="Times New Roman" w:cs="Times New Roman"/>
          <w:sz w:val="20"/>
          <w:szCs w:val="20"/>
        </w:rPr>
        <w:t xml:space="preserve">, Oleg </w:t>
      </w:r>
      <w:proofErr w:type="spellStart"/>
      <w:r w:rsidRPr="00DA0B39">
        <w:rPr>
          <w:rFonts w:ascii="Times New Roman" w:hAnsi="Times New Roman" w:cs="Times New Roman"/>
          <w:sz w:val="20"/>
          <w:szCs w:val="20"/>
        </w:rPr>
        <w:t>Glovatsky</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Bekzod</w:t>
      </w:r>
      <w:proofErr w:type="spellEnd"/>
      <w:r w:rsidRPr="00DA0B39">
        <w:rPr>
          <w:rFonts w:ascii="Times New Roman" w:hAnsi="Times New Roman" w:cs="Times New Roman"/>
          <w:sz w:val="20"/>
          <w:szCs w:val="20"/>
        </w:rPr>
        <w:t xml:space="preserve"> </w:t>
      </w:r>
      <w:proofErr w:type="spellStart"/>
      <w:r w:rsidRPr="00DA0B39">
        <w:rPr>
          <w:rFonts w:ascii="Times New Roman" w:hAnsi="Times New Roman" w:cs="Times New Roman"/>
          <w:sz w:val="20"/>
          <w:szCs w:val="20"/>
        </w:rPr>
        <w:t>Khamdamov</w:t>
      </w:r>
      <w:proofErr w:type="spellEnd"/>
      <w:r w:rsidRPr="00DA0B39">
        <w:rPr>
          <w:rFonts w:ascii="Times New Roman" w:hAnsi="Times New Roman" w:cs="Times New Roman"/>
          <w:sz w:val="20"/>
          <w:szCs w:val="20"/>
        </w:rPr>
        <w:t xml:space="preserve">, and Armen </w:t>
      </w:r>
      <w:proofErr w:type="spellStart"/>
      <w:r w:rsidRPr="00DA0B39">
        <w:rPr>
          <w:rFonts w:ascii="Times New Roman" w:hAnsi="Times New Roman" w:cs="Times New Roman"/>
          <w:sz w:val="20"/>
          <w:szCs w:val="20"/>
        </w:rPr>
        <w:t>Gazaryan</w:t>
      </w:r>
      <w:proofErr w:type="spellEnd"/>
      <w:r w:rsidRPr="00DA0B39">
        <w:rPr>
          <w:rFonts w:ascii="Times New Roman" w:hAnsi="Times New Roman" w:cs="Times New Roman"/>
          <w:sz w:val="20"/>
          <w:szCs w:val="20"/>
        </w:rPr>
        <w:t>. 2023. “Increasing the Stability of the Supply Hydraulic Structures.” AIP Conference Proceedings. https://doi.org/10.1063/5.0218867</w:t>
      </w:r>
    </w:p>
    <w:p w14:paraId="008CD8C1" w14:textId="77777777" w:rsidR="00FB4D80" w:rsidRPr="00E773A2" w:rsidRDefault="00FB4D80" w:rsidP="000C7732">
      <w:pPr>
        <w:spacing w:after="0" w:line="240" w:lineRule="auto"/>
        <w:ind w:firstLine="284"/>
        <w:jc w:val="both"/>
        <w:rPr>
          <w:rFonts w:ascii="Times New Roman" w:hAnsi="Times New Roman" w:cs="Times New Roman"/>
          <w:b/>
          <w:sz w:val="20"/>
          <w:szCs w:val="20"/>
        </w:rPr>
      </w:pPr>
    </w:p>
    <w:sectPr w:rsidR="00FB4D80" w:rsidRPr="00E773A2" w:rsidSect="00333221">
      <w:pgSz w:w="12240" w:h="15840"/>
      <w:pgMar w:top="1440" w:right="1440" w:bottom="170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auto"/>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30"/>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20"/>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a0"/>
      <w:lvlText w:val=""/>
      <w:lvlJc w:val="left"/>
      <w:pPr>
        <w:tabs>
          <w:tab w:val="num" w:pos="360"/>
        </w:tabs>
        <w:ind w:left="360" w:hanging="360"/>
      </w:pPr>
      <w:rPr>
        <w:rFonts w:ascii="Symbol" w:hAnsi="Symbol" w:hint="default"/>
      </w:rPr>
    </w:lvl>
  </w:abstractNum>
  <w:abstractNum w:abstractNumId="9" w15:restartNumberingAfterBreak="0">
    <w:nsid w:val="19F15FC3"/>
    <w:multiLevelType w:val="multilevel"/>
    <w:tmpl w:val="97BC989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226454E"/>
    <w:multiLevelType w:val="hybridMultilevel"/>
    <w:tmpl w:val="05F4B9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066AE8"/>
    <w:rsid w:val="00072286"/>
    <w:rsid w:val="000A71EF"/>
    <w:rsid w:val="000C7732"/>
    <w:rsid w:val="0015074B"/>
    <w:rsid w:val="001B07E5"/>
    <w:rsid w:val="001B2829"/>
    <w:rsid w:val="001C2200"/>
    <w:rsid w:val="0029639D"/>
    <w:rsid w:val="0032239B"/>
    <w:rsid w:val="00326F90"/>
    <w:rsid w:val="0032763A"/>
    <w:rsid w:val="00333025"/>
    <w:rsid w:val="00333221"/>
    <w:rsid w:val="003365F6"/>
    <w:rsid w:val="00427FA7"/>
    <w:rsid w:val="004378E0"/>
    <w:rsid w:val="00451930"/>
    <w:rsid w:val="00502492"/>
    <w:rsid w:val="0054678A"/>
    <w:rsid w:val="005D30FB"/>
    <w:rsid w:val="00676C0F"/>
    <w:rsid w:val="00680702"/>
    <w:rsid w:val="006C7C21"/>
    <w:rsid w:val="006F0910"/>
    <w:rsid w:val="006F2ABA"/>
    <w:rsid w:val="00744658"/>
    <w:rsid w:val="007C35F0"/>
    <w:rsid w:val="008C7F11"/>
    <w:rsid w:val="00901A69"/>
    <w:rsid w:val="00911D2C"/>
    <w:rsid w:val="00935D6E"/>
    <w:rsid w:val="009963FF"/>
    <w:rsid w:val="009D44F5"/>
    <w:rsid w:val="00A86E12"/>
    <w:rsid w:val="00AA1D8D"/>
    <w:rsid w:val="00B40C80"/>
    <w:rsid w:val="00B47730"/>
    <w:rsid w:val="00CA3816"/>
    <w:rsid w:val="00CB0664"/>
    <w:rsid w:val="00CC7096"/>
    <w:rsid w:val="00CD13C1"/>
    <w:rsid w:val="00D01AC8"/>
    <w:rsid w:val="00D0633E"/>
    <w:rsid w:val="00D743A4"/>
    <w:rsid w:val="00D9515D"/>
    <w:rsid w:val="00DA0B39"/>
    <w:rsid w:val="00DA2C56"/>
    <w:rsid w:val="00DB59E4"/>
    <w:rsid w:val="00DE7CCC"/>
    <w:rsid w:val="00DF2B7C"/>
    <w:rsid w:val="00E27A83"/>
    <w:rsid w:val="00E773A2"/>
    <w:rsid w:val="00F536F6"/>
    <w:rsid w:val="00F80062"/>
    <w:rsid w:val="00FB4D80"/>
    <w:rsid w:val="00FC693F"/>
    <w:rsid w:val="00FF3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823A0"/>
  <w14:defaultImageDpi w14:val="300"/>
  <w15:docId w15:val="{EA444DC4-08CD-4988-AC2F-7BFC063F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C693F"/>
  </w:style>
  <w:style w:type="paragraph" w:styleId="1">
    <w:name w:val="heading 1"/>
    <w:basedOn w:val="a1"/>
    <w:next w:val="a1"/>
    <w:link w:val="10"/>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1">
    <w:name w:val="heading 2"/>
    <w:basedOn w:val="a1"/>
    <w:next w:val="a1"/>
    <w:link w:val="22"/>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1">
    <w:name w:val="heading 3"/>
    <w:basedOn w:val="a1"/>
    <w:next w:val="a1"/>
    <w:link w:val="32"/>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1"/>
    <w:next w:val="a1"/>
    <w:link w:val="40"/>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1"/>
    <w:next w:val="a1"/>
    <w:link w:val="50"/>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1"/>
    <w:next w:val="a1"/>
    <w:link w:val="60"/>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1"/>
    <w:next w:val="a1"/>
    <w:link w:val="70"/>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1"/>
    <w:next w:val="a1"/>
    <w:link w:val="80"/>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1"/>
    <w:next w:val="a1"/>
    <w:link w:val="90"/>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unhideWhenUsed/>
    <w:rsid w:val="00E618BF"/>
    <w:pPr>
      <w:tabs>
        <w:tab w:val="center" w:pos="4680"/>
        <w:tab w:val="right" w:pos="9360"/>
      </w:tabs>
      <w:spacing w:after="0" w:line="240" w:lineRule="auto"/>
    </w:pPr>
  </w:style>
  <w:style w:type="character" w:customStyle="1" w:styleId="a6">
    <w:name w:val="Верхний колонтитул Знак"/>
    <w:basedOn w:val="a2"/>
    <w:link w:val="a5"/>
    <w:uiPriority w:val="99"/>
    <w:rsid w:val="00E618BF"/>
  </w:style>
  <w:style w:type="paragraph" w:styleId="a7">
    <w:name w:val="footer"/>
    <w:basedOn w:val="a1"/>
    <w:link w:val="a8"/>
    <w:uiPriority w:val="99"/>
    <w:unhideWhenUsed/>
    <w:rsid w:val="00E618BF"/>
    <w:pPr>
      <w:tabs>
        <w:tab w:val="center" w:pos="4680"/>
        <w:tab w:val="right" w:pos="9360"/>
      </w:tabs>
      <w:spacing w:after="0" w:line="240" w:lineRule="auto"/>
    </w:pPr>
  </w:style>
  <w:style w:type="character" w:customStyle="1" w:styleId="a8">
    <w:name w:val="Нижний колонтитул Знак"/>
    <w:basedOn w:val="a2"/>
    <w:link w:val="a7"/>
    <w:uiPriority w:val="99"/>
    <w:rsid w:val="00E618BF"/>
  </w:style>
  <w:style w:type="paragraph" w:styleId="a9">
    <w:name w:val="No Spacing"/>
    <w:uiPriority w:val="1"/>
    <w:qFormat/>
    <w:rsid w:val="00FC693F"/>
    <w:pPr>
      <w:spacing w:after="0" w:line="240" w:lineRule="auto"/>
    </w:pPr>
  </w:style>
  <w:style w:type="character" w:customStyle="1" w:styleId="10">
    <w:name w:val="Заголовок 1 Знак"/>
    <w:basedOn w:val="a2"/>
    <w:link w:val="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22">
    <w:name w:val="Заголовок 2 Знак"/>
    <w:basedOn w:val="a2"/>
    <w:link w:val="21"/>
    <w:uiPriority w:val="9"/>
    <w:rsid w:val="00FC693F"/>
    <w:rPr>
      <w:rFonts w:asciiTheme="majorHAnsi" w:eastAsiaTheme="majorEastAsia" w:hAnsiTheme="majorHAnsi" w:cstheme="majorBidi"/>
      <w:b/>
      <w:bCs/>
      <w:color w:val="4F81BD" w:themeColor="accent1"/>
      <w:sz w:val="26"/>
      <w:szCs w:val="26"/>
    </w:rPr>
  </w:style>
  <w:style w:type="character" w:customStyle="1" w:styleId="32">
    <w:name w:val="Заголовок 3 Знак"/>
    <w:basedOn w:val="a2"/>
    <w:link w:val="31"/>
    <w:uiPriority w:val="9"/>
    <w:rsid w:val="00FC693F"/>
    <w:rPr>
      <w:rFonts w:asciiTheme="majorHAnsi" w:eastAsiaTheme="majorEastAsia" w:hAnsiTheme="majorHAnsi" w:cstheme="majorBidi"/>
      <w:b/>
      <w:bCs/>
      <w:color w:val="4F81BD" w:themeColor="accent1"/>
    </w:rPr>
  </w:style>
  <w:style w:type="paragraph" w:styleId="aa">
    <w:name w:val="Title"/>
    <w:basedOn w:val="a1"/>
    <w:next w:val="a1"/>
    <w:link w:val="ab"/>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b">
    <w:name w:val="Заголовок Знак"/>
    <w:basedOn w:val="a2"/>
    <w:link w:val="aa"/>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c">
    <w:name w:val="Subtitle"/>
    <w:basedOn w:val="a1"/>
    <w:next w:val="a1"/>
    <w:link w:val="ad"/>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d">
    <w:name w:val="Подзаголовок Знак"/>
    <w:basedOn w:val="a2"/>
    <w:link w:val="ac"/>
    <w:uiPriority w:val="11"/>
    <w:rsid w:val="00FC693F"/>
    <w:rPr>
      <w:rFonts w:asciiTheme="majorHAnsi" w:eastAsiaTheme="majorEastAsia" w:hAnsiTheme="majorHAnsi" w:cstheme="majorBidi"/>
      <w:i/>
      <w:iCs/>
      <w:color w:val="4F81BD" w:themeColor="accent1"/>
      <w:spacing w:val="15"/>
      <w:sz w:val="24"/>
      <w:szCs w:val="24"/>
    </w:rPr>
  </w:style>
  <w:style w:type="paragraph" w:styleId="ae">
    <w:name w:val="List Paragraph"/>
    <w:aliases w:val="Абзац вправо-1,List Paragraph1,Абзац списка1"/>
    <w:basedOn w:val="a1"/>
    <w:link w:val="af"/>
    <w:uiPriority w:val="34"/>
    <w:qFormat/>
    <w:rsid w:val="00FC693F"/>
    <w:pPr>
      <w:ind w:left="720"/>
      <w:contextualSpacing/>
    </w:pPr>
  </w:style>
  <w:style w:type="paragraph" w:styleId="af0">
    <w:name w:val="Body Text"/>
    <w:basedOn w:val="a1"/>
    <w:link w:val="af1"/>
    <w:uiPriority w:val="99"/>
    <w:unhideWhenUsed/>
    <w:rsid w:val="00AA1D8D"/>
    <w:pPr>
      <w:spacing w:after="120"/>
    </w:pPr>
  </w:style>
  <w:style w:type="character" w:customStyle="1" w:styleId="af1">
    <w:name w:val="Основной текст Знак"/>
    <w:basedOn w:val="a2"/>
    <w:link w:val="af0"/>
    <w:uiPriority w:val="99"/>
    <w:rsid w:val="00AA1D8D"/>
  </w:style>
  <w:style w:type="paragraph" w:styleId="23">
    <w:name w:val="Body Text 2"/>
    <w:basedOn w:val="a1"/>
    <w:link w:val="24"/>
    <w:uiPriority w:val="99"/>
    <w:unhideWhenUsed/>
    <w:rsid w:val="00AA1D8D"/>
    <w:pPr>
      <w:spacing w:after="120" w:line="480" w:lineRule="auto"/>
    </w:pPr>
  </w:style>
  <w:style w:type="character" w:customStyle="1" w:styleId="24">
    <w:name w:val="Основной текст 2 Знак"/>
    <w:basedOn w:val="a2"/>
    <w:link w:val="23"/>
    <w:uiPriority w:val="99"/>
    <w:rsid w:val="00AA1D8D"/>
  </w:style>
  <w:style w:type="paragraph" w:styleId="33">
    <w:name w:val="Body Text 3"/>
    <w:basedOn w:val="a1"/>
    <w:link w:val="34"/>
    <w:uiPriority w:val="99"/>
    <w:unhideWhenUsed/>
    <w:rsid w:val="00AA1D8D"/>
    <w:pPr>
      <w:spacing w:after="120"/>
    </w:pPr>
    <w:rPr>
      <w:sz w:val="16"/>
      <w:szCs w:val="16"/>
    </w:rPr>
  </w:style>
  <w:style w:type="character" w:customStyle="1" w:styleId="34">
    <w:name w:val="Основной текст 3 Знак"/>
    <w:basedOn w:val="a2"/>
    <w:link w:val="33"/>
    <w:uiPriority w:val="99"/>
    <w:rsid w:val="00AA1D8D"/>
    <w:rPr>
      <w:sz w:val="16"/>
      <w:szCs w:val="16"/>
    </w:rPr>
  </w:style>
  <w:style w:type="paragraph" w:styleId="af2">
    <w:name w:val="List"/>
    <w:basedOn w:val="a1"/>
    <w:uiPriority w:val="99"/>
    <w:unhideWhenUsed/>
    <w:rsid w:val="00AA1D8D"/>
    <w:pPr>
      <w:ind w:left="360" w:hanging="360"/>
      <w:contextualSpacing/>
    </w:pPr>
  </w:style>
  <w:style w:type="paragraph" w:styleId="25">
    <w:name w:val="List 2"/>
    <w:basedOn w:val="a1"/>
    <w:uiPriority w:val="99"/>
    <w:unhideWhenUsed/>
    <w:rsid w:val="00326F90"/>
    <w:pPr>
      <w:ind w:left="720" w:hanging="360"/>
      <w:contextualSpacing/>
    </w:pPr>
  </w:style>
  <w:style w:type="paragraph" w:styleId="35">
    <w:name w:val="List 3"/>
    <w:basedOn w:val="a1"/>
    <w:uiPriority w:val="99"/>
    <w:unhideWhenUsed/>
    <w:rsid w:val="00326F90"/>
    <w:pPr>
      <w:ind w:left="1080" w:hanging="360"/>
      <w:contextualSpacing/>
    </w:pPr>
  </w:style>
  <w:style w:type="paragraph" w:styleId="a0">
    <w:name w:val="List Bullet"/>
    <w:basedOn w:val="a1"/>
    <w:uiPriority w:val="99"/>
    <w:unhideWhenUsed/>
    <w:rsid w:val="00326F90"/>
    <w:pPr>
      <w:numPr>
        <w:numId w:val="1"/>
      </w:numPr>
      <w:contextualSpacing/>
    </w:pPr>
  </w:style>
  <w:style w:type="paragraph" w:styleId="20">
    <w:name w:val="List Bullet 2"/>
    <w:basedOn w:val="a1"/>
    <w:uiPriority w:val="99"/>
    <w:unhideWhenUsed/>
    <w:rsid w:val="00326F90"/>
    <w:pPr>
      <w:numPr>
        <w:numId w:val="2"/>
      </w:numPr>
      <w:contextualSpacing/>
    </w:pPr>
  </w:style>
  <w:style w:type="paragraph" w:styleId="30">
    <w:name w:val="List Bullet 3"/>
    <w:basedOn w:val="a1"/>
    <w:uiPriority w:val="99"/>
    <w:unhideWhenUsed/>
    <w:rsid w:val="00326F90"/>
    <w:pPr>
      <w:numPr>
        <w:numId w:val="3"/>
      </w:numPr>
      <w:contextualSpacing/>
    </w:pPr>
  </w:style>
  <w:style w:type="paragraph" w:styleId="a">
    <w:name w:val="List Number"/>
    <w:basedOn w:val="a1"/>
    <w:uiPriority w:val="99"/>
    <w:unhideWhenUsed/>
    <w:rsid w:val="00326F90"/>
    <w:pPr>
      <w:numPr>
        <w:numId w:val="5"/>
      </w:numPr>
      <w:contextualSpacing/>
    </w:pPr>
  </w:style>
  <w:style w:type="paragraph" w:styleId="2">
    <w:name w:val="List Number 2"/>
    <w:basedOn w:val="a1"/>
    <w:uiPriority w:val="99"/>
    <w:unhideWhenUsed/>
    <w:rsid w:val="0029639D"/>
    <w:pPr>
      <w:numPr>
        <w:numId w:val="6"/>
      </w:numPr>
      <w:contextualSpacing/>
    </w:pPr>
  </w:style>
  <w:style w:type="paragraph" w:styleId="3">
    <w:name w:val="List Number 3"/>
    <w:basedOn w:val="a1"/>
    <w:uiPriority w:val="99"/>
    <w:unhideWhenUsed/>
    <w:rsid w:val="0029639D"/>
    <w:pPr>
      <w:numPr>
        <w:numId w:val="7"/>
      </w:numPr>
      <w:contextualSpacing/>
    </w:pPr>
  </w:style>
  <w:style w:type="paragraph" w:styleId="af3">
    <w:name w:val="List Continue"/>
    <w:basedOn w:val="a1"/>
    <w:uiPriority w:val="99"/>
    <w:unhideWhenUsed/>
    <w:rsid w:val="0029639D"/>
    <w:pPr>
      <w:spacing w:after="120"/>
      <w:ind w:left="360"/>
      <w:contextualSpacing/>
    </w:pPr>
  </w:style>
  <w:style w:type="paragraph" w:styleId="26">
    <w:name w:val="List Continue 2"/>
    <w:basedOn w:val="a1"/>
    <w:uiPriority w:val="99"/>
    <w:unhideWhenUsed/>
    <w:rsid w:val="0029639D"/>
    <w:pPr>
      <w:spacing w:after="120"/>
      <w:ind w:left="720"/>
      <w:contextualSpacing/>
    </w:pPr>
  </w:style>
  <w:style w:type="paragraph" w:styleId="36">
    <w:name w:val="List Continue 3"/>
    <w:basedOn w:val="a1"/>
    <w:uiPriority w:val="99"/>
    <w:unhideWhenUsed/>
    <w:rsid w:val="0029639D"/>
    <w:pPr>
      <w:spacing w:after="120"/>
      <w:ind w:left="1080"/>
      <w:contextualSpacing/>
    </w:pPr>
  </w:style>
  <w:style w:type="paragraph" w:styleId="af4">
    <w:name w:val="macro"/>
    <w:link w:val="af5"/>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af5">
    <w:name w:val="Текст макроса Знак"/>
    <w:basedOn w:val="a2"/>
    <w:link w:val="af4"/>
    <w:uiPriority w:val="99"/>
    <w:rsid w:val="0029639D"/>
    <w:rPr>
      <w:rFonts w:ascii="Courier" w:hAnsi="Courier"/>
      <w:sz w:val="20"/>
      <w:szCs w:val="20"/>
    </w:rPr>
  </w:style>
  <w:style w:type="paragraph" w:styleId="27">
    <w:name w:val="Quote"/>
    <w:basedOn w:val="a1"/>
    <w:next w:val="a1"/>
    <w:link w:val="28"/>
    <w:uiPriority w:val="29"/>
    <w:qFormat/>
    <w:rsid w:val="00FC693F"/>
    <w:rPr>
      <w:i/>
      <w:iCs/>
      <w:color w:val="000000" w:themeColor="text1"/>
    </w:rPr>
  </w:style>
  <w:style w:type="character" w:customStyle="1" w:styleId="28">
    <w:name w:val="Цитата 2 Знак"/>
    <w:basedOn w:val="a2"/>
    <w:link w:val="27"/>
    <w:uiPriority w:val="29"/>
    <w:rsid w:val="00FC693F"/>
    <w:rPr>
      <w:i/>
      <w:iCs/>
      <w:color w:val="000000" w:themeColor="text1"/>
    </w:rPr>
  </w:style>
  <w:style w:type="character" w:customStyle="1" w:styleId="40">
    <w:name w:val="Заголовок 4 Знак"/>
    <w:basedOn w:val="a2"/>
    <w:link w:val="4"/>
    <w:uiPriority w:val="9"/>
    <w:semiHidden/>
    <w:rsid w:val="00FC693F"/>
    <w:rPr>
      <w:rFonts w:asciiTheme="majorHAnsi" w:eastAsiaTheme="majorEastAsia" w:hAnsiTheme="majorHAnsi" w:cstheme="majorBidi"/>
      <w:b/>
      <w:bCs/>
      <w:i/>
      <w:iCs/>
      <w:color w:val="4F81BD" w:themeColor="accent1"/>
    </w:rPr>
  </w:style>
  <w:style w:type="character" w:customStyle="1" w:styleId="50">
    <w:name w:val="Заголовок 5 Знак"/>
    <w:basedOn w:val="a2"/>
    <w:link w:val="5"/>
    <w:uiPriority w:val="9"/>
    <w:semiHidden/>
    <w:rsid w:val="00FC693F"/>
    <w:rPr>
      <w:rFonts w:asciiTheme="majorHAnsi" w:eastAsiaTheme="majorEastAsia" w:hAnsiTheme="majorHAnsi" w:cstheme="majorBidi"/>
      <w:color w:val="243F60" w:themeColor="accent1" w:themeShade="7F"/>
    </w:rPr>
  </w:style>
  <w:style w:type="character" w:customStyle="1" w:styleId="60">
    <w:name w:val="Заголовок 6 Знак"/>
    <w:basedOn w:val="a2"/>
    <w:link w:val="6"/>
    <w:uiPriority w:val="9"/>
    <w:semiHidden/>
    <w:rsid w:val="00FC693F"/>
    <w:rPr>
      <w:rFonts w:asciiTheme="majorHAnsi" w:eastAsiaTheme="majorEastAsia" w:hAnsiTheme="majorHAnsi" w:cstheme="majorBidi"/>
      <w:i/>
      <w:iCs/>
      <w:color w:val="243F60" w:themeColor="accent1" w:themeShade="7F"/>
    </w:rPr>
  </w:style>
  <w:style w:type="character" w:customStyle="1" w:styleId="70">
    <w:name w:val="Заголовок 7 Знак"/>
    <w:basedOn w:val="a2"/>
    <w:link w:val="7"/>
    <w:uiPriority w:val="9"/>
    <w:semiHidden/>
    <w:rsid w:val="00FC693F"/>
    <w:rPr>
      <w:rFonts w:asciiTheme="majorHAnsi" w:eastAsiaTheme="majorEastAsia" w:hAnsiTheme="majorHAnsi" w:cstheme="majorBidi"/>
      <w:i/>
      <w:iCs/>
      <w:color w:val="404040" w:themeColor="text1" w:themeTint="BF"/>
    </w:rPr>
  </w:style>
  <w:style w:type="character" w:customStyle="1" w:styleId="80">
    <w:name w:val="Заголовок 8 Знак"/>
    <w:basedOn w:val="a2"/>
    <w:link w:val="8"/>
    <w:uiPriority w:val="9"/>
    <w:semiHidden/>
    <w:rsid w:val="00FC693F"/>
    <w:rPr>
      <w:rFonts w:asciiTheme="majorHAnsi" w:eastAsiaTheme="majorEastAsia" w:hAnsiTheme="majorHAnsi" w:cstheme="majorBidi"/>
      <w:color w:val="4F81BD" w:themeColor="accent1"/>
      <w:sz w:val="20"/>
      <w:szCs w:val="20"/>
    </w:rPr>
  </w:style>
  <w:style w:type="character" w:customStyle="1" w:styleId="90">
    <w:name w:val="Заголовок 9 Знак"/>
    <w:basedOn w:val="a2"/>
    <w:link w:val="9"/>
    <w:uiPriority w:val="9"/>
    <w:semiHidden/>
    <w:rsid w:val="00FC693F"/>
    <w:rPr>
      <w:rFonts w:asciiTheme="majorHAnsi" w:eastAsiaTheme="majorEastAsia" w:hAnsiTheme="majorHAnsi" w:cstheme="majorBidi"/>
      <w:i/>
      <w:iCs/>
      <w:color w:val="404040" w:themeColor="text1" w:themeTint="BF"/>
      <w:sz w:val="20"/>
      <w:szCs w:val="20"/>
    </w:rPr>
  </w:style>
  <w:style w:type="paragraph" w:styleId="af6">
    <w:name w:val="caption"/>
    <w:basedOn w:val="a1"/>
    <w:next w:val="a1"/>
    <w:uiPriority w:val="35"/>
    <w:semiHidden/>
    <w:unhideWhenUsed/>
    <w:qFormat/>
    <w:rsid w:val="00FC693F"/>
    <w:pPr>
      <w:spacing w:line="240" w:lineRule="auto"/>
    </w:pPr>
    <w:rPr>
      <w:b/>
      <w:bCs/>
      <w:color w:val="4F81BD" w:themeColor="accent1"/>
      <w:sz w:val="18"/>
      <w:szCs w:val="18"/>
    </w:rPr>
  </w:style>
  <w:style w:type="character" w:styleId="af7">
    <w:name w:val="Strong"/>
    <w:basedOn w:val="a2"/>
    <w:uiPriority w:val="22"/>
    <w:qFormat/>
    <w:rsid w:val="00FC693F"/>
    <w:rPr>
      <w:b/>
      <w:bCs/>
    </w:rPr>
  </w:style>
  <w:style w:type="character" w:styleId="af8">
    <w:name w:val="Emphasis"/>
    <w:basedOn w:val="a2"/>
    <w:uiPriority w:val="20"/>
    <w:qFormat/>
    <w:rsid w:val="00FC693F"/>
    <w:rPr>
      <w:i/>
      <w:iCs/>
    </w:rPr>
  </w:style>
  <w:style w:type="paragraph" w:styleId="af9">
    <w:name w:val="Intense Quote"/>
    <w:basedOn w:val="a1"/>
    <w:next w:val="a1"/>
    <w:link w:val="afa"/>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afa">
    <w:name w:val="Выделенная цитата Знак"/>
    <w:basedOn w:val="a2"/>
    <w:link w:val="af9"/>
    <w:uiPriority w:val="30"/>
    <w:rsid w:val="00FC693F"/>
    <w:rPr>
      <w:b/>
      <w:bCs/>
      <w:i/>
      <w:iCs/>
      <w:color w:val="4F81BD" w:themeColor="accent1"/>
    </w:rPr>
  </w:style>
  <w:style w:type="character" w:styleId="afb">
    <w:name w:val="Subtle Emphasis"/>
    <w:basedOn w:val="a2"/>
    <w:uiPriority w:val="19"/>
    <w:qFormat/>
    <w:rsid w:val="00FC693F"/>
    <w:rPr>
      <w:i/>
      <w:iCs/>
      <w:color w:val="808080" w:themeColor="text1" w:themeTint="7F"/>
    </w:rPr>
  </w:style>
  <w:style w:type="character" w:styleId="afc">
    <w:name w:val="Intense Emphasis"/>
    <w:basedOn w:val="a2"/>
    <w:uiPriority w:val="21"/>
    <w:qFormat/>
    <w:rsid w:val="00FC693F"/>
    <w:rPr>
      <w:b/>
      <w:bCs/>
      <w:i/>
      <w:iCs/>
      <w:color w:val="4F81BD" w:themeColor="accent1"/>
    </w:rPr>
  </w:style>
  <w:style w:type="character" w:styleId="afd">
    <w:name w:val="Subtle Reference"/>
    <w:basedOn w:val="a2"/>
    <w:uiPriority w:val="31"/>
    <w:qFormat/>
    <w:rsid w:val="00FC693F"/>
    <w:rPr>
      <w:smallCaps/>
      <w:color w:val="C0504D" w:themeColor="accent2"/>
      <w:u w:val="single"/>
    </w:rPr>
  </w:style>
  <w:style w:type="character" w:styleId="afe">
    <w:name w:val="Intense Reference"/>
    <w:basedOn w:val="a2"/>
    <w:uiPriority w:val="32"/>
    <w:qFormat/>
    <w:rsid w:val="00FC693F"/>
    <w:rPr>
      <w:b/>
      <w:bCs/>
      <w:smallCaps/>
      <w:color w:val="C0504D" w:themeColor="accent2"/>
      <w:spacing w:val="5"/>
      <w:u w:val="single"/>
    </w:rPr>
  </w:style>
  <w:style w:type="character" w:styleId="aff">
    <w:name w:val="Book Title"/>
    <w:basedOn w:val="a2"/>
    <w:uiPriority w:val="33"/>
    <w:qFormat/>
    <w:rsid w:val="00FC693F"/>
    <w:rPr>
      <w:b/>
      <w:bCs/>
      <w:smallCaps/>
      <w:spacing w:val="5"/>
    </w:rPr>
  </w:style>
  <w:style w:type="paragraph" w:styleId="aff0">
    <w:name w:val="TOC Heading"/>
    <w:basedOn w:val="1"/>
    <w:next w:val="a1"/>
    <w:uiPriority w:val="39"/>
    <w:semiHidden/>
    <w:unhideWhenUsed/>
    <w:qFormat/>
    <w:rsid w:val="00FC693F"/>
    <w:pPr>
      <w:outlineLvl w:val="9"/>
    </w:pPr>
  </w:style>
  <w:style w:type="table" w:styleId="aff1">
    <w:name w:val="Table Grid"/>
    <w:basedOn w:val="a3"/>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2">
    <w:name w:val="Light Shading"/>
    <w:basedOn w:val="a3"/>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
    <w:name w:val="Light Shading Accent 1"/>
    <w:basedOn w:val="a3"/>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
    <w:name w:val="Light Shading Accent 2"/>
    <w:basedOn w:val="a3"/>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
    <w:name w:val="Light Shading Accent 3"/>
    <w:basedOn w:val="a3"/>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
    <w:name w:val="Light Shading Accent 4"/>
    <w:basedOn w:val="a3"/>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
    <w:name w:val="Light Shading Accent 5"/>
    <w:basedOn w:val="a3"/>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
    <w:name w:val="Light Shading Accent 6"/>
    <w:basedOn w:val="a3"/>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ff3">
    <w:name w:val="Light List"/>
    <w:basedOn w:val="a3"/>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0">
    <w:name w:val="Light List Accent 1"/>
    <w:basedOn w:val="a3"/>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0">
    <w:name w:val="Light List Accent 2"/>
    <w:basedOn w:val="a3"/>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0">
    <w:name w:val="Light List Accent 3"/>
    <w:basedOn w:val="a3"/>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0">
    <w:name w:val="Light List Accent 4"/>
    <w:basedOn w:val="a3"/>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0">
    <w:name w:val="Light List Accent 5"/>
    <w:basedOn w:val="a3"/>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0">
    <w:name w:val="Light List Accent 6"/>
    <w:basedOn w:val="a3"/>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4">
    <w:name w:val="Light Grid"/>
    <w:basedOn w:val="a3"/>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1">
    <w:name w:val="Light Grid Accent 1"/>
    <w:basedOn w:val="a3"/>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1">
    <w:name w:val="Light Grid Accent 2"/>
    <w:basedOn w:val="a3"/>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1">
    <w:name w:val="Light Grid Accent 3"/>
    <w:basedOn w:val="a3"/>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1">
    <w:name w:val="Light Grid Accent 4"/>
    <w:basedOn w:val="a3"/>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1">
    <w:name w:val="Light Grid Accent 5"/>
    <w:basedOn w:val="a3"/>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1">
    <w:name w:val="Light Grid Accent 6"/>
    <w:basedOn w:val="a3"/>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11">
    <w:name w:val="Medium Shading 1"/>
    <w:basedOn w:val="a3"/>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a">
    <w:name w:val="Medium Lis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0">
    <w:name w:val="Medium List 2 Accent 1"/>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0">
    <w:name w:val="Medium List 2 Accent 2"/>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0">
    <w:name w:val="Medium List 2 Accent 3"/>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0">
    <w:name w:val="Medium List 2 Accent 4"/>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0">
    <w:name w:val="Medium List 2 Accent 5"/>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0">
    <w:name w:val="Medium List 2 Accent 6"/>
    <w:basedOn w:val="a3"/>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3"/>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3"/>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3"/>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3"/>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3"/>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3"/>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b">
    <w:name w:val="Medium Grid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3"/>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7">
    <w:name w:val="Medium Grid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
    <w:name w:val="Medium Grid 3 Accent 1"/>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
    <w:name w:val="Medium Grid 3 Accent 2"/>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
    <w:name w:val="Medium Grid 3 Accent 3"/>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
    <w:name w:val="Medium Grid 3 Accent 4"/>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
    <w:name w:val="Medium Grid 3 Accent 5"/>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
    <w:name w:val="Medium Grid 3 Accent 6"/>
    <w:basedOn w:val="a3"/>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aff5">
    <w:name w:val="Dark List"/>
    <w:basedOn w:val="a3"/>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aff6">
    <w:name w:val="Colorful Shading"/>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aff7">
    <w:name w:val="Colorful List"/>
    <w:basedOn w:val="a3"/>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f8">
    <w:name w:val="Colorful Grid"/>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aff9">
    <w:name w:val="Hyperlink"/>
    <w:basedOn w:val="a2"/>
    <w:uiPriority w:val="99"/>
    <w:unhideWhenUsed/>
    <w:rsid w:val="00FB4D80"/>
    <w:rPr>
      <w:color w:val="0000FF" w:themeColor="hyperlink"/>
      <w:u w:val="single"/>
    </w:rPr>
  </w:style>
  <w:style w:type="character" w:customStyle="1" w:styleId="14">
    <w:name w:val="Неразрешенное упоминание1"/>
    <w:basedOn w:val="a2"/>
    <w:uiPriority w:val="99"/>
    <w:semiHidden/>
    <w:unhideWhenUsed/>
    <w:rsid w:val="0032239B"/>
    <w:rPr>
      <w:color w:val="605E5C"/>
      <w:shd w:val="clear" w:color="auto" w:fill="E1DFDD"/>
    </w:rPr>
  </w:style>
  <w:style w:type="character" w:customStyle="1" w:styleId="af">
    <w:name w:val="Абзац списка Знак"/>
    <w:aliases w:val="Абзац вправо-1 Знак,List Paragraph1 Знак,Абзац списка1 Знак"/>
    <w:link w:val="ae"/>
    <w:uiPriority w:val="34"/>
    <w:locked/>
    <w:rsid w:val="00CC7096"/>
  </w:style>
  <w:style w:type="character" w:customStyle="1" w:styleId="UnresolvedMention">
    <w:name w:val="Unresolved Mention"/>
    <w:basedOn w:val="a2"/>
    <w:uiPriority w:val="99"/>
    <w:semiHidden/>
    <w:unhideWhenUsed/>
    <w:rsid w:val="00546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1111/jcal.12093" TargetMode="External"/><Relationship Id="rId18" Type="http://schemas.openxmlformats.org/officeDocument/2006/relationships/hyperlink" Target="https://doi.org/10.1073/pnas.1319030111" TargetMode="External"/><Relationship Id="rId26" Type="http://schemas.openxmlformats.org/officeDocument/2006/relationships/hyperlink" Target="https://doi.org/10.1063/5.0218924" TargetMode="External"/><Relationship Id="rId3" Type="http://schemas.openxmlformats.org/officeDocument/2006/relationships/styles" Target="styles.xml"/><Relationship Id="rId21" Type="http://schemas.openxmlformats.org/officeDocument/2006/relationships/hyperlink" Target="https://doi.org/10.32737/2221-8688-2025-3-297-309" TargetMode="Externa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https://doi.org/10.1002/j.2168-9830.2004.tb00809.x" TargetMode="External"/><Relationship Id="rId25" Type="http://schemas.openxmlformats.org/officeDocument/2006/relationships/hyperlink" Target="https://doi.org/10.1063/5.0306044" TargetMode="External"/><Relationship Id="rId2" Type="http://schemas.openxmlformats.org/officeDocument/2006/relationships/numbering" Target="numbering.xml"/><Relationship Id="rId16" Type="http://schemas.openxmlformats.org/officeDocument/2006/relationships/hyperlink" Target="https://doi.org/10.1016/j.compedu.2018.05.004" TargetMode="External"/><Relationship Id="rId20" Type="http://schemas.openxmlformats.org/officeDocument/2006/relationships/hyperlink" Target="https://doi.org/10.1063/5.025737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qanvar94@mail.ru" TargetMode="External"/><Relationship Id="rId11" Type="http://schemas.openxmlformats.org/officeDocument/2006/relationships/image" Target="media/image5.jpeg"/><Relationship Id="rId24" Type="http://schemas.openxmlformats.org/officeDocument/2006/relationships/hyperlink" Target="https://doi.org/10.1051/e3sconf/202449703030" TargetMode="External"/><Relationship Id="rId5" Type="http://schemas.openxmlformats.org/officeDocument/2006/relationships/webSettings" Target="webSettings.xml"/><Relationship Id="rId15" Type="http://schemas.openxmlformats.org/officeDocument/2006/relationships/hyperlink" Target="https://doi.org/10.1016/j.futures.2011.09.005" TargetMode="External"/><Relationship Id="rId23" Type="http://schemas.openxmlformats.org/officeDocument/2006/relationships/hyperlink" Target="https://doi.org/10.30724/1998-9903-2025-27-2-126-137" TargetMode="External"/><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hyperlink" Target="https://doi.org/10.1080/00461520.2020.1741114"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doi.org/10.1007/s10763-017-9802-x" TargetMode="External"/><Relationship Id="rId22" Type="http://schemas.openxmlformats.org/officeDocument/2006/relationships/hyperlink" Target="https://doi.org/10.1063/5.0305745" TargetMode="External"/><Relationship Id="rId27" Type="http://schemas.openxmlformats.org/officeDocument/2006/relationships/hyperlink" Target="https://doi.org/10.1063/5.02192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E0A59-2435-4847-AD4B-F10052204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8</Pages>
  <Words>3839</Words>
  <Characters>21887</Characters>
  <Application>Microsoft Office Word</Application>
  <DocSecurity>0</DocSecurity>
  <Lines>182</Lines>
  <Paragraphs>51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25675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user</cp:lastModifiedBy>
  <cp:revision>22</cp:revision>
  <dcterms:created xsi:type="dcterms:W3CDTF">2025-12-30T07:34:00Z</dcterms:created>
  <dcterms:modified xsi:type="dcterms:W3CDTF">2026-01-09T13:25:00Z</dcterms:modified>
  <cp:category/>
</cp:coreProperties>
</file>