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4C04B" w14:textId="30FC3DAD" w:rsidR="00A10164" w:rsidRPr="00287E0A" w:rsidRDefault="00A10164" w:rsidP="00A10164">
      <w:pPr>
        <w:spacing w:before="1200" w:after="200" w:line="240" w:lineRule="auto"/>
        <w:ind w:firstLine="567"/>
        <w:jc w:val="center"/>
        <w:rPr>
          <w:rFonts w:ascii="Times New Roman" w:hAnsi="Times New Roman" w:cs="Times New Roman"/>
          <w:b/>
          <w:sz w:val="36"/>
          <w:szCs w:val="36"/>
        </w:rPr>
      </w:pPr>
      <w:r>
        <w:rPr>
          <w:rFonts w:ascii="Times New Roman" w:hAnsi="Times New Roman" w:cs="Times New Roman"/>
          <w:b/>
          <w:sz w:val="36"/>
          <w:szCs w:val="36"/>
        </w:rPr>
        <w:t>A</w:t>
      </w:r>
      <w:r w:rsidR="00D8303B">
        <w:rPr>
          <w:rFonts w:ascii="Times New Roman" w:hAnsi="Times New Roman" w:cs="Times New Roman"/>
          <w:b/>
          <w:sz w:val="36"/>
          <w:szCs w:val="36"/>
        </w:rPr>
        <w:t xml:space="preserve">nalysis of geological, mineralogical, and enrichment technology of </w:t>
      </w:r>
      <w:proofErr w:type="spellStart"/>
      <w:r w:rsidR="00D8303B">
        <w:rPr>
          <w:rFonts w:ascii="Times New Roman" w:hAnsi="Times New Roman" w:cs="Times New Roman"/>
          <w:b/>
          <w:sz w:val="36"/>
          <w:szCs w:val="36"/>
        </w:rPr>
        <w:t>polymetal</w:t>
      </w:r>
      <w:proofErr w:type="spellEnd"/>
      <w:r w:rsidR="00D8303B">
        <w:rPr>
          <w:rFonts w:ascii="Times New Roman" w:hAnsi="Times New Roman" w:cs="Times New Roman"/>
          <w:b/>
          <w:sz w:val="36"/>
          <w:szCs w:val="36"/>
        </w:rPr>
        <w:t xml:space="preserve"> ore of the </w:t>
      </w:r>
      <w:proofErr w:type="spellStart"/>
      <w:r w:rsidR="00D8303B">
        <w:rPr>
          <w:rFonts w:ascii="Times New Roman" w:hAnsi="Times New Roman" w:cs="Times New Roman"/>
          <w:b/>
          <w:sz w:val="36"/>
          <w:szCs w:val="36"/>
        </w:rPr>
        <w:t>khandiza</w:t>
      </w:r>
      <w:proofErr w:type="spellEnd"/>
      <w:r w:rsidR="00D8303B">
        <w:rPr>
          <w:rFonts w:ascii="Times New Roman" w:hAnsi="Times New Roman" w:cs="Times New Roman"/>
          <w:b/>
          <w:sz w:val="36"/>
          <w:szCs w:val="36"/>
        </w:rPr>
        <w:t xml:space="preserve"> deposit</w:t>
      </w:r>
    </w:p>
    <w:p w14:paraId="65B1D882" w14:textId="5DBC8CF8" w:rsidR="00A10164" w:rsidRPr="009E1D60" w:rsidRDefault="00A10164" w:rsidP="00A10164">
      <w:pPr>
        <w:pStyle w:val="AuthorName"/>
        <w:spacing w:before="240" w:after="200"/>
        <w:rPr>
          <w:sz w:val="20"/>
          <w:lang w:val="uz-Cyrl-UZ" w:eastAsia="en-GB"/>
        </w:rPr>
      </w:pPr>
      <w:proofErr w:type="spellStart"/>
      <w:r>
        <w:t>Bekhzod</w:t>
      </w:r>
      <w:proofErr w:type="spellEnd"/>
      <w:r>
        <w:t xml:space="preserve"> </w:t>
      </w:r>
      <w:proofErr w:type="spellStart"/>
      <w:r>
        <w:t>Soatov</w:t>
      </w:r>
      <w:proofErr w:type="spellEnd"/>
      <w:r w:rsidRPr="001970E3">
        <w:rPr>
          <w:vertAlign w:val="superscript"/>
          <w:lang w:val="uz-Cyrl-UZ"/>
        </w:rPr>
        <w:t>1</w:t>
      </w:r>
      <w:r>
        <w:rPr>
          <w:szCs w:val="36"/>
          <w:vertAlign w:val="superscript"/>
          <w:lang w:val="uz-Cyrl-UZ"/>
        </w:rPr>
        <w:t>,</w:t>
      </w:r>
      <w:r w:rsidR="00384F8E">
        <w:rPr>
          <w:szCs w:val="36"/>
          <w:vertAlign w:val="superscript"/>
        </w:rPr>
        <w:t xml:space="preserve"> </w:t>
      </w:r>
      <w:r>
        <w:rPr>
          <w:szCs w:val="36"/>
          <w:vertAlign w:val="superscript"/>
        </w:rPr>
        <w:t>a)</w:t>
      </w:r>
      <w:r>
        <w:t>, Abdurashid Khasanov</w:t>
      </w:r>
      <w:r w:rsidRPr="001970E3">
        <w:rPr>
          <w:vertAlign w:val="superscript"/>
          <w:lang w:val="uz-Cyrl-UZ"/>
        </w:rPr>
        <w:t>2</w:t>
      </w:r>
      <w:r>
        <w:rPr>
          <w:lang w:val="uz-Cyrl-UZ"/>
        </w:rPr>
        <w:t>,</w:t>
      </w:r>
      <w:r>
        <w:t xml:space="preserve"> Kamol Khakimov</w:t>
      </w:r>
      <w:r w:rsidR="00DC7ACD">
        <w:rPr>
          <w:vertAlign w:val="superscript"/>
        </w:rPr>
        <w:t>1</w:t>
      </w:r>
      <w:r>
        <w:t>, Elbek Mukhammadiyev</w:t>
      </w:r>
      <w:r w:rsidR="00DC7ACD">
        <w:rPr>
          <w:vertAlign w:val="superscript"/>
        </w:rPr>
        <w:t>1</w:t>
      </w:r>
      <w:r>
        <w:t>, Sardor Abdisoatov</w:t>
      </w:r>
      <w:r w:rsidR="00DC7ACD">
        <w:rPr>
          <w:vertAlign w:val="superscript"/>
        </w:rPr>
        <w:t>1</w:t>
      </w:r>
    </w:p>
    <w:p w14:paraId="72CBE1AB" w14:textId="77777777" w:rsidR="00A10164" w:rsidRPr="009E1D60" w:rsidRDefault="00A10164" w:rsidP="00A10164">
      <w:pPr>
        <w:pStyle w:val="AuthorAffiliation"/>
      </w:pPr>
      <w:r w:rsidRPr="001970E3">
        <w:rPr>
          <w:vertAlign w:val="superscript"/>
          <w:lang w:val="uz-Cyrl-UZ"/>
        </w:rPr>
        <w:t>1</w:t>
      </w:r>
      <w:r>
        <w:t>Termez State University of Engineering and Agricultural Technology</w:t>
      </w:r>
      <w:r w:rsidRPr="00287E0A">
        <w:t>,</w:t>
      </w:r>
      <w:r>
        <w:t xml:space="preserve"> Termez,</w:t>
      </w:r>
      <w:r w:rsidRPr="00287E0A">
        <w:t xml:space="preserve"> Uzbekistan</w:t>
      </w:r>
      <w:r>
        <w:t>.</w:t>
      </w:r>
    </w:p>
    <w:p w14:paraId="129D5349" w14:textId="77777777" w:rsidR="00A10164" w:rsidRDefault="00A10164" w:rsidP="00A10164">
      <w:pPr>
        <w:pStyle w:val="AuthorAffiliation"/>
      </w:pPr>
      <w:r w:rsidRPr="00A4691D">
        <w:rPr>
          <w:vertAlign w:val="superscript"/>
        </w:rPr>
        <w:t>2</w:t>
      </w:r>
      <w:r>
        <w:t xml:space="preserve">Deputy Chief Engineer for Science at </w:t>
      </w:r>
      <w:proofErr w:type="spellStart"/>
      <w:r>
        <w:t>Almalyk</w:t>
      </w:r>
      <w:proofErr w:type="spellEnd"/>
      <w:r>
        <w:t xml:space="preserve"> KMK JSC, </w:t>
      </w:r>
      <w:proofErr w:type="spellStart"/>
      <w:r>
        <w:t>Almalyk</w:t>
      </w:r>
      <w:proofErr w:type="spellEnd"/>
      <w:r>
        <w:t>,</w:t>
      </w:r>
      <w:r w:rsidRPr="00287E0A">
        <w:t xml:space="preserve"> Uzbekistan</w:t>
      </w:r>
      <w:r>
        <w:t>.</w:t>
      </w:r>
    </w:p>
    <w:p w14:paraId="4A557937" w14:textId="77777777" w:rsidR="00A10164" w:rsidRPr="00287E0A" w:rsidRDefault="00A10164" w:rsidP="00A10164">
      <w:pPr>
        <w:pStyle w:val="AuthorAffiliation"/>
        <w:spacing w:before="200" w:after="200"/>
      </w:pPr>
      <w:r w:rsidRPr="00FE6DBA">
        <w:rPr>
          <w:szCs w:val="18"/>
          <w:vertAlign w:val="superscript"/>
        </w:rPr>
        <w:t>a)</w:t>
      </w:r>
      <w:r w:rsidRPr="00FE6DBA">
        <w:rPr>
          <w:szCs w:val="18"/>
        </w:rPr>
        <w:t xml:space="preserve"> Corresponding author: </w:t>
      </w:r>
      <w:r>
        <w:rPr>
          <w:rStyle w:val="a6"/>
        </w:rPr>
        <w:t>bekzodsoatov16@gmail.com</w:t>
      </w:r>
    </w:p>
    <w:p w14:paraId="4C1820C0" w14:textId="77777777" w:rsidR="00A10164" w:rsidRPr="001938FA" w:rsidRDefault="00A10164" w:rsidP="00A10164">
      <w:pPr>
        <w:spacing w:before="360" w:after="360" w:line="240" w:lineRule="auto"/>
        <w:ind w:left="284" w:right="284"/>
        <w:jc w:val="both"/>
        <w:rPr>
          <w:rFonts w:ascii="Times New Roman" w:hAnsi="Times New Roman" w:cs="Times New Roman"/>
          <w:sz w:val="18"/>
          <w:szCs w:val="18"/>
        </w:rPr>
      </w:pPr>
      <w:r w:rsidRPr="001938FA">
        <w:rPr>
          <w:rFonts w:ascii="Times New Roman" w:hAnsi="Times New Roman" w:cs="Times New Roman"/>
          <w:b/>
          <w:sz w:val="18"/>
          <w:szCs w:val="18"/>
        </w:rPr>
        <w:t>Abstract.</w:t>
      </w:r>
      <w:r w:rsidRPr="001938FA">
        <w:rPr>
          <w:rFonts w:ascii="Times New Roman" w:hAnsi="Times New Roman" w:cs="Times New Roman"/>
          <w:iCs/>
          <w:sz w:val="18"/>
          <w:szCs w:val="18"/>
          <w:lang w:val="uz-Cyrl-UZ"/>
        </w:rPr>
        <w:t xml:space="preserve"> This work is devoted to the study of the geological and industrial properties, mineralogical and chemical composition of the ores of the Khandiza polymetallic deposit, as well as the analysis of the technology of ore beneficiation by the flotation method</w:t>
      </w:r>
      <w:r w:rsidRPr="001938FA">
        <w:rPr>
          <w:rFonts w:ascii="Times New Roman" w:hAnsi="Times New Roman" w:cs="Times New Roman"/>
          <w:iCs/>
          <w:sz w:val="18"/>
          <w:szCs w:val="18"/>
        </w:rPr>
        <w:t xml:space="preserve">. </w:t>
      </w:r>
      <w:r w:rsidRPr="001938FA">
        <w:rPr>
          <w:rFonts w:ascii="Times New Roman" w:hAnsi="Times New Roman" w:cs="Times New Roman"/>
          <w:sz w:val="18"/>
          <w:szCs w:val="18"/>
        </w:rPr>
        <w:t>Based on the research results, the granulometry, mineral structure, and main useful minerals (sphalerite, galena, chalcopyrite, pyrite) of the ores were determined, and their chemical composition (Cu - 0.35-2.35%, Pb - 1.7-6.6%, Zn - 4.8-15.5%) was confirmed. Results of high metal recovery in open and closed cycles were obtained using a collective-selective flotation scheme. [5] The work contributes to the efficient operation of the deposit and the optimization of the process of complex metal extraction.</w:t>
      </w:r>
    </w:p>
    <w:p w14:paraId="54AD438F" w14:textId="77777777" w:rsidR="00A10164" w:rsidRPr="00287E0A" w:rsidRDefault="00A10164" w:rsidP="001938FA">
      <w:pPr>
        <w:spacing w:before="240" w:after="24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605AEAD" w14:textId="77777777" w:rsidR="00A10164" w:rsidRPr="00287E0A" w:rsidRDefault="00A10164" w:rsidP="00A10164">
      <w:pPr>
        <w:spacing w:after="0" w:line="240" w:lineRule="auto"/>
        <w:ind w:firstLine="284"/>
        <w:jc w:val="both"/>
        <w:rPr>
          <w:rFonts w:ascii="Times New Roman" w:hAnsi="Times New Roman" w:cs="Times New Roman"/>
          <w:color w:val="000000"/>
          <w:sz w:val="20"/>
        </w:rPr>
      </w:pPr>
      <w:r w:rsidRPr="009E1D60">
        <w:rPr>
          <w:rFonts w:ascii="Times New Roman" w:hAnsi="Times New Roman" w:cs="Times New Roman"/>
          <w:sz w:val="20"/>
          <w:lang w:val="uz-Cyrl-UZ"/>
        </w:rPr>
        <w:t>The Khandiza polymetallic deposit is located in the central part of the Surkhanata Mountains, in the territory of the Hissar Range, approximately 50 km from the center of the Sariosiyo district, 50 km from the city of Denau and the Uzbekistan River. Polymetallic mineralization in this area has been studied for several decades. Although the initial geological exploration work did not give sufficient results in assessing the reserves of the deposit, further in-depth studies showed that the deposit is a promising object of industrial significance. [6;7]</w:t>
      </w:r>
    </w:p>
    <w:p w14:paraId="730AE1A3" w14:textId="77777777" w:rsidR="00A10164" w:rsidRDefault="00A10164" w:rsidP="00A10164">
      <w:pPr>
        <w:tabs>
          <w:tab w:val="left" w:pos="851"/>
        </w:tabs>
        <w:spacing w:after="0"/>
        <w:ind w:firstLine="284"/>
        <w:jc w:val="both"/>
        <w:rPr>
          <w:rFonts w:ascii="Times New Roman" w:hAnsi="Times New Roman" w:cs="Times New Roman"/>
          <w:sz w:val="20"/>
        </w:rPr>
      </w:pPr>
      <w:r w:rsidRPr="009E1D60">
        <w:rPr>
          <w:rFonts w:ascii="Times New Roman" w:hAnsi="Times New Roman" w:cs="Times New Roman"/>
          <w:sz w:val="20"/>
        </w:rPr>
        <w:t xml:space="preserve">During the study of the beneficiation process, the flotation process was recommended as an effective technological solution for ore processing. </w:t>
      </w:r>
      <w:r w:rsidRPr="00BC7CF0">
        <w:rPr>
          <w:rStyle w:val="a7"/>
          <w:rFonts w:ascii="Times New Roman" w:hAnsi="Times New Roman" w:cs="Times New Roman"/>
          <w:bCs/>
          <w:i w:val="0"/>
          <w:sz w:val="20"/>
          <w:szCs w:val="20"/>
        </w:rPr>
        <w:t>It is planned that the concentrates obtained by this method will be converted into a commodity metal by metallurgical processing.</w:t>
      </w:r>
      <w:r w:rsidRPr="00BC7CF0">
        <w:rPr>
          <w:rFonts w:ascii="Times New Roman" w:hAnsi="Times New Roman" w:cs="Times New Roman"/>
          <w:i/>
          <w:sz w:val="20"/>
          <w:szCs w:val="20"/>
        </w:rPr>
        <w:t xml:space="preserve"> </w:t>
      </w:r>
      <w:r w:rsidRPr="00BC7CF0">
        <w:rPr>
          <w:rStyle w:val="a7"/>
          <w:rFonts w:ascii="Times New Roman" w:hAnsi="Times New Roman" w:cs="Times New Roman"/>
          <w:bCs/>
          <w:i w:val="0"/>
          <w:sz w:val="20"/>
          <w:szCs w:val="20"/>
        </w:rPr>
        <w:t>As a result of these scientific and technical studies, the presence of C1 category reserves</w:t>
      </w:r>
      <w:r>
        <w:rPr>
          <w:rStyle w:val="a7"/>
          <w:b/>
          <w:bCs/>
        </w:rPr>
        <w:t xml:space="preserve"> </w:t>
      </w:r>
      <w:r w:rsidRPr="00BC7CF0">
        <w:rPr>
          <w:rStyle w:val="a7"/>
          <w:rFonts w:ascii="Times New Roman" w:hAnsi="Times New Roman" w:cs="Times New Roman"/>
          <w:bCs/>
          <w:i w:val="0"/>
          <w:sz w:val="20"/>
          <w:szCs w:val="20"/>
        </w:rPr>
        <w:t>of the</w:t>
      </w:r>
      <w:r>
        <w:rPr>
          <w:rStyle w:val="a7"/>
          <w:b/>
          <w:bCs/>
        </w:rPr>
        <w:t xml:space="preserve"> </w:t>
      </w:r>
      <w:proofErr w:type="spellStart"/>
      <w:r w:rsidRPr="00BC7CF0">
        <w:rPr>
          <w:rStyle w:val="a7"/>
          <w:rFonts w:ascii="Times New Roman" w:hAnsi="Times New Roman" w:cs="Times New Roman"/>
          <w:bCs/>
          <w:i w:val="0"/>
          <w:sz w:val="20"/>
          <w:szCs w:val="20"/>
        </w:rPr>
        <w:t>Khandiza</w:t>
      </w:r>
      <w:proofErr w:type="spellEnd"/>
      <w:r w:rsidRPr="00BC7CF0">
        <w:rPr>
          <w:rStyle w:val="a7"/>
          <w:rFonts w:ascii="Times New Roman" w:hAnsi="Times New Roman" w:cs="Times New Roman"/>
          <w:bCs/>
          <w:i w:val="0"/>
          <w:sz w:val="20"/>
          <w:szCs w:val="20"/>
        </w:rPr>
        <w:t xml:space="preserve"> deposit was analyzed by geologists and confirmed by the State Committee for Reserves.</w:t>
      </w:r>
      <w:r w:rsidRPr="00BC7CF0">
        <w:rPr>
          <w:rFonts w:ascii="Times New Roman" w:hAnsi="Times New Roman" w:cs="Times New Roman"/>
          <w:i/>
          <w:sz w:val="20"/>
          <w:szCs w:val="20"/>
        </w:rPr>
        <w:t xml:space="preserve"> </w:t>
      </w:r>
      <w:r w:rsidRPr="009E1D60">
        <w:rPr>
          <w:rFonts w:ascii="Times New Roman" w:hAnsi="Times New Roman" w:cs="Times New Roman"/>
          <w:sz w:val="20"/>
        </w:rPr>
        <w:t>[4]</w:t>
      </w:r>
    </w:p>
    <w:p w14:paraId="037F0C4D" w14:textId="77777777" w:rsidR="00A10164" w:rsidRPr="009E1D60" w:rsidRDefault="00A10164" w:rsidP="00A10164">
      <w:pPr>
        <w:tabs>
          <w:tab w:val="left" w:pos="851"/>
        </w:tabs>
        <w:ind w:firstLine="284"/>
        <w:jc w:val="both"/>
        <w:rPr>
          <w:rFonts w:ascii="Times New Roman" w:hAnsi="Times New Roman" w:cs="Times New Roman"/>
          <w:sz w:val="20"/>
        </w:rPr>
      </w:pPr>
      <w:r w:rsidRPr="009E1D60">
        <w:rPr>
          <w:rFonts w:ascii="Times New Roman" w:hAnsi="Times New Roman" w:cs="Times New Roman"/>
          <w:sz w:val="20"/>
        </w:rPr>
        <w:t xml:space="preserve">The purpose of this work is to study the geological and industrial properties, mineralogical composition, and chemical composition of the ores of the </w:t>
      </w:r>
      <w:proofErr w:type="spellStart"/>
      <w:r w:rsidRPr="009E1D60">
        <w:rPr>
          <w:rFonts w:ascii="Times New Roman" w:hAnsi="Times New Roman" w:cs="Times New Roman"/>
          <w:sz w:val="20"/>
        </w:rPr>
        <w:t>Khandiza</w:t>
      </w:r>
      <w:proofErr w:type="spellEnd"/>
      <w:r w:rsidRPr="009E1D60">
        <w:rPr>
          <w:rFonts w:ascii="Times New Roman" w:hAnsi="Times New Roman" w:cs="Times New Roman"/>
          <w:sz w:val="20"/>
        </w:rPr>
        <w:t xml:space="preserve"> polymetallic deposit, as well as to analyze the technology of ore beneficiation by the flotation method and determine the optimal beneficiation regime. The research results will contribute to the efficient development of the deposit and the optimization of the process of complex metal extraction.</w:t>
      </w:r>
    </w:p>
    <w:p w14:paraId="3C07909C" w14:textId="77777777" w:rsidR="00A10164" w:rsidRPr="001938FA" w:rsidRDefault="00A10164" w:rsidP="001938FA">
      <w:pPr>
        <w:spacing w:before="240" w:after="24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EXPERIMENTAL RESEARCH</w:t>
      </w:r>
    </w:p>
    <w:p w14:paraId="094371B7" w14:textId="3F0ABDE1" w:rsidR="00A10164" w:rsidRDefault="00A10164" w:rsidP="00A10164">
      <w:pPr>
        <w:spacing w:line="240" w:lineRule="auto"/>
        <w:ind w:firstLine="283"/>
        <w:jc w:val="both"/>
        <w:rPr>
          <w:rFonts w:ascii="Times New Roman" w:hAnsi="Times New Roman" w:cs="Times New Roman"/>
          <w:sz w:val="20"/>
          <w:lang w:val="uz-Cyrl-UZ"/>
        </w:rPr>
      </w:pPr>
      <w:r w:rsidRPr="009E1D60">
        <w:rPr>
          <w:rFonts w:ascii="Times New Roman" w:hAnsi="Times New Roman" w:cs="Times New Roman"/>
          <w:b/>
          <w:sz w:val="20"/>
          <w:lang w:val="uz-Cyrl-UZ"/>
        </w:rPr>
        <w:t>Mineralogical analysis:</w:t>
      </w:r>
      <w:r w:rsidRPr="009E1D60">
        <w:rPr>
          <w:rFonts w:ascii="Times New Roman" w:hAnsi="Times New Roman" w:cs="Times New Roman"/>
          <w:sz w:val="20"/>
          <w:lang w:val="uz-Cyrl-UZ"/>
        </w:rPr>
        <w:t xml:space="preserve"> The main minerals in the ores are sphalerite, galena, and to a lesser extent chalcopyrite and pyrite. The quantitative ratio of these main sulfides is as follows: sphalerite - 47.8%, galena - 15.8%, chalcopyrite - 6.7%, pyrite - 29.7%, [3;6] and their ratio directly affects the technological processing properties of the ore. The mineralogical structure of the ore is observed in the form of polymineral aggregates, cellular, vein-like, or crossed. Mineral grains are often uneven, characterized by intergrowth zones and complex interfaces. Useful sulfide minerals often have xeno- and hypidiomorphic forms, which complicates their technological separation.[1</w:t>
      </w:r>
      <w:r w:rsidR="00C50E1E">
        <w:rPr>
          <w:rFonts w:ascii="Times New Roman" w:hAnsi="Times New Roman" w:cs="Times New Roman"/>
          <w:sz w:val="20"/>
        </w:rPr>
        <w:t>, 12</w:t>
      </w:r>
      <w:r w:rsidRPr="009E1D60">
        <w:rPr>
          <w:rFonts w:ascii="Times New Roman" w:hAnsi="Times New Roman" w:cs="Times New Roman"/>
          <w:sz w:val="20"/>
          <w:lang w:val="uz-Cyrl-UZ"/>
        </w:rPr>
        <w:t>]</w:t>
      </w:r>
    </w:p>
    <w:p w14:paraId="7B6E2011" w14:textId="77777777" w:rsidR="00A10164" w:rsidRDefault="00A10164" w:rsidP="00A10164">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Pr>
          <w:rFonts w:ascii="Times New Roman" w:hAnsi="Times New Roman"/>
          <w:noProof/>
          <w:sz w:val="28"/>
          <w:szCs w:val="28"/>
          <w:lang w:val="ru-RU" w:eastAsia="ru-RU"/>
        </w:rPr>
        <w:lastRenderedPageBreak/>
        <w:drawing>
          <wp:inline distT="0" distB="0" distL="0" distR="0" wp14:anchorId="4214E43E" wp14:editId="3684FAC3">
            <wp:extent cx="4184294" cy="2143354"/>
            <wp:effectExtent l="0" t="0" r="6985"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AD11AEB" w14:textId="26567A07" w:rsidR="00A10164" w:rsidRDefault="001938FA" w:rsidP="00A10164">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0"/>
          <w:szCs w:val="20"/>
          <w:lang w:eastAsia="de-DE"/>
        </w:rPr>
      </w:pPr>
      <w:r w:rsidRPr="009E1D60">
        <w:rPr>
          <w:rFonts w:ascii="Times New Roman" w:eastAsia="Times New Roman" w:hAnsi="Times New Roman" w:cs="Times New Roman"/>
          <w:b/>
          <w:sz w:val="20"/>
          <w:szCs w:val="20"/>
          <w:lang w:eastAsia="de-DE"/>
        </w:rPr>
        <w:t>FIGURE</w:t>
      </w:r>
      <w:r w:rsidR="00A10164" w:rsidRPr="009E1D60">
        <w:rPr>
          <w:rFonts w:ascii="Times New Roman" w:eastAsia="Times New Roman" w:hAnsi="Times New Roman" w:cs="Times New Roman"/>
          <w:b/>
          <w:sz w:val="20"/>
          <w:szCs w:val="20"/>
          <w:lang w:eastAsia="de-DE"/>
        </w:rPr>
        <w:t xml:space="preserve"> 1</w:t>
      </w:r>
      <w:r>
        <w:rPr>
          <w:rFonts w:ascii="Times New Roman" w:eastAsia="Times New Roman" w:hAnsi="Times New Roman" w:cs="Times New Roman"/>
          <w:b/>
          <w:sz w:val="20"/>
          <w:szCs w:val="20"/>
          <w:lang w:eastAsia="de-DE"/>
        </w:rPr>
        <w:t>.</w:t>
      </w:r>
      <w:r w:rsidR="00A10164" w:rsidRPr="009E1D60">
        <w:rPr>
          <w:rFonts w:ascii="Times New Roman" w:eastAsia="Times New Roman" w:hAnsi="Times New Roman" w:cs="Times New Roman"/>
          <w:b/>
          <w:sz w:val="20"/>
          <w:szCs w:val="20"/>
          <w:lang w:eastAsia="de-DE"/>
        </w:rPr>
        <w:t xml:space="preserve"> </w:t>
      </w:r>
      <w:r w:rsidR="00A10164" w:rsidRPr="001938FA">
        <w:rPr>
          <w:rFonts w:ascii="Times New Roman" w:eastAsia="Times New Roman" w:hAnsi="Times New Roman" w:cs="Times New Roman"/>
          <w:bCs/>
          <w:sz w:val="20"/>
          <w:szCs w:val="20"/>
          <w:lang w:eastAsia="de-DE"/>
        </w:rPr>
        <w:t>Main minerals in the composition of ores</w:t>
      </w:r>
    </w:p>
    <w:p w14:paraId="53029531" w14:textId="39A925EC" w:rsidR="00A10164" w:rsidRDefault="00A10164" w:rsidP="001938F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9E1D60">
        <w:rPr>
          <w:rFonts w:ascii="Times New Roman" w:eastAsia="Times New Roman" w:hAnsi="Times New Roman" w:cs="Times New Roman"/>
          <w:sz w:val="20"/>
          <w:szCs w:val="20"/>
          <w:lang w:eastAsia="de-DE"/>
        </w:rPr>
        <w:t xml:space="preserve">The sizes of all mineral grains in the ore vary in a very wide range: from micron units to a few millimeters, but in most cases prevail in the range of 40-300 </w:t>
      </w:r>
      <w:proofErr w:type="spellStart"/>
      <w:r w:rsidRPr="009E1D60">
        <w:rPr>
          <w:rFonts w:ascii="Times New Roman" w:eastAsia="Times New Roman" w:hAnsi="Times New Roman" w:cs="Times New Roman"/>
          <w:sz w:val="20"/>
          <w:szCs w:val="20"/>
          <w:lang w:eastAsia="de-DE"/>
        </w:rPr>
        <w:t>μm</w:t>
      </w:r>
      <w:proofErr w:type="spellEnd"/>
      <w:r w:rsidRPr="009E1D60">
        <w:rPr>
          <w:rFonts w:ascii="Times New Roman" w:eastAsia="Times New Roman" w:hAnsi="Times New Roman" w:cs="Times New Roman"/>
          <w:sz w:val="20"/>
          <w:szCs w:val="20"/>
          <w:lang w:eastAsia="de-DE"/>
        </w:rPr>
        <w:t>. Such variable granulometry requires the application of stepwise crushing techniques</w:t>
      </w:r>
      <w:r w:rsidR="001938FA">
        <w:rPr>
          <w:rFonts w:ascii="Times New Roman" w:eastAsia="Times New Roman" w:hAnsi="Times New Roman" w:cs="Times New Roman"/>
          <w:sz w:val="20"/>
          <w:szCs w:val="20"/>
          <w:lang w:eastAsia="de-DE"/>
        </w:rPr>
        <w:t xml:space="preserve"> </w:t>
      </w:r>
      <w:r w:rsidRPr="009E1D60">
        <w:rPr>
          <w:rFonts w:ascii="Times New Roman" w:eastAsia="Times New Roman" w:hAnsi="Times New Roman" w:cs="Times New Roman"/>
          <w:sz w:val="20"/>
          <w:szCs w:val="20"/>
          <w:lang w:eastAsia="de-DE"/>
        </w:rPr>
        <w:t>[7</w:t>
      </w:r>
      <w:r>
        <w:rPr>
          <w:rFonts w:ascii="Times New Roman" w:eastAsia="Times New Roman" w:hAnsi="Times New Roman" w:cs="Times New Roman"/>
          <w:sz w:val="20"/>
          <w:szCs w:val="20"/>
          <w:lang w:eastAsia="de-DE"/>
        </w:rPr>
        <w:t>,9</w:t>
      </w:r>
      <w:r w:rsidRPr="009E1D60">
        <w:rPr>
          <w:rFonts w:ascii="Times New Roman" w:eastAsia="Times New Roman" w:hAnsi="Times New Roman" w:cs="Times New Roman"/>
          <w:sz w:val="20"/>
          <w:szCs w:val="20"/>
          <w:lang w:eastAsia="de-DE"/>
        </w:rPr>
        <w:t>]</w:t>
      </w:r>
      <w:r w:rsidR="001938FA">
        <w:rPr>
          <w:rFonts w:ascii="Times New Roman" w:eastAsia="Times New Roman" w:hAnsi="Times New Roman" w:cs="Times New Roman"/>
          <w:sz w:val="20"/>
          <w:szCs w:val="20"/>
          <w:lang w:eastAsia="de-DE"/>
        </w:rPr>
        <w:t>.</w:t>
      </w:r>
    </w:p>
    <w:p w14:paraId="25226141" w14:textId="567CFAB4" w:rsidR="00A10164" w:rsidRDefault="00A10164" w:rsidP="001938F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9E1D60">
        <w:rPr>
          <w:rFonts w:ascii="Times New Roman" w:eastAsia="Times New Roman" w:hAnsi="Times New Roman" w:cs="Times New Roman"/>
          <w:sz w:val="20"/>
          <w:szCs w:val="20"/>
          <w:lang w:eastAsia="de-DE"/>
        </w:rPr>
        <w:t xml:space="preserve">The ore structure consists mainly of </w:t>
      </w:r>
      <w:proofErr w:type="spellStart"/>
      <w:r w:rsidRPr="009E1D60">
        <w:rPr>
          <w:rFonts w:ascii="Times New Roman" w:eastAsia="Times New Roman" w:hAnsi="Times New Roman" w:cs="Times New Roman"/>
          <w:sz w:val="20"/>
          <w:szCs w:val="20"/>
          <w:lang w:eastAsia="de-DE"/>
        </w:rPr>
        <w:t>allotriomorphic</w:t>
      </w:r>
      <w:proofErr w:type="spellEnd"/>
      <w:r w:rsidRPr="009E1D60">
        <w:rPr>
          <w:rFonts w:ascii="Times New Roman" w:eastAsia="Times New Roman" w:hAnsi="Times New Roman" w:cs="Times New Roman"/>
          <w:sz w:val="20"/>
          <w:szCs w:val="20"/>
          <w:lang w:eastAsia="de-DE"/>
        </w:rPr>
        <w:t xml:space="preserve"> and </w:t>
      </w:r>
      <w:proofErr w:type="spellStart"/>
      <w:r w:rsidRPr="009E1D60">
        <w:rPr>
          <w:rFonts w:ascii="Times New Roman" w:eastAsia="Times New Roman" w:hAnsi="Times New Roman" w:cs="Times New Roman"/>
          <w:sz w:val="20"/>
          <w:szCs w:val="20"/>
          <w:lang w:eastAsia="de-DE"/>
        </w:rPr>
        <w:t>hypidiomorphic</w:t>
      </w:r>
      <w:proofErr w:type="spellEnd"/>
      <w:r w:rsidRPr="009E1D60">
        <w:rPr>
          <w:rFonts w:ascii="Times New Roman" w:eastAsia="Times New Roman" w:hAnsi="Times New Roman" w:cs="Times New Roman"/>
          <w:sz w:val="20"/>
          <w:szCs w:val="20"/>
          <w:lang w:eastAsia="de-DE"/>
        </w:rPr>
        <w:t xml:space="preserve"> grains, and the minerals do not have a clear crystallographic shape (with the exception of pyrite in some cases) [3]</w:t>
      </w:r>
      <w:r w:rsidR="001938FA">
        <w:rPr>
          <w:rFonts w:ascii="Times New Roman" w:eastAsia="Times New Roman" w:hAnsi="Times New Roman" w:cs="Times New Roman"/>
          <w:sz w:val="20"/>
          <w:szCs w:val="20"/>
          <w:lang w:eastAsia="de-DE"/>
        </w:rPr>
        <w:t>.</w:t>
      </w:r>
      <w:r w:rsidRPr="009E1D60">
        <w:rPr>
          <w:rFonts w:ascii="Times New Roman" w:eastAsia="Times New Roman" w:hAnsi="Times New Roman" w:cs="Times New Roman"/>
          <w:sz w:val="20"/>
          <w:szCs w:val="20"/>
          <w:lang w:eastAsia="de-DE"/>
        </w:rPr>
        <w:t xml:space="preserve"> This structural feature complicates the processes of crushing and grinding the ore. The main non-metallic components that make up the ore are quartz, stratified silicates (sericite, hydromica), as well as, to a lesser extent, chlorite and biotite. These components are often arranged as </w:t>
      </w:r>
      <w:proofErr w:type="spellStart"/>
      <w:r w:rsidRPr="009E1D60">
        <w:rPr>
          <w:rFonts w:ascii="Times New Roman" w:eastAsia="Times New Roman" w:hAnsi="Times New Roman" w:cs="Times New Roman"/>
          <w:sz w:val="20"/>
          <w:szCs w:val="20"/>
          <w:lang w:eastAsia="de-DE"/>
        </w:rPr>
        <w:t>monomineral</w:t>
      </w:r>
      <w:proofErr w:type="spellEnd"/>
      <w:r w:rsidRPr="009E1D60">
        <w:rPr>
          <w:rFonts w:ascii="Times New Roman" w:eastAsia="Times New Roman" w:hAnsi="Times New Roman" w:cs="Times New Roman"/>
          <w:sz w:val="20"/>
          <w:szCs w:val="20"/>
          <w:lang w:eastAsia="de-DE"/>
        </w:rPr>
        <w:t xml:space="preserve"> inclusions in the form of a fine-grained matrix or a separate lens. Feldspars and small amounts of carbonates (calcite, dolomite) are also found in the form of microscopic lenses [2]</w:t>
      </w:r>
      <w:r w:rsidR="001938FA">
        <w:rPr>
          <w:rFonts w:ascii="Times New Roman" w:eastAsia="Times New Roman" w:hAnsi="Times New Roman" w:cs="Times New Roman"/>
          <w:sz w:val="20"/>
          <w:szCs w:val="20"/>
          <w:lang w:eastAsia="de-DE"/>
        </w:rPr>
        <w:t>.</w:t>
      </w:r>
    </w:p>
    <w:p w14:paraId="32F9B608" w14:textId="77777777" w:rsidR="00A10164" w:rsidRDefault="00A10164" w:rsidP="00A10164">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0"/>
          <w:szCs w:val="20"/>
          <w:lang w:eastAsia="de-DE"/>
        </w:rPr>
      </w:pPr>
    </w:p>
    <w:p w14:paraId="30C92C52" w14:textId="6A43E949" w:rsidR="00A10164" w:rsidRDefault="001938FA" w:rsidP="00A10164">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sz w:val="20"/>
          <w:szCs w:val="20"/>
          <w:lang w:eastAsia="de-DE"/>
        </w:rPr>
      </w:pPr>
      <w:r>
        <w:rPr>
          <w:rFonts w:ascii="Times New Roman" w:eastAsia="Times New Roman" w:hAnsi="Times New Roman" w:cs="Times New Roman"/>
          <w:b/>
          <w:sz w:val="20"/>
          <w:szCs w:val="20"/>
          <w:lang w:eastAsia="de-DE"/>
        </w:rPr>
        <w:t>TABLE</w:t>
      </w:r>
      <w:r w:rsidRPr="00D7683E">
        <w:rPr>
          <w:rFonts w:ascii="Times New Roman" w:eastAsia="Times New Roman" w:hAnsi="Times New Roman" w:cs="Times New Roman"/>
          <w:b/>
          <w:sz w:val="20"/>
          <w:szCs w:val="20"/>
          <w:lang w:eastAsia="de-DE"/>
        </w:rPr>
        <w:t xml:space="preserve"> </w:t>
      </w:r>
      <w:r w:rsidR="00A10164" w:rsidRPr="00D7683E">
        <w:rPr>
          <w:rFonts w:ascii="Times New Roman" w:eastAsia="Times New Roman" w:hAnsi="Times New Roman" w:cs="Times New Roman"/>
          <w:b/>
          <w:sz w:val="20"/>
          <w:szCs w:val="20"/>
          <w:lang w:eastAsia="de-DE"/>
        </w:rPr>
        <w:t>1</w:t>
      </w:r>
      <w:r w:rsidR="00A10164">
        <w:rPr>
          <w:rFonts w:ascii="Times New Roman" w:eastAsia="Times New Roman" w:hAnsi="Times New Roman" w:cs="Times New Roman"/>
          <w:sz w:val="20"/>
          <w:szCs w:val="20"/>
          <w:lang w:eastAsia="de-DE"/>
        </w:rPr>
        <w:t>.</w:t>
      </w:r>
      <w:r w:rsidR="00A10164" w:rsidRPr="00D7683E">
        <w:t xml:space="preserve"> </w:t>
      </w:r>
      <w:r w:rsidR="00A10164" w:rsidRPr="00D7683E">
        <w:rPr>
          <w:rFonts w:ascii="Times New Roman" w:eastAsia="Times New Roman" w:hAnsi="Times New Roman" w:cs="Times New Roman"/>
          <w:sz w:val="20"/>
          <w:szCs w:val="20"/>
          <w:lang w:eastAsia="de-DE"/>
        </w:rPr>
        <w:t>Quantitative ratio of minerals in the sample</w:t>
      </w:r>
    </w:p>
    <w:tbl>
      <w:tblPr>
        <w:tblW w:w="2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782"/>
        <w:gridCol w:w="1133"/>
      </w:tblGrid>
      <w:tr w:rsidR="00A10164" w:rsidRPr="001938FA" w14:paraId="0F54B862" w14:textId="77777777" w:rsidTr="00AE4AD6">
        <w:trPr>
          <w:jc w:val="center"/>
        </w:trPr>
        <w:tc>
          <w:tcPr>
            <w:tcW w:w="433" w:type="pct"/>
          </w:tcPr>
          <w:p w14:paraId="30B61058"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w:t>
            </w:r>
          </w:p>
        </w:tc>
        <w:tc>
          <w:tcPr>
            <w:tcW w:w="3514" w:type="pct"/>
          </w:tcPr>
          <w:p w14:paraId="539DCF8B"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Minerals</w:t>
            </w:r>
          </w:p>
        </w:tc>
        <w:tc>
          <w:tcPr>
            <w:tcW w:w="1054" w:type="pct"/>
          </w:tcPr>
          <w:p w14:paraId="682FDD96"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Amount, %</w:t>
            </w:r>
          </w:p>
        </w:tc>
      </w:tr>
      <w:tr w:rsidR="00A10164" w:rsidRPr="001938FA" w14:paraId="55A5A84C" w14:textId="77777777" w:rsidTr="00AE4AD6">
        <w:trPr>
          <w:jc w:val="center"/>
        </w:trPr>
        <w:tc>
          <w:tcPr>
            <w:tcW w:w="433" w:type="pct"/>
          </w:tcPr>
          <w:p w14:paraId="403248DD"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1.</w:t>
            </w:r>
          </w:p>
        </w:tc>
        <w:tc>
          <w:tcPr>
            <w:tcW w:w="3514" w:type="pct"/>
          </w:tcPr>
          <w:p w14:paraId="64222824"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Sphalerite</w:t>
            </w:r>
          </w:p>
        </w:tc>
        <w:tc>
          <w:tcPr>
            <w:tcW w:w="1054" w:type="pct"/>
          </w:tcPr>
          <w:p w14:paraId="0D6ACF76"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10,0</w:t>
            </w:r>
          </w:p>
        </w:tc>
      </w:tr>
      <w:tr w:rsidR="00A10164" w:rsidRPr="001938FA" w14:paraId="4F8E7BF9" w14:textId="77777777" w:rsidTr="00AE4AD6">
        <w:trPr>
          <w:jc w:val="center"/>
        </w:trPr>
        <w:tc>
          <w:tcPr>
            <w:tcW w:w="433" w:type="pct"/>
          </w:tcPr>
          <w:p w14:paraId="4F3661EC"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2.</w:t>
            </w:r>
          </w:p>
        </w:tc>
        <w:tc>
          <w:tcPr>
            <w:tcW w:w="3514" w:type="pct"/>
          </w:tcPr>
          <w:p w14:paraId="74576D4D"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Galenite</w:t>
            </w:r>
          </w:p>
        </w:tc>
        <w:tc>
          <w:tcPr>
            <w:tcW w:w="1054" w:type="pct"/>
          </w:tcPr>
          <w:p w14:paraId="5909299E"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3,3</w:t>
            </w:r>
          </w:p>
        </w:tc>
      </w:tr>
      <w:tr w:rsidR="00A10164" w:rsidRPr="001938FA" w14:paraId="2F37E2FD" w14:textId="77777777" w:rsidTr="00AE4AD6">
        <w:trPr>
          <w:jc w:val="center"/>
        </w:trPr>
        <w:tc>
          <w:tcPr>
            <w:tcW w:w="433" w:type="pct"/>
          </w:tcPr>
          <w:p w14:paraId="2836D6AD"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3.</w:t>
            </w:r>
          </w:p>
        </w:tc>
        <w:tc>
          <w:tcPr>
            <w:tcW w:w="3514" w:type="pct"/>
          </w:tcPr>
          <w:p w14:paraId="5AD66ECE"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Chalcopyrite</w:t>
            </w:r>
          </w:p>
        </w:tc>
        <w:tc>
          <w:tcPr>
            <w:tcW w:w="1054" w:type="pct"/>
          </w:tcPr>
          <w:p w14:paraId="6F65CB5F"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1,4</w:t>
            </w:r>
          </w:p>
        </w:tc>
      </w:tr>
      <w:tr w:rsidR="00A10164" w:rsidRPr="001938FA" w14:paraId="25A6209C" w14:textId="77777777" w:rsidTr="00AE4AD6">
        <w:trPr>
          <w:jc w:val="center"/>
        </w:trPr>
        <w:tc>
          <w:tcPr>
            <w:tcW w:w="433" w:type="pct"/>
          </w:tcPr>
          <w:p w14:paraId="0E0BD7E8"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4.</w:t>
            </w:r>
          </w:p>
        </w:tc>
        <w:tc>
          <w:tcPr>
            <w:tcW w:w="3514" w:type="pct"/>
          </w:tcPr>
          <w:p w14:paraId="7766AA82"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Discolored ores</w:t>
            </w:r>
          </w:p>
        </w:tc>
        <w:tc>
          <w:tcPr>
            <w:tcW w:w="1054" w:type="pct"/>
          </w:tcPr>
          <w:p w14:paraId="38A82527"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tenth</w:t>
            </w:r>
          </w:p>
        </w:tc>
      </w:tr>
      <w:tr w:rsidR="00A10164" w:rsidRPr="001938FA" w14:paraId="7234A577" w14:textId="77777777" w:rsidTr="00AE4AD6">
        <w:trPr>
          <w:jc w:val="center"/>
        </w:trPr>
        <w:tc>
          <w:tcPr>
            <w:tcW w:w="433" w:type="pct"/>
          </w:tcPr>
          <w:p w14:paraId="713DD989"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5.</w:t>
            </w:r>
          </w:p>
        </w:tc>
        <w:tc>
          <w:tcPr>
            <w:tcW w:w="3514" w:type="pct"/>
          </w:tcPr>
          <w:p w14:paraId="6CCF46F1"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Secondary minerals of zinc, lead and copper</w:t>
            </w:r>
          </w:p>
        </w:tc>
        <w:tc>
          <w:tcPr>
            <w:tcW w:w="1054" w:type="pct"/>
          </w:tcPr>
          <w:p w14:paraId="66E17439"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tenth</w:t>
            </w:r>
          </w:p>
        </w:tc>
      </w:tr>
      <w:tr w:rsidR="00A10164" w:rsidRPr="001938FA" w14:paraId="762CD96D" w14:textId="77777777" w:rsidTr="00AE4AD6">
        <w:trPr>
          <w:jc w:val="center"/>
        </w:trPr>
        <w:tc>
          <w:tcPr>
            <w:tcW w:w="433" w:type="pct"/>
          </w:tcPr>
          <w:p w14:paraId="68BCC29C"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6.</w:t>
            </w:r>
          </w:p>
        </w:tc>
        <w:tc>
          <w:tcPr>
            <w:tcW w:w="3514" w:type="pct"/>
          </w:tcPr>
          <w:p w14:paraId="2C82C898"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Pyrite</w:t>
            </w:r>
          </w:p>
        </w:tc>
        <w:tc>
          <w:tcPr>
            <w:tcW w:w="1054" w:type="pct"/>
          </w:tcPr>
          <w:p w14:paraId="3056349B"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6,2</w:t>
            </w:r>
          </w:p>
        </w:tc>
      </w:tr>
      <w:tr w:rsidR="00A10164" w:rsidRPr="001938FA" w14:paraId="3D09426F" w14:textId="77777777" w:rsidTr="00AE4AD6">
        <w:trPr>
          <w:jc w:val="center"/>
        </w:trPr>
        <w:tc>
          <w:tcPr>
            <w:tcW w:w="433" w:type="pct"/>
          </w:tcPr>
          <w:p w14:paraId="319E1080"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7.</w:t>
            </w:r>
          </w:p>
        </w:tc>
        <w:tc>
          <w:tcPr>
            <w:tcW w:w="3514" w:type="pct"/>
          </w:tcPr>
          <w:p w14:paraId="17EBD98A"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Iron hydroxides</w:t>
            </w:r>
          </w:p>
        </w:tc>
        <w:tc>
          <w:tcPr>
            <w:tcW w:w="1054" w:type="pct"/>
          </w:tcPr>
          <w:p w14:paraId="4E055135"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0,3</w:t>
            </w:r>
          </w:p>
        </w:tc>
      </w:tr>
      <w:tr w:rsidR="00A10164" w:rsidRPr="001938FA" w14:paraId="0C20DB37" w14:textId="77777777" w:rsidTr="00AE4AD6">
        <w:trPr>
          <w:jc w:val="center"/>
        </w:trPr>
        <w:tc>
          <w:tcPr>
            <w:tcW w:w="433" w:type="pct"/>
          </w:tcPr>
          <w:p w14:paraId="2746708C"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8.</w:t>
            </w:r>
          </w:p>
        </w:tc>
        <w:tc>
          <w:tcPr>
            <w:tcW w:w="3514" w:type="pct"/>
          </w:tcPr>
          <w:p w14:paraId="545864A1"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Quartz</w:t>
            </w:r>
          </w:p>
        </w:tc>
        <w:tc>
          <w:tcPr>
            <w:tcW w:w="1054" w:type="pct"/>
          </w:tcPr>
          <w:p w14:paraId="5E19500D"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52,0</w:t>
            </w:r>
          </w:p>
        </w:tc>
      </w:tr>
      <w:tr w:rsidR="00A10164" w:rsidRPr="001938FA" w14:paraId="22972B9F" w14:textId="77777777" w:rsidTr="00AE4AD6">
        <w:trPr>
          <w:jc w:val="center"/>
        </w:trPr>
        <w:tc>
          <w:tcPr>
            <w:tcW w:w="433" w:type="pct"/>
          </w:tcPr>
          <w:p w14:paraId="6386944F"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9.</w:t>
            </w:r>
          </w:p>
        </w:tc>
        <w:tc>
          <w:tcPr>
            <w:tcW w:w="3514" w:type="pct"/>
          </w:tcPr>
          <w:p w14:paraId="3CF497E8"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Feldspars</w:t>
            </w:r>
          </w:p>
        </w:tc>
        <w:tc>
          <w:tcPr>
            <w:tcW w:w="1054" w:type="pct"/>
          </w:tcPr>
          <w:p w14:paraId="0E7466C4"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1,6</w:t>
            </w:r>
          </w:p>
        </w:tc>
      </w:tr>
      <w:tr w:rsidR="00A10164" w:rsidRPr="001938FA" w14:paraId="3056D2A1" w14:textId="77777777" w:rsidTr="00AE4AD6">
        <w:trPr>
          <w:jc w:val="center"/>
        </w:trPr>
        <w:tc>
          <w:tcPr>
            <w:tcW w:w="433" w:type="pct"/>
          </w:tcPr>
          <w:p w14:paraId="1C713201"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10.</w:t>
            </w:r>
          </w:p>
        </w:tc>
        <w:tc>
          <w:tcPr>
            <w:tcW w:w="3514" w:type="pct"/>
          </w:tcPr>
          <w:p w14:paraId="3D980F87"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Layered silicates</w:t>
            </w:r>
          </w:p>
        </w:tc>
        <w:tc>
          <w:tcPr>
            <w:tcW w:w="1054" w:type="pct"/>
          </w:tcPr>
          <w:p w14:paraId="0D988C9B"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24,3</w:t>
            </w:r>
          </w:p>
        </w:tc>
      </w:tr>
      <w:tr w:rsidR="00A10164" w:rsidRPr="001938FA" w14:paraId="06223057" w14:textId="77777777" w:rsidTr="00AE4AD6">
        <w:trPr>
          <w:jc w:val="center"/>
        </w:trPr>
        <w:tc>
          <w:tcPr>
            <w:tcW w:w="433" w:type="pct"/>
          </w:tcPr>
          <w:p w14:paraId="0DDB266F"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11.</w:t>
            </w:r>
          </w:p>
        </w:tc>
        <w:tc>
          <w:tcPr>
            <w:tcW w:w="3514" w:type="pct"/>
          </w:tcPr>
          <w:p w14:paraId="2B5E2FCA"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Carbonates (calcite, dolomite)</w:t>
            </w:r>
          </w:p>
        </w:tc>
        <w:tc>
          <w:tcPr>
            <w:tcW w:w="1054" w:type="pct"/>
          </w:tcPr>
          <w:p w14:paraId="575C2C74"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0,4</w:t>
            </w:r>
          </w:p>
        </w:tc>
      </w:tr>
    </w:tbl>
    <w:p w14:paraId="68A5370B" w14:textId="77777777" w:rsidR="00A10164" w:rsidRDefault="00A10164" w:rsidP="00A10164">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sz w:val="20"/>
          <w:szCs w:val="20"/>
          <w:lang w:eastAsia="de-DE"/>
        </w:rPr>
      </w:pPr>
    </w:p>
    <w:p w14:paraId="253D9F1A" w14:textId="77777777" w:rsidR="00A10164" w:rsidRDefault="00A10164" w:rsidP="001938F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D7683E">
        <w:rPr>
          <w:rFonts w:ascii="Times New Roman" w:eastAsia="Times New Roman" w:hAnsi="Times New Roman" w:cs="Times New Roman"/>
          <w:sz w:val="20"/>
          <w:szCs w:val="20"/>
          <w:lang w:eastAsia="de-DE"/>
        </w:rPr>
        <w:t xml:space="preserve">Layered silicates mainly consist of sericite (muscovite), </w:t>
      </w:r>
      <w:proofErr w:type="spellStart"/>
      <w:r w:rsidRPr="00D7683E">
        <w:rPr>
          <w:rFonts w:ascii="Times New Roman" w:eastAsia="Times New Roman" w:hAnsi="Times New Roman" w:cs="Times New Roman"/>
          <w:sz w:val="20"/>
          <w:szCs w:val="20"/>
          <w:lang w:eastAsia="de-DE"/>
        </w:rPr>
        <w:t>hydromica</w:t>
      </w:r>
      <w:proofErr w:type="spellEnd"/>
      <w:r w:rsidRPr="00D7683E">
        <w:rPr>
          <w:rFonts w:ascii="Times New Roman" w:eastAsia="Times New Roman" w:hAnsi="Times New Roman" w:cs="Times New Roman"/>
          <w:sz w:val="20"/>
          <w:szCs w:val="20"/>
          <w:lang w:eastAsia="de-DE"/>
        </w:rPr>
        <w:t xml:space="preserve"> (</w:t>
      </w:r>
      <w:proofErr w:type="spellStart"/>
      <w:r w:rsidRPr="00D7683E">
        <w:rPr>
          <w:rFonts w:ascii="Times New Roman" w:eastAsia="Times New Roman" w:hAnsi="Times New Roman" w:cs="Times New Roman"/>
          <w:sz w:val="20"/>
          <w:szCs w:val="20"/>
          <w:lang w:eastAsia="de-DE"/>
        </w:rPr>
        <w:t>hydromuscovite</w:t>
      </w:r>
      <w:proofErr w:type="spellEnd"/>
      <w:r w:rsidRPr="00D7683E">
        <w:rPr>
          <w:rFonts w:ascii="Times New Roman" w:eastAsia="Times New Roman" w:hAnsi="Times New Roman" w:cs="Times New Roman"/>
          <w:sz w:val="20"/>
          <w:szCs w:val="20"/>
          <w:lang w:eastAsia="de-DE"/>
        </w:rPr>
        <w:t xml:space="preserve">), as well as a small amount of chlorite and biotite. Secondary minerals include smithsonite, </w:t>
      </w:r>
      <w:proofErr w:type="spellStart"/>
      <w:r w:rsidRPr="00D7683E">
        <w:rPr>
          <w:rFonts w:ascii="Times New Roman" w:eastAsia="Times New Roman" w:hAnsi="Times New Roman" w:cs="Times New Roman"/>
          <w:sz w:val="20"/>
          <w:szCs w:val="20"/>
          <w:lang w:eastAsia="de-DE"/>
        </w:rPr>
        <w:t>covellite</w:t>
      </w:r>
      <w:proofErr w:type="spellEnd"/>
      <w:r w:rsidRPr="00D7683E">
        <w:rPr>
          <w:rFonts w:ascii="Times New Roman" w:eastAsia="Times New Roman" w:hAnsi="Times New Roman" w:cs="Times New Roman"/>
          <w:sz w:val="20"/>
          <w:szCs w:val="20"/>
          <w:lang w:eastAsia="de-DE"/>
        </w:rPr>
        <w:t xml:space="preserve">, chalcocite, anglesite, </w:t>
      </w:r>
      <w:proofErr w:type="spellStart"/>
      <w:r w:rsidRPr="00D7683E">
        <w:rPr>
          <w:rFonts w:ascii="Times New Roman" w:eastAsia="Times New Roman" w:hAnsi="Times New Roman" w:cs="Times New Roman"/>
          <w:sz w:val="20"/>
          <w:szCs w:val="20"/>
          <w:lang w:eastAsia="de-DE"/>
        </w:rPr>
        <w:t>cerucite</w:t>
      </w:r>
      <w:proofErr w:type="spellEnd"/>
      <w:r w:rsidRPr="00D7683E">
        <w:rPr>
          <w:rFonts w:ascii="Times New Roman" w:eastAsia="Times New Roman" w:hAnsi="Times New Roman" w:cs="Times New Roman"/>
          <w:sz w:val="20"/>
          <w:szCs w:val="20"/>
          <w:lang w:eastAsia="de-DE"/>
        </w:rPr>
        <w:t>, and other forms of Pb, Zn, Cu carbonates, sulfates, and hydrosulfates.</w:t>
      </w:r>
    </w:p>
    <w:p w14:paraId="480D76D2" w14:textId="77777777" w:rsidR="00A10164" w:rsidRDefault="00A10164" w:rsidP="001938F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D7683E">
        <w:rPr>
          <w:rFonts w:ascii="Times New Roman" w:eastAsia="Times New Roman" w:hAnsi="Times New Roman" w:cs="Times New Roman"/>
          <w:sz w:val="20"/>
          <w:szCs w:val="20"/>
          <w:lang w:eastAsia="de-DE"/>
        </w:rPr>
        <w:t xml:space="preserve">If we dwell separately on the identified minerals, the following conclusions can be drawn: Sphalerite is the main useful mineral in the sample, located in the form of large veins, nests, and veins of uneven shape, often in the form of a matrix. The size of the discharge varies from 10 </w:t>
      </w:r>
      <w:proofErr w:type="spellStart"/>
      <w:r w:rsidRPr="00D7683E">
        <w:rPr>
          <w:rFonts w:ascii="Times New Roman" w:eastAsia="Times New Roman" w:hAnsi="Times New Roman" w:cs="Times New Roman"/>
          <w:sz w:val="20"/>
          <w:szCs w:val="20"/>
          <w:lang w:eastAsia="de-DE"/>
        </w:rPr>
        <w:t>μm</w:t>
      </w:r>
      <w:proofErr w:type="spellEnd"/>
      <w:r w:rsidRPr="00D7683E">
        <w:rPr>
          <w:rFonts w:ascii="Times New Roman" w:eastAsia="Times New Roman" w:hAnsi="Times New Roman" w:cs="Times New Roman"/>
          <w:sz w:val="20"/>
          <w:szCs w:val="20"/>
          <w:lang w:eastAsia="de-DE"/>
        </w:rPr>
        <w:t xml:space="preserve"> to 1 mm. Sphalerite usually has a light yellow color, which indicates a low iron content. It forms complex </w:t>
      </w:r>
      <w:proofErr w:type="spellStart"/>
      <w:r w:rsidRPr="00D7683E">
        <w:rPr>
          <w:rFonts w:ascii="Times New Roman" w:eastAsia="Times New Roman" w:hAnsi="Times New Roman" w:cs="Times New Roman"/>
          <w:sz w:val="20"/>
          <w:szCs w:val="20"/>
          <w:lang w:eastAsia="de-DE"/>
        </w:rPr>
        <w:t>interstructures</w:t>
      </w:r>
      <w:proofErr w:type="spellEnd"/>
      <w:r w:rsidRPr="00D7683E">
        <w:rPr>
          <w:rFonts w:ascii="Times New Roman" w:eastAsia="Times New Roman" w:hAnsi="Times New Roman" w:cs="Times New Roman"/>
          <w:sz w:val="20"/>
          <w:szCs w:val="20"/>
          <w:lang w:eastAsia="de-DE"/>
        </w:rPr>
        <w:t xml:space="preserve"> with galena and chalcopyrite, which complicates the extraction of minerals.</w:t>
      </w:r>
    </w:p>
    <w:p w14:paraId="47942FFA" w14:textId="77777777" w:rsidR="00A10164" w:rsidRDefault="00A10164" w:rsidP="001938F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D7683E">
        <w:rPr>
          <w:rFonts w:ascii="Times New Roman" w:eastAsia="Times New Roman" w:hAnsi="Times New Roman" w:cs="Times New Roman"/>
          <w:sz w:val="20"/>
          <w:szCs w:val="20"/>
          <w:lang w:eastAsia="de-DE"/>
        </w:rPr>
        <w:t xml:space="preserve">Galenite is the main sulfide mineral in the sample. It is widespread in combination with sphalerite. It is located in the form of an emulsion, in the form of veins, nests, and grains (10-800 </w:t>
      </w:r>
      <w:proofErr w:type="spellStart"/>
      <w:r w:rsidRPr="00D7683E">
        <w:rPr>
          <w:rFonts w:ascii="Times New Roman" w:eastAsia="Times New Roman" w:hAnsi="Times New Roman" w:cs="Times New Roman"/>
          <w:sz w:val="20"/>
          <w:szCs w:val="20"/>
          <w:lang w:eastAsia="de-DE"/>
        </w:rPr>
        <w:t>μm</w:t>
      </w:r>
      <w:proofErr w:type="spellEnd"/>
      <w:r w:rsidRPr="00D7683E">
        <w:rPr>
          <w:rFonts w:ascii="Times New Roman" w:eastAsia="Times New Roman" w:hAnsi="Times New Roman" w:cs="Times New Roman"/>
          <w:sz w:val="20"/>
          <w:szCs w:val="20"/>
          <w:lang w:eastAsia="de-DE"/>
        </w:rPr>
        <w:t xml:space="preserve">). Morphology is very diverse, most often in the form of </w:t>
      </w:r>
      <w:proofErr w:type="spellStart"/>
      <w:r w:rsidRPr="00D7683E">
        <w:rPr>
          <w:rFonts w:ascii="Times New Roman" w:eastAsia="Times New Roman" w:hAnsi="Times New Roman" w:cs="Times New Roman"/>
          <w:sz w:val="20"/>
          <w:szCs w:val="20"/>
          <w:lang w:eastAsia="de-DE"/>
        </w:rPr>
        <w:t>xenoform</w:t>
      </w:r>
      <w:proofErr w:type="spellEnd"/>
      <w:r w:rsidRPr="00D7683E">
        <w:rPr>
          <w:rFonts w:ascii="Times New Roman" w:eastAsia="Times New Roman" w:hAnsi="Times New Roman" w:cs="Times New Roman"/>
          <w:sz w:val="20"/>
          <w:szCs w:val="20"/>
          <w:lang w:eastAsia="de-DE"/>
        </w:rPr>
        <w:t xml:space="preserve"> and sometimes idiomorphic grains.</w:t>
      </w:r>
    </w:p>
    <w:p w14:paraId="1B0173EC" w14:textId="77777777" w:rsidR="00A10164" w:rsidRDefault="00A10164" w:rsidP="00A10164">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D7683E">
        <w:rPr>
          <w:rFonts w:ascii="Times New Roman" w:eastAsia="Times New Roman" w:hAnsi="Times New Roman" w:cs="Times New Roman"/>
          <w:sz w:val="20"/>
          <w:szCs w:val="20"/>
          <w:lang w:eastAsia="de-DE"/>
        </w:rPr>
        <w:lastRenderedPageBreak/>
        <w:t>Chalcopyrite is the least abundant useful sulfide in the ore, mostly located in thin sections or small zones within the sphalerite. Due to its emulsion dispersion, its separation requires complex technological approaches.</w:t>
      </w:r>
    </w:p>
    <w:p w14:paraId="21C8E001" w14:textId="77777777" w:rsidR="00A10164" w:rsidRDefault="00A10164" w:rsidP="00A10164">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D7683E">
        <w:rPr>
          <w:rFonts w:ascii="Times New Roman" w:eastAsia="Times New Roman" w:hAnsi="Times New Roman" w:cs="Times New Roman"/>
          <w:b/>
          <w:sz w:val="20"/>
          <w:szCs w:val="20"/>
          <w:lang w:eastAsia="de-DE"/>
        </w:rPr>
        <w:t>Chemical analysis</w:t>
      </w:r>
      <w:r w:rsidRPr="005F0D09">
        <w:rPr>
          <w:rFonts w:ascii="Times New Roman" w:eastAsia="Times New Roman" w:hAnsi="Times New Roman" w:cs="Times New Roman"/>
          <w:sz w:val="20"/>
          <w:szCs w:val="20"/>
          <w:lang w:eastAsia="de-DE"/>
        </w:rPr>
        <w:t>: It was revealed that the main useful components in the approved reserves are: copper - up to 0.85%, lead - up to 3.29%, zinc - up to 4.45%, cadmium - up to 0.041%, gold - up to 0.35 g/t, silver - up to 1.14 g/t.</w:t>
      </w:r>
    </w:p>
    <w:p w14:paraId="324653D7" w14:textId="77777777" w:rsidR="00A10164" w:rsidRDefault="00A10164" w:rsidP="00A10164">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sz w:val="20"/>
          <w:szCs w:val="20"/>
          <w:lang w:eastAsia="de-DE"/>
        </w:rPr>
      </w:pPr>
      <w:r>
        <w:rPr>
          <w:rFonts w:ascii="Times New Roman" w:hAnsi="Times New Roman"/>
          <w:noProof/>
          <w:sz w:val="28"/>
          <w:szCs w:val="28"/>
          <w:lang w:val="ru-RU" w:eastAsia="ru-RU"/>
        </w:rPr>
        <w:drawing>
          <wp:inline distT="0" distB="0" distL="0" distR="0" wp14:anchorId="2694D552" wp14:editId="64219726">
            <wp:extent cx="4184294" cy="2143354"/>
            <wp:effectExtent l="0" t="0" r="698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F0B31E7" w14:textId="4A2848DE" w:rsidR="00A10164" w:rsidRDefault="001938FA" w:rsidP="00A10164">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sz w:val="20"/>
          <w:szCs w:val="20"/>
          <w:lang w:eastAsia="de-DE"/>
        </w:rPr>
      </w:pPr>
      <w:r w:rsidRPr="005F0D09">
        <w:rPr>
          <w:rFonts w:ascii="Times New Roman" w:eastAsia="Times New Roman" w:hAnsi="Times New Roman" w:cs="Times New Roman"/>
          <w:b/>
          <w:sz w:val="20"/>
          <w:szCs w:val="20"/>
          <w:lang w:eastAsia="de-DE"/>
        </w:rPr>
        <w:t>FIGURE</w:t>
      </w:r>
      <w:r w:rsidR="00A10164" w:rsidRPr="005F0D09">
        <w:rPr>
          <w:rFonts w:ascii="Times New Roman" w:eastAsia="Times New Roman" w:hAnsi="Times New Roman" w:cs="Times New Roman"/>
          <w:b/>
          <w:sz w:val="20"/>
          <w:szCs w:val="20"/>
          <w:lang w:eastAsia="de-DE"/>
        </w:rPr>
        <w:t xml:space="preserve"> 2</w:t>
      </w:r>
      <w:r>
        <w:rPr>
          <w:rFonts w:ascii="Times New Roman" w:eastAsia="Times New Roman" w:hAnsi="Times New Roman" w:cs="Times New Roman"/>
          <w:b/>
          <w:sz w:val="20"/>
          <w:szCs w:val="20"/>
          <w:lang w:eastAsia="de-DE"/>
        </w:rPr>
        <w:t>.</w:t>
      </w:r>
      <w:r w:rsidR="00A10164" w:rsidRPr="005F0D09">
        <w:rPr>
          <w:rFonts w:ascii="Times New Roman" w:eastAsia="Times New Roman" w:hAnsi="Times New Roman" w:cs="Times New Roman"/>
          <w:sz w:val="20"/>
          <w:szCs w:val="20"/>
          <w:lang w:eastAsia="de-DE"/>
        </w:rPr>
        <w:t xml:space="preserve"> Composition of approved reserves</w:t>
      </w:r>
    </w:p>
    <w:p w14:paraId="32C8C4AE" w14:textId="77777777" w:rsidR="001938FA" w:rsidRDefault="001938FA" w:rsidP="00A10164">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sz w:val="20"/>
          <w:szCs w:val="20"/>
          <w:lang w:eastAsia="de-DE"/>
        </w:rPr>
      </w:pPr>
    </w:p>
    <w:p w14:paraId="7B8639BD" w14:textId="77777777" w:rsidR="00A10164" w:rsidRDefault="00A10164" w:rsidP="001938F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5F0D09">
        <w:rPr>
          <w:rFonts w:ascii="Times New Roman" w:eastAsia="Times New Roman" w:hAnsi="Times New Roman" w:cs="Times New Roman"/>
          <w:sz w:val="20"/>
          <w:szCs w:val="20"/>
          <w:lang w:eastAsia="de-DE"/>
        </w:rPr>
        <w:t xml:space="preserve">As a result of technological studies of four </w:t>
      </w:r>
      <w:proofErr w:type="spellStart"/>
      <w:r w:rsidRPr="005F0D09">
        <w:rPr>
          <w:rFonts w:ascii="Times New Roman" w:eastAsia="Times New Roman" w:hAnsi="Times New Roman" w:cs="Times New Roman"/>
          <w:sz w:val="20"/>
          <w:szCs w:val="20"/>
          <w:lang w:eastAsia="de-DE"/>
        </w:rPr>
        <w:t>ore</w:t>
      </w:r>
      <w:proofErr w:type="spellEnd"/>
      <w:r w:rsidRPr="005F0D09">
        <w:rPr>
          <w:rFonts w:ascii="Times New Roman" w:eastAsia="Times New Roman" w:hAnsi="Times New Roman" w:cs="Times New Roman"/>
          <w:sz w:val="20"/>
          <w:szCs w:val="20"/>
          <w:lang w:eastAsia="de-DE"/>
        </w:rPr>
        <w:t xml:space="preserve"> samples with the main useful components at the </w:t>
      </w:r>
      <w:proofErr w:type="spellStart"/>
      <w:r w:rsidRPr="005F0D09">
        <w:rPr>
          <w:rFonts w:ascii="Times New Roman" w:eastAsia="Times New Roman" w:hAnsi="Times New Roman" w:cs="Times New Roman"/>
          <w:sz w:val="20"/>
          <w:szCs w:val="20"/>
          <w:lang w:eastAsia="de-DE"/>
        </w:rPr>
        <w:t>Khandiza</w:t>
      </w:r>
      <w:proofErr w:type="spellEnd"/>
      <w:r w:rsidRPr="005F0D09">
        <w:rPr>
          <w:rFonts w:ascii="Times New Roman" w:eastAsia="Times New Roman" w:hAnsi="Times New Roman" w:cs="Times New Roman"/>
          <w:sz w:val="20"/>
          <w:szCs w:val="20"/>
          <w:lang w:eastAsia="de-DE"/>
        </w:rPr>
        <w:t xml:space="preserve"> deposit, the following chemical composition (wt.%): Cu - 0.35-2.35; Pb - 1.7-6.6; Zn - 4.8-15.5; C - 5.6-22.4; SiO2 - 22.8-71.8. The main useful minerals in the ore are chalcopyrite, galena, sphalerite, and pyrite, and quartz has been identified as the rock-forming minerals. [8]</w:t>
      </w:r>
    </w:p>
    <w:p w14:paraId="67620B28" w14:textId="77777777" w:rsidR="00A10164" w:rsidRPr="005F0D09" w:rsidRDefault="00A10164" w:rsidP="001938F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5F0D09">
        <w:rPr>
          <w:rFonts w:ascii="Times New Roman" w:eastAsia="Times New Roman" w:hAnsi="Times New Roman" w:cs="Times New Roman"/>
          <w:sz w:val="20"/>
          <w:szCs w:val="20"/>
          <w:lang w:eastAsia="de-DE"/>
        </w:rPr>
        <w:t xml:space="preserve">As a result of technological studies of four </w:t>
      </w:r>
      <w:proofErr w:type="spellStart"/>
      <w:r w:rsidRPr="005F0D09">
        <w:rPr>
          <w:rFonts w:ascii="Times New Roman" w:eastAsia="Times New Roman" w:hAnsi="Times New Roman" w:cs="Times New Roman"/>
          <w:sz w:val="20"/>
          <w:szCs w:val="20"/>
          <w:lang w:eastAsia="de-DE"/>
        </w:rPr>
        <w:t>ore</w:t>
      </w:r>
      <w:proofErr w:type="spellEnd"/>
      <w:r w:rsidRPr="005F0D09">
        <w:rPr>
          <w:rFonts w:ascii="Times New Roman" w:eastAsia="Times New Roman" w:hAnsi="Times New Roman" w:cs="Times New Roman"/>
          <w:sz w:val="20"/>
          <w:szCs w:val="20"/>
          <w:lang w:eastAsia="de-DE"/>
        </w:rPr>
        <w:t xml:space="preserve"> samples with the main useful components at the </w:t>
      </w:r>
      <w:proofErr w:type="spellStart"/>
      <w:r w:rsidRPr="005F0D09">
        <w:rPr>
          <w:rFonts w:ascii="Times New Roman" w:eastAsia="Times New Roman" w:hAnsi="Times New Roman" w:cs="Times New Roman"/>
          <w:sz w:val="20"/>
          <w:szCs w:val="20"/>
          <w:lang w:eastAsia="de-DE"/>
        </w:rPr>
        <w:t>Khandiza</w:t>
      </w:r>
      <w:proofErr w:type="spellEnd"/>
      <w:r w:rsidRPr="005F0D09">
        <w:rPr>
          <w:rFonts w:ascii="Times New Roman" w:eastAsia="Times New Roman" w:hAnsi="Times New Roman" w:cs="Times New Roman"/>
          <w:sz w:val="20"/>
          <w:szCs w:val="20"/>
          <w:lang w:eastAsia="de-DE"/>
        </w:rPr>
        <w:t xml:space="preserve"> deposit under the conditions of JSC "AGMK," the following chemical composition (mass %) was determined: Cu - 0.35-2.35; Pb - 1.7-6.6; Zn - 4.8-15.5; C - 5.6-22.4; SiO2 - 22.8-71.8. The main useful minerals in the ore are chalcopyrite, galena, sphalerite, and pyrite, and quartz has been identified as the rock-forming minerals. [6].</w:t>
      </w:r>
    </w:p>
    <w:p w14:paraId="3752F558" w14:textId="77777777" w:rsidR="00A10164" w:rsidRPr="00287E0A" w:rsidRDefault="00A10164" w:rsidP="00A10164">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049AF575" w14:textId="45657774" w:rsidR="00A10164" w:rsidRPr="005F0D09" w:rsidRDefault="00A10164" w:rsidP="00193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5F0D09">
        <w:rPr>
          <w:rFonts w:ascii="Times New Roman" w:hAnsi="Times New Roman" w:cs="Times New Roman"/>
          <w:b/>
          <w:bCs/>
          <w:i/>
          <w:iCs/>
          <w:color w:val="202124"/>
          <w:sz w:val="20"/>
          <w:lang w:val="de-DE"/>
        </w:rPr>
        <w:t>Open-</w:t>
      </w:r>
      <w:proofErr w:type="spellStart"/>
      <w:r w:rsidRPr="005F0D09">
        <w:rPr>
          <w:rFonts w:ascii="Times New Roman" w:hAnsi="Times New Roman" w:cs="Times New Roman"/>
          <w:b/>
          <w:bCs/>
          <w:i/>
          <w:iCs/>
          <w:color w:val="202124"/>
          <w:sz w:val="20"/>
          <w:lang w:val="de-DE"/>
        </w:rPr>
        <w:t>cycle</w:t>
      </w:r>
      <w:proofErr w:type="spellEnd"/>
      <w:r w:rsidRPr="005F0D09">
        <w:rPr>
          <w:rFonts w:ascii="Times New Roman" w:hAnsi="Times New Roman" w:cs="Times New Roman"/>
          <w:b/>
          <w:bCs/>
          <w:i/>
          <w:iCs/>
          <w:color w:val="202124"/>
          <w:sz w:val="20"/>
          <w:lang w:val="de-DE"/>
        </w:rPr>
        <w:t xml:space="preserve"> </w:t>
      </w:r>
      <w:proofErr w:type="spellStart"/>
      <w:r w:rsidRPr="005F0D09">
        <w:rPr>
          <w:rFonts w:ascii="Times New Roman" w:hAnsi="Times New Roman" w:cs="Times New Roman"/>
          <w:b/>
          <w:bCs/>
          <w:i/>
          <w:iCs/>
          <w:color w:val="202124"/>
          <w:sz w:val="20"/>
          <w:lang w:val="de-DE"/>
        </w:rPr>
        <w:t>flotation</w:t>
      </w:r>
      <w:proofErr w:type="spellEnd"/>
      <w:r w:rsidRPr="005F0D09">
        <w:rPr>
          <w:rFonts w:ascii="Times New Roman" w:hAnsi="Times New Roman" w:cs="Times New Roman"/>
          <w:b/>
          <w:bCs/>
          <w:i/>
          <w:iCs/>
          <w:color w:val="202124"/>
          <w:sz w:val="20"/>
          <w:lang w:val="de-DE"/>
        </w:rPr>
        <w:t xml:space="preserve"> </w:t>
      </w:r>
      <w:proofErr w:type="spellStart"/>
      <w:r w:rsidRPr="005F0D09">
        <w:rPr>
          <w:rFonts w:ascii="Times New Roman" w:hAnsi="Times New Roman" w:cs="Times New Roman"/>
          <w:b/>
          <w:bCs/>
          <w:i/>
          <w:iCs/>
          <w:color w:val="202124"/>
          <w:sz w:val="20"/>
          <w:lang w:val="de-DE"/>
        </w:rPr>
        <w:t>results</w:t>
      </w:r>
      <w:proofErr w:type="spellEnd"/>
      <w:r>
        <w:rPr>
          <w:rFonts w:ascii="Times New Roman" w:hAnsi="Times New Roman" w:cs="Times New Roman"/>
          <w:b/>
          <w:bCs/>
          <w:i/>
          <w:iCs/>
          <w:color w:val="202124"/>
          <w:sz w:val="20"/>
          <w:lang w:val="de-DE"/>
        </w:rPr>
        <w:t>:</w:t>
      </w:r>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Based</w:t>
      </w:r>
      <w:proofErr w:type="spellEnd"/>
      <w:r w:rsidRPr="005F0D09">
        <w:rPr>
          <w:rFonts w:ascii="Times New Roman" w:hAnsi="Times New Roman" w:cs="Times New Roman"/>
          <w:bCs/>
          <w:iCs/>
          <w:color w:val="202124"/>
          <w:sz w:val="20"/>
          <w:lang w:val="de-DE"/>
        </w:rPr>
        <w:t xml:space="preserve"> on </w:t>
      </w:r>
      <w:proofErr w:type="spellStart"/>
      <w:r w:rsidRPr="005F0D09">
        <w:rPr>
          <w:rFonts w:ascii="Times New Roman" w:hAnsi="Times New Roman" w:cs="Times New Roman"/>
          <w:bCs/>
          <w:iCs/>
          <w:color w:val="202124"/>
          <w:sz w:val="20"/>
          <w:lang w:val="de-DE"/>
        </w:rPr>
        <w:t>the</w:t>
      </w:r>
      <w:proofErr w:type="spellEnd"/>
      <w:r w:rsidRPr="005F0D09">
        <w:rPr>
          <w:rFonts w:ascii="Times New Roman" w:hAnsi="Times New Roman" w:cs="Times New Roman"/>
          <w:bCs/>
          <w:iCs/>
          <w:color w:val="202124"/>
          <w:sz w:val="20"/>
          <w:lang w:val="de-DE"/>
        </w:rPr>
        <w:t xml:space="preserve"> experimental </w:t>
      </w:r>
      <w:proofErr w:type="spellStart"/>
      <w:r w:rsidRPr="005F0D09">
        <w:rPr>
          <w:rFonts w:ascii="Times New Roman" w:hAnsi="Times New Roman" w:cs="Times New Roman"/>
          <w:bCs/>
          <w:iCs/>
          <w:color w:val="202124"/>
          <w:sz w:val="20"/>
          <w:lang w:val="de-DE"/>
        </w:rPr>
        <w:t>work</w:t>
      </w:r>
      <w:proofErr w:type="spellEnd"/>
      <w:r w:rsidRPr="005F0D09">
        <w:rPr>
          <w:rFonts w:ascii="Times New Roman" w:hAnsi="Times New Roman" w:cs="Times New Roman"/>
          <w:bCs/>
          <w:iCs/>
          <w:color w:val="202124"/>
          <w:sz w:val="20"/>
          <w:lang w:val="de-DE"/>
        </w:rPr>
        <w:t xml:space="preserve"> on </w:t>
      </w:r>
      <w:proofErr w:type="spellStart"/>
      <w:r w:rsidRPr="005F0D09">
        <w:rPr>
          <w:rFonts w:ascii="Times New Roman" w:hAnsi="Times New Roman" w:cs="Times New Roman"/>
          <w:bCs/>
          <w:iCs/>
          <w:color w:val="202124"/>
          <w:sz w:val="20"/>
          <w:lang w:val="de-DE"/>
        </w:rPr>
        <w:t>enrichment</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the</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following</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collective-selective</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scheme</w:t>
      </w:r>
      <w:proofErr w:type="spellEnd"/>
      <w:r w:rsidRPr="005F0D09">
        <w:rPr>
          <w:rFonts w:ascii="Times New Roman" w:hAnsi="Times New Roman" w:cs="Times New Roman"/>
          <w:bCs/>
          <w:iCs/>
          <w:color w:val="202124"/>
          <w:sz w:val="20"/>
          <w:lang w:val="de-DE"/>
        </w:rPr>
        <w:t xml:space="preserve"> was </w:t>
      </w:r>
      <w:proofErr w:type="spellStart"/>
      <w:proofErr w:type="gramStart"/>
      <w:r w:rsidRPr="005F0D09">
        <w:rPr>
          <w:rFonts w:ascii="Times New Roman" w:hAnsi="Times New Roman" w:cs="Times New Roman"/>
          <w:bCs/>
          <w:iCs/>
          <w:color w:val="202124"/>
          <w:sz w:val="20"/>
          <w:lang w:val="de-DE"/>
        </w:rPr>
        <w:t>developed</w:t>
      </w:r>
      <w:proofErr w:type="spellEnd"/>
      <w:r w:rsidRPr="005F0D09">
        <w:rPr>
          <w:rFonts w:ascii="Times New Roman" w:hAnsi="Times New Roman" w:cs="Times New Roman"/>
          <w:bCs/>
          <w:iCs/>
          <w:color w:val="202124"/>
          <w:sz w:val="20"/>
          <w:lang w:val="de-DE"/>
        </w:rPr>
        <w:t>:[</w:t>
      </w:r>
      <w:proofErr w:type="gramEnd"/>
      <w:r w:rsidR="00C50E1E">
        <w:rPr>
          <w:rFonts w:ascii="Times New Roman" w:hAnsi="Times New Roman" w:cs="Times New Roman"/>
          <w:bCs/>
          <w:iCs/>
          <w:color w:val="202124"/>
          <w:sz w:val="20"/>
          <w:lang w:val="de-DE"/>
        </w:rPr>
        <w:t xml:space="preserve">1, </w:t>
      </w:r>
      <w:r w:rsidRPr="005F0D09">
        <w:rPr>
          <w:rFonts w:ascii="Times New Roman" w:hAnsi="Times New Roman" w:cs="Times New Roman"/>
          <w:bCs/>
          <w:iCs/>
          <w:color w:val="202124"/>
          <w:sz w:val="20"/>
          <w:lang w:val="de-DE"/>
        </w:rPr>
        <w:t>1</w:t>
      </w:r>
      <w:r w:rsidR="00C50E1E">
        <w:rPr>
          <w:rFonts w:ascii="Times New Roman" w:hAnsi="Times New Roman" w:cs="Times New Roman"/>
          <w:bCs/>
          <w:iCs/>
          <w:color w:val="202124"/>
          <w:sz w:val="20"/>
          <w:lang w:val="de-DE"/>
        </w:rPr>
        <w:t>0</w:t>
      </w:r>
      <w:r w:rsidRPr="005F0D09">
        <w:rPr>
          <w:rFonts w:ascii="Times New Roman" w:hAnsi="Times New Roman" w:cs="Times New Roman"/>
          <w:bCs/>
          <w:iCs/>
          <w:color w:val="202124"/>
          <w:sz w:val="20"/>
          <w:lang w:val="de-DE"/>
        </w:rPr>
        <w:t>]</w:t>
      </w:r>
    </w:p>
    <w:p w14:paraId="47C73DBB" w14:textId="77777777" w:rsidR="00A10164" w:rsidRPr="005F0D09" w:rsidRDefault="00A10164" w:rsidP="00193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Crushing</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of</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ore</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to</w:t>
      </w:r>
      <w:proofErr w:type="spellEnd"/>
      <w:r w:rsidRPr="005F0D09">
        <w:rPr>
          <w:rFonts w:ascii="Times New Roman" w:hAnsi="Times New Roman" w:cs="Times New Roman"/>
          <w:bCs/>
          <w:iCs/>
          <w:color w:val="202124"/>
          <w:sz w:val="20"/>
          <w:lang w:val="de-DE"/>
        </w:rPr>
        <w:t xml:space="preserve"> a </w:t>
      </w:r>
      <w:proofErr w:type="spellStart"/>
      <w:r w:rsidRPr="005F0D09">
        <w:rPr>
          <w:rFonts w:ascii="Times New Roman" w:hAnsi="Times New Roman" w:cs="Times New Roman"/>
          <w:bCs/>
          <w:iCs/>
          <w:color w:val="202124"/>
          <w:sz w:val="20"/>
          <w:lang w:val="de-DE"/>
        </w:rPr>
        <w:t>fraction</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of</w:t>
      </w:r>
      <w:proofErr w:type="spellEnd"/>
      <w:r w:rsidRPr="005F0D09">
        <w:rPr>
          <w:rFonts w:ascii="Times New Roman" w:hAnsi="Times New Roman" w:cs="Times New Roman"/>
          <w:bCs/>
          <w:iCs/>
          <w:color w:val="202124"/>
          <w:sz w:val="20"/>
          <w:lang w:val="de-DE"/>
        </w:rPr>
        <w:t xml:space="preserve"> 75% -0.074 mm;</w:t>
      </w:r>
    </w:p>
    <w:p w14:paraId="4197F990" w14:textId="77777777" w:rsidR="00A10164" w:rsidRPr="005F0D09" w:rsidRDefault="00A10164" w:rsidP="00193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isolation</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of</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the</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collective</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concentrate</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Cu-Pb</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and</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its</w:t>
      </w:r>
      <w:proofErr w:type="spellEnd"/>
      <w:r w:rsidRPr="005F0D09">
        <w:rPr>
          <w:rFonts w:ascii="Times New Roman" w:hAnsi="Times New Roman" w:cs="Times New Roman"/>
          <w:bCs/>
          <w:iCs/>
          <w:color w:val="202124"/>
          <w:sz w:val="20"/>
          <w:lang w:val="de-DE"/>
        </w:rPr>
        <w:t xml:space="preserve"> additional </w:t>
      </w:r>
      <w:proofErr w:type="spellStart"/>
      <w:r w:rsidRPr="005F0D09">
        <w:rPr>
          <w:rFonts w:ascii="Times New Roman" w:hAnsi="Times New Roman" w:cs="Times New Roman"/>
          <w:bCs/>
          <w:iCs/>
          <w:color w:val="202124"/>
          <w:sz w:val="20"/>
          <w:lang w:val="de-DE"/>
        </w:rPr>
        <w:t>grinding</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to</w:t>
      </w:r>
      <w:proofErr w:type="spellEnd"/>
      <w:r w:rsidRPr="005F0D09">
        <w:rPr>
          <w:rFonts w:ascii="Times New Roman" w:hAnsi="Times New Roman" w:cs="Times New Roman"/>
          <w:bCs/>
          <w:iCs/>
          <w:color w:val="202124"/>
          <w:sz w:val="20"/>
          <w:lang w:val="de-DE"/>
        </w:rPr>
        <w:t xml:space="preserve"> a </w:t>
      </w:r>
      <w:proofErr w:type="spellStart"/>
      <w:r w:rsidRPr="005F0D09">
        <w:rPr>
          <w:rFonts w:ascii="Times New Roman" w:hAnsi="Times New Roman" w:cs="Times New Roman"/>
          <w:bCs/>
          <w:iCs/>
          <w:color w:val="202124"/>
          <w:sz w:val="20"/>
          <w:lang w:val="de-DE"/>
        </w:rPr>
        <w:t>fraction</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of</w:t>
      </w:r>
      <w:proofErr w:type="spellEnd"/>
      <w:r w:rsidRPr="005F0D09">
        <w:rPr>
          <w:rFonts w:ascii="Times New Roman" w:hAnsi="Times New Roman" w:cs="Times New Roman"/>
          <w:bCs/>
          <w:iCs/>
          <w:color w:val="202124"/>
          <w:sz w:val="20"/>
          <w:lang w:val="de-DE"/>
        </w:rPr>
        <w:t xml:space="preserve"> 100% -0.044 mm;</w:t>
      </w:r>
    </w:p>
    <w:p w14:paraId="7E4DDFDA" w14:textId="77777777" w:rsidR="00A10164" w:rsidRPr="005F0D09" w:rsidRDefault="00A10164" w:rsidP="00193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Selective</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separation</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of</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mixed</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copper</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and</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lead</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concentrate</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using</w:t>
      </w:r>
      <w:proofErr w:type="spellEnd"/>
      <w:r w:rsidRPr="005F0D09">
        <w:rPr>
          <w:rFonts w:ascii="Times New Roman" w:hAnsi="Times New Roman" w:cs="Times New Roman"/>
          <w:bCs/>
          <w:iCs/>
          <w:color w:val="202124"/>
          <w:sz w:val="20"/>
          <w:lang w:val="de-DE"/>
        </w:rPr>
        <w:t xml:space="preserve"> Na2C2O4 (</w:t>
      </w:r>
      <w:proofErr w:type="spellStart"/>
      <w:r w:rsidRPr="005F0D09">
        <w:rPr>
          <w:rFonts w:ascii="Times New Roman" w:hAnsi="Times New Roman" w:cs="Times New Roman"/>
          <w:bCs/>
          <w:iCs/>
          <w:color w:val="202124"/>
          <w:sz w:val="20"/>
          <w:lang w:val="de-DE"/>
        </w:rPr>
        <w:t>sodium</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hydrosulfide</w:t>
      </w:r>
      <w:proofErr w:type="spellEnd"/>
      <w:r w:rsidRPr="005F0D09">
        <w:rPr>
          <w:rFonts w:ascii="Times New Roman" w:hAnsi="Times New Roman" w:cs="Times New Roman"/>
          <w:bCs/>
          <w:iCs/>
          <w:color w:val="202124"/>
          <w:sz w:val="20"/>
          <w:lang w:val="de-DE"/>
        </w:rPr>
        <w:t>, 1500 g/t);</w:t>
      </w:r>
    </w:p>
    <w:p w14:paraId="0C91A689" w14:textId="5836BA1B" w:rsidR="00A10164" w:rsidRPr="005F0D09" w:rsidRDefault="00A10164" w:rsidP="00193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5F0D09">
        <w:rPr>
          <w:rFonts w:ascii="Times New Roman" w:hAnsi="Times New Roman" w:cs="Times New Roman"/>
          <w:bCs/>
          <w:iCs/>
          <w:color w:val="202124"/>
          <w:sz w:val="20"/>
          <w:lang w:val="de-DE"/>
        </w:rPr>
        <w:t xml:space="preserve">• Chemical </w:t>
      </w:r>
      <w:proofErr w:type="spellStart"/>
      <w:r w:rsidRPr="005F0D09">
        <w:rPr>
          <w:rFonts w:ascii="Times New Roman" w:hAnsi="Times New Roman" w:cs="Times New Roman"/>
          <w:bCs/>
          <w:iCs/>
          <w:color w:val="202124"/>
          <w:sz w:val="20"/>
          <w:lang w:val="de-DE"/>
        </w:rPr>
        <w:t>processing</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of</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Cu</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and</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Pb</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flotation</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products</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with</w:t>
      </w:r>
      <w:proofErr w:type="spellEnd"/>
      <w:r w:rsidRPr="005F0D09">
        <w:rPr>
          <w:rFonts w:ascii="Times New Roman" w:hAnsi="Times New Roman" w:cs="Times New Roman"/>
          <w:bCs/>
          <w:iCs/>
          <w:color w:val="202124"/>
          <w:sz w:val="20"/>
          <w:lang w:val="de-DE"/>
        </w:rPr>
        <w:t xml:space="preserve"> H2SO4;</w:t>
      </w:r>
      <w:r w:rsidR="00C50E1E">
        <w:rPr>
          <w:rFonts w:ascii="Times New Roman" w:hAnsi="Times New Roman" w:cs="Times New Roman"/>
          <w:bCs/>
          <w:iCs/>
          <w:color w:val="202124"/>
          <w:sz w:val="20"/>
          <w:lang w:val="de-DE"/>
        </w:rPr>
        <w:t xml:space="preserve"> [11]</w:t>
      </w:r>
    </w:p>
    <w:p w14:paraId="4AAE7E75" w14:textId="77777777" w:rsidR="00A10164" w:rsidRDefault="00A10164" w:rsidP="00193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proofErr w:type="spellStart"/>
      <w:r w:rsidRPr="005F0D09">
        <w:rPr>
          <w:rFonts w:ascii="Times New Roman" w:hAnsi="Times New Roman" w:cs="Times New Roman"/>
          <w:bCs/>
          <w:iCs/>
          <w:color w:val="202124"/>
          <w:sz w:val="20"/>
          <w:lang w:val="de-DE"/>
        </w:rPr>
        <w:t>Sending</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for</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selective</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extraction</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of</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Zn</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from</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waste</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of</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the</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copper</w:t>
      </w:r>
      <w:proofErr w:type="spellEnd"/>
      <w:r w:rsidRPr="005F0D09">
        <w:rPr>
          <w:rFonts w:ascii="Times New Roman" w:hAnsi="Times New Roman" w:cs="Times New Roman"/>
          <w:bCs/>
          <w:iCs/>
          <w:color w:val="202124"/>
          <w:sz w:val="20"/>
          <w:lang w:val="de-DE"/>
        </w:rPr>
        <w:t xml:space="preserve">-lead </w:t>
      </w:r>
      <w:proofErr w:type="spellStart"/>
      <w:r w:rsidRPr="005F0D09">
        <w:rPr>
          <w:rFonts w:ascii="Times New Roman" w:hAnsi="Times New Roman" w:cs="Times New Roman"/>
          <w:bCs/>
          <w:iCs/>
          <w:color w:val="202124"/>
          <w:sz w:val="20"/>
          <w:lang w:val="de-DE"/>
        </w:rPr>
        <w:t>cycle</w:t>
      </w:r>
      <w:proofErr w:type="spellEnd"/>
      <w:r w:rsidRPr="005F0D09">
        <w:rPr>
          <w:rFonts w:ascii="Times New Roman" w:hAnsi="Times New Roman" w:cs="Times New Roman"/>
          <w:bCs/>
          <w:iCs/>
          <w:color w:val="202124"/>
          <w:sz w:val="20"/>
          <w:lang w:val="de-DE"/>
        </w:rPr>
        <w:t xml:space="preserve">. The </w:t>
      </w:r>
      <w:proofErr w:type="spellStart"/>
      <w:r w:rsidRPr="005F0D09">
        <w:rPr>
          <w:rFonts w:ascii="Times New Roman" w:hAnsi="Times New Roman" w:cs="Times New Roman"/>
          <w:bCs/>
          <w:iCs/>
          <w:color w:val="202124"/>
          <w:sz w:val="20"/>
          <w:lang w:val="de-DE"/>
        </w:rPr>
        <w:t>research</w:t>
      </w:r>
      <w:proofErr w:type="spellEnd"/>
      <w:r w:rsidRPr="005F0D09">
        <w:rPr>
          <w:rFonts w:ascii="Times New Roman" w:hAnsi="Times New Roman" w:cs="Times New Roman"/>
          <w:bCs/>
          <w:iCs/>
          <w:color w:val="202124"/>
          <w:sz w:val="20"/>
          <w:lang w:val="de-DE"/>
        </w:rPr>
        <w:t xml:space="preserve"> was </w:t>
      </w:r>
      <w:proofErr w:type="spellStart"/>
      <w:r w:rsidRPr="005F0D09">
        <w:rPr>
          <w:rFonts w:ascii="Times New Roman" w:hAnsi="Times New Roman" w:cs="Times New Roman"/>
          <w:bCs/>
          <w:iCs/>
          <w:color w:val="202124"/>
          <w:sz w:val="20"/>
          <w:lang w:val="de-DE"/>
        </w:rPr>
        <w:t>conducted</w:t>
      </w:r>
      <w:proofErr w:type="spellEnd"/>
      <w:r w:rsidRPr="005F0D09">
        <w:rPr>
          <w:rFonts w:ascii="Times New Roman" w:hAnsi="Times New Roman" w:cs="Times New Roman"/>
          <w:bCs/>
          <w:iCs/>
          <w:color w:val="202124"/>
          <w:sz w:val="20"/>
          <w:lang w:val="de-DE"/>
        </w:rPr>
        <w:t xml:space="preserve"> in an open </w:t>
      </w:r>
      <w:proofErr w:type="spellStart"/>
      <w:r w:rsidRPr="005F0D09">
        <w:rPr>
          <w:rFonts w:ascii="Times New Roman" w:hAnsi="Times New Roman" w:cs="Times New Roman"/>
          <w:bCs/>
          <w:iCs/>
          <w:color w:val="202124"/>
          <w:sz w:val="20"/>
          <w:lang w:val="de-DE"/>
        </w:rPr>
        <w:t>cycle</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and</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the</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following</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main</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technological</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indicators</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were</w:t>
      </w:r>
      <w:proofErr w:type="spellEnd"/>
      <w:r w:rsidRPr="005F0D09">
        <w:rPr>
          <w:rFonts w:ascii="Times New Roman" w:hAnsi="Times New Roman" w:cs="Times New Roman"/>
          <w:bCs/>
          <w:iCs/>
          <w:color w:val="202124"/>
          <w:sz w:val="20"/>
          <w:lang w:val="de-DE"/>
        </w:rPr>
        <w:t xml:space="preserve"> </w:t>
      </w:r>
      <w:proofErr w:type="spellStart"/>
      <w:r w:rsidRPr="005F0D09">
        <w:rPr>
          <w:rFonts w:ascii="Times New Roman" w:hAnsi="Times New Roman" w:cs="Times New Roman"/>
          <w:bCs/>
          <w:iCs/>
          <w:color w:val="202124"/>
          <w:sz w:val="20"/>
          <w:lang w:val="de-DE"/>
        </w:rPr>
        <w:t>recorded</w:t>
      </w:r>
      <w:proofErr w:type="spellEnd"/>
      <w:r w:rsidRPr="005F0D09">
        <w:rPr>
          <w:rFonts w:ascii="Times New Roman" w:hAnsi="Times New Roman" w:cs="Times New Roman"/>
          <w:bCs/>
          <w:iCs/>
          <w:color w:val="202124"/>
          <w:sz w:val="20"/>
          <w:lang w:val="de-DE"/>
        </w:rPr>
        <w:t>. [5] (Table 2):</w:t>
      </w:r>
    </w:p>
    <w:p w14:paraId="23361A2F" w14:textId="77777777" w:rsidR="00A10164"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iCs/>
          <w:color w:val="202124"/>
          <w:sz w:val="20"/>
          <w:lang w:val="de-DE"/>
        </w:rPr>
      </w:pPr>
    </w:p>
    <w:p w14:paraId="6D974215" w14:textId="08069601" w:rsidR="00A10164" w:rsidRPr="001938FA" w:rsidRDefault="001938FA"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Cs/>
          <w:sz w:val="20"/>
          <w:szCs w:val="20"/>
        </w:rPr>
      </w:pPr>
      <w:r w:rsidRPr="005F0D09">
        <w:rPr>
          <w:rFonts w:ascii="Times New Roman" w:hAnsi="Times New Roman"/>
          <w:b/>
          <w:sz w:val="20"/>
          <w:szCs w:val="20"/>
        </w:rPr>
        <w:t xml:space="preserve">TABLE </w:t>
      </w:r>
      <w:r w:rsidR="00A10164" w:rsidRPr="005F0D09">
        <w:rPr>
          <w:rFonts w:ascii="Times New Roman" w:hAnsi="Times New Roman"/>
          <w:b/>
          <w:sz w:val="20"/>
          <w:szCs w:val="20"/>
        </w:rPr>
        <w:t>2</w:t>
      </w:r>
      <w:r>
        <w:rPr>
          <w:rFonts w:ascii="Times New Roman" w:hAnsi="Times New Roman"/>
          <w:b/>
          <w:sz w:val="20"/>
          <w:szCs w:val="20"/>
        </w:rPr>
        <w:t>.</w:t>
      </w:r>
      <w:r w:rsidR="00A10164" w:rsidRPr="005F0D09">
        <w:rPr>
          <w:rFonts w:ascii="Times New Roman" w:hAnsi="Times New Roman"/>
          <w:b/>
          <w:sz w:val="20"/>
          <w:szCs w:val="20"/>
        </w:rPr>
        <w:t xml:space="preserve"> </w:t>
      </w:r>
      <w:r w:rsidR="00A10164" w:rsidRPr="001938FA">
        <w:rPr>
          <w:rFonts w:ascii="Times New Roman" w:hAnsi="Times New Roman"/>
          <w:bCs/>
          <w:sz w:val="20"/>
          <w:szCs w:val="20"/>
        </w:rPr>
        <w:t>Main beneficiation indicators based on the results of the open cycle</w:t>
      </w:r>
    </w:p>
    <w:p w14:paraId="5ECF04A1" w14:textId="77777777" w:rsidR="00A10164"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113"/>
        <w:gridCol w:w="3112"/>
      </w:tblGrid>
      <w:tr w:rsidR="00A10164" w:rsidRPr="001938FA" w14:paraId="544A9BA5" w14:textId="77777777" w:rsidTr="001938FA">
        <w:trPr>
          <w:jc w:val="center"/>
        </w:trPr>
        <w:tc>
          <w:tcPr>
            <w:tcW w:w="2263" w:type="dxa"/>
          </w:tcPr>
          <w:p w14:paraId="46F18EFF"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Concentrate type</w:t>
            </w:r>
          </w:p>
        </w:tc>
        <w:tc>
          <w:tcPr>
            <w:tcW w:w="3113" w:type="dxa"/>
          </w:tcPr>
          <w:p w14:paraId="3C07A5CD"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Metal content, % Extraction rate, %</w:t>
            </w:r>
          </w:p>
        </w:tc>
        <w:tc>
          <w:tcPr>
            <w:tcW w:w="3112" w:type="dxa"/>
          </w:tcPr>
          <w:p w14:paraId="0C708929"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Metal content, % Extraction rate, %</w:t>
            </w:r>
          </w:p>
        </w:tc>
      </w:tr>
      <w:tr w:rsidR="00A10164" w:rsidRPr="001938FA" w14:paraId="217CA8D9" w14:textId="77777777" w:rsidTr="001938FA">
        <w:trPr>
          <w:jc w:val="center"/>
        </w:trPr>
        <w:tc>
          <w:tcPr>
            <w:tcW w:w="2263" w:type="dxa"/>
          </w:tcPr>
          <w:p w14:paraId="4D41FA28"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Copper (Cu)</w:t>
            </w:r>
          </w:p>
        </w:tc>
        <w:tc>
          <w:tcPr>
            <w:tcW w:w="3113" w:type="dxa"/>
            <w:vAlign w:val="center"/>
          </w:tcPr>
          <w:p w14:paraId="7726BBFA"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28,0</w:t>
            </w:r>
          </w:p>
        </w:tc>
        <w:tc>
          <w:tcPr>
            <w:tcW w:w="3112" w:type="dxa"/>
            <w:vAlign w:val="center"/>
          </w:tcPr>
          <w:p w14:paraId="240651CB"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67,0</w:t>
            </w:r>
          </w:p>
        </w:tc>
      </w:tr>
      <w:tr w:rsidR="00A10164" w:rsidRPr="001938FA" w14:paraId="730F1730" w14:textId="77777777" w:rsidTr="001938FA">
        <w:trPr>
          <w:jc w:val="center"/>
        </w:trPr>
        <w:tc>
          <w:tcPr>
            <w:tcW w:w="2263" w:type="dxa"/>
          </w:tcPr>
          <w:p w14:paraId="466646FA"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Lead (Pb)</w:t>
            </w:r>
          </w:p>
        </w:tc>
        <w:tc>
          <w:tcPr>
            <w:tcW w:w="3113" w:type="dxa"/>
            <w:vAlign w:val="center"/>
          </w:tcPr>
          <w:p w14:paraId="5CBDBCDC"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40,0</w:t>
            </w:r>
          </w:p>
        </w:tc>
        <w:tc>
          <w:tcPr>
            <w:tcW w:w="3112" w:type="dxa"/>
            <w:vAlign w:val="center"/>
          </w:tcPr>
          <w:p w14:paraId="76032E2B"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81,0</w:t>
            </w:r>
          </w:p>
        </w:tc>
      </w:tr>
      <w:tr w:rsidR="00A10164" w:rsidRPr="001938FA" w14:paraId="06B1AD24" w14:textId="77777777" w:rsidTr="001938FA">
        <w:trPr>
          <w:jc w:val="center"/>
        </w:trPr>
        <w:tc>
          <w:tcPr>
            <w:tcW w:w="2263" w:type="dxa"/>
          </w:tcPr>
          <w:p w14:paraId="24F9781D"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Zinc (Zn)</w:t>
            </w:r>
          </w:p>
        </w:tc>
        <w:tc>
          <w:tcPr>
            <w:tcW w:w="3113" w:type="dxa"/>
            <w:vAlign w:val="center"/>
          </w:tcPr>
          <w:p w14:paraId="1181A4C3"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47,0</w:t>
            </w:r>
          </w:p>
        </w:tc>
        <w:tc>
          <w:tcPr>
            <w:tcW w:w="3112" w:type="dxa"/>
            <w:vAlign w:val="center"/>
          </w:tcPr>
          <w:p w14:paraId="359A9778" w14:textId="77777777" w:rsidR="00A10164" w:rsidRPr="001938FA" w:rsidRDefault="00A10164" w:rsidP="00AE4AD6">
            <w:pPr>
              <w:spacing w:after="0" w:line="276" w:lineRule="auto"/>
              <w:jc w:val="both"/>
              <w:rPr>
                <w:rFonts w:ascii="Times New Roman" w:hAnsi="Times New Roman" w:cs="Times New Roman"/>
                <w:sz w:val="18"/>
                <w:szCs w:val="18"/>
              </w:rPr>
            </w:pPr>
            <w:r w:rsidRPr="001938FA">
              <w:rPr>
                <w:rFonts w:ascii="Times New Roman" w:hAnsi="Times New Roman" w:cs="Times New Roman"/>
                <w:sz w:val="18"/>
                <w:szCs w:val="18"/>
              </w:rPr>
              <w:t>47,0</w:t>
            </w:r>
          </w:p>
        </w:tc>
      </w:tr>
    </w:tbl>
    <w:p w14:paraId="694BE9AF" w14:textId="77777777" w:rsidR="00A10164"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sz w:val="20"/>
          <w:szCs w:val="20"/>
        </w:rPr>
      </w:pPr>
      <w:r>
        <w:rPr>
          <w:rFonts w:ascii="Times New Roman" w:hAnsi="Times New Roman"/>
          <w:noProof/>
          <w:sz w:val="28"/>
          <w:szCs w:val="28"/>
          <w:lang w:val="ru-RU" w:eastAsia="ru-RU"/>
        </w:rPr>
        <w:lastRenderedPageBreak/>
        <w:drawing>
          <wp:inline distT="0" distB="0" distL="0" distR="0" wp14:anchorId="42FFC3E8" wp14:editId="3E30E2C1">
            <wp:extent cx="4630522" cy="2472537"/>
            <wp:effectExtent l="0" t="0" r="17780" b="444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050D3D7" w14:textId="77777777" w:rsidR="00A10164"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sz w:val="20"/>
          <w:szCs w:val="20"/>
        </w:rPr>
      </w:pPr>
    </w:p>
    <w:p w14:paraId="57DB9CD8" w14:textId="440CE75A" w:rsidR="00A10164" w:rsidRPr="001938FA" w:rsidRDefault="001938FA"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Cs/>
          <w:sz w:val="20"/>
          <w:szCs w:val="20"/>
        </w:rPr>
      </w:pPr>
      <w:r w:rsidRPr="005F0D09">
        <w:rPr>
          <w:rFonts w:ascii="Times New Roman" w:hAnsi="Times New Roman"/>
          <w:b/>
          <w:sz w:val="20"/>
          <w:szCs w:val="20"/>
        </w:rPr>
        <w:t>FIG</w:t>
      </w:r>
      <w:r>
        <w:rPr>
          <w:rFonts w:ascii="Times New Roman" w:hAnsi="Times New Roman"/>
          <w:b/>
          <w:sz w:val="20"/>
          <w:szCs w:val="20"/>
        </w:rPr>
        <w:t>URE</w:t>
      </w:r>
      <w:r w:rsidR="00A10164" w:rsidRPr="005F0D09">
        <w:rPr>
          <w:rFonts w:ascii="Times New Roman" w:hAnsi="Times New Roman"/>
          <w:b/>
          <w:sz w:val="20"/>
          <w:szCs w:val="20"/>
        </w:rPr>
        <w:t xml:space="preserve"> 3</w:t>
      </w:r>
      <w:r>
        <w:rPr>
          <w:rFonts w:ascii="Times New Roman" w:hAnsi="Times New Roman"/>
          <w:b/>
          <w:sz w:val="20"/>
          <w:szCs w:val="20"/>
        </w:rPr>
        <w:t>.</w:t>
      </w:r>
      <w:r w:rsidR="00A10164" w:rsidRPr="005F0D09">
        <w:rPr>
          <w:rFonts w:ascii="Times New Roman" w:hAnsi="Times New Roman"/>
          <w:b/>
          <w:sz w:val="20"/>
          <w:szCs w:val="20"/>
        </w:rPr>
        <w:t xml:space="preserve"> </w:t>
      </w:r>
      <w:r w:rsidR="00A10164" w:rsidRPr="001938FA">
        <w:rPr>
          <w:rFonts w:ascii="Times New Roman" w:hAnsi="Times New Roman"/>
          <w:bCs/>
          <w:sz w:val="20"/>
          <w:szCs w:val="20"/>
        </w:rPr>
        <w:t>Main beneficiation indicators based on the results of the open cycle</w:t>
      </w:r>
    </w:p>
    <w:p w14:paraId="1F1CFE16" w14:textId="77777777" w:rsidR="00A10164"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sz w:val="20"/>
          <w:szCs w:val="20"/>
        </w:rPr>
      </w:pPr>
    </w:p>
    <w:p w14:paraId="364C4FE2" w14:textId="77777777" w:rsidR="00A10164" w:rsidRPr="005F0D09"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0"/>
          <w:szCs w:val="20"/>
        </w:rPr>
      </w:pPr>
      <w:r w:rsidRPr="005F0D09">
        <w:rPr>
          <w:rFonts w:ascii="Times New Roman" w:hAnsi="Times New Roman"/>
          <w:b/>
          <w:sz w:val="20"/>
          <w:szCs w:val="20"/>
        </w:rPr>
        <w:t>Closed cycle flotation results</w:t>
      </w:r>
      <w:r>
        <w:rPr>
          <w:rFonts w:ascii="Times New Roman" w:hAnsi="Times New Roman"/>
          <w:b/>
          <w:sz w:val="20"/>
          <w:szCs w:val="20"/>
        </w:rPr>
        <w:t xml:space="preserve">: </w:t>
      </w:r>
      <w:r w:rsidRPr="005F0D09">
        <w:rPr>
          <w:rFonts w:ascii="Times New Roman" w:hAnsi="Times New Roman"/>
          <w:sz w:val="20"/>
          <w:szCs w:val="20"/>
        </w:rPr>
        <w:t>According to calculations, under closed-loop conditions, the following separation indicators can be achieved:</w:t>
      </w:r>
    </w:p>
    <w:p w14:paraId="28A16C4B" w14:textId="77777777" w:rsidR="00A10164" w:rsidRPr="005F0D09"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0"/>
          <w:szCs w:val="20"/>
        </w:rPr>
      </w:pPr>
      <w:r w:rsidRPr="005F0D09">
        <w:rPr>
          <w:rFonts w:ascii="Times New Roman" w:hAnsi="Times New Roman"/>
          <w:sz w:val="20"/>
          <w:szCs w:val="20"/>
        </w:rPr>
        <w:t>• Copper - 70%;</w:t>
      </w:r>
    </w:p>
    <w:p w14:paraId="53C42EE5" w14:textId="77777777" w:rsidR="00A10164" w:rsidRPr="005F0D09"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0"/>
          <w:szCs w:val="20"/>
        </w:rPr>
      </w:pPr>
      <w:r w:rsidRPr="005F0D09">
        <w:rPr>
          <w:rFonts w:ascii="Times New Roman" w:hAnsi="Times New Roman"/>
          <w:sz w:val="20"/>
          <w:szCs w:val="20"/>
        </w:rPr>
        <w:t>• Lead - 90%;</w:t>
      </w:r>
    </w:p>
    <w:p w14:paraId="2847E321" w14:textId="77777777" w:rsidR="00A10164"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0"/>
          <w:szCs w:val="20"/>
        </w:rPr>
      </w:pPr>
      <w:r w:rsidRPr="005F0D09">
        <w:rPr>
          <w:rFonts w:ascii="Times New Roman" w:hAnsi="Times New Roman"/>
          <w:sz w:val="20"/>
          <w:szCs w:val="20"/>
        </w:rPr>
        <w:t>• Zinc - 70-80%.</w:t>
      </w:r>
    </w:p>
    <w:p w14:paraId="68E13DF4" w14:textId="77777777" w:rsidR="00A10164" w:rsidRPr="005F0D09"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0"/>
          <w:szCs w:val="20"/>
        </w:rPr>
      </w:pPr>
      <w:r w:rsidRPr="005F0D09">
        <w:rPr>
          <w:rFonts w:ascii="Times New Roman" w:hAnsi="Times New Roman"/>
          <w:sz w:val="20"/>
          <w:szCs w:val="20"/>
        </w:rPr>
        <w:t>The low degree of metal recovery during the complex extraction of metals as a result of polymetallic ore beneficiation necessitated a revision of the reagent regime, in which the following regimes were reviewed:</w:t>
      </w:r>
    </w:p>
    <w:p w14:paraId="2412B918" w14:textId="77777777" w:rsidR="00A10164" w:rsidRPr="005F0D09"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0"/>
          <w:szCs w:val="20"/>
        </w:rPr>
      </w:pPr>
      <w:r w:rsidRPr="005F0D09">
        <w:rPr>
          <w:rFonts w:ascii="Times New Roman" w:hAnsi="Times New Roman"/>
          <w:sz w:val="20"/>
          <w:szCs w:val="20"/>
        </w:rPr>
        <w:t>• Crushing of ore to a fraction of 90% -0.074 mm;</w:t>
      </w:r>
    </w:p>
    <w:p w14:paraId="7D53A66E" w14:textId="77777777" w:rsidR="00A10164" w:rsidRPr="005F0D09"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0"/>
          <w:szCs w:val="20"/>
        </w:rPr>
      </w:pPr>
      <w:r w:rsidRPr="005F0D09">
        <w:rPr>
          <w:rFonts w:ascii="Times New Roman" w:hAnsi="Times New Roman"/>
          <w:sz w:val="20"/>
          <w:szCs w:val="20"/>
        </w:rPr>
        <w:t>• obtaining a collective concentrate of Cu-Pb (Na</w:t>
      </w:r>
      <w:r w:rsidRPr="00075C61">
        <w:rPr>
          <w:rFonts w:ascii="Times New Roman" w:hAnsi="Times New Roman"/>
          <w:sz w:val="20"/>
          <w:szCs w:val="20"/>
          <w:vertAlign w:val="subscript"/>
        </w:rPr>
        <w:t>2</w:t>
      </w:r>
      <w:r w:rsidRPr="005F0D09">
        <w:rPr>
          <w:rFonts w:ascii="Times New Roman" w:hAnsi="Times New Roman"/>
          <w:sz w:val="20"/>
          <w:szCs w:val="20"/>
        </w:rPr>
        <w:t>S - 2000 g/t, ZnSO4 - 1400 g/t, KCN - 300 g/t);</w:t>
      </w:r>
    </w:p>
    <w:p w14:paraId="0D24CC90" w14:textId="77777777" w:rsidR="00A10164" w:rsidRPr="005F0D09"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0"/>
          <w:szCs w:val="20"/>
        </w:rPr>
      </w:pPr>
      <w:r w:rsidRPr="005F0D09">
        <w:rPr>
          <w:rFonts w:ascii="Times New Roman" w:hAnsi="Times New Roman"/>
          <w:sz w:val="20"/>
          <w:szCs w:val="20"/>
        </w:rPr>
        <w:t>• Desorption with Na</w:t>
      </w:r>
      <w:r w:rsidRPr="001938FA">
        <w:rPr>
          <w:rFonts w:ascii="Times New Roman" w:hAnsi="Times New Roman"/>
          <w:sz w:val="20"/>
          <w:szCs w:val="20"/>
          <w:vertAlign w:val="subscript"/>
        </w:rPr>
        <w:t>2</w:t>
      </w:r>
      <w:r w:rsidRPr="005F0D09">
        <w:rPr>
          <w:rFonts w:ascii="Times New Roman" w:hAnsi="Times New Roman"/>
          <w:sz w:val="20"/>
          <w:szCs w:val="20"/>
        </w:rPr>
        <w:t>S for 30 minutes (5 kg/t);</w:t>
      </w:r>
    </w:p>
    <w:p w14:paraId="57C87ADD" w14:textId="77777777" w:rsidR="00A10164" w:rsidRPr="005F0D09"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0"/>
          <w:szCs w:val="20"/>
        </w:rPr>
      </w:pPr>
      <w:r w:rsidRPr="005F0D09">
        <w:rPr>
          <w:rFonts w:ascii="Times New Roman" w:hAnsi="Times New Roman"/>
          <w:sz w:val="20"/>
          <w:szCs w:val="20"/>
        </w:rPr>
        <w:t>• selective separation with Na</w:t>
      </w:r>
      <w:r w:rsidRPr="001938FA">
        <w:rPr>
          <w:rFonts w:ascii="Times New Roman" w:hAnsi="Times New Roman"/>
          <w:sz w:val="20"/>
          <w:szCs w:val="20"/>
          <w:vertAlign w:val="subscript"/>
        </w:rPr>
        <w:t>2</w:t>
      </w:r>
      <w:r w:rsidRPr="005F0D09">
        <w:rPr>
          <w:rFonts w:ascii="Times New Roman" w:hAnsi="Times New Roman"/>
          <w:sz w:val="20"/>
          <w:szCs w:val="20"/>
        </w:rPr>
        <w:t>SO</w:t>
      </w:r>
      <w:r w:rsidRPr="001938FA">
        <w:rPr>
          <w:rFonts w:ascii="Times New Roman" w:hAnsi="Times New Roman"/>
          <w:sz w:val="20"/>
          <w:szCs w:val="20"/>
          <w:vertAlign w:val="subscript"/>
        </w:rPr>
        <w:t>3</w:t>
      </w:r>
      <w:r w:rsidRPr="005F0D09">
        <w:rPr>
          <w:rFonts w:ascii="Times New Roman" w:hAnsi="Times New Roman"/>
          <w:sz w:val="20"/>
          <w:szCs w:val="20"/>
        </w:rPr>
        <w:t xml:space="preserve"> (1700 g/t);</w:t>
      </w:r>
    </w:p>
    <w:p w14:paraId="411E6639" w14:textId="77777777" w:rsidR="00A10164" w:rsidRPr="005F0D09"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0"/>
          <w:szCs w:val="20"/>
        </w:rPr>
      </w:pPr>
      <w:r w:rsidRPr="005F0D09">
        <w:rPr>
          <w:rFonts w:ascii="Times New Roman" w:hAnsi="Times New Roman"/>
          <w:sz w:val="20"/>
          <w:szCs w:val="20"/>
        </w:rPr>
        <w:t>• obtaining Cu and Pb concentrates in H</w:t>
      </w:r>
      <w:r w:rsidRPr="00075C61">
        <w:rPr>
          <w:rFonts w:ascii="Times New Roman" w:hAnsi="Times New Roman"/>
          <w:sz w:val="20"/>
          <w:szCs w:val="20"/>
          <w:vertAlign w:val="subscript"/>
        </w:rPr>
        <w:t>2</w:t>
      </w:r>
      <w:r w:rsidRPr="005F0D09">
        <w:rPr>
          <w:rFonts w:ascii="Times New Roman" w:hAnsi="Times New Roman"/>
          <w:sz w:val="20"/>
          <w:szCs w:val="20"/>
        </w:rPr>
        <w:t>SO</w:t>
      </w:r>
      <w:r w:rsidRPr="00075C61">
        <w:rPr>
          <w:rFonts w:ascii="Times New Roman" w:hAnsi="Times New Roman"/>
          <w:sz w:val="20"/>
          <w:szCs w:val="20"/>
          <w:vertAlign w:val="subscript"/>
        </w:rPr>
        <w:t>4</w:t>
      </w:r>
      <w:r w:rsidRPr="005F0D09">
        <w:rPr>
          <w:rFonts w:ascii="Times New Roman" w:hAnsi="Times New Roman"/>
          <w:sz w:val="20"/>
          <w:szCs w:val="20"/>
        </w:rPr>
        <w:t xml:space="preserve"> (1500 g/t);</w:t>
      </w:r>
    </w:p>
    <w:p w14:paraId="46446ECD" w14:textId="77777777" w:rsidR="00A10164" w:rsidRPr="005F0D09"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0"/>
          <w:szCs w:val="20"/>
        </w:rPr>
      </w:pPr>
      <w:r w:rsidRPr="005F0D09">
        <w:rPr>
          <w:rFonts w:ascii="Times New Roman" w:hAnsi="Times New Roman"/>
          <w:sz w:val="20"/>
          <w:szCs w:val="20"/>
        </w:rPr>
        <w:t>• Additional processing in a medium of cyanide (100 g/t) and soda;</w:t>
      </w:r>
    </w:p>
    <w:p w14:paraId="4A5B7CFF" w14:textId="77777777" w:rsidR="00A10164"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0"/>
          <w:szCs w:val="20"/>
        </w:rPr>
      </w:pPr>
      <w:r w:rsidRPr="005F0D09">
        <w:rPr>
          <w:rFonts w:ascii="Times New Roman" w:hAnsi="Times New Roman"/>
          <w:sz w:val="20"/>
          <w:szCs w:val="20"/>
        </w:rPr>
        <w:t>Extraction of Zn from copper-lead tailings using CaO (100 mg/l) and CuSO</w:t>
      </w:r>
      <w:r w:rsidRPr="00075C61">
        <w:rPr>
          <w:rFonts w:ascii="Times New Roman" w:hAnsi="Times New Roman"/>
          <w:sz w:val="20"/>
          <w:szCs w:val="20"/>
          <w:vertAlign w:val="subscript"/>
        </w:rPr>
        <w:t>4</w:t>
      </w:r>
      <w:r w:rsidRPr="005F0D09">
        <w:rPr>
          <w:rFonts w:ascii="Times New Roman" w:hAnsi="Times New Roman"/>
          <w:sz w:val="20"/>
          <w:szCs w:val="20"/>
        </w:rPr>
        <w:t xml:space="preserve"> (300 g/t). [2]</w:t>
      </w:r>
    </w:p>
    <w:p w14:paraId="32D72A44" w14:textId="77777777" w:rsidR="00A10164"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0"/>
          <w:szCs w:val="20"/>
        </w:rPr>
      </w:pPr>
      <w:r w:rsidRPr="005F0D09">
        <w:rPr>
          <w:rFonts w:ascii="Times New Roman" w:hAnsi="Times New Roman"/>
          <w:sz w:val="20"/>
          <w:szCs w:val="20"/>
        </w:rPr>
        <w:t>As a result of the experiments conducted according to the proposed scheme, the following indicators were obtained (Table 3):</w:t>
      </w:r>
    </w:p>
    <w:p w14:paraId="037D2E33" w14:textId="7A5DDB98" w:rsidR="00A10164" w:rsidRDefault="001938FA"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0"/>
          <w:szCs w:val="20"/>
        </w:rPr>
      </w:pPr>
      <w:r w:rsidRPr="001938FA">
        <w:rPr>
          <w:rFonts w:ascii="Times New Roman" w:hAnsi="Times New Roman"/>
          <w:b/>
          <w:bCs/>
          <w:sz w:val="20"/>
          <w:szCs w:val="20"/>
        </w:rPr>
        <w:t>TABLE 3.</w:t>
      </w:r>
      <w:r>
        <w:rPr>
          <w:rFonts w:ascii="Times New Roman" w:hAnsi="Times New Roman"/>
          <w:sz w:val="20"/>
          <w:szCs w:val="20"/>
        </w:rPr>
        <w:t xml:space="preserve"> </w:t>
      </w:r>
      <w:r w:rsidR="00A10164" w:rsidRPr="005F0D09">
        <w:rPr>
          <w:rFonts w:ascii="Times New Roman" w:hAnsi="Times New Roman"/>
          <w:sz w:val="20"/>
          <w:szCs w:val="20"/>
        </w:rPr>
        <w:t>Enrichment indicators based on closed cycle results</w:t>
      </w:r>
    </w:p>
    <w:p w14:paraId="7462168B" w14:textId="77777777" w:rsidR="00A10164"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365"/>
        <w:gridCol w:w="1118"/>
        <w:gridCol w:w="1632"/>
      </w:tblGrid>
      <w:tr w:rsidR="00A10164" w:rsidRPr="00075C61" w14:paraId="0FE9DD29" w14:textId="77777777" w:rsidTr="001938FA">
        <w:trPr>
          <w:jc w:val="center"/>
        </w:trPr>
        <w:tc>
          <w:tcPr>
            <w:tcW w:w="3539" w:type="dxa"/>
            <w:vAlign w:val="center"/>
          </w:tcPr>
          <w:p w14:paraId="7207BF4A" w14:textId="77777777" w:rsidR="00A10164" w:rsidRPr="00075C61" w:rsidRDefault="00A10164" w:rsidP="00AE4AD6">
            <w:pPr>
              <w:spacing w:after="0" w:line="276" w:lineRule="auto"/>
              <w:jc w:val="both"/>
              <w:rPr>
                <w:rFonts w:ascii="Times New Roman" w:hAnsi="Times New Roman" w:cs="Times New Roman"/>
                <w:b/>
                <w:sz w:val="18"/>
                <w:szCs w:val="18"/>
              </w:rPr>
            </w:pPr>
            <w:r w:rsidRPr="00075C61">
              <w:rPr>
                <w:rFonts w:ascii="Times New Roman" w:hAnsi="Times New Roman" w:cs="Times New Roman"/>
                <w:b/>
                <w:sz w:val="18"/>
                <w:szCs w:val="18"/>
              </w:rPr>
              <w:t>Initial ore composition</w:t>
            </w:r>
          </w:p>
        </w:tc>
        <w:tc>
          <w:tcPr>
            <w:tcW w:w="2365" w:type="dxa"/>
            <w:vAlign w:val="center"/>
          </w:tcPr>
          <w:p w14:paraId="2E427032"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concentrate type</w:t>
            </w:r>
          </w:p>
        </w:tc>
        <w:tc>
          <w:tcPr>
            <w:tcW w:w="1118" w:type="dxa"/>
            <w:vAlign w:val="center"/>
          </w:tcPr>
          <w:p w14:paraId="45D700CF"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Metal (%)</w:t>
            </w:r>
          </w:p>
        </w:tc>
        <w:tc>
          <w:tcPr>
            <w:tcW w:w="1632" w:type="dxa"/>
            <w:vAlign w:val="center"/>
          </w:tcPr>
          <w:p w14:paraId="6446EC73"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Extract (%)</w:t>
            </w:r>
          </w:p>
        </w:tc>
      </w:tr>
      <w:tr w:rsidR="00A10164" w:rsidRPr="00075C61" w14:paraId="73AB4BF1" w14:textId="77777777" w:rsidTr="001938FA">
        <w:trPr>
          <w:jc w:val="center"/>
        </w:trPr>
        <w:tc>
          <w:tcPr>
            <w:tcW w:w="3539" w:type="dxa"/>
            <w:vAlign w:val="center"/>
          </w:tcPr>
          <w:p w14:paraId="19D61828"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Cu – 0,56%; Pb – 2,55%; Zn – 5,2%</w:t>
            </w:r>
          </w:p>
        </w:tc>
        <w:tc>
          <w:tcPr>
            <w:tcW w:w="2365" w:type="dxa"/>
          </w:tcPr>
          <w:p w14:paraId="45697B17"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Copper (Cu)</w:t>
            </w:r>
          </w:p>
        </w:tc>
        <w:tc>
          <w:tcPr>
            <w:tcW w:w="1118" w:type="dxa"/>
            <w:vAlign w:val="center"/>
          </w:tcPr>
          <w:p w14:paraId="7AA402E9"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23,5</w:t>
            </w:r>
          </w:p>
        </w:tc>
        <w:tc>
          <w:tcPr>
            <w:tcW w:w="1632" w:type="dxa"/>
            <w:vAlign w:val="center"/>
          </w:tcPr>
          <w:p w14:paraId="01109185"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79,0</w:t>
            </w:r>
          </w:p>
        </w:tc>
      </w:tr>
      <w:tr w:rsidR="00A10164" w:rsidRPr="00075C61" w14:paraId="168562BA" w14:textId="77777777" w:rsidTr="001938FA">
        <w:trPr>
          <w:jc w:val="center"/>
        </w:trPr>
        <w:tc>
          <w:tcPr>
            <w:tcW w:w="3539" w:type="dxa"/>
            <w:vAlign w:val="center"/>
          </w:tcPr>
          <w:p w14:paraId="0D8D5856" w14:textId="77777777" w:rsidR="00A10164" w:rsidRPr="00075C61" w:rsidRDefault="00A10164" w:rsidP="00AE4AD6">
            <w:pPr>
              <w:spacing w:after="0" w:line="276" w:lineRule="auto"/>
              <w:jc w:val="both"/>
              <w:rPr>
                <w:rFonts w:ascii="Times New Roman" w:hAnsi="Times New Roman" w:cs="Times New Roman"/>
                <w:sz w:val="18"/>
                <w:szCs w:val="18"/>
              </w:rPr>
            </w:pPr>
          </w:p>
        </w:tc>
        <w:tc>
          <w:tcPr>
            <w:tcW w:w="2365" w:type="dxa"/>
          </w:tcPr>
          <w:p w14:paraId="02829CF5"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Lead (Pb)</w:t>
            </w:r>
          </w:p>
        </w:tc>
        <w:tc>
          <w:tcPr>
            <w:tcW w:w="1118" w:type="dxa"/>
            <w:vAlign w:val="center"/>
          </w:tcPr>
          <w:p w14:paraId="67CC21F1"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48,2</w:t>
            </w:r>
          </w:p>
        </w:tc>
        <w:tc>
          <w:tcPr>
            <w:tcW w:w="1632" w:type="dxa"/>
            <w:vAlign w:val="center"/>
          </w:tcPr>
          <w:p w14:paraId="1D3F0A93"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83,4</w:t>
            </w:r>
          </w:p>
        </w:tc>
      </w:tr>
      <w:tr w:rsidR="00A10164" w:rsidRPr="00075C61" w14:paraId="781E9001" w14:textId="77777777" w:rsidTr="001938FA">
        <w:trPr>
          <w:jc w:val="center"/>
        </w:trPr>
        <w:tc>
          <w:tcPr>
            <w:tcW w:w="3539" w:type="dxa"/>
            <w:vAlign w:val="center"/>
          </w:tcPr>
          <w:p w14:paraId="16292B53" w14:textId="77777777" w:rsidR="00A10164" w:rsidRPr="00075C61" w:rsidRDefault="00A10164" w:rsidP="00AE4AD6">
            <w:pPr>
              <w:spacing w:after="0" w:line="276" w:lineRule="auto"/>
              <w:jc w:val="both"/>
              <w:rPr>
                <w:rFonts w:ascii="Times New Roman" w:hAnsi="Times New Roman" w:cs="Times New Roman"/>
                <w:sz w:val="18"/>
                <w:szCs w:val="18"/>
              </w:rPr>
            </w:pPr>
          </w:p>
        </w:tc>
        <w:tc>
          <w:tcPr>
            <w:tcW w:w="2365" w:type="dxa"/>
          </w:tcPr>
          <w:p w14:paraId="446FDA01"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Zinc (Zn)</w:t>
            </w:r>
          </w:p>
        </w:tc>
        <w:tc>
          <w:tcPr>
            <w:tcW w:w="1118" w:type="dxa"/>
            <w:vAlign w:val="center"/>
          </w:tcPr>
          <w:p w14:paraId="120B43D0"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47,0</w:t>
            </w:r>
          </w:p>
        </w:tc>
        <w:tc>
          <w:tcPr>
            <w:tcW w:w="1632" w:type="dxa"/>
            <w:vAlign w:val="center"/>
          </w:tcPr>
          <w:p w14:paraId="5535482B"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84,3</w:t>
            </w:r>
          </w:p>
        </w:tc>
      </w:tr>
      <w:tr w:rsidR="00A10164" w:rsidRPr="00075C61" w14:paraId="220964CE" w14:textId="77777777" w:rsidTr="001938FA">
        <w:trPr>
          <w:jc w:val="center"/>
        </w:trPr>
        <w:tc>
          <w:tcPr>
            <w:tcW w:w="3539" w:type="dxa"/>
            <w:vAlign w:val="center"/>
          </w:tcPr>
          <w:p w14:paraId="47877644"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Cu – 0,45%; Pb – 1,7%; Zn – 6%</w:t>
            </w:r>
          </w:p>
        </w:tc>
        <w:tc>
          <w:tcPr>
            <w:tcW w:w="2365" w:type="dxa"/>
          </w:tcPr>
          <w:p w14:paraId="32D0EAF1"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Copper (Cu)</w:t>
            </w:r>
          </w:p>
        </w:tc>
        <w:tc>
          <w:tcPr>
            <w:tcW w:w="1118" w:type="dxa"/>
            <w:vAlign w:val="center"/>
          </w:tcPr>
          <w:p w14:paraId="13D1EA08"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19,7</w:t>
            </w:r>
          </w:p>
        </w:tc>
        <w:tc>
          <w:tcPr>
            <w:tcW w:w="1632" w:type="dxa"/>
            <w:vAlign w:val="center"/>
          </w:tcPr>
          <w:p w14:paraId="770BFD82"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68,0</w:t>
            </w:r>
          </w:p>
        </w:tc>
      </w:tr>
      <w:tr w:rsidR="00A10164" w:rsidRPr="00075C61" w14:paraId="6092055F" w14:textId="77777777" w:rsidTr="001938FA">
        <w:trPr>
          <w:jc w:val="center"/>
        </w:trPr>
        <w:tc>
          <w:tcPr>
            <w:tcW w:w="3539" w:type="dxa"/>
            <w:vAlign w:val="center"/>
          </w:tcPr>
          <w:p w14:paraId="5D6D00FC" w14:textId="77777777" w:rsidR="00A10164" w:rsidRPr="00075C61" w:rsidRDefault="00A10164" w:rsidP="00AE4AD6">
            <w:pPr>
              <w:spacing w:after="0" w:line="276" w:lineRule="auto"/>
              <w:jc w:val="both"/>
              <w:rPr>
                <w:rFonts w:ascii="Times New Roman" w:hAnsi="Times New Roman" w:cs="Times New Roman"/>
                <w:sz w:val="18"/>
                <w:szCs w:val="18"/>
              </w:rPr>
            </w:pPr>
          </w:p>
        </w:tc>
        <w:tc>
          <w:tcPr>
            <w:tcW w:w="2365" w:type="dxa"/>
          </w:tcPr>
          <w:p w14:paraId="39CBAEB2"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Lead (Pb)</w:t>
            </w:r>
          </w:p>
        </w:tc>
        <w:tc>
          <w:tcPr>
            <w:tcW w:w="1118" w:type="dxa"/>
            <w:vAlign w:val="center"/>
          </w:tcPr>
          <w:p w14:paraId="55F9B2C3"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49,5</w:t>
            </w:r>
          </w:p>
        </w:tc>
        <w:tc>
          <w:tcPr>
            <w:tcW w:w="1632" w:type="dxa"/>
            <w:vAlign w:val="center"/>
          </w:tcPr>
          <w:p w14:paraId="674BC358"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78,7</w:t>
            </w:r>
          </w:p>
        </w:tc>
      </w:tr>
      <w:tr w:rsidR="00A10164" w:rsidRPr="00075C61" w14:paraId="4422A30F" w14:textId="77777777" w:rsidTr="001938FA">
        <w:trPr>
          <w:jc w:val="center"/>
        </w:trPr>
        <w:tc>
          <w:tcPr>
            <w:tcW w:w="3539" w:type="dxa"/>
            <w:vAlign w:val="center"/>
          </w:tcPr>
          <w:p w14:paraId="5CE4F7C2" w14:textId="77777777" w:rsidR="00A10164" w:rsidRPr="00075C61" w:rsidRDefault="00A10164" w:rsidP="00AE4AD6">
            <w:pPr>
              <w:spacing w:after="0" w:line="276" w:lineRule="auto"/>
              <w:jc w:val="both"/>
              <w:rPr>
                <w:rFonts w:ascii="Times New Roman" w:hAnsi="Times New Roman" w:cs="Times New Roman"/>
                <w:sz w:val="18"/>
                <w:szCs w:val="18"/>
              </w:rPr>
            </w:pPr>
          </w:p>
        </w:tc>
        <w:tc>
          <w:tcPr>
            <w:tcW w:w="2365" w:type="dxa"/>
          </w:tcPr>
          <w:p w14:paraId="5701BD0B"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Zinc (Zn)</w:t>
            </w:r>
          </w:p>
        </w:tc>
        <w:tc>
          <w:tcPr>
            <w:tcW w:w="1118" w:type="dxa"/>
            <w:vAlign w:val="center"/>
          </w:tcPr>
          <w:p w14:paraId="78BE3A97"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47,4</w:t>
            </w:r>
          </w:p>
        </w:tc>
        <w:tc>
          <w:tcPr>
            <w:tcW w:w="1632" w:type="dxa"/>
            <w:vAlign w:val="center"/>
          </w:tcPr>
          <w:p w14:paraId="34DAACC4" w14:textId="77777777" w:rsidR="00A10164" w:rsidRPr="00075C61" w:rsidRDefault="00A10164" w:rsidP="00AE4AD6">
            <w:pPr>
              <w:spacing w:after="0" w:line="276" w:lineRule="auto"/>
              <w:jc w:val="both"/>
              <w:rPr>
                <w:rFonts w:ascii="Times New Roman" w:hAnsi="Times New Roman" w:cs="Times New Roman"/>
                <w:sz w:val="18"/>
                <w:szCs w:val="18"/>
              </w:rPr>
            </w:pPr>
            <w:r w:rsidRPr="00075C61">
              <w:rPr>
                <w:rFonts w:ascii="Times New Roman" w:hAnsi="Times New Roman" w:cs="Times New Roman"/>
                <w:sz w:val="18"/>
                <w:szCs w:val="18"/>
              </w:rPr>
              <w:t>83,7</w:t>
            </w:r>
          </w:p>
        </w:tc>
      </w:tr>
    </w:tbl>
    <w:p w14:paraId="7FD657B4" w14:textId="77777777" w:rsidR="00A10164" w:rsidRDefault="00A10164" w:rsidP="00A10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0"/>
          <w:szCs w:val="20"/>
        </w:rPr>
      </w:pPr>
      <w:r>
        <w:rPr>
          <w:rFonts w:ascii="Times New Roman" w:hAnsi="Times New Roman"/>
          <w:noProof/>
          <w:sz w:val="28"/>
          <w:szCs w:val="28"/>
          <w:lang w:val="ru-RU" w:eastAsia="ru-RU"/>
        </w:rPr>
        <w:lastRenderedPageBreak/>
        <w:drawing>
          <wp:inline distT="0" distB="0" distL="0" distR="0" wp14:anchorId="75D88C1B" wp14:editId="348F8622">
            <wp:extent cx="4630522" cy="2472537"/>
            <wp:effectExtent l="0" t="0" r="17780" b="444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EF8BC0" w14:textId="5DED7E5B" w:rsidR="00A10164" w:rsidRPr="00794854" w:rsidRDefault="001938FA" w:rsidP="00A10164">
      <w:pPr>
        <w:overflowPunct w:val="0"/>
        <w:autoSpaceDE w:val="0"/>
        <w:autoSpaceDN w:val="0"/>
        <w:adjustRightInd w:val="0"/>
        <w:spacing w:before="240" w:after="240" w:line="240" w:lineRule="auto"/>
        <w:ind w:firstLine="284"/>
        <w:jc w:val="center"/>
        <w:textAlignment w:val="baseline"/>
        <w:rPr>
          <w:rFonts w:ascii="Times New Roman" w:hAnsi="Times New Roman" w:cs="Times New Roman"/>
          <w:sz w:val="20"/>
          <w:szCs w:val="20"/>
        </w:rPr>
      </w:pPr>
      <w:r w:rsidRPr="00794854">
        <w:rPr>
          <w:rFonts w:ascii="Times New Roman" w:hAnsi="Times New Roman" w:cs="Times New Roman"/>
          <w:b/>
          <w:sz w:val="20"/>
          <w:szCs w:val="20"/>
        </w:rPr>
        <w:t xml:space="preserve">FIGURE </w:t>
      </w:r>
      <w:r w:rsidR="00A10164" w:rsidRPr="00794854">
        <w:rPr>
          <w:rFonts w:ascii="Times New Roman" w:hAnsi="Times New Roman" w:cs="Times New Roman"/>
          <w:b/>
          <w:sz w:val="20"/>
          <w:szCs w:val="20"/>
        </w:rPr>
        <w:t>4.</w:t>
      </w:r>
      <w:r w:rsidR="00A10164" w:rsidRPr="00794854">
        <w:rPr>
          <w:rFonts w:ascii="Times New Roman" w:hAnsi="Times New Roman" w:cs="Times New Roman"/>
          <w:sz w:val="20"/>
          <w:szCs w:val="20"/>
        </w:rPr>
        <w:t xml:space="preserve"> According to the results of the closed cycle, the beneficiation indicators are Cu - 0.56%; Pb - 2.55%; Zn - 5.2%</w:t>
      </w:r>
    </w:p>
    <w:p w14:paraId="6CD12C39" w14:textId="77777777" w:rsidR="00A10164" w:rsidRDefault="00A10164" w:rsidP="00A10164">
      <w:pPr>
        <w:overflowPunct w:val="0"/>
        <w:autoSpaceDE w:val="0"/>
        <w:autoSpaceDN w:val="0"/>
        <w:adjustRightInd w:val="0"/>
        <w:spacing w:before="240" w:after="240" w:line="240" w:lineRule="auto"/>
        <w:ind w:firstLine="284"/>
        <w:jc w:val="center"/>
        <w:textAlignment w:val="baseline"/>
        <w:rPr>
          <w:rFonts w:ascii="Times New Roman" w:hAnsi="Times New Roman" w:cs="Times New Roman"/>
          <w:sz w:val="24"/>
          <w:szCs w:val="24"/>
        </w:rPr>
      </w:pPr>
      <w:r>
        <w:rPr>
          <w:rFonts w:ascii="Times New Roman" w:hAnsi="Times New Roman"/>
          <w:noProof/>
          <w:sz w:val="28"/>
          <w:szCs w:val="28"/>
          <w:lang w:val="ru-RU" w:eastAsia="ru-RU"/>
        </w:rPr>
        <w:drawing>
          <wp:inline distT="0" distB="0" distL="0" distR="0" wp14:anchorId="50F2DDA6" wp14:editId="7AABC0C4">
            <wp:extent cx="4630522" cy="2472537"/>
            <wp:effectExtent l="0" t="0" r="17780" b="444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9A80FE" w14:textId="1E57AB6F" w:rsidR="00A10164" w:rsidRPr="00794854" w:rsidRDefault="001938FA" w:rsidP="00A10164">
      <w:pPr>
        <w:overflowPunct w:val="0"/>
        <w:autoSpaceDE w:val="0"/>
        <w:autoSpaceDN w:val="0"/>
        <w:adjustRightInd w:val="0"/>
        <w:spacing w:before="240" w:after="240" w:line="240" w:lineRule="auto"/>
        <w:ind w:firstLine="284"/>
        <w:jc w:val="center"/>
        <w:textAlignment w:val="baseline"/>
        <w:rPr>
          <w:rFonts w:ascii="Times New Roman" w:hAnsi="Times New Roman" w:cs="Times New Roman"/>
          <w:sz w:val="20"/>
          <w:szCs w:val="20"/>
        </w:rPr>
      </w:pPr>
      <w:r w:rsidRPr="00794854">
        <w:rPr>
          <w:rFonts w:ascii="Times New Roman" w:hAnsi="Times New Roman" w:cs="Times New Roman"/>
          <w:b/>
          <w:sz w:val="20"/>
          <w:szCs w:val="20"/>
        </w:rPr>
        <w:t xml:space="preserve">FIGURE </w:t>
      </w:r>
      <w:r w:rsidR="00A10164" w:rsidRPr="00794854">
        <w:rPr>
          <w:rFonts w:ascii="Times New Roman" w:hAnsi="Times New Roman" w:cs="Times New Roman"/>
          <w:b/>
          <w:sz w:val="20"/>
          <w:szCs w:val="20"/>
        </w:rPr>
        <w:t xml:space="preserve">5 </w:t>
      </w:r>
      <w:r w:rsidR="00A10164" w:rsidRPr="00794854">
        <w:rPr>
          <w:rFonts w:ascii="Times New Roman" w:hAnsi="Times New Roman" w:cs="Times New Roman"/>
          <w:sz w:val="20"/>
          <w:szCs w:val="20"/>
        </w:rPr>
        <w:t>According to the results of the closed cycle, the beneficiation indicators are Cu - 0.45%; Pb – 1.7%; Zn -6%</w:t>
      </w:r>
    </w:p>
    <w:p w14:paraId="55535488" w14:textId="77777777" w:rsidR="00A10164" w:rsidRPr="00287E0A" w:rsidRDefault="00A10164" w:rsidP="00A10164">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78DED173" w14:textId="4BCBFE58" w:rsidR="00A10164" w:rsidRDefault="00A10164" w:rsidP="00A10164">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F27E96">
        <w:rPr>
          <w:rFonts w:ascii="Times New Roman" w:hAnsi="Times New Roman" w:cs="Times New Roman"/>
          <w:sz w:val="20"/>
        </w:rPr>
        <w:t xml:space="preserve">The main useful minerals of the ore of the </w:t>
      </w:r>
      <w:proofErr w:type="spellStart"/>
      <w:r w:rsidRPr="00F27E96">
        <w:rPr>
          <w:rFonts w:ascii="Times New Roman" w:hAnsi="Times New Roman" w:cs="Times New Roman"/>
          <w:sz w:val="20"/>
        </w:rPr>
        <w:t>Khandiza</w:t>
      </w:r>
      <w:proofErr w:type="spellEnd"/>
      <w:r w:rsidRPr="00F27E96">
        <w:rPr>
          <w:rFonts w:ascii="Times New Roman" w:hAnsi="Times New Roman" w:cs="Times New Roman"/>
          <w:sz w:val="20"/>
        </w:rPr>
        <w:t xml:space="preserve"> polymetallic deposit are sphalerite (47.8%), galena (15.8%), chalcopyrite (6.7%) and pyrite (29.7%), the composition of which determines the technological properties of the ore. The granulometry of the mineral grains (10 μm-1 mm, in most cases 40-300 </w:t>
      </w:r>
      <w:proofErr w:type="spellStart"/>
      <w:r w:rsidRPr="00F27E96">
        <w:rPr>
          <w:rFonts w:ascii="Times New Roman" w:hAnsi="Times New Roman" w:cs="Times New Roman"/>
          <w:sz w:val="20"/>
        </w:rPr>
        <w:t>μm</w:t>
      </w:r>
      <w:proofErr w:type="spellEnd"/>
      <w:r w:rsidRPr="00F27E96">
        <w:rPr>
          <w:rFonts w:ascii="Times New Roman" w:hAnsi="Times New Roman" w:cs="Times New Roman"/>
          <w:sz w:val="20"/>
        </w:rPr>
        <w:t xml:space="preserve">) and the </w:t>
      </w:r>
      <w:proofErr w:type="spellStart"/>
      <w:r w:rsidRPr="00F27E96">
        <w:rPr>
          <w:rFonts w:ascii="Times New Roman" w:hAnsi="Times New Roman" w:cs="Times New Roman"/>
          <w:sz w:val="20"/>
        </w:rPr>
        <w:t>allotriomorphic-hypidiomorphic</w:t>
      </w:r>
      <w:proofErr w:type="spellEnd"/>
      <w:r w:rsidRPr="00F27E96">
        <w:rPr>
          <w:rFonts w:ascii="Times New Roman" w:hAnsi="Times New Roman" w:cs="Times New Roman"/>
          <w:sz w:val="20"/>
        </w:rPr>
        <w:t xml:space="preserve"> structure complicate the processes of ore crushing and flotation</w:t>
      </w:r>
      <w:r w:rsidR="0086335B">
        <w:rPr>
          <w:rFonts w:ascii="Times New Roman" w:hAnsi="Times New Roman" w:cs="Times New Roman"/>
          <w:sz w:val="20"/>
        </w:rPr>
        <w:t xml:space="preserve"> [18-40]</w:t>
      </w:r>
      <w:bookmarkStart w:id="0" w:name="_GoBack"/>
      <w:bookmarkEnd w:id="0"/>
      <w:r w:rsidRPr="00F27E96">
        <w:rPr>
          <w:rFonts w:ascii="Times New Roman" w:hAnsi="Times New Roman" w:cs="Times New Roman"/>
          <w:sz w:val="20"/>
        </w:rPr>
        <w:t>.</w:t>
      </w:r>
    </w:p>
    <w:p w14:paraId="17162623" w14:textId="77777777" w:rsidR="00A10164" w:rsidRPr="00F27E96" w:rsidRDefault="00A10164" w:rsidP="00A10164">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F27E96">
        <w:rPr>
          <w:rFonts w:ascii="Times New Roman" w:hAnsi="Times New Roman" w:cs="Times New Roman"/>
          <w:sz w:val="20"/>
        </w:rPr>
        <w:t>The chemical composition confirmed the presence of copper - 0.35-2.35%, lead - 1.7-6.6%, zinc - 4.8-15.5%, C - 5.6-22.4%, and SiO</w:t>
      </w:r>
      <w:r w:rsidRPr="00075C61">
        <w:rPr>
          <w:rFonts w:ascii="Times New Roman" w:hAnsi="Times New Roman" w:cs="Times New Roman"/>
          <w:sz w:val="20"/>
          <w:vertAlign w:val="subscript"/>
        </w:rPr>
        <w:t>2</w:t>
      </w:r>
      <w:r w:rsidRPr="00F27E96">
        <w:rPr>
          <w:rFonts w:ascii="Times New Roman" w:hAnsi="Times New Roman" w:cs="Times New Roman"/>
          <w:sz w:val="20"/>
        </w:rPr>
        <w:t xml:space="preserve"> - 22.8-71.8%. The collective-selective flotation scheme, developed on the basis of experimental work, achieved copper (28%), lead (40%), and zinc (47%) recovery in the open cycle, while in the closed cycle, 70%, 90%, and 70-80% of the results were recorded, respectively.</w:t>
      </w:r>
    </w:p>
    <w:p w14:paraId="47C1BBD8" w14:textId="77777777" w:rsidR="00A10164" w:rsidRPr="00287E0A" w:rsidRDefault="00A10164" w:rsidP="00A10164">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F27E96">
        <w:rPr>
          <w:rFonts w:ascii="Times New Roman" w:hAnsi="Times New Roman" w:cs="Times New Roman"/>
          <w:sz w:val="20"/>
        </w:rPr>
        <w:t xml:space="preserve">Thus, the technology of flotation beneficiation of the ore of the </w:t>
      </w:r>
      <w:proofErr w:type="spellStart"/>
      <w:r w:rsidRPr="00F27E96">
        <w:rPr>
          <w:rFonts w:ascii="Times New Roman" w:hAnsi="Times New Roman" w:cs="Times New Roman"/>
          <w:sz w:val="20"/>
        </w:rPr>
        <w:t>Khandiza</w:t>
      </w:r>
      <w:proofErr w:type="spellEnd"/>
      <w:r w:rsidRPr="00F27E96">
        <w:rPr>
          <w:rFonts w:ascii="Times New Roman" w:hAnsi="Times New Roman" w:cs="Times New Roman"/>
          <w:sz w:val="20"/>
        </w:rPr>
        <w:t xml:space="preserve"> deposit is effective, allowing for high metal recovery and efficient industrial development of the deposit.</w:t>
      </w:r>
    </w:p>
    <w:p w14:paraId="6E5030F9" w14:textId="77777777" w:rsidR="00A10164" w:rsidRPr="00715B5C" w:rsidRDefault="00A10164" w:rsidP="00A10164">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715B5C">
        <w:rPr>
          <w:rFonts w:ascii="Times New Roman" w:hAnsi="Times New Roman" w:cs="Times New Roman"/>
          <w:b/>
          <w:sz w:val="24"/>
          <w:szCs w:val="24"/>
        </w:rPr>
        <w:lastRenderedPageBreak/>
        <w:t>REFERENCES</w:t>
      </w:r>
    </w:p>
    <w:p w14:paraId="1573A2B1" w14:textId="77777777" w:rsidR="00A10164" w:rsidRPr="00715B5C" w:rsidRDefault="00A10164" w:rsidP="00313FE7">
      <w:pPr>
        <w:pStyle w:val="a4"/>
        <w:numPr>
          <w:ilvl w:val="0"/>
          <w:numId w:val="3"/>
        </w:numPr>
        <w:tabs>
          <w:tab w:val="left" w:pos="284"/>
          <w:tab w:val="left" w:pos="426"/>
          <w:tab w:val="left" w:pos="993"/>
        </w:tabs>
        <w:spacing w:after="0" w:line="240" w:lineRule="auto"/>
        <w:ind w:left="0" w:firstLine="0"/>
        <w:jc w:val="both"/>
        <w:rPr>
          <w:rFonts w:ascii="Times New Roman" w:hAnsi="Times New Roman" w:cs="Times New Roman"/>
          <w:color w:val="FF0000"/>
          <w:sz w:val="20"/>
          <w:szCs w:val="20"/>
        </w:rPr>
      </w:pPr>
      <w:r w:rsidRPr="00715B5C">
        <w:rPr>
          <w:rFonts w:ascii="Times New Roman" w:hAnsi="Times New Roman" w:cs="Times New Roman"/>
          <w:sz w:val="20"/>
          <w:szCs w:val="20"/>
          <w:lang w:val="uz-Cyrl-UZ"/>
        </w:rPr>
        <w:t>Khasanov A.S., Sanakulov K.S., Yusupkhodzhaev A.A. Metallurgy of Non-Ferrous Metals. - Tashkent: Fan, 2009. - Б. 19-24.</w:t>
      </w:r>
    </w:p>
    <w:p w14:paraId="103518E0" w14:textId="77777777" w:rsidR="00A10164" w:rsidRPr="00715B5C" w:rsidRDefault="00A10164" w:rsidP="00313FE7">
      <w:pPr>
        <w:pStyle w:val="a4"/>
        <w:numPr>
          <w:ilvl w:val="0"/>
          <w:numId w:val="3"/>
        </w:numPr>
        <w:tabs>
          <w:tab w:val="left" w:pos="284"/>
          <w:tab w:val="left" w:pos="426"/>
          <w:tab w:val="left" w:pos="993"/>
        </w:tabs>
        <w:spacing w:after="0" w:line="240" w:lineRule="auto"/>
        <w:ind w:left="0" w:firstLine="0"/>
        <w:jc w:val="both"/>
        <w:rPr>
          <w:rFonts w:ascii="Times New Roman" w:hAnsi="Times New Roman" w:cs="Times New Roman"/>
          <w:sz w:val="20"/>
          <w:szCs w:val="20"/>
        </w:rPr>
      </w:pPr>
      <w:r w:rsidRPr="00715B5C">
        <w:rPr>
          <w:rFonts w:ascii="Times New Roman" w:hAnsi="Times New Roman" w:cs="Times New Roman"/>
          <w:sz w:val="20"/>
          <w:szCs w:val="20"/>
        </w:rPr>
        <w:t xml:space="preserve">Adamov E.V. Technology of Non-Ferrous Metal Ores. Moscow: </w:t>
      </w:r>
      <w:proofErr w:type="spellStart"/>
      <w:r w:rsidRPr="00715B5C">
        <w:rPr>
          <w:rFonts w:ascii="Times New Roman" w:hAnsi="Times New Roman" w:cs="Times New Roman"/>
          <w:sz w:val="20"/>
          <w:szCs w:val="20"/>
        </w:rPr>
        <w:t>MISiS</w:t>
      </w:r>
      <w:proofErr w:type="spellEnd"/>
      <w:r w:rsidRPr="00715B5C">
        <w:rPr>
          <w:rFonts w:ascii="Times New Roman" w:hAnsi="Times New Roman" w:cs="Times New Roman"/>
          <w:sz w:val="20"/>
          <w:szCs w:val="20"/>
        </w:rPr>
        <w:t>, 2007. - P. 6-10.</w:t>
      </w:r>
    </w:p>
    <w:p w14:paraId="6008022B" w14:textId="77777777" w:rsidR="00A10164" w:rsidRPr="00715B5C" w:rsidRDefault="00A10164" w:rsidP="00313FE7">
      <w:pPr>
        <w:pStyle w:val="a4"/>
        <w:numPr>
          <w:ilvl w:val="0"/>
          <w:numId w:val="3"/>
        </w:numPr>
        <w:tabs>
          <w:tab w:val="left" w:pos="284"/>
          <w:tab w:val="left" w:pos="426"/>
          <w:tab w:val="left" w:pos="993"/>
        </w:tabs>
        <w:spacing w:after="0" w:line="240" w:lineRule="auto"/>
        <w:ind w:left="0" w:firstLine="0"/>
        <w:jc w:val="both"/>
        <w:rPr>
          <w:rFonts w:ascii="Times New Roman" w:hAnsi="Times New Roman" w:cs="Times New Roman"/>
          <w:sz w:val="20"/>
          <w:szCs w:val="20"/>
        </w:rPr>
      </w:pPr>
      <w:r w:rsidRPr="00715B5C">
        <w:rPr>
          <w:rFonts w:ascii="Times New Roman" w:hAnsi="Times New Roman" w:cs="Times New Roman"/>
          <w:sz w:val="20"/>
          <w:szCs w:val="20"/>
        </w:rPr>
        <w:t>Nazarov K.K. Beneficiation of Polymetallic Ores. - Tashkent: Fan, 2004. - 280 pages.</w:t>
      </w:r>
    </w:p>
    <w:p w14:paraId="2E481FB0" w14:textId="77777777" w:rsidR="00A10164" w:rsidRPr="00715B5C" w:rsidRDefault="00A10164" w:rsidP="00313FE7">
      <w:pPr>
        <w:pStyle w:val="a4"/>
        <w:numPr>
          <w:ilvl w:val="0"/>
          <w:numId w:val="3"/>
        </w:numPr>
        <w:tabs>
          <w:tab w:val="left" w:pos="284"/>
          <w:tab w:val="left" w:pos="426"/>
          <w:tab w:val="left" w:pos="993"/>
        </w:tabs>
        <w:spacing w:after="0" w:line="240" w:lineRule="auto"/>
        <w:ind w:left="0" w:firstLine="0"/>
        <w:jc w:val="both"/>
        <w:rPr>
          <w:rFonts w:ascii="Times New Roman" w:hAnsi="Times New Roman" w:cs="Times New Roman"/>
          <w:sz w:val="20"/>
          <w:szCs w:val="20"/>
        </w:rPr>
      </w:pPr>
      <w:r w:rsidRPr="00715B5C">
        <w:rPr>
          <w:rFonts w:ascii="Times New Roman" w:hAnsi="Times New Roman" w:cs="Times New Roman"/>
          <w:sz w:val="20"/>
          <w:szCs w:val="20"/>
        </w:rPr>
        <w:t>Abramov A.A. Flotation methods of enrichment. - M.: Nedra, 1994. - 452 p.</w:t>
      </w:r>
    </w:p>
    <w:p w14:paraId="1FF46447" w14:textId="77777777" w:rsidR="00A10164" w:rsidRPr="00715B5C" w:rsidRDefault="00A10164" w:rsidP="00313FE7">
      <w:pPr>
        <w:pStyle w:val="a4"/>
        <w:numPr>
          <w:ilvl w:val="0"/>
          <w:numId w:val="3"/>
        </w:numPr>
        <w:tabs>
          <w:tab w:val="left" w:pos="284"/>
          <w:tab w:val="left" w:pos="426"/>
          <w:tab w:val="left" w:pos="993"/>
        </w:tabs>
        <w:spacing w:after="0" w:line="240" w:lineRule="auto"/>
        <w:ind w:left="0" w:firstLine="0"/>
        <w:jc w:val="both"/>
        <w:rPr>
          <w:rFonts w:ascii="Times New Roman" w:hAnsi="Times New Roman" w:cs="Times New Roman"/>
          <w:sz w:val="20"/>
          <w:szCs w:val="20"/>
        </w:rPr>
      </w:pPr>
      <w:r w:rsidRPr="00715B5C">
        <w:rPr>
          <w:rFonts w:ascii="Times New Roman" w:hAnsi="Times New Roman" w:cs="Times New Roman"/>
          <w:sz w:val="20"/>
          <w:szCs w:val="20"/>
        </w:rPr>
        <w:t>Kondratyev S.A., Klimov V.A. Collective-selective flotation schemes of sulfide ores. Mining Journal, 2010, No9, pp.42-47</w:t>
      </w:r>
    </w:p>
    <w:p w14:paraId="7DB7BA40" w14:textId="77777777" w:rsidR="00A10164" w:rsidRPr="00715B5C" w:rsidRDefault="00A10164" w:rsidP="00313FE7">
      <w:pPr>
        <w:pStyle w:val="a4"/>
        <w:numPr>
          <w:ilvl w:val="0"/>
          <w:numId w:val="3"/>
        </w:numPr>
        <w:tabs>
          <w:tab w:val="left" w:pos="284"/>
          <w:tab w:val="left" w:pos="426"/>
          <w:tab w:val="left" w:pos="993"/>
        </w:tabs>
        <w:spacing w:after="0" w:line="240" w:lineRule="auto"/>
        <w:ind w:left="0" w:firstLine="0"/>
        <w:jc w:val="both"/>
        <w:rPr>
          <w:rFonts w:ascii="Times New Roman" w:hAnsi="Times New Roman" w:cs="Times New Roman"/>
          <w:sz w:val="20"/>
          <w:szCs w:val="20"/>
        </w:rPr>
      </w:pPr>
      <w:proofErr w:type="spellStart"/>
      <w:r w:rsidRPr="00715B5C">
        <w:rPr>
          <w:rFonts w:ascii="Times New Roman" w:eastAsia="Times New Roman" w:hAnsi="Times New Roman" w:cs="Times New Roman"/>
          <w:bCs/>
          <w:sz w:val="20"/>
          <w:szCs w:val="20"/>
          <w:lang w:eastAsia="ru-RU"/>
        </w:rPr>
        <w:t>Umarova</w:t>
      </w:r>
      <w:proofErr w:type="spellEnd"/>
      <w:r w:rsidRPr="00715B5C">
        <w:rPr>
          <w:rFonts w:ascii="Times New Roman" w:eastAsia="Times New Roman" w:hAnsi="Times New Roman" w:cs="Times New Roman"/>
          <w:bCs/>
          <w:sz w:val="20"/>
          <w:szCs w:val="20"/>
          <w:lang w:eastAsia="ru-RU"/>
        </w:rPr>
        <w:t xml:space="preserve"> I.K., </w:t>
      </w:r>
      <w:proofErr w:type="spellStart"/>
      <w:r w:rsidRPr="00715B5C">
        <w:rPr>
          <w:rFonts w:ascii="Times New Roman" w:eastAsia="Times New Roman" w:hAnsi="Times New Roman" w:cs="Times New Roman"/>
          <w:bCs/>
          <w:sz w:val="20"/>
          <w:szCs w:val="20"/>
          <w:lang w:eastAsia="ru-RU"/>
        </w:rPr>
        <w:t>Salijanova</w:t>
      </w:r>
      <w:proofErr w:type="spellEnd"/>
      <w:r w:rsidRPr="00715B5C">
        <w:rPr>
          <w:rFonts w:ascii="Times New Roman" w:eastAsia="Times New Roman" w:hAnsi="Times New Roman" w:cs="Times New Roman"/>
          <w:bCs/>
          <w:sz w:val="20"/>
          <w:szCs w:val="20"/>
          <w:lang w:eastAsia="ru-RU"/>
        </w:rPr>
        <w:t xml:space="preserve"> G.Q., </w:t>
      </w:r>
      <w:proofErr w:type="spellStart"/>
      <w:r w:rsidRPr="00715B5C">
        <w:rPr>
          <w:rFonts w:ascii="Times New Roman" w:eastAsia="Times New Roman" w:hAnsi="Times New Roman" w:cs="Times New Roman"/>
          <w:bCs/>
          <w:sz w:val="20"/>
          <w:szCs w:val="20"/>
          <w:lang w:eastAsia="ru-RU"/>
        </w:rPr>
        <w:t>Avinjanova</w:t>
      </w:r>
      <w:proofErr w:type="spellEnd"/>
      <w:r w:rsidRPr="00715B5C">
        <w:rPr>
          <w:rFonts w:ascii="Times New Roman" w:eastAsia="Times New Roman" w:hAnsi="Times New Roman" w:cs="Times New Roman"/>
          <w:bCs/>
          <w:sz w:val="20"/>
          <w:szCs w:val="20"/>
          <w:lang w:eastAsia="ru-RU"/>
        </w:rPr>
        <w:t xml:space="preserve"> S.I.</w:t>
      </w:r>
      <w:r w:rsidRPr="00715B5C">
        <w:rPr>
          <w:rFonts w:ascii="Times New Roman" w:eastAsia="Times New Roman" w:hAnsi="Times New Roman" w:cs="Times New Roman"/>
          <w:sz w:val="20"/>
          <w:szCs w:val="20"/>
          <w:lang w:eastAsia="ru-RU"/>
        </w:rPr>
        <w:t xml:space="preserve"> Study on the enrichment of polymetallic ores of the deposit </w:t>
      </w:r>
      <w:proofErr w:type="spellStart"/>
      <w:r w:rsidRPr="00715B5C">
        <w:rPr>
          <w:rFonts w:ascii="Times New Roman" w:eastAsia="Times New Roman" w:hAnsi="Times New Roman" w:cs="Times New Roman"/>
          <w:sz w:val="20"/>
          <w:szCs w:val="20"/>
          <w:lang w:eastAsia="ru-RU"/>
        </w:rPr>
        <w:t>Handiza</w:t>
      </w:r>
      <w:proofErr w:type="spellEnd"/>
      <w:r w:rsidRPr="00715B5C">
        <w:rPr>
          <w:rFonts w:ascii="Times New Roman" w:eastAsia="Times New Roman" w:hAnsi="Times New Roman" w:cs="Times New Roman"/>
          <w:sz w:val="20"/>
          <w:szCs w:val="20"/>
          <w:lang w:eastAsia="ru-RU"/>
        </w:rPr>
        <w:t xml:space="preserve">. </w:t>
      </w:r>
      <w:proofErr w:type="spellStart"/>
      <w:r w:rsidRPr="00715B5C">
        <w:rPr>
          <w:rFonts w:ascii="Times New Roman" w:eastAsia="Times New Roman" w:hAnsi="Times New Roman" w:cs="Times New Roman"/>
          <w:sz w:val="20"/>
          <w:szCs w:val="20"/>
          <w:lang w:eastAsia="ru-RU"/>
        </w:rPr>
        <w:t>Universitas</w:t>
      </w:r>
      <w:proofErr w:type="spellEnd"/>
      <w:r w:rsidRPr="00715B5C">
        <w:rPr>
          <w:rFonts w:ascii="Times New Roman" w:eastAsia="Times New Roman" w:hAnsi="Times New Roman" w:cs="Times New Roman"/>
          <w:sz w:val="20"/>
          <w:szCs w:val="20"/>
          <w:lang w:eastAsia="ru-RU"/>
        </w:rPr>
        <w:t xml:space="preserve"> Publishing, </w:t>
      </w:r>
      <w:proofErr w:type="spellStart"/>
      <w:r w:rsidRPr="00715B5C">
        <w:rPr>
          <w:rFonts w:ascii="Times New Roman" w:eastAsia="Times New Roman" w:hAnsi="Times New Roman" w:cs="Times New Roman"/>
          <w:sz w:val="20"/>
          <w:szCs w:val="20"/>
          <w:lang w:eastAsia="ru-RU"/>
        </w:rPr>
        <w:t>Petroșani</w:t>
      </w:r>
      <w:proofErr w:type="spellEnd"/>
      <w:r w:rsidRPr="00715B5C">
        <w:rPr>
          <w:rFonts w:ascii="Times New Roman" w:eastAsia="Times New Roman" w:hAnsi="Times New Roman" w:cs="Times New Roman"/>
          <w:sz w:val="20"/>
          <w:szCs w:val="20"/>
          <w:lang w:eastAsia="ru-RU"/>
        </w:rPr>
        <w:t>, 2018. – P.286–306</w:t>
      </w:r>
    </w:p>
    <w:p w14:paraId="0C712DE0" w14:textId="77777777" w:rsidR="00A10164" w:rsidRPr="00715B5C" w:rsidRDefault="00A10164" w:rsidP="00313FE7">
      <w:pPr>
        <w:pStyle w:val="a4"/>
        <w:numPr>
          <w:ilvl w:val="0"/>
          <w:numId w:val="3"/>
        </w:numPr>
        <w:tabs>
          <w:tab w:val="left" w:pos="284"/>
          <w:tab w:val="left" w:pos="426"/>
        </w:tabs>
        <w:spacing w:after="0" w:line="276" w:lineRule="auto"/>
        <w:ind w:left="0" w:firstLine="0"/>
        <w:jc w:val="both"/>
        <w:rPr>
          <w:rFonts w:ascii="Times New Roman" w:eastAsia="Times New Roman" w:hAnsi="Times New Roman" w:cs="Times New Roman"/>
          <w:sz w:val="20"/>
          <w:szCs w:val="20"/>
          <w:lang w:eastAsia="ru-RU"/>
        </w:rPr>
      </w:pPr>
      <w:proofErr w:type="spellStart"/>
      <w:r w:rsidRPr="00715B5C">
        <w:rPr>
          <w:rFonts w:ascii="Times New Roman" w:eastAsia="Times New Roman" w:hAnsi="Times New Roman" w:cs="Times New Roman"/>
          <w:bCs/>
          <w:sz w:val="20"/>
          <w:szCs w:val="20"/>
          <w:lang w:eastAsia="ru-RU"/>
        </w:rPr>
        <w:t>Umarova</w:t>
      </w:r>
      <w:proofErr w:type="spellEnd"/>
      <w:r w:rsidRPr="00715B5C">
        <w:rPr>
          <w:rFonts w:ascii="Times New Roman" w:eastAsia="Times New Roman" w:hAnsi="Times New Roman" w:cs="Times New Roman"/>
          <w:bCs/>
          <w:sz w:val="20"/>
          <w:szCs w:val="20"/>
          <w:lang w:eastAsia="ru-RU"/>
        </w:rPr>
        <w:t xml:space="preserve"> I.K., </w:t>
      </w:r>
      <w:proofErr w:type="spellStart"/>
      <w:r w:rsidRPr="00715B5C">
        <w:rPr>
          <w:rFonts w:ascii="Times New Roman" w:eastAsia="Times New Roman" w:hAnsi="Times New Roman" w:cs="Times New Roman"/>
          <w:bCs/>
          <w:sz w:val="20"/>
          <w:szCs w:val="20"/>
          <w:lang w:eastAsia="ru-RU"/>
        </w:rPr>
        <w:t>Aminjanova</w:t>
      </w:r>
      <w:proofErr w:type="spellEnd"/>
      <w:r w:rsidRPr="00715B5C">
        <w:rPr>
          <w:rFonts w:ascii="Times New Roman" w:eastAsia="Times New Roman" w:hAnsi="Times New Roman" w:cs="Times New Roman"/>
          <w:bCs/>
          <w:sz w:val="20"/>
          <w:szCs w:val="20"/>
          <w:lang w:eastAsia="ru-RU"/>
        </w:rPr>
        <w:t xml:space="preserve"> S.I.</w:t>
      </w:r>
      <w:r w:rsidRPr="00715B5C">
        <w:rPr>
          <w:rFonts w:ascii="Times New Roman" w:eastAsia="Times New Roman" w:hAnsi="Times New Roman" w:cs="Times New Roman"/>
          <w:sz w:val="20"/>
          <w:szCs w:val="20"/>
          <w:lang w:eastAsia="ru-RU"/>
        </w:rPr>
        <w:t xml:space="preserve"> Studying the material composition of the ore of deposit </w:t>
      </w:r>
      <w:proofErr w:type="spellStart"/>
      <w:r w:rsidRPr="00715B5C">
        <w:rPr>
          <w:rFonts w:ascii="Times New Roman" w:eastAsia="Times New Roman" w:hAnsi="Times New Roman" w:cs="Times New Roman"/>
          <w:sz w:val="20"/>
          <w:szCs w:val="20"/>
          <w:lang w:eastAsia="ru-RU"/>
        </w:rPr>
        <w:t>Handiza</w:t>
      </w:r>
      <w:proofErr w:type="spellEnd"/>
      <w:r w:rsidRPr="00715B5C">
        <w:rPr>
          <w:rFonts w:ascii="Times New Roman" w:eastAsia="Times New Roman" w:hAnsi="Times New Roman" w:cs="Times New Roman"/>
          <w:sz w:val="20"/>
          <w:szCs w:val="20"/>
          <w:lang w:eastAsia="ru-RU"/>
        </w:rPr>
        <w:t xml:space="preserve">. Int. scientific conference, </w:t>
      </w:r>
      <w:proofErr w:type="spellStart"/>
      <w:r w:rsidRPr="00715B5C">
        <w:rPr>
          <w:rFonts w:ascii="Times New Roman" w:eastAsia="Times New Roman" w:hAnsi="Times New Roman" w:cs="Times New Roman"/>
          <w:sz w:val="20"/>
          <w:szCs w:val="20"/>
          <w:lang w:eastAsia="ru-RU"/>
        </w:rPr>
        <w:t>Petroșani</w:t>
      </w:r>
      <w:proofErr w:type="spellEnd"/>
      <w:r w:rsidRPr="00715B5C">
        <w:rPr>
          <w:rFonts w:ascii="Times New Roman" w:eastAsia="Times New Roman" w:hAnsi="Times New Roman" w:cs="Times New Roman"/>
          <w:sz w:val="20"/>
          <w:szCs w:val="20"/>
          <w:lang w:eastAsia="ru-RU"/>
        </w:rPr>
        <w:t>, 2018. – P.175–178.</w:t>
      </w:r>
    </w:p>
    <w:p w14:paraId="6CF9B154" w14:textId="77777777" w:rsidR="00A10164" w:rsidRPr="00715B5C" w:rsidRDefault="00A10164" w:rsidP="00313FE7">
      <w:pPr>
        <w:pStyle w:val="a4"/>
        <w:numPr>
          <w:ilvl w:val="0"/>
          <w:numId w:val="3"/>
        </w:numPr>
        <w:tabs>
          <w:tab w:val="left" w:pos="284"/>
          <w:tab w:val="left" w:pos="426"/>
          <w:tab w:val="left" w:pos="993"/>
        </w:tabs>
        <w:spacing w:after="0" w:line="240" w:lineRule="auto"/>
        <w:ind w:left="0" w:firstLine="0"/>
        <w:jc w:val="both"/>
        <w:rPr>
          <w:rFonts w:ascii="Times New Roman" w:hAnsi="Times New Roman" w:cs="Times New Roman"/>
          <w:sz w:val="20"/>
          <w:szCs w:val="20"/>
        </w:rPr>
      </w:pPr>
      <w:r w:rsidRPr="00715B5C">
        <w:rPr>
          <w:rFonts w:ascii="Times New Roman" w:hAnsi="Times New Roman" w:cs="Times New Roman"/>
          <w:sz w:val="20"/>
          <w:szCs w:val="20"/>
        </w:rPr>
        <w:t>Abdurahmanov Sh., Rakhimov M. Technology of processing polymetallic ores in Uzbekistan. - Tashkent: Uzbekistan Mining and Metallurgical Academy, 2018. - 256 p.</w:t>
      </w:r>
    </w:p>
    <w:p w14:paraId="5101CB30" w14:textId="6438BFDE" w:rsidR="00A10164" w:rsidRPr="00715B5C" w:rsidRDefault="00A10164" w:rsidP="00313FE7">
      <w:pPr>
        <w:pStyle w:val="a4"/>
        <w:numPr>
          <w:ilvl w:val="0"/>
          <w:numId w:val="3"/>
        </w:numPr>
        <w:tabs>
          <w:tab w:val="left" w:pos="284"/>
          <w:tab w:val="left" w:pos="426"/>
          <w:tab w:val="left" w:pos="993"/>
        </w:tabs>
        <w:spacing w:after="0" w:line="240" w:lineRule="auto"/>
        <w:ind w:left="0" w:firstLine="0"/>
        <w:jc w:val="both"/>
        <w:rPr>
          <w:rFonts w:ascii="Times New Roman" w:hAnsi="Times New Roman" w:cs="Times New Roman"/>
          <w:sz w:val="20"/>
          <w:szCs w:val="20"/>
        </w:rPr>
      </w:pPr>
      <w:r w:rsidRPr="00715B5C">
        <w:rPr>
          <w:rFonts w:ascii="Times New Roman" w:hAnsi="Times New Roman" w:cs="Times New Roman"/>
          <w:sz w:val="20"/>
          <w:szCs w:val="20"/>
        </w:rPr>
        <w:t>Wills B.A., Finch J.A.</w:t>
      </w:r>
      <w:r w:rsidR="00715B5C" w:rsidRPr="00715B5C">
        <w:rPr>
          <w:rFonts w:ascii="Times New Roman" w:hAnsi="Times New Roman" w:cs="Times New Roman"/>
          <w:sz w:val="20"/>
          <w:szCs w:val="20"/>
        </w:rPr>
        <w:t xml:space="preserve"> </w:t>
      </w:r>
      <w:r w:rsidRPr="00715B5C">
        <w:rPr>
          <w:rStyle w:val="a7"/>
          <w:rFonts w:ascii="Times New Roman" w:hAnsi="Times New Roman" w:cs="Times New Roman"/>
          <w:sz w:val="20"/>
          <w:szCs w:val="20"/>
        </w:rPr>
        <w:t>Wills’ Mineral Processing Technology: An Introduction to the Practical Aspects of Ore Treatment and Mineral Recovery.</w:t>
      </w:r>
      <w:r w:rsidR="00715B5C" w:rsidRPr="00715B5C">
        <w:rPr>
          <w:rStyle w:val="a7"/>
          <w:rFonts w:ascii="Times New Roman" w:hAnsi="Times New Roman" w:cs="Times New Roman"/>
          <w:sz w:val="20"/>
          <w:szCs w:val="20"/>
        </w:rPr>
        <w:t xml:space="preserve"> </w:t>
      </w:r>
      <w:r w:rsidRPr="00715B5C">
        <w:rPr>
          <w:rFonts w:ascii="Times New Roman" w:hAnsi="Times New Roman" w:cs="Times New Roman"/>
          <w:sz w:val="20"/>
          <w:szCs w:val="20"/>
        </w:rPr>
        <w:t>8th Edition. – Oxford: Butterworth-Heinemann (Elsevier), 2016. – 512 p.</w:t>
      </w:r>
    </w:p>
    <w:p w14:paraId="05280F4B" w14:textId="74791AB5" w:rsidR="00A10164" w:rsidRPr="00715B5C" w:rsidRDefault="00A10164" w:rsidP="00313FE7">
      <w:pPr>
        <w:pStyle w:val="a4"/>
        <w:numPr>
          <w:ilvl w:val="0"/>
          <w:numId w:val="3"/>
        </w:numPr>
        <w:tabs>
          <w:tab w:val="left" w:pos="284"/>
          <w:tab w:val="left" w:pos="426"/>
          <w:tab w:val="left" w:pos="993"/>
        </w:tabs>
        <w:spacing w:after="0" w:line="240" w:lineRule="auto"/>
        <w:ind w:left="0" w:firstLine="0"/>
        <w:jc w:val="both"/>
        <w:rPr>
          <w:rFonts w:ascii="Times New Roman" w:hAnsi="Times New Roman" w:cs="Times New Roman"/>
          <w:sz w:val="20"/>
          <w:szCs w:val="20"/>
        </w:rPr>
      </w:pPr>
      <w:r w:rsidRPr="00715B5C">
        <w:rPr>
          <w:rFonts w:ascii="Times New Roman" w:hAnsi="Times New Roman" w:cs="Times New Roman"/>
          <w:sz w:val="20"/>
          <w:szCs w:val="20"/>
        </w:rPr>
        <w:t>Fuerstenau M.C., Jameson G.J., Yoon R.H.</w:t>
      </w:r>
      <w:r w:rsidR="00715B5C" w:rsidRPr="00715B5C">
        <w:rPr>
          <w:rFonts w:ascii="Times New Roman" w:hAnsi="Times New Roman" w:cs="Times New Roman"/>
          <w:sz w:val="20"/>
          <w:szCs w:val="20"/>
        </w:rPr>
        <w:t xml:space="preserve"> </w:t>
      </w:r>
      <w:r w:rsidRPr="00715B5C">
        <w:rPr>
          <w:rStyle w:val="a7"/>
          <w:rFonts w:ascii="Times New Roman" w:hAnsi="Times New Roman" w:cs="Times New Roman"/>
          <w:sz w:val="20"/>
          <w:szCs w:val="20"/>
        </w:rPr>
        <w:t>Froth Flotation: A Century of Innovation.</w:t>
      </w:r>
      <w:r w:rsidR="00715B5C" w:rsidRPr="00715B5C">
        <w:rPr>
          <w:rStyle w:val="a7"/>
          <w:rFonts w:ascii="Times New Roman" w:hAnsi="Times New Roman" w:cs="Times New Roman"/>
          <w:sz w:val="20"/>
          <w:szCs w:val="20"/>
        </w:rPr>
        <w:t xml:space="preserve"> </w:t>
      </w:r>
      <w:r w:rsidRPr="00715B5C">
        <w:rPr>
          <w:rFonts w:ascii="Times New Roman" w:hAnsi="Times New Roman" w:cs="Times New Roman"/>
          <w:sz w:val="20"/>
          <w:szCs w:val="20"/>
        </w:rPr>
        <w:t>– Littleton, Colorado: Society for Mining, Metallurgy &amp; Exploration (SME), 2007. – 891 p.</w:t>
      </w:r>
    </w:p>
    <w:p w14:paraId="61445D46" w14:textId="09E6FA7B" w:rsidR="00A10164" w:rsidRPr="00715B5C" w:rsidRDefault="00A10164" w:rsidP="00313FE7">
      <w:pPr>
        <w:pStyle w:val="a4"/>
        <w:numPr>
          <w:ilvl w:val="0"/>
          <w:numId w:val="3"/>
        </w:numPr>
        <w:tabs>
          <w:tab w:val="left" w:pos="284"/>
          <w:tab w:val="left" w:pos="426"/>
          <w:tab w:val="left" w:pos="993"/>
        </w:tabs>
        <w:spacing w:after="0" w:line="240" w:lineRule="auto"/>
        <w:ind w:left="0" w:firstLine="0"/>
        <w:jc w:val="both"/>
        <w:rPr>
          <w:rFonts w:ascii="Times New Roman" w:hAnsi="Times New Roman" w:cs="Times New Roman"/>
          <w:sz w:val="20"/>
          <w:szCs w:val="20"/>
        </w:rPr>
      </w:pPr>
      <w:proofErr w:type="spellStart"/>
      <w:r w:rsidRPr="00715B5C">
        <w:rPr>
          <w:rFonts w:ascii="Times New Roman" w:hAnsi="Times New Roman" w:cs="Times New Roman"/>
          <w:sz w:val="20"/>
          <w:szCs w:val="20"/>
        </w:rPr>
        <w:t>Bulatovic</w:t>
      </w:r>
      <w:proofErr w:type="spellEnd"/>
      <w:r w:rsidRPr="00715B5C">
        <w:rPr>
          <w:rFonts w:ascii="Times New Roman" w:hAnsi="Times New Roman" w:cs="Times New Roman"/>
          <w:sz w:val="20"/>
          <w:szCs w:val="20"/>
        </w:rPr>
        <w:t xml:space="preserve"> S.M.</w:t>
      </w:r>
      <w:r w:rsidR="00715B5C" w:rsidRPr="00715B5C">
        <w:rPr>
          <w:rFonts w:ascii="Times New Roman" w:hAnsi="Times New Roman" w:cs="Times New Roman"/>
          <w:sz w:val="20"/>
          <w:szCs w:val="20"/>
        </w:rPr>
        <w:t xml:space="preserve"> </w:t>
      </w:r>
      <w:r w:rsidRPr="00715B5C">
        <w:rPr>
          <w:rStyle w:val="a7"/>
          <w:rFonts w:ascii="Times New Roman" w:hAnsi="Times New Roman" w:cs="Times New Roman"/>
          <w:sz w:val="20"/>
          <w:szCs w:val="20"/>
        </w:rPr>
        <w:t>Handbook of Flotation Reagents: Chemistry, Theory and Practice. Volume 1: Flotation of Sulfide Ores.</w:t>
      </w:r>
      <w:r w:rsidR="00715B5C" w:rsidRPr="00715B5C">
        <w:rPr>
          <w:rStyle w:val="a7"/>
          <w:rFonts w:ascii="Times New Roman" w:hAnsi="Times New Roman" w:cs="Times New Roman"/>
          <w:sz w:val="20"/>
          <w:szCs w:val="20"/>
        </w:rPr>
        <w:t xml:space="preserve"> </w:t>
      </w:r>
      <w:r w:rsidRPr="00715B5C">
        <w:rPr>
          <w:rFonts w:ascii="Times New Roman" w:hAnsi="Times New Roman" w:cs="Times New Roman"/>
          <w:sz w:val="20"/>
          <w:szCs w:val="20"/>
        </w:rPr>
        <w:t>– Amsterdam: Elsevier Science, 2007. – 446 p.</w:t>
      </w:r>
    </w:p>
    <w:p w14:paraId="7FDFD3BA" w14:textId="0A1EAEE8" w:rsidR="00A10164" w:rsidRPr="00715B5C" w:rsidRDefault="00A10164" w:rsidP="00313FE7">
      <w:pPr>
        <w:pStyle w:val="a4"/>
        <w:numPr>
          <w:ilvl w:val="0"/>
          <w:numId w:val="3"/>
        </w:numPr>
        <w:tabs>
          <w:tab w:val="left" w:pos="284"/>
          <w:tab w:val="left" w:pos="426"/>
          <w:tab w:val="left" w:pos="993"/>
        </w:tabs>
        <w:spacing w:after="0" w:line="240" w:lineRule="auto"/>
        <w:ind w:left="0" w:firstLine="0"/>
        <w:jc w:val="both"/>
        <w:rPr>
          <w:rFonts w:ascii="Times New Roman" w:hAnsi="Times New Roman" w:cs="Times New Roman"/>
          <w:sz w:val="20"/>
          <w:szCs w:val="20"/>
        </w:rPr>
      </w:pPr>
      <w:r w:rsidRPr="00715B5C">
        <w:rPr>
          <w:rFonts w:ascii="Times New Roman" w:hAnsi="Times New Roman" w:cs="Times New Roman"/>
          <w:sz w:val="20"/>
          <w:szCs w:val="20"/>
        </w:rPr>
        <w:t xml:space="preserve">Taggart </w:t>
      </w:r>
      <w:proofErr w:type="spellStart"/>
      <w:r w:rsidRPr="00715B5C">
        <w:rPr>
          <w:rFonts w:ascii="Times New Roman" w:hAnsi="Times New Roman" w:cs="Times New Roman"/>
          <w:sz w:val="20"/>
          <w:szCs w:val="20"/>
        </w:rPr>
        <w:t>A.</w:t>
      </w:r>
      <w:proofErr w:type="gramStart"/>
      <w:r w:rsidRPr="00715B5C">
        <w:rPr>
          <w:rFonts w:ascii="Times New Roman" w:hAnsi="Times New Roman" w:cs="Times New Roman"/>
          <w:sz w:val="20"/>
          <w:szCs w:val="20"/>
        </w:rPr>
        <w:t>F.</w:t>
      </w:r>
      <w:r w:rsidRPr="00715B5C">
        <w:rPr>
          <w:rStyle w:val="a7"/>
          <w:rFonts w:ascii="Times New Roman" w:hAnsi="Times New Roman" w:cs="Times New Roman"/>
          <w:sz w:val="20"/>
          <w:szCs w:val="20"/>
        </w:rPr>
        <w:t>Handbook</w:t>
      </w:r>
      <w:proofErr w:type="spellEnd"/>
      <w:proofErr w:type="gramEnd"/>
      <w:r w:rsidRPr="00715B5C">
        <w:rPr>
          <w:rStyle w:val="a7"/>
          <w:rFonts w:ascii="Times New Roman" w:hAnsi="Times New Roman" w:cs="Times New Roman"/>
          <w:sz w:val="20"/>
          <w:szCs w:val="20"/>
        </w:rPr>
        <w:t xml:space="preserve"> of Mineral Dressing: Ores and Industrial Minerals.</w:t>
      </w:r>
      <w:r w:rsidRPr="00715B5C">
        <w:rPr>
          <w:rFonts w:ascii="Times New Roman" w:hAnsi="Times New Roman" w:cs="Times New Roman"/>
          <w:sz w:val="20"/>
          <w:szCs w:val="20"/>
        </w:rPr>
        <w:t>– New York: John Wiley &amp; Sons, 1951. – 1985 p.</w:t>
      </w:r>
    </w:p>
    <w:p w14:paraId="20DEEFD8" w14:textId="77777777" w:rsidR="00607305" w:rsidRPr="00735792" w:rsidRDefault="00607305" w:rsidP="00313FE7">
      <w:pPr>
        <w:pStyle w:val="a9"/>
        <w:numPr>
          <w:ilvl w:val="0"/>
          <w:numId w:val="3"/>
        </w:numPr>
        <w:tabs>
          <w:tab w:val="left" w:pos="284"/>
          <w:tab w:val="left" w:pos="426"/>
        </w:tabs>
        <w:ind w:left="0" w:firstLine="0"/>
        <w:jc w:val="both"/>
        <w:rPr>
          <w:sz w:val="20"/>
          <w:szCs w:val="20"/>
        </w:rPr>
      </w:pPr>
      <w:bookmarkStart w:id="1" w:name="_Hlk216898835"/>
      <w:r w:rsidRPr="00A70564">
        <w:rPr>
          <w:sz w:val="20"/>
          <w:szCs w:val="20"/>
          <w:lang w:val="uz-Cyrl-UZ"/>
        </w:rPr>
        <w:t xml:space="preserve">Toshbekov, O., Urozov, M., Sultonova, F., Raximqulova, S., Mustanova, Z., &amp; Xulkaliyeva, G. (2025, November). Analysis of the thermal conductivity of nonwoven fabrics made from silkworm cocoons and their influence on ambient temperature. In AIP Conference Proceedings (Vol. 3331, No. 1, p. 050005). AIP Publishing </w:t>
      </w:r>
      <w:hyperlink r:id="rId10" w:history="1">
        <w:r w:rsidRPr="003C22A0">
          <w:rPr>
            <w:rStyle w:val="a6"/>
            <w:sz w:val="20"/>
            <w:szCs w:val="20"/>
          </w:rPr>
          <w:t>https://doi.org/10.1063/5.0306845</w:t>
        </w:r>
      </w:hyperlink>
      <w:r>
        <w:rPr>
          <w:sz w:val="20"/>
          <w:szCs w:val="20"/>
          <w:lang w:val="uz-Cyrl-UZ"/>
        </w:rPr>
        <w:t xml:space="preserve"> </w:t>
      </w:r>
    </w:p>
    <w:bookmarkEnd w:id="1"/>
    <w:p w14:paraId="1DC2E81E" w14:textId="77777777" w:rsidR="00607305" w:rsidRPr="002319D3" w:rsidRDefault="00607305" w:rsidP="00313FE7">
      <w:pPr>
        <w:numPr>
          <w:ilvl w:val="0"/>
          <w:numId w:val="3"/>
        </w:numPr>
        <w:tabs>
          <w:tab w:val="left" w:pos="284"/>
          <w:tab w:val="left" w:pos="426"/>
        </w:tabs>
        <w:spacing w:after="0" w:line="240" w:lineRule="auto"/>
        <w:ind w:left="0" w:firstLine="0"/>
        <w:jc w:val="both"/>
        <w:rPr>
          <w:rStyle w:val="a6"/>
          <w:rFonts w:ascii="Times New Roman" w:hAnsi="Times New Roman"/>
          <w:color w:val="auto"/>
          <w:sz w:val="20"/>
          <w:szCs w:val="20"/>
          <w:u w:val="none"/>
        </w:rPr>
      </w:pPr>
      <w:r w:rsidRPr="002319D3">
        <w:rPr>
          <w:rStyle w:val="a6"/>
          <w:rFonts w:ascii="Times New Roman" w:hAnsi="Times New Roman"/>
          <w:color w:val="auto"/>
          <w:sz w:val="20"/>
          <w:szCs w:val="20"/>
          <w:u w:val="none"/>
          <w:lang w:val="uz-Cyrl-UZ"/>
        </w:rPr>
        <w:t xml:space="preserve">Toshbekov, O., Urazov, M., Yermatov, S., &amp; Khamraeva, M. 2023). Yeffisient and yesonomisal yenergy use teshnology in the prosessing of domestis soarse wool fiber. In Ye3S Web of Sonferenses (Vol. 461, p. 01068). </w:t>
      </w:r>
      <w:hyperlink r:id="rId11" w:history="1">
        <w:r w:rsidRPr="003C22A0">
          <w:rPr>
            <w:rStyle w:val="a6"/>
            <w:rFonts w:ascii="Times New Roman" w:hAnsi="Times New Roman"/>
            <w:sz w:val="20"/>
            <w:szCs w:val="20"/>
            <w:lang w:val="uz-Cyrl-UZ"/>
          </w:rPr>
          <w:t>https://doi.org/10.1051/e3sconf/202346101068</w:t>
        </w:r>
      </w:hyperlink>
      <w:r>
        <w:rPr>
          <w:rStyle w:val="a6"/>
          <w:rFonts w:ascii="Times New Roman" w:hAnsi="Times New Roman"/>
          <w:color w:val="auto"/>
          <w:sz w:val="20"/>
          <w:szCs w:val="20"/>
          <w:u w:val="none"/>
          <w:lang w:val="uz-Cyrl-UZ"/>
        </w:rPr>
        <w:t xml:space="preserve"> </w:t>
      </w:r>
    </w:p>
    <w:p w14:paraId="594F7F9E" w14:textId="77777777" w:rsidR="00607305" w:rsidRPr="002C1C69" w:rsidRDefault="00607305" w:rsidP="00313FE7">
      <w:pPr>
        <w:numPr>
          <w:ilvl w:val="0"/>
          <w:numId w:val="3"/>
        </w:numPr>
        <w:tabs>
          <w:tab w:val="left" w:pos="284"/>
          <w:tab w:val="left" w:pos="426"/>
        </w:tabs>
        <w:spacing w:after="0" w:line="240" w:lineRule="auto"/>
        <w:ind w:left="0" w:firstLine="0"/>
        <w:jc w:val="both"/>
        <w:rPr>
          <w:rStyle w:val="a6"/>
          <w:rFonts w:ascii="Times New Roman" w:hAnsi="Times New Roman"/>
          <w:b/>
          <w:bCs/>
          <w:color w:val="auto"/>
          <w:sz w:val="20"/>
          <w:szCs w:val="20"/>
          <w:u w:val="none"/>
        </w:rPr>
      </w:pPr>
      <w:r w:rsidRPr="00D74CEC">
        <w:rPr>
          <w:rStyle w:val="a6"/>
          <w:rFonts w:ascii="Times New Roman" w:hAnsi="Times New Roman"/>
          <w:sz w:val="20"/>
          <w:szCs w:val="20"/>
          <w:u w:val="none"/>
          <w:lang w:val="uz-Cyrl-UZ"/>
        </w:rPr>
        <w:t xml:space="preserve"> </w:t>
      </w:r>
      <w:bookmarkStart w:id="2" w:name="_Hlk216898570"/>
      <w:r w:rsidRPr="00D74CEC">
        <w:rPr>
          <w:rStyle w:val="a6"/>
          <w:rFonts w:ascii="Times New Roman" w:hAnsi="Times New Roman"/>
          <w:color w:val="auto"/>
          <w:sz w:val="20"/>
          <w:szCs w:val="20"/>
          <w:u w:val="none"/>
          <w:lang w:val="uz-Cyrl-UZ"/>
        </w:rPr>
        <w:t>Jumaniyozov, K., Urozov, M., Toshbekov, O., Salimova, M., Raximova, K., &amp; Khursandova, B. (2025, November). Enhancement of energy-efficient cleaning equipment. In American Institute of Physics Conference Series (Vol. 3331, No. 1, p. 050007).</w:t>
      </w:r>
      <w:r>
        <w:rPr>
          <w:rStyle w:val="a6"/>
          <w:rFonts w:ascii="Times New Roman" w:hAnsi="Times New Roman"/>
          <w:color w:val="auto"/>
          <w:sz w:val="20"/>
          <w:szCs w:val="20"/>
          <w:u w:val="none"/>
          <w:lang w:val="uz-Cyrl-UZ"/>
        </w:rPr>
        <w:t xml:space="preserve"> </w:t>
      </w:r>
      <w:hyperlink r:id="rId12" w:history="1">
        <w:r w:rsidRPr="003C22A0">
          <w:rPr>
            <w:rStyle w:val="a6"/>
            <w:rFonts w:ascii="Times New Roman" w:hAnsi="Times New Roman"/>
            <w:sz w:val="20"/>
            <w:szCs w:val="20"/>
            <w:lang w:val="uz-Cyrl-UZ"/>
          </w:rPr>
          <w:t>https://doi.org/10.1063/5.0307149</w:t>
        </w:r>
      </w:hyperlink>
    </w:p>
    <w:p w14:paraId="59DFBD7E" w14:textId="77777777" w:rsidR="00607305" w:rsidRPr="001938FA" w:rsidRDefault="00607305" w:rsidP="00313FE7">
      <w:pPr>
        <w:numPr>
          <w:ilvl w:val="0"/>
          <w:numId w:val="3"/>
        </w:numPr>
        <w:tabs>
          <w:tab w:val="left" w:pos="284"/>
          <w:tab w:val="left" w:pos="426"/>
        </w:tabs>
        <w:spacing w:after="0" w:line="240" w:lineRule="auto"/>
        <w:ind w:left="0" w:firstLine="0"/>
        <w:jc w:val="both"/>
        <w:rPr>
          <w:rStyle w:val="a6"/>
          <w:rFonts w:ascii="Times New Roman" w:hAnsi="Times New Roman"/>
          <w:b/>
          <w:bCs/>
          <w:color w:val="auto"/>
          <w:sz w:val="20"/>
          <w:szCs w:val="20"/>
          <w:u w:val="none"/>
        </w:rPr>
      </w:pPr>
      <w:r>
        <w:rPr>
          <w:rStyle w:val="a6"/>
          <w:rFonts w:ascii="Times New Roman" w:hAnsi="Times New Roman"/>
          <w:sz w:val="20"/>
          <w:szCs w:val="20"/>
          <w:u w:val="none"/>
          <w:lang w:val="uz-Cyrl-UZ"/>
        </w:rPr>
        <w:t xml:space="preserve"> </w:t>
      </w:r>
      <w:r w:rsidRPr="00747B1B">
        <w:rPr>
          <w:rStyle w:val="a6"/>
          <w:rFonts w:ascii="Times New Roman" w:hAnsi="Times New Roman"/>
          <w:color w:val="auto"/>
          <w:sz w:val="20"/>
          <w:szCs w:val="20"/>
          <w:u w:val="none"/>
          <w:lang w:val="uz-Cyrl-UZ"/>
        </w:rPr>
        <w:t xml:space="preserve">Sultonova, F., Toshbekov, O., Urozov, M., Boymurova, N., Mustanova, Z., &amp; Boltaeva, I. (2025, November). Enhancing and evaluating the characteristics of specialized workwear for employees in the electric power supply sector. In American Institute of Physics Conference Series (Vol. 3331, No. 1, p. 050006).  </w:t>
      </w:r>
      <w:hyperlink r:id="rId13" w:history="1">
        <w:r w:rsidRPr="003C22A0">
          <w:rPr>
            <w:rStyle w:val="a6"/>
            <w:rFonts w:ascii="Times New Roman" w:hAnsi="Times New Roman"/>
            <w:sz w:val="20"/>
            <w:szCs w:val="20"/>
            <w:lang w:val="uz-Cyrl-UZ"/>
          </w:rPr>
          <w:t>https://doi.org/10.1063/5.0306350</w:t>
        </w:r>
      </w:hyperlink>
      <w:r>
        <w:rPr>
          <w:rStyle w:val="a6"/>
          <w:rFonts w:ascii="Times New Roman" w:hAnsi="Times New Roman"/>
          <w:sz w:val="20"/>
          <w:szCs w:val="20"/>
          <w:u w:val="none"/>
          <w:lang w:val="uz-Cyrl-UZ"/>
        </w:rPr>
        <w:t xml:space="preserve"> </w:t>
      </w:r>
      <w:bookmarkEnd w:id="2"/>
    </w:p>
    <w:p w14:paraId="2ECCF0A7" w14:textId="47B6D4D3" w:rsidR="001938FA" w:rsidRPr="0086335B" w:rsidRDefault="00190BF6" w:rsidP="0086335B">
      <w:pPr>
        <w:numPr>
          <w:ilvl w:val="0"/>
          <w:numId w:val="3"/>
        </w:numPr>
        <w:tabs>
          <w:tab w:val="left" w:pos="284"/>
          <w:tab w:val="left" w:pos="426"/>
        </w:tabs>
        <w:spacing w:after="0" w:line="240" w:lineRule="auto"/>
        <w:ind w:left="0" w:firstLine="0"/>
        <w:jc w:val="both"/>
        <w:rPr>
          <w:rStyle w:val="a6"/>
          <w:rFonts w:ascii="Times New Roman" w:hAnsi="Times New Roman"/>
          <w:color w:val="auto"/>
          <w:sz w:val="20"/>
          <w:szCs w:val="20"/>
          <w:u w:val="none"/>
        </w:rPr>
      </w:pPr>
      <w:r w:rsidRPr="00190BF6">
        <w:rPr>
          <w:rFonts w:ascii="Times New Roman" w:hAnsi="Times New Roman"/>
          <w:sz w:val="20"/>
          <w:szCs w:val="20"/>
        </w:rPr>
        <w:t xml:space="preserve">A. </w:t>
      </w:r>
      <w:proofErr w:type="spellStart"/>
      <w:r w:rsidRPr="00190BF6">
        <w:rPr>
          <w:rFonts w:ascii="Times New Roman" w:hAnsi="Times New Roman"/>
          <w:sz w:val="20"/>
          <w:szCs w:val="20"/>
        </w:rPr>
        <w:t>Nomozov</w:t>
      </w:r>
      <w:proofErr w:type="spellEnd"/>
      <w:r w:rsidRPr="00190BF6">
        <w:rPr>
          <w:rFonts w:ascii="Times New Roman" w:hAnsi="Times New Roman"/>
          <w:sz w:val="20"/>
          <w:szCs w:val="20"/>
        </w:rPr>
        <w:t xml:space="preserve">, </w:t>
      </w:r>
      <w:proofErr w:type="spellStart"/>
      <w:r w:rsidRPr="00190BF6">
        <w:rPr>
          <w:rFonts w:ascii="Times New Roman" w:hAnsi="Times New Roman"/>
          <w:sz w:val="20"/>
          <w:szCs w:val="20"/>
        </w:rPr>
        <w:t>Kh.S</w:t>
      </w:r>
      <w:proofErr w:type="spellEnd"/>
      <w:r w:rsidRPr="00190BF6">
        <w:rPr>
          <w:rFonts w:ascii="Times New Roman" w:hAnsi="Times New Roman"/>
          <w:sz w:val="20"/>
          <w:szCs w:val="20"/>
        </w:rPr>
        <w:t xml:space="preserve">. Beknazarov, B.A. </w:t>
      </w:r>
      <w:proofErr w:type="spellStart"/>
      <w:r w:rsidRPr="00190BF6">
        <w:rPr>
          <w:rFonts w:ascii="Times New Roman" w:hAnsi="Times New Roman"/>
          <w:sz w:val="20"/>
          <w:szCs w:val="20"/>
        </w:rPr>
        <w:t>Normurodov</w:t>
      </w:r>
      <w:proofErr w:type="spellEnd"/>
      <w:r w:rsidRPr="00190BF6">
        <w:rPr>
          <w:rFonts w:ascii="Times New Roman" w:hAnsi="Times New Roman"/>
          <w:sz w:val="20"/>
          <w:szCs w:val="20"/>
        </w:rPr>
        <w:t xml:space="preserve">, </w:t>
      </w:r>
      <w:proofErr w:type="spellStart"/>
      <w:r w:rsidRPr="00190BF6">
        <w:rPr>
          <w:rFonts w:ascii="Times New Roman" w:hAnsi="Times New Roman"/>
          <w:sz w:val="20"/>
          <w:szCs w:val="20"/>
        </w:rPr>
        <w:t>Z.Kh</w:t>
      </w:r>
      <w:proofErr w:type="spellEnd"/>
      <w:r w:rsidRPr="00190BF6">
        <w:rPr>
          <w:rFonts w:ascii="Times New Roman" w:hAnsi="Times New Roman"/>
          <w:sz w:val="20"/>
          <w:szCs w:val="20"/>
        </w:rPr>
        <w:t xml:space="preserve">. Misirov, S.G. Yuldashova, G.J. Mukimova, D.A. Nabiev, Z. </w:t>
      </w:r>
      <w:proofErr w:type="spellStart"/>
      <w:r w:rsidRPr="00190BF6">
        <w:rPr>
          <w:rFonts w:ascii="Times New Roman" w:hAnsi="Times New Roman"/>
          <w:sz w:val="20"/>
          <w:szCs w:val="20"/>
        </w:rPr>
        <w:t>Jumaeva</w:t>
      </w:r>
      <w:proofErr w:type="spellEnd"/>
      <w:r w:rsidRPr="00190BF6">
        <w:rPr>
          <w:rFonts w:ascii="Times New Roman" w:hAnsi="Times New Roman"/>
          <w:sz w:val="20"/>
          <w:szCs w:val="20"/>
        </w:rPr>
        <w:t xml:space="preserve">. Inhibition potential of </w:t>
      </w:r>
      <w:proofErr w:type="spellStart"/>
      <w:r w:rsidRPr="00190BF6">
        <w:rPr>
          <w:rFonts w:ascii="Times New Roman" w:hAnsi="Times New Roman"/>
          <w:sz w:val="20"/>
          <w:szCs w:val="20"/>
        </w:rPr>
        <w:t>Salsola</w:t>
      </w:r>
      <w:proofErr w:type="spellEnd"/>
      <w:r w:rsidRPr="00190BF6">
        <w:rPr>
          <w:rFonts w:ascii="Times New Roman" w:hAnsi="Times New Roman"/>
          <w:sz w:val="20"/>
          <w:szCs w:val="20"/>
        </w:rPr>
        <w:t xml:space="preserve"> </w:t>
      </w:r>
      <w:proofErr w:type="spellStart"/>
      <w:r w:rsidRPr="00190BF6">
        <w:rPr>
          <w:rFonts w:ascii="Times New Roman" w:hAnsi="Times New Roman"/>
          <w:sz w:val="20"/>
          <w:szCs w:val="20"/>
        </w:rPr>
        <w:t>oppositifolia</w:t>
      </w:r>
      <w:proofErr w:type="spellEnd"/>
      <w:r w:rsidRPr="00190BF6">
        <w:rPr>
          <w:rFonts w:ascii="Times New Roman" w:hAnsi="Times New Roman"/>
          <w:sz w:val="20"/>
          <w:szCs w:val="20"/>
        </w:rPr>
        <w:t xml:space="preserve"> extract as a green corrosion inhibitor of mild steel in an acidic solution. Int. J. </w:t>
      </w:r>
      <w:proofErr w:type="spellStart"/>
      <w:r w:rsidRPr="00190BF6">
        <w:rPr>
          <w:rFonts w:ascii="Times New Roman" w:hAnsi="Times New Roman"/>
          <w:sz w:val="20"/>
          <w:szCs w:val="20"/>
        </w:rPr>
        <w:t>Corros</w:t>
      </w:r>
      <w:proofErr w:type="spellEnd"/>
      <w:r w:rsidRPr="00190BF6">
        <w:rPr>
          <w:rFonts w:ascii="Times New Roman" w:hAnsi="Times New Roman"/>
          <w:sz w:val="20"/>
          <w:szCs w:val="20"/>
        </w:rPr>
        <w:t xml:space="preserve">. Scale </w:t>
      </w:r>
      <w:proofErr w:type="spellStart"/>
      <w:r w:rsidRPr="00190BF6">
        <w:rPr>
          <w:rFonts w:ascii="Times New Roman" w:hAnsi="Times New Roman"/>
          <w:sz w:val="20"/>
          <w:szCs w:val="20"/>
        </w:rPr>
        <w:t>Inhib</w:t>
      </w:r>
      <w:proofErr w:type="spellEnd"/>
      <w:r w:rsidRPr="00190BF6">
        <w:rPr>
          <w:rFonts w:ascii="Times New Roman" w:hAnsi="Times New Roman"/>
          <w:sz w:val="20"/>
          <w:szCs w:val="20"/>
        </w:rPr>
        <w:t>., 14(3) (2025) 1103–1115.</w:t>
      </w:r>
      <w:r>
        <w:rPr>
          <w:rFonts w:ascii="Times New Roman" w:hAnsi="Times New Roman"/>
          <w:sz w:val="20"/>
          <w:szCs w:val="20"/>
        </w:rPr>
        <w:t xml:space="preserve"> </w:t>
      </w:r>
      <w:hyperlink r:id="rId14" w:history="1">
        <w:r w:rsidRPr="000A189E">
          <w:rPr>
            <w:rStyle w:val="a6"/>
            <w:rFonts w:ascii="Times New Roman" w:hAnsi="Times New Roman"/>
            <w:sz w:val="20"/>
            <w:szCs w:val="20"/>
          </w:rPr>
          <w:t>https://doi.org/10.17675/2305-6894-2025-14-3-5</w:t>
        </w:r>
      </w:hyperlink>
    </w:p>
    <w:p w14:paraId="684DC7A3"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t>Safarov</w:t>
      </w:r>
      <w:proofErr w:type="spellEnd"/>
      <w:r w:rsidRPr="0086335B">
        <w:rPr>
          <w:rFonts w:ascii="Times New Roman" w:hAnsi="Times New Roman"/>
          <w:sz w:val="20"/>
          <w:szCs w:val="20"/>
        </w:rPr>
        <w:t xml:space="preserve"> J., </w:t>
      </w:r>
      <w:proofErr w:type="spellStart"/>
      <w:r w:rsidRPr="0086335B">
        <w:rPr>
          <w:rFonts w:ascii="Times New Roman" w:hAnsi="Times New Roman"/>
          <w:sz w:val="20"/>
          <w:szCs w:val="20"/>
        </w:rPr>
        <w:t>Khujakulov</w:t>
      </w:r>
      <w:proofErr w:type="spellEnd"/>
      <w:r w:rsidRPr="0086335B">
        <w:rPr>
          <w:rFonts w:ascii="Times New Roman" w:hAnsi="Times New Roman"/>
          <w:sz w:val="20"/>
          <w:szCs w:val="20"/>
        </w:rPr>
        <w:t xml:space="preserve"> A., </w:t>
      </w:r>
      <w:proofErr w:type="spellStart"/>
      <w:r w:rsidRPr="0086335B">
        <w:rPr>
          <w:rFonts w:ascii="Times New Roman" w:hAnsi="Times New Roman"/>
          <w:sz w:val="20"/>
          <w:szCs w:val="20"/>
        </w:rPr>
        <w:t>Sultanova</w:t>
      </w:r>
      <w:proofErr w:type="spellEnd"/>
      <w:r w:rsidRPr="0086335B">
        <w:rPr>
          <w:rFonts w:ascii="Times New Roman" w:hAnsi="Times New Roman"/>
          <w:sz w:val="20"/>
          <w:szCs w:val="20"/>
        </w:rPr>
        <w:t xml:space="preserve"> Sh., </w:t>
      </w:r>
      <w:proofErr w:type="spellStart"/>
      <w:r w:rsidRPr="0086335B">
        <w:rPr>
          <w:rFonts w:ascii="Times New Roman" w:hAnsi="Times New Roman"/>
          <w:sz w:val="20"/>
          <w:szCs w:val="20"/>
        </w:rPr>
        <w:t>Khujakulov</w:t>
      </w:r>
      <w:proofErr w:type="spellEnd"/>
      <w:r w:rsidRPr="0086335B">
        <w:rPr>
          <w:rFonts w:ascii="Times New Roman" w:hAnsi="Times New Roman"/>
          <w:sz w:val="20"/>
          <w:szCs w:val="20"/>
        </w:rPr>
        <w:t xml:space="preserve"> U., Sunil </w:t>
      </w:r>
      <w:proofErr w:type="spellStart"/>
      <w:r w:rsidRPr="0086335B">
        <w:rPr>
          <w:rFonts w:ascii="Times New Roman" w:hAnsi="Times New Roman"/>
          <w:sz w:val="20"/>
          <w:szCs w:val="20"/>
        </w:rPr>
        <w:t>Verma</w:t>
      </w:r>
      <w:proofErr w:type="spellEnd"/>
      <w:r w:rsidRPr="0086335B">
        <w:rPr>
          <w:rFonts w:ascii="Times New Roman" w:hAnsi="Times New Roman"/>
          <w:sz w:val="20"/>
          <w:szCs w:val="20"/>
        </w:rPr>
        <w:t xml:space="preserve">. Research on energy efficient kinetics of drying raw material. // E3S Web of Conferences: </w:t>
      </w:r>
      <w:proofErr w:type="spellStart"/>
      <w:r w:rsidRPr="0086335B">
        <w:rPr>
          <w:rFonts w:ascii="Times New Roman" w:hAnsi="Times New Roman"/>
          <w:sz w:val="20"/>
          <w:szCs w:val="20"/>
        </w:rPr>
        <w:t>Rudenko</w:t>
      </w:r>
      <w:proofErr w:type="spellEnd"/>
      <w:r w:rsidRPr="0086335B">
        <w:rPr>
          <w:rFonts w:ascii="Times New Roman" w:hAnsi="Times New Roman"/>
          <w:sz w:val="20"/>
          <w:szCs w:val="20"/>
        </w:rPr>
        <w:t xml:space="preserve"> International Conference “Methodological problems in reliability study of large energy systems” (RSES 2020). Vol. 216, 2020. P.1-5.  doi.org/10.1051/e3sconf/202021601093</w:t>
      </w:r>
    </w:p>
    <w:p w14:paraId="0AF094C1"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t>Safarov</w:t>
      </w:r>
      <w:proofErr w:type="spellEnd"/>
      <w:r w:rsidRPr="0086335B">
        <w:rPr>
          <w:rFonts w:ascii="Times New Roman" w:hAnsi="Times New Roman"/>
          <w:sz w:val="20"/>
          <w:szCs w:val="20"/>
        </w:rPr>
        <w:t xml:space="preserve"> J., </w:t>
      </w:r>
      <w:proofErr w:type="spellStart"/>
      <w:r w:rsidRPr="0086335B">
        <w:rPr>
          <w:rFonts w:ascii="Times New Roman" w:hAnsi="Times New Roman"/>
          <w:sz w:val="20"/>
          <w:szCs w:val="20"/>
        </w:rPr>
        <w:t>Sultanova</w:t>
      </w:r>
      <w:proofErr w:type="spellEnd"/>
      <w:r w:rsidRPr="0086335B">
        <w:rPr>
          <w:rFonts w:ascii="Times New Roman" w:hAnsi="Times New Roman"/>
          <w:sz w:val="20"/>
          <w:szCs w:val="20"/>
        </w:rPr>
        <w:t xml:space="preserve"> Sh., </w:t>
      </w:r>
      <w:proofErr w:type="spellStart"/>
      <w:r w:rsidRPr="0086335B">
        <w:rPr>
          <w:rFonts w:ascii="Times New Roman" w:hAnsi="Times New Roman"/>
          <w:sz w:val="20"/>
          <w:szCs w:val="20"/>
        </w:rPr>
        <w:t>Dadayev</w:t>
      </w:r>
      <w:proofErr w:type="spellEnd"/>
      <w:r w:rsidRPr="0086335B">
        <w:rPr>
          <w:rFonts w:ascii="Times New Roman" w:hAnsi="Times New Roman"/>
          <w:sz w:val="20"/>
          <w:szCs w:val="20"/>
        </w:rPr>
        <w:t xml:space="preserve"> G.T., </w:t>
      </w:r>
      <w:proofErr w:type="spellStart"/>
      <w:r w:rsidRPr="0086335B">
        <w:rPr>
          <w:rFonts w:ascii="Times New Roman" w:hAnsi="Times New Roman"/>
          <w:sz w:val="20"/>
          <w:szCs w:val="20"/>
        </w:rPr>
        <w:t>Zulponov</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Sh.U</w:t>
      </w:r>
      <w:proofErr w:type="spellEnd"/>
      <w:r w:rsidRPr="0086335B">
        <w:rPr>
          <w:rFonts w:ascii="Times New Roman" w:hAnsi="Times New Roman"/>
          <w:sz w:val="20"/>
          <w:szCs w:val="20"/>
        </w:rPr>
        <w:t>. Influence of the structure of coolant flows on the temperature profile by phases in a water heating dryer. // IOP Conf. Series: Materials Science and Engineering. Dynamics of Technical Systems (DTS 2020). Vol.1029, 2021. №012019. P.1-11. doi:10.1088/1757-899X/1029/1/012019</w:t>
      </w:r>
    </w:p>
    <w:p w14:paraId="4A87701A"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t>Sultanova</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Sh.A</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Artikov</w:t>
      </w:r>
      <w:proofErr w:type="spellEnd"/>
      <w:r w:rsidRPr="0086335B">
        <w:rPr>
          <w:rFonts w:ascii="Times New Roman" w:hAnsi="Times New Roman"/>
          <w:sz w:val="20"/>
          <w:szCs w:val="20"/>
        </w:rPr>
        <w:t xml:space="preserve"> A.A., </w:t>
      </w:r>
      <w:proofErr w:type="spellStart"/>
      <w:r w:rsidRPr="0086335B">
        <w:rPr>
          <w:rFonts w:ascii="Times New Roman" w:hAnsi="Times New Roman"/>
          <w:sz w:val="20"/>
          <w:szCs w:val="20"/>
        </w:rPr>
        <w:t>Masharipova</w:t>
      </w:r>
      <w:proofErr w:type="spellEnd"/>
      <w:r w:rsidRPr="0086335B">
        <w:rPr>
          <w:rFonts w:ascii="Times New Roman" w:hAnsi="Times New Roman"/>
          <w:sz w:val="20"/>
          <w:szCs w:val="20"/>
        </w:rPr>
        <w:t xml:space="preserve"> Z.A., </w:t>
      </w:r>
      <w:proofErr w:type="spellStart"/>
      <w:r w:rsidRPr="0086335B">
        <w:rPr>
          <w:rFonts w:ascii="Times New Roman" w:hAnsi="Times New Roman"/>
          <w:sz w:val="20"/>
          <w:szCs w:val="20"/>
        </w:rPr>
        <w:t>Abhijit</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Tarawade</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Safarov</w:t>
      </w:r>
      <w:proofErr w:type="spellEnd"/>
      <w:r w:rsidRPr="0086335B">
        <w:rPr>
          <w:rFonts w:ascii="Times New Roman" w:hAnsi="Times New Roman"/>
          <w:sz w:val="20"/>
          <w:szCs w:val="20"/>
        </w:rPr>
        <w:t xml:space="preserve"> J.E. Results of experiments conducted in a </w:t>
      </w:r>
      <w:proofErr w:type="spellStart"/>
      <w:r w:rsidRPr="0086335B">
        <w:rPr>
          <w:rFonts w:ascii="Times New Roman" w:hAnsi="Times New Roman"/>
          <w:sz w:val="20"/>
          <w:szCs w:val="20"/>
        </w:rPr>
        <w:t>helio</w:t>
      </w:r>
      <w:proofErr w:type="spellEnd"/>
      <w:r w:rsidRPr="0086335B">
        <w:rPr>
          <w:rFonts w:ascii="Times New Roman" w:hAnsi="Times New Roman"/>
          <w:sz w:val="20"/>
          <w:szCs w:val="20"/>
        </w:rPr>
        <w:t xml:space="preserve"> water heating convective drying plant. // International conference AEGIS-2021 «Agricultural Engineering and Green Infrastructure Solutions».  IOP Conf. Series: Earth and Environmental Science 868 (2021) 012045. P.1-6. doi:10.1088/1755-1315/868/1/012045</w:t>
      </w:r>
    </w:p>
    <w:p w14:paraId="48E473EE"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lastRenderedPageBreak/>
        <w:t>Sultanova</w:t>
      </w:r>
      <w:proofErr w:type="spellEnd"/>
      <w:r w:rsidRPr="0086335B">
        <w:rPr>
          <w:rFonts w:ascii="Times New Roman" w:hAnsi="Times New Roman"/>
          <w:sz w:val="20"/>
          <w:szCs w:val="20"/>
        </w:rPr>
        <w:t xml:space="preserve"> Sh., </w:t>
      </w:r>
      <w:proofErr w:type="spellStart"/>
      <w:r w:rsidRPr="0086335B">
        <w:rPr>
          <w:rFonts w:ascii="Times New Roman" w:hAnsi="Times New Roman"/>
          <w:sz w:val="20"/>
          <w:szCs w:val="20"/>
        </w:rPr>
        <w:t>Safarov</w:t>
      </w:r>
      <w:proofErr w:type="spellEnd"/>
      <w:r w:rsidRPr="0086335B">
        <w:rPr>
          <w:rFonts w:ascii="Times New Roman" w:hAnsi="Times New Roman"/>
          <w:sz w:val="20"/>
          <w:szCs w:val="20"/>
        </w:rPr>
        <w:t xml:space="preserve"> J., </w:t>
      </w:r>
      <w:proofErr w:type="spellStart"/>
      <w:r w:rsidRPr="0086335B">
        <w:rPr>
          <w:rFonts w:ascii="Times New Roman" w:hAnsi="Times New Roman"/>
          <w:sz w:val="20"/>
          <w:szCs w:val="20"/>
        </w:rPr>
        <w:t>Usenov</w:t>
      </w:r>
      <w:proofErr w:type="spellEnd"/>
      <w:r w:rsidRPr="0086335B">
        <w:rPr>
          <w:rFonts w:ascii="Times New Roman" w:hAnsi="Times New Roman"/>
          <w:sz w:val="20"/>
          <w:szCs w:val="20"/>
        </w:rPr>
        <w:t xml:space="preserve"> A., </w:t>
      </w:r>
      <w:proofErr w:type="spellStart"/>
      <w:r w:rsidRPr="0086335B">
        <w:rPr>
          <w:rFonts w:ascii="Times New Roman" w:hAnsi="Times New Roman"/>
          <w:sz w:val="20"/>
          <w:szCs w:val="20"/>
        </w:rPr>
        <w:t>Samandarov</w:t>
      </w:r>
      <w:proofErr w:type="spellEnd"/>
      <w:r w:rsidRPr="0086335B">
        <w:rPr>
          <w:rFonts w:ascii="Times New Roman" w:hAnsi="Times New Roman"/>
          <w:sz w:val="20"/>
          <w:szCs w:val="20"/>
        </w:rPr>
        <w:t xml:space="preserve"> D., </w:t>
      </w:r>
      <w:proofErr w:type="spellStart"/>
      <w:r w:rsidRPr="0086335B">
        <w:rPr>
          <w:rFonts w:ascii="Times New Roman" w:hAnsi="Times New Roman"/>
          <w:sz w:val="20"/>
          <w:szCs w:val="20"/>
        </w:rPr>
        <w:t>Azimov</w:t>
      </w:r>
      <w:proofErr w:type="spellEnd"/>
      <w:r w:rsidRPr="0086335B">
        <w:rPr>
          <w:rFonts w:ascii="Times New Roman" w:hAnsi="Times New Roman"/>
          <w:sz w:val="20"/>
          <w:szCs w:val="20"/>
        </w:rPr>
        <w:t xml:space="preserve"> T. Ultrasonic extraction and determination of flavonoids. XVII International scientific-technical conference “Dynamics of technical systems” (DTS-2021). AIP Conference Proceedings 2507, 050005. 2023. P.1-5. doi.org/10.1063/5.0110524</w:t>
      </w:r>
    </w:p>
    <w:p w14:paraId="7F404D2B"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t>Sultanova</w:t>
      </w:r>
      <w:proofErr w:type="spellEnd"/>
      <w:r w:rsidRPr="0086335B">
        <w:rPr>
          <w:rFonts w:ascii="Times New Roman" w:hAnsi="Times New Roman"/>
          <w:sz w:val="20"/>
          <w:szCs w:val="20"/>
        </w:rPr>
        <w:t xml:space="preserve"> Sh., </w:t>
      </w:r>
      <w:proofErr w:type="spellStart"/>
      <w:r w:rsidRPr="0086335B">
        <w:rPr>
          <w:rFonts w:ascii="Times New Roman" w:hAnsi="Times New Roman"/>
          <w:sz w:val="20"/>
          <w:szCs w:val="20"/>
        </w:rPr>
        <w:t>Safarov</w:t>
      </w:r>
      <w:proofErr w:type="spellEnd"/>
      <w:r w:rsidRPr="0086335B">
        <w:rPr>
          <w:rFonts w:ascii="Times New Roman" w:hAnsi="Times New Roman"/>
          <w:sz w:val="20"/>
          <w:szCs w:val="20"/>
        </w:rPr>
        <w:t xml:space="preserve"> J., </w:t>
      </w:r>
      <w:proofErr w:type="spellStart"/>
      <w:r w:rsidRPr="0086335B">
        <w:rPr>
          <w:rFonts w:ascii="Times New Roman" w:hAnsi="Times New Roman"/>
          <w:sz w:val="20"/>
          <w:szCs w:val="20"/>
        </w:rPr>
        <w:t>Usenov</w:t>
      </w:r>
      <w:proofErr w:type="spellEnd"/>
      <w:r w:rsidRPr="0086335B">
        <w:rPr>
          <w:rFonts w:ascii="Times New Roman" w:hAnsi="Times New Roman"/>
          <w:sz w:val="20"/>
          <w:szCs w:val="20"/>
        </w:rPr>
        <w:t xml:space="preserve"> A., </w:t>
      </w:r>
      <w:proofErr w:type="spellStart"/>
      <w:r w:rsidRPr="0086335B">
        <w:rPr>
          <w:rFonts w:ascii="Times New Roman" w:hAnsi="Times New Roman"/>
          <w:sz w:val="20"/>
          <w:szCs w:val="20"/>
        </w:rPr>
        <w:t>Raxmanova</w:t>
      </w:r>
      <w:proofErr w:type="spellEnd"/>
      <w:r w:rsidRPr="0086335B">
        <w:rPr>
          <w:rFonts w:ascii="Times New Roman" w:hAnsi="Times New Roman"/>
          <w:sz w:val="20"/>
          <w:szCs w:val="20"/>
        </w:rPr>
        <w:t xml:space="preserve"> T. Definitions of useful energy and temperature at the outlet of solar collectors. // E3S Web of Conferences: </w:t>
      </w:r>
      <w:proofErr w:type="spellStart"/>
      <w:r w:rsidRPr="0086335B">
        <w:rPr>
          <w:rFonts w:ascii="Times New Roman" w:hAnsi="Times New Roman"/>
          <w:sz w:val="20"/>
          <w:szCs w:val="20"/>
        </w:rPr>
        <w:t>Rudenko</w:t>
      </w:r>
      <w:proofErr w:type="spellEnd"/>
      <w:r w:rsidRPr="0086335B">
        <w:rPr>
          <w:rFonts w:ascii="Times New Roman" w:hAnsi="Times New Roman"/>
          <w:sz w:val="20"/>
          <w:szCs w:val="20"/>
        </w:rPr>
        <w:t xml:space="preserve"> International Conference “Methodological problems in reliability study of large energy systems” (RSES 2020). Vol. 216, 2020. P.1-5.  doi.org/10.1051/e3sconf/202021601094</w:t>
      </w:r>
    </w:p>
    <w:p w14:paraId="60DD7769"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t>Usenov</w:t>
      </w:r>
      <w:proofErr w:type="spellEnd"/>
      <w:r w:rsidRPr="0086335B">
        <w:rPr>
          <w:rFonts w:ascii="Times New Roman" w:hAnsi="Times New Roman"/>
          <w:sz w:val="20"/>
          <w:szCs w:val="20"/>
        </w:rPr>
        <w:t xml:space="preserve"> A.B., </w:t>
      </w:r>
      <w:proofErr w:type="spellStart"/>
      <w:r w:rsidRPr="0086335B">
        <w:rPr>
          <w:rFonts w:ascii="Times New Roman" w:hAnsi="Times New Roman"/>
          <w:sz w:val="20"/>
          <w:szCs w:val="20"/>
        </w:rPr>
        <w:t>Sultanova</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Sh.A</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Safarov</w:t>
      </w:r>
      <w:proofErr w:type="spellEnd"/>
      <w:r w:rsidRPr="0086335B">
        <w:rPr>
          <w:rFonts w:ascii="Times New Roman" w:hAnsi="Times New Roman"/>
          <w:sz w:val="20"/>
          <w:szCs w:val="20"/>
        </w:rPr>
        <w:t xml:space="preserve"> J.E., </w:t>
      </w:r>
      <w:proofErr w:type="spellStart"/>
      <w:r w:rsidRPr="0086335B">
        <w:rPr>
          <w:rFonts w:ascii="Times New Roman" w:hAnsi="Times New Roman"/>
          <w:sz w:val="20"/>
          <w:szCs w:val="20"/>
        </w:rPr>
        <w:t>Azimov</w:t>
      </w:r>
      <w:proofErr w:type="spellEnd"/>
      <w:r w:rsidRPr="0086335B">
        <w:rPr>
          <w:rFonts w:ascii="Times New Roman" w:hAnsi="Times New Roman"/>
          <w:sz w:val="20"/>
          <w:szCs w:val="20"/>
        </w:rPr>
        <w:t xml:space="preserve"> A.T. Experimental-statistic modelling of temperature dependence of solubility in the extraction of </w:t>
      </w:r>
      <w:proofErr w:type="spellStart"/>
      <w:r w:rsidRPr="0086335B">
        <w:rPr>
          <w:rFonts w:ascii="Times New Roman" w:hAnsi="Times New Roman"/>
          <w:sz w:val="20"/>
          <w:szCs w:val="20"/>
        </w:rPr>
        <w:t>ocimum</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basilicum</w:t>
      </w:r>
      <w:proofErr w:type="spellEnd"/>
      <w:r w:rsidRPr="0086335B">
        <w:rPr>
          <w:rFonts w:ascii="Times New Roman" w:hAnsi="Times New Roman"/>
          <w:sz w:val="20"/>
          <w:szCs w:val="20"/>
        </w:rPr>
        <w:t xml:space="preserve"> plants. // International conference AEGIS-2021 «Agricultural Engineering and Green Infrastructure Solutions». IOP Conf. Series: Earth and Environmental Science 868 (2021) 012047. P.1-5. doi:10.1088/1755-1315/868/1/012047</w:t>
      </w:r>
    </w:p>
    <w:p w14:paraId="2B3ADCAD"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t>Baratov</w:t>
      </w:r>
      <w:proofErr w:type="spellEnd"/>
      <w:r w:rsidRPr="0086335B">
        <w:rPr>
          <w:rFonts w:ascii="Times New Roman" w:hAnsi="Times New Roman"/>
          <w:sz w:val="20"/>
          <w:szCs w:val="20"/>
        </w:rPr>
        <w:t xml:space="preserve">, B.N., </w:t>
      </w:r>
      <w:proofErr w:type="spellStart"/>
      <w:r w:rsidRPr="0086335B">
        <w:rPr>
          <w:rFonts w:ascii="Times New Roman" w:hAnsi="Times New Roman"/>
          <w:sz w:val="20"/>
          <w:szCs w:val="20"/>
        </w:rPr>
        <w:t>Umarov</w:t>
      </w:r>
      <w:proofErr w:type="spellEnd"/>
      <w:r w:rsidRPr="0086335B">
        <w:rPr>
          <w:rFonts w:ascii="Times New Roman" w:hAnsi="Times New Roman"/>
          <w:sz w:val="20"/>
          <w:szCs w:val="20"/>
        </w:rPr>
        <w:t xml:space="preserve">, F.Y., </w:t>
      </w:r>
      <w:proofErr w:type="spellStart"/>
      <w:r w:rsidRPr="0086335B">
        <w:rPr>
          <w:rFonts w:ascii="Times New Roman" w:hAnsi="Times New Roman"/>
          <w:sz w:val="20"/>
          <w:szCs w:val="20"/>
        </w:rPr>
        <w:t>Toshov</w:t>
      </w:r>
      <w:proofErr w:type="spellEnd"/>
      <w:r w:rsidRPr="0086335B">
        <w:rPr>
          <w:rFonts w:ascii="Times New Roman" w:hAnsi="Times New Roman"/>
          <w:sz w:val="20"/>
          <w:szCs w:val="20"/>
        </w:rPr>
        <w:t xml:space="preserve">, Z.H. </w:t>
      </w:r>
      <w:proofErr w:type="spellStart"/>
      <w:r w:rsidRPr="0086335B">
        <w:rPr>
          <w:rFonts w:ascii="Times New Roman" w:hAnsi="Times New Roman"/>
          <w:sz w:val="20"/>
          <w:szCs w:val="20"/>
        </w:rPr>
        <w:t>Tricone</w:t>
      </w:r>
      <w:proofErr w:type="spellEnd"/>
      <w:r w:rsidRPr="0086335B">
        <w:rPr>
          <w:rFonts w:ascii="Times New Roman" w:hAnsi="Times New Roman"/>
          <w:sz w:val="20"/>
          <w:szCs w:val="20"/>
        </w:rPr>
        <w:t xml:space="preserve"> drill bit performance evaluation. </w:t>
      </w:r>
      <w:proofErr w:type="spellStart"/>
      <w:r w:rsidRPr="0086335B">
        <w:rPr>
          <w:rFonts w:ascii="Times New Roman" w:hAnsi="Times New Roman"/>
          <w:sz w:val="20"/>
          <w:szCs w:val="20"/>
        </w:rPr>
        <w:t>Gornyi</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Zhurnal</w:t>
      </w:r>
      <w:proofErr w:type="spellEnd"/>
      <w:r w:rsidRPr="0086335B">
        <w:rPr>
          <w:rFonts w:ascii="Times New Roman" w:hAnsi="Times New Roman"/>
          <w:sz w:val="20"/>
          <w:szCs w:val="20"/>
        </w:rPr>
        <w:t>, Moscow, 2021. - № 12. - PP. 60-63. DOI:10.17580/gzh.2021.12.11.</w:t>
      </w:r>
    </w:p>
    <w:p w14:paraId="0C30910C"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t>Toshov</w:t>
      </w:r>
      <w:proofErr w:type="spellEnd"/>
      <w:r w:rsidRPr="0086335B">
        <w:rPr>
          <w:rFonts w:ascii="Times New Roman" w:hAnsi="Times New Roman"/>
          <w:sz w:val="20"/>
          <w:szCs w:val="20"/>
        </w:rPr>
        <w:t xml:space="preserve">, J.B., </w:t>
      </w:r>
      <w:proofErr w:type="spellStart"/>
      <w:r w:rsidRPr="0086335B">
        <w:rPr>
          <w:rFonts w:ascii="Times New Roman" w:hAnsi="Times New Roman"/>
          <w:sz w:val="20"/>
          <w:szCs w:val="20"/>
        </w:rPr>
        <w:t>Toshov</w:t>
      </w:r>
      <w:proofErr w:type="spellEnd"/>
      <w:r w:rsidRPr="0086335B">
        <w:rPr>
          <w:rFonts w:ascii="Times New Roman" w:hAnsi="Times New Roman"/>
          <w:sz w:val="20"/>
          <w:szCs w:val="20"/>
        </w:rPr>
        <w:t xml:space="preserve">, B.R., </w:t>
      </w:r>
      <w:proofErr w:type="spellStart"/>
      <w:r w:rsidRPr="0086335B">
        <w:rPr>
          <w:rFonts w:ascii="Times New Roman" w:hAnsi="Times New Roman"/>
          <w:sz w:val="20"/>
          <w:szCs w:val="20"/>
        </w:rPr>
        <w:t>Baratov</w:t>
      </w:r>
      <w:proofErr w:type="spellEnd"/>
      <w:r w:rsidRPr="0086335B">
        <w:rPr>
          <w:rFonts w:ascii="Times New Roman" w:hAnsi="Times New Roman"/>
          <w:sz w:val="20"/>
          <w:szCs w:val="20"/>
        </w:rPr>
        <w:t xml:space="preserve">, B.N., </w:t>
      </w:r>
      <w:proofErr w:type="spellStart"/>
      <w:r w:rsidRPr="0086335B">
        <w:rPr>
          <w:rFonts w:ascii="Times New Roman" w:hAnsi="Times New Roman"/>
          <w:sz w:val="20"/>
          <w:szCs w:val="20"/>
        </w:rPr>
        <w:t>Haqberdiyev</w:t>
      </w:r>
      <w:proofErr w:type="spellEnd"/>
      <w:r w:rsidRPr="0086335B">
        <w:rPr>
          <w:rFonts w:ascii="Times New Roman" w:hAnsi="Times New Roman"/>
          <w:sz w:val="20"/>
          <w:szCs w:val="20"/>
        </w:rPr>
        <w:t xml:space="preserve">, A.L. Designing new generation drill bits with optimal axial eccentricity | </w:t>
      </w:r>
      <w:proofErr w:type="spellStart"/>
      <w:r w:rsidRPr="0086335B">
        <w:rPr>
          <w:rFonts w:ascii="Times New Roman" w:hAnsi="Times New Roman"/>
          <w:sz w:val="20"/>
          <w:szCs w:val="20"/>
        </w:rPr>
        <w:t>Вопросы</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проектирования</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буровых</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долот</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нового</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поколения</w:t>
      </w:r>
      <w:proofErr w:type="spellEnd"/>
      <w:r w:rsidRPr="0086335B">
        <w:rPr>
          <w:rFonts w:ascii="Times New Roman" w:hAnsi="Times New Roman"/>
          <w:sz w:val="20"/>
          <w:szCs w:val="20"/>
        </w:rPr>
        <w:t xml:space="preserve"> с </w:t>
      </w:r>
      <w:proofErr w:type="spellStart"/>
      <w:r w:rsidRPr="0086335B">
        <w:rPr>
          <w:rFonts w:ascii="Times New Roman" w:hAnsi="Times New Roman"/>
          <w:sz w:val="20"/>
          <w:szCs w:val="20"/>
        </w:rPr>
        <w:t>оптимальным</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межосевым</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эксцентриситетом</w:t>
      </w:r>
      <w:proofErr w:type="spellEnd"/>
      <w:r w:rsidRPr="0086335B">
        <w:rPr>
          <w:rFonts w:ascii="Times New Roman" w:hAnsi="Times New Roman"/>
          <w:sz w:val="20"/>
          <w:szCs w:val="20"/>
        </w:rPr>
        <w:t xml:space="preserve"> // Mining Informational and Analytical Bulletin, 2022, (9). - PP. 133–142. DOI: 10.25018/0236_1493_2022_9_0_133</w:t>
      </w:r>
    </w:p>
    <w:p w14:paraId="3E3935AD"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t>Toshov</w:t>
      </w:r>
      <w:proofErr w:type="spellEnd"/>
      <w:r w:rsidRPr="0086335B">
        <w:rPr>
          <w:rFonts w:ascii="Times New Roman" w:hAnsi="Times New Roman"/>
          <w:sz w:val="20"/>
          <w:szCs w:val="20"/>
        </w:rPr>
        <w:t xml:space="preserve"> J., </w:t>
      </w:r>
      <w:proofErr w:type="spellStart"/>
      <w:r w:rsidRPr="0086335B">
        <w:rPr>
          <w:rFonts w:ascii="Times New Roman" w:hAnsi="Times New Roman"/>
          <w:sz w:val="20"/>
          <w:szCs w:val="20"/>
        </w:rPr>
        <w:t>Makhmudov</w:t>
      </w:r>
      <w:proofErr w:type="spellEnd"/>
      <w:r w:rsidRPr="0086335B">
        <w:rPr>
          <w:rFonts w:ascii="Times New Roman" w:hAnsi="Times New Roman"/>
          <w:sz w:val="20"/>
          <w:szCs w:val="20"/>
        </w:rPr>
        <w:t xml:space="preserve"> A., </w:t>
      </w:r>
      <w:proofErr w:type="spellStart"/>
      <w:r w:rsidRPr="0086335B">
        <w:rPr>
          <w:rFonts w:ascii="Times New Roman" w:hAnsi="Times New Roman"/>
          <w:sz w:val="20"/>
          <w:szCs w:val="20"/>
        </w:rPr>
        <w:t>Kurbonov</w:t>
      </w:r>
      <w:proofErr w:type="spellEnd"/>
      <w:r w:rsidRPr="0086335B">
        <w:rPr>
          <w:rFonts w:ascii="Times New Roman" w:hAnsi="Times New Roman"/>
          <w:sz w:val="20"/>
          <w:szCs w:val="20"/>
        </w:rPr>
        <w:t xml:space="preserve"> O., </w:t>
      </w:r>
      <w:proofErr w:type="spellStart"/>
      <w:r w:rsidRPr="0086335B">
        <w:rPr>
          <w:rFonts w:ascii="Times New Roman" w:hAnsi="Times New Roman"/>
          <w:sz w:val="20"/>
          <w:szCs w:val="20"/>
        </w:rPr>
        <w:t>Arzikulov</w:t>
      </w:r>
      <w:proofErr w:type="spellEnd"/>
      <w:r w:rsidRPr="0086335B">
        <w:rPr>
          <w:rFonts w:ascii="Times New Roman" w:hAnsi="Times New Roman"/>
          <w:sz w:val="20"/>
          <w:szCs w:val="20"/>
        </w:rPr>
        <w:t xml:space="preserve"> G., </w:t>
      </w:r>
      <w:proofErr w:type="spellStart"/>
      <w:r w:rsidRPr="0086335B">
        <w:rPr>
          <w:rFonts w:ascii="Times New Roman" w:hAnsi="Times New Roman"/>
          <w:sz w:val="20"/>
          <w:szCs w:val="20"/>
        </w:rPr>
        <w:t>Makhmudova</w:t>
      </w:r>
      <w:proofErr w:type="spellEnd"/>
      <w:r w:rsidRPr="0086335B">
        <w:rPr>
          <w:rFonts w:ascii="Times New Roman" w:hAnsi="Times New Roman"/>
          <w:sz w:val="20"/>
          <w:szCs w:val="20"/>
        </w:rPr>
        <w:t xml:space="preserve"> G. Development and Substantiation of Energy-Saving Methods for Controlling the Modes of Operation of Centrifugal Pumping Units in Complicated Operating Conditions. Proceedings of the 11th International Conference on Applied Innovations in IT, (ICAIIT), November 2023, </w:t>
      </w:r>
      <w:proofErr w:type="spellStart"/>
      <w:r w:rsidRPr="0086335B">
        <w:rPr>
          <w:rFonts w:ascii="Times New Roman" w:hAnsi="Times New Roman"/>
          <w:sz w:val="20"/>
          <w:szCs w:val="20"/>
        </w:rPr>
        <w:t>Koethen</w:t>
      </w:r>
      <w:proofErr w:type="spellEnd"/>
      <w:r w:rsidRPr="0086335B">
        <w:rPr>
          <w:rFonts w:ascii="Times New Roman" w:hAnsi="Times New Roman"/>
          <w:sz w:val="20"/>
          <w:szCs w:val="20"/>
        </w:rPr>
        <w:t xml:space="preserve">, Germany. – РР. 161-165.  </w:t>
      </w:r>
    </w:p>
    <w:p w14:paraId="33CD1028"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r w:rsidRPr="0086335B">
        <w:rPr>
          <w:rFonts w:ascii="Times New Roman" w:hAnsi="Times New Roman"/>
          <w:sz w:val="20"/>
          <w:szCs w:val="20"/>
        </w:rPr>
        <w:t xml:space="preserve">J.B. </w:t>
      </w:r>
      <w:proofErr w:type="spellStart"/>
      <w:r w:rsidRPr="0086335B">
        <w:rPr>
          <w:rFonts w:ascii="Times New Roman" w:hAnsi="Times New Roman"/>
          <w:sz w:val="20"/>
          <w:szCs w:val="20"/>
        </w:rPr>
        <w:t>Toshov</w:t>
      </w:r>
      <w:proofErr w:type="spellEnd"/>
      <w:r w:rsidRPr="0086335B">
        <w:rPr>
          <w:rFonts w:ascii="Times New Roman" w:hAnsi="Times New Roman"/>
          <w:sz w:val="20"/>
          <w:szCs w:val="20"/>
        </w:rPr>
        <w:t xml:space="preserve">, K.T. </w:t>
      </w:r>
      <w:proofErr w:type="spellStart"/>
      <w:r w:rsidRPr="0086335B">
        <w:rPr>
          <w:rFonts w:ascii="Times New Roman" w:hAnsi="Times New Roman"/>
          <w:sz w:val="20"/>
          <w:szCs w:val="20"/>
        </w:rPr>
        <w:t>Sherov</w:t>
      </w:r>
      <w:proofErr w:type="spellEnd"/>
      <w:r w:rsidRPr="0086335B">
        <w:rPr>
          <w:rFonts w:ascii="Times New Roman" w:hAnsi="Times New Roman"/>
          <w:sz w:val="20"/>
          <w:szCs w:val="20"/>
        </w:rPr>
        <w:t xml:space="preserve">, B.N. </w:t>
      </w:r>
      <w:proofErr w:type="spellStart"/>
      <w:r w:rsidRPr="0086335B">
        <w:rPr>
          <w:rFonts w:ascii="Times New Roman" w:hAnsi="Times New Roman"/>
          <w:sz w:val="20"/>
          <w:szCs w:val="20"/>
        </w:rPr>
        <w:t>Absadykov</w:t>
      </w:r>
      <w:proofErr w:type="spellEnd"/>
      <w:r w:rsidRPr="0086335B">
        <w:rPr>
          <w:rFonts w:ascii="Times New Roman" w:hAnsi="Times New Roman"/>
          <w:sz w:val="20"/>
          <w:szCs w:val="20"/>
        </w:rPr>
        <w:t xml:space="preserve">, R.U. </w:t>
      </w:r>
      <w:proofErr w:type="spellStart"/>
      <w:r w:rsidRPr="0086335B">
        <w:rPr>
          <w:rFonts w:ascii="Times New Roman" w:hAnsi="Times New Roman"/>
          <w:sz w:val="20"/>
          <w:szCs w:val="20"/>
        </w:rPr>
        <w:t>Djuraev</w:t>
      </w:r>
      <w:proofErr w:type="spellEnd"/>
      <w:r w:rsidRPr="0086335B">
        <w:rPr>
          <w:rFonts w:ascii="Times New Roman" w:hAnsi="Times New Roman"/>
          <w:sz w:val="20"/>
          <w:szCs w:val="20"/>
        </w:rPr>
        <w:t xml:space="preserve">, M.R. </w:t>
      </w:r>
      <w:proofErr w:type="spellStart"/>
      <w:r w:rsidRPr="0086335B">
        <w:rPr>
          <w:rFonts w:ascii="Times New Roman" w:hAnsi="Times New Roman"/>
          <w:sz w:val="20"/>
          <w:szCs w:val="20"/>
        </w:rPr>
        <w:t>Sikhimbayev</w:t>
      </w:r>
      <w:proofErr w:type="spellEnd"/>
      <w:r w:rsidRPr="0086335B">
        <w:rPr>
          <w:rFonts w:ascii="Times New Roman" w:hAnsi="Times New Roman"/>
          <w:sz w:val="20"/>
          <w:szCs w:val="20"/>
        </w:rPr>
        <w:t xml:space="preserve">, Efficiency of drilling wells with air purge based on the use of a vortex tube. NEWS of the National Academy of Sciences of the Republic of Kazakhstan “Series of geology and technical sciences”. – Almaty, Volume 4, Number 460 (2023), 225–235. </w:t>
      </w:r>
      <w:proofErr w:type="gramStart"/>
      <w:r w:rsidRPr="0086335B">
        <w:rPr>
          <w:rFonts w:ascii="Times New Roman" w:hAnsi="Times New Roman"/>
          <w:sz w:val="20"/>
          <w:szCs w:val="20"/>
        </w:rPr>
        <w:t xml:space="preserve">https://doi.org/10.32014/2023.2518-170X.331  </w:t>
      </w:r>
      <w:proofErr w:type="spellStart"/>
      <w:r w:rsidRPr="0086335B">
        <w:rPr>
          <w:rFonts w:ascii="Times New Roman" w:hAnsi="Times New Roman"/>
          <w:sz w:val="20"/>
          <w:szCs w:val="20"/>
        </w:rPr>
        <w:t>Toshov</w:t>
      </w:r>
      <w:proofErr w:type="spellEnd"/>
      <w:proofErr w:type="gramEnd"/>
      <w:r w:rsidRPr="0086335B">
        <w:rPr>
          <w:rFonts w:ascii="Times New Roman" w:hAnsi="Times New Roman"/>
          <w:sz w:val="20"/>
          <w:szCs w:val="20"/>
        </w:rPr>
        <w:t xml:space="preserve"> J., </w:t>
      </w:r>
      <w:proofErr w:type="spellStart"/>
      <w:r w:rsidRPr="0086335B">
        <w:rPr>
          <w:rFonts w:ascii="Times New Roman" w:hAnsi="Times New Roman"/>
          <w:sz w:val="20"/>
          <w:szCs w:val="20"/>
        </w:rPr>
        <w:t>Toshov</w:t>
      </w:r>
      <w:proofErr w:type="spellEnd"/>
      <w:r w:rsidRPr="0086335B">
        <w:rPr>
          <w:rFonts w:ascii="Times New Roman" w:hAnsi="Times New Roman"/>
          <w:sz w:val="20"/>
          <w:szCs w:val="20"/>
        </w:rPr>
        <w:t xml:space="preserve"> B., </w:t>
      </w:r>
      <w:proofErr w:type="spellStart"/>
      <w:r w:rsidRPr="0086335B">
        <w:rPr>
          <w:rFonts w:ascii="Times New Roman" w:hAnsi="Times New Roman"/>
          <w:sz w:val="20"/>
          <w:szCs w:val="20"/>
        </w:rPr>
        <w:t>Bainazov</w:t>
      </w:r>
      <w:proofErr w:type="spellEnd"/>
      <w:r w:rsidRPr="0086335B">
        <w:rPr>
          <w:rFonts w:ascii="Times New Roman" w:hAnsi="Times New Roman"/>
          <w:sz w:val="20"/>
          <w:szCs w:val="20"/>
        </w:rPr>
        <w:t xml:space="preserve"> U., </w:t>
      </w:r>
      <w:proofErr w:type="spellStart"/>
      <w:r w:rsidRPr="0086335B">
        <w:rPr>
          <w:rFonts w:ascii="Times New Roman" w:hAnsi="Times New Roman"/>
          <w:sz w:val="20"/>
          <w:szCs w:val="20"/>
        </w:rPr>
        <w:t>Elemonov</w:t>
      </w:r>
      <w:proofErr w:type="spellEnd"/>
      <w:r w:rsidRPr="0086335B">
        <w:rPr>
          <w:rFonts w:ascii="Times New Roman" w:hAnsi="Times New Roman"/>
          <w:sz w:val="20"/>
          <w:szCs w:val="20"/>
        </w:rPr>
        <w:t xml:space="preserve"> M. Application of Cycle-Flow Technology in Coal Mines. Proceedings of the 11th International Conference on Applied Innovations in IT, (ICAIIT), March 2023, </w:t>
      </w:r>
      <w:proofErr w:type="spellStart"/>
      <w:r w:rsidRPr="0086335B">
        <w:rPr>
          <w:rFonts w:ascii="Times New Roman" w:hAnsi="Times New Roman"/>
          <w:sz w:val="20"/>
          <w:szCs w:val="20"/>
        </w:rPr>
        <w:t>Koethen</w:t>
      </w:r>
      <w:proofErr w:type="spellEnd"/>
      <w:r w:rsidRPr="0086335B">
        <w:rPr>
          <w:rFonts w:ascii="Times New Roman" w:hAnsi="Times New Roman"/>
          <w:sz w:val="20"/>
          <w:szCs w:val="20"/>
        </w:rPr>
        <w:t>, Germany. – РР. 279-284.</w:t>
      </w:r>
    </w:p>
    <w:p w14:paraId="5CF18DFE"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t>Usmanov</w:t>
      </w:r>
      <w:proofErr w:type="spellEnd"/>
      <w:r w:rsidRPr="0086335B">
        <w:rPr>
          <w:rFonts w:ascii="Times New Roman" w:hAnsi="Times New Roman"/>
          <w:sz w:val="20"/>
          <w:szCs w:val="20"/>
        </w:rPr>
        <w:t xml:space="preserve">, E., </w:t>
      </w:r>
      <w:proofErr w:type="spellStart"/>
      <w:r w:rsidRPr="0086335B">
        <w:rPr>
          <w:rFonts w:ascii="Times New Roman" w:hAnsi="Times New Roman"/>
          <w:sz w:val="20"/>
          <w:szCs w:val="20"/>
        </w:rPr>
        <w:t>Kholikhmatov</w:t>
      </w:r>
      <w:proofErr w:type="spellEnd"/>
      <w:r w:rsidRPr="0086335B">
        <w:rPr>
          <w:rFonts w:ascii="Times New Roman" w:hAnsi="Times New Roman"/>
          <w:sz w:val="20"/>
          <w:szCs w:val="20"/>
        </w:rPr>
        <w:t xml:space="preserve">, B., </w:t>
      </w:r>
      <w:proofErr w:type="spellStart"/>
      <w:r w:rsidRPr="0086335B">
        <w:rPr>
          <w:rFonts w:ascii="Times New Roman" w:hAnsi="Times New Roman"/>
          <w:sz w:val="20"/>
          <w:szCs w:val="20"/>
        </w:rPr>
        <w:t>Rikhsitillaev</w:t>
      </w:r>
      <w:proofErr w:type="spellEnd"/>
      <w:r w:rsidRPr="0086335B">
        <w:rPr>
          <w:rFonts w:ascii="Times New Roman" w:hAnsi="Times New Roman"/>
          <w:sz w:val="20"/>
          <w:szCs w:val="20"/>
        </w:rPr>
        <w:t xml:space="preserve">, B., </w:t>
      </w:r>
      <w:proofErr w:type="spellStart"/>
      <w:r w:rsidRPr="0086335B">
        <w:rPr>
          <w:rFonts w:ascii="Times New Roman" w:hAnsi="Times New Roman"/>
          <w:sz w:val="20"/>
          <w:szCs w:val="20"/>
        </w:rPr>
        <w:t>Nimatov</w:t>
      </w:r>
      <w:proofErr w:type="spellEnd"/>
      <w:r w:rsidRPr="0086335B">
        <w:rPr>
          <w:rFonts w:ascii="Times New Roman" w:hAnsi="Times New Roman"/>
          <w:sz w:val="20"/>
          <w:szCs w:val="20"/>
        </w:rPr>
        <w:t xml:space="preserve">, K. Device for reducing asymmetry // E3s Web of Conferences 461. 2023. PP, 01052, 1-5. https://doi.org/10.1051/e3sconf/202346101052 </w:t>
      </w:r>
    </w:p>
    <w:p w14:paraId="39E143B5"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t>Toshov</w:t>
      </w:r>
      <w:proofErr w:type="spellEnd"/>
      <w:r w:rsidRPr="0086335B">
        <w:rPr>
          <w:rFonts w:ascii="Times New Roman" w:hAnsi="Times New Roman"/>
          <w:sz w:val="20"/>
          <w:szCs w:val="20"/>
        </w:rPr>
        <w:t xml:space="preserve"> B., </w:t>
      </w:r>
      <w:proofErr w:type="spellStart"/>
      <w:r w:rsidRPr="0086335B">
        <w:rPr>
          <w:rFonts w:ascii="Times New Roman" w:hAnsi="Times New Roman"/>
          <w:sz w:val="20"/>
          <w:szCs w:val="20"/>
        </w:rPr>
        <w:t>Toshov</w:t>
      </w:r>
      <w:proofErr w:type="spellEnd"/>
      <w:r w:rsidRPr="0086335B">
        <w:rPr>
          <w:rFonts w:ascii="Times New Roman" w:hAnsi="Times New Roman"/>
          <w:sz w:val="20"/>
          <w:szCs w:val="20"/>
        </w:rPr>
        <w:t xml:space="preserve"> J., </w:t>
      </w:r>
      <w:proofErr w:type="spellStart"/>
      <w:r w:rsidRPr="0086335B">
        <w:rPr>
          <w:rFonts w:ascii="Times New Roman" w:hAnsi="Times New Roman"/>
          <w:sz w:val="20"/>
          <w:szCs w:val="20"/>
        </w:rPr>
        <w:t>Akhmedova</w:t>
      </w:r>
      <w:proofErr w:type="spellEnd"/>
      <w:r w:rsidRPr="0086335B">
        <w:rPr>
          <w:rFonts w:ascii="Times New Roman" w:hAnsi="Times New Roman"/>
          <w:sz w:val="20"/>
          <w:szCs w:val="20"/>
        </w:rPr>
        <w:t xml:space="preserve"> L., </w:t>
      </w:r>
      <w:proofErr w:type="spellStart"/>
      <w:r w:rsidRPr="0086335B">
        <w:rPr>
          <w:rFonts w:ascii="Times New Roman" w:hAnsi="Times New Roman"/>
          <w:sz w:val="20"/>
          <w:szCs w:val="20"/>
        </w:rPr>
        <w:t>Baratov</w:t>
      </w:r>
      <w:proofErr w:type="spellEnd"/>
      <w:r w:rsidRPr="0086335B">
        <w:rPr>
          <w:rFonts w:ascii="Times New Roman" w:hAnsi="Times New Roman"/>
          <w:sz w:val="20"/>
          <w:szCs w:val="20"/>
        </w:rPr>
        <w:t xml:space="preserve"> B. The new design scheme of drilling rock cutting tools, working in rotation mode pairs. E3S Web of Conferences 383, 04069 (2023) TT21C-2023 https://doi.org/10.1051/e3sconf/202338304069 </w:t>
      </w:r>
    </w:p>
    <w:p w14:paraId="11EF48F4"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r w:rsidRPr="0086335B">
        <w:rPr>
          <w:rFonts w:ascii="Times New Roman" w:hAnsi="Times New Roman"/>
          <w:sz w:val="20"/>
          <w:szCs w:val="20"/>
        </w:rPr>
        <w:t xml:space="preserve">J.B. </w:t>
      </w:r>
      <w:proofErr w:type="spellStart"/>
      <w:r w:rsidRPr="0086335B">
        <w:rPr>
          <w:rFonts w:ascii="Times New Roman" w:hAnsi="Times New Roman"/>
          <w:sz w:val="20"/>
          <w:szCs w:val="20"/>
        </w:rPr>
        <w:t>Toshev</w:t>
      </w:r>
      <w:proofErr w:type="spellEnd"/>
      <w:r w:rsidRPr="0086335B">
        <w:rPr>
          <w:rFonts w:ascii="Times New Roman" w:hAnsi="Times New Roman"/>
          <w:sz w:val="20"/>
          <w:szCs w:val="20"/>
        </w:rPr>
        <w:t xml:space="preserve">, M.B. </w:t>
      </w:r>
      <w:proofErr w:type="spellStart"/>
      <w:r w:rsidRPr="0086335B">
        <w:rPr>
          <w:rFonts w:ascii="Times New Roman" w:hAnsi="Times New Roman"/>
          <w:sz w:val="20"/>
          <w:szCs w:val="20"/>
        </w:rPr>
        <w:t>Norkulov</w:t>
      </w:r>
      <w:proofErr w:type="spellEnd"/>
      <w:r w:rsidRPr="0086335B">
        <w:rPr>
          <w:rFonts w:ascii="Times New Roman" w:hAnsi="Times New Roman"/>
          <w:sz w:val="20"/>
          <w:szCs w:val="20"/>
        </w:rPr>
        <w:t xml:space="preserve">, A.A. </w:t>
      </w:r>
      <w:proofErr w:type="spellStart"/>
      <w:r w:rsidRPr="0086335B">
        <w:rPr>
          <w:rFonts w:ascii="Times New Roman" w:hAnsi="Times New Roman"/>
          <w:sz w:val="20"/>
          <w:szCs w:val="20"/>
        </w:rPr>
        <w:t>Urazimbetova</w:t>
      </w:r>
      <w:proofErr w:type="spellEnd"/>
      <w:r w:rsidRPr="0086335B">
        <w:rPr>
          <w:rFonts w:ascii="Times New Roman" w:hAnsi="Times New Roman"/>
          <w:sz w:val="20"/>
          <w:szCs w:val="20"/>
        </w:rPr>
        <w:t xml:space="preserve"> and L.G. </w:t>
      </w:r>
      <w:proofErr w:type="spellStart"/>
      <w:r w:rsidRPr="0086335B">
        <w:rPr>
          <w:rFonts w:ascii="Times New Roman" w:hAnsi="Times New Roman"/>
          <w:sz w:val="20"/>
          <w:szCs w:val="20"/>
        </w:rPr>
        <w:t>Toshniyozov</w:t>
      </w:r>
      <w:proofErr w:type="spellEnd"/>
      <w:r w:rsidRPr="0086335B">
        <w:rPr>
          <w:rFonts w:ascii="Times New Roman" w:hAnsi="Times New Roman"/>
          <w:sz w:val="20"/>
          <w:szCs w:val="20"/>
        </w:rPr>
        <w:t xml:space="preserve">. Optimization of scheme of placing cutting structures on the cone drill bit. E3S Web of Conf., Volume 402, 10039 (2023), International Scientific Siberian Transport Forum - </w:t>
      </w:r>
      <w:proofErr w:type="spellStart"/>
      <w:r w:rsidRPr="0086335B">
        <w:rPr>
          <w:rFonts w:ascii="Times New Roman" w:hAnsi="Times New Roman"/>
          <w:sz w:val="20"/>
          <w:szCs w:val="20"/>
        </w:rPr>
        <w:t>TransSiberia</w:t>
      </w:r>
      <w:proofErr w:type="spellEnd"/>
      <w:r w:rsidRPr="0086335B">
        <w:rPr>
          <w:rFonts w:ascii="Times New Roman" w:hAnsi="Times New Roman"/>
          <w:sz w:val="20"/>
          <w:szCs w:val="20"/>
        </w:rPr>
        <w:t xml:space="preserve"> 2023, https://doi.org/10.1051/e3sconf/202340210039</w:t>
      </w:r>
    </w:p>
    <w:p w14:paraId="23CE7615"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t>Toshov</w:t>
      </w:r>
      <w:proofErr w:type="spellEnd"/>
      <w:r w:rsidRPr="0086335B">
        <w:rPr>
          <w:rFonts w:ascii="Times New Roman" w:hAnsi="Times New Roman"/>
          <w:sz w:val="20"/>
          <w:szCs w:val="20"/>
        </w:rPr>
        <w:t xml:space="preserve"> J., </w:t>
      </w:r>
      <w:proofErr w:type="spellStart"/>
      <w:r w:rsidRPr="0086335B">
        <w:rPr>
          <w:rFonts w:ascii="Times New Roman" w:hAnsi="Times New Roman"/>
          <w:sz w:val="20"/>
          <w:szCs w:val="20"/>
        </w:rPr>
        <w:t>Baratov</w:t>
      </w:r>
      <w:proofErr w:type="spellEnd"/>
      <w:r w:rsidRPr="0086335B">
        <w:rPr>
          <w:rFonts w:ascii="Times New Roman" w:hAnsi="Times New Roman"/>
          <w:sz w:val="20"/>
          <w:szCs w:val="20"/>
        </w:rPr>
        <w:t xml:space="preserve"> B., </w:t>
      </w:r>
      <w:proofErr w:type="spellStart"/>
      <w:r w:rsidRPr="0086335B">
        <w:rPr>
          <w:rFonts w:ascii="Times New Roman" w:hAnsi="Times New Roman"/>
          <w:sz w:val="20"/>
          <w:szCs w:val="20"/>
        </w:rPr>
        <w:t>Sherov</w:t>
      </w:r>
      <w:proofErr w:type="spellEnd"/>
      <w:r w:rsidRPr="0086335B">
        <w:rPr>
          <w:rFonts w:ascii="Times New Roman" w:hAnsi="Times New Roman"/>
          <w:sz w:val="20"/>
          <w:szCs w:val="20"/>
        </w:rPr>
        <w:t xml:space="preserve"> K., </w:t>
      </w:r>
      <w:proofErr w:type="spellStart"/>
      <w:r w:rsidRPr="0086335B">
        <w:rPr>
          <w:rFonts w:ascii="Times New Roman" w:hAnsi="Times New Roman"/>
          <w:sz w:val="20"/>
          <w:szCs w:val="20"/>
        </w:rPr>
        <w:t>Mussayev</w:t>
      </w:r>
      <w:proofErr w:type="spellEnd"/>
      <w:r w:rsidRPr="0086335B">
        <w:rPr>
          <w:rFonts w:ascii="Times New Roman" w:hAnsi="Times New Roman"/>
          <w:sz w:val="20"/>
          <w:szCs w:val="20"/>
        </w:rPr>
        <w:t xml:space="preserve"> M., </w:t>
      </w:r>
      <w:proofErr w:type="spellStart"/>
      <w:r w:rsidRPr="0086335B">
        <w:rPr>
          <w:rFonts w:ascii="Times New Roman" w:hAnsi="Times New Roman"/>
          <w:sz w:val="20"/>
          <w:szCs w:val="20"/>
        </w:rPr>
        <w:t>Baymirzaev</w:t>
      </w:r>
      <w:proofErr w:type="spellEnd"/>
      <w:r w:rsidRPr="0086335B">
        <w:rPr>
          <w:rFonts w:ascii="Times New Roman" w:hAnsi="Times New Roman"/>
          <w:sz w:val="20"/>
          <w:szCs w:val="20"/>
        </w:rPr>
        <w:t xml:space="preserve"> B., </w:t>
      </w:r>
      <w:proofErr w:type="spellStart"/>
      <w:r w:rsidRPr="0086335B">
        <w:rPr>
          <w:rFonts w:ascii="Times New Roman" w:hAnsi="Times New Roman"/>
          <w:sz w:val="20"/>
          <w:szCs w:val="20"/>
        </w:rPr>
        <w:t>Esirkepov</w:t>
      </w:r>
      <w:proofErr w:type="spellEnd"/>
      <w:r w:rsidRPr="0086335B">
        <w:rPr>
          <w:rFonts w:ascii="Times New Roman" w:hAnsi="Times New Roman"/>
          <w:sz w:val="20"/>
          <w:szCs w:val="20"/>
        </w:rPr>
        <w:t xml:space="preserve"> A., </w:t>
      </w:r>
      <w:proofErr w:type="spellStart"/>
      <w:r w:rsidRPr="0086335B">
        <w:rPr>
          <w:rFonts w:ascii="Times New Roman" w:hAnsi="Times New Roman"/>
          <w:sz w:val="20"/>
          <w:szCs w:val="20"/>
        </w:rPr>
        <w:t>Ismailov</w:t>
      </w:r>
      <w:proofErr w:type="spellEnd"/>
      <w:r w:rsidRPr="0086335B">
        <w:rPr>
          <w:rFonts w:ascii="Times New Roman" w:hAnsi="Times New Roman"/>
          <w:sz w:val="20"/>
          <w:szCs w:val="20"/>
        </w:rPr>
        <w:t xml:space="preserve"> G., </w:t>
      </w:r>
      <w:proofErr w:type="spellStart"/>
      <w:r w:rsidRPr="0086335B">
        <w:rPr>
          <w:rFonts w:ascii="Times New Roman" w:hAnsi="Times New Roman"/>
          <w:sz w:val="20"/>
          <w:szCs w:val="20"/>
        </w:rPr>
        <w:t>Abdugaliyeva</w:t>
      </w:r>
      <w:proofErr w:type="spellEnd"/>
      <w:r w:rsidRPr="0086335B">
        <w:rPr>
          <w:rFonts w:ascii="Times New Roman" w:hAnsi="Times New Roman"/>
          <w:sz w:val="20"/>
          <w:szCs w:val="20"/>
        </w:rPr>
        <w:t xml:space="preserve"> G., </w:t>
      </w:r>
      <w:proofErr w:type="spellStart"/>
      <w:r w:rsidRPr="0086335B">
        <w:rPr>
          <w:rFonts w:ascii="Times New Roman" w:hAnsi="Times New Roman"/>
          <w:sz w:val="20"/>
          <w:szCs w:val="20"/>
        </w:rPr>
        <w:t>Burieva</w:t>
      </w:r>
      <w:proofErr w:type="spellEnd"/>
      <w:r w:rsidRPr="0086335B">
        <w:rPr>
          <w:rFonts w:ascii="Times New Roman" w:hAnsi="Times New Roman"/>
          <w:sz w:val="20"/>
          <w:szCs w:val="20"/>
        </w:rPr>
        <w:t xml:space="preserve"> J. Ways to Optimize the Kinetic Parameters of </w:t>
      </w:r>
      <w:proofErr w:type="spellStart"/>
      <w:r w:rsidRPr="0086335B">
        <w:rPr>
          <w:rFonts w:ascii="Times New Roman" w:hAnsi="Times New Roman"/>
          <w:sz w:val="20"/>
          <w:szCs w:val="20"/>
        </w:rPr>
        <w:t>Tricone</w:t>
      </w:r>
      <w:proofErr w:type="spellEnd"/>
      <w:r w:rsidRPr="0086335B">
        <w:rPr>
          <w:rFonts w:ascii="Times New Roman" w:hAnsi="Times New Roman"/>
          <w:sz w:val="20"/>
          <w:szCs w:val="20"/>
        </w:rPr>
        <w:t xml:space="preserve"> Drill Bits. Material and Mechanical Engineering Technology, №1, 2024, 35-45. https://doi.org/10.52209/2706-977X_2024_1_35  </w:t>
      </w:r>
    </w:p>
    <w:p w14:paraId="4294DB5F"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r w:rsidRPr="0086335B">
        <w:rPr>
          <w:rFonts w:ascii="Times New Roman" w:hAnsi="Times New Roman"/>
          <w:sz w:val="20"/>
          <w:szCs w:val="20"/>
        </w:rPr>
        <w:t xml:space="preserve">K.T. </w:t>
      </w:r>
      <w:proofErr w:type="spellStart"/>
      <w:r w:rsidRPr="0086335B">
        <w:rPr>
          <w:rFonts w:ascii="Times New Roman" w:hAnsi="Times New Roman"/>
          <w:sz w:val="20"/>
          <w:szCs w:val="20"/>
        </w:rPr>
        <w:t>Sherov</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N.Zh</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Karsakova</w:t>
      </w:r>
      <w:proofErr w:type="spellEnd"/>
      <w:r w:rsidRPr="0086335B">
        <w:rPr>
          <w:rFonts w:ascii="Times New Roman" w:hAnsi="Times New Roman"/>
          <w:sz w:val="20"/>
          <w:szCs w:val="20"/>
        </w:rPr>
        <w:t xml:space="preserve">, B.N. </w:t>
      </w:r>
      <w:proofErr w:type="spellStart"/>
      <w:r w:rsidRPr="0086335B">
        <w:rPr>
          <w:rFonts w:ascii="Times New Roman" w:hAnsi="Times New Roman"/>
          <w:sz w:val="20"/>
          <w:szCs w:val="20"/>
        </w:rPr>
        <w:t>Absadykov</w:t>
      </w:r>
      <w:proofErr w:type="spellEnd"/>
      <w:r w:rsidRPr="0086335B">
        <w:rPr>
          <w:rFonts w:ascii="Times New Roman" w:hAnsi="Times New Roman"/>
          <w:sz w:val="20"/>
          <w:szCs w:val="20"/>
        </w:rPr>
        <w:t xml:space="preserve">, J.B. </w:t>
      </w:r>
      <w:proofErr w:type="spellStart"/>
      <w:r w:rsidRPr="0086335B">
        <w:rPr>
          <w:rFonts w:ascii="Times New Roman" w:hAnsi="Times New Roman"/>
          <w:sz w:val="20"/>
          <w:szCs w:val="20"/>
        </w:rPr>
        <w:t>Toshov</w:t>
      </w:r>
      <w:proofErr w:type="spellEnd"/>
      <w:r w:rsidRPr="0086335B">
        <w:rPr>
          <w:rFonts w:ascii="Times New Roman" w:hAnsi="Times New Roman"/>
          <w:sz w:val="20"/>
          <w:szCs w:val="20"/>
        </w:rPr>
        <w:t xml:space="preserve">, M.R. </w:t>
      </w:r>
      <w:proofErr w:type="spellStart"/>
      <w:r w:rsidRPr="0086335B">
        <w:rPr>
          <w:rFonts w:ascii="Times New Roman" w:hAnsi="Times New Roman"/>
          <w:sz w:val="20"/>
          <w:szCs w:val="20"/>
        </w:rPr>
        <w:t>Sikhimbayev</w:t>
      </w:r>
      <w:proofErr w:type="spellEnd"/>
      <w:r w:rsidRPr="0086335B">
        <w:rPr>
          <w:rFonts w:ascii="Times New Roman" w:hAnsi="Times New Roman"/>
          <w:sz w:val="20"/>
          <w:szCs w:val="20"/>
        </w:rPr>
        <w:t>,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14:paraId="63B099E3"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r w:rsidRPr="0086335B">
        <w:rPr>
          <w:rFonts w:ascii="Times New Roman" w:hAnsi="Times New Roman"/>
          <w:sz w:val="20"/>
          <w:szCs w:val="20"/>
        </w:rPr>
        <w:t xml:space="preserve">Akbar, K., </w:t>
      </w:r>
      <w:proofErr w:type="spellStart"/>
      <w:r w:rsidRPr="0086335B">
        <w:rPr>
          <w:rFonts w:ascii="Times New Roman" w:hAnsi="Times New Roman"/>
          <w:sz w:val="20"/>
          <w:szCs w:val="20"/>
        </w:rPr>
        <w:t>Javokhir</w:t>
      </w:r>
      <w:proofErr w:type="spellEnd"/>
      <w:r w:rsidRPr="0086335B">
        <w:rPr>
          <w:rFonts w:ascii="Times New Roman" w:hAnsi="Times New Roman"/>
          <w:sz w:val="20"/>
          <w:szCs w:val="20"/>
        </w:rPr>
        <w:t xml:space="preserve">, T., </w:t>
      </w:r>
      <w:proofErr w:type="spellStart"/>
      <w:r w:rsidRPr="0086335B">
        <w:rPr>
          <w:rFonts w:ascii="Times New Roman" w:hAnsi="Times New Roman"/>
          <w:sz w:val="20"/>
          <w:szCs w:val="20"/>
        </w:rPr>
        <w:t>Lazizjon</w:t>
      </w:r>
      <w:proofErr w:type="spellEnd"/>
      <w:r w:rsidRPr="0086335B">
        <w:rPr>
          <w:rFonts w:ascii="Times New Roman" w:hAnsi="Times New Roman"/>
          <w:sz w:val="20"/>
          <w:szCs w:val="20"/>
        </w:rPr>
        <w:t xml:space="preserve">, A., </w:t>
      </w:r>
      <w:proofErr w:type="spellStart"/>
      <w:r w:rsidRPr="0086335B">
        <w:rPr>
          <w:rFonts w:ascii="Times New Roman" w:hAnsi="Times New Roman"/>
          <w:sz w:val="20"/>
          <w:szCs w:val="20"/>
        </w:rPr>
        <w:t>Umidjon</w:t>
      </w:r>
      <w:proofErr w:type="spellEnd"/>
      <w:r w:rsidRPr="0086335B">
        <w:rPr>
          <w:rFonts w:ascii="Times New Roman" w:hAnsi="Times New Roman"/>
          <w:sz w:val="20"/>
          <w:szCs w:val="20"/>
        </w:rPr>
        <w:t>, K., Muhammad, I., Improvement of soft-start method for high-voltage and high-power asynchronous electric drives of pumping plants. AIP Conf. Proc. 3152, 040006 (2024) / III International Scientific and Technical Conference “Actual issues of Power supply systems” (ICAIPSS2023), 7–8 September 2023, Tashkent, Uzbekistan. https://doi.org/10.1063/5.0218899</w:t>
      </w:r>
    </w:p>
    <w:p w14:paraId="090C7328"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r w:rsidRPr="0086335B">
        <w:rPr>
          <w:rFonts w:ascii="Times New Roman" w:hAnsi="Times New Roman"/>
          <w:sz w:val="20"/>
          <w:szCs w:val="20"/>
        </w:rPr>
        <w:t xml:space="preserve">J. </w:t>
      </w:r>
      <w:proofErr w:type="spellStart"/>
      <w:r w:rsidRPr="0086335B">
        <w:rPr>
          <w:rFonts w:ascii="Times New Roman" w:hAnsi="Times New Roman"/>
          <w:sz w:val="20"/>
          <w:szCs w:val="20"/>
        </w:rPr>
        <w:t>Toshov</w:t>
      </w:r>
      <w:proofErr w:type="spellEnd"/>
      <w:r w:rsidRPr="0086335B">
        <w:rPr>
          <w:rFonts w:ascii="Times New Roman" w:hAnsi="Times New Roman"/>
          <w:sz w:val="20"/>
          <w:szCs w:val="20"/>
        </w:rPr>
        <w:t xml:space="preserve">, L. </w:t>
      </w:r>
      <w:proofErr w:type="spellStart"/>
      <w:r w:rsidRPr="0086335B">
        <w:rPr>
          <w:rFonts w:ascii="Times New Roman" w:hAnsi="Times New Roman"/>
          <w:sz w:val="20"/>
          <w:szCs w:val="20"/>
        </w:rPr>
        <w:t>Atakulov</w:t>
      </w:r>
      <w:proofErr w:type="spellEnd"/>
      <w:r w:rsidRPr="0086335B">
        <w:rPr>
          <w:rFonts w:ascii="Times New Roman" w:hAnsi="Times New Roman"/>
          <w:sz w:val="20"/>
          <w:szCs w:val="20"/>
        </w:rPr>
        <w:t xml:space="preserve">, G. </w:t>
      </w:r>
      <w:proofErr w:type="spellStart"/>
      <w:r w:rsidRPr="0086335B">
        <w:rPr>
          <w:rFonts w:ascii="Times New Roman" w:hAnsi="Times New Roman"/>
          <w:sz w:val="20"/>
          <w:szCs w:val="20"/>
        </w:rPr>
        <w:t>Arzikulov</w:t>
      </w:r>
      <w:proofErr w:type="spellEnd"/>
      <w:r w:rsidRPr="0086335B">
        <w:rPr>
          <w:rFonts w:ascii="Times New Roman" w:hAnsi="Times New Roman"/>
          <w:sz w:val="20"/>
          <w:szCs w:val="20"/>
        </w:rPr>
        <w:t xml:space="preserve">, U. </w:t>
      </w:r>
      <w:proofErr w:type="spellStart"/>
      <w:r w:rsidRPr="0086335B">
        <w:rPr>
          <w:rFonts w:ascii="Times New Roman" w:hAnsi="Times New Roman"/>
          <w:sz w:val="20"/>
          <w:szCs w:val="20"/>
        </w:rPr>
        <w:t>Baynazov</w:t>
      </w:r>
      <w:proofErr w:type="spellEnd"/>
      <w:r w:rsidRPr="0086335B">
        <w:rPr>
          <w:rFonts w:ascii="Times New Roman" w:hAnsi="Times New Roman"/>
          <w:sz w:val="20"/>
          <w:szCs w:val="20"/>
        </w:rPr>
        <w:t xml:space="preserve">,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https://doi.org/10.1063/5.0218904 </w:t>
      </w:r>
    </w:p>
    <w:p w14:paraId="3DAA8944"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t>Kholikhmatov</w:t>
      </w:r>
      <w:proofErr w:type="spellEnd"/>
      <w:r w:rsidRPr="0086335B">
        <w:rPr>
          <w:rFonts w:ascii="Times New Roman" w:hAnsi="Times New Roman"/>
          <w:sz w:val="20"/>
          <w:szCs w:val="20"/>
        </w:rPr>
        <w:t xml:space="preserve"> B.B., </w:t>
      </w:r>
      <w:proofErr w:type="spellStart"/>
      <w:r w:rsidRPr="0086335B">
        <w:rPr>
          <w:rFonts w:ascii="Times New Roman" w:hAnsi="Times New Roman"/>
          <w:sz w:val="20"/>
          <w:szCs w:val="20"/>
        </w:rPr>
        <w:t>Samiev</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Sh.S</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Erejepov</w:t>
      </w:r>
      <w:proofErr w:type="spellEnd"/>
      <w:r w:rsidRPr="0086335B">
        <w:rPr>
          <w:rFonts w:ascii="Times New Roman" w:hAnsi="Times New Roman"/>
          <w:sz w:val="20"/>
          <w:szCs w:val="20"/>
        </w:rPr>
        <w:t xml:space="preserve"> M.T., </w:t>
      </w:r>
      <w:proofErr w:type="spellStart"/>
      <w:r w:rsidRPr="0086335B">
        <w:rPr>
          <w:rFonts w:ascii="Times New Roman" w:hAnsi="Times New Roman"/>
          <w:sz w:val="20"/>
          <w:szCs w:val="20"/>
        </w:rPr>
        <w:t>Nematov</w:t>
      </w:r>
      <w:proofErr w:type="spellEnd"/>
      <w:r w:rsidRPr="0086335B">
        <w:rPr>
          <w:rFonts w:ascii="Times New Roman" w:hAnsi="Times New Roman"/>
          <w:sz w:val="20"/>
          <w:szCs w:val="20"/>
        </w:rPr>
        <w:t xml:space="preserve"> L.A. Modelling of laboratory work in the science "Fundamentals of power supply" using an educational simulator based on a programmed logic controller // E3S Web of Conferences 384. 2023. РР, 01032, 1-3. https://doi.org/10.1051/e3sconf/202338401032</w:t>
      </w:r>
    </w:p>
    <w:p w14:paraId="5260D755"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lastRenderedPageBreak/>
        <w:t>Rakhimov</w:t>
      </w:r>
      <w:proofErr w:type="spellEnd"/>
      <w:r w:rsidRPr="0086335B">
        <w:rPr>
          <w:rFonts w:ascii="Times New Roman" w:hAnsi="Times New Roman"/>
          <w:sz w:val="20"/>
          <w:szCs w:val="20"/>
        </w:rPr>
        <w:t xml:space="preserve"> F, </w:t>
      </w:r>
      <w:proofErr w:type="spellStart"/>
      <w:r w:rsidRPr="0086335B">
        <w:rPr>
          <w:rFonts w:ascii="Times New Roman" w:hAnsi="Times New Roman"/>
          <w:sz w:val="20"/>
          <w:szCs w:val="20"/>
        </w:rPr>
        <w:t>Rakhimov</w:t>
      </w:r>
      <w:proofErr w:type="spellEnd"/>
      <w:r w:rsidRPr="0086335B">
        <w:rPr>
          <w:rFonts w:ascii="Times New Roman" w:hAnsi="Times New Roman"/>
          <w:sz w:val="20"/>
          <w:szCs w:val="20"/>
        </w:rPr>
        <w:t xml:space="preserve"> F, </w:t>
      </w:r>
      <w:proofErr w:type="spellStart"/>
      <w:r w:rsidRPr="0086335B">
        <w:rPr>
          <w:rFonts w:ascii="Times New Roman" w:hAnsi="Times New Roman"/>
          <w:sz w:val="20"/>
          <w:szCs w:val="20"/>
        </w:rPr>
        <w:t>Samiev</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Sh</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Abdukhalilov</w:t>
      </w:r>
      <w:proofErr w:type="spellEnd"/>
      <w:r w:rsidRPr="0086335B">
        <w:rPr>
          <w:rFonts w:ascii="Times New Roman" w:hAnsi="Times New Roman"/>
          <w:sz w:val="20"/>
          <w:szCs w:val="20"/>
        </w:rPr>
        <w:t xml:space="preserve"> D. Justification of Technical and Economic Effectiveness of Application of 20 kV Voltage in Overhead Electric Networks //AIP Conf. Proc. 3152, 030023 (2024). https://doi.org/10.1063/5.0218921</w:t>
      </w:r>
    </w:p>
    <w:p w14:paraId="6831CBB7"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t>Taslimov</w:t>
      </w:r>
      <w:proofErr w:type="spellEnd"/>
      <w:r w:rsidRPr="0086335B">
        <w:rPr>
          <w:rFonts w:ascii="Times New Roman" w:hAnsi="Times New Roman"/>
          <w:sz w:val="20"/>
          <w:szCs w:val="20"/>
        </w:rPr>
        <w:t xml:space="preserve"> A, </w:t>
      </w:r>
      <w:proofErr w:type="spellStart"/>
      <w:r w:rsidRPr="0086335B">
        <w:rPr>
          <w:rFonts w:ascii="Times New Roman" w:hAnsi="Times New Roman"/>
          <w:sz w:val="20"/>
          <w:szCs w:val="20"/>
        </w:rPr>
        <w:t>Mo'minov</w:t>
      </w:r>
      <w:proofErr w:type="spellEnd"/>
      <w:r w:rsidRPr="0086335B">
        <w:rPr>
          <w:rFonts w:ascii="Times New Roman" w:hAnsi="Times New Roman"/>
          <w:sz w:val="20"/>
          <w:szCs w:val="20"/>
        </w:rPr>
        <w:t xml:space="preserve"> V, </w:t>
      </w:r>
      <w:proofErr w:type="spellStart"/>
      <w:r w:rsidRPr="0086335B">
        <w:rPr>
          <w:rFonts w:ascii="Times New Roman" w:hAnsi="Times New Roman"/>
          <w:sz w:val="20"/>
          <w:szCs w:val="20"/>
        </w:rPr>
        <w:t>Samiev</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Sh</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Abdukhalilov</w:t>
      </w:r>
      <w:proofErr w:type="spellEnd"/>
      <w:r w:rsidRPr="0086335B">
        <w:rPr>
          <w:rFonts w:ascii="Times New Roman" w:hAnsi="Times New Roman"/>
          <w:sz w:val="20"/>
          <w:szCs w:val="20"/>
        </w:rPr>
        <w:t xml:space="preserve"> D. Issues of Optimization of Electrical Network Parameters Medium Voltage //AIP Conf. Proc. 3331, 020007 (2025). https://doi.org/10.1063/5.0305781</w:t>
      </w:r>
    </w:p>
    <w:p w14:paraId="596124A3"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t>Toshbekov</w:t>
      </w:r>
      <w:proofErr w:type="spellEnd"/>
      <w:r w:rsidRPr="0086335B">
        <w:rPr>
          <w:rFonts w:ascii="Times New Roman" w:hAnsi="Times New Roman"/>
          <w:sz w:val="20"/>
          <w:szCs w:val="20"/>
        </w:rPr>
        <w:t xml:space="preserve">, O., </w:t>
      </w:r>
      <w:proofErr w:type="spellStart"/>
      <w:r w:rsidRPr="0086335B">
        <w:rPr>
          <w:rFonts w:ascii="Times New Roman" w:hAnsi="Times New Roman"/>
          <w:sz w:val="20"/>
          <w:szCs w:val="20"/>
        </w:rPr>
        <w:t>Urazov</w:t>
      </w:r>
      <w:proofErr w:type="spellEnd"/>
      <w:r w:rsidRPr="0086335B">
        <w:rPr>
          <w:rFonts w:ascii="Times New Roman" w:hAnsi="Times New Roman"/>
          <w:sz w:val="20"/>
          <w:szCs w:val="20"/>
        </w:rPr>
        <w:t xml:space="preserve">, M., </w:t>
      </w:r>
      <w:proofErr w:type="spellStart"/>
      <w:r w:rsidRPr="0086335B">
        <w:rPr>
          <w:rFonts w:ascii="Times New Roman" w:hAnsi="Times New Roman"/>
          <w:sz w:val="20"/>
          <w:szCs w:val="20"/>
        </w:rPr>
        <w:t>Yermatov</w:t>
      </w:r>
      <w:proofErr w:type="spellEnd"/>
      <w:r w:rsidRPr="0086335B">
        <w:rPr>
          <w:rFonts w:ascii="Times New Roman" w:hAnsi="Times New Roman"/>
          <w:sz w:val="20"/>
          <w:szCs w:val="20"/>
        </w:rPr>
        <w:t xml:space="preserve">, S., &amp; </w:t>
      </w:r>
      <w:proofErr w:type="spellStart"/>
      <w:r w:rsidRPr="0086335B">
        <w:rPr>
          <w:rFonts w:ascii="Times New Roman" w:hAnsi="Times New Roman"/>
          <w:sz w:val="20"/>
          <w:szCs w:val="20"/>
        </w:rPr>
        <w:t>Khamraeva</w:t>
      </w:r>
      <w:proofErr w:type="spellEnd"/>
      <w:r w:rsidRPr="0086335B">
        <w:rPr>
          <w:rFonts w:ascii="Times New Roman" w:hAnsi="Times New Roman"/>
          <w:sz w:val="20"/>
          <w:szCs w:val="20"/>
        </w:rPr>
        <w:t xml:space="preserve">, M. 2023). </w:t>
      </w:r>
      <w:proofErr w:type="spellStart"/>
      <w:r w:rsidRPr="0086335B">
        <w:rPr>
          <w:rFonts w:ascii="Times New Roman" w:hAnsi="Times New Roman"/>
          <w:sz w:val="20"/>
          <w:szCs w:val="20"/>
        </w:rPr>
        <w:t>Yeffisient</w:t>
      </w:r>
      <w:proofErr w:type="spellEnd"/>
      <w:r w:rsidRPr="0086335B">
        <w:rPr>
          <w:rFonts w:ascii="Times New Roman" w:hAnsi="Times New Roman"/>
          <w:sz w:val="20"/>
          <w:szCs w:val="20"/>
        </w:rPr>
        <w:t xml:space="preserve"> and </w:t>
      </w:r>
      <w:proofErr w:type="spellStart"/>
      <w:r w:rsidRPr="0086335B">
        <w:rPr>
          <w:rFonts w:ascii="Times New Roman" w:hAnsi="Times New Roman"/>
          <w:sz w:val="20"/>
          <w:szCs w:val="20"/>
        </w:rPr>
        <w:t>yesonomisal</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yenergy</w:t>
      </w:r>
      <w:proofErr w:type="spellEnd"/>
      <w:r w:rsidRPr="0086335B">
        <w:rPr>
          <w:rFonts w:ascii="Times New Roman" w:hAnsi="Times New Roman"/>
          <w:sz w:val="20"/>
          <w:szCs w:val="20"/>
        </w:rPr>
        <w:t xml:space="preserve"> use </w:t>
      </w:r>
      <w:proofErr w:type="spellStart"/>
      <w:r w:rsidRPr="0086335B">
        <w:rPr>
          <w:rFonts w:ascii="Times New Roman" w:hAnsi="Times New Roman"/>
          <w:sz w:val="20"/>
          <w:szCs w:val="20"/>
        </w:rPr>
        <w:t>teshnology</w:t>
      </w:r>
      <w:proofErr w:type="spellEnd"/>
      <w:r w:rsidRPr="0086335B">
        <w:rPr>
          <w:rFonts w:ascii="Times New Roman" w:hAnsi="Times New Roman"/>
          <w:sz w:val="20"/>
          <w:szCs w:val="20"/>
        </w:rPr>
        <w:t xml:space="preserve"> in the </w:t>
      </w:r>
      <w:proofErr w:type="spellStart"/>
      <w:r w:rsidRPr="0086335B">
        <w:rPr>
          <w:rFonts w:ascii="Times New Roman" w:hAnsi="Times New Roman"/>
          <w:sz w:val="20"/>
          <w:szCs w:val="20"/>
        </w:rPr>
        <w:t>prosessing</w:t>
      </w:r>
      <w:proofErr w:type="spellEnd"/>
      <w:r w:rsidRPr="0086335B">
        <w:rPr>
          <w:rFonts w:ascii="Times New Roman" w:hAnsi="Times New Roman"/>
          <w:sz w:val="20"/>
          <w:szCs w:val="20"/>
        </w:rPr>
        <w:t xml:space="preserve"> of </w:t>
      </w:r>
      <w:proofErr w:type="spellStart"/>
      <w:r w:rsidRPr="0086335B">
        <w:rPr>
          <w:rFonts w:ascii="Times New Roman" w:hAnsi="Times New Roman"/>
          <w:sz w:val="20"/>
          <w:szCs w:val="20"/>
        </w:rPr>
        <w:t>domestis</w:t>
      </w:r>
      <w:proofErr w:type="spellEnd"/>
      <w:r w:rsidRPr="0086335B">
        <w:rPr>
          <w:rFonts w:ascii="Times New Roman" w:hAnsi="Times New Roman"/>
          <w:sz w:val="20"/>
          <w:szCs w:val="20"/>
        </w:rPr>
        <w:t xml:space="preserve"> </w:t>
      </w:r>
      <w:proofErr w:type="spellStart"/>
      <w:r w:rsidRPr="0086335B">
        <w:rPr>
          <w:rFonts w:ascii="Times New Roman" w:hAnsi="Times New Roman"/>
          <w:sz w:val="20"/>
          <w:szCs w:val="20"/>
        </w:rPr>
        <w:t>soarse</w:t>
      </w:r>
      <w:proofErr w:type="spellEnd"/>
      <w:r w:rsidRPr="0086335B">
        <w:rPr>
          <w:rFonts w:ascii="Times New Roman" w:hAnsi="Times New Roman"/>
          <w:sz w:val="20"/>
          <w:szCs w:val="20"/>
        </w:rPr>
        <w:t xml:space="preserve"> wool fiber. In Ye3S Web of </w:t>
      </w:r>
      <w:proofErr w:type="spellStart"/>
      <w:r w:rsidRPr="0086335B">
        <w:rPr>
          <w:rFonts w:ascii="Times New Roman" w:hAnsi="Times New Roman"/>
          <w:sz w:val="20"/>
          <w:szCs w:val="20"/>
        </w:rPr>
        <w:t>Sonferenses</w:t>
      </w:r>
      <w:proofErr w:type="spellEnd"/>
      <w:r w:rsidRPr="0086335B">
        <w:rPr>
          <w:rFonts w:ascii="Times New Roman" w:hAnsi="Times New Roman"/>
          <w:sz w:val="20"/>
          <w:szCs w:val="20"/>
        </w:rPr>
        <w:t xml:space="preserve"> (Vol. 461, p. 01068). https://doi.org/10.1051/e3sconf/202346101068 </w:t>
      </w:r>
    </w:p>
    <w:p w14:paraId="7EC77666" w14:textId="77777777" w:rsidR="0086335B" w:rsidRPr="0086335B"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t>Jumaniyozov</w:t>
      </w:r>
      <w:proofErr w:type="spellEnd"/>
      <w:r w:rsidRPr="0086335B">
        <w:rPr>
          <w:rFonts w:ascii="Times New Roman" w:hAnsi="Times New Roman"/>
          <w:sz w:val="20"/>
          <w:szCs w:val="20"/>
        </w:rPr>
        <w:t xml:space="preserve">, K., </w:t>
      </w:r>
      <w:proofErr w:type="spellStart"/>
      <w:r w:rsidRPr="0086335B">
        <w:rPr>
          <w:rFonts w:ascii="Times New Roman" w:hAnsi="Times New Roman"/>
          <w:sz w:val="20"/>
          <w:szCs w:val="20"/>
        </w:rPr>
        <w:t>Urozov</w:t>
      </w:r>
      <w:proofErr w:type="spellEnd"/>
      <w:r w:rsidRPr="0086335B">
        <w:rPr>
          <w:rFonts w:ascii="Times New Roman" w:hAnsi="Times New Roman"/>
          <w:sz w:val="20"/>
          <w:szCs w:val="20"/>
        </w:rPr>
        <w:t xml:space="preserve">, M., </w:t>
      </w:r>
      <w:proofErr w:type="spellStart"/>
      <w:r w:rsidRPr="0086335B">
        <w:rPr>
          <w:rFonts w:ascii="Times New Roman" w:hAnsi="Times New Roman"/>
          <w:sz w:val="20"/>
          <w:szCs w:val="20"/>
        </w:rPr>
        <w:t>Toshbekov</w:t>
      </w:r>
      <w:proofErr w:type="spellEnd"/>
      <w:r w:rsidRPr="0086335B">
        <w:rPr>
          <w:rFonts w:ascii="Times New Roman" w:hAnsi="Times New Roman"/>
          <w:sz w:val="20"/>
          <w:szCs w:val="20"/>
        </w:rPr>
        <w:t xml:space="preserve">, O., </w:t>
      </w:r>
      <w:proofErr w:type="spellStart"/>
      <w:r w:rsidRPr="0086335B">
        <w:rPr>
          <w:rFonts w:ascii="Times New Roman" w:hAnsi="Times New Roman"/>
          <w:sz w:val="20"/>
          <w:szCs w:val="20"/>
        </w:rPr>
        <w:t>Salimova</w:t>
      </w:r>
      <w:proofErr w:type="spellEnd"/>
      <w:r w:rsidRPr="0086335B">
        <w:rPr>
          <w:rFonts w:ascii="Times New Roman" w:hAnsi="Times New Roman"/>
          <w:sz w:val="20"/>
          <w:szCs w:val="20"/>
        </w:rPr>
        <w:t xml:space="preserve">, M., </w:t>
      </w:r>
      <w:proofErr w:type="spellStart"/>
      <w:r w:rsidRPr="0086335B">
        <w:rPr>
          <w:rFonts w:ascii="Times New Roman" w:hAnsi="Times New Roman"/>
          <w:sz w:val="20"/>
          <w:szCs w:val="20"/>
        </w:rPr>
        <w:t>Raximova</w:t>
      </w:r>
      <w:proofErr w:type="spellEnd"/>
      <w:r w:rsidRPr="0086335B">
        <w:rPr>
          <w:rFonts w:ascii="Times New Roman" w:hAnsi="Times New Roman"/>
          <w:sz w:val="20"/>
          <w:szCs w:val="20"/>
        </w:rPr>
        <w:t xml:space="preserve">, K., &amp; </w:t>
      </w:r>
      <w:proofErr w:type="spellStart"/>
      <w:r w:rsidRPr="0086335B">
        <w:rPr>
          <w:rFonts w:ascii="Times New Roman" w:hAnsi="Times New Roman"/>
          <w:sz w:val="20"/>
          <w:szCs w:val="20"/>
        </w:rPr>
        <w:t>Khursandova</w:t>
      </w:r>
      <w:proofErr w:type="spellEnd"/>
      <w:r w:rsidRPr="0086335B">
        <w:rPr>
          <w:rFonts w:ascii="Times New Roman" w:hAnsi="Times New Roman"/>
          <w:sz w:val="20"/>
          <w:szCs w:val="20"/>
        </w:rPr>
        <w:t>, B. (2025, November). Enhancement of energy-efficient cleaning equipment. In American Institute of Physics Conference Series (Vol. 3331, No. 1, p. 050007). https://doi.org/10.1063/5.0307149</w:t>
      </w:r>
    </w:p>
    <w:p w14:paraId="4C0F772C" w14:textId="45162A8E" w:rsidR="0086335B" w:rsidRPr="00190BF6" w:rsidRDefault="0086335B" w:rsidP="0086335B">
      <w:pPr>
        <w:numPr>
          <w:ilvl w:val="0"/>
          <w:numId w:val="3"/>
        </w:numPr>
        <w:tabs>
          <w:tab w:val="left" w:pos="284"/>
          <w:tab w:val="left" w:pos="426"/>
        </w:tabs>
        <w:spacing w:after="0" w:line="240" w:lineRule="auto"/>
        <w:ind w:left="0"/>
        <w:jc w:val="both"/>
        <w:rPr>
          <w:rFonts w:ascii="Times New Roman" w:hAnsi="Times New Roman"/>
          <w:sz w:val="20"/>
          <w:szCs w:val="20"/>
        </w:rPr>
      </w:pPr>
      <w:proofErr w:type="spellStart"/>
      <w:r w:rsidRPr="0086335B">
        <w:rPr>
          <w:rFonts w:ascii="Times New Roman" w:hAnsi="Times New Roman"/>
          <w:sz w:val="20"/>
          <w:szCs w:val="20"/>
        </w:rPr>
        <w:t>Sultonova</w:t>
      </w:r>
      <w:proofErr w:type="spellEnd"/>
      <w:r w:rsidRPr="0086335B">
        <w:rPr>
          <w:rFonts w:ascii="Times New Roman" w:hAnsi="Times New Roman"/>
          <w:sz w:val="20"/>
          <w:szCs w:val="20"/>
        </w:rPr>
        <w:t xml:space="preserve">, F., </w:t>
      </w:r>
      <w:proofErr w:type="spellStart"/>
      <w:r w:rsidRPr="0086335B">
        <w:rPr>
          <w:rFonts w:ascii="Times New Roman" w:hAnsi="Times New Roman"/>
          <w:sz w:val="20"/>
          <w:szCs w:val="20"/>
        </w:rPr>
        <w:t>Toshbekov</w:t>
      </w:r>
      <w:proofErr w:type="spellEnd"/>
      <w:r w:rsidRPr="0086335B">
        <w:rPr>
          <w:rFonts w:ascii="Times New Roman" w:hAnsi="Times New Roman"/>
          <w:sz w:val="20"/>
          <w:szCs w:val="20"/>
        </w:rPr>
        <w:t xml:space="preserve">, O., </w:t>
      </w:r>
      <w:proofErr w:type="spellStart"/>
      <w:r w:rsidRPr="0086335B">
        <w:rPr>
          <w:rFonts w:ascii="Times New Roman" w:hAnsi="Times New Roman"/>
          <w:sz w:val="20"/>
          <w:szCs w:val="20"/>
        </w:rPr>
        <w:t>Urozov</w:t>
      </w:r>
      <w:proofErr w:type="spellEnd"/>
      <w:r w:rsidRPr="0086335B">
        <w:rPr>
          <w:rFonts w:ascii="Times New Roman" w:hAnsi="Times New Roman"/>
          <w:sz w:val="20"/>
          <w:szCs w:val="20"/>
        </w:rPr>
        <w:t xml:space="preserve">, M., </w:t>
      </w:r>
      <w:proofErr w:type="spellStart"/>
      <w:r w:rsidRPr="0086335B">
        <w:rPr>
          <w:rFonts w:ascii="Times New Roman" w:hAnsi="Times New Roman"/>
          <w:sz w:val="20"/>
          <w:szCs w:val="20"/>
        </w:rPr>
        <w:t>Boymurova</w:t>
      </w:r>
      <w:proofErr w:type="spellEnd"/>
      <w:r w:rsidRPr="0086335B">
        <w:rPr>
          <w:rFonts w:ascii="Times New Roman" w:hAnsi="Times New Roman"/>
          <w:sz w:val="20"/>
          <w:szCs w:val="20"/>
        </w:rPr>
        <w:t xml:space="preserve">, N., </w:t>
      </w:r>
      <w:proofErr w:type="spellStart"/>
      <w:r w:rsidRPr="0086335B">
        <w:rPr>
          <w:rFonts w:ascii="Times New Roman" w:hAnsi="Times New Roman"/>
          <w:sz w:val="20"/>
          <w:szCs w:val="20"/>
        </w:rPr>
        <w:t>Mustanova</w:t>
      </w:r>
      <w:proofErr w:type="spellEnd"/>
      <w:r w:rsidRPr="0086335B">
        <w:rPr>
          <w:rFonts w:ascii="Times New Roman" w:hAnsi="Times New Roman"/>
          <w:sz w:val="20"/>
          <w:szCs w:val="20"/>
        </w:rPr>
        <w:t xml:space="preserve">, Z., &amp; </w:t>
      </w:r>
      <w:proofErr w:type="spellStart"/>
      <w:r w:rsidRPr="0086335B">
        <w:rPr>
          <w:rFonts w:ascii="Times New Roman" w:hAnsi="Times New Roman"/>
          <w:sz w:val="20"/>
          <w:szCs w:val="20"/>
        </w:rPr>
        <w:t>Boltaeva</w:t>
      </w:r>
      <w:proofErr w:type="spellEnd"/>
      <w:r w:rsidRPr="0086335B">
        <w:rPr>
          <w:rFonts w:ascii="Times New Roman" w:hAnsi="Times New Roman"/>
          <w:sz w:val="20"/>
          <w:szCs w:val="20"/>
        </w:rPr>
        <w:t xml:space="preserve">, I. (2025, November). Enhancing and evaluating the characteristics of specialized </w:t>
      </w:r>
      <w:proofErr w:type="spellStart"/>
      <w:r w:rsidRPr="0086335B">
        <w:rPr>
          <w:rFonts w:ascii="Times New Roman" w:hAnsi="Times New Roman"/>
          <w:sz w:val="20"/>
          <w:szCs w:val="20"/>
        </w:rPr>
        <w:t>workwear</w:t>
      </w:r>
      <w:proofErr w:type="spellEnd"/>
      <w:r w:rsidRPr="0086335B">
        <w:rPr>
          <w:rFonts w:ascii="Times New Roman" w:hAnsi="Times New Roman"/>
          <w:sz w:val="20"/>
          <w:szCs w:val="20"/>
        </w:rPr>
        <w:t xml:space="preserve"> for employees in the electric power supply sector. In American Institute of Physics Conference Series (Vol. 3331, No. 1, p. 050006).  https://doi.org/10.1063/5.0306350</w:t>
      </w:r>
    </w:p>
    <w:p w14:paraId="39BAF552" w14:textId="66D3E149" w:rsidR="00F27E96" w:rsidRPr="00715B5C" w:rsidRDefault="00F27E96" w:rsidP="00A10164"/>
    <w:sectPr w:rsidR="00F27E96" w:rsidRPr="00715B5C"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A300C"/>
    <w:multiLevelType w:val="hybridMultilevel"/>
    <w:tmpl w:val="D2768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CD6F26"/>
    <w:multiLevelType w:val="hybridMultilevel"/>
    <w:tmpl w:val="40485D9C"/>
    <w:lvl w:ilvl="0" w:tplc="8DB83308">
      <w:start w:val="1"/>
      <w:numFmt w:val="decimal"/>
      <w:lvlText w:val="%1."/>
      <w:lvlJc w:val="left"/>
      <w:pPr>
        <w:ind w:left="720" w:hanging="360"/>
      </w:pPr>
      <w:rPr>
        <w:rFonts w:hAnsi="Symbo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7B4902"/>
    <w:multiLevelType w:val="hybridMultilevel"/>
    <w:tmpl w:val="E5381B6E"/>
    <w:lvl w:ilvl="0" w:tplc="D5C466E4">
      <w:start w:val="1"/>
      <w:numFmt w:val="decimal"/>
      <w:lvlText w:val="%1."/>
      <w:lvlJc w:val="left"/>
      <w:pPr>
        <w:ind w:left="1070" w:hanging="360"/>
      </w:pPr>
      <w:rPr>
        <w:rFonts w:hint="default"/>
        <w:b w:val="0"/>
        <w:bCs w:val="0"/>
        <w:color w:val="auto"/>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2"/>
  </w:num>
  <w:num w:numId="2">
    <w:abstractNumId w:val="1"/>
  </w:num>
  <w:num w:numId="3">
    <w:abstractNumId w:val="6"/>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de-DE"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0"/>
  <w:activeWritingStyle w:appName="MSWord" w:lang="de-DE"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286"/>
    <w:rsid w:val="0007267C"/>
    <w:rsid w:val="00073048"/>
    <w:rsid w:val="0007417B"/>
    <w:rsid w:val="00074E7C"/>
    <w:rsid w:val="00075C61"/>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5C1B"/>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73A"/>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0BF6"/>
    <w:rsid w:val="00191477"/>
    <w:rsid w:val="00191BE7"/>
    <w:rsid w:val="00191EB2"/>
    <w:rsid w:val="00192A0C"/>
    <w:rsid w:val="00192A43"/>
    <w:rsid w:val="00193576"/>
    <w:rsid w:val="001938FA"/>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3AA"/>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3FE7"/>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4F8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321"/>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0D09"/>
    <w:rsid w:val="005F110D"/>
    <w:rsid w:val="005F1418"/>
    <w:rsid w:val="005F1F9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305"/>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B5C"/>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69B"/>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4854"/>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35B"/>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D60"/>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164"/>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2D1"/>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C7CF0"/>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0E1E"/>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5FD1"/>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83E"/>
    <w:rsid w:val="00D76D5F"/>
    <w:rsid w:val="00D77C7C"/>
    <w:rsid w:val="00D8039C"/>
    <w:rsid w:val="00D8061A"/>
    <w:rsid w:val="00D80645"/>
    <w:rsid w:val="00D80B91"/>
    <w:rsid w:val="00D80C1F"/>
    <w:rsid w:val="00D8277E"/>
    <w:rsid w:val="00D82BC6"/>
    <w:rsid w:val="00D8303B"/>
    <w:rsid w:val="00D840B3"/>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C7ACD"/>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27E96"/>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99"/>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99"/>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Emphasis"/>
    <w:basedOn w:val="a0"/>
    <w:uiPriority w:val="20"/>
    <w:qFormat/>
    <w:rsid w:val="00BC7CF0"/>
    <w:rPr>
      <w:i/>
      <w:iCs/>
    </w:rPr>
  </w:style>
  <w:style w:type="character" w:styleId="a8">
    <w:name w:val="Strong"/>
    <w:basedOn w:val="a0"/>
    <w:uiPriority w:val="22"/>
    <w:qFormat/>
    <w:rsid w:val="00A10164"/>
    <w:rPr>
      <w:b/>
      <w:bCs/>
    </w:rPr>
  </w:style>
  <w:style w:type="paragraph" w:styleId="a9">
    <w:name w:val="Normal (Web)"/>
    <w:basedOn w:val="a"/>
    <w:uiPriority w:val="99"/>
    <w:semiHidden/>
    <w:unhideWhenUsed/>
    <w:rsid w:val="00607305"/>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FollowedHyperlink"/>
    <w:basedOn w:val="a0"/>
    <w:uiPriority w:val="99"/>
    <w:semiHidden/>
    <w:unhideWhenUsed/>
    <w:rsid w:val="00607305"/>
    <w:rPr>
      <w:color w:val="954F72" w:themeColor="followedHyperlink"/>
      <w:u w:val="single"/>
    </w:rPr>
  </w:style>
  <w:style w:type="character" w:customStyle="1" w:styleId="UnresolvedMention">
    <w:name w:val="Unresolved Mention"/>
    <w:basedOn w:val="a0"/>
    <w:uiPriority w:val="99"/>
    <w:semiHidden/>
    <w:unhideWhenUsed/>
    <w:rsid w:val="00190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973563267">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s://doi.org/10.1063/5.0306350"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s://doi.org/10.1063/5.030714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doi.org/10.1051/e3sconf/202346101068" TargetMode="Externa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hyperlink" Target="https://doi.org/10.1063/5.0306845" TargetMode="Externa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hyperlink" Target="https://doi.org/10.17675/2305-6894-2025-14-3-5"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sphalerite</c:v>
                </c:pt>
              </c:strCache>
            </c:strRef>
          </c:tx>
          <c:spPr>
            <a:solidFill>
              <a:schemeClr val="accent1"/>
            </a:solidFill>
            <a:ln>
              <a:noFill/>
            </a:ln>
            <a:effectLst/>
          </c:spPr>
          <c:invertIfNegative val="0"/>
          <c:cat>
            <c:numRef>
              <c:f>Лист1!$A$2</c:f>
              <c:numCache>
                <c:formatCode>General</c:formatCode>
                <c:ptCount val="1"/>
              </c:numCache>
            </c:numRef>
          </c:cat>
          <c:val>
            <c:numRef>
              <c:f>Лист1!$B$2</c:f>
              <c:numCache>
                <c:formatCode>General</c:formatCode>
                <c:ptCount val="1"/>
                <c:pt idx="0">
                  <c:v>47.8</c:v>
                </c:pt>
              </c:numCache>
            </c:numRef>
          </c:val>
          <c:extLst>
            <c:ext xmlns:c16="http://schemas.microsoft.com/office/drawing/2014/chart" uri="{C3380CC4-5D6E-409C-BE32-E72D297353CC}">
              <c16:uniqueId val="{00000000-60B2-4359-B3D5-A5552823E308}"/>
            </c:ext>
          </c:extLst>
        </c:ser>
        <c:ser>
          <c:idx val="1"/>
          <c:order val="1"/>
          <c:tx>
            <c:strRef>
              <c:f>Лист1!$C$1</c:f>
              <c:strCache>
                <c:ptCount val="1"/>
                <c:pt idx="0">
                  <c:v>galena</c:v>
                </c:pt>
              </c:strCache>
            </c:strRef>
          </c:tx>
          <c:spPr>
            <a:solidFill>
              <a:schemeClr val="accent2"/>
            </a:solidFill>
            <a:ln>
              <a:noFill/>
            </a:ln>
            <a:effectLst/>
          </c:spPr>
          <c:invertIfNegative val="0"/>
          <c:cat>
            <c:numRef>
              <c:f>Лист1!$A$2</c:f>
              <c:numCache>
                <c:formatCode>General</c:formatCode>
                <c:ptCount val="1"/>
              </c:numCache>
            </c:numRef>
          </c:cat>
          <c:val>
            <c:numRef>
              <c:f>Лист1!$C$2</c:f>
              <c:numCache>
                <c:formatCode>General</c:formatCode>
                <c:ptCount val="1"/>
                <c:pt idx="0">
                  <c:v>15.8</c:v>
                </c:pt>
              </c:numCache>
            </c:numRef>
          </c:val>
          <c:extLst>
            <c:ext xmlns:c16="http://schemas.microsoft.com/office/drawing/2014/chart" uri="{C3380CC4-5D6E-409C-BE32-E72D297353CC}">
              <c16:uniqueId val="{00000001-60B2-4359-B3D5-A5552823E308}"/>
            </c:ext>
          </c:extLst>
        </c:ser>
        <c:ser>
          <c:idx val="2"/>
          <c:order val="2"/>
          <c:tx>
            <c:strRef>
              <c:f>Лист1!$D$1</c:f>
              <c:strCache>
                <c:ptCount val="1"/>
                <c:pt idx="0">
                  <c:v>chalcopyrite</c:v>
                </c:pt>
              </c:strCache>
            </c:strRef>
          </c:tx>
          <c:spPr>
            <a:solidFill>
              <a:schemeClr val="accent3"/>
            </a:solidFill>
            <a:ln>
              <a:noFill/>
            </a:ln>
            <a:effectLst/>
          </c:spPr>
          <c:invertIfNegative val="0"/>
          <c:cat>
            <c:numRef>
              <c:f>Лист1!$A$2</c:f>
              <c:numCache>
                <c:formatCode>General</c:formatCode>
                <c:ptCount val="1"/>
              </c:numCache>
            </c:numRef>
          </c:cat>
          <c:val>
            <c:numRef>
              <c:f>Лист1!$D$2</c:f>
              <c:numCache>
                <c:formatCode>General</c:formatCode>
                <c:ptCount val="1"/>
                <c:pt idx="0">
                  <c:v>6.7</c:v>
                </c:pt>
              </c:numCache>
            </c:numRef>
          </c:val>
          <c:extLst>
            <c:ext xmlns:c16="http://schemas.microsoft.com/office/drawing/2014/chart" uri="{C3380CC4-5D6E-409C-BE32-E72D297353CC}">
              <c16:uniqueId val="{00000002-60B2-4359-B3D5-A5552823E308}"/>
            </c:ext>
          </c:extLst>
        </c:ser>
        <c:ser>
          <c:idx val="3"/>
          <c:order val="3"/>
          <c:tx>
            <c:strRef>
              <c:f>Лист1!$E$1</c:f>
              <c:strCache>
                <c:ptCount val="1"/>
                <c:pt idx="0">
                  <c:v>pyrite</c:v>
                </c:pt>
              </c:strCache>
            </c:strRef>
          </c:tx>
          <c:spPr>
            <a:solidFill>
              <a:schemeClr val="accent4"/>
            </a:solidFill>
            <a:ln>
              <a:noFill/>
            </a:ln>
            <a:effectLst/>
          </c:spPr>
          <c:invertIfNegative val="0"/>
          <c:cat>
            <c:numRef>
              <c:f>Лист1!$A$2</c:f>
              <c:numCache>
                <c:formatCode>General</c:formatCode>
                <c:ptCount val="1"/>
              </c:numCache>
            </c:numRef>
          </c:cat>
          <c:val>
            <c:numRef>
              <c:f>Лист1!$E$2</c:f>
              <c:numCache>
                <c:formatCode>General</c:formatCode>
                <c:ptCount val="1"/>
                <c:pt idx="0">
                  <c:v>29.7</c:v>
                </c:pt>
              </c:numCache>
            </c:numRef>
          </c:val>
          <c:extLst>
            <c:ext xmlns:c16="http://schemas.microsoft.com/office/drawing/2014/chart" uri="{C3380CC4-5D6E-409C-BE32-E72D297353CC}">
              <c16:uniqueId val="{00000003-60B2-4359-B3D5-A5552823E308}"/>
            </c:ext>
          </c:extLst>
        </c:ser>
        <c:dLbls>
          <c:showLegendKey val="0"/>
          <c:showVal val="0"/>
          <c:showCatName val="0"/>
          <c:showSerName val="0"/>
          <c:showPercent val="0"/>
          <c:showBubbleSize val="0"/>
        </c:dLbls>
        <c:gapWidth val="219"/>
        <c:overlap val="-27"/>
        <c:axId val="284409792"/>
        <c:axId val="476981232"/>
      </c:barChart>
      <c:catAx>
        <c:axId val="28440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6981232"/>
        <c:crosses val="autoZero"/>
        <c:auto val="1"/>
        <c:lblAlgn val="ctr"/>
        <c:lblOffset val="100"/>
        <c:noMultiLvlLbl val="0"/>
      </c:catAx>
      <c:valAx>
        <c:axId val="476981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440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copper</c:v>
                </c:pt>
              </c:strCache>
            </c:strRef>
          </c:tx>
          <c:spPr>
            <a:solidFill>
              <a:schemeClr val="accent1"/>
            </a:solidFill>
            <a:ln>
              <a:noFill/>
            </a:ln>
            <a:effectLst/>
          </c:spPr>
          <c:invertIfNegative val="0"/>
          <c:cat>
            <c:numRef>
              <c:f>Лист1!$A$2</c:f>
              <c:numCache>
                <c:formatCode>General</c:formatCode>
                <c:ptCount val="1"/>
              </c:numCache>
            </c:numRef>
          </c:cat>
          <c:val>
            <c:numRef>
              <c:f>Лист1!$B$2</c:f>
              <c:numCache>
                <c:formatCode>General</c:formatCode>
                <c:ptCount val="1"/>
                <c:pt idx="0">
                  <c:v>0.85</c:v>
                </c:pt>
              </c:numCache>
            </c:numRef>
          </c:val>
          <c:extLst>
            <c:ext xmlns:c16="http://schemas.microsoft.com/office/drawing/2014/chart" uri="{C3380CC4-5D6E-409C-BE32-E72D297353CC}">
              <c16:uniqueId val="{00000000-C400-4848-8E37-FC8FB7616C44}"/>
            </c:ext>
          </c:extLst>
        </c:ser>
        <c:ser>
          <c:idx val="1"/>
          <c:order val="1"/>
          <c:tx>
            <c:strRef>
              <c:f>Лист1!$C$1</c:f>
              <c:strCache>
                <c:ptCount val="1"/>
                <c:pt idx="0">
                  <c:v>lead</c:v>
                </c:pt>
              </c:strCache>
            </c:strRef>
          </c:tx>
          <c:spPr>
            <a:solidFill>
              <a:schemeClr val="accent2"/>
            </a:solidFill>
            <a:ln>
              <a:noFill/>
            </a:ln>
            <a:effectLst/>
          </c:spPr>
          <c:invertIfNegative val="0"/>
          <c:cat>
            <c:numRef>
              <c:f>Лист1!$A$2</c:f>
              <c:numCache>
                <c:formatCode>General</c:formatCode>
                <c:ptCount val="1"/>
              </c:numCache>
            </c:numRef>
          </c:cat>
          <c:val>
            <c:numRef>
              <c:f>Лист1!$C$2</c:f>
              <c:numCache>
                <c:formatCode>General</c:formatCode>
                <c:ptCount val="1"/>
                <c:pt idx="0">
                  <c:v>3.29</c:v>
                </c:pt>
              </c:numCache>
            </c:numRef>
          </c:val>
          <c:extLst>
            <c:ext xmlns:c16="http://schemas.microsoft.com/office/drawing/2014/chart" uri="{C3380CC4-5D6E-409C-BE32-E72D297353CC}">
              <c16:uniqueId val="{00000001-C400-4848-8E37-FC8FB7616C44}"/>
            </c:ext>
          </c:extLst>
        </c:ser>
        <c:ser>
          <c:idx val="2"/>
          <c:order val="2"/>
          <c:tx>
            <c:strRef>
              <c:f>Лист1!$D$1</c:f>
              <c:strCache>
                <c:ptCount val="1"/>
                <c:pt idx="0">
                  <c:v>zinc</c:v>
                </c:pt>
              </c:strCache>
            </c:strRef>
          </c:tx>
          <c:spPr>
            <a:solidFill>
              <a:schemeClr val="accent3"/>
            </a:solidFill>
            <a:ln>
              <a:noFill/>
            </a:ln>
            <a:effectLst/>
          </c:spPr>
          <c:invertIfNegative val="0"/>
          <c:cat>
            <c:numRef>
              <c:f>Лист1!$A$2</c:f>
              <c:numCache>
                <c:formatCode>General</c:formatCode>
                <c:ptCount val="1"/>
              </c:numCache>
            </c:numRef>
          </c:cat>
          <c:val>
            <c:numRef>
              <c:f>Лист1!$D$2</c:f>
              <c:numCache>
                <c:formatCode>General</c:formatCode>
                <c:ptCount val="1"/>
                <c:pt idx="0">
                  <c:v>4.45</c:v>
                </c:pt>
              </c:numCache>
            </c:numRef>
          </c:val>
          <c:extLst>
            <c:ext xmlns:c16="http://schemas.microsoft.com/office/drawing/2014/chart" uri="{C3380CC4-5D6E-409C-BE32-E72D297353CC}">
              <c16:uniqueId val="{00000002-C400-4848-8E37-FC8FB7616C44}"/>
            </c:ext>
          </c:extLst>
        </c:ser>
        <c:ser>
          <c:idx val="3"/>
          <c:order val="3"/>
          <c:tx>
            <c:strRef>
              <c:f>Лист1!$E$1</c:f>
              <c:strCache>
                <c:ptCount val="1"/>
                <c:pt idx="0">
                  <c:v>cadmium</c:v>
                </c:pt>
              </c:strCache>
            </c:strRef>
          </c:tx>
          <c:spPr>
            <a:solidFill>
              <a:schemeClr val="accent4"/>
            </a:solidFill>
            <a:ln>
              <a:noFill/>
            </a:ln>
            <a:effectLst/>
          </c:spPr>
          <c:invertIfNegative val="0"/>
          <c:cat>
            <c:numRef>
              <c:f>Лист1!$A$2</c:f>
              <c:numCache>
                <c:formatCode>General</c:formatCode>
                <c:ptCount val="1"/>
              </c:numCache>
            </c:numRef>
          </c:cat>
          <c:val>
            <c:numRef>
              <c:f>Лист1!$E$2</c:f>
              <c:numCache>
                <c:formatCode>General</c:formatCode>
                <c:ptCount val="1"/>
                <c:pt idx="0">
                  <c:v>4.1000000000000002E-2</c:v>
                </c:pt>
              </c:numCache>
            </c:numRef>
          </c:val>
          <c:extLst>
            <c:ext xmlns:c16="http://schemas.microsoft.com/office/drawing/2014/chart" uri="{C3380CC4-5D6E-409C-BE32-E72D297353CC}">
              <c16:uniqueId val="{00000003-C400-4848-8E37-FC8FB7616C44}"/>
            </c:ext>
          </c:extLst>
        </c:ser>
        <c:ser>
          <c:idx val="4"/>
          <c:order val="4"/>
          <c:tx>
            <c:strRef>
              <c:f>Лист1!$F$1</c:f>
              <c:strCache>
                <c:ptCount val="1"/>
                <c:pt idx="0">
                  <c:v>gold</c:v>
                </c:pt>
              </c:strCache>
            </c:strRef>
          </c:tx>
          <c:spPr>
            <a:solidFill>
              <a:schemeClr val="accent5"/>
            </a:solidFill>
            <a:ln>
              <a:noFill/>
            </a:ln>
            <a:effectLst/>
          </c:spPr>
          <c:invertIfNegative val="0"/>
          <c:cat>
            <c:numRef>
              <c:f>Лист1!$A$2</c:f>
              <c:numCache>
                <c:formatCode>General</c:formatCode>
                <c:ptCount val="1"/>
              </c:numCache>
            </c:numRef>
          </c:cat>
          <c:val>
            <c:numRef>
              <c:f>Лист1!$F$2</c:f>
              <c:numCache>
                <c:formatCode>General</c:formatCode>
                <c:ptCount val="1"/>
                <c:pt idx="0">
                  <c:v>0.35</c:v>
                </c:pt>
              </c:numCache>
            </c:numRef>
          </c:val>
          <c:extLst>
            <c:ext xmlns:c16="http://schemas.microsoft.com/office/drawing/2014/chart" uri="{C3380CC4-5D6E-409C-BE32-E72D297353CC}">
              <c16:uniqueId val="{00000004-C400-4848-8E37-FC8FB7616C44}"/>
            </c:ext>
          </c:extLst>
        </c:ser>
        <c:ser>
          <c:idx val="5"/>
          <c:order val="5"/>
          <c:tx>
            <c:strRef>
              <c:f>Лист1!$G$1</c:f>
              <c:strCache>
                <c:ptCount val="1"/>
                <c:pt idx="0">
                  <c:v>silver</c:v>
                </c:pt>
              </c:strCache>
            </c:strRef>
          </c:tx>
          <c:spPr>
            <a:solidFill>
              <a:schemeClr val="accent6"/>
            </a:solidFill>
            <a:ln>
              <a:noFill/>
            </a:ln>
            <a:effectLst/>
          </c:spPr>
          <c:invertIfNegative val="0"/>
          <c:cat>
            <c:numRef>
              <c:f>Лист1!$A$2</c:f>
              <c:numCache>
                <c:formatCode>General</c:formatCode>
                <c:ptCount val="1"/>
              </c:numCache>
            </c:numRef>
          </c:cat>
          <c:val>
            <c:numRef>
              <c:f>Лист1!$G$2</c:f>
              <c:numCache>
                <c:formatCode>General</c:formatCode>
                <c:ptCount val="1"/>
                <c:pt idx="0">
                  <c:v>1.1399999999999999</c:v>
                </c:pt>
              </c:numCache>
            </c:numRef>
          </c:val>
          <c:extLst>
            <c:ext xmlns:c16="http://schemas.microsoft.com/office/drawing/2014/chart" uri="{C3380CC4-5D6E-409C-BE32-E72D297353CC}">
              <c16:uniqueId val="{00000005-C400-4848-8E37-FC8FB7616C44}"/>
            </c:ext>
          </c:extLst>
        </c:ser>
        <c:dLbls>
          <c:showLegendKey val="0"/>
          <c:showVal val="0"/>
          <c:showCatName val="0"/>
          <c:showSerName val="0"/>
          <c:showPercent val="0"/>
          <c:showBubbleSize val="0"/>
        </c:dLbls>
        <c:gapWidth val="219"/>
        <c:overlap val="-27"/>
        <c:axId val="515489344"/>
        <c:axId val="515488168"/>
      </c:barChart>
      <c:catAx>
        <c:axId val="51548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488168"/>
        <c:crosses val="autoZero"/>
        <c:auto val="1"/>
        <c:lblAlgn val="ctr"/>
        <c:lblOffset val="100"/>
        <c:noMultiLvlLbl val="0"/>
      </c:catAx>
      <c:valAx>
        <c:axId val="515488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48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3606729031418E-2"/>
          <c:y val="3.6855036855036855E-2"/>
          <c:w val="0.91590926089150482"/>
          <c:h val="0.76628425132362143"/>
        </c:manualLayout>
      </c:layout>
      <c:lineChart>
        <c:grouping val="standard"/>
        <c:varyColors val="0"/>
        <c:ser>
          <c:idx val="0"/>
          <c:order val="0"/>
          <c:tx>
            <c:strRef>
              <c:f>Лист1!$B$1</c:f>
              <c:strCache>
                <c:ptCount val="1"/>
                <c:pt idx="0">
                  <c:v>copper</c:v>
                </c:pt>
              </c:strCache>
            </c:strRef>
          </c:tx>
          <c:spPr>
            <a:ln w="28575" cap="rnd">
              <a:solidFill>
                <a:schemeClr val="accent1"/>
              </a:solidFill>
              <a:round/>
            </a:ln>
            <a:effectLst/>
          </c:spPr>
          <c:marker>
            <c:symbol val="none"/>
          </c:marker>
          <c:cat>
            <c:strRef>
              <c:f>Лист1!$A$2:$A$3</c:f>
              <c:strCache>
                <c:ptCount val="2"/>
                <c:pt idx="0">
                  <c:v>Metal content, %</c:v>
                </c:pt>
                <c:pt idx="1">
                  <c:v>Extraction rate, %</c:v>
                </c:pt>
              </c:strCache>
            </c:strRef>
          </c:cat>
          <c:val>
            <c:numRef>
              <c:f>Лист1!$B$2:$B$3</c:f>
              <c:numCache>
                <c:formatCode>General</c:formatCode>
                <c:ptCount val="2"/>
                <c:pt idx="0">
                  <c:v>28</c:v>
                </c:pt>
                <c:pt idx="1">
                  <c:v>67</c:v>
                </c:pt>
              </c:numCache>
            </c:numRef>
          </c:val>
          <c:smooth val="0"/>
          <c:extLst>
            <c:ext xmlns:c16="http://schemas.microsoft.com/office/drawing/2014/chart" uri="{C3380CC4-5D6E-409C-BE32-E72D297353CC}">
              <c16:uniqueId val="{00000000-2FBB-4F39-8122-AF4FACF80889}"/>
            </c:ext>
          </c:extLst>
        </c:ser>
        <c:ser>
          <c:idx val="1"/>
          <c:order val="1"/>
          <c:tx>
            <c:strRef>
              <c:f>Лист1!$C$1</c:f>
              <c:strCache>
                <c:ptCount val="1"/>
                <c:pt idx="0">
                  <c:v>lead</c:v>
                </c:pt>
              </c:strCache>
            </c:strRef>
          </c:tx>
          <c:spPr>
            <a:ln w="28575" cap="rnd">
              <a:solidFill>
                <a:schemeClr val="accent2"/>
              </a:solidFill>
              <a:round/>
            </a:ln>
            <a:effectLst/>
          </c:spPr>
          <c:marker>
            <c:symbol val="none"/>
          </c:marker>
          <c:cat>
            <c:strRef>
              <c:f>Лист1!$A$2:$A$3</c:f>
              <c:strCache>
                <c:ptCount val="2"/>
                <c:pt idx="0">
                  <c:v>Metal content, %</c:v>
                </c:pt>
                <c:pt idx="1">
                  <c:v>Extraction rate, %</c:v>
                </c:pt>
              </c:strCache>
            </c:strRef>
          </c:cat>
          <c:val>
            <c:numRef>
              <c:f>Лист1!$C$2:$C$3</c:f>
              <c:numCache>
                <c:formatCode>General</c:formatCode>
                <c:ptCount val="2"/>
                <c:pt idx="0">
                  <c:v>40</c:v>
                </c:pt>
                <c:pt idx="1">
                  <c:v>81</c:v>
                </c:pt>
              </c:numCache>
            </c:numRef>
          </c:val>
          <c:smooth val="0"/>
          <c:extLst>
            <c:ext xmlns:c16="http://schemas.microsoft.com/office/drawing/2014/chart" uri="{C3380CC4-5D6E-409C-BE32-E72D297353CC}">
              <c16:uniqueId val="{00000001-2FBB-4F39-8122-AF4FACF80889}"/>
            </c:ext>
          </c:extLst>
        </c:ser>
        <c:ser>
          <c:idx val="2"/>
          <c:order val="2"/>
          <c:tx>
            <c:strRef>
              <c:f>Лист1!$D$1</c:f>
              <c:strCache>
                <c:ptCount val="1"/>
                <c:pt idx="0">
                  <c:v>zinc</c:v>
                </c:pt>
              </c:strCache>
            </c:strRef>
          </c:tx>
          <c:spPr>
            <a:ln w="28575" cap="rnd">
              <a:solidFill>
                <a:schemeClr val="accent3"/>
              </a:solidFill>
              <a:round/>
            </a:ln>
            <a:effectLst/>
          </c:spPr>
          <c:marker>
            <c:symbol val="none"/>
          </c:marker>
          <c:cat>
            <c:strRef>
              <c:f>Лист1!$A$2:$A$3</c:f>
              <c:strCache>
                <c:ptCount val="2"/>
                <c:pt idx="0">
                  <c:v>Metal content, %</c:v>
                </c:pt>
                <c:pt idx="1">
                  <c:v>Extraction rate, %</c:v>
                </c:pt>
              </c:strCache>
            </c:strRef>
          </c:cat>
          <c:val>
            <c:numRef>
              <c:f>Лист1!$D$2:$D$3</c:f>
              <c:numCache>
                <c:formatCode>General</c:formatCode>
                <c:ptCount val="2"/>
                <c:pt idx="0">
                  <c:v>47</c:v>
                </c:pt>
                <c:pt idx="1">
                  <c:v>47</c:v>
                </c:pt>
              </c:numCache>
            </c:numRef>
          </c:val>
          <c:smooth val="0"/>
          <c:extLst>
            <c:ext xmlns:c16="http://schemas.microsoft.com/office/drawing/2014/chart" uri="{C3380CC4-5D6E-409C-BE32-E72D297353CC}">
              <c16:uniqueId val="{00000002-2FBB-4F39-8122-AF4FACF80889}"/>
            </c:ext>
          </c:extLst>
        </c:ser>
        <c:dLbls>
          <c:showLegendKey val="0"/>
          <c:showVal val="0"/>
          <c:showCatName val="0"/>
          <c:showSerName val="0"/>
          <c:showPercent val="0"/>
          <c:showBubbleSize val="0"/>
        </c:dLbls>
        <c:smooth val="0"/>
        <c:axId val="515489736"/>
        <c:axId val="515490128"/>
      </c:lineChart>
      <c:catAx>
        <c:axId val="515489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5490128"/>
        <c:crosses val="autoZero"/>
        <c:auto val="1"/>
        <c:lblAlgn val="ctr"/>
        <c:lblOffset val="100"/>
        <c:noMultiLvlLbl val="0"/>
      </c:catAx>
      <c:valAx>
        <c:axId val="515490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48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3606729031418E-2"/>
          <c:y val="3.6855036855036855E-2"/>
          <c:w val="0.91590926089150482"/>
          <c:h val="0.76628425132362143"/>
        </c:manualLayout>
      </c:layout>
      <c:lineChart>
        <c:grouping val="standard"/>
        <c:varyColors val="0"/>
        <c:ser>
          <c:idx val="0"/>
          <c:order val="0"/>
          <c:tx>
            <c:strRef>
              <c:f>Лист1!$B$1</c:f>
              <c:strCache>
                <c:ptCount val="1"/>
                <c:pt idx="0">
                  <c:v>copper</c:v>
                </c:pt>
              </c:strCache>
            </c:strRef>
          </c:tx>
          <c:spPr>
            <a:ln w="28575" cap="rnd">
              <a:solidFill>
                <a:schemeClr val="accent1"/>
              </a:solidFill>
              <a:round/>
            </a:ln>
            <a:effectLst/>
          </c:spPr>
          <c:marker>
            <c:symbol val="none"/>
          </c:marker>
          <c:cat>
            <c:strRef>
              <c:f>Лист1!$A$2:$A$3</c:f>
              <c:strCache>
                <c:ptCount val="2"/>
                <c:pt idx="0">
                  <c:v>Metal content, %</c:v>
                </c:pt>
                <c:pt idx="1">
                  <c:v>Extraction rate, %</c:v>
                </c:pt>
              </c:strCache>
            </c:strRef>
          </c:cat>
          <c:val>
            <c:numRef>
              <c:f>Лист1!$B$2:$B$3</c:f>
              <c:numCache>
                <c:formatCode>General</c:formatCode>
                <c:ptCount val="2"/>
                <c:pt idx="0">
                  <c:v>23.5</c:v>
                </c:pt>
                <c:pt idx="1">
                  <c:v>79</c:v>
                </c:pt>
              </c:numCache>
            </c:numRef>
          </c:val>
          <c:smooth val="0"/>
          <c:extLst>
            <c:ext xmlns:c16="http://schemas.microsoft.com/office/drawing/2014/chart" uri="{C3380CC4-5D6E-409C-BE32-E72D297353CC}">
              <c16:uniqueId val="{00000000-571E-4366-978F-FD6EE9A55CFE}"/>
            </c:ext>
          </c:extLst>
        </c:ser>
        <c:ser>
          <c:idx val="1"/>
          <c:order val="1"/>
          <c:tx>
            <c:strRef>
              <c:f>Лист1!$C$1</c:f>
              <c:strCache>
                <c:ptCount val="1"/>
                <c:pt idx="0">
                  <c:v>lead</c:v>
                </c:pt>
              </c:strCache>
            </c:strRef>
          </c:tx>
          <c:spPr>
            <a:ln w="28575" cap="rnd">
              <a:solidFill>
                <a:schemeClr val="accent2"/>
              </a:solidFill>
              <a:round/>
            </a:ln>
            <a:effectLst/>
          </c:spPr>
          <c:marker>
            <c:symbol val="none"/>
          </c:marker>
          <c:cat>
            <c:strRef>
              <c:f>Лист1!$A$2:$A$3</c:f>
              <c:strCache>
                <c:ptCount val="2"/>
                <c:pt idx="0">
                  <c:v>Metal content, %</c:v>
                </c:pt>
                <c:pt idx="1">
                  <c:v>Extraction rate, %</c:v>
                </c:pt>
              </c:strCache>
            </c:strRef>
          </c:cat>
          <c:val>
            <c:numRef>
              <c:f>Лист1!$C$2:$C$3</c:f>
              <c:numCache>
                <c:formatCode>General</c:formatCode>
                <c:ptCount val="2"/>
                <c:pt idx="0">
                  <c:v>48.2</c:v>
                </c:pt>
                <c:pt idx="1">
                  <c:v>83.4</c:v>
                </c:pt>
              </c:numCache>
            </c:numRef>
          </c:val>
          <c:smooth val="0"/>
          <c:extLst>
            <c:ext xmlns:c16="http://schemas.microsoft.com/office/drawing/2014/chart" uri="{C3380CC4-5D6E-409C-BE32-E72D297353CC}">
              <c16:uniqueId val="{00000001-571E-4366-978F-FD6EE9A55CFE}"/>
            </c:ext>
          </c:extLst>
        </c:ser>
        <c:ser>
          <c:idx val="2"/>
          <c:order val="2"/>
          <c:tx>
            <c:strRef>
              <c:f>Лист1!$D$1</c:f>
              <c:strCache>
                <c:ptCount val="1"/>
                <c:pt idx="0">
                  <c:v>zinc</c:v>
                </c:pt>
              </c:strCache>
            </c:strRef>
          </c:tx>
          <c:spPr>
            <a:ln w="28575" cap="rnd">
              <a:solidFill>
                <a:schemeClr val="accent3"/>
              </a:solidFill>
              <a:round/>
            </a:ln>
            <a:effectLst/>
          </c:spPr>
          <c:marker>
            <c:symbol val="none"/>
          </c:marker>
          <c:cat>
            <c:strRef>
              <c:f>Лист1!$A$2:$A$3</c:f>
              <c:strCache>
                <c:ptCount val="2"/>
                <c:pt idx="0">
                  <c:v>Metal content, %</c:v>
                </c:pt>
                <c:pt idx="1">
                  <c:v>Extraction rate, %</c:v>
                </c:pt>
              </c:strCache>
            </c:strRef>
          </c:cat>
          <c:val>
            <c:numRef>
              <c:f>Лист1!$D$2:$D$3</c:f>
              <c:numCache>
                <c:formatCode>General</c:formatCode>
                <c:ptCount val="2"/>
                <c:pt idx="0">
                  <c:v>47</c:v>
                </c:pt>
                <c:pt idx="1">
                  <c:v>84.3</c:v>
                </c:pt>
              </c:numCache>
            </c:numRef>
          </c:val>
          <c:smooth val="0"/>
          <c:extLst>
            <c:ext xmlns:c16="http://schemas.microsoft.com/office/drawing/2014/chart" uri="{C3380CC4-5D6E-409C-BE32-E72D297353CC}">
              <c16:uniqueId val="{00000002-571E-4366-978F-FD6EE9A55CFE}"/>
            </c:ext>
          </c:extLst>
        </c:ser>
        <c:dLbls>
          <c:showLegendKey val="0"/>
          <c:showVal val="0"/>
          <c:showCatName val="0"/>
          <c:showSerName val="0"/>
          <c:showPercent val="0"/>
          <c:showBubbleSize val="0"/>
        </c:dLbls>
        <c:smooth val="0"/>
        <c:axId val="515491304"/>
        <c:axId val="515490912"/>
      </c:lineChart>
      <c:catAx>
        <c:axId val="515491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5490912"/>
        <c:crosses val="autoZero"/>
        <c:auto val="1"/>
        <c:lblAlgn val="ctr"/>
        <c:lblOffset val="100"/>
        <c:noMultiLvlLbl val="0"/>
      </c:catAx>
      <c:valAx>
        <c:axId val="51549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491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3606729031418E-2"/>
          <c:y val="3.6855036855036855E-2"/>
          <c:w val="0.91590926089150482"/>
          <c:h val="0.76628425132362143"/>
        </c:manualLayout>
      </c:layout>
      <c:lineChart>
        <c:grouping val="standard"/>
        <c:varyColors val="0"/>
        <c:ser>
          <c:idx val="0"/>
          <c:order val="0"/>
          <c:tx>
            <c:strRef>
              <c:f>Лист1!$B$1</c:f>
              <c:strCache>
                <c:ptCount val="1"/>
                <c:pt idx="0">
                  <c:v>copper</c:v>
                </c:pt>
              </c:strCache>
            </c:strRef>
          </c:tx>
          <c:spPr>
            <a:ln w="28575" cap="rnd">
              <a:solidFill>
                <a:schemeClr val="accent1"/>
              </a:solidFill>
              <a:round/>
            </a:ln>
            <a:effectLst/>
          </c:spPr>
          <c:marker>
            <c:symbol val="none"/>
          </c:marker>
          <c:cat>
            <c:strRef>
              <c:f>Лист1!$A$2:$A$3</c:f>
              <c:strCache>
                <c:ptCount val="2"/>
                <c:pt idx="0">
                  <c:v>Metal content, %</c:v>
                </c:pt>
                <c:pt idx="1">
                  <c:v>Extraction, %</c:v>
                </c:pt>
              </c:strCache>
            </c:strRef>
          </c:cat>
          <c:val>
            <c:numRef>
              <c:f>Лист1!$B$2:$B$3</c:f>
              <c:numCache>
                <c:formatCode>General</c:formatCode>
                <c:ptCount val="2"/>
                <c:pt idx="0">
                  <c:v>19.7</c:v>
                </c:pt>
                <c:pt idx="1">
                  <c:v>68</c:v>
                </c:pt>
              </c:numCache>
            </c:numRef>
          </c:val>
          <c:smooth val="0"/>
          <c:extLst>
            <c:ext xmlns:c16="http://schemas.microsoft.com/office/drawing/2014/chart" uri="{C3380CC4-5D6E-409C-BE32-E72D297353CC}">
              <c16:uniqueId val="{00000000-FC32-4964-84E9-883FC35B7E1A}"/>
            </c:ext>
          </c:extLst>
        </c:ser>
        <c:ser>
          <c:idx val="1"/>
          <c:order val="1"/>
          <c:tx>
            <c:strRef>
              <c:f>Лист1!$C$1</c:f>
              <c:strCache>
                <c:ptCount val="1"/>
                <c:pt idx="0">
                  <c:v>lead</c:v>
                </c:pt>
              </c:strCache>
            </c:strRef>
          </c:tx>
          <c:spPr>
            <a:ln w="28575" cap="rnd">
              <a:solidFill>
                <a:schemeClr val="accent2"/>
              </a:solidFill>
              <a:round/>
            </a:ln>
            <a:effectLst/>
          </c:spPr>
          <c:marker>
            <c:symbol val="none"/>
          </c:marker>
          <c:cat>
            <c:strRef>
              <c:f>Лист1!$A$2:$A$3</c:f>
              <c:strCache>
                <c:ptCount val="2"/>
                <c:pt idx="0">
                  <c:v>Metal content, %</c:v>
                </c:pt>
                <c:pt idx="1">
                  <c:v>Extraction, %</c:v>
                </c:pt>
              </c:strCache>
            </c:strRef>
          </c:cat>
          <c:val>
            <c:numRef>
              <c:f>Лист1!$C$2:$C$3</c:f>
              <c:numCache>
                <c:formatCode>General</c:formatCode>
                <c:ptCount val="2"/>
                <c:pt idx="0">
                  <c:v>49.5</c:v>
                </c:pt>
                <c:pt idx="1">
                  <c:v>78.7</c:v>
                </c:pt>
              </c:numCache>
            </c:numRef>
          </c:val>
          <c:smooth val="0"/>
          <c:extLst>
            <c:ext xmlns:c16="http://schemas.microsoft.com/office/drawing/2014/chart" uri="{C3380CC4-5D6E-409C-BE32-E72D297353CC}">
              <c16:uniqueId val="{00000001-FC32-4964-84E9-883FC35B7E1A}"/>
            </c:ext>
          </c:extLst>
        </c:ser>
        <c:ser>
          <c:idx val="2"/>
          <c:order val="2"/>
          <c:tx>
            <c:strRef>
              <c:f>Лист1!$D$1</c:f>
              <c:strCache>
                <c:ptCount val="1"/>
                <c:pt idx="0">
                  <c:v>zinc</c:v>
                </c:pt>
              </c:strCache>
            </c:strRef>
          </c:tx>
          <c:spPr>
            <a:ln w="28575" cap="rnd">
              <a:solidFill>
                <a:schemeClr val="accent3"/>
              </a:solidFill>
              <a:round/>
            </a:ln>
            <a:effectLst/>
          </c:spPr>
          <c:marker>
            <c:symbol val="none"/>
          </c:marker>
          <c:cat>
            <c:strRef>
              <c:f>Лист1!$A$2:$A$3</c:f>
              <c:strCache>
                <c:ptCount val="2"/>
                <c:pt idx="0">
                  <c:v>Metal content, %</c:v>
                </c:pt>
                <c:pt idx="1">
                  <c:v>Extraction, %</c:v>
                </c:pt>
              </c:strCache>
            </c:strRef>
          </c:cat>
          <c:val>
            <c:numRef>
              <c:f>Лист1!$D$2:$D$3</c:f>
              <c:numCache>
                <c:formatCode>General</c:formatCode>
                <c:ptCount val="2"/>
                <c:pt idx="0">
                  <c:v>47.74</c:v>
                </c:pt>
                <c:pt idx="1">
                  <c:v>83.7</c:v>
                </c:pt>
              </c:numCache>
            </c:numRef>
          </c:val>
          <c:smooth val="0"/>
          <c:extLst>
            <c:ext xmlns:c16="http://schemas.microsoft.com/office/drawing/2014/chart" uri="{C3380CC4-5D6E-409C-BE32-E72D297353CC}">
              <c16:uniqueId val="{00000002-FC32-4964-84E9-883FC35B7E1A}"/>
            </c:ext>
          </c:extLst>
        </c:ser>
        <c:dLbls>
          <c:showLegendKey val="0"/>
          <c:showVal val="0"/>
          <c:showCatName val="0"/>
          <c:showSerName val="0"/>
          <c:showPercent val="0"/>
          <c:showBubbleSize val="0"/>
        </c:dLbls>
        <c:smooth val="0"/>
        <c:axId val="478456008"/>
        <c:axId val="478456792"/>
      </c:lineChart>
      <c:catAx>
        <c:axId val="478456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8456792"/>
        <c:crosses val="autoZero"/>
        <c:auto val="1"/>
        <c:lblAlgn val="ctr"/>
        <c:lblOffset val="100"/>
        <c:noMultiLvlLbl val="0"/>
      </c:catAx>
      <c:valAx>
        <c:axId val="478456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8456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8</Pages>
  <Words>3220</Words>
  <Characters>18357</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29</cp:revision>
  <cp:lastPrinted>2023-12-26T18:03:00Z</cp:lastPrinted>
  <dcterms:created xsi:type="dcterms:W3CDTF">2024-07-17T07:39:00Z</dcterms:created>
  <dcterms:modified xsi:type="dcterms:W3CDTF">2026-01-10T05:58:00Z</dcterms:modified>
</cp:coreProperties>
</file>