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harts/chartEx1.xml" ContentType="application/vnd.ms-office.chartex+xml"/>
  <Override PartName="/word/charts/colors2.xml" ContentType="application/vnd.ms-office.chartcolorstyle+xml"/>
  <Override PartName="/word/charts/style2.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57FBCE08" w:rsidR="001E129E" w:rsidRPr="00287E0A" w:rsidRDefault="00F318FA" w:rsidP="008745D5">
      <w:pPr>
        <w:spacing w:before="1200" w:after="200" w:line="240" w:lineRule="auto"/>
        <w:ind w:firstLine="567"/>
        <w:jc w:val="center"/>
        <w:rPr>
          <w:rFonts w:ascii="Times New Roman" w:hAnsi="Times New Roman" w:cs="Times New Roman"/>
          <w:b/>
          <w:sz w:val="36"/>
          <w:szCs w:val="36"/>
        </w:rPr>
      </w:pPr>
      <w:r w:rsidRPr="00F318FA">
        <w:rPr>
          <w:rFonts w:ascii="Times New Roman" w:hAnsi="Times New Roman" w:cs="Times New Roman"/>
          <w:b/>
          <w:sz w:val="36"/>
          <w:szCs w:val="36"/>
        </w:rPr>
        <w:t xml:space="preserve">Smart </w:t>
      </w:r>
      <w:r w:rsidR="003D3DC9" w:rsidRPr="00F318FA">
        <w:rPr>
          <w:rFonts w:ascii="Times New Roman" w:hAnsi="Times New Roman" w:cs="Times New Roman"/>
          <w:b/>
          <w:sz w:val="36"/>
          <w:szCs w:val="36"/>
        </w:rPr>
        <w:t xml:space="preserve">Lifecycle Management </w:t>
      </w:r>
      <w:r w:rsidR="006405EF">
        <w:rPr>
          <w:rFonts w:ascii="Times New Roman" w:hAnsi="Times New Roman" w:cs="Times New Roman"/>
          <w:b/>
          <w:sz w:val="36"/>
          <w:szCs w:val="36"/>
        </w:rPr>
        <w:t>o</w:t>
      </w:r>
      <w:r w:rsidR="003D3DC9" w:rsidRPr="00F318FA">
        <w:rPr>
          <w:rFonts w:ascii="Times New Roman" w:hAnsi="Times New Roman" w:cs="Times New Roman"/>
          <w:b/>
          <w:sz w:val="36"/>
          <w:szCs w:val="36"/>
        </w:rPr>
        <w:t xml:space="preserve">f Power Transformers Using </w:t>
      </w:r>
      <w:r w:rsidR="006405EF" w:rsidRPr="00F318FA">
        <w:rPr>
          <w:rFonts w:ascii="Times New Roman" w:hAnsi="Times New Roman" w:cs="Times New Roman"/>
          <w:b/>
          <w:sz w:val="36"/>
          <w:szCs w:val="36"/>
        </w:rPr>
        <w:t>IOT</w:t>
      </w:r>
      <w:r w:rsidR="003D3DC9" w:rsidRPr="00F318FA">
        <w:rPr>
          <w:rFonts w:ascii="Times New Roman" w:hAnsi="Times New Roman" w:cs="Times New Roman"/>
          <w:b/>
          <w:sz w:val="36"/>
          <w:szCs w:val="36"/>
        </w:rPr>
        <w:t xml:space="preserve"> </w:t>
      </w:r>
      <w:r w:rsidR="006405EF">
        <w:rPr>
          <w:rFonts w:ascii="Times New Roman" w:hAnsi="Times New Roman" w:cs="Times New Roman"/>
          <w:b/>
          <w:sz w:val="36"/>
          <w:szCs w:val="36"/>
        </w:rPr>
        <w:t>a</w:t>
      </w:r>
      <w:r w:rsidR="003D3DC9" w:rsidRPr="00F318FA">
        <w:rPr>
          <w:rFonts w:ascii="Times New Roman" w:hAnsi="Times New Roman" w:cs="Times New Roman"/>
          <w:b/>
          <w:sz w:val="36"/>
          <w:szCs w:val="36"/>
        </w:rPr>
        <w:t>nd Deep Learning Techniques</w:t>
      </w:r>
    </w:p>
    <w:p w14:paraId="7219589D" w14:textId="444EE97A" w:rsidR="00A235C7" w:rsidRPr="00553B8E" w:rsidRDefault="00F318FA" w:rsidP="008745D5">
      <w:pPr>
        <w:pStyle w:val="AuthorName"/>
        <w:spacing w:before="240" w:after="200"/>
        <w:rPr>
          <w:vertAlign w:val="superscript"/>
        </w:rPr>
      </w:pPr>
      <w:r>
        <w:t>Dilafruz Abdullabekova</w:t>
      </w:r>
      <w:r w:rsidR="00A235C7">
        <w:t xml:space="preserve"> </w:t>
      </w:r>
      <w:r w:rsidR="00A235C7">
        <w:rPr>
          <w:vertAlign w:val="superscript"/>
        </w:rPr>
        <w:t>1</w:t>
      </w:r>
      <w:r w:rsidR="001970E3">
        <w:rPr>
          <w:szCs w:val="36"/>
          <w:vertAlign w:val="superscript"/>
          <w:lang w:val="uz-Cyrl-UZ"/>
        </w:rPr>
        <w:t>,</w:t>
      </w:r>
      <w:r w:rsidR="00602373">
        <w:rPr>
          <w:szCs w:val="36"/>
          <w:vertAlign w:val="superscript"/>
        </w:rPr>
        <w:t xml:space="preserve"> </w:t>
      </w:r>
      <w:r w:rsidR="008745D5">
        <w:rPr>
          <w:szCs w:val="36"/>
          <w:vertAlign w:val="superscript"/>
        </w:rPr>
        <w:t>a)</w:t>
      </w:r>
      <w:r w:rsidR="000C106A" w:rsidRPr="00287E0A">
        <w:t xml:space="preserve">, </w:t>
      </w:r>
      <w:proofErr w:type="spellStart"/>
      <w:r>
        <w:t>Odiljon</w:t>
      </w:r>
      <w:proofErr w:type="spellEnd"/>
      <w:r>
        <w:t xml:space="preserve"> Kutbidinov</w:t>
      </w:r>
      <w:r w:rsidR="00BB33EE" w:rsidRPr="00BB33EE">
        <w:rPr>
          <w:vertAlign w:val="superscript"/>
        </w:rPr>
        <w:t>2</w:t>
      </w:r>
      <w:r w:rsidR="000C106A" w:rsidRPr="00287E0A">
        <w:t xml:space="preserve">, </w:t>
      </w:r>
      <w:proofErr w:type="spellStart"/>
      <w:r>
        <w:t>Sarvar</w:t>
      </w:r>
      <w:proofErr w:type="spellEnd"/>
      <w:r>
        <w:t xml:space="preserve"> Shukurullayev</w:t>
      </w:r>
      <w:proofErr w:type="gramStart"/>
      <w:r w:rsidR="00BB33EE" w:rsidRPr="00BB33EE">
        <w:rPr>
          <w:vertAlign w:val="superscript"/>
        </w:rPr>
        <w:t>3</w:t>
      </w:r>
      <w:r w:rsidR="00CC779E">
        <w:rPr>
          <w:lang w:val="uz-Cyrl-UZ"/>
        </w:rPr>
        <w:t>,</w:t>
      </w:r>
      <w:r w:rsidR="006405EF">
        <w:t xml:space="preserve">   </w:t>
      </w:r>
      <w:proofErr w:type="gramEnd"/>
      <w:r w:rsidR="006405EF">
        <w:t xml:space="preserve">             </w:t>
      </w:r>
      <w:r w:rsidR="00384C82">
        <w:t>Maftuna Nazerbaeva</w:t>
      </w:r>
      <w:r w:rsidR="00BB33EE" w:rsidRPr="00553B8E">
        <w:rPr>
          <w:vertAlign w:val="superscript"/>
        </w:rPr>
        <w:t>4</w:t>
      </w:r>
    </w:p>
    <w:p w14:paraId="3D4AE865" w14:textId="77777777" w:rsidR="00500EFE" w:rsidRPr="00500EFE" w:rsidRDefault="00500EFE" w:rsidP="00500EFE">
      <w:pPr>
        <w:pStyle w:val="AuthorAffiliation"/>
        <w:rPr>
          <w:color w:val="000000"/>
          <w:sz w:val="18"/>
          <w:szCs w:val="18"/>
          <w:lang w:eastAsia="sk-SK"/>
        </w:rPr>
      </w:pPr>
      <w:r>
        <w:rPr>
          <w:vertAlign w:val="superscript"/>
          <w:lang w:val="uz-Cyrl-UZ"/>
        </w:rPr>
        <w:t>1</w:t>
      </w:r>
      <w:r>
        <w:rPr>
          <w:i w:val="0"/>
          <w:color w:val="000000"/>
          <w:sz w:val="18"/>
          <w:szCs w:val="18"/>
          <w:lang w:val="uz-Latn-UZ" w:eastAsia="sk-SK"/>
        </w:rPr>
        <w:t xml:space="preserve"> </w:t>
      </w:r>
      <w:r w:rsidRPr="00500EFE">
        <w:rPr>
          <w:color w:val="000000"/>
          <w:sz w:val="18"/>
          <w:szCs w:val="18"/>
          <w:lang w:eastAsia="sk-SK"/>
        </w:rPr>
        <w:t>Tashkent University of Information Technologies named after Muhammad al-Khwarizmi, Tashkent, Uzbekistan</w:t>
      </w:r>
    </w:p>
    <w:p w14:paraId="1542BA0B" w14:textId="438EEC60" w:rsidR="00500EFE" w:rsidRDefault="00500EFE" w:rsidP="00500EFE">
      <w:pPr>
        <w:pStyle w:val="AuthorAffiliation"/>
        <w:rPr>
          <w:lang w:val="uz-Cyrl-UZ"/>
        </w:rPr>
      </w:pPr>
      <w:r>
        <w:rPr>
          <w:vertAlign w:val="superscript"/>
        </w:rPr>
        <w:t>2</w:t>
      </w:r>
      <w:r>
        <w:rPr>
          <w:lang w:val="uz-Latn-UZ"/>
        </w:rPr>
        <w:t>Tashkent State Transport University</w:t>
      </w:r>
      <w:r>
        <w:t>, Tashkent, Uzbekistan</w:t>
      </w:r>
      <w:r>
        <w:rPr>
          <w:lang w:val="uz-Cyrl-UZ"/>
        </w:rPr>
        <w:t xml:space="preserve"> </w:t>
      </w:r>
    </w:p>
    <w:p w14:paraId="6C70F8DE" w14:textId="4A6EF870" w:rsidR="00BB33EE" w:rsidRPr="00500EFE" w:rsidRDefault="00BB33EE" w:rsidP="00BB33EE">
      <w:pPr>
        <w:pStyle w:val="AuthorAffiliation"/>
        <w:jc w:val="left"/>
        <w:rPr>
          <w:color w:val="000000"/>
          <w:sz w:val="18"/>
          <w:szCs w:val="18"/>
          <w:lang w:eastAsia="sk-SK"/>
        </w:rPr>
      </w:pPr>
      <w:r>
        <w:rPr>
          <w:vertAlign w:val="superscript"/>
          <w:lang w:val="uz-Cyrl-UZ"/>
        </w:rPr>
        <w:t>2</w:t>
      </w:r>
      <w:r w:rsidRPr="00500EFE">
        <w:rPr>
          <w:color w:val="000000"/>
          <w:sz w:val="18"/>
          <w:szCs w:val="18"/>
          <w:lang w:eastAsia="sk-SK"/>
        </w:rPr>
        <w:t>Tashkent University of Information Technologies named after Muhammad al-Khwarizmi, Tashkent, Uzbekistan</w:t>
      </w:r>
    </w:p>
    <w:p w14:paraId="45084CBE" w14:textId="4220D398" w:rsidR="00BB33EE" w:rsidRPr="00500EFE" w:rsidRDefault="00BB33EE" w:rsidP="00BB33EE">
      <w:pPr>
        <w:pStyle w:val="AuthorAffiliation"/>
        <w:rPr>
          <w:color w:val="000000"/>
          <w:sz w:val="18"/>
          <w:szCs w:val="18"/>
          <w:lang w:eastAsia="sk-SK"/>
        </w:rPr>
      </w:pPr>
      <w:r w:rsidRPr="00BB33EE">
        <w:rPr>
          <w:i w:val="0"/>
          <w:color w:val="000000"/>
          <w:sz w:val="18"/>
          <w:szCs w:val="18"/>
          <w:vertAlign w:val="superscript"/>
          <w:lang w:eastAsia="sk-SK"/>
        </w:rPr>
        <w:t>3</w:t>
      </w:r>
      <w:r w:rsidRPr="00500EFE">
        <w:rPr>
          <w:color w:val="000000"/>
          <w:sz w:val="18"/>
          <w:szCs w:val="18"/>
          <w:lang w:eastAsia="sk-SK"/>
        </w:rPr>
        <w:t>Tashkent University of Information Technologies named after Muhammad al-Khwarizmi, Tashkent, Uzbekistan</w:t>
      </w:r>
    </w:p>
    <w:p w14:paraId="1397C91D" w14:textId="1836F64C"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6405EF" w:rsidRPr="0097633D">
          <w:rPr>
            <w:rStyle w:val="a6"/>
          </w:rPr>
          <w:t>abdullabekova_94@mail.ru</w:t>
        </w:r>
      </w:hyperlink>
      <w:r w:rsidR="006405EF">
        <w:t xml:space="preserve"> </w:t>
      </w:r>
    </w:p>
    <w:p w14:paraId="410B173B" w14:textId="3046B423" w:rsidR="00BC4E3B" w:rsidRPr="00287E0A" w:rsidRDefault="00E25282" w:rsidP="000C106A">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F318FA" w:rsidRPr="00F318FA">
        <w:t xml:space="preserve"> </w:t>
      </w:r>
      <w:r w:rsidR="00F318FA" w:rsidRPr="00F318FA">
        <w:rPr>
          <w:rFonts w:ascii="Times New Roman" w:hAnsi="Times New Roman" w:cs="Times New Roman"/>
          <w:bCs/>
          <w:sz w:val="18"/>
          <w:szCs w:val="18"/>
        </w:rPr>
        <w:t>The increasing complexity and operational demand of modern power networks require advanced tools for the intelligent monitoring and management of power transformers — key components ensuring grid stability. This study presents the development of an AI-driven intelligent system designed for predictive maintenance and lifecycle management of power transformers. The proposed system integrates data from multi-source sensors, including thermal, electrical, and chemical parameters, and applies hybrid machine learning algorithms combined with fuzzy logic to evaluate transformer health in real-time. The analytical core utilizes LSTM-based forecasting models to predict degradation trends, while the decision-making module employs Mamdani-type fuzzy inference to classify transformer conditions into five reliability levels: excellent, good, medium, bad, and very bad. Experimental results and simulation studies demonstrate a significant improvement in diagnostic accuracy (up to 96%) compared to traditional rule-based systems. The integration of the system into existing SCADA infrastructures allows continuous online assessment and intelligent maintenance scheduling. The findings confirm that the proposed approach enhances the reliability, operational safety, and economic efficiency of transformer lifecycle management.</w:t>
      </w:r>
      <w:r w:rsidR="000C106A" w:rsidRPr="00287E0A">
        <w:rPr>
          <w:iCs/>
          <w:sz w:val="18"/>
          <w:szCs w:val="18"/>
          <w:lang w:val="uz-Cyrl-UZ"/>
        </w:rPr>
        <w:t xml:space="preserve"> </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55970FF4" w14:textId="7D2F239E" w:rsidR="00F318FA" w:rsidRPr="006405EF" w:rsidRDefault="00F318FA" w:rsidP="006405EF">
      <w:pPr>
        <w:spacing w:after="0" w:line="240" w:lineRule="auto"/>
        <w:ind w:firstLine="284"/>
        <w:jc w:val="both"/>
        <w:rPr>
          <w:rFonts w:ascii="Times New Roman" w:hAnsi="Times New Roman" w:cs="Times New Roman"/>
          <w:sz w:val="20"/>
          <w:szCs w:val="20"/>
        </w:rPr>
      </w:pPr>
      <w:r w:rsidRPr="006405EF">
        <w:rPr>
          <w:rFonts w:ascii="Times New Roman" w:hAnsi="Times New Roman" w:cs="Times New Roman"/>
          <w:sz w:val="20"/>
          <w:szCs w:val="20"/>
        </w:rPr>
        <w:t xml:space="preserve">Power transformers are among the most critical assets in electrical power systems, serving as the backbone of energy transmission and distribution networks. Their operational reliability directly affects grid stability, energy efficiency, and the continuity of power supply. However, transformers are frequently subjected to complex electrical, mechanical, and thermal stresses arising from fluctuating loads, insulation aging, and adverse environmental conditions. Over time, these factors contribute to the gradual degradation of transformer components, potentially leading to unexpected failures and costly outages (Zhang et al., 2021). </w:t>
      </w:r>
      <w:r w:rsidR="00F236A9" w:rsidRPr="006405EF">
        <w:rPr>
          <w:rFonts w:ascii="Times New Roman" w:hAnsi="Times New Roman" w:cs="Times New Roman"/>
          <w:sz w:val="20"/>
          <w:szCs w:val="20"/>
        </w:rPr>
        <w:t xml:space="preserve">[12]. </w:t>
      </w:r>
      <w:r w:rsidRPr="006405EF">
        <w:rPr>
          <w:rFonts w:ascii="Times New Roman" w:hAnsi="Times New Roman" w:cs="Times New Roman"/>
          <w:sz w:val="20"/>
          <w:szCs w:val="20"/>
        </w:rPr>
        <w:t>Therefore, early fault detection and accurate health assessment have become essential to ensuring the sustainable operation of power networks.</w:t>
      </w:r>
    </w:p>
    <w:p w14:paraId="1F4BD444" w14:textId="26F3E9A8" w:rsidR="00F318FA" w:rsidRPr="006405EF" w:rsidRDefault="00F318FA" w:rsidP="006405EF">
      <w:pPr>
        <w:spacing w:after="0" w:line="240" w:lineRule="auto"/>
        <w:ind w:firstLine="284"/>
        <w:jc w:val="both"/>
        <w:rPr>
          <w:rFonts w:ascii="Times New Roman" w:hAnsi="Times New Roman" w:cs="Times New Roman"/>
          <w:sz w:val="20"/>
          <w:szCs w:val="20"/>
        </w:rPr>
      </w:pPr>
      <w:r w:rsidRPr="006405EF">
        <w:rPr>
          <w:rFonts w:ascii="Times New Roman" w:hAnsi="Times New Roman" w:cs="Times New Roman"/>
          <w:sz w:val="20"/>
          <w:szCs w:val="20"/>
        </w:rPr>
        <w:t>Traditional diagnostic and maintenance practices rely mainly on periodic inspections and manual interpretation of test data, such as dissolved gas analysis (DGA), insulation resistance, and thermal imaging. Although these methods provide valuable insights, they lack the predictive capability required for real-time reliability evaluation and proactive decision-making. With the rapid advancement of digitalization and the Industrial Internet of Things (IoT), the power sector is undergoing a paradigm shift toward data-driven maintenance strategies supported by artificial intelligence (AI) and machine learning (ML). These technologies enable continuous condition monitoring, pattern recognition, and fault prediction, forming the foundation of intelligent maintenance systems.</w:t>
      </w:r>
    </w:p>
    <w:p w14:paraId="3B1AF943" w14:textId="1BA2696B" w:rsidR="00F318FA" w:rsidRPr="006405EF" w:rsidRDefault="00F318FA" w:rsidP="006405EF">
      <w:pPr>
        <w:spacing w:after="0" w:line="240" w:lineRule="auto"/>
        <w:ind w:firstLine="284"/>
        <w:jc w:val="both"/>
        <w:rPr>
          <w:rFonts w:ascii="Times New Roman" w:hAnsi="Times New Roman" w:cs="Times New Roman"/>
          <w:sz w:val="20"/>
          <w:szCs w:val="20"/>
        </w:rPr>
      </w:pPr>
      <w:r w:rsidRPr="006405EF">
        <w:rPr>
          <w:rFonts w:ascii="Times New Roman" w:hAnsi="Times New Roman" w:cs="Times New Roman"/>
          <w:sz w:val="20"/>
          <w:szCs w:val="20"/>
        </w:rPr>
        <w:t>Recent studies have demonstrated the potential of AI-based diagnostic frameworks in transformer condition assessment, employing algorithms such as convolutional neural networks (CNN), long short-term memory (LSTM) models, and fuzzy inference systems (Su et al., 2023; Chen et al., 2022)</w:t>
      </w:r>
      <w:r w:rsidR="00F236A9" w:rsidRPr="006405EF">
        <w:rPr>
          <w:rFonts w:ascii="Times New Roman" w:hAnsi="Times New Roman" w:cs="Times New Roman"/>
          <w:sz w:val="20"/>
          <w:szCs w:val="20"/>
        </w:rPr>
        <w:t xml:space="preserve"> [9]. </w:t>
      </w:r>
      <w:r w:rsidRPr="006405EF">
        <w:rPr>
          <w:rFonts w:ascii="Times New Roman" w:hAnsi="Times New Roman" w:cs="Times New Roman"/>
          <w:sz w:val="20"/>
          <w:szCs w:val="20"/>
        </w:rPr>
        <w:t xml:space="preserve">However, most existing approaches address individual aspects of transformer monitoring rather than providing an integrated lifecycle management solution. Furthermore, uncertainty in sensor data, nonlinear aging mechanisms, and the dynamic interaction between </w:t>
      </w:r>
      <w:r w:rsidRPr="006405EF">
        <w:rPr>
          <w:rFonts w:ascii="Times New Roman" w:hAnsi="Times New Roman" w:cs="Times New Roman"/>
          <w:sz w:val="20"/>
          <w:szCs w:val="20"/>
        </w:rPr>
        <w:lastRenderedPageBreak/>
        <w:t>operational and environmental parameters remain major challenges for the accurate evaluation of transformer health indices.</w:t>
      </w:r>
    </w:p>
    <w:p w14:paraId="73863E88" w14:textId="0D21659B" w:rsidR="006820B6" w:rsidRPr="006405EF" w:rsidRDefault="00F318FA" w:rsidP="006405EF">
      <w:pPr>
        <w:spacing w:after="0" w:line="240" w:lineRule="auto"/>
        <w:ind w:firstLine="284"/>
        <w:jc w:val="both"/>
        <w:rPr>
          <w:rFonts w:ascii="Times New Roman" w:hAnsi="Times New Roman" w:cs="Times New Roman"/>
          <w:color w:val="000000"/>
          <w:sz w:val="20"/>
          <w:szCs w:val="20"/>
        </w:rPr>
      </w:pPr>
      <w:r w:rsidRPr="006405EF">
        <w:rPr>
          <w:rFonts w:ascii="Times New Roman" w:hAnsi="Times New Roman" w:cs="Times New Roman"/>
          <w:sz w:val="20"/>
          <w:szCs w:val="20"/>
        </w:rPr>
        <w:t>This paper proposes a novel AI-driven intelligent system for predictive maintenance and lifecycle management of power transformers. The system combines multi-source data analytics, deep learning-based forecasting, and fuzzy decision-making to deliver a holistic assessment of transformer reliability. The architecture integrates seamlessly with existing SCADA infrastructures, enabling real-time condition monitoring, failure prediction, and optimized maintenance planning. The proposed framework contributes to advancing digital transformation in the energy sector, enhancing asset reliability, reducing maintenance costs, and extending transformer service life.</w:t>
      </w:r>
      <w:bookmarkStart w:id="0" w:name="_Hlk211871574"/>
      <w:r w:rsidR="006820B6" w:rsidRPr="006405EF">
        <w:rPr>
          <w:rFonts w:ascii="Times New Roman" w:hAnsi="Times New Roman" w:cs="Times New Roman"/>
          <w:color w:val="000000"/>
          <w:sz w:val="20"/>
          <w:szCs w:val="20"/>
        </w:rPr>
        <w:t>[</w:t>
      </w:r>
      <w:r w:rsidR="006820B6" w:rsidRPr="006405EF">
        <w:rPr>
          <w:rFonts w:ascii="Times New Roman" w:hAnsi="Times New Roman" w:cs="Times New Roman"/>
          <w:sz w:val="20"/>
          <w:szCs w:val="20"/>
        </w:rPr>
        <w:t>1</w:t>
      </w:r>
      <w:r w:rsidR="006820B6" w:rsidRPr="006405EF">
        <w:rPr>
          <w:rFonts w:ascii="Times New Roman" w:hAnsi="Times New Roman" w:cs="Times New Roman"/>
          <w:color w:val="000000"/>
          <w:sz w:val="20"/>
          <w:szCs w:val="20"/>
        </w:rPr>
        <w:t xml:space="preserve">]. </w:t>
      </w:r>
      <w:bookmarkEnd w:id="0"/>
    </w:p>
    <w:p w14:paraId="2D627C9F" w14:textId="065FF8C7" w:rsidR="00F318FA" w:rsidRPr="006405EF" w:rsidRDefault="00F318FA" w:rsidP="006405EF">
      <w:pPr>
        <w:spacing w:after="0" w:line="240" w:lineRule="auto"/>
        <w:ind w:firstLine="284"/>
        <w:jc w:val="both"/>
        <w:rPr>
          <w:rFonts w:ascii="Times New Roman" w:hAnsi="Times New Roman" w:cs="Times New Roman"/>
          <w:sz w:val="20"/>
          <w:szCs w:val="20"/>
        </w:rPr>
      </w:pPr>
      <w:r w:rsidRPr="006405EF">
        <w:rPr>
          <w:rFonts w:ascii="Times New Roman" w:hAnsi="Times New Roman" w:cs="Times New Roman"/>
          <w:sz w:val="20"/>
          <w:szCs w:val="20"/>
        </w:rPr>
        <w:t>Fig. 1 presents the schematic representation of an online Dissolved Gas Analysis (DGA) sampler integrated with the transformer oil circulation system. The diagram illustrates the functional configuration of the gas extraction mechanism, sensor unit, and return flow path within the closed-loop oil circuit.</w:t>
      </w:r>
    </w:p>
    <w:p w14:paraId="3653A85E" w14:textId="77777777" w:rsidR="00F318FA" w:rsidRPr="006405EF" w:rsidRDefault="00F318FA" w:rsidP="006405EF">
      <w:pPr>
        <w:spacing w:after="0" w:line="240" w:lineRule="auto"/>
        <w:ind w:firstLine="284"/>
        <w:jc w:val="both"/>
        <w:rPr>
          <w:rFonts w:ascii="Times New Roman" w:hAnsi="Times New Roman" w:cs="Times New Roman"/>
          <w:sz w:val="20"/>
          <w:szCs w:val="20"/>
        </w:rPr>
      </w:pPr>
      <w:r w:rsidRPr="006405EF">
        <w:rPr>
          <w:rFonts w:ascii="Times New Roman" w:hAnsi="Times New Roman" w:cs="Times New Roman"/>
          <w:sz w:val="20"/>
          <w:szCs w:val="20"/>
        </w:rPr>
        <w:t>In this setup, transformer oil continuously circulates through the sampling chamber, where dissolved gases—such as hydrogen (H₂), methane (CH₄), ethylene (C₂H₄), and acetylene (C₂H₂)—are selectively extracted and analyzed by the gas sensor array. The DGA sensor module employs advanced electrochemical or photoacoustic sensing principles to detect trace gas concentrations with high precision and stability.</w:t>
      </w:r>
    </w:p>
    <w:p w14:paraId="426EF85D" w14:textId="77777777" w:rsidR="00F318FA" w:rsidRPr="006405EF" w:rsidRDefault="00F318FA" w:rsidP="006405EF">
      <w:pPr>
        <w:spacing w:after="0" w:line="240" w:lineRule="auto"/>
        <w:ind w:firstLine="284"/>
        <w:jc w:val="both"/>
        <w:rPr>
          <w:rFonts w:ascii="Times New Roman" w:hAnsi="Times New Roman" w:cs="Times New Roman"/>
          <w:sz w:val="20"/>
          <w:szCs w:val="20"/>
        </w:rPr>
      </w:pPr>
      <w:r w:rsidRPr="006405EF">
        <w:rPr>
          <w:rFonts w:ascii="Times New Roman" w:hAnsi="Times New Roman" w:cs="Times New Roman"/>
          <w:sz w:val="20"/>
          <w:szCs w:val="20"/>
        </w:rPr>
        <w:t>The extracted gas sample is routed through a controlled valve system ensuring consistent pressure and temperature conditions to maintain oil integrity during analysis. After measurement, the oil is automatically redirected to the main tank, minimizing oil loss and contamination risk. This closed-loop monitoring configuration enables real-time detection of incipient transformer faults related to thermal degradation, partial discharges, or arcing phenomena.</w:t>
      </w:r>
    </w:p>
    <w:p w14:paraId="363AD5F0" w14:textId="77777777" w:rsidR="00F318FA" w:rsidRPr="006405EF" w:rsidRDefault="00F318FA" w:rsidP="006405EF">
      <w:pPr>
        <w:spacing w:after="0" w:line="240" w:lineRule="auto"/>
        <w:ind w:firstLine="284"/>
        <w:jc w:val="both"/>
        <w:rPr>
          <w:rFonts w:ascii="Times New Roman" w:hAnsi="Times New Roman" w:cs="Times New Roman"/>
          <w:sz w:val="20"/>
          <w:szCs w:val="20"/>
        </w:rPr>
      </w:pPr>
      <w:r w:rsidRPr="006405EF">
        <w:rPr>
          <w:rFonts w:ascii="Times New Roman" w:hAnsi="Times New Roman" w:cs="Times New Roman"/>
          <w:sz w:val="20"/>
          <w:szCs w:val="20"/>
        </w:rPr>
        <w:t>Such online DGA systems play a critical role in predictive maintenance strategies, providing continuous insight into the transformer’s internal condition and supporting AI-based diagnostic models for early fault prediction and decision-making.</w:t>
      </w:r>
    </w:p>
    <w:p w14:paraId="64E3C837" w14:textId="77777777" w:rsidR="00F318FA" w:rsidRPr="006405EF" w:rsidRDefault="00F318FA" w:rsidP="006405EF">
      <w:pPr>
        <w:widowControl w:val="0"/>
        <w:spacing w:after="0" w:line="240" w:lineRule="auto"/>
        <w:jc w:val="center"/>
        <w:rPr>
          <w:rFonts w:ascii="Times New Roman" w:eastAsia="Courier New" w:hAnsi="Times New Roman" w:cs="Times New Roman"/>
          <w:color w:val="00B050"/>
          <w:sz w:val="20"/>
          <w:szCs w:val="20"/>
          <w:lang w:val="ru-RU"/>
        </w:rPr>
      </w:pPr>
      <w:r w:rsidRPr="006405EF">
        <w:rPr>
          <w:rFonts w:ascii="Times New Roman" w:eastAsia="Courier New" w:hAnsi="Times New Roman" w:cs="Times New Roman"/>
          <w:noProof/>
          <w:color w:val="00B050"/>
          <w:sz w:val="20"/>
          <w:szCs w:val="20"/>
          <w:lang w:val="ru-RU" w:eastAsia="ru-RU"/>
        </w:rPr>
        <w:drawing>
          <wp:inline distT="0" distB="0" distL="0" distR="0" wp14:anchorId="326E2B86" wp14:editId="7DFECAB0">
            <wp:extent cx="4918664" cy="2681288"/>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1094" cy="2698966"/>
                    </a:xfrm>
                    <a:prstGeom prst="rect">
                      <a:avLst/>
                    </a:prstGeom>
                    <a:noFill/>
                  </pic:spPr>
                </pic:pic>
              </a:graphicData>
            </a:graphic>
          </wp:inline>
        </w:drawing>
      </w:r>
    </w:p>
    <w:p w14:paraId="3F15E745" w14:textId="47980BE3" w:rsidR="006820B6" w:rsidRPr="006405EF" w:rsidRDefault="00F318FA" w:rsidP="006405EF">
      <w:pPr>
        <w:widowControl w:val="0"/>
        <w:spacing w:after="0" w:line="240" w:lineRule="auto"/>
        <w:ind w:firstLine="284"/>
        <w:jc w:val="center"/>
        <w:rPr>
          <w:rFonts w:ascii="Times New Roman" w:eastAsia="Courier New" w:hAnsi="Times New Roman" w:cs="Times New Roman"/>
          <w:sz w:val="20"/>
          <w:szCs w:val="20"/>
        </w:rPr>
      </w:pPr>
      <w:r w:rsidRPr="006405EF">
        <w:rPr>
          <w:rFonts w:ascii="Times New Roman" w:eastAsia="Courier New" w:hAnsi="Times New Roman" w:cs="Times New Roman"/>
          <w:b/>
          <w:sz w:val="20"/>
          <w:szCs w:val="20"/>
        </w:rPr>
        <w:t>FIGURE 1</w:t>
      </w:r>
      <w:r w:rsidR="00BB33EE" w:rsidRPr="006405EF">
        <w:rPr>
          <w:rFonts w:ascii="Times New Roman" w:eastAsia="Courier New" w:hAnsi="Times New Roman" w:cs="Times New Roman"/>
          <w:b/>
          <w:sz w:val="20"/>
          <w:szCs w:val="20"/>
        </w:rPr>
        <w:t>.</w:t>
      </w:r>
      <w:r w:rsidRPr="006405EF">
        <w:rPr>
          <w:rFonts w:ascii="Times New Roman" w:eastAsia="Courier New" w:hAnsi="Times New Roman" w:cs="Times New Roman"/>
          <w:b/>
          <w:sz w:val="20"/>
          <w:szCs w:val="20"/>
        </w:rPr>
        <w:t xml:space="preserve"> </w:t>
      </w:r>
      <w:r w:rsidRPr="006405EF">
        <w:rPr>
          <w:rFonts w:ascii="Times New Roman" w:eastAsia="Courier New" w:hAnsi="Times New Roman" w:cs="Times New Roman"/>
          <w:sz w:val="20"/>
          <w:szCs w:val="20"/>
        </w:rPr>
        <w:t xml:space="preserve">Typical online </w:t>
      </w:r>
      <w:r w:rsidR="008347BB" w:rsidRPr="006405EF">
        <w:rPr>
          <w:rFonts w:ascii="Times New Roman" w:eastAsia="Courier New" w:hAnsi="Times New Roman" w:cs="Times New Roman"/>
          <w:sz w:val="20"/>
          <w:szCs w:val="20"/>
        </w:rPr>
        <w:t>DGA</w:t>
      </w:r>
      <w:r w:rsidRPr="006405EF">
        <w:rPr>
          <w:rFonts w:ascii="Times New Roman" w:eastAsia="Courier New" w:hAnsi="Times New Roman" w:cs="Times New Roman"/>
          <w:sz w:val="20"/>
          <w:szCs w:val="20"/>
        </w:rPr>
        <w:t xml:space="preserve"> sampler/valve installation</w:t>
      </w:r>
      <w:r w:rsidR="006405EF">
        <w:rPr>
          <w:rFonts w:ascii="Times New Roman" w:eastAsia="Courier New" w:hAnsi="Times New Roman" w:cs="Times New Roman"/>
          <w:sz w:val="20"/>
          <w:szCs w:val="20"/>
        </w:rPr>
        <w:t xml:space="preserve">; </w:t>
      </w:r>
      <w:r w:rsidR="006405EF" w:rsidRPr="00203D7D">
        <w:rPr>
          <w:rFonts w:ascii="Times New Roman" w:eastAsia="Courier New" w:hAnsi="Times New Roman" w:cs="Times New Roman"/>
          <w:sz w:val="20"/>
          <w:szCs w:val="20"/>
        </w:rPr>
        <w:t xml:space="preserve">a) </w:t>
      </w:r>
      <w:r w:rsidR="00203D7D" w:rsidRPr="00203D7D">
        <w:rPr>
          <w:rFonts w:ascii="Times New Roman" w:eastAsia="Courier New" w:hAnsi="Times New Roman" w:cs="Times New Roman"/>
          <w:sz w:val="20"/>
          <w:szCs w:val="20"/>
        </w:rPr>
        <w:t>DGA monitor installation via the transformer cooling loop</w:t>
      </w:r>
      <w:r w:rsidR="006405EF" w:rsidRPr="00203D7D">
        <w:rPr>
          <w:rFonts w:ascii="Times New Roman" w:eastAsia="Courier New" w:hAnsi="Times New Roman" w:cs="Times New Roman"/>
          <w:sz w:val="20"/>
          <w:szCs w:val="20"/>
        </w:rPr>
        <w:t xml:space="preserve">; b) </w:t>
      </w:r>
      <w:r w:rsidR="00203D7D" w:rsidRPr="00203D7D">
        <w:rPr>
          <w:rFonts w:ascii="Times New Roman" w:eastAsia="Courier New" w:hAnsi="Times New Roman" w:cs="Times New Roman"/>
          <w:sz w:val="20"/>
          <w:szCs w:val="20"/>
        </w:rPr>
        <w:t>DGA monitor installation with direct connection to the transformer tank.</w:t>
      </w:r>
    </w:p>
    <w:p w14:paraId="26E5E01F" w14:textId="77777777" w:rsidR="008745D5" w:rsidRPr="006405EF" w:rsidRDefault="008745D5" w:rsidP="006405EF">
      <w:pPr>
        <w:pStyle w:val="Default"/>
        <w:ind w:firstLine="284"/>
        <w:jc w:val="both"/>
        <w:rPr>
          <w:b/>
          <w:bCs/>
          <w:i/>
          <w:iCs/>
          <w:sz w:val="20"/>
          <w:szCs w:val="20"/>
          <w:lang w:val="en-US"/>
        </w:rPr>
      </w:pPr>
    </w:p>
    <w:p w14:paraId="09B4BF2C" w14:textId="67135676" w:rsidR="00F318FA" w:rsidRPr="006405EF" w:rsidRDefault="00F318FA" w:rsidP="006405EF">
      <w:pPr>
        <w:pStyle w:val="Default"/>
        <w:ind w:firstLine="284"/>
        <w:jc w:val="both"/>
        <w:rPr>
          <w:sz w:val="20"/>
          <w:szCs w:val="20"/>
          <w:lang w:val="en-US"/>
        </w:rPr>
      </w:pPr>
      <w:r w:rsidRPr="006405EF">
        <w:rPr>
          <w:sz w:val="20"/>
          <w:szCs w:val="20"/>
          <w:lang w:val="en-US"/>
        </w:rPr>
        <w:t xml:space="preserve">Transformer oil serves as both an electrical insulator and a heat transfer medium. Under operational stresses—such as overheating, partial discharge, or arcing—the decomposition of hydrocarbon molecules generates gases including </w:t>
      </w:r>
      <m:oMath>
        <m:r>
          <w:rPr>
            <w:rFonts w:ascii="Cambria Math" w:hAnsi="Cambria Math"/>
            <w:sz w:val="20"/>
            <w:szCs w:val="20"/>
            <w:lang w:val="en-US"/>
          </w:rPr>
          <m:t>H₂, CH₄, C₂H₆, C₂H₄, C₂H₂, and CO/CO₂.</m:t>
        </m:r>
      </m:oMath>
      <w:r w:rsidRPr="006405EF">
        <w:rPr>
          <w:sz w:val="20"/>
          <w:szCs w:val="20"/>
          <w:lang w:val="en-US"/>
        </w:rPr>
        <w:t xml:space="preserve"> The solubility and diffusion of these gases in mineral oil follow Henry’s Law and Fick’s Diffusion Law, respectively.</w:t>
      </w:r>
    </w:p>
    <w:p w14:paraId="7616B68D" w14:textId="77777777" w:rsidR="00F318FA" w:rsidRPr="006405EF" w:rsidRDefault="00F318FA" w:rsidP="006405EF">
      <w:pPr>
        <w:pStyle w:val="Default"/>
        <w:ind w:firstLine="284"/>
        <w:jc w:val="both"/>
        <w:rPr>
          <w:sz w:val="20"/>
          <w:szCs w:val="20"/>
          <w:lang w:val="en-US"/>
        </w:rPr>
      </w:pPr>
      <w:r w:rsidRPr="006405EF">
        <w:rPr>
          <w:sz w:val="20"/>
          <w:szCs w:val="20"/>
          <w:lang w:val="en-US"/>
        </w:rPr>
        <w:t>According to Henry’s Law, the concentration of a dissolved gas in oil is proportional to its partial pressure in the gaseous phase:</w:t>
      </w:r>
    </w:p>
    <w:p w14:paraId="5CC577CB" w14:textId="7E7AEC6E" w:rsidR="00F318FA" w:rsidRPr="006405EF" w:rsidRDefault="00307B0F" w:rsidP="006405EF">
      <w:pPr>
        <w:pStyle w:val="Default"/>
        <w:ind w:firstLine="284"/>
        <w:jc w:val="right"/>
        <w:rPr>
          <w:sz w:val="20"/>
          <w:szCs w:val="20"/>
          <w:lang w:val="en-US"/>
        </w:rPr>
      </w:pPr>
      <w:r w:rsidRPr="006405EF">
        <w:rPr>
          <w:sz w:val="20"/>
          <w:szCs w:val="20"/>
          <w:lang w:val="en-US"/>
        </w:rPr>
        <w:t xml:space="preserve">                                         </w:t>
      </w:r>
      <m:oMath>
        <m:r>
          <w:rPr>
            <w:rFonts w:ascii="Cambria Math" w:hAnsi="Cambria Math"/>
            <w:sz w:val="20"/>
            <w:szCs w:val="20"/>
            <w:lang w:val="en-US"/>
          </w:rPr>
          <m:t>C=</m:t>
        </m:r>
        <m:sSub>
          <m:sSubPr>
            <m:ctrlPr>
              <w:rPr>
                <w:rFonts w:ascii="Cambria Math" w:hAnsi="Cambria Math"/>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Hn</m:t>
            </m:r>
          </m:sub>
        </m:sSub>
        <m:r>
          <w:rPr>
            <w:rFonts w:ascii="Cambria Math" w:hAnsi="Cambria Math"/>
            <w:sz w:val="20"/>
            <w:szCs w:val="20"/>
            <w:lang w:val="en-US"/>
          </w:rPr>
          <m:t>∙P</m:t>
        </m:r>
      </m:oMath>
      <w:r w:rsidRPr="006405EF">
        <w:rPr>
          <w:sz w:val="20"/>
          <w:szCs w:val="20"/>
          <w:lang w:val="en-US"/>
        </w:rPr>
        <w:t xml:space="preserve">                                                                                           (1)</w:t>
      </w:r>
    </w:p>
    <w:p w14:paraId="115D207C" w14:textId="2F432018" w:rsidR="009A7D0B" w:rsidRPr="006405EF" w:rsidRDefault="006405EF" w:rsidP="006405EF">
      <w:pPr>
        <w:pStyle w:val="Default"/>
        <w:ind w:firstLine="284"/>
        <w:rPr>
          <w:sz w:val="20"/>
          <w:szCs w:val="20"/>
          <w:lang w:val="en-US"/>
        </w:rPr>
      </w:pPr>
      <w:r w:rsidRPr="006405EF">
        <w:rPr>
          <w:sz w:val="20"/>
          <w:szCs w:val="20"/>
          <w:lang w:val="en-US"/>
        </w:rPr>
        <w:t>W</w:t>
      </w:r>
      <w:r w:rsidR="00F318FA" w:rsidRPr="006405EF">
        <w:rPr>
          <w:sz w:val="20"/>
          <w:szCs w:val="20"/>
          <w:lang w:val="en-US"/>
        </w:rPr>
        <w:t>here</w:t>
      </w:r>
      <w:r>
        <w:rPr>
          <w:sz w:val="20"/>
          <w:szCs w:val="20"/>
          <w:lang w:val="en-US"/>
        </w:rPr>
        <w:t xml:space="preserve">, </w:t>
      </w:r>
      <m:oMath>
        <m:r>
          <w:rPr>
            <w:rFonts w:ascii="Cambria Math" w:hAnsi="Cambria Math"/>
            <w:sz w:val="20"/>
            <w:szCs w:val="20"/>
            <w:lang w:val="en-US"/>
          </w:rPr>
          <m:t>C</m:t>
        </m:r>
      </m:oMath>
      <w:r w:rsidR="00F318FA" w:rsidRPr="006405EF">
        <w:rPr>
          <w:sz w:val="20"/>
          <w:szCs w:val="20"/>
          <w:lang w:val="en-US"/>
        </w:rPr>
        <w:t xml:space="preserve"> — gas concentration in oil (mol/L), </w:t>
      </w:r>
    </w:p>
    <w:p w14:paraId="4A2F51DD" w14:textId="681FEEDD" w:rsidR="00F318FA" w:rsidRPr="006405EF" w:rsidRDefault="00EC2610" w:rsidP="006405EF">
      <w:pPr>
        <w:pStyle w:val="Default"/>
        <w:ind w:firstLine="284"/>
        <w:rPr>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k</m:t>
            </m:r>
          </m:e>
          <m:sub>
            <m:r>
              <w:rPr>
                <w:rFonts w:ascii="Cambria Math" w:hAnsi="Cambria Math"/>
                <w:sz w:val="20"/>
                <w:szCs w:val="20"/>
                <w:lang w:val="en-US"/>
              </w:rPr>
              <m:t>n</m:t>
            </m:r>
          </m:sub>
        </m:sSub>
      </m:oMath>
      <w:r w:rsidR="00F318FA" w:rsidRPr="006405EF">
        <w:rPr>
          <w:sz w:val="20"/>
          <w:szCs w:val="20"/>
          <w:lang w:val="en-US"/>
        </w:rPr>
        <w:t>— Henry’s constant (mol·L⁻¹·atm⁻¹),</w:t>
      </w:r>
      <w:r w:rsidR="006405EF">
        <w:rPr>
          <w:sz w:val="20"/>
          <w:szCs w:val="20"/>
          <w:lang w:val="en-US"/>
        </w:rPr>
        <w:t xml:space="preserve"> </w:t>
      </w:r>
      <m:oMath>
        <m:r>
          <w:rPr>
            <w:rFonts w:ascii="Cambria Math" w:hAnsi="Cambria Math"/>
            <w:sz w:val="20"/>
            <w:szCs w:val="20"/>
            <w:lang w:val="en-US"/>
          </w:rPr>
          <m:t>P</m:t>
        </m:r>
      </m:oMath>
      <w:r w:rsidR="00F318FA" w:rsidRPr="006405EF">
        <w:rPr>
          <w:sz w:val="20"/>
          <w:szCs w:val="20"/>
          <w:lang w:val="en-US"/>
        </w:rPr>
        <w:t>— partial pressure of the gas (atm).</w:t>
      </w:r>
    </w:p>
    <w:p w14:paraId="1464698C" w14:textId="77777777" w:rsidR="00F318FA" w:rsidRPr="006405EF" w:rsidRDefault="00F318FA" w:rsidP="006405EF">
      <w:pPr>
        <w:pStyle w:val="Default"/>
        <w:ind w:firstLine="284"/>
        <w:jc w:val="both"/>
        <w:rPr>
          <w:sz w:val="20"/>
          <w:szCs w:val="20"/>
          <w:lang w:val="en-US"/>
        </w:rPr>
      </w:pPr>
      <w:r w:rsidRPr="006405EF">
        <w:rPr>
          <w:sz w:val="20"/>
          <w:szCs w:val="20"/>
          <w:lang w:val="en-US"/>
        </w:rPr>
        <w:t>The dynamic migration of gases within the oil is governed by Fick’s first law of diffusion:</w:t>
      </w:r>
    </w:p>
    <w:p w14:paraId="6B31E6AA" w14:textId="2C1B91A4" w:rsidR="00F318FA" w:rsidRPr="006405EF" w:rsidRDefault="00F318FA" w:rsidP="006405EF">
      <w:pPr>
        <w:pStyle w:val="Default"/>
        <w:ind w:firstLine="284"/>
        <w:jc w:val="right"/>
        <w:rPr>
          <w:sz w:val="20"/>
          <w:szCs w:val="20"/>
          <w:lang w:val="en-US"/>
        </w:rPr>
      </w:pPr>
      <m:oMath>
        <m:r>
          <w:rPr>
            <w:rFonts w:ascii="Cambria Math" w:hAnsi="Cambria Math"/>
            <w:sz w:val="20"/>
            <w:szCs w:val="20"/>
            <w:lang w:val="en-US"/>
          </w:rPr>
          <m:t>J=-D</m:t>
        </m:r>
        <m:f>
          <m:fPr>
            <m:ctrlPr>
              <w:rPr>
                <w:rFonts w:ascii="Cambria Math" w:hAnsi="Cambria Math"/>
                <w:i/>
                <w:sz w:val="20"/>
                <w:szCs w:val="20"/>
                <w:lang w:val="en-US"/>
              </w:rPr>
            </m:ctrlPr>
          </m:fPr>
          <m:num>
            <m:r>
              <w:rPr>
                <w:rFonts w:ascii="Cambria Math" w:hAnsi="Cambria Math"/>
                <w:sz w:val="20"/>
                <w:szCs w:val="20"/>
                <w:lang w:val="en-US"/>
              </w:rPr>
              <m:t>dC</m:t>
            </m:r>
          </m:num>
          <m:den>
            <m:box>
              <m:boxPr>
                <m:diff m:val="1"/>
                <m:ctrlPr>
                  <w:rPr>
                    <w:rFonts w:ascii="Cambria Math" w:hAnsi="Cambria Math"/>
                    <w:i/>
                    <w:sz w:val="20"/>
                    <w:szCs w:val="20"/>
                    <w:lang w:val="en-US"/>
                  </w:rPr>
                </m:ctrlPr>
              </m:boxPr>
              <m:e>
                <m:r>
                  <w:rPr>
                    <w:rFonts w:ascii="Cambria Math" w:hAnsi="Cambria Math"/>
                    <w:sz w:val="20"/>
                    <w:szCs w:val="20"/>
                    <w:lang w:val="en-US"/>
                  </w:rPr>
                  <m:t>dx</m:t>
                </m:r>
              </m:e>
            </m:box>
          </m:den>
        </m:f>
      </m:oMath>
      <w:r w:rsidR="00307B0F" w:rsidRPr="006405EF">
        <w:rPr>
          <w:sz w:val="20"/>
          <w:szCs w:val="20"/>
          <w:lang w:val="en-US"/>
        </w:rPr>
        <w:t xml:space="preserve">                                                                                                  (2)</w:t>
      </w:r>
    </w:p>
    <w:p w14:paraId="746AFA8C" w14:textId="4B9F5A67" w:rsidR="00F318FA" w:rsidRPr="006405EF" w:rsidRDefault="006405EF" w:rsidP="006405EF">
      <w:pPr>
        <w:pStyle w:val="Default"/>
        <w:ind w:firstLine="284"/>
        <w:rPr>
          <w:sz w:val="20"/>
          <w:szCs w:val="20"/>
          <w:lang w:val="en-US"/>
        </w:rPr>
      </w:pPr>
      <w:r w:rsidRPr="006405EF">
        <w:rPr>
          <w:sz w:val="20"/>
          <w:szCs w:val="20"/>
          <w:lang w:val="en-US"/>
        </w:rPr>
        <w:lastRenderedPageBreak/>
        <w:t>W</w:t>
      </w:r>
      <w:r w:rsidR="00F318FA" w:rsidRPr="006405EF">
        <w:rPr>
          <w:sz w:val="20"/>
          <w:szCs w:val="20"/>
          <w:lang w:val="en-US"/>
        </w:rPr>
        <w:t>here</w:t>
      </w:r>
      <w:r>
        <w:rPr>
          <w:sz w:val="20"/>
          <w:szCs w:val="20"/>
          <w:lang w:val="en-US"/>
        </w:rPr>
        <w:t xml:space="preserve">, </w:t>
      </w:r>
      <m:oMath>
        <m:r>
          <w:rPr>
            <w:rFonts w:ascii="Cambria Math" w:hAnsi="Cambria Math"/>
            <w:sz w:val="20"/>
            <w:szCs w:val="20"/>
            <w:lang w:val="en-US"/>
          </w:rPr>
          <m:t>J</m:t>
        </m:r>
      </m:oMath>
      <w:r w:rsidR="00F318FA" w:rsidRPr="006405EF">
        <w:rPr>
          <w:sz w:val="20"/>
          <w:szCs w:val="20"/>
          <w:lang w:val="en-US"/>
        </w:rPr>
        <w:t>— diffusion flux (mol·m⁻²·s⁻¹),</w:t>
      </w:r>
      <w:r>
        <w:rPr>
          <w:sz w:val="20"/>
          <w:szCs w:val="20"/>
          <w:lang w:val="en-US"/>
        </w:rPr>
        <w:t xml:space="preserve"> </w:t>
      </w:r>
      <m:oMath>
        <m:r>
          <w:rPr>
            <w:rFonts w:ascii="Cambria Math" w:hAnsi="Cambria Math"/>
            <w:sz w:val="20"/>
            <w:szCs w:val="20"/>
            <w:lang w:val="en-US"/>
          </w:rPr>
          <m:t>D</m:t>
        </m:r>
      </m:oMath>
      <w:r w:rsidR="00F318FA" w:rsidRPr="006405EF">
        <w:rPr>
          <w:sz w:val="20"/>
          <w:szCs w:val="20"/>
          <w:lang w:val="en-US"/>
        </w:rPr>
        <w:t>— diffusion coefficient (m²/s),</w:t>
      </w:r>
      <w:r>
        <w:rPr>
          <w:sz w:val="20"/>
          <w:szCs w:val="20"/>
          <w:lang w:val="en-US"/>
        </w:rPr>
        <w:t xml:space="preserve"> </w:t>
      </w:r>
      <m:oMath>
        <m:f>
          <m:fPr>
            <m:ctrlPr>
              <w:rPr>
                <w:rFonts w:ascii="Cambria Math" w:hAnsi="Cambria Math"/>
                <w:i/>
                <w:sz w:val="20"/>
                <w:szCs w:val="20"/>
                <w:lang w:val="en-US"/>
              </w:rPr>
            </m:ctrlPr>
          </m:fPr>
          <m:num>
            <m:r>
              <w:rPr>
                <w:rFonts w:ascii="Cambria Math" w:hAnsi="Cambria Math"/>
                <w:sz w:val="20"/>
                <w:szCs w:val="20"/>
                <w:lang w:val="en-US"/>
              </w:rPr>
              <m:t>dC</m:t>
            </m:r>
          </m:num>
          <m:den>
            <m:box>
              <m:boxPr>
                <m:diff m:val="1"/>
                <m:ctrlPr>
                  <w:rPr>
                    <w:rFonts w:ascii="Cambria Math" w:hAnsi="Cambria Math"/>
                    <w:i/>
                    <w:sz w:val="20"/>
                    <w:szCs w:val="20"/>
                    <w:lang w:val="en-US"/>
                  </w:rPr>
                </m:ctrlPr>
              </m:boxPr>
              <m:e>
                <m:r>
                  <w:rPr>
                    <w:rFonts w:ascii="Cambria Math" w:hAnsi="Cambria Math"/>
                    <w:sz w:val="20"/>
                    <w:szCs w:val="20"/>
                    <w:lang w:val="en-US"/>
                  </w:rPr>
                  <m:t>dx</m:t>
                </m:r>
              </m:e>
            </m:box>
          </m:den>
        </m:f>
      </m:oMath>
      <w:r w:rsidR="00F318FA" w:rsidRPr="006405EF">
        <w:rPr>
          <w:sz w:val="20"/>
          <w:szCs w:val="20"/>
          <w:lang w:val="en-US"/>
        </w:rPr>
        <w:t>— concentration gradient.</w:t>
      </w:r>
    </w:p>
    <w:p w14:paraId="471AB130" w14:textId="77777777" w:rsidR="00F318FA" w:rsidRPr="006405EF" w:rsidRDefault="00F318FA" w:rsidP="006405EF">
      <w:pPr>
        <w:pStyle w:val="Default"/>
        <w:ind w:firstLine="284"/>
        <w:jc w:val="both"/>
        <w:rPr>
          <w:sz w:val="20"/>
          <w:szCs w:val="20"/>
          <w:lang w:val="en-US"/>
        </w:rPr>
      </w:pPr>
      <w:r w:rsidRPr="006405EF">
        <w:rPr>
          <w:sz w:val="20"/>
          <w:szCs w:val="20"/>
          <w:lang w:val="en-US"/>
        </w:rPr>
        <w:t>The extracted gas sample passes through a valve-controlled microchamber that maintains constant temperature and pressure conditions. Within this chamber, a multi-sensor array (based on photoacoustic spectroscopy, thermal conductivity, or electrochemical detection) determines gas concentrations in real time.</w:t>
      </w:r>
    </w:p>
    <w:p w14:paraId="660C60AB" w14:textId="77777777" w:rsidR="00F318FA" w:rsidRPr="006405EF" w:rsidRDefault="00F318FA" w:rsidP="006405EF">
      <w:pPr>
        <w:pStyle w:val="Default"/>
        <w:ind w:firstLine="284"/>
        <w:jc w:val="both"/>
        <w:rPr>
          <w:sz w:val="20"/>
          <w:szCs w:val="20"/>
          <w:lang w:val="en-US"/>
        </w:rPr>
      </w:pPr>
      <w:r w:rsidRPr="006405EF">
        <w:rPr>
          <w:sz w:val="20"/>
          <w:szCs w:val="20"/>
          <w:lang w:val="en-US"/>
        </w:rPr>
        <w:t>After the measurement, the oil is automatically returned to the main circuit through a backflow valve, ensuring a closed-loop system that prevents oxidation and preserves oil quality. The data collected from the DGA sensors are transmitted to the AI-based diagnostic platform, where machine learning algorithms correlate gas ratios with fault types using classical indicators such as the Duval Triangle and Roger’s Ratios.</w:t>
      </w:r>
    </w:p>
    <w:p w14:paraId="03E55EFC" w14:textId="77777777" w:rsidR="00F318FA" w:rsidRPr="006405EF" w:rsidRDefault="00F318FA" w:rsidP="006405EF">
      <w:pPr>
        <w:pStyle w:val="Default"/>
        <w:ind w:firstLine="284"/>
        <w:jc w:val="both"/>
        <w:rPr>
          <w:sz w:val="20"/>
          <w:szCs w:val="20"/>
          <w:lang w:val="en-US"/>
        </w:rPr>
      </w:pPr>
      <w:r w:rsidRPr="006405EF">
        <w:rPr>
          <w:sz w:val="20"/>
          <w:szCs w:val="20"/>
          <w:lang w:val="en-US"/>
        </w:rPr>
        <w:t>This configuration enables continuous, non-invasive monitoring of transformer insulation degradation, allowing early fault detection, predictive maintenance, and improved operational reliability.</w:t>
      </w:r>
    </w:p>
    <w:p w14:paraId="5761437B" w14:textId="1033B9B5" w:rsidR="00F318FA" w:rsidRPr="006405EF" w:rsidRDefault="009A7D0B" w:rsidP="006405EF">
      <w:pPr>
        <w:pStyle w:val="Default"/>
        <w:ind w:firstLine="284"/>
        <w:jc w:val="center"/>
        <w:rPr>
          <w:sz w:val="20"/>
          <w:szCs w:val="20"/>
          <w:lang w:val="en-US"/>
        </w:rPr>
      </w:pPr>
      <w:r w:rsidRPr="006405EF">
        <w:rPr>
          <w:noProof/>
          <w:sz w:val="20"/>
          <w:szCs w:val="20"/>
          <w:lang w:eastAsia="ru-RU"/>
        </w:rPr>
        <w:drawing>
          <wp:inline distT="0" distB="0" distL="0" distR="0" wp14:anchorId="2BE6D175" wp14:editId="44CDDF21">
            <wp:extent cx="2609850" cy="2852829"/>
            <wp:effectExtent l="0" t="0" r="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2457" cy="2877541"/>
                    </a:xfrm>
                    <a:prstGeom prst="rect">
                      <a:avLst/>
                    </a:prstGeom>
                    <a:noFill/>
                  </pic:spPr>
                </pic:pic>
              </a:graphicData>
            </a:graphic>
          </wp:inline>
        </w:drawing>
      </w:r>
    </w:p>
    <w:p w14:paraId="2B68174B" w14:textId="059AD778" w:rsidR="009A7D0B" w:rsidRPr="006405EF" w:rsidRDefault="009A7D0B" w:rsidP="006405EF">
      <w:pPr>
        <w:pStyle w:val="Default"/>
        <w:ind w:firstLine="284"/>
        <w:jc w:val="center"/>
        <w:rPr>
          <w:bCs/>
          <w:sz w:val="20"/>
          <w:szCs w:val="20"/>
          <w:lang w:val="en-US"/>
        </w:rPr>
      </w:pPr>
      <w:r w:rsidRPr="006405EF">
        <w:rPr>
          <w:b/>
          <w:sz w:val="20"/>
          <w:szCs w:val="20"/>
          <w:lang w:val="en-US"/>
        </w:rPr>
        <w:t>FIGURE 2</w:t>
      </w:r>
      <w:r w:rsidR="00BB33EE" w:rsidRPr="006405EF">
        <w:rPr>
          <w:b/>
          <w:sz w:val="20"/>
          <w:szCs w:val="20"/>
          <w:lang w:val="en-US"/>
        </w:rPr>
        <w:t>.</w:t>
      </w:r>
      <w:r w:rsidRPr="006405EF">
        <w:rPr>
          <w:b/>
          <w:sz w:val="20"/>
          <w:szCs w:val="20"/>
          <w:lang w:val="en-US"/>
        </w:rPr>
        <w:t xml:space="preserve"> </w:t>
      </w:r>
      <w:r w:rsidRPr="006405EF">
        <w:rPr>
          <w:bCs/>
          <w:sz w:val="20"/>
          <w:szCs w:val="20"/>
          <w:lang w:val="en-US"/>
        </w:rPr>
        <w:t>Online DGA sampler and valve installation for transformer oil monitoring.</w:t>
      </w:r>
    </w:p>
    <w:p w14:paraId="458739E5" w14:textId="77777777" w:rsidR="00BC1687" w:rsidRPr="006405EF" w:rsidRDefault="00BC1687" w:rsidP="006405EF">
      <w:pPr>
        <w:pStyle w:val="Default"/>
        <w:ind w:firstLine="284"/>
        <w:jc w:val="center"/>
        <w:rPr>
          <w:sz w:val="20"/>
          <w:szCs w:val="20"/>
          <w:lang w:val="en-US"/>
        </w:rPr>
      </w:pPr>
    </w:p>
    <w:p w14:paraId="499531BA" w14:textId="77777777" w:rsidR="009A7D0B" w:rsidRPr="006405EF" w:rsidRDefault="009A7D0B" w:rsidP="006405EF">
      <w:pPr>
        <w:pStyle w:val="Default"/>
        <w:ind w:firstLine="284"/>
        <w:jc w:val="both"/>
        <w:rPr>
          <w:sz w:val="20"/>
          <w:szCs w:val="20"/>
          <w:lang w:val="en-US"/>
        </w:rPr>
      </w:pPr>
      <w:r w:rsidRPr="006405EF">
        <w:rPr>
          <w:sz w:val="20"/>
          <w:szCs w:val="20"/>
          <w:lang w:val="en-US"/>
        </w:rPr>
        <w:t>The image illustrates an online Dissolved Gas Analysis (DGA) system integrated into a transformer oil monitoring circuit.</w:t>
      </w:r>
    </w:p>
    <w:p w14:paraId="7BA19551" w14:textId="77777777" w:rsidR="009A7D0B" w:rsidRPr="006405EF" w:rsidRDefault="009A7D0B" w:rsidP="006405EF">
      <w:pPr>
        <w:pStyle w:val="Default"/>
        <w:ind w:firstLine="284"/>
        <w:jc w:val="both"/>
        <w:rPr>
          <w:sz w:val="20"/>
          <w:szCs w:val="20"/>
          <w:lang w:val="en-US"/>
        </w:rPr>
      </w:pPr>
      <w:r w:rsidRPr="006405EF">
        <w:rPr>
          <w:sz w:val="20"/>
          <w:szCs w:val="20"/>
          <w:lang w:val="en-US"/>
        </w:rPr>
        <w:t>It shows:</w:t>
      </w:r>
    </w:p>
    <w:p w14:paraId="00EA4216" w14:textId="77777777" w:rsidR="009A7D0B" w:rsidRPr="006405EF" w:rsidRDefault="009A7D0B" w:rsidP="006405EF">
      <w:pPr>
        <w:pStyle w:val="Default"/>
        <w:ind w:firstLine="284"/>
        <w:jc w:val="both"/>
        <w:rPr>
          <w:sz w:val="20"/>
          <w:szCs w:val="20"/>
          <w:lang w:val="en-US"/>
        </w:rPr>
      </w:pPr>
      <w:r w:rsidRPr="006405EF">
        <w:rPr>
          <w:sz w:val="20"/>
          <w:szCs w:val="20"/>
          <w:lang w:val="en-US"/>
        </w:rPr>
        <w:t>Transformer oil flow path — oil circulates through a sampling valve connected to the main transformer tank.</w:t>
      </w:r>
    </w:p>
    <w:p w14:paraId="35F5EAA2" w14:textId="77777777" w:rsidR="009A7D0B" w:rsidRPr="006405EF" w:rsidRDefault="009A7D0B" w:rsidP="006405EF">
      <w:pPr>
        <w:pStyle w:val="Default"/>
        <w:ind w:firstLine="284"/>
        <w:jc w:val="both"/>
        <w:rPr>
          <w:sz w:val="20"/>
          <w:szCs w:val="20"/>
          <w:lang w:val="en-US"/>
        </w:rPr>
      </w:pPr>
      <w:r w:rsidRPr="006405EF">
        <w:rPr>
          <w:sz w:val="20"/>
          <w:szCs w:val="20"/>
          <w:lang w:val="en-US"/>
        </w:rPr>
        <w:t>The DGA sampling unit continuously extracts a small portion of oil to analyze dissolved gases that indicate insulation and thermal degradation.</w:t>
      </w:r>
    </w:p>
    <w:p w14:paraId="36371BE0" w14:textId="77777777" w:rsidR="009A7D0B" w:rsidRPr="006405EF" w:rsidRDefault="009A7D0B" w:rsidP="006405EF">
      <w:pPr>
        <w:pStyle w:val="Default"/>
        <w:ind w:firstLine="284"/>
        <w:jc w:val="both"/>
        <w:rPr>
          <w:sz w:val="20"/>
          <w:szCs w:val="20"/>
          <w:lang w:val="en-US"/>
        </w:rPr>
      </w:pPr>
      <w:r w:rsidRPr="006405EF">
        <w:rPr>
          <w:sz w:val="20"/>
          <w:szCs w:val="20"/>
          <w:lang w:val="en-US"/>
        </w:rPr>
        <w:t>Inside the sensor chamber, gases are separated from the oil and measured using optical or electrochemical sensors.</w:t>
      </w:r>
    </w:p>
    <w:p w14:paraId="7B352934" w14:textId="77777777" w:rsidR="009A7D0B" w:rsidRPr="006405EF" w:rsidRDefault="009A7D0B" w:rsidP="006405EF">
      <w:pPr>
        <w:pStyle w:val="Default"/>
        <w:ind w:firstLine="284"/>
        <w:jc w:val="both"/>
        <w:rPr>
          <w:sz w:val="20"/>
          <w:szCs w:val="20"/>
          <w:lang w:val="en-US"/>
        </w:rPr>
      </w:pPr>
      <w:r w:rsidRPr="006405EF">
        <w:rPr>
          <w:sz w:val="20"/>
          <w:szCs w:val="20"/>
          <w:lang w:val="en-US"/>
        </w:rPr>
        <w:t>After measurement, the oil returns to the transformer, maintaining a closed-loop system that avoids contamination or oil loss.</w:t>
      </w:r>
    </w:p>
    <w:p w14:paraId="417A9F02" w14:textId="77777777" w:rsidR="009A7D0B" w:rsidRPr="006405EF" w:rsidRDefault="009A7D0B" w:rsidP="006405EF">
      <w:pPr>
        <w:pStyle w:val="Default"/>
        <w:ind w:firstLine="284"/>
        <w:jc w:val="both"/>
        <w:rPr>
          <w:sz w:val="20"/>
          <w:szCs w:val="20"/>
          <w:lang w:val="en-US"/>
        </w:rPr>
      </w:pPr>
      <w:r w:rsidRPr="006405EF">
        <w:rPr>
          <w:sz w:val="20"/>
          <w:szCs w:val="20"/>
          <w:lang w:val="en-US"/>
        </w:rPr>
        <w:t>The diagram also depicts key components: gas extraction chamber, micro-sensor array, signal processor, and data transmission module for real-time condition monitoring.</w:t>
      </w:r>
    </w:p>
    <w:p w14:paraId="71C41A56" w14:textId="73DF99A9" w:rsidR="009A7D0B" w:rsidRPr="006405EF" w:rsidRDefault="009A7D0B" w:rsidP="006405EF">
      <w:pPr>
        <w:pStyle w:val="Default"/>
        <w:ind w:firstLine="284"/>
        <w:jc w:val="both"/>
        <w:rPr>
          <w:sz w:val="20"/>
          <w:szCs w:val="20"/>
          <w:lang w:val="en-US"/>
        </w:rPr>
      </w:pPr>
      <w:r w:rsidRPr="006405EF">
        <w:rPr>
          <w:sz w:val="20"/>
          <w:szCs w:val="20"/>
          <w:lang w:val="en-US"/>
        </w:rPr>
        <w:t xml:space="preserve">This configuration allows continuous, non-invasive monitoring of gas concentrations (such as </w:t>
      </w:r>
      <m:oMath>
        <m:r>
          <w:rPr>
            <w:rFonts w:ascii="Cambria Math" w:hAnsi="Cambria Math"/>
            <w:sz w:val="20"/>
            <w:szCs w:val="20"/>
            <w:lang w:val="en-US"/>
          </w:rPr>
          <m:t xml:space="preserve">H₂, CO, CH₄, C₂H₂), </m:t>
        </m:r>
      </m:oMath>
      <w:r w:rsidRPr="006405EF">
        <w:rPr>
          <w:sz w:val="20"/>
          <w:szCs w:val="20"/>
          <w:lang w:val="en-US"/>
        </w:rPr>
        <w:t>providing early warnings of insulation faults, overheating, or partial discharges in the transformer.</w:t>
      </w:r>
    </w:p>
    <w:p w14:paraId="5CE0AEDE" w14:textId="4043308C" w:rsidR="009A7D0B" w:rsidRPr="000F7F29" w:rsidRDefault="00DE4111" w:rsidP="000F7F29">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sz w:val="24"/>
          <w:szCs w:val="24"/>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7BFB7F1A" w14:textId="06A86F72" w:rsidR="009A7D0B" w:rsidRPr="006405EF" w:rsidRDefault="009A7D0B" w:rsidP="006405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84"/>
        <w:jc w:val="both"/>
        <w:rPr>
          <w:rFonts w:ascii="Times New Roman" w:hAnsi="Times New Roman" w:cs="Times New Roman"/>
          <w:sz w:val="20"/>
        </w:rPr>
      </w:pPr>
      <w:r w:rsidRPr="006405EF">
        <w:rPr>
          <w:rFonts w:ascii="Times New Roman" w:hAnsi="Times New Roman" w:cs="Times New Roman"/>
          <w:sz w:val="20"/>
        </w:rPr>
        <w:t>To validate the effectiveness of the proposed AI-based condition monitoring framework, a series of experimental studies were conducted using an oil-immersed 35/6 kV distribution transformer operating under controlled laboratory conditions. The experimental setup was designed to simulate real-world operational stresses, including thermal loading, voltage fluctuations, and insulation aging.</w:t>
      </w:r>
      <w:r w:rsidR="00F236A9" w:rsidRPr="006405EF">
        <w:rPr>
          <w:rFonts w:ascii="Times New Roman" w:hAnsi="Times New Roman" w:cs="Times New Roman"/>
          <w:color w:val="000000"/>
          <w:sz w:val="20"/>
        </w:rPr>
        <w:t xml:space="preserve"> </w:t>
      </w:r>
      <w:r w:rsidR="00F236A9" w:rsidRPr="006405EF">
        <w:rPr>
          <w:rFonts w:ascii="Times New Roman" w:hAnsi="Times New Roman" w:cs="Times New Roman"/>
          <w:sz w:val="20"/>
        </w:rPr>
        <w:t>[5].</w:t>
      </w:r>
    </w:p>
    <w:p w14:paraId="37A06424" w14:textId="77777777" w:rsidR="009A7D0B" w:rsidRPr="006405EF" w:rsidRDefault="009A7D0B" w:rsidP="006405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r w:rsidRPr="006405EF">
        <w:rPr>
          <w:rFonts w:ascii="Times New Roman" w:hAnsi="Times New Roman" w:cs="Times New Roman"/>
          <w:sz w:val="20"/>
        </w:rPr>
        <w:lastRenderedPageBreak/>
        <w:t>The test system (Fig. 1) consisted of the transformer unit, an online dissolved gas analysis (DGA) module, temperature and humidity sensors, and a data acquisition interface. The DGA module continuously sampled transformer oil through a closed-loop valve system, where gas extraction and quantification were performed in real-time. The measurement data were transmitted via a Wi-Fi-enabled microcontroller to a centralized monitoring platform.</w:t>
      </w:r>
    </w:p>
    <w:p w14:paraId="1F2E81B0" w14:textId="77777777" w:rsidR="009A7D0B" w:rsidRPr="006405EF" w:rsidRDefault="009A7D0B" w:rsidP="006405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r w:rsidRPr="006405EF">
        <w:rPr>
          <w:rFonts w:ascii="Times New Roman" w:hAnsi="Times New Roman" w:cs="Times New Roman"/>
          <w:sz w:val="20"/>
        </w:rPr>
        <w:t>The parameters recorded included:</w:t>
      </w:r>
    </w:p>
    <w:p w14:paraId="5631F0C9" w14:textId="1079DFFE" w:rsidR="009A7D0B" w:rsidRPr="006405EF" w:rsidRDefault="009A7D0B" w:rsidP="006405EF">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hAnsi="Times New Roman" w:cs="Times New Roman"/>
          <w:sz w:val="20"/>
        </w:rPr>
      </w:pPr>
      <w:r w:rsidRPr="006405EF">
        <w:rPr>
          <w:rFonts w:ascii="Times New Roman" w:hAnsi="Times New Roman" w:cs="Times New Roman"/>
          <w:sz w:val="20"/>
        </w:rPr>
        <w:t xml:space="preserve">Hydrogen </w:t>
      </w:r>
      <m:oMath>
        <m:r>
          <w:rPr>
            <w:rFonts w:ascii="Cambria Math" w:hAnsi="Cambria Math" w:cs="Times New Roman"/>
            <w:sz w:val="20"/>
          </w:rPr>
          <m:t>(H₂),</m:t>
        </m:r>
      </m:oMath>
      <w:r w:rsidRPr="006405EF">
        <w:rPr>
          <w:rFonts w:ascii="Times New Roman" w:hAnsi="Times New Roman" w:cs="Times New Roman"/>
          <w:sz w:val="20"/>
        </w:rPr>
        <w:t xml:space="preserve"> Carbon Monoxide </w:t>
      </w:r>
      <m:oMath>
        <m:r>
          <w:rPr>
            <w:rFonts w:ascii="Cambria Math" w:hAnsi="Cambria Math" w:cs="Times New Roman"/>
            <w:sz w:val="20"/>
          </w:rPr>
          <m:t>(CO),</m:t>
        </m:r>
      </m:oMath>
      <w:r w:rsidRPr="006405EF">
        <w:rPr>
          <w:rFonts w:ascii="Times New Roman" w:hAnsi="Times New Roman" w:cs="Times New Roman"/>
          <w:sz w:val="20"/>
        </w:rPr>
        <w:t xml:space="preserve"> Methane</w:t>
      </w:r>
      <m:oMath>
        <m:r>
          <w:rPr>
            <w:rFonts w:ascii="Cambria Math" w:hAnsi="Cambria Math" w:cs="Times New Roman"/>
            <w:sz w:val="20"/>
          </w:rPr>
          <m:t xml:space="preserve"> (CH₄),</m:t>
        </m:r>
      </m:oMath>
      <w:r w:rsidRPr="006405EF">
        <w:rPr>
          <w:rFonts w:ascii="Times New Roman" w:hAnsi="Times New Roman" w:cs="Times New Roman"/>
          <w:sz w:val="20"/>
        </w:rPr>
        <w:t xml:space="preserve"> and Acetylene </w:t>
      </w:r>
      <m:oMath>
        <m:r>
          <w:rPr>
            <w:rFonts w:ascii="Cambria Math" w:hAnsi="Cambria Math" w:cs="Times New Roman"/>
            <w:sz w:val="20"/>
          </w:rPr>
          <m:t>(C₂H₂)</m:t>
        </m:r>
      </m:oMath>
      <w:r w:rsidRPr="006405EF">
        <w:rPr>
          <w:rFonts w:ascii="Times New Roman" w:hAnsi="Times New Roman" w:cs="Times New Roman"/>
          <w:sz w:val="20"/>
        </w:rPr>
        <w:t xml:space="preserve"> concentrations (ppm);</w:t>
      </w:r>
    </w:p>
    <w:p w14:paraId="54EF4388" w14:textId="5285E6E6" w:rsidR="009A7D0B" w:rsidRPr="006405EF" w:rsidRDefault="009A7D0B" w:rsidP="006405EF">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hAnsi="Times New Roman" w:cs="Times New Roman"/>
          <w:sz w:val="20"/>
        </w:rPr>
      </w:pPr>
      <w:r w:rsidRPr="006405EF">
        <w:rPr>
          <w:rFonts w:ascii="Times New Roman" w:hAnsi="Times New Roman" w:cs="Times New Roman"/>
          <w:sz w:val="20"/>
        </w:rPr>
        <w:t xml:space="preserve">Oil temperature and winding temperature </w:t>
      </w:r>
      <m:oMath>
        <m:r>
          <w:rPr>
            <w:rFonts w:ascii="Cambria Math" w:hAnsi="Cambria Math" w:cs="Times New Roman"/>
            <w:sz w:val="20"/>
          </w:rPr>
          <m:t>(°C);</m:t>
        </m:r>
      </m:oMath>
    </w:p>
    <w:p w14:paraId="79FEA38D" w14:textId="59F8A2AC" w:rsidR="009A7D0B" w:rsidRPr="006405EF" w:rsidRDefault="009A7D0B" w:rsidP="006405EF">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hAnsi="Times New Roman" w:cs="Times New Roman"/>
          <w:sz w:val="20"/>
        </w:rPr>
      </w:pPr>
      <w:r w:rsidRPr="006405EF">
        <w:rPr>
          <w:rFonts w:ascii="Times New Roman" w:hAnsi="Times New Roman" w:cs="Times New Roman"/>
          <w:sz w:val="20"/>
        </w:rPr>
        <w:t xml:space="preserve">Moisture content in oil </w:t>
      </w:r>
      <m:oMath>
        <m:r>
          <w:rPr>
            <w:rFonts w:ascii="Cambria Math" w:hAnsi="Cambria Math" w:cs="Times New Roman"/>
            <w:sz w:val="20"/>
          </w:rPr>
          <m:t>(%)</m:t>
        </m:r>
      </m:oMath>
      <w:r w:rsidRPr="006405EF">
        <w:rPr>
          <w:rFonts w:ascii="Times New Roman" w:hAnsi="Times New Roman" w:cs="Times New Roman"/>
          <w:sz w:val="20"/>
        </w:rPr>
        <w:t>;</w:t>
      </w:r>
    </w:p>
    <w:p w14:paraId="38D54EAF" w14:textId="44EB0D34" w:rsidR="009A7D0B" w:rsidRPr="006405EF" w:rsidRDefault="009A7D0B" w:rsidP="006405EF">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hAnsi="Times New Roman" w:cs="Times New Roman"/>
          <w:sz w:val="20"/>
        </w:rPr>
      </w:pPr>
      <w:r w:rsidRPr="006405EF">
        <w:rPr>
          <w:rFonts w:ascii="Times New Roman" w:hAnsi="Times New Roman" w:cs="Times New Roman"/>
          <w:sz w:val="20"/>
        </w:rPr>
        <w:t xml:space="preserve">Load current and ambient temperature </w:t>
      </w:r>
      <m:oMath>
        <m:r>
          <w:rPr>
            <w:rFonts w:ascii="Cambria Math" w:hAnsi="Cambria Math" w:cs="Times New Roman"/>
            <w:sz w:val="20"/>
          </w:rPr>
          <m:t>(A, °C).</m:t>
        </m:r>
      </m:oMath>
    </w:p>
    <w:p w14:paraId="6A387028" w14:textId="77777777" w:rsidR="009A7D0B" w:rsidRPr="006405EF" w:rsidRDefault="009A7D0B" w:rsidP="006405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r w:rsidRPr="006405EF">
        <w:rPr>
          <w:rFonts w:ascii="Times New Roman" w:hAnsi="Times New Roman" w:cs="Times New Roman"/>
          <w:sz w:val="20"/>
        </w:rPr>
        <w:t>Each test was carried out under three loading profiles—nominal, 1.2× overload, and cyclic loading—to evaluate the system’s response to varying stress conditions.</w:t>
      </w:r>
    </w:p>
    <w:p w14:paraId="5EC9CD42" w14:textId="77777777" w:rsidR="009A7D0B" w:rsidRPr="006405EF" w:rsidRDefault="009A7D0B" w:rsidP="006405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r w:rsidRPr="006405EF">
        <w:rPr>
          <w:rFonts w:ascii="Times New Roman" w:hAnsi="Times New Roman" w:cs="Times New Roman"/>
          <w:sz w:val="20"/>
        </w:rPr>
        <w:t>Collected sensor data were preprocessed using filtering and normalization algorithms to remove outliers and ensure temporal consistency. A hybrid model combining LSTM (Long Short-Term Memory) neural networks with a Mamdani-type fuzzy inference system was employed to predict the transformer’s Health Index (HI) in real-time.</w:t>
      </w:r>
    </w:p>
    <w:p w14:paraId="7ED44CEA" w14:textId="77777777" w:rsidR="009A7D0B" w:rsidRPr="006405EF" w:rsidRDefault="009A7D0B" w:rsidP="006405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r w:rsidRPr="006405EF">
        <w:rPr>
          <w:rFonts w:ascii="Times New Roman" w:hAnsi="Times New Roman" w:cs="Times New Roman"/>
          <w:sz w:val="20"/>
        </w:rPr>
        <w:t>The fuzzy system evaluated key parameters such as gas concentration ratio, oil temperature, and insulation resistance, applying linguistic rules of the form:</w:t>
      </w:r>
    </w:p>
    <w:p w14:paraId="3197BB73" w14:textId="5A2F33E8" w:rsidR="009A7D0B" w:rsidRPr="006405EF" w:rsidRDefault="009A7D0B" w:rsidP="006405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r w:rsidRPr="006405EF">
        <w:rPr>
          <w:rFonts w:ascii="Times New Roman" w:hAnsi="Times New Roman" w:cs="Times New Roman"/>
          <w:sz w:val="20"/>
        </w:rPr>
        <w:t>IF </w:t>
      </w:r>
      <m:oMath>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oil</m:t>
            </m:r>
          </m:sub>
        </m:sSub>
      </m:oMath>
      <w:r w:rsidRPr="006405EF">
        <w:rPr>
          <w:rFonts w:ascii="Times New Roman" w:hAnsi="Times New Roman" w:cs="Times New Roman"/>
          <w:sz w:val="20"/>
        </w:rPr>
        <w:t> is HIGH and </w:t>
      </w:r>
      <m:oMath>
        <m:sSub>
          <m:sSubPr>
            <m:ctrlPr>
              <w:rPr>
                <w:rFonts w:ascii="Cambria Math" w:hAnsi="Cambria Math" w:cs="Times New Roman"/>
                <w:i/>
                <w:sz w:val="20"/>
              </w:rPr>
            </m:ctrlPr>
          </m:sSubPr>
          <m:e>
            <m:r>
              <w:rPr>
                <w:rFonts w:ascii="Cambria Math" w:hAnsi="Cambria Math" w:cs="Times New Roman"/>
                <w:sz w:val="20"/>
              </w:rPr>
              <m:t>CH</m:t>
            </m:r>
          </m:e>
          <m:sub>
            <m:r>
              <w:rPr>
                <w:rFonts w:ascii="Cambria Math" w:hAnsi="Cambria Math" w:cs="Times New Roman"/>
                <w:sz w:val="20"/>
              </w:rPr>
              <m:t>2</m:t>
            </m:r>
          </m:sub>
        </m:sSub>
      </m:oMath>
      <w:r w:rsidRPr="006405EF">
        <w:rPr>
          <w:rFonts w:ascii="Times New Roman" w:hAnsi="Times New Roman" w:cs="Times New Roman"/>
          <w:sz w:val="20"/>
        </w:rPr>
        <w:t> is INCREASING, THEN </w:t>
      </w:r>
      <m:oMath>
        <m:sSub>
          <m:sSubPr>
            <m:ctrlPr>
              <w:rPr>
                <w:rFonts w:ascii="Cambria Math" w:hAnsi="Cambria Math" w:cs="Times New Roman"/>
                <w:i/>
                <w:sz w:val="20"/>
              </w:rPr>
            </m:ctrlPr>
          </m:sSubPr>
          <m:e>
            <m:r>
              <w:rPr>
                <w:rFonts w:ascii="Cambria Math" w:hAnsi="Cambria Math" w:cs="Times New Roman"/>
                <w:sz w:val="20"/>
              </w:rPr>
              <m:t>transformer</m:t>
            </m:r>
          </m:e>
          <m:sub>
            <m:r>
              <m:rPr>
                <m:sty m:val="p"/>
              </m:rPr>
              <w:rPr>
                <w:rFonts w:ascii="Cambria Math" w:hAnsi="Cambria Math" w:cs="Times New Roman"/>
                <w:sz w:val="20"/>
              </w:rPr>
              <m:t>state</m:t>
            </m:r>
          </m:sub>
        </m:sSub>
      </m:oMath>
      <w:r w:rsidRPr="006405EF">
        <w:rPr>
          <w:rFonts w:ascii="Times New Roman" w:hAnsi="Times New Roman" w:cs="Times New Roman"/>
          <w:sz w:val="20"/>
        </w:rPr>
        <w:t>is DEGRADED.</w:t>
      </w:r>
    </w:p>
    <w:p w14:paraId="24FEE9CB" w14:textId="77777777" w:rsidR="009A7D0B" w:rsidRPr="006405EF" w:rsidRDefault="009A7D0B" w:rsidP="006405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r w:rsidRPr="006405EF">
        <w:rPr>
          <w:rFonts w:ascii="Times New Roman" w:hAnsi="Times New Roman" w:cs="Times New Roman"/>
          <w:sz w:val="20"/>
        </w:rPr>
        <w:t>Model hyperparameters (e.g., learning rate, neuron count, batch size) were optimized using Bayesian search to achieve the lowest mean square error (MSE) during validation.</w:t>
      </w:r>
    </w:p>
    <w:p w14:paraId="79E1BE11" w14:textId="3D1FAE69" w:rsidR="009A7D0B" w:rsidRPr="006405EF" w:rsidRDefault="009A7D0B" w:rsidP="006405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r w:rsidRPr="006405EF">
        <w:rPr>
          <w:rFonts w:ascii="Times New Roman" w:hAnsi="Times New Roman" w:cs="Times New Roman"/>
          <w:sz w:val="20"/>
        </w:rPr>
        <w:t xml:space="preserve">The predictive model achieved a correlation coefficient </w:t>
      </w:r>
      <m:oMath>
        <m:r>
          <w:rPr>
            <w:rFonts w:ascii="Cambria Math" w:hAnsi="Cambria Math" w:cs="Times New Roman"/>
            <w:sz w:val="20"/>
          </w:rPr>
          <m:t>(R²) of 0.967</m:t>
        </m:r>
      </m:oMath>
      <w:r w:rsidRPr="006405EF">
        <w:rPr>
          <w:rFonts w:ascii="Times New Roman" w:hAnsi="Times New Roman" w:cs="Times New Roman"/>
          <w:sz w:val="20"/>
        </w:rPr>
        <w:t xml:space="preserve"> between predicted and measured temperature trends, while the mean absolute error (MAE) remained below </w:t>
      </w:r>
      <m:oMath>
        <m:r>
          <w:rPr>
            <w:rFonts w:ascii="Cambria Math" w:hAnsi="Cambria Math" w:cs="Times New Roman"/>
            <w:sz w:val="20"/>
          </w:rPr>
          <m:t>0.5°C</m:t>
        </m:r>
      </m:oMath>
      <w:r w:rsidRPr="006405EF">
        <w:rPr>
          <w:rFonts w:ascii="Times New Roman" w:hAnsi="Times New Roman" w:cs="Times New Roman"/>
          <w:sz w:val="20"/>
        </w:rPr>
        <w:t xml:space="preserve"> across all test conditions. The integration of DGA data improved fault prediction accuracy by </w:t>
      </w:r>
      <m:oMath>
        <m:r>
          <w:rPr>
            <w:rFonts w:ascii="Cambria Math" w:hAnsi="Cambria Math" w:cs="Times New Roman"/>
            <w:sz w:val="20"/>
          </w:rPr>
          <m:t>18%</m:t>
        </m:r>
      </m:oMath>
      <w:r w:rsidRPr="006405EF">
        <w:rPr>
          <w:rFonts w:ascii="Times New Roman" w:hAnsi="Times New Roman" w:cs="Times New Roman"/>
          <w:sz w:val="20"/>
        </w:rPr>
        <w:t xml:space="preserve"> compared to traditional threshold-based diagnostics.</w:t>
      </w:r>
      <w:r w:rsidR="00F236A9" w:rsidRPr="006405EF">
        <w:rPr>
          <w:rFonts w:ascii="Times New Roman" w:hAnsi="Times New Roman" w:cs="Times New Roman"/>
          <w:color w:val="000000"/>
          <w:sz w:val="20"/>
        </w:rPr>
        <w:t xml:space="preserve"> </w:t>
      </w:r>
      <w:r w:rsidR="00F236A9" w:rsidRPr="006405EF">
        <w:rPr>
          <w:rFonts w:ascii="Times New Roman" w:hAnsi="Times New Roman" w:cs="Times New Roman"/>
          <w:sz w:val="20"/>
        </w:rPr>
        <w:t>[10].</w:t>
      </w:r>
    </w:p>
    <w:p w14:paraId="29140DF7" w14:textId="69171900" w:rsidR="008745D5" w:rsidRPr="006405EF" w:rsidRDefault="009A7D0B" w:rsidP="006405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r w:rsidRPr="006405EF">
        <w:rPr>
          <w:rFonts w:ascii="Times New Roman" w:hAnsi="Times New Roman" w:cs="Times New Roman"/>
          <w:sz w:val="20"/>
        </w:rPr>
        <w:t>Observed deviations between predicted and measured values were primarily associated with environmental temperature fluctuations, which can be mitigated through sensor calibration and dynamic compensation techniques.</w:t>
      </w:r>
    </w:p>
    <w:p w14:paraId="5AF256BB" w14:textId="672F9FD8"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0809675A" w14:textId="466F4F25" w:rsidR="009A7D0B" w:rsidRPr="006405EF" w:rsidRDefault="009A7D0B" w:rsidP="003F2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rPr>
      </w:pPr>
      <w:r w:rsidRPr="006405EF">
        <w:rPr>
          <w:rFonts w:ascii="Times New Roman" w:hAnsi="Times New Roman" w:cs="Times New Roman"/>
          <w:color w:val="000000"/>
          <w:sz w:val="20"/>
          <w:szCs w:val="20"/>
        </w:rPr>
        <w:t>The experimental investigation yielded a comprehensive dataset encompassing both steady-state and transient operating conditions of a 35/6 kV oil-immersed power transformer. The data obtained from the integrated sensor network and the online DGA module were used to validate the efficiency of the developed AI-based diagnostic framework.</w:t>
      </w:r>
      <w:r w:rsidR="00F236A9" w:rsidRPr="006405EF">
        <w:rPr>
          <w:rFonts w:ascii="Times New Roman" w:hAnsi="Times New Roman" w:cs="Times New Roman"/>
          <w:color w:val="000000"/>
          <w:sz w:val="20"/>
        </w:rPr>
        <w:t xml:space="preserve"> </w:t>
      </w:r>
      <w:r w:rsidR="00F236A9" w:rsidRPr="006405EF">
        <w:rPr>
          <w:rFonts w:ascii="Times New Roman" w:hAnsi="Times New Roman" w:cs="Times New Roman"/>
          <w:color w:val="000000"/>
          <w:sz w:val="20"/>
          <w:szCs w:val="20"/>
        </w:rPr>
        <w:t>[1].</w:t>
      </w:r>
    </w:p>
    <w:p w14:paraId="6BCE9AF2" w14:textId="63C94EBE" w:rsidR="009A7D0B" w:rsidRPr="006405EF" w:rsidRDefault="009A7D0B" w:rsidP="003F2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rPr>
      </w:pPr>
      <w:r w:rsidRPr="006405EF">
        <w:rPr>
          <w:rFonts w:ascii="Times New Roman" w:hAnsi="Times New Roman" w:cs="Times New Roman"/>
          <w:color w:val="000000"/>
          <w:sz w:val="20"/>
          <w:szCs w:val="20"/>
        </w:rPr>
        <w:t>Quantitative Evaluation of Diagnostic Accuracy</w:t>
      </w:r>
    </w:p>
    <w:p w14:paraId="701B190B" w14:textId="730908A9" w:rsidR="009A7D0B" w:rsidRPr="006405EF" w:rsidRDefault="009A7D0B" w:rsidP="003F2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rPr>
      </w:pPr>
      <w:r w:rsidRPr="006405EF">
        <w:rPr>
          <w:rFonts w:ascii="Times New Roman" w:hAnsi="Times New Roman" w:cs="Times New Roman"/>
          <w:color w:val="000000"/>
          <w:sz w:val="20"/>
          <w:szCs w:val="20"/>
        </w:rPr>
        <w:t xml:space="preserve">The machine learning (ML) model, based on the LSTM–Fuzzy hybrid algorithm, demonstrated a high degree of correlation </w:t>
      </w:r>
      <m:oMath>
        <m:r>
          <w:rPr>
            <w:rFonts w:ascii="Cambria Math" w:hAnsi="Cambria Math" w:cs="Times New Roman"/>
            <w:color w:val="000000"/>
            <w:sz w:val="20"/>
            <w:szCs w:val="20"/>
          </w:rPr>
          <m:t>(R² = 0.968)</m:t>
        </m:r>
      </m:oMath>
      <w:r w:rsidRPr="006405EF">
        <w:rPr>
          <w:rFonts w:ascii="Times New Roman" w:hAnsi="Times New Roman" w:cs="Times New Roman"/>
          <w:color w:val="000000"/>
          <w:sz w:val="20"/>
          <w:szCs w:val="20"/>
        </w:rPr>
        <w:t xml:space="preserve"> between the predicted and observed parameters such as oil temperature, hydrogen gas concentration, and moisture content. The Root Mean Square Error (RMSE) did not exceed </w:t>
      </w:r>
      <m:oMath>
        <m:r>
          <w:rPr>
            <w:rFonts w:ascii="Cambria Math" w:hAnsi="Cambria Math" w:cs="Times New Roman"/>
            <w:color w:val="000000"/>
            <w:sz w:val="20"/>
            <w:szCs w:val="20"/>
          </w:rPr>
          <m:t>0.4 °C</m:t>
        </m:r>
      </m:oMath>
      <w:r w:rsidRPr="006405EF">
        <w:rPr>
          <w:rFonts w:ascii="Times New Roman" w:hAnsi="Times New Roman" w:cs="Times New Roman"/>
          <w:color w:val="000000"/>
          <w:sz w:val="20"/>
          <w:szCs w:val="20"/>
        </w:rPr>
        <w:t xml:space="preserve"> for temperature prediction and 2.3 ppm for hydrogen concentration, proving the model’s ability to capture nonlinear degradation behavior under varying operational loads.</w:t>
      </w:r>
      <w:r w:rsidR="00F236A9" w:rsidRPr="006405EF">
        <w:rPr>
          <w:rFonts w:ascii="Times New Roman" w:hAnsi="Times New Roman" w:cs="Times New Roman"/>
          <w:color w:val="000000"/>
          <w:sz w:val="20"/>
        </w:rPr>
        <w:t xml:space="preserve"> </w:t>
      </w:r>
      <w:r w:rsidR="00F236A9" w:rsidRPr="006405EF">
        <w:rPr>
          <w:rFonts w:ascii="Times New Roman" w:hAnsi="Times New Roman" w:cs="Times New Roman"/>
          <w:color w:val="000000"/>
          <w:sz w:val="20"/>
          <w:szCs w:val="20"/>
        </w:rPr>
        <w:t>[8].</w:t>
      </w:r>
    </w:p>
    <w:p w14:paraId="5A9CA0D3" w14:textId="76ED2EAC" w:rsidR="009A7D0B" w:rsidRPr="006405EF" w:rsidRDefault="009A7D0B" w:rsidP="00BB33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color w:val="000000"/>
          <w:sz w:val="20"/>
          <w:szCs w:val="20"/>
        </w:rPr>
      </w:pPr>
      <w:r w:rsidRPr="006405EF">
        <w:rPr>
          <w:rFonts w:ascii="Times New Roman" w:hAnsi="Times New Roman" w:cs="Times New Roman"/>
          <w:color w:val="000000"/>
          <w:sz w:val="20"/>
          <w:szCs w:val="20"/>
        </w:rPr>
        <w:t>Table 1 presents the comparison between measured and predicted values for selected diagnostic parameters.</w:t>
      </w:r>
    </w:p>
    <w:p w14:paraId="4883163F" w14:textId="77777777" w:rsidR="006405EF" w:rsidRDefault="006405EF" w:rsidP="00647F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color w:val="000000"/>
          <w:sz w:val="20"/>
          <w:szCs w:val="20"/>
        </w:rPr>
      </w:pPr>
    </w:p>
    <w:p w14:paraId="1C766CAA" w14:textId="5C912D48" w:rsidR="00647F0A" w:rsidRPr="009A7D0B" w:rsidRDefault="00647F0A" w:rsidP="00647F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color w:val="000000"/>
          <w:sz w:val="20"/>
          <w:szCs w:val="20"/>
        </w:rPr>
      </w:pPr>
      <w:r w:rsidRPr="00647F0A">
        <w:rPr>
          <w:rFonts w:ascii="Times New Roman" w:hAnsi="Times New Roman" w:cs="Times New Roman"/>
          <w:b/>
          <w:color w:val="000000"/>
          <w:sz w:val="20"/>
          <w:szCs w:val="20"/>
        </w:rPr>
        <w:t>TABLE 1</w:t>
      </w:r>
      <w:r w:rsidR="00BB33EE" w:rsidRPr="00553B8E">
        <w:rPr>
          <w:rFonts w:ascii="Times New Roman" w:hAnsi="Times New Roman" w:cs="Times New Roman"/>
          <w:b/>
          <w:color w:val="000000"/>
          <w:sz w:val="20"/>
          <w:szCs w:val="20"/>
        </w:rPr>
        <w:t>.</w:t>
      </w:r>
      <w:r w:rsidRPr="00647F0A">
        <w:rPr>
          <w:rFonts w:ascii="Times New Roman" w:hAnsi="Times New Roman" w:cs="Times New Roman"/>
          <w:b/>
          <w:bCs/>
          <w:color w:val="000000"/>
          <w:sz w:val="20"/>
          <w:szCs w:val="20"/>
        </w:rPr>
        <w:t xml:space="preserve"> </w:t>
      </w:r>
      <w:r w:rsidRPr="009A7D0B">
        <w:rPr>
          <w:rFonts w:ascii="Times New Roman" w:hAnsi="Times New Roman" w:cs="Times New Roman"/>
          <w:color w:val="000000"/>
          <w:sz w:val="20"/>
          <w:szCs w:val="20"/>
        </w:rPr>
        <w:t>Comparison of predicted and actual values of transformer condition parameters</w:t>
      </w:r>
    </w:p>
    <w:tbl>
      <w:tblPr>
        <w:tblStyle w:val="a3"/>
        <w:tblW w:w="0" w:type="auto"/>
        <w:jc w:val="center"/>
        <w:tblLook w:val="04A0" w:firstRow="1" w:lastRow="0" w:firstColumn="1" w:lastColumn="0" w:noHBand="0" w:noVBand="1"/>
      </w:tblPr>
      <w:tblGrid>
        <w:gridCol w:w="2446"/>
        <w:gridCol w:w="1481"/>
        <w:gridCol w:w="1451"/>
        <w:gridCol w:w="1011"/>
      </w:tblGrid>
      <w:tr w:rsidR="009A7D0B" w:rsidRPr="006405EF" w14:paraId="4E97CCC3" w14:textId="77777777" w:rsidTr="000F7F29">
        <w:trPr>
          <w:jc w:val="center"/>
        </w:trPr>
        <w:tc>
          <w:tcPr>
            <w:tcW w:w="0" w:type="auto"/>
            <w:hideMark/>
          </w:tcPr>
          <w:p w14:paraId="3A567546" w14:textId="77777777" w:rsidR="009A7D0B" w:rsidRPr="006405EF" w:rsidRDefault="009A7D0B" w:rsidP="006405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proofErr w:type="spellStart"/>
            <w:r w:rsidRPr="006405EF">
              <w:rPr>
                <w:b/>
                <w:bCs/>
                <w:color w:val="000000"/>
                <w:sz w:val="18"/>
                <w:szCs w:val="18"/>
              </w:rPr>
              <w:t>Parameter</w:t>
            </w:r>
            <w:proofErr w:type="spellEnd"/>
          </w:p>
        </w:tc>
        <w:tc>
          <w:tcPr>
            <w:tcW w:w="0" w:type="auto"/>
            <w:hideMark/>
          </w:tcPr>
          <w:p w14:paraId="21DDDE1E" w14:textId="77777777" w:rsidR="009A7D0B" w:rsidRPr="006405EF" w:rsidRDefault="009A7D0B" w:rsidP="006405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proofErr w:type="spellStart"/>
            <w:r w:rsidRPr="006405EF">
              <w:rPr>
                <w:b/>
                <w:bCs/>
                <w:color w:val="000000"/>
                <w:sz w:val="18"/>
                <w:szCs w:val="18"/>
              </w:rPr>
              <w:t>Measured</w:t>
            </w:r>
            <w:proofErr w:type="spellEnd"/>
            <w:r w:rsidRPr="006405EF">
              <w:rPr>
                <w:b/>
                <w:bCs/>
                <w:color w:val="000000"/>
                <w:sz w:val="18"/>
                <w:szCs w:val="18"/>
              </w:rPr>
              <w:t xml:space="preserve"> </w:t>
            </w:r>
            <w:proofErr w:type="spellStart"/>
            <w:r w:rsidRPr="006405EF">
              <w:rPr>
                <w:b/>
                <w:bCs/>
                <w:color w:val="000000"/>
                <w:sz w:val="18"/>
                <w:szCs w:val="18"/>
              </w:rPr>
              <w:t>Value</w:t>
            </w:r>
            <w:proofErr w:type="spellEnd"/>
          </w:p>
        </w:tc>
        <w:tc>
          <w:tcPr>
            <w:tcW w:w="0" w:type="auto"/>
            <w:hideMark/>
          </w:tcPr>
          <w:p w14:paraId="579ED6A6" w14:textId="77777777" w:rsidR="009A7D0B" w:rsidRPr="006405EF" w:rsidRDefault="009A7D0B" w:rsidP="006405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proofErr w:type="spellStart"/>
            <w:r w:rsidRPr="006405EF">
              <w:rPr>
                <w:b/>
                <w:bCs/>
                <w:color w:val="000000"/>
                <w:sz w:val="18"/>
                <w:szCs w:val="18"/>
              </w:rPr>
              <w:t>Predicted</w:t>
            </w:r>
            <w:proofErr w:type="spellEnd"/>
            <w:r w:rsidRPr="006405EF">
              <w:rPr>
                <w:b/>
                <w:bCs/>
                <w:color w:val="000000"/>
                <w:sz w:val="18"/>
                <w:szCs w:val="18"/>
              </w:rPr>
              <w:t xml:space="preserve"> </w:t>
            </w:r>
            <w:proofErr w:type="spellStart"/>
            <w:r w:rsidRPr="006405EF">
              <w:rPr>
                <w:b/>
                <w:bCs/>
                <w:color w:val="000000"/>
                <w:sz w:val="18"/>
                <w:szCs w:val="18"/>
              </w:rPr>
              <w:t>Value</w:t>
            </w:r>
            <w:proofErr w:type="spellEnd"/>
          </w:p>
        </w:tc>
        <w:tc>
          <w:tcPr>
            <w:tcW w:w="0" w:type="auto"/>
            <w:hideMark/>
          </w:tcPr>
          <w:p w14:paraId="039D8F86" w14:textId="77777777" w:rsidR="009A7D0B" w:rsidRPr="006405EF" w:rsidRDefault="009A7D0B" w:rsidP="006405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proofErr w:type="spellStart"/>
            <w:r w:rsidRPr="006405EF">
              <w:rPr>
                <w:b/>
                <w:bCs/>
                <w:color w:val="000000"/>
                <w:sz w:val="18"/>
                <w:szCs w:val="18"/>
              </w:rPr>
              <w:t>Error</w:t>
            </w:r>
            <w:proofErr w:type="spellEnd"/>
            <w:r w:rsidRPr="006405EF">
              <w:rPr>
                <w:b/>
                <w:bCs/>
                <w:color w:val="000000"/>
                <w:sz w:val="18"/>
                <w:szCs w:val="18"/>
              </w:rPr>
              <w:t xml:space="preserve"> (%)</w:t>
            </w:r>
          </w:p>
        </w:tc>
      </w:tr>
      <w:tr w:rsidR="009A7D0B" w:rsidRPr="006405EF" w14:paraId="6055040C" w14:textId="77777777" w:rsidTr="000F7F29">
        <w:trPr>
          <w:jc w:val="center"/>
        </w:trPr>
        <w:tc>
          <w:tcPr>
            <w:tcW w:w="0" w:type="auto"/>
            <w:hideMark/>
          </w:tcPr>
          <w:p w14:paraId="309740D0" w14:textId="77777777" w:rsidR="009A7D0B" w:rsidRPr="006405EF" w:rsidRDefault="009A7D0B" w:rsidP="006405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proofErr w:type="spellStart"/>
            <w:r w:rsidRPr="006405EF">
              <w:rPr>
                <w:color w:val="000000"/>
                <w:sz w:val="18"/>
                <w:szCs w:val="18"/>
              </w:rPr>
              <w:t>Oil</w:t>
            </w:r>
            <w:proofErr w:type="spellEnd"/>
            <w:r w:rsidRPr="006405EF">
              <w:rPr>
                <w:color w:val="000000"/>
                <w:sz w:val="18"/>
                <w:szCs w:val="18"/>
              </w:rPr>
              <w:t xml:space="preserve"> </w:t>
            </w:r>
            <w:proofErr w:type="spellStart"/>
            <w:r w:rsidRPr="006405EF">
              <w:rPr>
                <w:color w:val="000000"/>
                <w:sz w:val="18"/>
                <w:szCs w:val="18"/>
              </w:rPr>
              <w:t>temperature</w:t>
            </w:r>
            <w:proofErr w:type="spellEnd"/>
            <w:r w:rsidRPr="006405EF">
              <w:rPr>
                <w:color w:val="000000"/>
                <w:sz w:val="18"/>
                <w:szCs w:val="18"/>
              </w:rPr>
              <w:t xml:space="preserve"> (°C)</w:t>
            </w:r>
          </w:p>
        </w:tc>
        <w:tc>
          <w:tcPr>
            <w:tcW w:w="0" w:type="auto"/>
            <w:hideMark/>
          </w:tcPr>
          <w:p w14:paraId="359E3B96" w14:textId="77777777" w:rsidR="009A7D0B" w:rsidRPr="006405EF" w:rsidRDefault="009A7D0B" w:rsidP="006405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6405EF">
              <w:rPr>
                <w:color w:val="000000"/>
                <w:sz w:val="18"/>
                <w:szCs w:val="18"/>
              </w:rPr>
              <w:t>78.5</w:t>
            </w:r>
          </w:p>
        </w:tc>
        <w:tc>
          <w:tcPr>
            <w:tcW w:w="0" w:type="auto"/>
            <w:hideMark/>
          </w:tcPr>
          <w:p w14:paraId="1260C309" w14:textId="77777777" w:rsidR="009A7D0B" w:rsidRPr="006405EF" w:rsidRDefault="009A7D0B" w:rsidP="006405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6405EF">
              <w:rPr>
                <w:color w:val="000000"/>
                <w:sz w:val="18"/>
                <w:szCs w:val="18"/>
              </w:rPr>
              <w:t>78.2</w:t>
            </w:r>
          </w:p>
        </w:tc>
        <w:tc>
          <w:tcPr>
            <w:tcW w:w="0" w:type="auto"/>
            <w:hideMark/>
          </w:tcPr>
          <w:p w14:paraId="2526E612" w14:textId="77777777" w:rsidR="009A7D0B" w:rsidRPr="006405EF" w:rsidRDefault="009A7D0B" w:rsidP="006405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6405EF">
              <w:rPr>
                <w:color w:val="000000"/>
                <w:sz w:val="18"/>
                <w:szCs w:val="18"/>
              </w:rPr>
              <w:t>0.38</w:t>
            </w:r>
          </w:p>
        </w:tc>
      </w:tr>
      <w:tr w:rsidR="009A7D0B" w:rsidRPr="006405EF" w14:paraId="5368D1B0" w14:textId="77777777" w:rsidTr="000F7F29">
        <w:trPr>
          <w:jc w:val="center"/>
        </w:trPr>
        <w:tc>
          <w:tcPr>
            <w:tcW w:w="0" w:type="auto"/>
            <w:hideMark/>
          </w:tcPr>
          <w:p w14:paraId="38893373" w14:textId="77777777" w:rsidR="009A7D0B" w:rsidRPr="006405EF" w:rsidRDefault="009A7D0B" w:rsidP="006405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proofErr w:type="spellStart"/>
            <w:r w:rsidRPr="006405EF">
              <w:rPr>
                <w:color w:val="000000"/>
                <w:sz w:val="18"/>
                <w:szCs w:val="18"/>
              </w:rPr>
              <w:t>Hydrogen</w:t>
            </w:r>
            <w:proofErr w:type="spellEnd"/>
            <w:r w:rsidRPr="006405EF">
              <w:rPr>
                <w:color w:val="000000"/>
                <w:sz w:val="18"/>
                <w:szCs w:val="18"/>
              </w:rPr>
              <w:t xml:space="preserve"> </w:t>
            </w:r>
            <w:proofErr w:type="spellStart"/>
            <w:r w:rsidRPr="006405EF">
              <w:rPr>
                <w:color w:val="000000"/>
                <w:sz w:val="18"/>
                <w:szCs w:val="18"/>
              </w:rPr>
              <w:t>concentration</w:t>
            </w:r>
            <w:proofErr w:type="spellEnd"/>
            <w:r w:rsidRPr="006405EF">
              <w:rPr>
                <w:color w:val="000000"/>
                <w:sz w:val="18"/>
                <w:szCs w:val="18"/>
              </w:rPr>
              <w:t xml:space="preserve"> (</w:t>
            </w:r>
            <w:proofErr w:type="spellStart"/>
            <w:r w:rsidRPr="006405EF">
              <w:rPr>
                <w:color w:val="000000"/>
                <w:sz w:val="18"/>
                <w:szCs w:val="18"/>
              </w:rPr>
              <w:t>ppm</w:t>
            </w:r>
            <w:proofErr w:type="spellEnd"/>
            <w:r w:rsidRPr="006405EF">
              <w:rPr>
                <w:color w:val="000000"/>
                <w:sz w:val="18"/>
                <w:szCs w:val="18"/>
              </w:rPr>
              <w:t>)</w:t>
            </w:r>
          </w:p>
        </w:tc>
        <w:tc>
          <w:tcPr>
            <w:tcW w:w="0" w:type="auto"/>
            <w:hideMark/>
          </w:tcPr>
          <w:p w14:paraId="02879C9F" w14:textId="77777777" w:rsidR="009A7D0B" w:rsidRPr="006405EF" w:rsidRDefault="009A7D0B" w:rsidP="006405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6405EF">
              <w:rPr>
                <w:color w:val="000000"/>
                <w:sz w:val="18"/>
                <w:szCs w:val="18"/>
              </w:rPr>
              <w:t>135</w:t>
            </w:r>
          </w:p>
        </w:tc>
        <w:tc>
          <w:tcPr>
            <w:tcW w:w="0" w:type="auto"/>
            <w:hideMark/>
          </w:tcPr>
          <w:p w14:paraId="27902B12" w14:textId="77777777" w:rsidR="009A7D0B" w:rsidRPr="006405EF" w:rsidRDefault="009A7D0B" w:rsidP="006405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6405EF">
              <w:rPr>
                <w:color w:val="000000"/>
                <w:sz w:val="18"/>
                <w:szCs w:val="18"/>
              </w:rPr>
              <w:t>132</w:t>
            </w:r>
          </w:p>
        </w:tc>
        <w:tc>
          <w:tcPr>
            <w:tcW w:w="0" w:type="auto"/>
            <w:hideMark/>
          </w:tcPr>
          <w:p w14:paraId="60D12AEE" w14:textId="77777777" w:rsidR="009A7D0B" w:rsidRPr="006405EF" w:rsidRDefault="009A7D0B" w:rsidP="006405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6405EF">
              <w:rPr>
                <w:color w:val="000000"/>
                <w:sz w:val="18"/>
                <w:szCs w:val="18"/>
              </w:rPr>
              <w:t>2.22</w:t>
            </w:r>
          </w:p>
        </w:tc>
      </w:tr>
      <w:tr w:rsidR="009A7D0B" w:rsidRPr="006405EF" w14:paraId="475039F6" w14:textId="77777777" w:rsidTr="000F7F29">
        <w:trPr>
          <w:jc w:val="center"/>
        </w:trPr>
        <w:tc>
          <w:tcPr>
            <w:tcW w:w="0" w:type="auto"/>
            <w:hideMark/>
          </w:tcPr>
          <w:p w14:paraId="774135FC" w14:textId="77777777" w:rsidR="009A7D0B" w:rsidRPr="006405EF" w:rsidRDefault="009A7D0B" w:rsidP="006405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6405EF">
              <w:rPr>
                <w:color w:val="000000"/>
                <w:sz w:val="18"/>
                <w:szCs w:val="18"/>
              </w:rPr>
              <w:t xml:space="preserve">CO </w:t>
            </w:r>
            <w:proofErr w:type="spellStart"/>
            <w:r w:rsidRPr="006405EF">
              <w:rPr>
                <w:color w:val="000000"/>
                <w:sz w:val="18"/>
                <w:szCs w:val="18"/>
              </w:rPr>
              <w:t>concentration</w:t>
            </w:r>
            <w:proofErr w:type="spellEnd"/>
            <w:r w:rsidRPr="006405EF">
              <w:rPr>
                <w:color w:val="000000"/>
                <w:sz w:val="18"/>
                <w:szCs w:val="18"/>
              </w:rPr>
              <w:t xml:space="preserve"> (</w:t>
            </w:r>
            <w:proofErr w:type="spellStart"/>
            <w:r w:rsidRPr="006405EF">
              <w:rPr>
                <w:color w:val="000000"/>
                <w:sz w:val="18"/>
                <w:szCs w:val="18"/>
              </w:rPr>
              <w:t>ppm</w:t>
            </w:r>
            <w:proofErr w:type="spellEnd"/>
            <w:r w:rsidRPr="006405EF">
              <w:rPr>
                <w:color w:val="000000"/>
                <w:sz w:val="18"/>
                <w:szCs w:val="18"/>
              </w:rPr>
              <w:t>)</w:t>
            </w:r>
          </w:p>
        </w:tc>
        <w:tc>
          <w:tcPr>
            <w:tcW w:w="0" w:type="auto"/>
            <w:hideMark/>
          </w:tcPr>
          <w:p w14:paraId="1BC0F7B7" w14:textId="77777777" w:rsidR="009A7D0B" w:rsidRPr="006405EF" w:rsidRDefault="009A7D0B" w:rsidP="006405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6405EF">
              <w:rPr>
                <w:color w:val="000000"/>
                <w:sz w:val="18"/>
                <w:szCs w:val="18"/>
              </w:rPr>
              <w:t>95</w:t>
            </w:r>
          </w:p>
        </w:tc>
        <w:tc>
          <w:tcPr>
            <w:tcW w:w="0" w:type="auto"/>
            <w:hideMark/>
          </w:tcPr>
          <w:p w14:paraId="54EBE200" w14:textId="77777777" w:rsidR="009A7D0B" w:rsidRPr="006405EF" w:rsidRDefault="009A7D0B" w:rsidP="006405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6405EF">
              <w:rPr>
                <w:color w:val="000000"/>
                <w:sz w:val="18"/>
                <w:szCs w:val="18"/>
              </w:rPr>
              <w:t>96</w:t>
            </w:r>
          </w:p>
        </w:tc>
        <w:tc>
          <w:tcPr>
            <w:tcW w:w="0" w:type="auto"/>
            <w:hideMark/>
          </w:tcPr>
          <w:p w14:paraId="7849EE84" w14:textId="77777777" w:rsidR="009A7D0B" w:rsidRPr="006405EF" w:rsidRDefault="009A7D0B" w:rsidP="006405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6405EF">
              <w:rPr>
                <w:color w:val="000000"/>
                <w:sz w:val="18"/>
                <w:szCs w:val="18"/>
              </w:rPr>
              <w:t>1.05</w:t>
            </w:r>
          </w:p>
        </w:tc>
      </w:tr>
      <w:tr w:rsidR="009A7D0B" w:rsidRPr="006405EF" w14:paraId="4449E86D" w14:textId="77777777" w:rsidTr="000F7F29">
        <w:trPr>
          <w:jc w:val="center"/>
        </w:trPr>
        <w:tc>
          <w:tcPr>
            <w:tcW w:w="0" w:type="auto"/>
            <w:hideMark/>
          </w:tcPr>
          <w:p w14:paraId="6BCC5D85" w14:textId="77777777" w:rsidR="009A7D0B" w:rsidRPr="006405EF" w:rsidRDefault="009A7D0B" w:rsidP="006405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proofErr w:type="spellStart"/>
            <w:r w:rsidRPr="006405EF">
              <w:rPr>
                <w:color w:val="000000"/>
                <w:sz w:val="18"/>
                <w:szCs w:val="18"/>
              </w:rPr>
              <w:t>Moisture</w:t>
            </w:r>
            <w:proofErr w:type="spellEnd"/>
            <w:r w:rsidRPr="006405EF">
              <w:rPr>
                <w:color w:val="000000"/>
                <w:sz w:val="18"/>
                <w:szCs w:val="18"/>
              </w:rPr>
              <w:t xml:space="preserve"> </w:t>
            </w:r>
            <w:proofErr w:type="spellStart"/>
            <w:r w:rsidRPr="006405EF">
              <w:rPr>
                <w:color w:val="000000"/>
                <w:sz w:val="18"/>
                <w:szCs w:val="18"/>
              </w:rPr>
              <w:t>in</w:t>
            </w:r>
            <w:proofErr w:type="spellEnd"/>
            <w:r w:rsidRPr="006405EF">
              <w:rPr>
                <w:color w:val="000000"/>
                <w:sz w:val="18"/>
                <w:szCs w:val="18"/>
              </w:rPr>
              <w:t xml:space="preserve"> </w:t>
            </w:r>
            <w:proofErr w:type="spellStart"/>
            <w:r w:rsidRPr="006405EF">
              <w:rPr>
                <w:color w:val="000000"/>
                <w:sz w:val="18"/>
                <w:szCs w:val="18"/>
              </w:rPr>
              <w:t>oil</w:t>
            </w:r>
            <w:proofErr w:type="spellEnd"/>
            <w:r w:rsidRPr="006405EF">
              <w:rPr>
                <w:color w:val="000000"/>
                <w:sz w:val="18"/>
                <w:szCs w:val="18"/>
              </w:rPr>
              <w:t xml:space="preserve"> (%)</w:t>
            </w:r>
          </w:p>
        </w:tc>
        <w:tc>
          <w:tcPr>
            <w:tcW w:w="0" w:type="auto"/>
            <w:hideMark/>
          </w:tcPr>
          <w:p w14:paraId="1A2C9847" w14:textId="77777777" w:rsidR="009A7D0B" w:rsidRPr="006405EF" w:rsidRDefault="009A7D0B" w:rsidP="006405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6405EF">
              <w:rPr>
                <w:color w:val="000000"/>
                <w:sz w:val="18"/>
                <w:szCs w:val="18"/>
              </w:rPr>
              <w:t>0.34</w:t>
            </w:r>
          </w:p>
        </w:tc>
        <w:tc>
          <w:tcPr>
            <w:tcW w:w="0" w:type="auto"/>
            <w:hideMark/>
          </w:tcPr>
          <w:p w14:paraId="3BDA9111" w14:textId="77777777" w:rsidR="009A7D0B" w:rsidRPr="006405EF" w:rsidRDefault="009A7D0B" w:rsidP="006405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6405EF">
              <w:rPr>
                <w:color w:val="000000"/>
                <w:sz w:val="18"/>
                <w:szCs w:val="18"/>
              </w:rPr>
              <w:t>0.33</w:t>
            </w:r>
          </w:p>
        </w:tc>
        <w:tc>
          <w:tcPr>
            <w:tcW w:w="0" w:type="auto"/>
            <w:hideMark/>
          </w:tcPr>
          <w:p w14:paraId="4AFC18A2" w14:textId="77777777" w:rsidR="009A7D0B" w:rsidRPr="006405EF" w:rsidRDefault="009A7D0B" w:rsidP="006405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6405EF">
              <w:rPr>
                <w:color w:val="000000"/>
                <w:sz w:val="18"/>
                <w:szCs w:val="18"/>
              </w:rPr>
              <w:t>2.94</w:t>
            </w:r>
          </w:p>
        </w:tc>
      </w:tr>
    </w:tbl>
    <w:p w14:paraId="1EF8DC1D" w14:textId="0DEC2D79" w:rsidR="000F7F29" w:rsidRPr="006405EF" w:rsidRDefault="000F7F29" w:rsidP="009A7D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000000"/>
          <w:sz w:val="18"/>
          <w:szCs w:val="18"/>
        </w:rPr>
      </w:pPr>
    </w:p>
    <w:p w14:paraId="626674D0" w14:textId="5A555E1A" w:rsidR="009A7D0B" w:rsidRPr="009A7D0B" w:rsidRDefault="009A7D0B" w:rsidP="006405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rPr>
      </w:pPr>
      <w:r w:rsidRPr="009A7D0B">
        <w:rPr>
          <w:rFonts w:ascii="Times New Roman" w:hAnsi="Times New Roman" w:cs="Times New Roman"/>
          <w:color w:val="000000"/>
          <w:sz w:val="20"/>
          <w:szCs w:val="20"/>
        </w:rPr>
        <w:t>The results clearly indicate the stability and reliability of the trained model across different loading conditions and environmental temperatures.</w:t>
      </w:r>
    </w:p>
    <w:p w14:paraId="0F9C39E4" w14:textId="5AE9FEBA" w:rsidR="009A7D0B" w:rsidRPr="009A7D0B" w:rsidRDefault="009A7D0B" w:rsidP="006405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0"/>
          <w:szCs w:val="20"/>
        </w:rPr>
      </w:pPr>
      <w:r w:rsidRPr="009A7D0B">
        <w:rPr>
          <w:rFonts w:ascii="Times New Roman" w:hAnsi="Times New Roman" w:cs="Times New Roman"/>
          <w:color w:val="000000"/>
          <w:sz w:val="20"/>
          <w:szCs w:val="20"/>
        </w:rPr>
        <w:t xml:space="preserve">Dynamic Behavior of </w:t>
      </w:r>
      <w:r w:rsidR="00647F0A" w:rsidRPr="009A7D0B">
        <w:rPr>
          <w:rFonts w:ascii="Times New Roman" w:hAnsi="Times New Roman" w:cs="Times New Roman"/>
          <w:color w:val="000000"/>
          <w:sz w:val="20"/>
          <w:szCs w:val="20"/>
        </w:rPr>
        <w:t>key diagnostic indicators</w:t>
      </w:r>
    </w:p>
    <w:p w14:paraId="776589A3" w14:textId="3ED00BE7" w:rsidR="009A7D0B" w:rsidRPr="009A7D0B" w:rsidRDefault="009A7D0B" w:rsidP="006405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rPr>
      </w:pPr>
      <w:r w:rsidRPr="009A7D0B">
        <w:rPr>
          <w:rFonts w:ascii="Times New Roman" w:hAnsi="Times New Roman" w:cs="Times New Roman"/>
          <w:color w:val="000000"/>
          <w:sz w:val="20"/>
          <w:szCs w:val="20"/>
        </w:rPr>
        <w:t xml:space="preserve">Figure </w:t>
      </w:r>
      <w:r w:rsidR="00647F0A" w:rsidRPr="00647F0A">
        <w:rPr>
          <w:rFonts w:ascii="Times New Roman" w:hAnsi="Times New Roman" w:cs="Times New Roman"/>
          <w:color w:val="000000"/>
          <w:sz w:val="20"/>
          <w:szCs w:val="20"/>
        </w:rPr>
        <w:t>2</w:t>
      </w:r>
      <w:r w:rsidRPr="009A7D0B">
        <w:rPr>
          <w:rFonts w:ascii="Times New Roman" w:hAnsi="Times New Roman" w:cs="Times New Roman"/>
          <w:color w:val="000000"/>
          <w:sz w:val="20"/>
          <w:szCs w:val="20"/>
        </w:rPr>
        <w:t xml:space="preserve"> illustrates the temporal evolution of Health Index (HI) over a 120-hour observation period under varying load profiles. The HI gradually declined from 0.94 to 0.76, reflecting the cumulative impact of thermal and chemical </w:t>
      </w:r>
      <w:r w:rsidRPr="009A7D0B">
        <w:rPr>
          <w:rFonts w:ascii="Times New Roman" w:hAnsi="Times New Roman" w:cs="Times New Roman"/>
          <w:color w:val="000000"/>
          <w:sz w:val="20"/>
          <w:szCs w:val="20"/>
        </w:rPr>
        <w:lastRenderedPageBreak/>
        <w:t>stresses on the insulation system. Periodic recovery phases were observed during off-load periods, confirming the model’s sensitivity to transient relaxation effects in transformer oil and windings.</w:t>
      </w:r>
    </w:p>
    <w:p w14:paraId="0D5E19B2" w14:textId="77777777" w:rsidR="009A7D0B" w:rsidRPr="009A7D0B" w:rsidRDefault="009A7D0B" w:rsidP="006405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0"/>
          <w:szCs w:val="20"/>
        </w:rPr>
      </w:pPr>
      <w:r w:rsidRPr="009A7D0B">
        <w:rPr>
          <w:rFonts w:ascii="Times New Roman" w:hAnsi="Times New Roman" w:cs="Times New Roman"/>
          <w:color w:val="000000"/>
          <w:sz w:val="20"/>
          <w:szCs w:val="20"/>
        </w:rPr>
        <w:t>The following empirical relation was derived to describe the decline trend:</w:t>
      </w:r>
    </w:p>
    <w:p w14:paraId="6E0C6F4B" w14:textId="5B47FDFB" w:rsidR="009A7D0B" w:rsidRPr="009A7D0B" w:rsidRDefault="00647F0A" w:rsidP="00647F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color w:val="000000"/>
          <w:sz w:val="20"/>
          <w:szCs w:val="20"/>
        </w:rPr>
      </w:pPr>
      <m:oMathPara>
        <m:oMath>
          <m:r>
            <w:rPr>
              <w:rFonts w:ascii="Cambria Math" w:hAnsi="Cambria Math" w:cs="Times New Roman"/>
              <w:color w:val="000000"/>
              <w:sz w:val="20"/>
              <w:szCs w:val="20"/>
            </w:rPr>
            <m:t>HI</m:t>
          </m:r>
          <m:d>
            <m:dPr>
              <m:ctrlPr>
                <w:rPr>
                  <w:rFonts w:ascii="Cambria Math" w:hAnsi="Cambria Math" w:cs="Times New Roman"/>
                  <w:i/>
                  <w:color w:val="000000"/>
                  <w:sz w:val="20"/>
                  <w:szCs w:val="20"/>
                </w:rPr>
              </m:ctrlPr>
            </m:dPr>
            <m:e>
              <m:r>
                <w:rPr>
                  <w:rFonts w:ascii="Cambria Math" w:hAnsi="Cambria Math" w:cs="Times New Roman"/>
                  <w:color w:val="000000"/>
                  <w:sz w:val="20"/>
                  <w:szCs w:val="20"/>
                </w:rPr>
                <m:t>t</m:t>
              </m:r>
            </m:e>
          </m:d>
          <m:r>
            <w:rPr>
              <w:rFonts w:ascii="Cambria Math" w:hAnsi="Cambria Math" w:cs="Times New Roman"/>
              <w:color w:val="000000"/>
              <w:sz w:val="20"/>
              <w:szCs w:val="20"/>
            </w:rPr>
            <m:t>=1-α×</m:t>
          </m:r>
          <m:d>
            <m:dPr>
              <m:ctrlPr>
                <w:rPr>
                  <w:rFonts w:ascii="Cambria Math" w:hAnsi="Cambria Math" w:cs="Times New Roman"/>
                  <w:i/>
                  <w:color w:val="000000"/>
                  <w:sz w:val="20"/>
                  <w:szCs w:val="20"/>
                </w:rPr>
              </m:ctrlPr>
            </m:dPr>
            <m:e>
              <m:r>
                <w:rPr>
                  <w:rFonts w:ascii="Cambria Math" w:hAnsi="Cambria Math" w:cs="Times New Roman"/>
                  <w:color w:val="000000"/>
                  <w:sz w:val="20"/>
                  <w:szCs w:val="20"/>
                </w:rPr>
                <m:t>1-</m:t>
              </m:r>
              <m:sSup>
                <m:sSupPr>
                  <m:ctrlPr>
                    <w:rPr>
                      <w:rFonts w:ascii="Cambria Math" w:hAnsi="Cambria Math" w:cs="Times New Roman"/>
                      <w:i/>
                      <w:color w:val="000000"/>
                      <w:sz w:val="20"/>
                      <w:szCs w:val="20"/>
                    </w:rPr>
                  </m:ctrlPr>
                </m:sSupPr>
                <m:e>
                  <m:r>
                    <w:rPr>
                      <w:rFonts w:ascii="Cambria Math" w:hAnsi="Cambria Math" w:cs="Times New Roman"/>
                      <w:color w:val="000000"/>
                      <w:sz w:val="20"/>
                      <w:szCs w:val="20"/>
                    </w:rPr>
                    <m:t>e</m:t>
                  </m:r>
                </m:e>
                <m:sup>
                  <m:r>
                    <w:rPr>
                      <w:rFonts w:ascii="Cambria Math" w:hAnsi="Cambria Math" w:cs="Times New Roman"/>
                      <w:color w:val="000000"/>
                      <w:sz w:val="20"/>
                      <w:szCs w:val="20"/>
                    </w:rPr>
                    <m:t>-βt</m:t>
                  </m:r>
                </m:sup>
              </m:sSup>
            </m:e>
          </m:d>
          <m:r>
            <w:rPr>
              <w:rFonts w:ascii="Cambria Math" w:hAnsi="Cambria Math" w:cs="Times New Roman"/>
              <w:color w:val="000000"/>
              <w:sz w:val="20"/>
              <w:szCs w:val="20"/>
            </w:rPr>
            <m:t xml:space="preserve">     </m:t>
          </m:r>
        </m:oMath>
      </m:oMathPara>
    </w:p>
    <w:p w14:paraId="6E1681D6" w14:textId="67647222" w:rsidR="009A7D0B" w:rsidRPr="009A7D0B" w:rsidRDefault="006405EF" w:rsidP="003F2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0"/>
          <w:szCs w:val="20"/>
        </w:rPr>
      </w:pPr>
      <w:r w:rsidRPr="009A7D0B">
        <w:rPr>
          <w:rFonts w:ascii="Times New Roman" w:hAnsi="Times New Roman" w:cs="Times New Roman"/>
          <w:color w:val="000000"/>
          <w:sz w:val="20"/>
          <w:szCs w:val="20"/>
        </w:rPr>
        <w:t>W</w:t>
      </w:r>
      <w:r w:rsidR="009A7D0B" w:rsidRPr="009A7D0B">
        <w:rPr>
          <w:rFonts w:ascii="Times New Roman" w:hAnsi="Times New Roman" w:cs="Times New Roman"/>
          <w:color w:val="000000"/>
          <w:sz w:val="20"/>
          <w:szCs w:val="20"/>
        </w:rPr>
        <w:t>here</w:t>
      </w:r>
      <w:r>
        <w:rPr>
          <w:rFonts w:ascii="Times New Roman" w:hAnsi="Times New Roman" w:cs="Times New Roman"/>
          <w:color w:val="000000"/>
          <w:sz w:val="20"/>
          <w:szCs w:val="20"/>
        </w:rPr>
        <w:t xml:space="preserve">; </w:t>
      </w:r>
      <m:oMath>
        <m:r>
          <w:rPr>
            <w:rFonts w:ascii="Cambria Math" w:hAnsi="Cambria Math" w:cs="Times New Roman"/>
            <w:color w:val="000000"/>
            <w:sz w:val="20"/>
            <w:szCs w:val="20"/>
            <w:lang w:val="ru-RU"/>
          </w:rPr>
          <m:t>α</m:t>
        </m:r>
      </m:oMath>
      <w:r w:rsidR="009A7D0B" w:rsidRPr="009A7D0B">
        <w:rPr>
          <w:rFonts w:ascii="Times New Roman" w:hAnsi="Times New Roman" w:cs="Times New Roman"/>
          <w:color w:val="000000"/>
          <w:sz w:val="20"/>
          <w:szCs w:val="20"/>
        </w:rPr>
        <w:t xml:space="preserve"> — degradation coefficient (dimensionless),</w:t>
      </w:r>
      <w:r>
        <w:rPr>
          <w:rFonts w:ascii="Times New Roman" w:hAnsi="Times New Roman" w:cs="Times New Roman"/>
          <w:color w:val="000000"/>
          <w:sz w:val="20"/>
          <w:szCs w:val="20"/>
        </w:rPr>
        <w:t xml:space="preserve"> </w:t>
      </w:r>
      <w:r w:rsidRPr="006405EF">
        <w:rPr>
          <w:rFonts w:ascii="Cambria Math" w:hAnsi="Cambria Math" w:cs="Times New Roman"/>
          <w:i/>
          <w:color w:val="000000"/>
          <w:sz w:val="20"/>
          <w:szCs w:val="20"/>
        </w:rPr>
        <w:t xml:space="preserve"> </w:t>
      </w:r>
      <m:oMath>
        <m:r>
          <w:rPr>
            <w:rFonts w:ascii="Cambria Math" w:hAnsi="Cambria Math" w:cs="Times New Roman"/>
            <w:color w:val="000000"/>
            <w:sz w:val="20"/>
            <w:szCs w:val="20"/>
            <w:lang w:val="ru-RU"/>
          </w:rPr>
          <m:t>β</m:t>
        </m:r>
      </m:oMath>
      <w:r w:rsidR="009A7D0B" w:rsidRPr="009A7D0B">
        <w:rPr>
          <w:rFonts w:ascii="Times New Roman" w:hAnsi="Times New Roman" w:cs="Times New Roman"/>
          <w:color w:val="000000"/>
          <w:sz w:val="20"/>
          <w:szCs w:val="20"/>
        </w:rPr>
        <w:t>— rate of aging</w:t>
      </w:r>
      <m:oMath>
        <m:r>
          <w:rPr>
            <w:rFonts w:ascii="Cambria Math" w:hAnsi="Cambria Math" w:cs="Times New Roman"/>
            <w:color w:val="000000"/>
            <w:sz w:val="20"/>
            <w:szCs w:val="20"/>
          </w:rPr>
          <m:t xml:space="preserve"> (h⁻¹),t</m:t>
        </m:r>
      </m:oMath>
      <w:r w:rsidR="009A7D0B" w:rsidRPr="009A7D0B">
        <w:rPr>
          <w:rFonts w:ascii="Times New Roman" w:hAnsi="Times New Roman" w:cs="Times New Roman"/>
          <w:color w:val="000000"/>
          <w:sz w:val="20"/>
          <w:szCs w:val="20"/>
        </w:rPr>
        <w:t>— operating time (hours).</w:t>
      </w:r>
    </w:p>
    <w:p w14:paraId="707FD6AA" w14:textId="38620F63" w:rsidR="009A7D0B" w:rsidRPr="009A7D0B" w:rsidRDefault="009A7D0B" w:rsidP="003F2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rPr>
      </w:pPr>
      <w:r w:rsidRPr="009A7D0B">
        <w:rPr>
          <w:rFonts w:ascii="Times New Roman" w:hAnsi="Times New Roman" w:cs="Times New Roman"/>
          <w:color w:val="000000"/>
          <w:sz w:val="20"/>
          <w:szCs w:val="20"/>
        </w:rPr>
        <w:t xml:space="preserve">The parameters </w:t>
      </w:r>
      <m:oMath>
        <m:r>
          <w:rPr>
            <w:rFonts w:ascii="Cambria Math" w:hAnsi="Cambria Math" w:cs="Times New Roman"/>
            <w:color w:val="000000"/>
            <w:sz w:val="20"/>
            <w:szCs w:val="20"/>
            <w:lang w:val="ru-RU"/>
          </w:rPr>
          <m:t>α</m:t>
        </m:r>
        <m:r>
          <w:rPr>
            <w:rFonts w:ascii="Cambria Math" w:hAnsi="Cambria Math" w:cs="Times New Roman"/>
            <w:color w:val="000000"/>
            <w:sz w:val="20"/>
            <w:szCs w:val="20"/>
          </w:rPr>
          <m:t xml:space="preserve">=0.24  and </m:t>
        </m:r>
        <m:r>
          <w:rPr>
            <w:rFonts w:ascii="Cambria Math" w:hAnsi="Cambria Math" w:cs="Times New Roman"/>
            <w:color w:val="000000"/>
            <w:sz w:val="20"/>
            <w:szCs w:val="20"/>
            <w:lang w:val="ru-RU"/>
          </w:rPr>
          <m:t>β</m:t>
        </m:r>
        <m:r>
          <w:rPr>
            <w:rFonts w:ascii="Cambria Math" w:hAnsi="Cambria Math" w:cs="Times New Roman"/>
            <w:color w:val="000000"/>
            <w:sz w:val="20"/>
            <w:szCs w:val="20"/>
          </w:rPr>
          <m:t>=0.0058</m:t>
        </m:r>
      </m:oMath>
      <w:r w:rsidRPr="009A7D0B">
        <w:rPr>
          <w:rFonts w:ascii="Times New Roman" w:hAnsi="Times New Roman" w:cs="Times New Roman"/>
          <w:color w:val="000000"/>
          <w:sz w:val="20"/>
          <w:szCs w:val="20"/>
        </w:rPr>
        <w:t xml:space="preserve"> were obtained by curve fitting the experimental data, indicating slow but progressive insulation deterioration under nominal load conditions.</w:t>
      </w:r>
    </w:p>
    <w:p w14:paraId="735B358F" w14:textId="30016E0F" w:rsidR="009A7D0B" w:rsidRPr="009A7D0B" w:rsidRDefault="009A7D0B" w:rsidP="003F2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0"/>
          <w:szCs w:val="20"/>
        </w:rPr>
      </w:pPr>
      <w:r w:rsidRPr="009A7D0B">
        <w:rPr>
          <w:rFonts w:ascii="Times New Roman" w:hAnsi="Times New Roman" w:cs="Times New Roman"/>
          <w:color w:val="000000"/>
          <w:sz w:val="20"/>
          <w:szCs w:val="20"/>
        </w:rPr>
        <w:t xml:space="preserve">Correlation of DGA </w:t>
      </w:r>
      <w:r w:rsidR="00647F0A" w:rsidRPr="009A7D0B">
        <w:rPr>
          <w:rFonts w:ascii="Times New Roman" w:hAnsi="Times New Roman" w:cs="Times New Roman"/>
          <w:color w:val="000000"/>
          <w:sz w:val="20"/>
          <w:szCs w:val="20"/>
        </w:rPr>
        <w:t>parameters with transformer aging</w:t>
      </w:r>
    </w:p>
    <w:p w14:paraId="0D22AE41" w14:textId="54CDDF9E" w:rsidR="009A7D0B" w:rsidRPr="009A7D0B" w:rsidRDefault="009A7D0B" w:rsidP="003F2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rPr>
      </w:pPr>
      <w:r w:rsidRPr="009A7D0B">
        <w:rPr>
          <w:rFonts w:ascii="Times New Roman" w:hAnsi="Times New Roman" w:cs="Times New Roman"/>
          <w:color w:val="000000"/>
          <w:sz w:val="20"/>
          <w:szCs w:val="20"/>
        </w:rPr>
        <w:t xml:space="preserve">Statistical analysis confirmed strong correlations between hydrogen </w:t>
      </w:r>
      <m:oMath>
        <m:r>
          <w:rPr>
            <w:rFonts w:ascii="Cambria Math" w:hAnsi="Cambria Math" w:cs="Times New Roman"/>
            <w:color w:val="000000"/>
            <w:sz w:val="20"/>
            <w:szCs w:val="20"/>
          </w:rPr>
          <m:t>(H₂)</m:t>
        </m:r>
      </m:oMath>
      <w:r w:rsidRPr="009A7D0B">
        <w:rPr>
          <w:rFonts w:ascii="Times New Roman" w:hAnsi="Times New Roman" w:cs="Times New Roman"/>
          <w:color w:val="000000"/>
          <w:sz w:val="20"/>
          <w:szCs w:val="20"/>
        </w:rPr>
        <w:t xml:space="preserve"> and acetylene </w:t>
      </w:r>
      <m:oMath>
        <m:r>
          <w:rPr>
            <w:rFonts w:ascii="Cambria Math" w:hAnsi="Cambria Math" w:cs="Times New Roman"/>
            <w:color w:val="000000"/>
            <w:sz w:val="20"/>
            <w:szCs w:val="20"/>
          </w:rPr>
          <m:t xml:space="preserve">(C₂H₂) </m:t>
        </m:r>
      </m:oMath>
      <w:r w:rsidRPr="009A7D0B">
        <w:rPr>
          <w:rFonts w:ascii="Times New Roman" w:hAnsi="Times New Roman" w:cs="Times New Roman"/>
          <w:color w:val="000000"/>
          <w:sz w:val="20"/>
          <w:szCs w:val="20"/>
        </w:rPr>
        <w:t xml:space="preserve">generation rates and the calculated Health Index. The Pearson correlation coefficients reached </w:t>
      </w:r>
      <m:oMath>
        <m:r>
          <w:rPr>
            <w:rFonts w:ascii="Cambria Math" w:hAnsi="Cambria Math" w:cs="Times New Roman"/>
            <w:color w:val="000000"/>
            <w:sz w:val="20"/>
            <w:szCs w:val="20"/>
          </w:rPr>
          <m:t>0.91 for H₂</m:t>
        </m:r>
      </m:oMath>
      <w:r w:rsidRPr="009A7D0B">
        <w:rPr>
          <w:rFonts w:ascii="Times New Roman" w:hAnsi="Times New Roman" w:cs="Times New Roman"/>
          <w:color w:val="000000"/>
          <w:sz w:val="20"/>
          <w:szCs w:val="20"/>
        </w:rPr>
        <w:t xml:space="preserve"> and </w:t>
      </w:r>
      <m:oMath>
        <m:r>
          <w:rPr>
            <w:rFonts w:ascii="Cambria Math" w:hAnsi="Cambria Math" w:cs="Times New Roman"/>
            <w:color w:val="000000"/>
            <w:sz w:val="20"/>
            <w:szCs w:val="20"/>
          </w:rPr>
          <m:t>0.87 for C₂H₂,</m:t>
        </m:r>
      </m:oMath>
      <w:r w:rsidRPr="009A7D0B">
        <w:rPr>
          <w:rFonts w:ascii="Times New Roman" w:hAnsi="Times New Roman" w:cs="Times New Roman"/>
          <w:color w:val="000000"/>
          <w:sz w:val="20"/>
          <w:szCs w:val="20"/>
        </w:rPr>
        <w:t xml:space="preserve"> suggesting that gas composition ratios serve as highly sensitive indicators of early-stage faults such as partial discharges and thermal decomposition.</w:t>
      </w:r>
    </w:p>
    <w:p w14:paraId="0683BE78" w14:textId="34AE7E85" w:rsidR="009A7D0B" w:rsidRPr="009A7D0B" w:rsidRDefault="009A7D0B" w:rsidP="003F2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rPr>
      </w:pPr>
      <w:r w:rsidRPr="009A7D0B">
        <w:rPr>
          <w:rFonts w:ascii="Times New Roman" w:hAnsi="Times New Roman" w:cs="Times New Roman"/>
          <w:color w:val="000000"/>
          <w:sz w:val="20"/>
          <w:szCs w:val="20"/>
        </w:rPr>
        <w:t xml:space="preserve">Furthermore, the </w:t>
      </w:r>
      <m:oMath>
        <m:r>
          <w:rPr>
            <w:rFonts w:ascii="Cambria Math" w:hAnsi="Cambria Math" w:cs="Times New Roman"/>
            <w:color w:val="000000"/>
            <w:sz w:val="20"/>
            <w:szCs w:val="20"/>
          </w:rPr>
          <m:t xml:space="preserve">CO/CO₂ </m:t>
        </m:r>
      </m:oMath>
      <w:r w:rsidRPr="009A7D0B">
        <w:rPr>
          <w:rFonts w:ascii="Times New Roman" w:hAnsi="Times New Roman" w:cs="Times New Roman"/>
          <w:color w:val="000000"/>
          <w:sz w:val="20"/>
          <w:szCs w:val="20"/>
        </w:rPr>
        <w:t>ratio, a recognized index of cellulose degradation, exhibited an exponential increase when HI dropped below 0.8, validating the capability of the developed system to identify incipient insulation aging.</w:t>
      </w:r>
    </w:p>
    <w:p w14:paraId="072EC6AE" w14:textId="2A3CFDC5" w:rsidR="009A7D0B" w:rsidRPr="009A7D0B" w:rsidRDefault="009A7D0B" w:rsidP="003F2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0"/>
          <w:szCs w:val="20"/>
        </w:rPr>
      </w:pPr>
      <w:r w:rsidRPr="009A7D0B">
        <w:rPr>
          <w:rFonts w:ascii="Times New Roman" w:hAnsi="Times New Roman" w:cs="Times New Roman"/>
          <w:color w:val="000000"/>
          <w:sz w:val="20"/>
          <w:szCs w:val="20"/>
        </w:rPr>
        <w:t xml:space="preserve">Predictive </w:t>
      </w:r>
      <w:r w:rsidR="00647F0A" w:rsidRPr="009A7D0B">
        <w:rPr>
          <w:rFonts w:ascii="Times New Roman" w:hAnsi="Times New Roman" w:cs="Times New Roman"/>
          <w:color w:val="000000"/>
          <w:sz w:val="20"/>
          <w:szCs w:val="20"/>
        </w:rPr>
        <w:t>maintenance insights</w:t>
      </w:r>
      <w:r w:rsidR="00F236A9" w:rsidRPr="000F7F29">
        <w:rPr>
          <w:rFonts w:ascii="Times New Roman" w:hAnsi="Times New Roman" w:cs="Times New Roman"/>
          <w:color w:val="000000"/>
          <w:sz w:val="20"/>
          <w:szCs w:val="20"/>
        </w:rPr>
        <w:t xml:space="preserve">. </w:t>
      </w:r>
      <w:r w:rsidR="00F236A9" w:rsidRPr="00F236A9">
        <w:rPr>
          <w:rFonts w:ascii="Times New Roman" w:hAnsi="Times New Roman" w:cs="Times New Roman"/>
          <w:color w:val="000000"/>
          <w:sz w:val="20"/>
          <w:szCs w:val="20"/>
        </w:rPr>
        <w:t>[</w:t>
      </w:r>
      <w:r w:rsidR="00F236A9" w:rsidRPr="000F7F29">
        <w:rPr>
          <w:rFonts w:ascii="Times New Roman" w:hAnsi="Times New Roman" w:cs="Times New Roman"/>
          <w:color w:val="000000"/>
          <w:sz w:val="20"/>
          <w:szCs w:val="20"/>
        </w:rPr>
        <w:t>6</w:t>
      </w:r>
      <w:r w:rsidR="00F236A9" w:rsidRPr="00F236A9">
        <w:rPr>
          <w:rFonts w:ascii="Times New Roman" w:hAnsi="Times New Roman" w:cs="Times New Roman"/>
          <w:color w:val="000000"/>
          <w:sz w:val="20"/>
          <w:szCs w:val="20"/>
        </w:rPr>
        <w:t>].</w:t>
      </w:r>
    </w:p>
    <w:p w14:paraId="2888C6D2" w14:textId="5E67977E" w:rsidR="009A7D0B" w:rsidRPr="009A7D0B" w:rsidRDefault="009A7D0B" w:rsidP="003F2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rPr>
      </w:pPr>
      <w:r w:rsidRPr="009A7D0B">
        <w:rPr>
          <w:rFonts w:ascii="Times New Roman" w:hAnsi="Times New Roman" w:cs="Times New Roman"/>
          <w:color w:val="000000"/>
          <w:sz w:val="20"/>
          <w:szCs w:val="20"/>
        </w:rPr>
        <w:t>By integrating real-time DGA readings with historical operational data, the system generated predictive maintenance recommendations through its embedded fuzzy inference module. The resulting output classified the transformer’s operational state into five linguistic categories:</w:t>
      </w:r>
      <w:r w:rsidRPr="009A7D0B">
        <w:rPr>
          <w:rFonts w:ascii="Times New Roman" w:hAnsi="Times New Roman" w:cs="Times New Roman"/>
          <w:color w:val="000000"/>
          <w:sz w:val="20"/>
          <w:szCs w:val="20"/>
        </w:rPr>
        <w:br/>
        <w:t>Excellent, Good, Moderate, Degraded, and Critical.</w:t>
      </w:r>
    </w:p>
    <w:p w14:paraId="22403651" w14:textId="77777777" w:rsidR="009A7D0B" w:rsidRPr="009A7D0B" w:rsidRDefault="009A7D0B" w:rsidP="003F2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0"/>
          <w:szCs w:val="20"/>
        </w:rPr>
      </w:pPr>
      <w:r w:rsidRPr="009A7D0B">
        <w:rPr>
          <w:rFonts w:ascii="Times New Roman" w:hAnsi="Times New Roman" w:cs="Times New Roman"/>
          <w:color w:val="000000"/>
          <w:sz w:val="20"/>
          <w:szCs w:val="20"/>
        </w:rPr>
        <w:t>Out of 50 recorded test cycles, 82% were classified as “Good” or “Excellent,” 14% as “Moderate,” and only 4% as “Degraded.” No critical states were observed during the experiment.</w:t>
      </w:r>
    </w:p>
    <w:p w14:paraId="1470749B" w14:textId="77777777" w:rsidR="009A7D0B" w:rsidRPr="009A7D0B" w:rsidRDefault="009A7D0B" w:rsidP="003F2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0"/>
          <w:szCs w:val="20"/>
        </w:rPr>
      </w:pPr>
      <w:r w:rsidRPr="009A7D0B">
        <w:rPr>
          <w:rFonts w:ascii="Times New Roman" w:hAnsi="Times New Roman" w:cs="Times New Roman"/>
          <w:color w:val="000000"/>
          <w:sz w:val="20"/>
          <w:szCs w:val="20"/>
        </w:rPr>
        <w:t>The fuzzy logic inference rule that triggered “Degraded” classification was typically:</w:t>
      </w:r>
    </w:p>
    <w:p w14:paraId="3936141C" w14:textId="682EEC5E" w:rsidR="009A7D0B" w:rsidRPr="009A7D0B" w:rsidRDefault="009A7D0B" w:rsidP="003F2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0"/>
          <w:szCs w:val="20"/>
        </w:rPr>
      </w:pPr>
      <w:r w:rsidRPr="009A7D0B">
        <w:rPr>
          <w:rFonts w:ascii="Times New Roman" w:hAnsi="Times New Roman" w:cs="Times New Roman"/>
          <w:color w:val="000000"/>
          <w:sz w:val="20"/>
          <w:szCs w:val="20"/>
        </w:rPr>
        <w:t>IF </w:t>
      </w:r>
      <m:oMath>
        <m:sSub>
          <m:sSubPr>
            <m:ctrlPr>
              <w:rPr>
                <w:rFonts w:ascii="Cambria Math" w:hAnsi="Cambria Math" w:cs="Times New Roman"/>
                <w:i/>
                <w:color w:val="000000"/>
                <w:sz w:val="20"/>
                <w:szCs w:val="20"/>
              </w:rPr>
            </m:ctrlPr>
          </m:sSubPr>
          <m:e>
            <m:r>
              <w:rPr>
                <w:rFonts w:ascii="Cambria Math" w:hAnsi="Cambria Math" w:cs="Times New Roman"/>
                <w:color w:val="000000"/>
                <w:sz w:val="20"/>
                <w:szCs w:val="20"/>
              </w:rPr>
              <m:t>CH</m:t>
            </m:r>
          </m:e>
          <m:sub>
            <m:r>
              <w:rPr>
                <w:rFonts w:ascii="Cambria Math" w:hAnsi="Cambria Math" w:cs="Times New Roman"/>
                <w:color w:val="000000"/>
                <w:sz w:val="20"/>
                <w:szCs w:val="20"/>
              </w:rPr>
              <m:t>2</m:t>
            </m:r>
          </m:sub>
        </m:sSub>
      </m:oMath>
      <w:r w:rsidR="00647F0A" w:rsidRPr="009A7D0B">
        <w:rPr>
          <w:rFonts w:ascii="Times New Roman" w:hAnsi="Times New Roman" w:cs="Times New Roman"/>
          <w:color w:val="000000"/>
          <w:sz w:val="20"/>
          <w:szCs w:val="20"/>
        </w:rPr>
        <w:t xml:space="preserve"> </w:t>
      </w:r>
      <w:r w:rsidRPr="009A7D0B">
        <w:rPr>
          <w:rFonts w:ascii="Times New Roman" w:hAnsi="Times New Roman" w:cs="Times New Roman"/>
          <w:color w:val="000000"/>
          <w:sz w:val="20"/>
          <w:szCs w:val="20"/>
        </w:rPr>
        <w:t>&gt;</w:t>
      </w:r>
      <m:oMath>
        <m:r>
          <w:rPr>
            <w:rFonts w:ascii="Cambria Math" w:hAnsi="Cambria Math" w:cs="Times New Roman"/>
            <w:color w:val="000000"/>
            <w:sz w:val="20"/>
            <w:szCs w:val="20"/>
          </w:rPr>
          <m:t>150ppm</m:t>
        </m:r>
      </m:oMath>
      <w:r w:rsidRPr="009A7D0B">
        <w:rPr>
          <w:rFonts w:ascii="Times New Roman" w:hAnsi="Times New Roman" w:cs="Times New Roman"/>
          <w:color w:val="000000"/>
          <w:sz w:val="20"/>
          <w:szCs w:val="20"/>
        </w:rPr>
        <w:t> AND </w:t>
      </w:r>
      <w:r w:rsidR="00647F0A">
        <w:rPr>
          <w:rFonts w:ascii="Times New Roman" w:hAnsi="Times New Roman" w:cs="Times New Roman"/>
          <w:color w:val="000000"/>
          <w:sz w:val="20"/>
          <w:szCs w:val="20"/>
        </w:rPr>
        <w:t xml:space="preserve"> </w:t>
      </w:r>
      <m:oMath>
        <m:sSub>
          <m:sSubPr>
            <m:ctrlPr>
              <w:rPr>
                <w:rFonts w:ascii="Cambria Math" w:hAnsi="Cambria Math" w:cs="Times New Roman"/>
                <w:i/>
                <w:color w:val="000000"/>
                <w:sz w:val="20"/>
                <w:szCs w:val="20"/>
              </w:rPr>
            </m:ctrlPr>
          </m:sSubPr>
          <m:e>
            <m:r>
              <w:rPr>
                <w:rFonts w:ascii="Cambria Math" w:hAnsi="Cambria Math" w:cs="Times New Roman"/>
                <w:color w:val="000000"/>
                <w:sz w:val="20"/>
                <w:szCs w:val="20"/>
              </w:rPr>
              <m:t>T</m:t>
            </m:r>
          </m:e>
          <m:sub>
            <m:r>
              <w:rPr>
                <w:rFonts w:ascii="Cambria Math" w:hAnsi="Cambria Math" w:cs="Times New Roman"/>
                <w:color w:val="000000"/>
                <w:sz w:val="20"/>
                <w:szCs w:val="20"/>
              </w:rPr>
              <m:t>oil</m:t>
            </m:r>
          </m:sub>
        </m:sSub>
      </m:oMath>
      <w:r w:rsidR="00647F0A" w:rsidRPr="009A7D0B">
        <w:rPr>
          <w:rFonts w:ascii="Times New Roman" w:hAnsi="Times New Roman" w:cs="Times New Roman"/>
          <w:color w:val="000000"/>
          <w:sz w:val="20"/>
          <w:szCs w:val="20"/>
        </w:rPr>
        <w:t xml:space="preserve"> </w:t>
      </w:r>
      <m:oMath>
        <m:r>
          <w:rPr>
            <w:rFonts w:ascii="Cambria Math" w:hAnsi="Cambria Math" w:cs="Times New Roman"/>
            <w:color w:val="000000"/>
            <w:sz w:val="20"/>
            <w:szCs w:val="20"/>
          </w:rPr>
          <m:t>&gt;85°C, </m:t>
        </m:r>
      </m:oMath>
      <w:r w:rsidRPr="009A7D0B">
        <w:rPr>
          <w:rFonts w:ascii="Times New Roman" w:hAnsi="Times New Roman" w:cs="Times New Roman"/>
          <w:color w:val="000000"/>
          <w:sz w:val="20"/>
          <w:szCs w:val="20"/>
        </w:rPr>
        <w:t>THEN transformer state = Degraded</w:t>
      </w:r>
      <w:r w:rsidR="00647F0A">
        <w:rPr>
          <w:rFonts w:ascii="Times New Roman" w:hAnsi="Times New Roman" w:cs="Times New Roman"/>
          <w:color w:val="000000"/>
          <w:sz w:val="20"/>
          <w:szCs w:val="20"/>
        </w:rPr>
        <w:t>.</w:t>
      </w:r>
    </w:p>
    <w:p w14:paraId="6AAE39AE" w14:textId="0E74AEE3" w:rsidR="009A7D0B" w:rsidRPr="009A7D0B" w:rsidRDefault="009A7D0B" w:rsidP="003F2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rPr>
      </w:pPr>
      <w:r w:rsidRPr="009A7D0B">
        <w:rPr>
          <w:rFonts w:ascii="Times New Roman" w:hAnsi="Times New Roman" w:cs="Times New Roman"/>
          <w:color w:val="000000"/>
          <w:sz w:val="20"/>
          <w:szCs w:val="20"/>
        </w:rPr>
        <w:t>This demonstrates the system’s capability for early anomaly recognition and data-driven decision support.</w:t>
      </w:r>
    </w:p>
    <w:p w14:paraId="2D0952D0" w14:textId="7A862308" w:rsidR="009A7D0B" w:rsidRPr="009A7D0B" w:rsidRDefault="009A7D0B" w:rsidP="003F2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rPr>
      </w:pPr>
      <w:r w:rsidRPr="009A7D0B">
        <w:rPr>
          <w:rFonts w:ascii="Times New Roman" w:hAnsi="Times New Roman" w:cs="Times New Roman"/>
          <w:color w:val="000000"/>
          <w:sz w:val="20"/>
          <w:szCs w:val="20"/>
        </w:rPr>
        <w:t xml:space="preserve">Discussion of </w:t>
      </w:r>
      <w:r w:rsidR="006D1A93" w:rsidRPr="009A7D0B">
        <w:rPr>
          <w:rFonts w:ascii="Times New Roman" w:hAnsi="Times New Roman" w:cs="Times New Roman"/>
          <w:color w:val="000000"/>
          <w:sz w:val="20"/>
          <w:szCs w:val="20"/>
        </w:rPr>
        <w:t>finding</w:t>
      </w:r>
      <w:r w:rsidRPr="009A7D0B">
        <w:rPr>
          <w:rFonts w:ascii="Times New Roman" w:hAnsi="Times New Roman" w:cs="Times New Roman"/>
          <w:color w:val="000000"/>
          <w:sz w:val="20"/>
          <w:szCs w:val="20"/>
        </w:rPr>
        <w:t>s</w:t>
      </w:r>
      <w:r w:rsidR="006D1A93">
        <w:rPr>
          <w:rFonts w:ascii="Times New Roman" w:hAnsi="Times New Roman" w:cs="Times New Roman"/>
          <w:color w:val="000000"/>
          <w:sz w:val="20"/>
          <w:szCs w:val="20"/>
        </w:rPr>
        <w:t xml:space="preserve">- </w:t>
      </w:r>
      <w:r w:rsidRPr="009A7D0B">
        <w:rPr>
          <w:rFonts w:ascii="Times New Roman" w:hAnsi="Times New Roman" w:cs="Times New Roman"/>
          <w:color w:val="000000"/>
          <w:sz w:val="20"/>
          <w:szCs w:val="20"/>
        </w:rPr>
        <w:t xml:space="preserve">The research results confirm that the integration of Big Data analytics, AI-based models, and real-time sensing provides a holistic diagnostic environment for transformer condition evaluation. </w:t>
      </w:r>
      <w:r w:rsidR="00F236A9" w:rsidRPr="00F236A9">
        <w:rPr>
          <w:rFonts w:ascii="Times New Roman" w:hAnsi="Times New Roman" w:cs="Times New Roman"/>
          <w:color w:val="000000"/>
          <w:sz w:val="20"/>
          <w:szCs w:val="20"/>
        </w:rPr>
        <w:t xml:space="preserve">[12]. </w:t>
      </w:r>
      <w:r w:rsidRPr="009A7D0B">
        <w:rPr>
          <w:rFonts w:ascii="Times New Roman" w:hAnsi="Times New Roman" w:cs="Times New Roman"/>
          <w:color w:val="000000"/>
          <w:sz w:val="20"/>
          <w:szCs w:val="20"/>
        </w:rPr>
        <w:t>The LSTM–Fuzzy framework not only achieved superior accuracy but also demonstrated adaptability to fluctuating load and temperature conditions.</w:t>
      </w:r>
    </w:p>
    <w:p w14:paraId="59BAC73C" w14:textId="77777777" w:rsidR="009A7D0B" w:rsidRPr="009A7D0B" w:rsidRDefault="009A7D0B" w:rsidP="003F2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rPr>
      </w:pPr>
      <w:r w:rsidRPr="009A7D0B">
        <w:rPr>
          <w:rFonts w:ascii="Times New Roman" w:hAnsi="Times New Roman" w:cs="Times New Roman"/>
          <w:color w:val="000000"/>
          <w:sz w:val="20"/>
          <w:szCs w:val="20"/>
        </w:rPr>
        <w:t>From an operational perspective, such a system offers the potential to:</w:t>
      </w:r>
    </w:p>
    <w:p w14:paraId="6D7A222F" w14:textId="77777777" w:rsidR="009A7D0B" w:rsidRPr="009A7D0B" w:rsidRDefault="009A7D0B" w:rsidP="003F2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hAnsi="Times New Roman" w:cs="Times New Roman"/>
          <w:color w:val="000000"/>
          <w:sz w:val="20"/>
          <w:szCs w:val="20"/>
        </w:rPr>
      </w:pPr>
      <w:r w:rsidRPr="009A7D0B">
        <w:rPr>
          <w:rFonts w:ascii="Times New Roman" w:hAnsi="Times New Roman" w:cs="Times New Roman"/>
          <w:color w:val="000000"/>
          <w:sz w:val="20"/>
          <w:szCs w:val="20"/>
        </w:rPr>
        <w:t>Reduce maintenance costs by up to 30% through optimized scheduling;</w:t>
      </w:r>
    </w:p>
    <w:p w14:paraId="017E59AB" w14:textId="77777777" w:rsidR="009A7D0B" w:rsidRPr="009A7D0B" w:rsidRDefault="009A7D0B" w:rsidP="003F2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hAnsi="Times New Roman" w:cs="Times New Roman"/>
          <w:color w:val="000000"/>
          <w:sz w:val="20"/>
          <w:szCs w:val="20"/>
        </w:rPr>
      </w:pPr>
      <w:r w:rsidRPr="009A7D0B">
        <w:rPr>
          <w:rFonts w:ascii="Times New Roman" w:hAnsi="Times New Roman" w:cs="Times New Roman"/>
          <w:color w:val="000000"/>
          <w:sz w:val="20"/>
          <w:szCs w:val="20"/>
        </w:rPr>
        <w:t>Extend transformer service life by 10–15% via early fault detection;</w:t>
      </w:r>
    </w:p>
    <w:p w14:paraId="67429A82" w14:textId="0AB794F1" w:rsidR="009A7D0B" w:rsidRDefault="009A7D0B" w:rsidP="003F2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hAnsi="Times New Roman" w:cs="Times New Roman"/>
          <w:color w:val="000000"/>
          <w:sz w:val="20"/>
          <w:szCs w:val="20"/>
        </w:rPr>
      </w:pPr>
      <w:r w:rsidRPr="009A7D0B">
        <w:rPr>
          <w:rFonts w:ascii="Times New Roman" w:hAnsi="Times New Roman" w:cs="Times New Roman"/>
          <w:color w:val="000000"/>
          <w:sz w:val="20"/>
          <w:szCs w:val="20"/>
        </w:rPr>
        <w:t>Increase power supply reliability in Uzbekistan’s 35/6 kV networks.</w:t>
      </w:r>
    </w:p>
    <w:p w14:paraId="30C456BB" w14:textId="1850E416" w:rsidR="004C7CF9" w:rsidRPr="004C7CF9" w:rsidRDefault="004C7CF9" w:rsidP="003F2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rPr>
      </w:pPr>
      <w:r w:rsidRPr="004C7CF9">
        <w:rPr>
          <w:rFonts w:ascii="Times New Roman" w:hAnsi="Times New Roman" w:cs="Times New Roman"/>
          <w:color w:val="000000"/>
          <w:sz w:val="20"/>
          <w:szCs w:val="20"/>
        </w:rPr>
        <w:t xml:space="preserve">Figure </w:t>
      </w:r>
      <w:r w:rsidR="00BC78B9" w:rsidRPr="003F2021">
        <w:rPr>
          <w:rFonts w:ascii="Times New Roman" w:hAnsi="Times New Roman" w:cs="Times New Roman"/>
          <w:color w:val="000000"/>
          <w:sz w:val="20"/>
          <w:szCs w:val="20"/>
        </w:rPr>
        <w:t>3</w:t>
      </w:r>
      <w:r w:rsidRPr="004C7CF9">
        <w:rPr>
          <w:rFonts w:ascii="Times New Roman" w:hAnsi="Times New Roman" w:cs="Times New Roman"/>
          <w:color w:val="000000"/>
          <w:sz w:val="20"/>
          <w:szCs w:val="20"/>
        </w:rPr>
        <w:t xml:space="preserve"> illustrates the variation in the Health Index (HI) of a power transformer over a continuous monitoring period of 120 hours. The Health Index is a composite parameter that reflects the transformer’s overall technical condition, integrating diagnostic data such as dissolved gas analysis (DGA), oil quality indicators, temperature behavior, and insulation resistance.</w:t>
      </w:r>
    </w:p>
    <w:p w14:paraId="77401B72" w14:textId="204AA99B" w:rsidR="004C7CF9" w:rsidRPr="004C7CF9" w:rsidRDefault="004C7CF9" w:rsidP="003F2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rPr>
      </w:pPr>
      <w:r w:rsidRPr="004C7CF9">
        <w:rPr>
          <w:rFonts w:ascii="Times New Roman" w:hAnsi="Times New Roman" w:cs="Times New Roman"/>
          <w:color w:val="000000"/>
          <w:sz w:val="20"/>
          <w:szCs w:val="20"/>
        </w:rPr>
        <w:t>At the start of the observation (0–20 hours), the HI remains stable at around 0.92, indicating an excellent condition of the transformer. Between 20 and 60 hours, a gradual decline is observed due to a moderate increase in dissolved gas concentrations and oil temperature fluctuations, lowering the HI to approximately 0.75.</w:t>
      </w:r>
    </w:p>
    <w:p w14:paraId="7169EA9C" w14:textId="026B9795" w:rsidR="004C7CF9" w:rsidRPr="004C7CF9" w:rsidRDefault="004C7CF9" w:rsidP="003F2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rPr>
      </w:pPr>
      <w:r w:rsidRPr="004C7CF9">
        <w:rPr>
          <w:rFonts w:ascii="Times New Roman" w:hAnsi="Times New Roman" w:cs="Times New Roman"/>
          <w:color w:val="000000"/>
          <w:sz w:val="20"/>
          <w:szCs w:val="20"/>
        </w:rPr>
        <w:t>From 60 to 100 hours, the degradation rate accelerates, possibly linked to thermal stress or incipient faults in the insulation system. The HI reaches around 0.55, corresponding to a medium-risk zone. By the end of the monitoring period (100–120 hours), the HI stabilizes near 0.48, showing that the transformer has entered a warning state where preventive maintenance is advisable.</w:t>
      </w:r>
      <w:r w:rsidR="00F236A9" w:rsidRPr="00F236A9">
        <w:rPr>
          <w:rFonts w:ascii="Times New Roman" w:hAnsi="Times New Roman" w:cs="Times New Roman"/>
          <w:color w:val="000000"/>
          <w:sz w:val="20"/>
        </w:rPr>
        <w:t xml:space="preserve"> </w:t>
      </w:r>
      <w:r w:rsidR="00F236A9" w:rsidRPr="00F236A9">
        <w:rPr>
          <w:rFonts w:ascii="Times New Roman" w:hAnsi="Times New Roman" w:cs="Times New Roman"/>
          <w:color w:val="000000"/>
          <w:sz w:val="20"/>
          <w:szCs w:val="20"/>
        </w:rPr>
        <w:t>[1</w:t>
      </w:r>
      <w:r w:rsidR="00F236A9" w:rsidRPr="000F7F29">
        <w:rPr>
          <w:rFonts w:ascii="Times New Roman" w:hAnsi="Times New Roman" w:cs="Times New Roman"/>
          <w:color w:val="000000"/>
          <w:sz w:val="20"/>
          <w:szCs w:val="20"/>
        </w:rPr>
        <w:t>3</w:t>
      </w:r>
      <w:r w:rsidR="00EC2610">
        <w:rPr>
          <w:rFonts w:ascii="Times New Roman" w:hAnsi="Times New Roman" w:cs="Times New Roman"/>
          <w:color w:val="000000"/>
          <w:sz w:val="20"/>
          <w:szCs w:val="20"/>
        </w:rPr>
        <w:t>, 21</w:t>
      </w:r>
      <w:bookmarkStart w:id="1" w:name="_GoBack"/>
      <w:bookmarkEnd w:id="1"/>
      <w:r w:rsidR="00EC2610">
        <w:rPr>
          <w:rFonts w:ascii="Times New Roman" w:hAnsi="Times New Roman" w:cs="Times New Roman"/>
          <w:color w:val="000000"/>
          <w:sz w:val="20"/>
          <w:szCs w:val="20"/>
        </w:rPr>
        <w:t>-47</w:t>
      </w:r>
      <w:r w:rsidR="00F236A9" w:rsidRPr="00F236A9">
        <w:rPr>
          <w:rFonts w:ascii="Times New Roman" w:hAnsi="Times New Roman" w:cs="Times New Roman"/>
          <w:color w:val="000000"/>
          <w:sz w:val="20"/>
          <w:szCs w:val="20"/>
        </w:rPr>
        <w:t>].</w:t>
      </w:r>
    </w:p>
    <w:p w14:paraId="41F51FD2" w14:textId="702D7D4A" w:rsidR="008F5C21" w:rsidRDefault="004C7CF9" w:rsidP="003F2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rPr>
      </w:pPr>
      <w:r w:rsidRPr="004C7CF9">
        <w:rPr>
          <w:rFonts w:ascii="Times New Roman" w:hAnsi="Times New Roman" w:cs="Times New Roman"/>
          <w:color w:val="000000"/>
          <w:sz w:val="20"/>
          <w:szCs w:val="20"/>
        </w:rPr>
        <w:t>This trend demonstrates how continuous online monitoring and machine learning-based forecasting can help anticipate fault evolution and optimize maintenance schedules. The declining HI trajectory reflects the cumulative effects of operational stress, temperature rise, and chemical aging, supporting the need for predictive diagnostic systems in power transformer management.</w:t>
      </w:r>
      <w:r w:rsidR="00F236A9" w:rsidRPr="00F236A9">
        <w:rPr>
          <w:rFonts w:ascii="Times New Roman" w:hAnsi="Times New Roman" w:cs="Times New Roman"/>
          <w:color w:val="000000"/>
          <w:sz w:val="20"/>
        </w:rPr>
        <w:t xml:space="preserve"> </w:t>
      </w:r>
      <w:r w:rsidR="00F236A9" w:rsidRPr="00F236A9">
        <w:rPr>
          <w:rFonts w:ascii="Times New Roman" w:hAnsi="Times New Roman" w:cs="Times New Roman"/>
          <w:color w:val="000000"/>
          <w:sz w:val="20"/>
          <w:szCs w:val="20"/>
        </w:rPr>
        <w:t>[</w:t>
      </w:r>
      <w:r w:rsidR="00F236A9">
        <w:rPr>
          <w:rFonts w:ascii="Times New Roman" w:hAnsi="Times New Roman" w:cs="Times New Roman"/>
          <w:color w:val="000000"/>
          <w:sz w:val="20"/>
          <w:szCs w:val="20"/>
          <w:lang w:val="ru-RU"/>
        </w:rPr>
        <w:t>20</w:t>
      </w:r>
      <w:r w:rsidR="00F236A9" w:rsidRPr="00F236A9">
        <w:rPr>
          <w:rFonts w:ascii="Times New Roman" w:hAnsi="Times New Roman" w:cs="Times New Roman"/>
          <w:color w:val="000000"/>
          <w:sz w:val="20"/>
          <w:szCs w:val="20"/>
        </w:rPr>
        <w:t>].</w:t>
      </w:r>
    </w:p>
    <w:p w14:paraId="6D5DB563" w14:textId="77777777" w:rsidR="00BC1687" w:rsidRPr="009A7D0B" w:rsidRDefault="00BC1687" w:rsidP="00874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000000"/>
          <w:sz w:val="20"/>
          <w:szCs w:val="20"/>
        </w:rPr>
      </w:pPr>
    </w:p>
    <w:p w14:paraId="0C7B0DEE" w14:textId="23E61FE0" w:rsidR="00627698" w:rsidRPr="00647F0A" w:rsidRDefault="00647F0A" w:rsidP="008745D5">
      <w:pPr>
        <w:overflowPunct w:val="0"/>
        <w:autoSpaceDE w:val="0"/>
        <w:autoSpaceDN w:val="0"/>
        <w:adjustRightInd w:val="0"/>
        <w:spacing w:after="0"/>
        <w:jc w:val="center"/>
        <w:textAlignment w:val="baseline"/>
        <w:rPr>
          <w:b/>
          <w:sz w:val="18"/>
          <w:szCs w:val="18"/>
          <w:lang w:val="ru-RU" w:eastAsia="de-DE"/>
        </w:rPr>
      </w:pPr>
      <w:r>
        <w:rPr>
          <w:b/>
          <w:noProof/>
          <w:sz w:val="18"/>
          <w:szCs w:val="18"/>
          <w:lang w:val="ru-RU" w:eastAsia="ru-RU"/>
        </w:rPr>
        <w:lastRenderedPageBreak/>
        <w:drawing>
          <wp:inline distT="0" distB="0" distL="0" distR="0" wp14:anchorId="4E61AA8B" wp14:editId="1C7BE38D">
            <wp:extent cx="4114800" cy="24384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F0B5A21" w14:textId="2A30A6BC" w:rsidR="00627698" w:rsidRPr="000F7F29" w:rsidRDefault="00627698" w:rsidP="008745D5">
      <w:pPr>
        <w:spacing w:after="0" w:line="240" w:lineRule="auto"/>
        <w:ind w:firstLine="284"/>
        <w:jc w:val="center"/>
        <w:rPr>
          <w:rFonts w:ascii="Times New Roman" w:hAnsi="Times New Roman" w:cs="Times New Roman"/>
          <w:iCs/>
          <w:color w:val="000000"/>
          <w:sz w:val="20"/>
          <w:szCs w:val="20"/>
        </w:rPr>
      </w:pPr>
      <w:r w:rsidRPr="008745D5">
        <w:rPr>
          <w:rFonts w:ascii="Times New Roman" w:hAnsi="Times New Roman" w:cs="Times New Roman"/>
          <w:b/>
          <w:sz w:val="20"/>
          <w:szCs w:val="20"/>
          <w:lang w:eastAsia="de-DE"/>
        </w:rPr>
        <w:t xml:space="preserve">FIGURE </w:t>
      </w:r>
      <w:r w:rsidR="00BC78B9" w:rsidRPr="00384C82">
        <w:rPr>
          <w:rFonts w:ascii="Times New Roman" w:hAnsi="Times New Roman" w:cs="Times New Roman"/>
          <w:b/>
          <w:sz w:val="20"/>
          <w:szCs w:val="20"/>
          <w:lang w:eastAsia="de-DE"/>
        </w:rPr>
        <w:t>3</w:t>
      </w:r>
      <w:r w:rsidRPr="008745D5">
        <w:rPr>
          <w:rFonts w:ascii="Times New Roman" w:hAnsi="Times New Roman" w:cs="Times New Roman"/>
          <w:b/>
          <w:sz w:val="20"/>
          <w:szCs w:val="20"/>
          <w:lang w:eastAsia="de-DE"/>
        </w:rPr>
        <w:t>.</w:t>
      </w:r>
      <w:r w:rsidRPr="008745D5">
        <w:rPr>
          <w:rFonts w:ascii="Times New Roman" w:hAnsi="Times New Roman" w:cs="Times New Roman"/>
          <w:sz w:val="20"/>
          <w:szCs w:val="20"/>
          <w:lang w:eastAsia="de-DE"/>
        </w:rPr>
        <w:t xml:space="preserve"> </w:t>
      </w:r>
      <w:r w:rsidR="004C7CF9" w:rsidRPr="004C7CF9">
        <w:rPr>
          <w:rFonts w:ascii="Times New Roman" w:hAnsi="Times New Roman" w:cs="Times New Roman"/>
          <w:sz w:val="20"/>
          <w:szCs w:val="20"/>
          <w:lang w:eastAsia="de-DE"/>
        </w:rPr>
        <w:t xml:space="preserve">Health Index (HI) dynamics over 120 hours </w:t>
      </w:r>
    </w:p>
    <w:p w14:paraId="3EF07800" w14:textId="77777777" w:rsidR="008745D5" w:rsidRDefault="008745D5" w:rsidP="00D4791D">
      <w:pPr>
        <w:spacing w:line="240" w:lineRule="auto"/>
        <w:ind w:firstLine="284"/>
        <w:jc w:val="both"/>
        <w:rPr>
          <w:rFonts w:ascii="Times New Roman" w:hAnsi="Times New Roman" w:cs="Times New Roman"/>
          <w:iCs/>
          <w:color w:val="000000"/>
          <w:sz w:val="20"/>
        </w:rPr>
      </w:pPr>
    </w:p>
    <w:p w14:paraId="606CE92B" w14:textId="77777777" w:rsidR="004C7CF9" w:rsidRPr="004C7CF9" w:rsidRDefault="004C7CF9" w:rsidP="003F2021">
      <w:pPr>
        <w:spacing w:after="0" w:line="240" w:lineRule="auto"/>
        <w:ind w:firstLine="284"/>
        <w:jc w:val="both"/>
        <w:rPr>
          <w:rFonts w:ascii="Times New Roman" w:hAnsi="Times New Roman" w:cs="Times New Roman"/>
          <w:iCs/>
          <w:color w:val="000000"/>
          <w:sz w:val="20"/>
        </w:rPr>
      </w:pPr>
      <w:r w:rsidRPr="004C7CF9">
        <w:rPr>
          <w:rFonts w:ascii="Times New Roman" w:hAnsi="Times New Roman" w:cs="Times New Roman"/>
          <w:iCs/>
          <w:color w:val="000000"/>
          <w:sz w:val="20"/>
        </w:rPr>
        <w:t>Figure 4 presents the correlation matrix of the key gases obtained from Dissolved Gas Analysis (DGA) in transformer oil. This matrix provides a quantitative overview of how different gas concentrations are interrelated, helping to identify common origins of faults and degradation mechanisms within the transformer’s insulation and oil system.</w:t>
      </w:r>
    </w:p>
    <w:p w14:paraId="4D3A10AE" w14:textId="77777777" w:rsidR="004C7CF9" w:rsidRPr="004C7CF9" w:rsidRDefault="004C7CF9" w:rsidP="003F2021">
      <w:pPr>
        <w:spacing w:after="0" w:line="240" w:lineRule="auto"/>
        <w:ind w:firstLine="284"/>
        <w:jc w:val="both"/>
        <w:rPr>
          <w:rFonts w:ascii="Times New Roman" w:hAnsi="Times New Roman" w:cs="Times New Roman"/>
          <w:iCs/>
          <w:color w:val="000000"/>
          <w:sz w:val="20"/>
        </w:rPr>
      </w:pPr>
      <w:r w:rsidRPr="004C7CF9">
        <w:rPr>
          <w:rFonts w:ascii="Times New Roman" w:hAnsi="Times New Roman" w:cs="Times New Roman"/>
          <w:iCs/>
          <w:color w:val="000000"/>
          <w:sz w:val="20"/>
        </w:rPr>
        <w:t>The analyzed gases include hydrogen (H₂), methane (CH₄), ethane (C₂H₆), ethylene (C₂H₄), acetylene (C₂H₂), carbon monoxide (CO), and carbon dioxide (CO₂). Each cell in the matrix represents a correlation coefficient (r) between two gases, with values ranging from –1 (strong negative correlation) to +1 (strong positive correlation).</w:t>
      </w:r>
    </w:p>
    <w:p w14:paraId="71166250" w14:textId="1313F203" w:rsidR="00B41541" w:rsidRPr="00287E0A" w:rsidRDefault="00B41541" w:rsidP="003008E2">
      <w:pPr>
        <w:overflowPunct w:val="0"/>
        <w:autoSpaceDE w:val="0"/>
        <w:autoSpaceDN w:val="0"/>
        <w:adjustRightInd w:val="0"/>
        <w:spacing w:after="0" w:line="240" w:lineRule="auto"/>
        <w:jc w:val="center"/>
        <w:textAlignment w:val="baseline"/>
        <w:rPr>
          <w:rFonts w:ascii="Times New Roman" w:hAnsi="Times New Roman" w:cs="Times New Roman"/>
          <w:sz w:val="20"/>
          <w:szCs w:val="20"/>
        </w:rPr>
      </w:pPr>
      <w:r>
        <w:rPr>
          <w:rFonts w:ascii="Times New Roman" w:hAnsi="Times New Roman" w:cs="Times New Roman"/>
          <w:noProof/>
          <w:sz w:val="20"/>
          <w:szCs w:val="20"/>
          <w:lang w:val="ru-RU" w:eastAsia="ru-RU"/>
        </w:rPr>
        <mc:AlternateContent>
          <mc:Choic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Requires="cx1">
            <w:drawing>
              <wp:inline distT="0" distB="0" distL="0" distR="0" wp14:anchorId="7F382BC3" wp14:editId="766922EF">
                <wp:extent cx="4471988" cy="3000375"/>
                <wp:effectExtent l="0" t="0" r="5080" b="9525"/>
                <wp:docPr id="4" name="Диаграмма 4"/>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9"/>
                  </a:graphicData>
                </a:graphic>
              </wp:inline>
            </w:drawing>
          </mc:Choice>
          <mc:Fallback>
            <w:drawing>
              <wp:inline distT="0" distB="0" distL="0" distR="0" wp14:anchorId="7F382BC3" wp14:editId="766922EF">
                <wp:extent cx="4471988" cy="3000375"/>
                <wp:effectExtent l="0" t="0" r="5080" b="9525"/>
                <wp:docPr id="4" name="Диаграмма 4"/>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4" name="Диаграмма 4"/>
                        <pic:cNvPicPr>
                          <a:picLocks noGrp="1" noRot="1" noChangeAspect="1" noMove="1" noResize="1" noEditPoints="1" noAdjustHandles="1" noChangeArrowheads="1" noChangeShapeType="1"/>
                        </pic:cNvPicPr>
                      </pic:nvPicPr>
                      <pic:blipFill>
                        <a:blip r:embed="rId10"/>
                        <a:stretch>
                          <a:fillRect/>
                        </a:stretch>
                      </pic:blipFill>
                      <pic:spPr>
                        <a:xfrm>
                          <a:off x="0" y="0"/>
                          <a:ext cx="4471670" cy="3000375"/>
                        </a:xfrm>
                        <a:prstGeom prst="rect">
                          <a:avLst/>
                        </a:prstGeom>
                      </pic:spPr>
                    </pic:pic>
                  </a:graphicData>
                </a:graphic>
              </wp:inline>
            </w:drawing>
          </mc:Fallback>
        </mc:AlternateContent>
      </w:r>
    </w:p>
    <w:p w14:paraId="393A6C54" w14:textId="737E2151" w:rsidR="003008E2" w:rsidRDefault="003008E2" w:rsidP="003008E2">
      <w:pPr>
        <w:overflowPunct w:val="0"/>
        <w:autoSpaceDE w:val="0"/>
        <w:autoSpaceDN w:val="0"/>
        <w:adjustRightInd w:val="0"/>
        <w:spacing w:before="120" w:after="0" w:line="240" w:lineRule="auto"/>
        <w:ind w:firstLine="425"/>
        <w:jc w:val="center"/>
        <w:textAlignment w:val="baseline"/>
        <w:rPr>
          <w:rFonts w:ascii="Times New Roman" w:hAnsi="Times New Roman" w:cs="Times New Roman"/>
          <w:bCs/>
          <w:iCs/>
          <w:color w:val="000000"/>
          <w:sz w:val="18"/>
          <w:szCs w:val="18"/>
        </w:rPr>
      </w:pPr>
      <w:r w:rsidRPr="000F7F29">
        <w:rPr>
          <w:rFonts w:ascii="Times New Roman" w:hAnsi="Times New Roman" w:cs="Times New Roman"/>
          <w:b/>
          <w:bCs/>
          <w:sz w:val="18"/>
          <w:szCs w:val="18"/>
        </w:rPr>
        <w:t>FIGURE</w:t>
      </w:r>
      <w:r w:rsidRPr="000F7F29">
        <w:rPr>
          <w:rFonts w:ascii="Times New Roman" w:eastAsia="Calibri" w:hAnsi="Times New Roman" w:cs="Times New Roman"/>
          <w:b/>
          <w:bCs/>
          <w:sz w:val="18"/>
          <w:szCs w:val="18"/>
          <w:lang w:val="uz-Cyrl-UZ"/>
        </w:rPr>
        <w:t xml:space="preserve"> </w:t>
      </w:r>
      <w:r w:rsidR="00BC78B9" w:rsidRPr="00384C82">
        <w:rPr>
          <w:rFonts w:ascii="Times New Roman" w:hAnsi="Times New Roman" w:cs="Times New Roman"/>
          <w:b/>
          <w:bCs/>
          <w:sz w:val="18"/>
          <w:szCs w:val="18"/>
        </w:rPr>
        <w:t>4</w:t>
      </w:r>
      <w:r w:rsidRPr="000F7F29">
        <w:rPr>
          <w:rFonts w:ascii="Times New Roman" w:hAnsi="Times New Roman" w:cs="Times New Roman"/>
          <w:b/>
          <w:bCs/>
          <w:sz w:val="18"/>
          <w:szCs w:val="18"/>
        </w:rPr>
        <w:t>.</w:t>
      </w:r>
      <w:r w:rsidRPr="000F7F29">
        <w:rPr>
          <w:rFonts w:ascii="Times New Roman" w:hAnsi="Times New Roman" w:cs="Times New Roman"/>
          <w:sz w:val="18"/>
          <w:szCs w:val="18"/>
        </w:rPr>
        <w:t xml:space="preserve"> </w:t>
      </w:r>
      <w:r w:rsidR="004C7CF9" w:rsidRPr="000F7F29">
        <w:rPr>
          <w:rFonts w:ascii="Times New Roman" w:hAnsi="Times New Roman" w:cs="Times New Roman"/>
          <w:bCs/>
          <w:iCs/>
          <w:color w:val="000000"/>
          <w:sz w:val="18"/>
          <w:szCs w:val="18"/>
        </w:rPr>
        <w:t>Correlation matrix of DGA gases</w:t>
      </w:r>
    </w:p>
    <w:p w14:paraId="5A7EE2DF" w14:textId="77777777" w:rsidR="006405EF" w:rsidRDefault="006405EF" w:rsidP="006405EF">
      <w:pPr>
        <w:spacing w:after="0" w:line="240" w:lineRule="auto"/>
        <w:ind w:firstLine="284"/>
        <w:jc w:val="both"/>
        <w:rPr>
          <w:rFonts w:ascii="Times New Roman" w:hAnsi="Times New Roman" w:cs="Times New Roman"/>
          <w:iCs/>
          <w:color w:val="000000"/>
          <w:sz w:val="20"/>
        </w:rPr>
      </w:pPr>
    </w:p>
    <w:p w14:paraId="06F34D4C" w14:textId="2D70C694" w:rsidR="006405EF" w:rsidRPr="004C7CF9" w:rsidRDefault="006405EF" w:rsidP="006405EF">
      <w:pPr>
        <w:spacing w:after="0" w:line="240" w:lineRule="auto"/>
        <w:ind w:firstLine="284"/>
        <w:jc w:val="both"/>
        <w:rPr>
          <w:rFonts w:ascii="Times New Roman" w:hAnsi="Times New Roman" w:cs="Times New Roman"/>
          <w:iCs/>
          <w:color w:val="000000"/>
          <w:sz w:val="20"/>
        </w:rPr>
      </w:pPr>
      <w:r w:rsidRPr="004C7CF9">
        <w:rPr>
          <w:rFonts w:ascii="Times New Roman" w:hAnsi="Times New Roman" w:cs="Times New Roman"/>
          <w:iCs/>
          <w:color w:val="000000"/>
          <w:sz w:val="20"/>
        </w:rPr>
        <w:t>The diagram reveals several significant relationships:</w:t>
      </w:r>
    </w:p>
    <w:p w14:paraId="3EE91A20" w14:textId="77777777" w:rsidR="006405EF" w:rsidRPr="004C7CF9" w:rsidRDefault="006405EF" w:rsidP="006405EF">
      <w:pPr>
        <w:spacing w:after="0" w:line="240" w:lineRule="auto"/>
        <w:ind w:firstLine="284"/>
        <w:jc w:val="both"/>
        <w:rPr>
          <w:rFonts w:ascii="Times New Roman" w:hAnsi="Times New Roman" w:cs="Times New Roman"/>
          <w:iCs/>
          <w:color w:val="000000"/>
          <w:sz w:val="20"/>
        </w:rPr>
      </w:pPr>
      <w:r w:rsidRPr="004C7CF9">
        <w:rPr>
          <w:rFonts w:ascii="Times New Roman" w:hAnsi="Times New Roman" w:cs="Times New Roman"/>
          <w:iCs/>
          <w:color w:val="000000"/>
          <w:sz w:val="20"/>
        </w:rPr>
        <w:t>A strong positive correlation between CH₄ and C₂H₆, suggesting their joint formation during low-energy thermal faults (T1-type faults).</w:t>
      </w:r>
      <w:r w:rsidRPr="00F236A9">
        <w:rPr>
          <w:rFonts w:ascii="Times New Roman" w:hAnsi="Times New Roman" w:cs="Times New Roman"/>
          <w:color w:val="000000"/>
          <w:sz w:val="20"/>
        </w:rPr>
        <w:t xml:space="preserve"> </w:t>
      </w:r>
      <w:r w:rsidRPr="00F236A9">
        <w:rPr>
          <w:rFonts w:ascii="Times New Roman" w:hAnsi="Times New Roman" w:cs="Times New Roman"/>
          <w:iCs/>
          <w:color w:val="000000"/>
          <w:sz w:val="20"/>
        </w:rPr>
        <w:t>[1</w:t>
      </w:r>
      <w:r w:rsidRPr="000F7F29">
        <w:rPr>
          <w:rFonts w:ascii="Times New Roman" w:hAnsi="Times New Roman" w:cs="Times New Roman"/>
          <w:iCs/>
          <w:color w:val="000000"/>
          <w:sz w:val="20"/>
        </w:rPr>
        <w:t>6</w:t>
      </w:r>
      <w:r w:rsidRPr="00F236A9">
        <w:rPr>
          <w:rFonts w:ascii="Times New Roman" w:hAnsi="Times New Roman" w:cs="Times New Roman"/>
          <w:iCs/>
          <w:color w:val="000000"/>
          <w:sz w:val="20"/>
        </w:rPr>
        <w:t>].</w:t>
      </w:r>
    </w:p>
    <w:p w14:paraId="0F9C1C56" w14:textId="77777777" w:rsidR="006405EF" w:rsidRPr="004C7CF9" w:rsidRDefault="006405EF" w:rsidP="006405EF">
      <w:pPr>
        <w:spacing w:after="0" w:line="240" w:lineRule="auto"/>
        <w:ind w:firstLine="284"/>
        <w:jc w:val="both"/>
        <w:rPr>
          <w:rFonts w:ascii="Times New Roman" w:hAnsi="Times New Roman" w:cs="Times New Roman"/>
          <w:iCs/>
          <w:color w:val="000000"/>
          <w:sz w:val="20"/>
        </w:rPr>
      </w:pPr>
      <w:r w:rsidRPr="004C7CF9">
        <w:rPr>
          <w:rFonts w:ascii="Times New Roman" w:hAnsi="Times New Roman" w:cs="Times New Roman"/>
          <w:iCs/>
          <w:color w:val="000000"/>
          <w:sz w:val="20"/>
        </w:rPr>
        <w:t>A notable correlation between C₂H₄ and C₂H₂, indicating concurrent generation under high-temperature faults (T3-type faults or arcing).</w:t>
      </w:r>
    </w:p>
    <w:p w14:paraId="72F7D97E" w14:textId="77777777" w:rsidR="006405EF" w:rsidRPr="004C7CF9" w:rsidRDefault="006405EF" w:rsidP="006405EF">
      <w:pPr>
        <w:spacing w:after="0" w:line="240" w:lineRule="auto"/>
        <w:ind w:firstLine="284"/>
        <w:jc w:val="both"/>
        <w:rPr>
          <w:rFonts w:ascii="Times New Roman" w:hAnsi="Times New Roman" w:cs="Times New Roman"/>
          <w:iCs/>
          <w:color w:val="000000"/>
          <w:sz w:val="20"/>
        </w:rPr>
      </w:pPr>
      <w:r w:rsidRPr="004C7CF9">
        <w:rPr>
          <w:rFonts w:ascii="Times New Roman" w:hAnsi="Times New Roman" w:cs="Times New Roman"/>
          <w:iCs/>
          <w:color w:val="000000"/>
          <w:sz w:val="20"/>
        </w:rPr>
        <w:lastRenderedPageBreak/>
        <w:t>CO and CO₂ show a close correlation, reflecting the thermal degradation of cellulose insulation materials.</w:t>
      </w:r>
    </w:p>
    <w:p w14:paraId="295FB734" w14:textId="77777777" w:rsidR="006405EF" w:rsidRPr="004C7CF9" w:rsidRDefault="006405EF" w:rsidP="006405EF">
      <w:pPr>
        <w:spacing w:after="0" w:line="240" w:lineRule="auto"/>
        <w:ind w:firstLine="284"/>
        <w:jc w:val="both"/>
        <w:rPr>
          <w:rFonts w:ascii="Times New Roman" w:hAnsi="Times New Roman" w:cs="Times New Roman"/>
          <w:iCs/>
          <w:color w:val="000000"/>
          <w:sz w:val="20"/>
        </w:rPr>
      </w:pPr>
      <w:r w:rsidRPr="004C7CF9">
        <w:rPr>
          <w:rFonts w:ascii="Times New Roman" w:hAnsi="Times New Roman" w:cs="Times New Roman"/>
          <w:iCs/>
          <w:color w:val="000000"/>
          <w:sz w:val="20"/>
        </w:rPr>
        <w:t>H₂ exhibits moderate correlations with multiple gases, consistent with its role as a general indicator of fault activity in both electrical and thermal events.</w:t>
      </w:r>
    </w:p>
    <w:p w14:paraId="58040641" w14:textId="77777777" w:rsidR="006405EF" w:rsidRPr="006405EF" w:rsidRDefault="006405EF" w:rsidP="006405EF">
      <w:pPr>
        <w:spacing w:after="0" w:line="240" w:lineRule="auto"/>
        <w:ind w:firstLine="284"/>
        <w:jc w:val="both"/>
        <w:rPr>
          <w:rFonts w:ascii="Times New Roman" w:hAnsi="Times New Roman" w:cs="Times New Roman"/>
          <w:iCs/>
          <w:color w:val="000000"/>
          <w:sz w:val="20"/>
        </w:rPr>
      </w:pPr>
      <w:r w:rsidRPr="004C7CF9">
        <w:rPr>
          <w:rFonts w:ascii="Times New Roman" w:hAnsi="Times New Roman" w:cs="Times New Roman"/>
          <w:iCs/>
          <w:color w:val="000000"/>
          <w:sz w:val="20"/>
        </w:rPr>
        <w:t>This correlation analysis enables engineers to differentiate between fault types—such as partial discharges, overheating, or arcing—by examining gas interdependencies. Therefore, the matrix serves as an essential diagnostic tool in intelligent fault classification models and predictive maintenance systems, forming the analytical foundation for AI-driven transformer health assessment.</w:t>
      </w:r>
      <w:r w:rsidRPr="00F236A9">
        <w:rPr>
          <w:rFonts w:ascii="Times New Roman" w:hAnsi="Times New Roman" w:cs="Times New Roman"/>
          <w:color w:val="000000"/>
          <w:sz w:val="20"/>
        </w:rPr>
        <w:t xml:space="preserve"> </w:t>
      </w:r>
      <w:r w:rsidRPr="00F236A9">
        <w:rPr>
          <w:rFonts w:ascii="Times New Roman" w:hAnsi="Times New Roman" w:cs="Times New Roman"/>
          <w:iCs/>
          <w:color w:val="000000"/>
          <w:sz w:val="20"/>
        </w:rPr>
        <w:t>[1</w:t>
      </w:r>
      <w:r w:rsidRPr="00203D7D">
        <w:rPr>
          <w:rFonts w:ascii="Times New Roman" w:hAnsi="Times New Roman" w:cs="Times New Roman"/>
          <w:iCs/>
          <w:color w:val="000000"/>
          <w:sz w:val="20"/>
        </w:rPr>
        <w:t>7</w:t>
      </w:r>
      <w:r w:rsidRPr="00F236A9">
        <w:rPr>
          <w:rFonts w:ascii="Times New Roman" w:hAnsi="Times New Roman" w:cs="Times New Roman"/>
          <w:iCs/>
          <w:color w:val="000000"/>
          <w:sz w:val="20"/>
        </w:rPr>
        <w:t>].</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4C4D24E4" w14:textId="77777777" w:rsidR="004C7CF9" w:rsidRPr="004C7CF9" w:rsidRDefault="004C7CF9" w:rsidP="004C7CF9">
      <w:pPr>
        <w:spacing w:after="0" w:line="240" w:lineRule="auto"/>
        <w:ind w:firstLine="284"/>
        <w:jc w:val="both"/>
        <w:rPr>
          <w:rFonts w:ascii="Times New Roman" w:hAnsi="Times New Roman" w:cs="Times New Roman"/>
          <w:sz w:val="20"/>
        </w:rPr>
      </w:pPr>
      <w:r w:rsidRPr="004C7CF9">
        <w:rPr>
          <w:rFonts w:ascii="Times New Roman" w:hAnsi="Times New Roman" w:cs="Times New Roman"/>
          <w:sz w:val="20"/>
        </w:rPr>
        <w:t>The conducted research demonstrates that the integration of artificial intelligence (AI), Big Data analytics, and real-time monitoring technologies provides a new paradigm for assessing the operational reliability of power transformers. Unlike conventional diagnostic techniques based on periodic testing, the proposed intelligent framework ensures continuous data acquisition and adaptive decision-making, leading to a more precise and timely evaluation of transformer health.</w:t>
      </w:r>
    </w:p>
    <w:p w14:paraId="468D1512" w14:textId="7EA7BD9B" w:rsidR="004C7CF9" w:rsidRPr="004C7CF9" w:rsidRDefault="004C7CF9" w:rsidP="004C7CF9">
      <w:pPr>
        <w:spacing w:after="0" w:line="240" w:lineRule="auto"/>
        <w:ind w:firstLine="284"/>
        <w:jc w:val="both"/>
        <w:rPr>
          <w:rFonts w:ascii="Times New Roman" w:hAnsi="Times New Roman" w:cs="Times New Roman"/>
          <w:sz w:val="20"/>
        </w:rPr>
      </w:pPr>
      <w:r w:rsidRPr="004C7CF9">
        <w:rPr>
          <w:rFonts w:ascii="Times New Roman" w:hAnsi="Times New Roman" w:cs="Times New Roman"/>
          <w:sz w:val="20"/>
        </w:rPr>
        <w:t>The experimental findings confirm that the developed AI-based system can effectively analyze multidimensional data—such as dissolved gas concentrations, temperature profiles, insulation parameters, and load characteristics—to detect emerging faults and predict future degradation trends. The Health Index (HI) calculated through this hybrid approach offers a more objective and quantitative measure of transformer aging, enabling maintenance teams to optimize service intervals and minimize unexpected breakdowns.</w:t>
      </w:r>
      <w:r w:rsidR="00F236A9" w:rsidRPr="00F236A9">
        <w:rPr>
          <w:rFonts w:ascii="Times New Roman" w:hAnsi="Times New Roman" w:cs="Times New Roman"/>
          <w:color w:val="000000"/>
          <w:sz w:val="20"/>
        </w:rPr>
        <w:t xml:space="preserve"> </w:t>
      </w:r>
      <w:r w:rsidR="00F236A9" w:rsidRPr="00F236A9">
        <w:rPr>
          <w:rFonts w:ascii="Times New Roman" w:hAnsi="Times New Roman" w:cs="Times New Roman"/>
          <w:sz w:val="20"/>
        </w:rPr>
        <w:t>[1</w:t>
      </w:r>
      <w:r w:rsidR="00F236A9" w:rsidRPr="000F7F29">
        <w:rPr>
          <w:rFonts w:ascii="Times New Roman" w:hAnsi="Times New Roman" w:cs="Times New Roman"/>
          <w:sz w:val="20"/>
        </w:rPr>
        <w:t>8</w:t>
      </w:r>
      <w:r w:rsidR="00F236A9" w:rsidRPr="00F236A9">
        <w:rPr>
          <w:rFonts w:ascii="Times New Roman" w:hAnsi="Times New Roman" w:cs="Times New Roman"/>
          <w:sz w:val="20"/>
        </w:rPr>
        <w:t>].</w:t>
      </w:r>
    </w:p>
    <w:p w14:paraId="2D6E3001" w14:textId="5028EBD7" w:rsidR="004C7CF9" w:rsidRPr="004C7CF9" w:rsidRDefault="004C7CF9" w:rsidP="004C7CF9">
      <w:pPr>
        <w:spacing w:after="0" w:line="240" w:lineRule="auto"/>
        <w:ind w:firstLine="284"/>
        <w:jc w:val="both"/>
        <w:rPr>
          <w:rFonts w:ascii="Times New Roman" w:hAnsi="Times New Roman" w:cs="Times New Roman"/>
          <w:sz w:val="20"/>
        </w:rPr>
      </w:pPr>
      <w:r w:rsidRPr="004C7CF9">
        <w:rPr>
          <w:rFonts w:ascii="Times New Roman" w:hAnsi="Times New Roman" w:cs="Times New Roman"/>
          <w:sz w:val="20"/>
        </w:rPr>
        <w:t>The correlation analysis of DGA gases and operational variables further revealed that specific gas generation patterns serve as early indicators of insulation degradation and thermal stress. These insights enhance diagnostic precision and support the implementation of risk-oriented maintenance strategies.</w:t>
      </w:r>
      <w:r w:rsidR="00F236A9" w:rsidRPr="00F236A9">
        <w:rPr>
          <w:rFonts w:ascii="Times New Roman" w:hAnsi="Times New Roman" w:cs="Times New Roman"/>
          <w:color w:val="000000"/>
          <w:sz w:val="20"/>
        </w:rPr>
        <w:t xml:space="preserve"> </w:t>
      </w:r>
      <w:r w:rsidR="00F236A9" w:rsidRPr="00F236A9">
        <w:rPr>
          <w:rFonts w:ascii="Times New Roman" w:hAnsi="Times New Roman" w:cs="Times New Roman"/>
          <w:sz w:val="20"/>
        </w:rPr>
        <w:t>[1</w:t>
      </w:r>
      <w:r w:rsidR="00F236A9" w:rsidRPr="000F7F29">
        <w:rPr>
          <w:rFonts w:ascii="Times New Roman" w:hAnsi="Times New Roman" w:cs="Times New Roman"/>
          <w:sz w:val="20"/>
        </w:rPr>
        <w:t>9</w:t>
      </w:r>
      <w:r w:rsidR="00F236A9" w:rsidRPr="00F236A9">
        <w:rPr>
          <w:rFonts w:ascii="Times New Roman" w:hAnsi="Times New Roman" w:cs="Times New Roman"/>
          <w:sz w:val="20"/>
        </w:rPr>
        <w:t>].</w:t>
      </w:r>
    </w:p>
    <w:p w14:paraId="77344F61" w14:textId="77777777" w:rsidR="004C7CF9" w:rsidRPr="004C7CF9" w:rsidRDefault="004C7CF9" w:rsidP="004C7CF9">
      <w:pPr>
        <w:spacing w:after="0" w:line="240" w:lineRule="auto"/>
        <w:ind w:firstLine="284"/>
        <w:jc w:val="both"/>
        <w:rPr>
          <w:rFonts w:ascii="Times New Roman" w:hAnsi="Times New Roman" w:cs="Times New Roman"/>
          <w:sz w:val="20"/>
        </w:rPr>
      </w:pPr>
      <w:r w:rsidRPr="004C7CF9">
        <w:rPr>
          <w:rFonts w:ascii="Times New Roman" w:hAnsi="Times New Roman" w:cs="Times New Roman"/>
          <w:sz w:val="20"/>
        </w:rPr>
        <w:t>Overall, the study confirms that the transition toward smart, AI-driven condition monitoring systems represents a crucial step in the digital modernization of Uzbekistan’s power infrastructure. Future developments will focus on integrating IoT-based sensing modules, neural forecasting models, and fuzzy decision mechanisms into a unified intelligent platform, creating a foundation for predictive asset management and extending the life cycle of critical power equipment.</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09382DAC" w14:textId="77777777" w:rsidR="004C7CF9" w:rsidRPr="00EC2610" w:rsidRDefault="004C7CF9" w:rsidP="00EC2610">
      <w:pPr>
        <w:numPr>
          <w:ilvl w:val="0"/>
          <w:numId w:val="10"/>
        </w:numPr>
        <w:tabs>
          <w:tab w:val="clear" w:pos="720"/>
          <w:tab w:val="left" w:pos="284"/>
          <w:tab w:val="num" w:pos="426"/>
          <w:tab w:val="left" w:pos="993"/>
        </w:tabs>
        <w:spacing w:after="0" w:line="240" w:lineRule="auto"/>
        <w:ind w:left="0" w:firstLine="0"/>
        <w:jc w:val="both"/>
        <w:rPr>
          <w:rFonts w:ascii="Times New Roman" w:hAnsi="Times New Roman" w:cs="Times New Roman"/>
          <w:sz w:val="20"/>
          <w:szCs w:val="20"/>
          <w:lang w:val="ru-RU"/>
        </w:rPr>
      </w:pPr>
      <w:proofErr w:type="spellStart"/>
      <w:r w:rsidRPr="00EC2610">
        <w:rPr>
          <w:rFonts w:ascii="Times New Roman" w:hAnsi="Times New Roman" w:cs="Times New Roman"/>
          <w:sz w:val="20"/>
          <w:szCs w:val="20"/>
          <w:lang w:val="ru-RU"/>
        </w:rPr>
        <w:t>Abdullabekova</w:t>
      </w:r>
      <w:proofErr w:type="spellEnd"/>
      <w:r w:rsidRPr="00EC2610">
        <w:rPr>
          <w:rFonts w:ascii="Times New Roman" w:hAnsi="Times New Roman" w:cs="Times New Roman"/>
          <w:sz w:val="20"/>
          <w:szCs w:val="20"/>
          <w:lang w:val="ru-RU"/>
        </w:rPr>
        <w:t xml:space="preserve">, D.R., </w:t>
      </w:r>
      <w:proofErr w:type="spellStart"/>
      <w:r w:rsidRPr="00EC2610">
        <w:rPr>
          <w:rFonts w:ascii="Times New Roman" w:hAnsi="Times New Roman" w:cs="Times New Roman"/>
          <w:sz w:val="20"/>
          <w:szCs w:val="20"/>
          <w:lang w:val="ru-RU"/>
        </w:rPr>
        <w:t>Kutbidinov</w:t>
      </w:r>
      <w:proofErr w:type="spellEnd"/>
      <w:r w:rsidRPr="00EC2610">
        <w:rPr>
          <w:rFonts w:ascii="Times New Roman" w:hAnsi="Times New Roman" w:cs="Times New Roman"/>
          <w:sz w:val="20"/>
          <w:szCs w:val="20"/>
          <w:lang w:val="ru-RU"/>
        </w:rPr>
        <w:t xml:space="preserve">, O.M., &amp; </w:t>
      </w:r>
      <w:proofErr w:type="spellStart"/>
      <w:r w:rsidRPr="00EC2610">
        <w:rPr>
          <w:rFonts w:ascii="Times New Roman" w:hAnsi="Times New Roman" w:cs="Times New Roman"/>
          <w:sz w:val="20"/>
          <w:szCs w:val="20"/>
          <w:lang w:val="ru-RU"/>
        </w:rPr>
        <w:t>Nazerbayeva</w:t>
      </w:r>
      <w:proofErr w:type="spellEnd"/>
      <w:r w:rsidRPr="00EC2610">
        <w:rPr>
          <w:rFonts w:ascii="Times New Roman" w:hAnsi="Times New Roman" w:cs="Times New Roman"/>
          <w:sz w:val="20"/>
          <w:szCs w:val="20"/>
          <w:lang w:val="ru-RU"/>
        </w:rPr>
        <w:t xml:space="preserve">, M.Z. (2025). </w:t>
      </w:r>
      <w:r w:rsidRPr="00EC2610">
        <w:rPr>
          <w:rFonts w:ascii="Times New Roman" w:hAnsi="Times New Roman" w:cs="Times New Roman"/>
          <w:i/>
          <w:iCs/>
          <w:sz w:val="20"/>
          <w:szCs w:val="20"/>
        </w:rPr>
        <w:t>Intelligent monitoring and predictive maintenance of power transformers using data-driven models.</w:t>
      </w:r>
      <w:r w:rsidRPr="00EC2610">
        <w:rPr>
          <w:rFonts w:ascii="Times New Roman" w:hAnsi="Times New Roman" w:cs="Times New Roman"/>
          <w:sz w:val="20"/>
          <w:szCs w:val="20"/>
        </w:rPr>
        <w:t xml:space="preserve"> </w:t>
      </w:r>
      <w:proofErr w:type="spellStart"/>
      <w:r w:rsidRPr="00EC2610">
        <w:rPr>
          <w:rFonts w:ascii="Times New Roman" w:hAnsi="Times New Roman" w:cs="Times New Roman"/>
          <w:sz w:val="20"/>
          <w:szCs w:val="20"/>
          <w:lang w:val="ru-RU"/>
        </w:rPr>
        <w:t>Journal</w:t>
      </w:r>
      <w:proofErr w:type="spellEnd"/>
      <w:r w:rsidRPr="00EC2610">
        <w:rPr>
          <w:rFonts w:ascii="Times New Roman" w:hAnsi="Times New Roman" w:cs="Times New Roman"/>
          <w:sz w:val="20"/>
          <w:szCs w:val="20"/>
          <w:lang w:val="ru-RU"/>
        </w:rPr>
        <w:t xml:space="preserve"> </w:t>
      </w:r>
      <w:proofErr w:type="spellStart"/>
      <w:r w:rsidRPr="00EC2610">
        <w:rPr>
          <w:rFonts w:ascii="Times New Roman" w:hAnsi="Times New Roman" w:cs="Times New Roman"/>
          <w:sz w:val="20"/>
          <w:szCs w:val="20"/>
          <w:lang w:val="ru-RU"/>
        </w:rPr>
        <w:t>of</w:t>
      </w:r>
      <w:proofErr w:type="spellEnd"/>
      <w:r w:rsidRPr="00EC2610">
        <w:rPr>
          <w:rFonts w:ascii="Times New Roman" w:hAnsi="Times New Roman" w:cs="Times New Roman"/>
          <w:sz w:val="20"/>
          <w:szCs w:val="20"/>
          <w:lang w:val="ru-RU"/>
        </w:rPr>
        <w:t xml:space="preserve"> </w:t>
      </w:r>
      <w:proofErr w:type="spellStart"/>
      <w:r w:rsidRPr="00EC2610">
        <w:rPr>
          <w:rFonts w:ascii="Times New Roman" w:hAnsi="Times New Roman" w:cs="Times New Roman"/>
          <w:sz w:val="20"/>
          <w:szCs w:val="20"/>
          <w:lang w:val="ru-RU"/>
        </w:rPr>
        <w:t>Energy</w:t>
      </w:r>
      <w:proofErr w:type="spellEnd"/>
      <w:r w:rsidRPr="00EC2610">
        <w:rPr>
          <w:rFonts w:ascii="Times New Roman" w:hAnsi="Times New Roman" w:cs="Times New Roman"/>
          <w:sz w:val="20"/>
          <w:szCs w:val="20"/>
          <w:lang w:val="ru-RU"/>
        </w:rPr>
        <w:t xml:space="preserve"> </w:t>
      </w:r>
      <w:proofErr w:type="spellStart"/>
      <w:r w:rsidRPr="00EC2610">
        <w:rPr>
          <w:rFonts w:ascii="Times New Roman" w:hAnsi="Times New Roman" w:cs="Times New Roman"/>
          <w:sz w:val="20"/>
          <w:szCs w:val="20"/>
          <w:lang w:val="ru-RU"/>
        </w:rPr>
        <w:t>Systems</w:t>
      </w:r>
      <w:proofErr w:type="spellEnd"/>
      <w:r w:rsidRPr="00EC2610">
        <w:rPr>
          <w:rFonts w:ascii="Times New Roman" w:hAnsi="Times New Roman" w:cs="Times New Roman"/>
          <w:sz w:val="20"/>
          <w:szCs w:val="20"/>
          <w:lang w:val="ru-RU"/>
        </w:rPr>
        <w:t xml:space="preserve"> </w:t>
      </w:r>
      <w:proofErr w:type="spellStart"/>
      <w:r w:rsidRPr="00EC2610">
        <w:rPr>
          <w:rFonts w:ascii="Times New Roman" w:hAnsi="Times New Roman" w:cs="Times New Roman"/>
          <w:sz w:val="20"/>
          <w:szCs w:val="20"/>
          <w:lang w:val="ru-RU"/>
        </w:rPr>
        <w:t>and</w:t>
      </w:r>
      <w:proofErr w:type="spellEnd"/>
      <w:r w:rsidRPr="00EC2610">
        <w:rPr>
          <w:rFonts w:ascii="Times New Roman" w:hAnsi="Times New Roman" w:cs="Times New Roman"/>
          <w:sz w:val="20"/>
          <w:szCs w:val="20"/>
          <w:lang w:val="ru-RU"/>
        </w:rPr>
        <w:t xml:space="preserve"> Digital Engineering, 18(2), 112–129.</w:t>
      </w:r>
    </w:p>
    <w:p w14:paraId="4B3CCDF1" w14:textId="77777777" w:rsidR="004C7CF9" w:rsidRPr="00EC2610" w:rsidRDefault="004C7CF9" w:rsidP="00EC2610">
      <w:pPr>
        <w:numPr>
          <w:ilvl w:val="0"/>
          <w:numId w:val="10"/>
        </w:numPr>
        <w:tabs>
          <w:tab w:val="clear" w:pos="720"/>
          <w:tab w:val="left" w:pos="284"/>
          <w:tab w:val="num" w:pos="426"/>
          <w:tab w:val="left" w:pos="993"/>
        </w:tabs>
        <w:spacing w:after="0" w:line="240" w:lineRule="auto"/>
        <w:ind w:left="0" w:firstLine="0"/>
        <w:jc w:val="both"/>
        <w:rPr>
          <w:rFonts w:ascii="Times New Roman" w:hAnsi="Times New Roman" w:cs="Times New Roman"/>
          <w:sz w:val="20"/>
          <w:szCs w:val="20"/>
          <w:lang w:val="ru-RU"/>
        </w:rPr>
      </w:pPr>
      <w:r w:rsidRPr="00EC2610">
        <w:rPr>
          <w:rFonts w:ascii="Times New Roman" w:hAnsi="Times New Roman" w:cs="Times New Roman"/>
          <w:sz w:val="20"/>
          <w:szCs w:val="20"/>
        </w:rPr>
        <w:t xml:space="preserve">Bacha, S., Munteanu, I., &amp; </w:t>
      </w:r>
      <w:proofErr w:type="spellStart"/>
      <w:r w:rsidRPr="00EC2610">
        <w:rPr>
          <w:rFonts w:ascii="Times New Roman" w:hAnsi="Times New Roman" w:cs="Times New Roman"/>
          <w:sz w:val="20"/>
          <w:szCs w:val="20"/>
        </w:rPr>
        <w:t>Bratcu</w:t>
      </w:r>
      <w:proofErr w:type="spellEnd"/>
      <w:r w:rsidRPr="00EC2610">
        <w:rPr>
          <w:rFonts w:ascii="Times New Roman" w:hAnsi="Times New Roman" w:cs="Times New Roman"/>
          <w:sz w:val="20"/>
          <w:szCs w:val="20"/>
        </w:rPr>
        <w:t xml:space="preserve">, A.I. (2014). </w:t>
      </w:r>
      <w:r w:rsidRPr="00EC2610">
        <w:rPr>
          <w:rFonts w:ascii="Times New Roman" w:hAnsi="Times New Roman" w:cs="Times New Roman"/>
          <w:i/>
          <w:iCs/>
          <w:sz w:val="20"/>
          <w:szCs w:val="20"/>
        </w:rPr>
        <w:t>Power Electronic Converters Modeling and Control for Power Quality Improvement.</w:t>
      </w:r>
      <w:r w:rsidRPr="00EC2610">
        <w:rPr>
          <w:rFonts w:ascii="Times New Roman" w:hAnsi="Times New Roman" w:cs="Times New Roman"/>
          <w:sz w:val="20"/>
          <w:szCs w:val="20"/>
        </w:rPr>
        <w:t xml:space="preserve"> </w:t>
      </w:r>
      <w:r w:rsidRPr="00EC2610">
        <w:rPr>
          <w:rFonts w:ascii="Times New Roman" w:hAnsi="Times New Roman" w:cs="Times New Roman"/>
          <w:sz w:val="20"/>
          <w:szCs w:val="20"/>
          <w:lang w:val="ru-RU"/>
        </w:rPr>
        <w:t>Springer.</w:t>
      </w:r>
    </w:p>
    <w:p w14:paraId="76B561B3" w14:textId="77777777" w:rsidR="004C7CF9" w:rsidRPr="00EC2610" w:rsidRDefault="004C7CF9" w:rsidP="00EC2610">
      <w:pPr>
        <w:numPr>
          <w:ilvl w:val="0"/>
          <w:numId w:val="10"/>
        </w:numPr>
        <w:tabs>
          <w:tab w:val="clear" w:pos="720"/>
          <w:tab w:val="left" w:pos="284"/>
          <w:tab w:val="num" w:pos="426"/>
          <w:tab w:val="left" w:pos="993"/>
        </w:tabs>
        <w:spacing w:after="0" w:line="240" w:lineRule="auto"/>
        <w:ind w:left="0" w:firstLine="0"/>
        <w:jc w:val="both"/>
        <w:rPr>
          <w:rFonts w:ascii="Times New Roman" w:hAnsi="Times New Roman" w:cs="Times New Roman"/>
          <w:sz w:val="20"/>
          <w:szCs w:val="20"/>
          <w:lang w:val="ru-RU"/>
        </w:rPr>
      </w:pPr>
      <w:r w:rsidRPr="00EC2610">
        <w:rPr>
          <w:rFonts w:ascii="Times New Roman" w:hAnsi="Times New Roman" w:cs="Times New Roman"/>
          <w:sz w:val="20"/>
          <w:szCs w:val="20"/>
        </w:rPr>
        <w:t xml:space="preserve">Bengio, Y., Goodfellow, I., &amp; Courville, A. (2017). </w:t>
      </w:r>
      <w:r w:rsidRPr="00EC2610">
        <w:rPr>
          <w:rFonts w:ascii="Times New Roman" w:hAnsi="Times New Roman" w:cs="Times New Roman"/>
          <w:i/>
          <w:iCs/>
          <w:sz w:val="20"/>
          <w:szCs w:val="20"/>
          <w:lang w:val="ru-RU"/>
        </w:rPr>
        <w:t>Deep Learning.</w:t>
      </w:r>
      <w:r w:rsidRPr="00EC2610">
        <w:rPr>
          <w:rFonts w:ascii="Times New Roman" w:hAnsi="Times New Roman" w:cs="Times New Roman"/>
          <w:sz w:val="20"/>
          <w:szCs w:val="20"/>
          <w:lang w:val="ru-RU"/>
        </w:rPr>
        <w:t xml:space="preserve"> MIT Press.</w:t>
      </w:r>
    </w:p>
    <w:p w14:paraId="2772175A" w14:textId="77777777" w:rsidR="004C7CF9" w:rsidRPr="00EC2610" w:rsidRDefault="004C7CF9" w:rsidP="00EC2610">
      <w:pPr>
        <w:numPr>
          <w:ilvl w:val="0"/>
          <w:numId w:val="10"/>
        </w:numPr>
        <w:tabs>
          <w:tab w:val="clear" w:pos="720"/>
          <w:tab w:val="left" w:pos="284"/>
          <w:tab w:val="num" w:pos="426"/>
          <w:tab w:val="left" w:pos="993"/>
        </w:tabs>
        <w:spacing w:after="0" w:line="240" w:lineRule="auto"/>
        <w:ind w:left="0" w:firstLine="0"/>
        <w:jc w:val="both"/>
        <w:rPr>
          <w:rFonts w:ascii="Times New Roman" w:hAnsi="Times New Roman" w:cs="Times New Roman"/>
          <w:sz w:val="20"/>
          <w:szCs w:val="20"/>
          <w:lang w:val="ru-RU"/>
        </w:rPr>
      </w:pPr>
      <w:r w:rsidRPr="00EC2610">
        <w:rPr>
          <w:rFonts w:ascii="Times New Roman" w:hAnsi="Times New Roman" w:cs="Times New Roman"/>
          <w:sz w:val="20"/>
          <w:szCs w:val="20"/>
        </w:rPr>
        <w:t xml:space="preserve">Chen, Z., &amp; Li, Y. (2021). Artificial intelligence applications in power transformer fault diagnosis: A comprehensive review. </w:t>
      </w:r>
      <w:proofErr w:type="spellStart"/>
      <w:r w:rsidRPr="00EC2610">
        <w:rPr>
          <w:rFonts w:ascii="Times New Roman" w:hAnsi="Times New Roman" w:cs="Times New Roman"/>
          <w:i/>
          <w:iCs/>
          <w:sz w:val="20"/>
          <w:szCs w:val="20"/>
          <w:lang w:val="ru-RU"/>
        </w:rPr>
        <w:t>Energies</w:t>
      </w:r>
      <w:proofErr w:type="spellEnd"/>
      <w:r w:rsidRPr="00EC2610">
        <w:rPr>
          <w:rFonts w:ascii="Times New Roman" w:hAnsi="Times New Roman" w:cs="Times New Roman"/>
          <w:sz w:val="20"/>
          <w:szCs w:val="20"/>
          <w:lang w:val="ru-RU"/>
        </w:rPr>
        <w:t>, 14(9), 2478.</w:t>
      </w:r>
    </w:p>
    <w:p w14:paraId="5EF68CF8" w14:textId="77777777" w:rsidR="004C7CF9" w:rsidRPr="00EC2610" w:rsidRDefault="004C7CF9" w:rsidP="00EC2610">
      <w:pPr>
        <w:numPr>
          <w:ilvl w:val="0"/>
          <w:numId w:val="10"/>
        </w:numPr>
        <w:tabs>
          <w:tab w:val="clear" w:pos="720"/>
          <w:tab w:val="left" w:pos="284"/>
          <w:tab w:val="num" w:pos="426"/>
          <w:tab w:val="left" w:pos="993"/>
        </w:tabs>
        <w:spacing w:after="0" w:line="240" w:lineRule="auto"/>
        <w:ind w:left="0" w:firstLine="0"/>
        <w:jc w:val="both"/>
        <w:rPr>
          <w:rFonts w:ascii="Times New Roman" w:hAnsi="Times New Roman" w:cs="Times New Roman"/>
          <w:sz w:val="20"/>
          <w:szCs w:val="20"/>
          <w:lang w:val="ru-RU"/>
        </w:rPr>
      </w:pPr>
      <w:r w:rsidRPr="00EC2610">
        <w:rPr>
          <w:rFonts w:ascii="Times New Roman" w:hAnsi="Times New Roman" w:cs="Times New Roman"/>
          <w:sz w:val="20"/>
          <w:szCs w:val="20"/>
        </w:rPr>
        <w:t xml:space="preserve">Ding, J., Wang, X., &amp; Zhang, Y. (2020). Transformer health index assessment using fuzzy logic and dissolved gas analysis. </w:t>
      </w:r>
      <w:r w:rsidRPr="00EC2610">
        <w:rPr>
          <w:rFonts w:ascii="Times New Roman" w:hAnsi="Times New Roman" w:cs="Times New Roman"/>
          <w:i/>
          <w:iCs/>
          <w:sz w:val="20"/>
          <w:szCs w:val="20"/>
          <w:lang w:val="ru-RU"/>
        </w:rPr>
        <w:t xml:space="preserve">IEEE </w:t>
      </w:r>
      <w:proofErr w:type="spellStart"/>
      <w:r w:rsidRPr="00EC2610">
        <w:rPr>
          <w:rFonts w:ascii="Times New Roman" w:hAnsi="Times New Roman" w:cs="Times New Roman"/>
          <w:i/>
          <w:iCs/>
          <w:sz w:val="20"/>
          <w:szCs w:val="20"/>
          <w:lang w:val="ru-RU"/>
        </w:rPr>
        <w:t>Transactions</w:t>
      </w:r>
      <w:proofErr w:type="spellEnd"/>
      <w:r w:rsidRPr="00EC2610">
        <w:rPr>
          <w:rFonts w:ascii="Times New Roman" w:hAnsi="Times New Roman" w:cs="Times New Roman"/>
          <w:i/>
          <w:iCs/>
          <w:sz w:val="20"/>
          <w:szCs w:val="20"/>
          <w:lang w:val="ru-RU"/>
        </w:rPr>
        <w:t xml:space="preserve"> </w:t>
      </w:r>
      <w:proofErr w:type="spellStart"/>
      <w:r w:rsidRPr="00EC2610">
        <w:rPr>
          <w:rFonts w:ascii="Times New Roman" w:hAnsi="Times New Roman" w:cs="Times New Roman"/>
          <w:i/>
          <w:iCs/>
          <w:sz w:val="20"/>
          <w:szCs w:val="20"/>
          <w:lang w:val="ru-RU"/>
        </w:rPr>
        <w:t>on</w:t>
      </w:r>
      <w:proofErr w:type="spellEnd"/>
      <w:r w:rsidRPr="00EC2610">
        <w:rPr>
          <w:rFonts w:ascii="Times New Roman" w:hAnsi="Times New Roman" w:cs="Times New Roman"/>
          <w:i/>
          <w:iCs/>
          <w:sz w:val="20"/>
          <w:szCs w:val="20"/>
          <w:lang w:val="ru-RU"/>
        </w:rPr>
        <w:t xml:space="preserve"> </w:t>
      </w:r>
      <w:proofErr w:type="spellStart"/>
      <w:r w:rsidRPr="00EC2610">
        <w:rPr>
          <w:rFonts w:ascii="Times New Roman" w:hAnsi="Times New Roman" w:cs="Times New Roman"/>
          <w:i/>
          <w:iCs/>
          <w:sz w:val="20"/>
          <w:szCs w:val="20"/>
          <w:lang w:val="ru-RU"/>
        </w:rPr>
        <w:t>Power</w:t>
      </w:r>
      <w:proofErr w:type="spellEnd"/>
      <w:r w:rsidRPr="00EC2610">
        <w:rPr>
          <w:rFonts w:ascii="Times New Roman" w:hAnsi="Times New Roman" w:cs="Times New Roman"/>
          <w:i/>
          <w:iCs/>
          <w:sz w:val="20"/>
          <w:szCs w:val="20"/>
          <w:lang w:val="ru-RU"/>
        </w:rPr>
        <w:t xml:space="preserve"> </w:t>
      </w:r>
      <w:proofErr w:type="spellStart"/>
      <w:r w:rsidRPr="00EC2610">
        <w:rPr>
          <w:rFonts w:ascii="Times New Roman" w:hAnsi="Times New Roman" w:cs="Times New Roman"/>
          <w:i/>
          <w:iCs/>
          <w:sz w:val="20"/>
          <w:szCs w:val="20"/>
          <w:lang w:val="ru-RU"/>
        </w:rPr>
        <w:t>Delivery</w:t>
      </w:r>
      <w:proofErr w:type="spellEnd"/>
      <w:r w:rsidRPr="00EC2610">
        <w:rPr>
          <w:rFonts w:ascii="Times New Roman" w:hAnsi="Times New Roman" w:cs="Times New Roman"/>
          <w:sz w:val="20"/>
          <w:szCs w:val="20"/>
          <w:lang w:val="ru-RU"/>
        </w:rPr>
        <w:t>, 35(5), 2473–2482.</w:t>
      </w:r>
    </w:p>
    <w:p w14:paraId="338AE58E" w14:textId="77777777" w:rsidR="004C7CF9" w:rsidRPr="00EC2610" w:rsidRDefault="004C7CF9" w:rsidP="00EC2610">
      <w:pPr>
        <w:numPr>
          <w:ilvl w:val="0"/>
          <w:numId w:val="10"/>
        </w:numPr>
        <w:tabs>
          <w:tab w:val="clear" w:pos="720"/>
          <w:tab w:val="left" w:pos="284"/>
          <w:tab w:val="num" w:pos="426"/>
          <w:tab w:val="left" w:pos="993"/>
        </w:tabs>
        <w:spacing w:after="0" w:line="240" w:lineRule="auto"/>
        <w:ind w:left="0" w:firstLine="0"/>
        <w:jc w:val="both"/>
        <w:rPr>
          <w:rFonts w:ascii="Times New Roman" w:hAnsi="Times New Roman" w:cs="Times New Roman"/>
          <w:sz w:val="20"/>
          <w:szCs w:val="20"/>
          <w:lang w:val="ru-RU"/>
        </w:rPr>
      </w:pPr>
      <w:r w:rsidRPr="00EC2610">
        <w:rPr>
          <w:rFonts w:ascii="Times New Roman" w:hAnsi="Times New Roman" w:cs="Times New Roman"/>
          <w:sz w:val="20"/>
          <w:szCs w:val="20"/>
        </w:rPr>
        <w:t xml:space="preserve">Khan, M.J., &amp; Qureshi, M.I. (2021). Machine learning–based predictive maintenance for power transformers. </w:t>
      </w:r>
      <w:r w:rsidRPr="00EC2610">
        <w:rPr>
          <w:rFonts w:ascii="Times New Roman" w:hAnsi="Times New Roman" w:cs="Times New Roman"/>
          <w:i/>
          <w:iCs/>
          <w:sz w:val="20"/>
          <w:szCs w:val="20"/>
          <w:lang w:val="ru-RU"/>
        </w:rPr>
        <w:t>IEEE Access</w:t>
      </w:r>
      <w:r w:rsidRPr="00EC2610">
        <w:rPr>
          <w:rFonts w:ascii="Times New Roman" w:hAnsi="Times New Roman" w:cs="Times New Roman"/>
          <w:sz w:val="20"/>
          <w:szCs w:val="20"/>
          <w:lang w:val="ru-RU"/>
        </w:rPr>
        <w:t>, 9, 43258–43269.</w:t>
      </w:r>
    </w:p>
    <w:p w14:paraId="72953BCB" w14:textId="77777777" w:rsidR="004C7CF9" w:rsidRPr="00EC2610" w:rsidRDefault="004C7CF9" w:rsidP="00EC2610">
      <w:pPr>
        <w:numPr>
          <w:ilvl w:val="0"/>
          <w:numId w:val="10"/>
        </w:numPr>
        <w:tabs>
          <w:tab w:val="clear" w:pos="720"/>
          <w:tab w:val="left" w:pos="284"/>
          <w:tab w:val="num" w:pos="426"/>
          <w:tab w:val="left" w:pos="993"/>
        </w:tabs>
        <w:spacing w:after="0" w:line="240" w:lineRule="auto"/>
        <w:ind w:left="0" w:firstLine="0"/>
        <w:jc w:val="both"/>
        <w:rPr>
          <w:rFonts w:ascii="Times New Roman" w:hAnsi="Times New Roman" w:cs="Times New Roman"/>
          <w:sz w:val="20"/>
          <w:szCs w:val="20"/>
          <w:lang w:val="ru-RU"/>
        </w:rPr>
      </w:pPr>
      <w:r w:rsidRPr="00EC2610">
        <w:rPr>
          <w:rFonts w:ascii="Times New Roman" w:hAnsi="Times New Roman" w:cs="Times New Roman"/>
          <w:sz w:val="20"/>
          <w:szCs w:val="20"/>
        </w:rPr>
        <w:t xml:space="preserve">Li, X., Zhang, C., &amp; Yang, J. (2019). Big data analytics for power equipment condition monitoring. </w:t>
      </w:r>
      <w:r w:rsidRPr="00EC2610">
        <w:rPr>
          <w:rFonts w:ascii="Times New Roman" w:hAnsi="Times New Roman" w:cs="Times New Roman"/>
          <w:i/>
          <w:iCs/>
          <w:sz w:val="20"/>
          <w:szCs w:val="20"/>
          <w:lang w:val="ru-RU"/>
        </w:rPr>
        <w:t>Electric Power Systems Research</w:t>
      </w:r>
      <w:r w:rsidRPr="00EC2610">
        <w:rPr>
          <w:rFonts w:ascii="Times New Roman" w:hAnsi="Times New Roman" w:cs="Times New Roman"/>
          <w:sz w:val="20"/>
          <w:szCs w:val="20"/>
          <w:lang w:val="ru-RU"/>
        </w:rPr>
        <w:t>, 167, 230–239.</w:t>
      </w:r>
    </w:p>
    <w:p w14:paraId="6223D853" w14:textId="77777777" w:rsidR="004C7CF9" w:rsidRPr="00EC2610" w:rsidRDefault="004C7CF9" w:rsidP="00EC2610">
      <w:pPr>
        <w:numPr>
          <w:ilvl w:val="0"/>
          <w:numId w:val="10"/>
        </w:numPr>
        <w:tabs>
          <w:tab w:val="clear" w:pos="720"/>
          <w:tab w:val="left" w:pos="284"/>
          <w:tab w:val="num" w:pos="426"/>
          <w:tab w:val="left" w:pos="993"/>
        </w:tabs>
        <w:spacing w:after="0" w:line="240" w:lineRule="auto"/>
        <w:ind w:left="0" w:firstLine="0"/>
        <w:jc w:val="both"/>
        <w:rPr>
          <w:rFonts w:ascii="Times New Roman" w:hAnsi="Times New Roman" w:cs="Times New Roman"/>
          <w:sz w:val="20"/>
          <w:szCs w:val="20"/>
          <w:lang w:val="ru-RU"/>
        </w:rPr>
      </w:pPr>
      <w:r w:rsidRPr="00EC2610">
        <w:rPr>
          <w:rFonts w:ascii="Times New Roman" w:hAnsi="Times New Roman" w:cs="Times New Roman"/>
          <w:sz w:val="20"/>
          <w:szCs w:val="20"/>
        </w:rPr>
        <w:t xml:space="preserve">Rahman, M., &amp; Islam, S. (2020). Recent advances in transformer condition monitoring and diagnostics. </w:t>
      </w:r>
      <w:r w:rsidRPr="00EC2610">
        <w:rPr>
          <w:rFonts w:ascii="Times New Roman" w:hAnsi="Times New Roman" w:cs="Times New Roman"/>
          <w:i/>
          <w:iCs/>
          <w:sz w:val="20"/>
          <w:szCs w:val="20"/>
          <w:lang w:val="ru-RU"/>
        </w:rPr>
        <w:t xml:space="preserve">IEEE </w:t>
      </w:r>
      <w:proofErr w:type="spellStart"/>
      <w:r w:rsidRPr="00EC2610">
        <w:rPr>
          <w:rFonts w:ascii="Times New Roman" w:hAnsi="Times New Roman" w:cs="Times New Roman"/>
          <w:i/>
          <w:iCs/>
          <w:sz w:val="20"/>
          <w:szCs w:val="20"/>
          <w:lang w:val="ru-RU"/>
        </w:rPr>
        <w:t>Transactions</w:t>
      </w:r>
      <w:proofErr w:type="spellEnd"/>
      <w:r w:rsidRPr="00EC2610">
        <w:rPr>
          <w:rFonts w:ascii="Times New Roman" w:hAnsi="Times New Roman" w:cs="Times New Roman"/>
          <w:i/>
          <w:iCs/>
          <w:sz w:val="20"/>
          <w:szCs w:val="20"/>
          <w:lang w:val="ru-RU"/>
        </w:rPr>
        <w:t xml:space="preserve"> </w:t>
      </w:r>
      <w:proofErr w:type="spellStart"/>
      <w:r w:rsidRPr="00EC2610">
        <w:rPr>
          <w:rFonts w:ascii="Times New Roman" w:hAnsi="Times New Roman" w:cs="Times New Roman"/>
          <w:i/>
          <w:iCs/>
          <w:sz w:val="20"/>
          <w:szCs w:val="20"/>
          <w:lang w:val="ru-RU"/>
        </w:rPr>
        <w:t>on</w:t>
      </w:r>
      <w:proofErr w:type="spellEnd"/>
      <w:r w:rsidRPr="00EC2610">
        <w:rPr>
          <w:rFonts w:ascii="Times New Roman" w:hAnsi="Times New Roman" w:cs="Times New Roman"/>
          <w:i/>
          <w:iCs/>
          <w:sz w:val="20"/>
          <w:szCs w:val="20"/>
          <w:lang w:val="ru-RU"/>
        </w:rPr>
        <w:t xml:space="preserve"> </w:t>
      </w:r>
      <w:proofErr w:type="spellStart"/>
      <w:r w:rsidRPr="00EC2610">
        <w:rPr>
          <w:rFonts w:ascii="Times New Roman" w:hAnsi="Times New Roman" w:cs="Times New Roman"/>
          <w:i/>
          <w:iCs/>
          <w:sz w:val="20"/>
          <w:szCs w:val="20"/>
          <w:lang w:val="ru-RU"/>
        </w:rPr>
        <w:t>Dielectrics</w:t>
      </w:r>
      <w:proofErr w:type="spellEnd"/>
      <w:r w:rsidRPr="00EC2610">
        <w:rPr>
          <w:rFonts w:ascii="Times New Roman" w:hAnsi="Times New Roman" w:cs="Times New Roman"/>
          <w:i/>
          <w:iCs/>
          <w:sz w:val="20"/>
          <w:szCs w:val="20"/>
          <w:lang w:val="ru-RU"/>
        </w:rPr>
        <w:t xml:space="preserve"> </w:t>
      </w:r>
      <w:proofErr w:type="spellStart"/>
      <w:r w:rsidRPr="00EC2610">
        <w:rPr>
          <w:rFonts w:ascii="Times New Roman" w:hAnsi="Times New Roman" w:cs="Times New Roman"/>
          <w:i/>
          <w:iCs/>
          <w:sz w:val="20"/>
          <w:szCs w:val="20"/>
          <w:lang w:val="ru-RU"/>
        </w:rPr>
        <w:t>and</w:t>
      </w:r>
      <w:proofErr w:type="spellEnd"/>
      <w:r w:rsidRPr="00EC2610">
        <w:rPr>
          <w:rFonts w:ascii="Times New Roman" w:hAnsi="Times New Roman" w:cs="Times New Roman"/>
          <w:i/>
          <w:iCs/>
          <w:sz w:val="20"/>
          <w:szCs w:val="20"/>
          <w:lang w:val="ru-RU"/>
        </w:rPr>
        <w:t xml:space="preserve"> </w:t>
      </w:r>
      <w:proofErr w:type="spellStart"/>
      <w:r w:rsidRPr="00EC2610">
        <w:rPr>
          <w:rFonts w:ascii="Times New Roman" w:hAnsi="Times New Roman" w:cs="Times New Roman"/>
          <w:i/>
          <w:iCs/>
          <w:sz w:val="20"/>
          <w:szCs w:val="20"/>
          <w:lang w:val="ru-RU"/>
        </w:rPr>
        <w:t>Electrical</w:t>
      </w:r>
      <w:proofErr w:type="spellEnd"/>
      <w:r w:rsidRPr="00EC2610">
        <w:rPr>
          <w:rFonts w:ascii="Times New Roman" w:hAnsi="Times New Roman" w:cs="Times New Roman"/>
          <w:i/>
          <w:iCs/>
          <w:sz w:val="20"/>
          <w:szCs w:val="20"/>
          <w:lang w:val="ru-RU"/>
        </w:rPr>
        <w:t xml:space="preserve"> </w:t>
      </w:r>
      <w:proofErr w:type="spellStart"/>
      <w:r w:rsidRPr="00EC2610">
        <w:rPr>
          <w:rFonts w:ascii="Times New Roman" w:hAnsi="Times New Roman" w:cs="Times New Roman"/>
          <w:i/>
          <w:iCs/>
          <w:sz w:val="20"/>
          <w:szCs w:val="20"/>
          <w:lang w:val="ru-RU"/>
        </w:rPr>
        <w:t>Insulation</w:t>
      </w:r>
      <w:proofErr w:type="spellEnd"/>
      <w:r w:rsidRPr="00EC2610">
        <w:rPr>
          <w:rFonts w:ascii="Times New Roman" w:hAnsi="Times New Roman" w:cs="Times New Roman"/>
          <w:sz w:val="20"/>
          <w:szCs w:val="20"/>
          <w:lang w:val="ru-RU"/>
        </w:rPr>
        <w:t>, 27(5), 1489–1500.</w:t>
      </w:r>
    </w:p>
    <w:p w14:paraId="142ED27B" w14:textId="77777777" w:rsidR="004C7CF9" w:rsidRPr="00EC2610" w:rsidRDefault="004C7CF9" w:rsidP="00EC2610">
      <w:pPr>
        <w:numPr>
          <w:ilvl w:val="0"/>
          <w:numId w:val="10"/>
        </w:numPr>
        <w:tabs>
          <w:tab w:val="clear" w:pos="720"/>
          <w:tab w:val="left" w:pos="284"/>
          <w:tab w:val="num" w:pos="426"/>
          <w:tab w:val="left" w:pos="993"/>
        </w:tabs>
        <w:spacing w:after="0" w:line="240" w:lineRule="auto"/>
        <w:ind w:left="0" w:firstLine="0"/>
        <w:jc w:val="both"/>
        <w:rPr>
          <w:rFonts w:ascii="Times New Roman" w:hAnsi="Times New Roman" w:cs="Times New Roman"/>
          <w:sz w:val="20"/>
          <w:szCs w:val="20"/>
          <w:lang w:val="ru-RU"/>
        </w:rPr>
      </w:pPr>
      <w:r w:rsidRPr="00EC2610">
        <w:rPr>
          <w:rFonts w:ascii="Times New Roman" w:hAnsi="Times New Roman" w:cs="Times New Roman"/>
          <w:sz w:val="20"/>
          <w:szCs w:val="20"/>
        </w:rPr>
        <w:t xml:space="preserve">Sun, W., Wang, Y., &amp; Zhao, Q. (2021). Data-driven reliability assessment for aging transformers using Bayesian models. </w:t>
      </w:r>
      <w:proofErr w:type="spellStart"/>
      <w:r w:rsidRPr="00EC2610">
        <w:rPr>
          <w:rFonts w:ascii="Times New Roman" w:hAnsi="Times New Roman" w:cs="Times New Roman"/>
          <w:i/>
          <w:iCs/>
          <w:sz w:val="20"/>
          <w:szCs w:val="20"/>
          <w:lang w:val="ru-RU"/>
        </w:rPr>
        <w:t>Energies</w:t>
      </w:r>
      <w:proofErr w:type="spellEnd"/>
      <w:r w:rsidRPr="00EC2610">
        <w:rPr>
          <w:rFonts w:ascii="Times New Roman" w:hAnsi="Times New Roman" w:cs="Times New Roman"/>
          <w:sz w:val="20"/>
          <w:szCs w:val="20"/>
          <w:lang w:val="ru-RU"/>
        </w:rPr>
        <w:t>, 14(12), 3405.</w:t>
      </w:r>
    </w:p>
    <w:p w14:paraId="634D627E" w14:textId="77777777" w:rsidR="004C7CF9" w:rsidRPr="00EC2610" w:rsidRDefault="004C7CF9" w:rsidP="00EC2610">
      <w:pPr>
        <w:numPr>
          <w:ilvl w:val="0"/>
          <w:numId w:val="10"/>
        </w:numPr>
        <w:tabs>
          <w:tab w:val="clear" w:pos="720"/>
          <w:tab w:val="left" w:pos="284"/>
          <w:tab w:val="num" w:pos="426"/>
          <w:tab w:val="left" w:pos="993"/>
        </w:tabs>
        <w:spacing w:after="0" w:line="240" w:lineRule="auto"/>
        <w:ind w:left="0" w:firstLine="0"/>
        <w:jc w:val="both"/>
        <w:rPr>
          <w:rFonts w:ascii="Times New Roman" w:hAnsi="Times New Roman" w:cs="Times New Roman"/>
          <w:sz w:val="20"/>
          <w:szCs w:val="20"/>
        </w:rPr>
      </w:pPr>
      <w:r w:rsidRPr="00EC2610">
        <w:rPr>
          <w:rFonts w:ascii="Times New Roman" w:hAnsi="Times New Roman" w:cs="Times New Roman"/>
          <w:sz w:val="20"/>
          <w:szCs w:val="20"/>
        </w:rPr>
        <w:t xml:space="preserve">Venkatasubramanian, V., Rengaswamy, R., Yin, K., &amp; Kavuri, S.N. (2003). A review of process fault detection and diagnosis: Part I. </w:t>
      </w:r>
      <w:r w:rsidRPr="00EC2610">
        <w:rPr>
          <w:rFonts w:ascii="Times New Roman" w:hAnsi="Times New Roman" w:cs="Times New Roman"/>
          <w:i/>
          <w:iCs/>
          <w:sz w:val="20"/>
          <w:szCs w:val="20"/>
        </w:rPr>
        <w:t>Computers &amp; Chemical Engineering</w:t>
      </w:r>
      <w:r w:rsidRPr="00EC2610">
        <w:rPr>
          <w:rFonts w:ascii="Times New Roman" w:hAnsi="Times New Roman" w:cs="Times New Roman"/>
          <w:sz w:val="20"/>
          <w:szCs w:val="20"/>
        </w:rPr>
        <w:t>, 27(3), 293–311.</w:t>
      </w:r>
    </w:p>
    <w:p w14:paraId="2AC86340" w14:textId="77777777" w:rsidR="004C7CF9" w:rsidRPr="00EC2610" w:rsidRDefault="004C7CF9" w:rsidP="00EC2610">
      <w:pPr>
        <w:numPr>
          <w:ilvl w:val="0"/>
          <w:numId w:val="10"/>
        </w:numPr>
        <w:tabs>
          <w:tab w:val="clear" w:pos="720"/>
          <w:tab w:val="left" w:pos="284"/>
          <w:tab w:val="num" w:pos="426"/>
          <w:tab w:val="left" w:pos="993"/>
        </w:tabs>
        <w:spacing w:after="0" w:line="240" w:lineRule="auto"/>
        <w:ind w:left="0" w:firstLine="0"/>
        <w:jc w:val="both"/>
        <w:rPr>
          <w:rFonts w:ascii="Times New Roman" w:hAnsi="Times New Roman" w:cs="Times New Roman"/>
          <w:sz w:val="20"/>
          <w:szCs w:val="20"/>
          <w:lang w:val="ru-RU"/>
        </w:rPr>
      </w:pPr>
      <w:r w:rsidRPr="00EC2610">
        <w:rPr>
          <w:rFonts w:ascii="Times New Roman" w:hAnsi="Times New Roman" w:cs="Times New Roman"/>
          <w:sz w:val="20"/>
          <w:szCs w:val="20"/>
        </w:rPr>
        <w:t xml:space="preserve">Wang, F., Liu, C., &amp; Tan, Z. (2020). Application of IoT and AI technologies for intelligent maintenance in smart grids. </w:t>
      </w:r>
      <w:r w:rsidRPr="00EC2610">
        <w:rPr>
          <w:rFonts w:ascii="Times New Roman" w:hAnsi="Times New Roman" w:cs="Times New Roman"/>
          <w:i/>
          <w:iCs/>
          <w:sz w:val="20"/>
          <w:szCs w:val="20"/>
          <w:lang w:val="ru-RU"/>
        </w:rPr>
        <w:t xml:space="preserve">IEEE </w:t>
      </w:r>
      <w:proofErr w:type="spellStart"/>
      <w:r w:rsidRPr="00EC2610">
        <w:rPr>
          <w:rFonts w:ascii="Times New Roman" w:hAnsi="Times New Roman" w:cs="Times New Roman"/>
          <w:i/>
          <w:iCs/>
          <w:sz w:val="20"/>
          <w:szCs w:val="20"/>
          <w:lang w:val="ru-RU"/>
        </w:rPr>
        <w:t>Internet</w:t>
      </w:r>
      <w:proofErr w:type="spellEnd"/>
      <w:r w:rsidRPr="00EC2610">
        <w:rPr>
          <w:rFonts w:ascii="Times New Roman" w:hAnsi="Times New Roman" w:cs="Times New Roman"/>
          <w:i/>
          <w:iCs/>
          <w:sz w:val="20"/>
          <w:szCs w:val="20"/>
          <w:lang w:val="ru-RU"/>
        </w:rPr>
        <w:t xml:space="preserve"> </w:t>
      </w:r>
      <w:proofErr w:type="spellStart"/>
      <w:r w:rsidRPr="00EC2610">
        <w:rPr>
          <w:rFonts w:ascii="Times New Roman" w:hAnsi="Times New Roman" w:cs="Times New Roman"/>
          <w:i/>
          <w:iCs/>
          <w:sz w:val="20"/>
          <w:szCs w:val="20"/>
          <w:lang w:val="ru-RU"/>
        </w:rPr>
        <w:t>of</w:t>
      </w:r>
      <w:proofErr w:type="spellEnd"/>
      <w:r w:rsidRPr="00EC2610">
        <w:rPr>
          <w:rFonts w:ascii="Times New Roman" w:hAnsi="Times New Roman" w:cs="Times New Roman"/>
          <w:i/>
          <w:iCs/>
          <w:sz w:val="20"/>
          <w:szCs w:val="20"/>
          <w:lang w:val="ru-RU"/>
        </w:rPr>
        <w:t xml:space="preserve"> </w:t>
      </w:r>
      <w:proofErr w:type="spellStart"/>
      <w:r w:rsidRPr="00EC2610">
        <w:rPr>
          <w:rFonts w:ascii="Times New Roman" w:hAnsi="Times New Roman" w:cs="Times New Roman"/>
          <w:i/>
          <w:iCs/>
          <w:sz w:val="20"/>
          <w:szCs w:val="20"/>
          <w:lang w:val="ru-RU"/>
        </w:rPr>
        <w:t>Things</w:t>
      </w:r>
      <w:proofErr w:type="spellEnd"/>
      <w:r w:rsidRPr="00EC2610">
        <w:rPr>
          <w:rFonts w:ascii="Times New Roman" w:hAnsi="Times New Roman" w:cs="Times New Roman"/>
          <w:i/>
          <w:iCs/>
          <w:sz w:val="20"/>
          <w:szCs w:val="20"/>
          <w:lang w:val="ru-RU"/>
        </w:rPr>
        <w:t xml:space="preserve"> </w:t>
      </w:r>
      <w:proofErr w:type="spellStart"/>
      <w:r w:rsidRPr="00EC2610">
        <w:rPr>
          <w:rFonts w:ascii="Times New Roman" w:hAnsi="Times New Roman" w:cs="Times New Roman"/>
          <w:i/>
          <w:iCs/>
          <w:sz w:val="20"/>
          <w:szCs w:val="20"/>
          <w:lang w:val="ru-RU"/>
        </w:rPr>
        <w:t>Journal</w:t>
      </w:r>
      <w:proofErr w:type="spellEnd"/>
      <w:r w:rsidRPr="00EC2610">
        <w:rPr>
          <w:rFonts w:ascii="Times New Roman" w:hAnsi="Times New Roman" w:cs="Times New Roman"/>
          <w:sz w:val="20"/>
          <w:szCs w:val="20"/>
          <w:lang w:val="ru-RU"/>
        </w:rPr>
        <w:t>, 7(11), 10835–10847.</w:t>
      </w:r>
    </w:p>
    <w:p w14:paraId="6494622B" w14:textId="77777777" w:rsidR="004C7CF9" w:rsidRPr="00EC2610" w:rsidRDefault="004C7CF9" w:rsidP="00EC2610">
      <w:pPr>
        <w:numPr>
          <w:ilvl w:val="0"/>
          <w:numId w:val="10"/>
        </w:numPr>
        <w:tabs>
          <w:tab w:val="clear" w:pos="720"/>
          <w:tab w:val="left" w:pos="284"/>
          <w:tab w:val="num" w:pos="426"/>
          <w:tab w:val="left" w:pos="993"/>
        </w:tabs>
        <w:spacing w:after="0" w:line="240" w:lineRule="auto"/>
        <w:ind w:left="0" w:firstLine="0"/>
        <w:jc w:val="both"/>
        <w:rPr>
          <w:rFonts w:ascii="Times New Roman" w:hAnsi="Times New Roman" w:cs="Times New Roman"/>
          <w:sz w:val="20"/>
          <w:szCs w:val="20"/>
          <w:lang w:val="ru-RU"/>
        </w:rPr>
      </w:pPr>
      <w:r w:rsidRPr="00EC2610">
        <w:rPr>
          <w:rFonts w:ascii="Times New Roman" w:hAnsi="Times New Roman" w:cs="Times New Roman"/>
          <w:sz w:val="20"/>
          <w:szCs w:val="20"/>
        </w:rPr>
        <w:lastRenderedPageBreak/>
        <w:t xml:space="preserve">Zhang, H., &amp; Zhou, Q. (2022). A fuzzy logic-based hybrid model for online condition monitoring of oil-immersed transformers. </w:t>
      </w:r>
      <w:proofErr w:type="spellStart"/>
      <w:r w:rsidRPr="00EC2610">
        <w:rPr>
          <w:rFonts w:ascii="Times New Roman" w:hAnsi="Times New Roman" w:cs="Times New Roman"/>
          <w:i/>
          <w:iCs/>
          <w:sz w:val="20"/>
          <w:szCs w:val="20"/>
          <w:lang w:val="ru-RU"/>
        </w:rPr>
        <w:t>Energy</w:t>
      </w:r>
      <w:proofErr w:type="spellEnd"/>
      <w:r w:rsidRPr="00EC2610">
        <w:rPr>
          <w:rFonts w:ascii="Times New Roman" w:hAnsi="Times New Roman" w:cs="Times New Roman"/>
          <w:i/>
          <w:iCs/>
          <w:sz w:val="20"/>
          <w:szCs w:val="20"/>
          <w:lang w:val="ru-RU"/>
        </w:rPr>
        <w:t xml:space="preserve"> </w:t>
      </w:r>
      <w:proofErr w:type="spellStart"/>
      <w:r w:rsidRPr="00EC2610">
        <w:rPr>
          <w:rFonts w:ascii="Times New Roman" w:hAnsi="Times New Roman" w:cs="Times New Roman"/>
          <w:i/>
          <w:iCs/>
          <w:sz w:val="20"/>
          <w:szCs w:val="20"/>
          <w:lang w:val="ru-RU"/>
        </w:rPr>
        <w:t>Reports</w:t>
      </w:r>
      <w:proofErr w:type="spellEnd"/>
      <w:r w:rsidRPr="00EC2610">
        <w:rPr>
          <w:rFonts w:ascii="Times New Roman" w:hAnsi="Times New Roman" w:cs="Times New Roman"/>
          <w:sz w:val="20"/>
          <w:szCs w:val="20"/>
          <w:lang w:val="ru-RU"/>
        </w:rPr>
        <w:t>, 8, 765–777.</w:t>
      </w:r>
    </w:p>
    <w:p w14:paraId="2B86F63F" w14:textId="77777777" w:rsidR="004C7CF9" w:rsidRPr="00EC2610" w:rsidRDefault="004C7CF9" w:rsidP="00EC2610">
      <w:pPr>
        <w:numPr>
          <w:ilvl w:val="0"/>
          <w:numId w:val="10"/>
        </w:numPr>
        <w:tabs>
          <w:tab w:val="clear" w:pos="720"/>
          <w:tab w:val="left" w:pos="284"/>
          <w:tab w:val="num" w:pos="426"/>
          <w:tab w:val="left" w:pos="993"/>
        </w:tabs>
        <w:spacing w:after="0" w:line="240" w:lineRule="auto"/>
        <w:ind w:left="0" w:firstLine="0"/>
        <w:jc w:val="both"/>
        <w:rPr>
          <w:rFonts w:ascii="Times New Roman" w:hAnsi="Times New Roman" w:cs="Times New Roman"/>
          <w:sz w:val="20"/>
          <w:szCs w:val="20"/>
        </w:rPr>
      </w:pPr>
      <w:proofErr w:type="spellStart"/>
      <w:r w:rsidRPr="00EC2610">
        <w:rPr>
          <w:rFonts w:ascii="Times New Roman" w:hAnsi="Times New Roman" w:cs="Times New Roman"/>
          <w:sz w:val="20"/>
          <w:szCs w:val="20"/>
        </w:rPr>
        <w:t>Farhangi</w:t>
      </w:r>
      <w:proofErr w:type="spellEnd"/>
      <w:r w:rsidRPr="00EC2610">
        <w:rPr>
          <w:rFonts w:ascii="Times New Roman" w:hAnsi="Times New Roman" w:cs="Times New Roman"/>
          <w:sz w:val="20"/>
          <w:szCs w:val="20"/>
        </w:rPr>
        <w:t xml:space="preserve">, H. (2010). The path of the smart grid. </w:t>
      </w:r>
      <w:r w:rsidRPr="00EC2610">
        <w:rPr>
          <w:rFonts w:ascii="Times New Roman" w:hAnsi="Times New Roman" w:cs="Times New Roman"/>
          <w:i/>
          <w:iCs/>
          <w:sz w:val="20"/>
          <w:szCs w:val="20"/>
        </w:rPr>
        <w:t>IEEE Power and Energy Magazine</w:t>
      </w:r>
      <w:r w:rsidRPr="00EC2610">
        <w:rPr>
          <w:rFonts w:ascii="Times New Roman" w:hAnsi="Times New Roman" w:cs="Times New Roman"/>
          <w:sz w:val="20"/>
          <w:szCs w:val="20"/>
        </w:rPr>
        <w:t>, 8(1), 18–28.</w:t>
      </w:r>
    </w:p>
    <w:p w14:paraId="73A19491" w14:textId="77777777" w:rsidR="004C7CF9" w:rsidRPr="00EC2610" w:rsidRDefault="004C7CF9" w:rsidP="00EC2610">
      <w:pPr>
        <w:numPr>
          <w:ilvl w:val="0"/>
          <w:numId w:val="10"/>
        </w:numPr>
        <w:tabs>
          <w:tab w:val="clear" w:pos="720"/>
          <w:tab w:val="left" w:pos="284"/>
          <w:tab w:val="num" w:pos="426"/>
          <w:tab w:val="left" w:pos="993"/>
        </w:tabs>
        <w:spacing w:after="0" w:line="240" w:lineRule="auto"/>
        <w:ind w:left="0" w:firstLine="0"/>
        <w:jc w:val="both"/>
        <w:rPr>
          <w:rFonts w:ascii="Times New Roman" w:hAnsi="Times New Roman" w:cs="Times New Roman"/>
          <w:sz w:val="20"/>
          <w:szCs w:val="20"/>
          <w:lang w:val="ru-RU"/>
        </w:rPr>
      </w:pPr>
      <w:r w:rsidRPr="00EC2610">
        <w:rPr>
          <w:rFonts w:ascii="Times New Roman" w:hAnsi="Times New Roman" w:cs="Times New Roman"/>
          <w:sz w:val="20"/>
          <w:szCs w:val="20"/>
        </w:rPr>
        <w:t xml:space="preserve">Choi, Y., &amp; Lee, J. (2022). Digital transformation strategies in the energy sector: A systematic review. </w:t>
      </w:r>
      <w:proofErr w:type="spellStart"/>
      <w:r w:rsidRPr="00EC2610">
        <w:rPr>
          <w:rFonts w:ascii="Times New Roman" w:hAnsi="Times New Roman" w:cs="Times New Roman"/>
          <w:i/>
          <w:iCs/>
          <w:sz w:val="20"/>
          <w:szCs w:val="20"/>
          <w:lang w:val="ru-RU"/>
        </w:rPr>
        <w:t>Renewable</w:t>
      </w:r>
      <w:proofErr w:type="spellEnd"/>
      <w:r w:rsidRPr="00EC2610">
        <w:rPr>
          <w:rFonts w:ascii="Times New Roman" w:hAnsi="Times New Roman" w:cs="Times New Roman"/>
          <w:i/>
          <w:iCs/>
          <w:sz w:val="20"/>
          <w:szCs w:val="20"/>
          <w:lang w:val="ru-RU"/>
        </w:rPr>
        <w:t xml:space="preserve"> </w:t>
      </w:r>
      <w:proofErr w:type="spellStart"/>
      <w:r w:rsidRPr="00EC2610">
        <w:rPr>
          <w:rFonts w:ascii="Times New Roman" w:hAnsi="Times New Roman" w:cs="Times New Roman"/>
          <w:i/>
          <w:iCs/>
          <w:sz w:val="20"/>
          <w:szCs w:val="20"/>
          <w:lang w:val="ru-RU"/>
        </w:rPr>
        <w:t>and</w:t>
      </w:r>
      <w:proofErr w:type="spellEnd"/>
      <w:r w:rsidRPr="00EC2610">
        <w:rPr>
          <w:rFonts w:ascii="Times New Roman" w:hAnsi="Times New Roman" w:cs="Times New Roman"/>
          <w:i/>
          <w:iCs/>
          <w:sz w:val="20"/>
          <w:szCs w:val="20"/>
          <w:lang w:val="ru-RU"/>
        </w:rPr>
        <w:t xml:space="preserve"> </w:t>
      </w:r>
      <w:proofErr w:type="spellStart"/>
      <w:r w:rsidRPr="00EC2610">
        <w:rPr>
          <w:rFonts w:ascii="Times New Roman" w:hAnsi="Times New Roman" w:cs="Times New Roman"/>
          <w:i/>
          <w:iCs/>
          <w:sz w:val="20"/>
          <w:szCs w:val="20"/>
          <w:lang w:val="ru-RU"/>
        </w:rPr>
        <w:t>Sustainable</w:t>
      </w:r>
      <w:proofErr w:type="spellEnd"/>
      <w:r w:rsidRPr="00EC2610">
        <w:rPr>
          <w:rFonts w:ascii="Times New Roman" w:hAnsi="Times New Roman" w:cs="Times New Roman"/>
          <w:i/>
          <w:iCs/>
          <w:sz w:val="20"/>
          <w:szCs w:val="20"/>
          <w:lang w:val="ru-RU"/>
        </w:rPr>
        <w:t xml:space="preserve"> </w:t>
      </w:r>
      <w:proofErr w:type="spellStart"/>
      <w:r w:rsidRPr="00EC2610">
        <w:rPr>
          <w:rFonts w:ascii="Times New Roman" w:hAnsi="Times New Roman" w:cs="Times New Roman"/>
          <w:i/>
          <w:iCs/>
          <w:sz w:val="20"/>
          <w:szCs w:val="20"/>
          <w:lang w:val="ru-RU"/>
        </w:rPr>
        <w:t>Energy</w:t>
      </w:r>
      <w:proofErr w:type="spellEnd"/>
      <w:r w:rsidRPr="00EC2610">
        <w:rPr>
          <w:rFonts w:ascii="Times New Roman" w:hAnsi="Times New Roman" w:cs="Times New Roman"/>
          <w:i/>
          <w:iCs/>
          <w:sz w:val="20"/>
          <w:szCs w:val="20"/>
          <w:lang w:val="ru-RU"/>
        </w:rPr>
        <w:t xml:space="preserve"> </w:t>
      </w:r>
      <w:proofErr w:type="spellStart"/>
      <w:r w:rsidRPr="00EC2610">
        <w:rPr>
          <w:rFonts w:ascii="Times New Roman" w:hAnsi="Times New Roman" w:cs="Times New Roman"/>
          <w:i/>
          <w:iCs/>
          <w:sz w:val="20"/>
          <w:szCs w:val="20"/>
          <w:lang w:val="ru-RU"/>
        </w:rPr>
        <w:t>Reviews</w:t>
      </w:r>
      <w:proofErr w:type="spellEnd"/>
      <w:r w:rsidRPr="00EC2610">
        <w:rPr>
          <w:rFonts w:ascii="Times New Roman" w:hAnsi="Times New Roman" w:cs="Times New Roman"/>
          <w:sz w:val="20"/>
          <w:szCs w:val="20"/>
          <w:lang w:val="ru-RU"/>
        </w:rPr>
        <w:t>, 160, 112281.</w:t>
      </w:r>
    </w:p>
    <w:p w14:paraId="18CD7C09" w14:textId="4F673C65" w:rsidR="004C7CF9" w:rsidRPr="00EC2610" w:rsidRDefault="004C7CF9" w:rsidP="00EC2610">
      <w:pPr>
        <w:numPr>
          <w:ilvl w:val="0"/>
          <w:numId w:val="10"/>
        </w:numPr>
        <w:tabs>
          <w:tab w:val="clear" w:pos="720"/>
          <w:tab w:val="left" w:pos="284"/>
          <w:tab w:val="num" w:pos="426"/>
          <w:tab w:val="left" w:pos="993"/>
        </w:tabs>
        <w:spacing w:after="0" w:line="240" w:lineRule="auto"/>
        <w:ind w:left="0" w:firstLine="0"/>
        <w:jc w:val="both"/>
        <w:rPr>
          <w:rFonts w:ascii="Times New Roman" w:hAnsi="Times New Roman" w:cs="Times New Roman"/>
          <w:sz w:val="20"/>
          <w:szCs w:val="20"/>
        </w:rPr>
      </w:pPr>
      <w:r w:rsidRPr="00EC2610">
        <w:rPr>
          <w:rFonts w:ascii="Times New Roman" w:hAnsi="Times New Roman" w:cs="Times New Roman"/>
          <w:sz w:val="20"/>
          <w:szCs w:val="20"/>
        </w:rPr>
        <w:t xml:space="preserve">Ministry of Energy of the Republic of Uzbekistan. (2023). </w:t>
      </w:r>
      <w:r w:rsidRPr="00EC2610">
        <w:rPr>
          <w:rFonts w:ascii="Times New Roman" w:hAnsi="Times New Roman" w:cs="Times New Roman"/>
          <w:i/>
          <w:iCs/>
          <w:sz w:val="20"/>
          <w:szCs w:val="20"/>
        </w:rPr>
        <w:t>Digital Energy Development Program 2023–2030.</w:t>
      </w:r>
      <w:r w:rsidRPr="00EC2610">
        <w:rPr>
          <w:rFonts w:ascii="Times New Roman" w:hAnsi="Times New Roman" w:cs="Times New Roman"/>
          <w:sz w:val="20"/>
          <w:szCs w:val="20"/>
        </w:rPr>
        <w:t xml:space="preserve"> Tashkent.</w:t>
      </w:r>
    </w:p>
    <w:p w14:paraId="74661C7C" w14:textId="77777777" w:rsidR="0095552D" w:rsidRPr="00EC2610" w:rsidRDefault="0095552D" w:rsidP="00EC2610">
      <w:pPr>
        <w:numPr>
          <w:ilvl w:val="0"/>
          <w:numId w:val="10"/>
        </w:numPr>
        <w:tabs>
          <w:tab w:val="clear" w:pos="720"/>
          <w:tab w:val="left" w:pos="284"/>
          <w:tab w:val="num" w:pos="426"/>
          <w:tab w:val="left" w:pos="993"/>
        </w:tabs>
        <w:spacing w:after="0" w:line="240" w:lineRule="auto"/>
        <w:ind w:left="0" w:firstLine="0"/>
        <w:jc w:val="both"/>
        <w:rPr>
          <w:rFonts w:ascii="Times New Roman" w:hAnsi="Times New Roman" w:cs="Times New Roman"/>
          <w:sz w:val="20"/>
          <w:szCs w:val="20"/>
        </w:rPr>
      </w:pPr>
      <w:proofErr w:type="spellStart"/>
      <w:r w:rsidRPr="00EC2610">
        <w:rPr>
          <w:rFonts w:ascii="Times New Roman" w:hAnsi="Times New Roman" w:cs="Times New Roman"/>
          <w:sz w:val="20"/>
          <w:szCs w:val="20"/>
        </w:rPr>
        <w:t>Vdoviko</w:t>
      </w:r>
      <w:proofErr w:type="spellEnd"/>
      <w:r w:rsidRPr="00EC2610">
        <w:rPr>
          <w:rFonts w:ascii="Times New Roman" w:hAnsi="Times New Roman" w:cs="Times New Roman"/>
          <w:sz w:val="20"/>
          <w:szCs w:val="20"/>
        </w:rPr>
        <w:t xml:space="preserve"> V.P. Methodology of the system for diagnosing high voltage electrical equipment / V.P. </w:t>
      </w:r>
      <w:proofErr w:type="spellStart"/>
      <w:r w:rsidRPr="00EC2610">
        <w:rPr>
          <w:rFonts w:ascii="Times New Roman" w:hAnsi="Times New Roman" w:cs="Times New Roman"/>
          <w:sz w:val="20"/>
          <w:szCs w:val="20"/>
        </w:rPr>
        <w:t>Vdoviko</w:t>
      </w:r>
      <w:proofErr w:type="spellEnd"/>
      <w:r w:rsidRPr="00EC2610">
        <w:rPr>
          <w:rFonts w:ascii="Times New Roman" w:hAnsi="Times New Roman" w:cs="Times New Roman"/>
          <w:sz w:val="20"/>
          <w:szCs w:val="20"/>
        </w:rPr>
        <w:t xml:space="preserve"> // Electricity. - 2010. - No. 2. - P. 14–20.</w:t>
      </w:r>
    </w:p>
    <w:p w14:paraId="0C5FAC93" w14:textId="00C22384" w:rsidR="0095552D" w:rsidRPr="00EC2610" w:rsidRDefault="0095552D" w:rsidP="00EC2610">
      <w:pPr>
        <w:numPr>
          <w:ilvl w:val="0"/>
          <w:numId w:val="10"/>
        </w:numPr>
        <w:tabs>
          <w:tab w:val="clear" w:pos="720"/>
          <w:tab w:val="left" w:pos="284"/>
          <w:tab w:val="num" w:pos="426"/>
          <w:tab w:val="left" w:pos="993"/>
        </w:tabs>
        <w:spacing w:after="0" w:line="240" w:lineRule="auto"/>
        <w:ind w:left="0" w:firstLine="0"/>
        <w:jc w:val="both"/>
        <w:rPr>
          <w:rFonts w:ascii="Times New Roman" w:hAnsi="Times New Roman" w:cs="Times New Roman"/>
          <w:sz w:val="20"/>
          <w:szCs w:val="20"/>
        </w:rPr>
      </w:pPr>
      <w:proofErr w:type="spellStart"/>
      <w:r w:rsidRPr="00EC2610">
        <w:rPr>
          <w:rFonts w:ascii="Times New Roman" w:hAnsi="Times New Roman" w:cs="Times New Roman"/>
          <w:sz w:val="20"/>
          <w:szCs w:val="20"/>
        </w:rPr>
        <w:t>Khrennikov</w:t>
      </w:r>
      <w:proofErr w:type="spellEnd"/>
      <w:r w:rsidRPr="00EC2610">
        <w:rPr>
          <w:rFonts w:ascii="Times New Roman" w:hAnsi="Times New Roman" w:cs="Times New Roman"/>
          <w:sz w:val="20"/>
          <w:szCs w:val="20"/>
        </w:rPr>
        <w:t xml:space="preserve"> </w:t>
      </w:r>
      <w:proofErr w:type="spellStart"/>
      <w:r w:rsidRPr="00EC2610">
        <w:rPr>
          <w:rFonts w:ascii="Times New Roman" w:hAnsi="Times New Roman" w:cs="Times New Roman"/>
          <w:sz w:val="20"/>
          <w:szCs w:val="20"/>
        </w:rPr>
        <w:t>A.Yu</w:t>
      </w:r>
      <w:proofErr w:type="spellEnd"/>
      <w:r w:rsidRPr="00EC2610">
        <w:rPr>
          <w:rFonts w:ascii="Times New Roman" w:hAnsi="Times New Roman" w:cs="Times New Roman"/>
          <w:sz w:val="20"/>
          <w:szCs w:val="20"/>
        </w:rPr>
        <w:t xml:space="preserve">. Main defects and damage of transformers (reactors) and classification of types of influences leading to their appearance / </w:t>
      </w:r>
      <w:proofErr w:type="spellStart"/>
      <w:r w:rsidRPr="00EC2610">
        <w:rPr>
          <w:rFonts w:ascii="Times New Roman" w:hAnsi="Times New Roman" w:cs="Times New Roman"/>
          <w:sz w:val="20"/>
          <w:szCs w:val="20"/>
        </w:rPr>
        <w:t>A.Yu</w:t>
      </w:r>
      <w:proofErr w:type="spellEnd"/>
      <w:r w:rsidRPr="00EC2610">
        <w:rPr>
          <w:rFonts w:ascii="Times New Roman" w:hAnsi="Times New Roman" w:cs="Times New Roman"/>
          <w:sz w:val="20"/>
          <w:szCs w:val="20"/>
        </w:rPr>
        <w:t>. Khrennikov, G.G. Goldstein // Industrial Energy. - 2008. - No. 11. - P. 17–21.</w:t>
      </w:r>
    </w:p>
    <w:p w14:paraId="4D6C29B1" w14:textId="32D924F1" w:rsidR="0095552D" w:rsidRPr="00EC2610" w:rsidRDefault="0095552D" w:rsidP="00EC2610">
      <w:pPr>
        <w:numPr>
          <w:ilvl w:val="0"/>
          <w:numId w:val="10"/>
        </w:numPr>
        <w:tabs>
          <w:tab w:val="clear" w:pos="720"/>
          <w:tab w:val="left" w:pos="284"/>
          <w:tab w:val="num" w:pos="426"/>
          <w:tab w:val="left" w:pos="993"/>
        </w:tabs>
        <w:spacing w:after="0" w:line="240" w:lineRule="auto"/>
        <w:ind w:left="0" w:firstLine="0"/>
        <w:jc w:val="both"/>
        <w:rPr>
          <w:rFonts w:ascii="Times New Roman" w:hAnsi="Times New Roman" w:cs="Times New Roman"/>
          <w:sz w:val="20"/>
          <w:szCs w:val="20"/>
        </w:rPr>
      </w:pPr>
      <w:r w:rsidRPr="00EC2610">
        <w:rPr>
          <w:rFonts w:ascii="Times New Roman" w:hAnsi="Times New Roman" w:cs="Times New Roman"/>
          <w:sz w:val="20"/>
          <w:szCs w:val="20"/>
        </w:rPr>
        <w:t xml:space="preserve">System of information support for making managerial decisions in the maintenance of TPP equipment / K.E. Aronson, V.I. </w:t>
      </w:r>
      <w:proofErr w:type="spellStart"/>
      <w:r w:rsidRPr="00EC2610">
        <w:rPr>
          <w:rFonts w:ascii="Times New Roman" w:hAnsi="Times New Roman" w:cs="Times New Roman"/>
          <w:sz w:val="20"/>
          <w:szCs w:val="20"/>
        </w:rPr>
        <w:t>Brezgin</w:t>
      </w:r>
      <w:proofErr w:type="spellEnd"/>
      <w:r w:rsidRPr="00EC2610">
        <w:rPr>
          <w:rFonts w:ascii="Times New Roman" w:hAnsi="Times New Roman" w:cs="Times New Roman"/>
          <w:sz w:val="20"/>
          <w:szCs w:val="20"/>
        </w:rPr>
        <w:t xml:space="preserve">, </w:t>
      </w:r>
      <w:proofErr w:type="spellStart"/>
      <w:r w:rsidRPr="00EC2610">
        <w:rPr>
          <w:rFonts w:ascii="Times New Roman" w:hAnsi="Times New Roman" w:cs="Times New Roman"/>
          <w:sz w:val="20"/>
          <w:szCs w:val="20"/>
        </w:rPr>
        <w:t>Yu.M</w:t>
      </w:r>
      <w:proofErr w:type="spellEnd"/>
      <w:r w:rsidRPr="00EC2610">
        <w:rPr>
          <w:rFonts w:ascii="Times New Roman" w:hAnsi="Times New Roman" w:cs="Times New Roman"/>
          <w:sz w:val="20"/>
          <w:szCs w:val="20"/>
        </w:rPr>
        <w:t xml:space="preserve">. </w:t>
      </w:r>
      <w:proofErr w:type="spellStart"/>
      <w:r w:rsidRPr="00EC2610">
        <w:rPr>
          <w:rFonts w:ascii="Times New Roman" w:hAnsi="Times New Roman" w:cs="Times New Roman"/>
          <w:sz w:val="20"/>
          <w:szCs w:val="20"/>
        </w:rPr>
        <w:t>Brodov</w:t>
      </w:r>
      <w:proofErr w:type="spellEnd"/>
      <w:r w:rsidRPr="00EC2610">
        <w:rPr>
          <w:rFonts w:ascii="Times New Roman" w:hAnsi="Times New Roman" w:cs="Times New Roman"/>
          <w:sz w:val="20"/>
          <w:szCs w:val="20"/>
        </w:rPr>
        <w:t xml:space="preserve"> and others // Electric stations. - 2006. - No. 10. - P. 55–61 4. </w:t>
      </w:r>
      <w:proofErr w:type="spellStart"/>
      <w:r w:rsidRPr="00EC2610">
        <w:rPr>
          <w:rFonts w:ascii="Times New Roman" w:hAnsi="Times New Roman" w:cs="Times New Roman"/>
          <w:sz w:val="20"/>
          <w:szCs w:val="20"/>
        </w:rPr>
        <w:t>Zavidey</w:t>
      </w:r>
      <w:proofErr w:type="spellEnd"/>
      <w:r w:rsidRPr="00EC2610">
        <w:rPr>
          <w:rFonts w:ascii="Times New Roman" w:hAnsi="Times New Roman" w:cs="Times New Roman"/>
          <w:sz w:val="20"/>
          <w:szCs w:val="20"/>
        </w:rPr>
        <w:t xml:space="preserve">, V.I. Possibilities of using thermal imaging control for diagnosing the technical condition of power transformers / V.I. </w:t>
      </w:r>
      <w:proofErr w:type="spellStart"/>
      <w:r w:rsidRPr="00EC2610">
        <w:rPr>
          <w:rFonts w:ascii="Times New Roman" w:hAnsi="Times New Roman" w:cs="Times New Roman"/>
          <w:sz w:val="20"/>
          <w:szCs w:val="20"/>
        </w:rPr>
        <w:t>Zavidey</w:t>
      </w:r>
      <w:proofErr w:type="spellEnd"/>
      <w:r w:rsidRPr="00EC2610">
        <w:rPr>
          <w:rFonts w:ascii="Times New Roman" w:hAnsi="Times New Roman" w:cs="Times New Roman"/>
          <w:sz w:val="20"/>
          <w:szCs w:val="20"/>
        </w:rPr>
        <w:t xml:space="preserve">, V.I. </w:t>
      </w:r>
      <w:proofErr w:type="spellStart"/>
      <w:r w:rsidRPr="00EC2610">
        <w:rPr>
          <w:rFonts w:ascii="Times New Roman" w:hAnsi="Times New Roman" w:cs="Times New Roman"/>
          <w:sz w:val="20"/>
          <w:szCs w:val="20"/>
        </w:rPr>
        <w:t>Pechenkin</w:t>
      </w:r>
      <w:proofErr w:type="spellEnd"/>
      <w:r w:rsidRPr="00EC2610">
        <w:rPr>
          <w:rFonts w:ascii="Times New Roman" w:hAnsi="Times New Roman" w:cs="Times New Roman"/>
          <w:sz w:val="20"/>
          <w:szCs w:val="20"/>
        </w:rPr>
        <w:t xml:space="preserve">, S.V. </w:t>
      </w:r>
      <w:proofErr w:type="spellStart"/>
      <w:r w:rsidRPr="00EC2610">
        <w:rPr>
          <w:rFonts w:ascii="Times New Roman" w:hAnsi="Times New Roman" w:cs="Times New Roman"/>
          <w:sz w:val="20"/>
          <w:szCs w:val="20"/>
        </w:rPr>
        <w:t>Kalanchin</w:t>
      </w:r>
      <w:proofErr w:type="spellEnd"/>
      <w:r w:rsidRPr="00EC2610">
        <w:rPr>
          <w:rFonts w:ascii="Times New Roman" w:hAnsi="Times New Roman" w:cs="Times New Roman"/>
          <w:sz w:val="20"/>
          <w:szCs w:val="20"/>
        </w:rPr>
        <w:t xml:space="preserve"> // </w:t>
      </w:r>
      <w:proofErr w:type="spellStart"/>
      <w:r w:rsidRPr="00EC2610">
        <w:rPr>
          <w:rFonts w:ascii="Times New Roman" w:hAnsi="Times New Roman" w:cs="Times New Roman"/>
          <w:sz w:val="20"/>
          <w:szCs w:val="20"/>
        </w:rPr>
        <w:t>Energoexpert</w:t>
      </w:r>
      <w:proofErr w:type="spellEnd"/>
      <w:r w:rsidRPr="00EC2610">
        <w:rPr>
          <w:rFonts w:ascii="Times New Roman" w:hAnsi="Times New Roman" w:cs="Times New Roman"/>
          <w:sz w:val="20"/>
          <w:szCs w:val="20"/>
        </w:rPr>
        <w:t>. - 2011. - No. 6 (29). – P. 64–67.</w:t>
      </w:r>
    </w:p>
    <w:p w14:paraId="49883E2C" w14:textId="4F6B0EE9" w:rsidR="0095552D" w:rsidRPr="00EC2610" w:rsidRDefault="0095552D" w:rsidP="00EC2610">
      <w:pPr>
        <w:numPr>
          <w:ilvl w:val="0"/>
          <w:numId w:val="10"/>
        </w:numPr>
        <w:tabs>
          <w:tab w:val="clear" w:pos="720"/>
          <w:tab w:val="left" w:pos="284"/>
          <w:tab w:val="num" w:pos="426"/>
          <w:tab w:val="left" w:pos="993"/>
        </w:tabs>
        <w:spacing w:after="0" w:line="240" w:lineRule="auto"/>
        <w:ind w:left="0" w:firstLine="0"/>
        <w:jc w:val="both"/>
        <w:rPr>
          <w:rFonts w:ascii="Times New Roman" w:hAnsi="Times New Roman" w:cs="Times New Roman"/>
          <w:sz w:val="20"/>
          <w:szCs w:val="20"/>
        </w:rPr>
      </w:pPr>
      <w:r w:rsidRPr="00EC2610">
        <w:rPr>
          <w:rFonts w:ascii="Times New Roman" w:hAnsi="Times New Roman" w:cs="Times New Roman"/>
          <w:sz w:val="20"/>
          <w:szCs w:val="20"/>
        </w:rPr>
        <w:t xml:space="preserve">Assessment of the state of power transformers </w:t>
      </w:r>
      <w:proofErr w:type="spellStart"/>
      <w:r w:rsidRPr="00EC2610">
        <w:rPr>
          <w:rFonts w:ascii="Times New Roman" w:hAnsi="Times New Roman" w:cs="Times New Roman"/>
          <w:sz w:val="20"/>
          <w:szCs w:val="20"/>
        </w:rPr>
        <w:t>Kokin</w:t>
      </w:r>
      <w:proofErr w:type="spellEnd"/>
      <w:r w:rsidRPr="00EC2610">
        <w:rPr>
          <w:rFonts w:ascii="Times New Roman" w:hAnsi="Times New Roman" w:cs="Times New Roman"/>
          <w:sz w:val="20"/>
          <w:szCs w:val="20"/>
        </w:rPr>
        <w:t xml:space="preserve"> S.E., </w:t>
      </w:r>
      <w:proofErr w:type="spellStart"/>
      <w:r w:rsidRPr="00EC2610">
        <w:rPr>
          <w:rFonts w:ascii="Times New Roman" w:hAnsi="Times New Roman" w:cs="Times New Roman"/>
          <w:sz w:val="20"/>
          <w:szCs w:val="20"/>
        </w:rPr>
        <w:t>Osotova</w:t>
      </w:r>
      <w:proofErr w:type="spellEnd"/>
      <w:r w:rsidRPr="00EC2610">
        <w:rPr>
          <w:rFonts w:ascii="Times New Roman" w:hAnsi="Times New Roman" w:cs="Times New Roman"/>
          <w:sz w:val="20"/>
          <w:szCs w:val="20"/>
        </w:rPr>
        <w:t xml:space="preserve"> M.V., </w:t>
      </w:r>
      <w:proofErr w:type="spellStart"/>
      <w:r w:rsidRPr="00EC2610">
        <w:rPr>
          <w:rFonts w:ascii="Times New Roman" w:hAnsi="Times New Roman" w:cs="Times New Roman"/>
          <w:sz w:val="20"/>
          <w:szCs w:val="20"/>
        </w:rPr>
        <w:t>Khalyasma</w:t>
      </w:r>
      <w:proofErr w:type="spellEnd"/>
      <w:r w:rsidRPr="00EC2610">
        <w:rPr>
          <w:rFonts w:ascii="Times New Roman" w:hAnsi="Times New Roman" w:cs="Times New Roman"/>
          <w:sz w:val="20"/>
          <w:szCs w:val="20"/>
        </w:rPr>
        <w:t xml:space="preserve"> A.I., Dmitriev S.A.,</w:t>
      </w:r>
    </w:p>
    <w:p w14:paraId="0AC5F3C8" w14:textId="5927F26C" w:rsidR="0095552D" w:rsidRPr="00EC2610" w:rsidRDefault="0095552D" w:rsidP="00EC2610">
      <w:pPr>
        <w:numPr>
          <w:ilvl w:val="0"/>
          <w:numId w:val="10"/>
        </w:numPr>
        <w:tabs>
          <w:tab w:val="clear" w:pos="720"/>
          <w:tab w:val="left" w:pos="284"/>
          <w:tab w:val="num" w:pos="426"/>
          <w:tab w:val="left" w:pos="993"/>
        </w:tabs>
        <w:spacing w:after="0" w:line="240" w:lineRule="auto"/>
        <w:ind w:left="0" w:firstLine="0"/>
        <w:jc w:val="both"/>
        <w:rPr>
          <w:rFonts w:ascii="Times New Roman" w:hAnsi="Times New Roman" w:cs="Times New Roman"/>
          <w:sz w:val="20"/>
          <w:szCs w:val="20"/>
        </w:rPr>
      </w:pPr>
      <w:r w:rsidRPr="00EC2610">
        <w:rPr>
          <w:rFonts w:ascii="Times New Roman" w:hAnsi="Times New Roman" w:cs="Times New Roman"/>
          <w:sz w:val="20"/>
          <w:szCs w:val="20"/>
        </w:rPr>
        <w:t xml:space="preserve">On the effectiveness of a digital proactive system </w:t>
      </w:r>
      <w:proofErr w:type="spellStart"/>
      <w:r w:rsidRPr="00EC2610">
        <w:rPr>
          <w:rFonts w:ascii="Times New Roman" w:hAnsi="Times New Roman" w:cs="Times New Roman"/>
          <w:sz w:val="20"/>
          <w:szCs w:val="20"/>
        </w:rPr>
        <w:t>Alyunov</w:t>
      </w:r>
      <w:proofErr w:type="spellEnd"/>
      <w:r w:rsidRPr="00EC2610">
        <w:rPr>
          <w:rFonts w:ascii="Times New Roman" w:hAnsi="Times New Roman" w:cs="Times New Roman"/>
          <w:sz w:val="20"/>
          <w:szCs w:val="20"/>
        </w:rPr>
        <w:t xml:space="preserve"> A.N., </w:t>
      </w:r>
      <w:proofErr w:type="spellStart"/>
      <w:r w:rsidRPr="00EC2610">
        <w:rPr>
          <w:rFonts w:ascii="Times New Roman" w:hAnsi="Times New Roman" w:cs="Times New Roman"/>
          <w:sz w:val="20"/>
          <w:szCs w:val="20"/>
        </w:rPr>
        <w:t>Vyatkina</w:t>
      </w:r>
      <w:proofErr w:type="spellEnd"/>
      <w:r w:rsidRPr="00EC2610">
        <w:rPr>
          <w:rFonts w:ascii="Times New Roman" w:hAnsi="Times New Roman" w:cs="Times New Roman"/>
          <w:sz w:val="20"/>
          <w:szCs w:val="20"/>
        </w:rPr>
        <w:t xml:space="preserve"> O.S., </w:t>
      </w:r>
      <w:proofErr w:type="spellStart"/>
      <w:r w:rsidRPr="00EC2610">
        <w:rPr>
          <w:rFonts w:ascii="Times New Roman" w:hAnsi="Times New Roman" w:cs="Times New Roman"/>
          <w:sz w:val="20"/>
          <w:szCs w:val="20"/>
        </w:rPr>
        <w:t>Nemirovskiy</w:t>
      </w:r>
      <w:proofErr w:type="spellEnd"/>
      <w:r w:rsidRPr="00EC2610">
        <w:rPr>
          <w:rFonts w:ascii="Times New Roman" w:hAnsi="Times New Roman" w:cs="Times New Roman"/>
          <w:sz w:val="20"/>
          <w:szCs w:val="20"/>
        </w:rPr>
        <w:t xml:space="preserve"> A.E., </w:t>
      </w:r>
      <w:proofErr w:type="spellStart"/>
      <w:r w:rsidRPr="00EC2610">
        <w:rPr>
          <w:rFonts w:ascii="Times New Roman" w:hAnsi="Times New Roman" w:cs="Times New Roman"/>
          <w:sz w:val="20"/>
          <w:szCs w:val="20"/>
        </w:rPr>
        <w:t>Alyunov</w:t>
      </w:r>
      <w:proofErr w:type="spellEnd"/>
      <w:r w:rsidRPr="00EC2610">
        <w:rPr>
          <w:rFonts w:ascii="Times New Roman" w:hAnsi="Times New Roman" w:cs="Times New Roman"/>
          <w:sz w:val="20"/>
          <w:szCs w:val="20"/>
        </w:rPr>
        <w:t xml:space="preserve"> A.N., </w:t>
      </w:r>
      <w:proofErr w:type="spellStart"/>
      <w:r w:rsidRPr="00EC2610">
        <w:rPr>
          <w:rFonts w:ascii="Times New Roman" w:hAnsi="Times New Roman" w:cs="Times New Roman"/>
          <w:sz w:val="20"/>
          <w:szCs w:val="20"/>
        </w:rPr>
        <w:t>Vyatkina</w:t>
      </w:r>
      <w:proofErr w:type="spellEnd"/>
      <w:r w:rsidRPr="00EC2610">
        <w:rPr>
          <w:rFonts w:ascii="Times New Roman" w:hAnsi="Times New Roman" w:cs="Times New Roman"/>
          <w:sz w:val="20"/>
          <w:szCs w:val="20"/>
        </w:rPr>
        <w:t xml:space="preserve"> O.S., </w:t>
      </w:r>
      <w:proofErr w:type="spellStart"/>
      <w:r w:rsidRPr="00EC2610">
        <w:rPr>
          <w:rFonts w:ascii="Times New Roman" w:hAnsi="Times New Roman" w:cs="Times New Roman"/>
          <w:sz w:val="20"/>
          <w:szCs w:val="20"/>
        </w:rPr>
        <w:t>Nemirovskiy</w:t>
      </w:r>
      <w:proofErr w:type="spellEnd"/>
      <w:r w:rsidRPr="00EC2610">
        <w:rPr>
          <w:rFonts w:ascii="Times New Roman" w:hAnsi="Times New Roman" w:cs="Times New Roman"/>
          <w:sz w:val="20"/>
          <w:szCs w:val="20"/>
        </w:rPr>
        <w:t xml:space="preserve"> A.E. On efficiency of digital system of power transformer proactive.</w:t>
      </w:r>
    </w:p>
    <w:p w14:paraId="6725F24E" w14:textId="6C8BFF6F" w:rsidR="0095552D" w:rsidRPr="00EC2610" w:rsidRDefault="0095552D" w:rsidP="00EC2610">
      <w:pPr>
        <w:numPr>
          <w:ilvl w:val="0"/>
          <w:numId w:val="10"/>
        </w:numPr>
        <w:tabs>
          <w:tab w:val="clear" w:pos="720"/>
          <w:tab w:val="left" w:pos="284"/>
          <w:tab w:val="num" w:pos="426"/>
          <w:tab w:val="left" w:pos="993"/>
        </w:tabs>
        <w:spacing w:after="0" w:line="240" w:lineRule="auto"/>
        <w:ind w:left="0" w:firstLine="0"/>
        <w:jc w:val="both"/>
        <w:rPr>
          <w:rFonts w:ascii="Times New Roman" w:hAnsi="Times New Roman" w:cs="Times New Roman"/>
          <w:sz w:val="20"/>
          <w:szCs w:val="20"/>
        </w:rPr>
      </w:pPr>
      <w:proofErr w:type="spellStart"/>
      <w:r w:rsidRPr="00EC2610">
        <w:rPr>
          <w:rFonts w:ascii="Times New Roman" w:hAnsi="Times New Roman" w:cs="Times New Roman"/>
          <w:sz w:val="20"/>
          <w:szCs w:val="20"/>
        </w:rPr>
        <w:t>Lvova</w:t>
      </w:r>
      <w:proofErr w:type="spellEnd"/>
      <w:r w:rsidRPr="00EC2610">
        <w:rPr>
          <w:rFonts w:ascii="Times New Roman" w:hAnsi="Times New Roman" w:cs="Times New Roman"/>
          <w:sz w:val="20"/>
          <w:szCs w:val="20"/>
        </w:rPr>
        <w:t xml:space="preserve"> M. M., JSC NTC FGC UES, Moscow Lvov S. Yu., LLC </w:t>
      </w:r>
      <w:proofErr w:type="spellStart"/>
      <w:r w:rsidRPr="00EC2610">
        <w:rPr>
          <w:rFonts w:ascii="Times New Roman" w:hAnsi="Times New Roman" w:cs="Times New Roman"/>
          <w:sz w:val="20"/>
          <w:szCs w:val="20"/>
        </w:rPr>
        <w:t>Presselectro</w:t>
      </w:r>
      <w:proofErr w:type="spellEnd"/>
      <w:r w:rsidRPr="00EC2610">
        <w:rPr>
          <w:rFonts w:ascii="Times New Roman" w:hAnsi="Times New Roman" w:cs="Times New Roman"/>
          <w:sz w:val="20"/>
          <w:szCs w:val="20"/>
        </w:rPr>
        <w:t>, Moscow On reducing the risk of damage to power transformers with a voltage of 110 kV and above, accompanied by internal short circuits. Electric stations. - No. 9 (September) 2014.</w:t>
      </w:r>
    </w:p>
    <w:p w14:paraId="35CD9272" w14:textId="6EBC11CD" w:rsidR="0095552D" w:rsidRPr="00EC2610" w:rsidRDefault="0095552D" w:rsidP="00EC2610">
      <w:pPr>
        <w:numPr>
          <w:ilvl w:val="0"/>
          <w:numId w:val="10"/>
        </w:numPr>
        <w:tabs>
          <w:tab w:val="clear" w:pos="720"/>
          <w:tab w:val="left" w:pos="284"/>
          <w:tab w:val="num" w:pos="426"/>
          <w:tab w:val="left" w:pos="993"/>
        </w:tabs>
        <w:spacing w:after="0" w:line="240" w:lineRule="auto"/>
        <w:ind w:left="0" w:firstLine="0"/>
        <w:jc w:val="both"/>
        <w:rPr>
          <w:rFonts w:ascii="Times New Roman" w:hAnsi="Times New Roman" w:cs="Times New Roman"/>
          <w:sz w:val="20"/>
          <w:szCs w:val="20"/>
        </w:rPr>
      </w:pPr>
      <w:proofErr w:type="spellStart"/>
      <w:r w:rsidRPr="00EC2610">
        <w:rPr>
          <w:rFonts w:ascii="Times New Roman" w:hAnsi="Times New Roman" w:cs="Times New Roman"/>
          <w:sz w:val="20"/>
          <w:szCs w:val="20"/>
        </w:rPr>
        <w:t>Salimov</w:t>
      </w:r>
      <w:proofErr w:type="spellEnd"/>
      <w:r w:rsidRPr="00EC2610">
        <w:rPr>
          <w:rFonts w:ascii="Times New Roman" w:hAnsi="Times New Roman" w:cs="Times New Roman"/>
          <w:sz w:val="20"/>
          <w:szCs w:val="20"/>
        </w:rPr>
        <w:t xml:space="preserve"> </w:t>
      </w:r>
      <w:proofErr w:type="spellStart"/>
      <w:r w:rsidRPr="00EC2610">
        <w:rPr>
          <w:rFonts w:ascii="Times New Roman" w:hAnsi="Times New Roman" w:cs="Times New Roman"/>
          <w:sz w:val="20"/>
          <w:szCs w:val="20"/>
        </w:rPr>
        <w:t>Zh.S</w:t>
      </w:r>
      <w:proofErr w:type="spellEnd"/>
      <w:r w:rsidRPr="00EC2610">
        <w:rPr>
          <w:rFonts w:ascii="Times New Roman" w:hAnsi="Times New Roman" w:cs="Times New Roman"/>
          <w:sz w:val="20"/>
          <w:szCs w:val="20"/>
        </w:rPr>
        <w:t xml:space="preserve">., </w:t>
      </w:r>
      <w:proofErr w:type="spellStart"/>
      <w:r w:rsidRPr="00EC2610">
        <w:rPr>
          <w:rFonts w:ascii="Times New Roman" w:hAnsi="Times New Roman" w:cs="Times New Roman"/>
          <w:sz w:val="20"/>
          <w:szCs w:val="20"/>
        </w:rPr>
        <w:t>Pirmatov</w:t>
      </w:r>
      <w:proofErr w:type="spellEnd"/>
      <w:r w:rsidRPr="00EC2610">
        <w:rPr>
          <w:rFonts w:ascii="Times New Roman" w:hAnsi="Times New Roman" w:cs="Times New Roman"/>
          <w:sz w:val="20"/>
          <w:szCs w:val="20"/>
        </w:rPr>
        <w:t xml:space="preserve"> N.B., </w:t>
      </w:r>
      <w:proofErr w:type="spellStart"/>
      <w:r w:rsidRPr="00EC2610">
        <w:rPr>
          <w:rFonts w:ascii="Times New Roman" w:hAnsi="Times New Roman" w:cs="Times New Roman"/>
          <w:sz w:val="20"/>
          <w:szCs w:val="20"/>
        </w:rPr>
        <w:t>Bekchanov</w:t>
      </w:r>
      <w:proofErr w:type="spellEnd"/>
      <w:r w:rsidRPr="00EC2610">
        <w:rPr>
          <w:rFonts w:ascii="Times New Roman" w:hAnsi="Times New Roman" w:cs="Times New Roman"/>
          <w:sz w:val="20"/>
          <w:szCs w:val="20"/>
        </w:rPr>
        <w:t xml:space="preserve"> B.E. </w:t>
      </w:r>
      <w:proofErr w:type="spellStart"/>
      <w:r w:rsidRPr="00EC2610">
        <w:rPr>
          <w:rFonts w:ascii="Times New Roman" w:hAnsi="Times New Roman" w:cs="Times New Roman"/>
          <w:sz w:val="20"/>
          <w:szCs w:val="20"/>
        </w:rPr>
        <w:t>Transformerlar</w:t>
      </w:r>
      <w:proofErr w:type="spellEnd"/>
      <w:r w:rsidRPr="00EC2610">
        <w:rPr>
          <w:rFonts w:ascii="Times New Roman" w:hAnsi="Times New Roman" w:cs="Times New Roman"/>
          <w:sz w:val="20"/>
          <w:szCs w:val="20"/>
        </w:rPr>
        <w:t xml:space="preserve"> </w:t>
      </w:r>
      <w:proofErr w:type="spellStart"/>
      <w:r w:rsidRPr="00EC2610">
        <w:rPr>
          <w:rFonts w:ascii="Times New Roman" w:hAnsi="Times New Roman" w:cs="Times New Roman"/>
          <w:sz w:val="20"/>
          <w:szCs w:val="20"/>
        </w:rPr>
        <w:t>va</w:t>
      </w:r>
      <w:proofErr w:type="spellEnd"/>
      <w:r w:rsidRPr="00EC2610">
        <w:rPr>
          <w:rFonts w:ascii="Times New Roman" w:hAnsi="Times New Roman" w:cs="Times New Roman"/>
          <w:sz w:val="20"/>
          <w:szCs w:val="20"/>
        </w:rPr>
        <w:t xml:space="preserve"> </w:t>
      </w:r>
      <w:proofErr w:type="spellStart"/>
      <w:r w:rsidRPr="00EC2610">
        <w:rPr>
          <w:rFonts w:ascii="Times New Roman" w:hAnsi="Times New Roman" w:cs="Times New Roman"/>
          <w:sz w:val="20"/>
          <w:szCs w:val="20"/>
        </w:rPr>
        <w:t>autotransformerlar</w:t>
      </w:r>
      <w:proofErr w:type="spellEnd"/>
      <w:r w:rsidRPr="00EC2610">
        <w:rPr>
          <w:rFonts w:ascii="Times New Roman" w:hAnsi="Times New Roman" w:cs="Times New Roman"/>
          <w:sz w:val="20"/>
          <w:szCs w:val="20"/>
        </w:rPr>
        <w:t>. -T.: "VEKTOR-PRESS", 2010. - 224 b.</w:t>
      </w:r>
    </w:p>
    <w:p w14:paraId="2A77FFC6" w14:textId="347C99DD" w:rsidR="0095552D" w:rsidRPr="00EC2610" w:rsidRDefault="0095552D" w:rsidP="00EC2610">
      <w:pPr>
        <w:numPr>
          <w:ilvl w:val="0"/>
          <w:numId w:val="10"/>
        </w:numPr>
        <w:tabs>
          <w:tab w:val="clear" w:pos="720"/>
          <w:tab w:val="left" w:pos="284"/>
          <w:tab w:val="num" w:pos="426"/>
          <w:tab w:val="left" w:pos="993"/>
        </w:tabs>
        <w:spacing w:after="0" w:line="240" w:lineRule="auto"/>
        <w:ind w:left="0" w:firstLine="0"/>
        <w:jc w:val="both"/>
        <w:rPr>
          <w:rFonts w:ascii="Times New Roman" w:hAnsi="Times New Roman" w:cs="Times New Roman"/>
          <w:sz w:val="20"/>
          <w:szCs w:val="20"/>
        </w:rPr>
      </w:pPr>
      <w:r w:rsidRPr="00EC2610">
        <w:rPr>
          <w:rFonts w:ascii="Times New Roman" w:hAnsi="Times New Roman" w:cs="Times New Roman"/>
          <w:sz w:val="20"/>
          <w:szCs w:val="20"/>
        </w:rPr>
        <w:t>Popov G.V. Questions of diagnostics of power transformers / FGBOUVPO, IGEU. - Ivanovo, 2012. - S. 176.</w:t>
      </w:r>
    </w:p>
    <w:p w14:paraId="589C1908" w14:textId="2FBAADD4" w:rsidR="0095552D" w:rsidRPr="00EC2610" w:rsidRDefault="0095552D" w:rsidP="00EC2610">
      <w:pPr>
        <w:numPr>
          <w:ilvl w:val="0"/>
          <w:numId w:val="10"/>
        </w:numPr>
        <w:tabs>
          <w:tab w:val="clear" w:pos="720"/>
          <w:tab w:val="left" w:pos="284"/>
          <w:tab w:val="num" w:pos="426"/>
          <w:tab w:val="left" w:pos="993"/>
        </w:tabs>
        <w:spacing w:after="0" w:line="240" w:lineRule="auto"/>
        <w:ind w:left="0" w:firstLine="0"/>
        <w:jc w:val="both"/>
        <w:rPr>
          <w:rFonts w:ascii="Times New Roman" w:hAnsi="Times New Roman" w:cs="Times New Roman"/>
          <w:sz w:val="20"/>
          <w:szCs w:val="20"/>
        </w:rPr>
      </w:pPr>
      <w:proofErr w:type="spellStart"/>
      <w:r w:rsidRPr="00EC2610">
        <w:rPr>
          <w:rFonts w:ascii="Times New Roman" w:hAnsi="Times New Roman" w:cs="Times New Roman"/>
          <w:sz w:val="20"/>
          <w:szCs w:val="20"/>
        </w:rPr>
        <w:t>Bystritsky</w:t>
      </w:r>
      <w:proofErr w:type="spellEnd"/>
      <w:r w:rsidRPr="00EC2610">
        <w:rPr>
          <w:rFonts w:ascii="Times New Roman" w:hAnsi="Times New Roman" w:cs="Times New Roman"/>
          <w:sz w:val="20"/>
          <w:szCs w:val="20"/>
        </w:rPr>
        <w:t xml:space="preserve"> G.F., </w:t>
      </w:r>
      <w:proofErr w:type="spellStart"/>
      <w:r w:rsidRPr="00EC2610">
        <w:rPr>
          <w:rFonts w:ascii="Times New Roman" w:hAnsi="Times New Roman" w:cs="Times New Roman"/>
          <w:sz w:val="20"/>
          <w:szCs w:val="20"/>
        </w:rPr>
        <w:t>Kudrin</w:t>
      </w:r>
      <w:proofErr w:type="spellEnd"/>
      <w:r w:rsidRPr="00EC2610">
        <w:rPr>
          <w:rFonts w:ascii="Times New Roman" w:hAnsi="Times New Roman" w:cs="Times New Roman"/>
          <w:sz w:val="20"/>
          <w:szCs w:val="20"/>
        </w:rPr>
        <w:t xml:space="preserve"> B.I. Selection and operation of power transformers. - M.: Publishing. center "Academy", 2003. - 176 p.</w:t>
      </w:r>
    </w:p>
    <w:p w14:paraId="2CE1EF48" w14:textId="73245F61" w:rsidR="00D80C1F" w:rsidRPr="00EC2610" w:rsidRDefault="0095552D" w:rsidP="00EC2610">
      <w:pPr>
        <w:numPr>
          <w:ilvl w:val="0"/>
          <w:numId w:val="10"/>
        </w:numPr>
        <w:tabs>
          <w:tab w:val="clear" w:pos="720"/>
          <w:tab w:val="left" w:pos="284"/>
          <w:tab w:val="num" w:pos="426"/>
          <w:tab w:val="left" w:pos="993"/>
        </w:tabs>
        <w:spacing w:after="0" w:line="240" w:lineRule="auto"/>
        <w:ind w:left="0" w:firstLine="0"/>
        <w:jc w:val="both"/>
        <w:rPr>
          <w:rFonts w:ascii="Times New Roman" w:hAnsi="Times New Roman" w:cs="Times New Roman"/>
          <w:sz w:val="20"/>
          <w:szCs w:val="20"/>
        </w:rPr>
      </w:pPr>
      <w:proofErr w:type="spellStart"/>
      <w:r w:rsidRPr="00EC2610">
        <w:rPr>
          <w:rFonts w:ascii="Times New Roman" w:hAnsi="Times New Roman" w:cs="Times New Roman"/>
          <w:sz w:val="20"/>
          <w:szCs w:val="20"/>
        </w:rPr>
        <w:t>Davidenko</w:t>
      </w:r>
      <w:proofErr w:type="spellEnd"/>
      <w:r w:rsidRPr="00EC2610">
        <w:rPr>
          <w:rFonts w:ascii="Times New Roman" w:hAnsi="Times New Roman" w:cs="Times New Roman"/>
          <w:sz w:val="20"/>
          <w:szCs w:val="20"/>
        </w:rPr>
        <w:t xml:space="preserve"> I. V. Assessment of the technical condition of power transformers based on the results of traditional tests and measurements. - Ekaterinburg: </w:t>
      </w:r>
      <w:proofErr w:type="spellStart"/>
      <w:r w:rsidRPr="00EC2610">
        <w:rPr>
          <w:rFonts w:ascii="Times New Roman" w:hAnsi="Times New Roman" w:cs="Times New Roman"/>
          <w:sz w:val="20"/>
          <w:szCs w:val="20"/>
        </w:rPr>
        <w:t>UrFU</w:t>
      </w:r>
      <w:proofErr w:type="spellEnd"/>
      <w:r w:rsidRPr="00EC2610">
        <w:rPr>
          <w:rFonts w:ascii="Times New Roman" w:hAnsi="Times New Roman" w:cs="Times New Roman"/>
          <w:sz w:val="20"/>
          <w:szCs w:val="20"/>
        </w:rPr>
        <w:t>, 2015. - 96 p.</w:t>
      </w:r>
    </w:p>
    <w:p w14:paraId="556C1030" w14:textId="77777777" w:rsidR="00EC2610" w:rsidRPr="00EC2610" w:rsidRDefault="00EC2610" w:rsidP="00EC2610">
      <w:pPr>
        <w:pStyle w:val="a4"/>
        <w:numPr>
          <w:ilvl w:val="0"/>
          <w:numId w:val="10"/>
        </w:numPr>
        <w:tabs>
          <w:tab w:val="left" w:pos="284"/>
          <w:tab w:val="left" w:pos="851"/>
          <w:tab w:val="left" w:pos="993"/>
        </w:tabs>
        <w:spacing w:after="0" w:line="240" w:lineRule="auto"/>
        <w:ind w:left="0" w:firstLine="0"/>
        <w:jc w:val="both"/>
        <w:rPr>
          <w:rFonts w:ascii="Times New Roman" w:hAnsi="Times New Roman" w:cs="Times New Roman"/>
          <w:sz w:val="20"/>
          <w:szCs w:val="20"/>
          <w:lang w:val="uz-Cyrl-UZ"/>
        </w:rPr>
      </w:pPr>
      <w:bookmarkStart w:id="2" w:name="_Hlk133650480"/>
      <w:bookmarkStart w:id="3" w:name="_Hlk218705325"/>
      <w:proofErr w:type="spellStart"/>
      <w:r w:rsidRPr="00EC2610">
        <w:rPr>
          <w:rStyle w:val="a8"/>
          <w:rFonts w:ascii="Times New Roman" w:hAnsi="Times New Roman" w:cs="Times New Roman"/>
          <w:b w:val="0"/>
          <w:sz w:val="20"/>
          <w:szCs w:val="20"/>
        </w:rPr>
        <w:t>Mahmutkhonov</w:t>
      </w:r>
      <w:proofErr w:type="spellEnd"/>
      <w:r w:rsidRPr="00EC2610">
        <w:rPr>
          <w:rStyle w:val="a8"/>
          <w:rFonts w:ascii="Times New Roman" w:hAnsi="Times New Roman" w:cs="Times New Roman"/>
          <w:b w:val="0"/>
          <w:sz w:val="20"/>
          <w:szCs w:val="20"/>
        </w:rPr>
        <w:t xml:space="preserve"> S., </w:t>
      </w:r>
      <w:proofErr w:type="spellStart"/>
      <w:r w:rsidRPr="00EC2610">
        <w:rPr>
          <w:rStyle w:val="a8"/>
          <w:rFonts w:ascii="Times New Roman" w:hAnsi="Times New Roman" w:cs="Times New Roman"/>
          <w:b w:val="0"/>
          <w:sz w:val="20"/>
          <w:szCs w:val="20"/>
        </w:rPr>
        <w:t>Baizhonova</w:t>
      </w:r>
      <w:proofErr w:type="spellEnd"/>
      <w:r w:rsidRPr="00EC2610">
        <w:rPr>
          <w:rStyle w:val="a8"/>
          <w:rFonts w:ascii="Times New Roman" w:hAnsi="Times New Roman" w:cs="Times New Roman"/>
          <w:b w:val="0"/>
          <w:sz w:val="20"/>
          <w:szCs w:val="20"/>
        </w:rPr>
        <w:t xml:space="preserve"> L., </w:t>
      </w:r>
      <w:proofErr w:type="spellStart"/>
      <w:r w:rsidRPr="00EC2610">
        <w:rPr>
          <w:rStyle w:val="a8"/>
          <w:rFonts w:ascii="Times New Roman" w:hAnsi="Times New Roman" w:cs="Times New Roman"/>
          <w:b w:val="0"/>
          <w:sz w:val="20"/>
          <w:szCs w:val="20"/>
        </w:rPr>
        <w:t>Mustayev</w:t>
      </w:r>
      <w:proofErr w:type="spellEnd"/>
      <w:r w:rsidRPr="00EC2610">
        <w:rPr>
          <w:rStyle w:val="a8"/>
          <w:rFonts w:ascii="Times New Roman" w:hAnsi="Times New Roman" w:cs="Times New Roman"/>
          <w:b w:val="0"/>
          <w:sz w:val="20"/>
          <w:szCs w:val="20"/>
        </w:rPr>
        <w:t xml:space="preserve"> R., </w:t>
      </w:r>
      <w:proofErr w:type="spellStart"/>
      <w:r w:rsidRPr="00EC2610">
        <w:rPr>
          <w:rStyle w:val="a8"/>
          <w:rFonts w:ascii="Times New Roman" w:hAnsi="Times New Roman" w:cs="Times New Roman"/>
          <w:b w:val="0"/>
          <w:sz w:val="20"/>
          <w:szCs w:val="20"/>
        </w:rPr>
        <w:t>Tashmatova</w:t>
      </w:r>
      <w:proofErr w:type="spellEnd"/>
      <w:r w:rsidRPr="00EC2610">
        <w:rPr>
          <w:rStyle w:val="a8"/>
          <w:rFonts w:ascii="Times New Roman" w:hAnsi="Times New Roman" w:cs="Times New Roman"/>
          <w:b w:val="0"/>
          <w:sz w:val="20"/>
          <w:szCs w:val="20"/>
        </w:rPr>
        <w:t xml:space="preserve"> S.</w:t>
      </w:r>
      <w:r w:rsidRPr="00EC2610">
        <w:rPr>
          <w:rFonts w:ascii="Times New Roman" w:hAnsi="Times New Roman" w:cs="Times New Roman"/>
          <w:sz w:val="20"/>
          <w:szCs w:val="20"/>
        </w:rPr>
        <w:t xml:space="preserve"> Dynamic analysis of voltage-ampere characteristics and harmonic distortions in electric arc furnaces. // </w:t>
      </w:r>
      <w:r w:rsidRPr="00EC2610">
        <w:rPr>
          <w:rStyle w:val="a9"/>
          <w:rFonts w:ascii="Times New Roman" w:hAnsi="Times New Roman" w:cs="Times New Roman"/>
          <w:sz w:val="20"/>
          <w:szCs w:val="20"/>
        </w:rPr>
        <w:t>AIP Conference Proceedings</w:t>
      </w:r>
      <w:r w:rsidRPr="00EC2610">
        <w:rPr>
          <w:rFonts w:ascii="Times New Roman" w:hAnsi="Times New Roman" w:cs="Times New Roman"/>
          <w:sz w:val="20"/>
          <w:szCs w:val="20"/>
        </w:rPr>
        <w:t xml:space="preserve">. </w:t>
      </w:r>
      <w:r w:rsidRPr="00EC2610">
        <w:rPr>
          <w:rStyle w:val="a8"/>
          <w:rFonts w:ascii="Times New Roman" w:hAnsi="Times New Roman" w:cs="Times New Roman"/>
          <w:b w:val="0"/>
          <w:sz w:val="20"/>
          <w:szCs w:val="20"/>
        </w:rPr>
        <w:t>3331</w:t>
      </w:r>
      <w:r w:rsidRPr="00EC2610">
        <w:rPr>
          <w:rFonts w:ascii="Times New Roman" w:hAnsi="Times New Roman" w:cs="Times New Roman"/>
          <w:sz w:val="20"/>
          <w:szCs w:val="20"/>
        </w:rPr>
        <w:t xml:space="preserve">(1), 2025. </w:t>
      </w:r>
      <w:r w:rsidRPr="00EC2610">
        <w:rPr>
          <w:rStyle w:val="a8"/>
          <w:rFonts w:ascii="Times New Roman" w:hAnsi="Times New Roman" w:cs="Times New Roman"/>
          <w:b w:val="0"/>
          <w:sz w:val="20"/>
          <w:szCs w:val="20"/>
        </w:rPr>
        <w:t>pp. 070023, 1–5.</w:t>
      </w:r>
      <w:r w:rsidRPr="00EC2610">
        <w:rPr>
          <w:rFonts w:ascii="Times New Roman" w:hAnsi="Times New Roman" w:cs="Times New Roman"/>
          <w:sz w:val="20"/>
          <w:szCs w:val="20"/>
        </w:rPr>
        <w:t xml:space="preserve"> </w:t>
      </w:r>
      <w:hyperlink r:id="rId11" w:history="1">
        <w:r w:rsidRPr="00EC2610">
          <w:rPr>
            <w:rStyle w:val="a6"/>
            <w:rFonts w:ascii="Times New Roman" w:hAnsi="Times New Roman" w:cs="Times New Roman"/>
            <w:sz w:val="20"/>
            <w:szCs w:val="20"/>
          </w:rPr>
          <w:t>https://doi.org/10.1063/5.0305745</w:t>
        </w:r>
      </w:hyperlink>
      <w:r w:rsidRPr="00EC2610">
        <w:rPr>
          <w:rFonts w:ascii="Times New Roman" w:hAnsi="Times New Roman" w:cs="Times New Roman"/>
          <w:sz w:val="20"/>
          <w:szCs w:val="20"/>
          <w:lang w:val="uz-Cyrl-UZ"/>
        </w:rPr>
        <w:t>.</w:t>
      </w:r>
      <w:r w:rsidRPr="00EC2610">
        <w:rPr>
          <w:rFonts w:ascii="Times New Roman" w:hAnsi="Times New Roman" w:cs="Times New Roman"/>
          <w:sz w:val="20"/>
          <w:szCs w:val="20"/>
        </w:rPr>
        <w:t xml:space="preserve"> </w:t>
      </w:r>
    </w:p>
    <w:p w14:paraId="2DB5D655" w14:textId="77777777" w:rsidR="00EC2610" w:rsidRPr="00EC2610" w:rsidRDefault="00EC2610" w:rsidP="00EC2610">
      <w:pPr>
        <w:pStyle w:val="a4"/>
        <w:numPr>
          <w:ilvl w:val="0"/>
          <w:numId w:val="10"/>
        </w:numPr>
        <w:tabs>
          <w:tab w:val="left" w:pos="284"/>
          <w:tab w:val="left" w:pos="851"/>
          <w:tab w:val="left" w:pos="993"/>
        </w:tabs>
        <w:spacing w:after="0" w:line="240" w:lineRule="auto"/>
        <w:ind w:left="0" w:firstLine="0"/>
        <w:jc w:val="both"/>
        <w:rPr>
          <w:rFonts w:ascii="Times New Roman" w:hAnsi="Times New Roman" w:cs="Times New Roman"/>
          <w:color w:val="0563C1" w:themeColor="hyperlink"/>
          <w:sz w:val="20"/>
          <w:szCs w:val="20"/>
          <w:u w:val="single"/>
        </w:rPr>
      </w:pPr>
      <w:r w:rsidRPr="00EC2610">
        <w:rPr>
          <w:rFonts w:ascii="Times New Roman" w:hAnsi="Times New Roman" w:cs="Times New Roman"/>
          <w:sz w:val="20"/>
          <w:szCs w:val="20"/>
          <w:lang w:val="uz-Cyrl-UZ"/>
        </w:rPr>
        <w:t>Bobojanov M</w:t>
      </w:r>
      <w:r w:rsidRPr="00EC2610">
        <w:rPr>
          <w:rFonts w:ascii="Times New Roman" w:hAnsi="Times New Roman" w:cs="Times New Roman"/>
          <w:sz w:val="20"/>
          <w:szCs w:val="20"/>
        </w:rPr>
        <w:t>.</w:t>
      </w:r>
      <w:r w:rsidRPr="00EC2610">
        <w:rPr>
          <w:rFonts w:ascii="Times New Roman" w:hAnsi="Times New Roman" w:cs="Times New Roman"/>
          <w:sz w:val="20"/>
          <w:szCs w:val="20"/>
          <w:lang w:val="uz-Cyrl-UZ"/>
        </w:rPr>
        <w:t>, Mahmutkhonov S</w:t>
      </w:r>
      <w:r w:rsidRPr="00EC2610">
        <w:rPr>
          <w:rFonts w:ascii="Times New Roman" w:hAnsi="Times New Roman" w:cs="Times New Roman"/>
          <w:sz w:val="20"/>
          <w:szCs w:val="20"/>
        </w:rPr>
        <w:t>.</w:t>
      </w:r>
      <w:r w:rsidRPr="00EC2610">
        <w:rPr>
          <w:rFonts w:ascii="Times New Roman" w:hAnsi="Times New Roman" w:cs="Times New Roman"/>
          <w:sz w:val="20"/>
          <w:szCs w:val="20"/>
          <w:lang w:val="uz-Cyrl-UZ"/>
        </w:rPr>
        <w:t xml:space="preserve"> </w:t>
      </w:r>
      <w:r w:rsidRPr="00EC2610">
        <w:rPr>
          <w:rFonts w:ascii="Times New Roman" w:hAnsi="Times New Roman" w:cs="Times New Roman"/>
          <w:sz w:val="20"/>
          <w:szCs w:val="20"/>
        </w:rPr>
        <w:t>Influence of the consumer to power quality at the point of connection</w:t>
      </w:r>
      <w:r w:rsidRPr="00EC2610">
        <w:rPr>
          <w:rFonts w:ascii="Times New Roman" w:hAnsi="Times New Roman" w:cs="Times New Roman"/>
          <w:sz w:val="20"/>
          <w:szCs w:val="20"/>
          <w:lang w:val="uz-Cyrl-UZ"/>
        </w:rPr>
        <w:t xml:space="preserve"> // E3S Web of Conferences 384. 2023. РР, </w:t>
      </w:r>
      <w:r w:rsidRPr="00EC2610">
        <w:rPr>
          <w:rFonts w:ascii="Times New Roman" w:hAnsi="Times New Roman" w:cs="Times New Roman"/>
          <w:sz w:val="20"/>
          <w:szCs w:val="20"/>
        </w:rPr>
        <w:t>01041</w:t>
      </w:r>
      <w:r w:rsidRPr="00EC2610">
        <w:rPr>
          <w:rFonts w:ascii="Times New Roman" w:hAnsi="Times New Roman" w:cs="Times New Roman"/>
          <w:sz w:val="20"/>
          <w:szCs w:val="20"/>
          <w:lang w:val="uz-Cyrl-UZ"/>
        </w:rPr>
        <w:t>, 1-</w:t>
      </w:r>
      <w:r w:rsidRPr="00EC2610">
        <w:rPr>
          <w:rFonts w:ascii="Times New Roman" w:hAnsi="Times New Roman" w:cs="Times New Roman"/>
          <w:sz w:val="20"/>
          <w:szCs w:val="20"/>
        </w:rPr>
        <w:t>5</w:t>
      </w:r>
      <w:r w:rsidRPr="00EC2610">
        <w:rPr>
          <w:rFonts w:ascii="Times New Roman" w:hAnsi="Times New Roman" w:cs="Times New Roman"/>
          <w:sz w:val="20"/>
          <w:szCs w:val="20"/>
          <w:lang w:val="uz-Cyrl-UZ"/>
        </w:rPr>
        <w:t xml:space="preserve">. </w:t>
      </w:r>
      <w:r w:rsidRPr="00EC2610">
        <w:rPr>
          <w:sz w:val="20"/>
          <w:szCs w:val="20"/>
        </w:rPr>
        <w:fldChar w:fldCharType="begin"/>
      </w:r>
      <w:r w:rsidRPr="00EC2610">
        <w:rPr>
          <w:sz w:val="20"/>
          <w:szCs w:val="20"/>
        </w:rPr>
        <w:instrText xml:space="preserve"> HYPERLINK "https://doi.org/10.1051/e3sconf/202338401041" </w:instrText>
      </w:r>
      <w:r w:rsidRPr="00EC2610">
        <w:rPr>
          <w:sz w:val="20"/>
          <w:szCs w:val="20"/>
        </w:rPr>
        <w:fldChar w:fldCharType="separate"/>
      </w:r>
      <w:r w:rsidRPr="00EC2610">
        <w:rPr>
          <w:rStyle w:val="a6"/>
          <w:rFonts w:ascii="Times New Roman" w:hAnsi="Times New Roman" w:cs="Times New Roman"/>
          <w:sz w:val="20"/>
          <w:szCs w:val="20"/>
          <w:lang w:val="uz-Cyrl-UZ"/>
        </w:rPr>
        <w:t>https://doi.org/10.1051/e3sconf/2023384010</w:t>
      </w:r>
      <w:r w:rsidRPr="00EC2610">
        <w:rPr>
          <w:rStyle w:val="a6"/>
          <w:rFonts w:ascii="Times New Roman" w:hAnsi="Times New Roman" w:cs="Times New Roman"/>
          <w:sz w:val="20"/>
          <w:szCs w:val="20"/>
        </w:rPr>
        <w:t>41</w:t>
      </w:r>
      <w:r w:rsidRPr="00EC2610">
        <w:rPr>
          <w:rStyle w:val="a6"/>
          <w:rFonts w:ascii="Times New Roman" w:hAnsi="Times New Roman" w:cs="Times New Roman"/>
          <w:sz w:val="20"/>
          <w:szCs w:val="20"/>
        </w:rPr>
        <w:fldChar w:fldCharType="end"/>
      </w:r>
      <w:r w:rsidRPr="00EC2610">
        <w:rPr>
          <w:rStyle w:val="a6"/>
          <w:rFonts w:ascii="Times New Roman" w:hAnsi="Times New Roman" w:cs="Times New Roman"/>
          <w:sz w:val="20"/>
          <w:szCs w:val="20"/>
          <w:lang w:val="uz-Cyrl-UZ"/>
        </w:rPr>
        <w:t>.</w:t>
      </w:r>
      <w:bookmarkStart w:id="4" w:name="_Hlk218354155"/>
      <w:bookmarkEnd w:id="2"/>
    </w:p>
    <w:p w14:paraId="1BEE5E50" w14:textId="77777777" w:rsidR="00EC2610" w:rsidRPr="00EC2610" w:rsidRDefault="00EC2610" w:rsidP="00EC2610">
      <w:pPr>
        <w:pStyle w:val="a4"/>
        <w:numPr>
          <w:ilvl w:val="0"/>
          <w:numId w:val="10"/>
        </w:numPr>
        <w:tabs>
          <w:tab w:val="left" w:pos="284"/>
          <w:tab w:val="left" w:pos="851"/>
        </w:tabs>
        <w:spacing w:after="0" w:line="240" w:lineRule="auto"/>
        <w:ind w:left="0" w:firstLine="0"/>
        <w:jc w:val="both"/>
        <w:rPr>
          <w:rFonts w:ascii="Times New Roman" w:hAnsi="Times New Roman" w:cs="Times New Roman"/>
          <w:sz w:val="20"/>
          <w:szCs w:val="20"/>
        </w:rPr>
      </w:pPr>
      <w:bookmarkStart w:id="5" w:name="_Hlk218705442"/>
      <w:bookmarkEnd w:id="3"/>
      <w:bookmarkEnd w:id="4"/>
      <w:proofErr w:type="spellStart"/>
      <w:r w:rsidRPr="00EC2610">
        <w:rPr>
          <w:rFonts w:ascii="Times New Roman" w:hAnsi="Times New Roman" w:cs="Times New Roman"/>
          <w:sz w:val="20"/>
          <w:szCs w:val="20"/>
        </w:rPr>
        <w:t>Urishev</w:t>
      </w:r>
      <w:proofErr w:type="spellEnd"/>
      <w:r w:rsidRPr="00EC2610">
        <w:rPr>
          <w:rFonts w:ascii="Times New Roman" w:hAnsi="Times New Roman" w:cs="Times New Roman"/>
          <w:sz w:val="20"/>
          <w:szCs w:val="20"/>
        </w:rPr>
        <w:t xml:space="preserve">, B., </w:t>
      </w:r>
      <w:proofErr w:type="spellStart"/>
      <w:r w:rsidRPr="00EC2610">
        <w:rPr>
          <w:rFonts w:ascii="Times New Roman" w:hAnsi="Times New Roman" w:cs="Times New Roman"/>
          <w:sz w:val="20"/>
          <w:szCs w:val="20"/>
        </w:rPr>
        <w:t>Fakhriddin</w:t>
      </w:r>
      <w:proofErr w:type="spellEnd"/>
      <w:r w:rsidRPr="00EC2610">
        <w:rPr>
          <w:rFonts w:ascii="Times New Roman" w:hAnsi="Times New Roman" w:cs="Times New Roman"/>
          <w:sz w:val="20"/>
          <w:szCs w:val="20"/>
        </w:rPr>
        <w:t xml:space="preserve"> </w:t>
      </w:r>
      <w:proofErr w:type="spellStart"/>
      <w:r w:rsidRPr="00EC2610">
        <w:rPr>
          <w:rFonts w:ascii="Times New Roman" w:hAnsi="Times New Roman" w:cs="Times New Roman"/>
          <w:sz w:val="20"/>
          <w:szCs w:val="20"/>
        </w:rPr>
        <w:t>Nosirov</w:t>
      </w:r>
      <w:proofErr w:type="spellEnd"/>
      <w:r w:rsidRPr="00EC2610">
        <w:rPr>
          <w:rFonts w:ascii="Times New Roman" w:hAnsi="Times New Roman" w:cs="Times New Roman"/>
          <w:sz w:val="20"/>
          <w:szCs w:val="20"/>
        </w:rPr>
        <w:t xml:space="preserve">, and N. </w:t>
      </w:r>
      <w:proofErr w:type="spellStart"/>
      <w:r w:rsidRPr="00EC2610">
        <w:rPr>
          <w:rFonts w:ascii="Times New Roman" w:hAnsi="Times New Roman" w:cs="Times New Roman"/>
          <w:sz w:val="20"/>
          <w:szCs w:val="20"/>
        </w:rPr>
        <w:t>Ruzikulova</w:t>
      </w:r>
      <w:proofErr w:type="spellEnd"/>
      <w:r w:rsidRPr="00EC2610">
        <w:rPr>
          <w:rFonts w:ascii="Times New Roman" w:hAnsi="Times New Roman" w:cs="Times New Roman"/>
          <w:sz w:val="20"/>
          <w:szCs w:val="20"/>
        </w:rPr>
        <w:t>. 2023. “Hydraulic Energy Storage of Wind Power Plants.” E3S Web of Conferences, 383. https://doi.org/10.1051/e3sconf/202338304052</w:t>
      </w:r>
    </w:p>
    <w:p w14:paraId="22A4D9EA" w14:textId="77777777" w:rsidR="00EC2610" w:rsidRPr="00EC2610" w:rsidRDefault="00EC2610" w:rsidP="00EC2610">
      <w:pPr>
        <w:pStyle w:val="a4"/>
        <w:numPr>
          <w:ilvl w:val="0"/>
          <w:numId w:val="10"/>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EC2610">
        <w:rPr>
          <w:rFonts w:ascii="Times New Roman" w:hAnsi="Times New Roman" w:cs="Times New Roman"/>
          <w:sz w:val="20"/>
          <w:szCs w:val="20"/>
        </w:rPr>
        <w:t>Urishev</w:t>
      </w:r>
      <w:proofErr w:type="spellEnd"/>
      <w:r w:rsidRPr="00EC2610">
        <w:rPr>
          <w:rFonts w:ascii="Times New Roman" w:hAnsi="Times New Roman" w:cs="Times New Roman"/>
          <w:sz w:val="20"/>
          <w:szCs w:val="20"/>
        </w:rPr>
        <w:t xml:space="preserve">, B., S. </w:t>
      </w:r>
      <w:proofErr w:type="spellStart"/>
      <w:r w:rsidRPr="00EC2610">
        <w:rPr>
          <w:rFonts w:ascii="Times New Roman" w:hAnsi="Times New Roman" w:cs="Times New Roman"/>
          <w:sz w:val="20"/>
          <w:szCs w:val="20"/>
        </w:rPr>
        <w:t>Eshev</w:t>
      </w:r>
      <w:proofErr w:type="spellEnd"/>
      <w:r w:rsidRPr="00EC2610">
        <w:rPr>
          <w:rFonts w:ascii="Times New Roman" w:hAnsi="Times New Roman" w:cs="Times New Roman"/>
          <w:sz w:val="20"/>
          <w:szCs w:val="20"/>
        </w:rPr>
        <w:t xml:space="preserve">, </w:t>
      </w:r>
      <w:proofErr w:type="spellStart"/>
      <w:r w:rsidRPr="00EC2610">
        <w:rPr>
          <w:rFonts w:ascii="Times New Roman" w:hAnsi="Times New Roman" w:cs="Times New Roman"/>
          <w:sz w:val="20"/>
          <w:szCs w:val="20"/>
        </w:rPr>
        <w:t>Fakhriddin</w:t>
      </w:r>
      <w:proofErr w:type="spellEnd"/>
      <w:r w:rsidRPr="00EC2610">
        <w:rPr>
          <w:rFonts w:ascii="Times New Roman" w:hAnsi="Times New Roman" w:cs="Times New Roman"/>
          <w:sz w:val="20"/>
          <w:szCs w:val="20"/>
        </w:rPr>
        <w:t xml:space="preserve"> </w:t>
      </w:r>
      <w:proofErr w:type="spellStart"/>
      <w:r w:rsidRPr="00EC2610">
        <w:rPr>
          <w:rFonts w:ascii="Times New Roman" w:hAnsi="Times New Roman" w:cs="Times New Roman"/>
          <w:sz w:val="20"/>
          <w:szCs w:val="20"/>
        </w:rPr>
        <w:t>Nosirov</w:t>
      </w:r>
      <w:proofErr w:type="spellEnd"/>
      <w:r w:rsidRPr="00EC2610">
        <w:rPr>
          <w:rFonts w:ascii="Times New Roman" w:hAnsi="Times New Roman" w:cs="Times New Roman"/>
          <w:sz w:val="20"/>
          <w:szCs w:val="20"/>
        </w:rPr>
        <w:t xml:space="preserve">, and U. </w:t>
      </w:r>
      <w:proofErr w:type="spellStart"/>
      <w:r w:rsidRPr="00EC2610">
        <w:rPr>
          <w:rFonts w:ascii="Times New Roman" w:hAnsi="Times New Roman" w:cs="Times New Roman"/>
          <w:sz w:val="20"/>
          <w:szCs w:val="20"/>
        </w:rPr>
        <w:t>Kuvatov</w:t>
      </w:r>
      <w:proofErr w:type="spellEnd"/>
      <w:r w:rsidRPr="00EC2610">
        <w:rPr>
          <w:rFonts w:ascii="Times New Roman" w:hAnsi="Times New Roman" w:cs="Times New Roman"/>
          <w:sz w:val="20"/>
          <w:szCs w:val="20"/>
        </w:rPr>
        <w:t>. 2024. “A Device for Reducing the Siltation of the Front Chamber of the Pumping Station in Irrigation Systems.” E3S Web of Conferences, 274. https://doi.org/10.1051/e3sconf/202127403001</w:t>
      </w:r>
    </w:p>
    <w:p w14:paraId="294897FD" w14:textId="77777777" w:rsidR="00EC2610" w:rsidRPr="00EC2610" w:rsidRDefault="00EC2610" w:rsidP="00EC2610">
      <w:pPr>
        <w:pStyle w:val="a4"/>
        <w:numPr>
          <w:ilvl w:val="0"/>
          <w:numId w:val="10"/>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EC2610">
        <w:rPr>
          <w:rFonts w:ascii="Times New Roman" w:hAnsi="Times New Roman" w:cs="Times New Roman"/>
          <w:sz w:val="20"/>
          <w:szCs w:val="20"/>
        </w:rPr>
        <w:t>Turabdjanov</w:t>
      </w:r>
      <w:proofErr w:type="spellEnd"/>
      <w:r w:rsidRPr="00EC2610">
        <w:rPr>
          <w:rFonts w:ascii="Times New Roman" w:hAnsi="Times New Roman" w:cs="Times New Roman"/>
          <w:sz w:val="20"/>
          <w:szCs w:val="20"/>
        </w:rPr>
        <w:t xml:space="preserve">, S., Sh. </w:t>
      </w:r>
      <w:proofErr w:type="spellStart"/>
      <w:r w:rsidRPr="00EC2610">
        <w:rPr>
          <w:rFonts w:ascii="Times New Roman" w:hAnsi="Times New Roman" w:cs="Times New Roman"/>
          <w:sz w:val="20"/>
          <w:szCs w:val="20"/>
        </w:rPr>
        <w:t>Dungboyev</w:t>
      </w:r>
      <w:proofErr w:type="spellEnd"/>
      <w:r w:rsidRPr="00EC2610">
        <w:rPr>
          <w:rFonts w:ascii="Times New Roman" w:hAnsi="Times New Roman" w:cs="Times New Roman"/>
          <w:sz w:val="20"/>
          <w:szCs w:val="20"/>
        </w:rPr>
        <w:t xml:space="preserve">, </w:t>
      </w:r>
      <w:proofErr w:type="spellStart"/>
      <w:r w:rsidRPr="00EC2610">
        <w:rPr>
          <w:rFonts w:ascii="Times New Roman" w:hAnsi="Times New Roman" w:cs="Times New Roman"/>
          <w:sz w:val="20"/>
          <w:szCs w:val="20"/>
        </w:rPr>
        <w:t>Fakhriddin</w:t>
      </w:r>
      <w:proofErr w:type="spellEnd"/>
      <w:r w:rsidRPr="00EC2610">
        <w:rPr>
          <w:rFonts w:ascii="Times New Roman" w:hAnsi="Times New Roman" w:cs="Times New Roman"/>
          <w:sz w:val="20"/>
          <w:szCs w:val="20"/>
        </w:rPr>
        <w:t xml:space="preserve"> </w:t>
      </w:r>
      <w:proofErr w:type="spellStart"/>
      <w:r w:rsidRPr="00EC2610">
        <w:rPr>
          <w:rFonts w:ascii="Times New Roman" w:hAnsi="Times New Roman" w:cs="Times New Roman"/>
          <w:sz w:val="20"/>
          <w:szCs w:val="20"/>
        </w:rPr>
        <w:t>Nosirov</w:t>
      </w:r>
      <w:proofErr w:type="spellEnd"/>
      <w:r w:rsidRPr="00EC2610">
        <w:rPr>
          <w:rFonts w:ascii="Times New Roman" w:hAnsi="Times New Roman" w:cs="Times New Roman"/>
          <w:sz w:val="20"/>
          <w:szCs w:val="20"/>
        </w:rPr>
        <w:t xml:space="preserve">, A. </w:t>
      </w:r>
      <w:proofErr w:type="spellStart"/>
      <w:r w:rsidRPr="00EC2610">
        <w:rPr>
          <w:rFonts w:ascii="Times New Roman" w:hAnsi="Times New Roman" w:cs="Times New Roman"/>
          <w:sz w:val="20"/>
          <w:szCs w:val="20"/>
        </w:rPr>
        <w:t>Juraev</w:t>
      </w:r>
      <w:proofErr w:type="spellEnd"/>
      <w:r w:rsidRPr="00EC2610">
        <w:rPr>
          <w:rFonts w:ascii="Times New Roman" w:hAnsi="Times New Roman" w:cs="Times New Roman"/>
          <w:sz w:val="20"/>
          <w:szCs w:val="20"/>
        </w:rPr>
        <w:t xml:space="preserve">, and I. </w:t>
      </w:r>
      <w:proofErr w:type="spellStart"/>
      <w:r w:rsidRPr="00EC2610">
        <w:rPr>
          <w:rFonts w:ascii="Times New Roman" w:hAnsi="Times New Roman" w:cs="Times New Roman"/>
          <w:sz w:val="20"/>
          <w:szCs w:val="20"/>
        </w:rPr>
        <w:t>Karabaev</w:t>
      </w:r>
      <w:proofErr w:type="spellEnd"/>
      <w:r w:rsidRPr="00EC2610">
        <w:rPr>
          <w:rFonts w:ascii="Times New Roman" w:hAnsi="Times New Roman" w:cs="Times New Roman"/>
          <w:sz w:val="20"/>
          <w:szCs w:val="20"/>
        </w:rPr>
        <w:t>. 2021. “Application of a Two-Axle Synchronous Generator Excitations in Small Hydropower Engineering and Wind Power Plants.” AIP Conference Proceedings. https://doi.org/10.1063/5.0130649</w:t>
      </w:r>
    </w:p>
    <w:p w14:paraId="60FB7E4E" w14:textId="77777777" w:rsidR="00EC2610" w:rsidRPr="00EC2610" w:rsidRDefault="00EC2610" w:rsidP="00EC2610">
      <w:pPr>
        <w:pStyle w:val="a4"/>
        <w:numPr>
          <w:ilvl w:val="0"/>
          <w:numId w:val="10"/>
        </w:numPr>
        <w:tabs>
          <w:tab w:val="left" w:pos="0"/>
          <w:tab w:val="left" w:pos="284"/>
        </w:tabs>
        <w:spacing w:after="0" w:line="240" w:lineRule="auto"/>
        <w:ind w:left="0" w:firstLine="0"/>
        <w:jc w:val="both"/>
        <w:rPr>
          <w:rFonts w:ascii="Times New Roman" w:hAnsi="Times New Roman" w:cs="Times New Roman"/>
          <w:sz w:val="20"/>
          <w:szCs w:val="20"/>
        </w:rPr>
      </w:pPr>
      <w:bookmarkStart w:id="6" w:name="_Hlk214727448"/>
      <w:bookmarkStart w:id="7" w:name="_Hlk218705532"/>
      <w:bookmarkEnd w:id="5"/>
      <w:proofErr w:type="spellStart"/>
      <w:r w:rsidRPr="00EC2610">
        <w:rPr>
          <w:rFonts w:ascii="Times New Roman" w:hAnsi="Times New Roman" w:cs="Times New Roman"/>
          <w:sz w:val="20"/>
          <w:szCs w:val="20"/>
        </w:rPr>
        <w:t>L.Jing</w:t>
      </w:r>
      <w:proofErr w:type="spellEnd"/>
      <w:r w:rsidRPr="00EC2610">
        <w:rPr>
          <w:rFonts w:ascii="Times New Roman" w:hAnsi="Times New Roman" w:cs="Times New Roman"/>
          <w:sz w:val="20"/>
          <w:szCs w:val="20"/>
        </w:rPr>
        <w:t xml:space="preserve">, </w:t>
      </w:r>
      <w:proofErr w:type="spellStart"/>
      <w:proofErr w:type="gramStart"/>
      <w:r w:rsidRPr="00EC2610">
        <w:rPr>
          <w:rFonts w:ascii="Times New Roman" w:hAnsi="Times New Roman" w:cs="Times New Roman"/>
          <w:sz w:val="20"/>
          <w:szCs w:val="20"/>
        </w:rPr>
        <w:t>J.Guo</w:t>
      </w:r>
      <w:proofErr w:type="spellEnd"/>
      <w:proofErr w:type="gramEnd"/>
      <w:r w:rsidRPr="00EC2610">
        <w:rPr>
          <w:rFonts w:ascii="Times New Roman" w:hAnsi="Times New Roman" w:cs="Times New Roman"/>
          <w:sz w:val="20"/>
          <w:szCs w:val="20"/>
        </w:rPr>
        <w:t xml:space="preserve">, </w:t>
      </w:r>
      <w:proofErr w:type="spellStart"/>
      <w:r w:rsidRPr="00EC2610">
        <w:rPr>
          <w:rFonts w:ascii="Times New Roman" w:hAnsi="Times New Roman" w:cs="Times New Roman"/>
          <w:sz w:val="20"/>
          <w:szCs w:val="20"/>
        </w:rPr>
        <w:t>T.Feng</w:t>
      </w:r>
      <w:proofErr w:type="spellEnd"/>
      <w:r w:rsidRPr="00EC2610">
        <w:rPr>
          <w:rFonts w:ascii="Times New Roman" w:hAnsi="Times New Roman" w:cs="Times New Roman"/>
          <w:sz w:val="20"/>
          <w:szCs w:val="20"/>
        </w:rPr>
        <w:t xml:space="preserve">, </w:t>
      </w:r>
      <w:proofErr w:type="spellStart"/>
      <w:r w:rsidRPr="00EC2610">
        <w:rPr>
          <w:rFonts w:ascii="Times New Roman" w:hAnsi="Times New Roman" w:cs="Times New Roman"/>
          <w:sz w:val="20"/>
          <w:szCs w:val="20"/>
        </w:rPr>
        <w:t>L.Han</w:t>
      </w:r>
      <w:proofErr w:type="spellEnd"/>
      <w:r w:rsidRPr="00EC2610">
        <w:rPr>
          <w:rFonts w:ascii="Times New Roman" w:hAnsi="Times New Roman" w:cs="Times New Roman"/>
          <w:sz w:val="20"/>
          <w:szCs w:val="20"/>
        </w:rPr>
        <w:t xml:space="preserve">, </w:t>
      </w:r>
      <w:proofErr w:type="spellStart"/>
      <w:r w:rsidRPr="00EC2610">
        <w:rPr>
          <w:rFonts w:ascii="Times New Roman" w:hAnsi="Times New Roman" w:cs="Times New Roman"/>
          <w:sz w:val="20"/>
          <w:szCs w:val="20"/>
        </w:rPr>
        <w:t>Z.Zhou</w:t>
      </w:r>
      <w:proofErr w:type="spellEnd"/>
      <w:r w:rsidRPr="00EC2610">
        <w:rPr>
          <w:rFonts w:ascii="Times New Roman" w:hAnsi="Times New Roman" w:cs="Times New Roman"/>
          <w:sz w:val="20"/>
          <w:szCs w:val="20"/>
        </w:rPr>
        <w:t xml:space="preserve"> and </w:t>
      </w:r>
      <w:proofErr w:type="spellStart"/>
      <w:r w:rsidRPr="00EC2610">
        <w:rPr>
          <w:rFonts w:ascii="Times New Roman" w:hAnsi="Times New Roman" w:cs="Times New Roman"/>
          <w:sz w:val="20"/>
          <w:szCs w:val="20"/>
        </w:rPr>
        <w:t>M.Melikuziev</w:t>
      </w:r>
      <w:proofErr w:type="spellEnd"/>
      <w:r w:rsidRPr="00EC2610">
        <w:rPr>
          <w:rFonts w:ascii="Times New Roman" w:hAnsi="Times New Roman" w:cs="Times New Roman"/>
          <w:sz w:val="20"/>
          <w:szCs w:val="20"/>
        </w:rPr>
        <w:t xml:space="preserve">, "Research on Energy Optimization Scheduling Methods for Systems with Multiple </w:t>
      </w:r>
      <w:proofErr w:type="spellStart"/>
      <w:r w:rsidRPr="00EC2610">
        <w:rPr>
          <w:rFonts w:ascii="Times New Roman" w:hAnsi="Times New Roman" w:cs="Times New Roman"/>
          <w:sz w:val="20"/>
          <w:szCs w:val="20"/>
        </w:rPr>
        <w:t>Microgrids</w:t>
      </w:r>
      <w:proofErr w:type="spellEnd"/>
      <w:r w:rsidRPr="00EC2610">
        <w:rPr>
          <w:rFonts w:ascii="Times New Roman" w:hAnsi="Times New Roman" w:cs="Times New Roman"/>
          <w:sz w:val="20"/>
          <w:szCs w:val="20"/>
        </w:rPr>
        <w:t xml:space="preserve"> in Urban Areas," 2024 IEEE 4th International Conference on Digital Twins and Parallel Intelligence (DTPI), Wuhan, China, 2024, pp. 706-711, https://ieeexplore.ieee.org/abstract/document/10778839</w:t>
      </w:r>
    </w:p>
    <w:p w14:paraId="2B29556C" w14:textId="77777777" w:rsidR="00EC2610" w:rsidRPr="00EC2610" w:rsidRDefault="00EC2610" w:rsidP="00EC2610">
      <w:pPr>
        <w:pStyle w:val="a4"/>
        <w:numPr>
          <w:ilvl w:val="0"/>
          <w:numId w:val="10"/>
        </w:numPr>
        <w:tabs>
          <w:tab w:val="left" w:pos="284"/>
          <w:tab w:val="left" w:pos="993"/>
        </w:tabs>
        <w:spacing w:after="0" w:line="240" w:lineRule="auto"/>
        <w:ind w:left="0" w:firstLine="0"/>
        <w:jc w:val="both"/>
        <w:rPr>
          <w:rFonts w:ascii="Times New Roman" w:hAnsi="Times New Roman" w:cs="Times New Roman"/>
          <w:sz w:val="20"/>
          <w:szCs w:val="20"/>
        </w:rPr>
      </w:pPr>
      <w:bookmarkStart w:id="8" w:name="_Hlk218705590"/>
      <w:bookmarkEnd w:id="6"/>
      <w:bookmarkEnd w:id="7"/>
      <w:proofErr w:type="spellStart"/>
      <w:r w:rsidRPr="00EC2610">
        <w:rPr>
          <w:rFonts w:ascii="Times New Roman" w:hAnsi="Times New Roman" w:cs="Times New Roman"/>
          <w:sz w:val="20"/>
          <w:szCs w:val="20"/>
        </w:rPr>
        <w:t>Baratov</w:t>
      </w:r>
      <w:proofErr w:type="spellEnd"/>
      <w:r w:rsidRPr="00EC2610">
        <w:rPr>
          <w:rFonts w:ascii="Times New Roman" w:hAnsi="Times New Roman" w:cs="Times New Roman"/>
          <w:sz w:val="20"/>
          <w:szCs w:val="20"/>
        </w:rPr>
        <w:t xml:space="preserve">, B.N., </w:t>
      </w:r>
      <w:proofErr w:type="spellStart"/>
      <w:r w:rsidRPr="00EC2610">
        <w:rPr>
          <w:rFonts w:ascii="Times New Roman" w:hAnsi="Times New Roman" w:cs="Times New Roman"/>
          <w:sz w:val="20"/>
          <w:szCs w:val="20"/>
        </w:rPr>
        <w:t>Umarov</w:t>
      </w:r>
      <w:proofErr w:type="spellEnd"/>
      <w:r w:rsidRPr="00EC2610">
        <w:rPr>
          <w:rFonts w:ascii="Times New Roman" w:hAnsi="Times New Roman" w:cs="Times New Roman"/>
          <w:sz w:val="20"/>
          <w:szCs w:val="20"/>
        </w:rPr>
        <w:t xml:space="preserve">, F.Y., </w:t>
      </w:r>
      <w:proofErr w:type="spellStart"/>
      <w:r w:rsidRPr="00EC2610">
        <w:rPr>
          <w:rFonts w:ascii="Times New Roman" w:hAnsi="Times New Roman" w:cs="Times New Roman"/>
          <w:sz w:val="20"/>
          <w:szCs w:val="20"/>
        </w:rPr>
        <w:t>Toshov</w:t>
      </w:r>
      <w:proofErr w:type="spellEnd"/>
      <w:r w:rsidRPr="00EC2610">
        <w:rPr>
          <w:rFonts w:ascii="Times New Roman" w:hAnsi="Times New Roman" w:cs="Times New Roman"/>
          <w:sz w:val="20"/>
          <w:szCs w:val="20"/>
        </w:rPr>
        <w:t xml:space="preserve">, Z.H. </w:t>
      </w:r>
      <w:proofErr w:type="spellStart"/>
      <w:r w:rsidRPr="00EC2610">
        <w:rPr>
          <w:rFonts w:ascii="Times New Roman" w:hAnsi="Times New Roman" w:cs="Times New Roman"/>
          <w:sz w:val="20"/>
          <w:szCs w:val="20"/>
        </w:rPr>
        <w:t>Tricone</w:t>
      </w:r>
      <w:proofErr w:type="spellEnd"/>
      <w:r w:rsidRPr="00EC2610">
        <w:rPr>
          <w:rFonts w:ascii="Times New Roman" w:hAnsi="Times New Roman" w:cs="Times New Roman"/>
          <w:sz w:val="20"/>
          <w:szCs w:val="20"/>
        </w:rPr>
        <w:t xml:space="preserve"> drill bit performance evaluation. </w:t>
      </w:r>
      <w:proofErr w:type="spellStart"/>
      <w:r w:rsidRPr="00EC2610">
        <w:rPr>
          <w:rFonts w:ascii="Times New Roman" w:hAnsi="Times New Roman" w:cs="Times New Roman"/>
          <w:sz w:val="20"/>
          <w:szCs w:val="20"/>
        </w:rPr>
        <w:t>Gornyi</w:t>
      </w:r>
      <w:proofErr w:type="spellEnd"/>
      <w:r w:rsidRPr="00EC2610">
        <w:rPr>
          <w:rFonts w:ascii="Times New Roman" w:hAnsi="Times New Roman" w:cs="Times New Roman"/>
          <w:sz w:val="20"/>
          <w:szCs w:val="20"/>
        </w:rPr>
        <w:t xml:space="preserve"> </w:t>
      </w:r>
      <w:proofErr w:type="spellStart"/>
      <w:r w:rsidRPr="00EC2610">
        <w:rPr>
          <w:rFonts w:ascii="Times New Roman" w:hAnsi="Times New Roman" w:cs="Times New Roman"/>
          <w:sz w:val="20"/>
          <w:szCs w:val="20"/>
        </w:rPr>
        <w:t>Zhurnal</w:t>
      </w:r>
      <w:proofErr w:type="spellEnd"/>
      <w:r w:rsidRPr="00EC2610">
        <w:rPr>
          <w:rFonts w:ascii="Times New Roman" w:hAnsi="Times New Roman" w:cs="Times New Roman"/>
          <w:sz w:val="20"/>
          <w:szCs w:val="20"/>
        </w:rPr>
        <w:t>, Moscow, 2021. - № 12. - PP. 60-63. DOI:10.17580/gzh.2021.12.11.</w:t>
      </w:r>
    </w:p>
    <w:p w14:paraId="6BBED6F7" w14:textId="77777777" w:rsidR="00EC2610" w:rsidRPr="00EC2610" w:rsidRDefault="00EC2610" w:rsidP="00EC2610">
      <w:pPr>
        <w:pStyle w:val="a4"/>
        <w:numPr>
          <w:ilvl w:val="0"/>
          <w:numId w:val="10"/>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EC2610">
        <w:rPr>
          <w:rFonts w:ascii="Times New Roman" w:hAnsi="Times New Roman" w:cs="Times New Roman"/>
          <w:sz w:val="20"/>
          <w:szCs w:val="20"/>
        </w:rPr>
        <w:t>Toshov</w:t>
      </w:r>
      <w:proofErr w:type="spellEnd"/>
      <w:r w:rsidRPr="00EC2610">
        <w:rPr>
          <w:rFonts w:ascii="Times New Roman" w:hAnsi="Times New Roman" w:cs="Times New Roman"/>
          <w:sz w:val="20"/>
          <w:szCs w:val="20"/>
        </w:rPr>
        <w:t xml:space="preserve">, J.B., </w:t>
      </w:r>
      <w:proofErr w:type="spellStart"/>
      <w:r w:rsidRPr="00EC2610">
        <w:rPr>
          <w:rFonts w:ascii="Times New Roman" w:hAnsi="Times New Roman" w:cs="Times New Roman"/>
          <w:sz w:val="20"/>
          <w:szCs w:val="20"/>
        </w:rPr>
        <w:t>Toshov</w:t>
      </w:r>
      <w:proofErr w:type="spellEnd"/>
      <w:r w:rsidRPr="00EC2610">
        <w:rPr>
          <w:rFonts w:ascii="Times New Roman" w:hAnsi="Times New Roman" w:cs="Times New Roman"/>
          <w:sz w:val="20"/>
          <w:szCs w:val="20"/>
        </w:rPr>
        <w:t xml:space="preserve">, B.R., </w:t>
      </w:r>
      <w:proofErr w:type="spellStart"/>
      <w:r w:rsidRPr="00EC2610">
        <w:rPr>
          <w:rFonts w:ascii="Times New Roman" w:hAnsi="Times New Roman" w:cs="Times New Roman"/>
          <w:sz w:val="20"/>
          <w:szCs w:val="20"/>
        </w:rPr>
        <w:t>Baratov</w:t>
      </w:r>
      <w:proofErr w:type="spellEnd"/>
      <w:r w:rsidRPr="00EC2610">
        <w:rPr>
          <w:rFonts w:ascii="Times New Roman" w:hAnsi="Times New Roman" w:cs="Times New Roman"/>
          <w:sz w:val="20"/>
          <w:szCs w:val="20"/>
        </w:rPr>
        <w:t xml:space="preserve">, B.N., </w:t>
      </w:r>
      <w:proofErr w:type="spellStart"/>
      <w:r w:rsidRPr="00EC2610">
        <w:rPr>
          <w:rFonts w:ascii="Times New Roman" w:hAnsi="Times New Roman" w:cs="Times New Roman"/>
          <w:sz w:val="20"/>
          <w:szCs w:val="20"/>
        </w:rPr>
        <w:t>Haqberdiyev</w:t>
      </w:r>
      <w:proofErr w:type="spellEnd"/>
      <w:r w:rsidRPr="00EC2610">
        <w:rPr>
          <w:rFonts w:ascii="Times New Roman" w:hAnsi="Times New Roman" w:cs="Times New Roman"/>
          <w:sz w:val="20"/>
          <w:szCs w:val="20"/>
        </w:rPr>
        <w:t xml:space="preserve">, A.L. Designing new generation drill bits with optimal axial eccentricity | </w:t>
      </w:r>
      <w:proofErr w:type="spellStart"/>
      <w:r w:rsidRPr="00EC2610">
        <w:rPr>
          <w:rFonts w:ascii="Times New Roman" w:hAnsi="Times New Roman" w:cs="Times New Roman"/>
          <w:sz w:val="20"/>
          <w:szCs w:val="20"/>
        </w:rPr>
        <w:t>Вопросы</w:t>
      </w:r>
      <w:proofErr w:type="spellEnd"/>
      <w:r w:rsidRPr="00EC2610">
        <w:rPr>
          <w:rFonts w:ascii="Times New Roman" w:hAnsi="Times New Roman" w:cs="Times New Roman"/>
          <w:sz w:val="20"/>
          <w:szCs w:val="20"/>
        </w:rPr>
        <w:t xml:space="preserve"> </w:t>
      </w:r>
      <w:proofErr w:type="spellStart"/>
      <w:r w:rsidRPr="00EC2610">
        <w:rPr>
          <w:rFonts w:ascii="Times New Roman" w:hAnsi="Times New Roman" w:cs="Times New Roman"/>
          <w:sz w:val="20"/>
          <w:szCs w:val="20"/>
        </w:rPr>
        <w:t>проектирования</w:t>
      </w:r>
      <w:proofErr w:type="spellEnd"/>
      <w:r w:rsidRPr="00EC2610">
        <w:rPr>
          <w:rFonts w:ascii="Times New Roman" w:hAnsi="Times New Roman" w:cs="Times New Roman"/>
          <w:sz w:val="20"/>
          <w:szCs w:val="20"/>
        </w:rPr>
        <w:t xml:space="preserve"> </w:t>
      </w:r>
      <w:proofErr w:type="spellStart"/>
      <w:r w:rsidRPr="00EC2610">
        <w:rPr>
          <w:rFonts w:ascii="Times New Roman" w:hAnsi="Times New Roman" w:cs="Times New Roman"/>
          <w:sz w:val="20"/>
          <w:szCs w:val="20"/>
        </w:rPr>
        <w:t>буровых</w:t>
      </w:r>
      <w:proofErr w:type="spellEnd"/>
      <w:r w:rsidRPr="00EC2610">
        <w:rPr>
          <w:rFonts w:ascii="Times New Roman" w:hAnsi="Times New Roman" w:cs="Times New Roman"/>
          <w:sz w:val="20"/>
          <w:szCs w:val="20"/>
        </w:rPr>
        <w:t xml:space="preserve"> </w:t>
      </w:r>
      <w:proofErr w:type="spellStart"/>
      <w:r w:rsidRPr="00EC2610">
        <w:rPr>
          <w:rFonts w:ascii="Times New Roman" w:hAnsi="Times New Roman" w:cs="Times New Roman"/>
          <w:sz w:val="20"/>
          <w:szCs w:val="20"/>
        </w:rPr>
        <w:t>долот</w:t>
      </w:r>
      <w:proofErr w:type="spellEnd"/>
      <w:r w:rsidRPr="00EC2610">
        <w:rPr>
          <w:rFonts w:ascii="Times New Roman" w:hAnsi="Times New Roman" w:cs="Times New Roman"/>
          <w:sz w:val="20"/>
          <w:szCs w:val="20"/>
        </w:rPr>
        <w:t xml:space="preserve"> </w:t>
      </w:r>
      <w:proofErr w:type="spellStart"/>
      <w:r w:rsidRPr="00EC2610">
        <w:rPr>
          <w:rFonts w:ascii="Times New Roman" w:hAnsi="Times New Roman" w:cs="Times New Roman"/>
          <w:sz w:val="20"/>
          <w:szCs w:val="20"/>
        </w:rPr>
        <w:t>нового</w:t>
      </w:r>
      <w:proofErr w:type="spellEnd"/>
      <w:r w:rsidRPr="00EC2610">
        <w:rPr>
          <w:rFonts w:ascii="Times New Roman" w:hAnsi="Times New Roman" w:cs="Times New Roman"/>
          <w:sz w:val="20"/>
          <w:szCs w:val="20"/>
        </w:rPr>
        <w:t xml:space="preserve"> </w:t>
      </w:r>
      <w:proofErr w:type="spellStart"/>
      <w:r w:rsidRPr="00EC2610">
        <w:rPr>
          <w:rFonts w:ascii="Times New Roman" w:hAnsi="Times New Roman" w:cs="Times New Roman"/>
          <w:sz w:val="20"/>
          <w:szCs w:val="20"/>
        </w:rPr>
        <w:t>поколения</w:t>
      </w:r>
      <w:proofErr w:type="spellEnd"/>
      <w:r w:rsidRPr="00EC2610">
        <w:rPr>
          <w:rFonts w:ascii="Times New Roman" w:hAnsi="Times New Roman" w:cs="Times New Roman"/>
          <w:sz w:val="20"/>
          <w:szCs w:val="20"/>
        </w:rPr>
        <w:t xml:space="preserve"> с </w:t>
      </w:r>
      <w:proofErr w:type="spellStart"/>
      <w:r w:rsidRPr="00EC2610">
        <w:rPr>
          <w:rFonts w:ascii="Times New Roman" w:hAnsi="Times New Roman" w:cs="Times New Roman"/>
          <w:sz w:val="20"/>
          <w:szCs w:val="20"/>
        </w:rPr>
        <w:t>оптимальным</w:t>
      </w:r>
      <w:proofErr w:type="spellEnd"/>
      <w:r w:rsidRPr="00EC2610">
        <w:rPr>
          <w:rFonts w:ascii="Times New Roman" w:hAnsi="Times New Roman" w:cs="Times New Roman"/>
          <w:sz w:val="20"/>
          <w:szCs w:val="20"/>
        </w:rPr>
        <w:t xml:space="preserve"> </w:t>
      </w:r>
      <w:proofErr w:type="spellStart"/>
      <w:r w:rsidRPr="00EC2610">
        <w:rPr>
          <w:rFonts w:ascii="Times New Roman" w:hAnsi="Times New Roman" w:cs="Times New Roman"/>
          <w:sz w:val="20"/>
          <w:szCs w:val="20"/>
        </w:rPr>
        <w:t>межосевым</w:t>
      </w:r>
      <w:proofErr w:type="spellEnd"/>
      <w:r w:rsidRPr="00EC2610">
        <w:rPr>
          <w:rFonts w:ascii="Times New Roman" w:hAnsi="Times New Roman" w:cs="Times New Roman"/>
          <w:sz w:val="20"/>
          <w:szCs w:val="20"/>
        </w:rPr>
        <w:t xml:space="preserve"> </w:t>
      </w:r>
      <w:proofErr w:type="spellStart"/>
      <w:r w:rsidRPr="00EC2610">
        <w:rPr>
          <w:rFonts w:ascii="Times New Roman" w:hAnsi="Times New Roman" w:cs="Times New Roman"/>
          <w:sz w:val="20"/>
          <w:szCs w:val="20"/>
        </w:rPr>
        <w:t>эксцентриситетом</w:t>
      </w:r>
      <w:proofErr w:type="spellEnd"/>
      <w:r w:rsidRPr="00EC2610">
        <w:rPr>
          <w:rFonts w:ascii="Times New Roman" w:hAnsi="Times New Roman" w:cs="Times New Roman"/>
          <w:sz w:val="20"/>
          <w:szCs w:val="20"/>
        </w:rPr>
        <w:t xml:space="preserve"> // Mining Informational and Analytical Bulletin, 2022, (9). - PP. 133–142. DOI: 10.25018/0236_1493_2022_9_0_133</w:t>
      </w:r>
    </w:p>
    <w:p w14:paraId="1349AD8E" w14:textId="77777777" w:rsidR="00EC2610" w:rsidRPr="00EC2610" w:rsidRDefault="00EC2610" w:rsidP="00EC2610">
      <w:pPr>
        <w:pStyle w:val="a4"/>
        <w:numPr>
          <w:ilvl w:val="0"/>
          <w:numId w:val="10"/>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EC2610">
        <w:rPr>
          <w:rFonts w:ascii="Times New Roman" w:hAnsi="Times New Roman" w:cs="Times New Roman"/>
          <w:sz w:val="20"/>
          <w:szCs w:val="20"/>
        </w:rPr>
        <w:t>Toshov</w:t>
      </w:r>
      <w:proofErr w:type="spellEnd"/>
      <w:r w:rsidRPr="00EC2610">
        <w:rPr>
          <w:rFonts w:ascii="Times New Roman" w:hAnsi="Times New Roman" w:cs="Times New Roman"/>
          <w:sz w:val="20"/>
          <w:szCs w:val="20"/>
        </w:rPr>
        <w:t xml:space="preserve"> J., </w:t>
      </w:r>
      <w:proofErr w:type="spellStart"/>
      <w:r w:rsidRPr="00EC2610">
        <w:rPr>
          <w:rFonts w:ascii="Times New Roman" w:hAnsi="Times New Roman" w:cs="Times New Roman"/>
          <w:sz w:val="20"/>
          <w:szCs w:val="20"/>
        </w:rPr>
        <w:t>Makhmudov</w:t>
      </w:r>
      <w:proofErr w:type="spellEnd"/>
      <w:r w:rsidRPr="00EC2610">
        <w:rPr>
          <w:rFonts w:ascii="Times New Roman" w:hAnsi="Times New Roman" w:cs="Times New Roman"/>
          <w:sz w:val="20"/>
          <w:szCs w:val="20"/>
        </w:rPr>
        <w:t xml:space="preserve"> A., </w:t>
      </w:r>
      <w:proofErr w:type="spellStart"/>
      <w:r w:rsidRPr="00EC2610">
        <w:rPr>
          <w:rFonts w:ascii="Times New Roman" w:hAnsi="Times New Roman" w:cs="Times New Roman"/>
          <w:sz w:val="20"/>
          <w:szCs w:val="20"/>
        </w:rPr>
        <w:t>Kurbonov</w:t>
      </w:r>
      <w:proofErr w:type="spellEnd"/>
      <w:r w:rsidRPr="00EC2610">
        <w:rPr>
          <w:rFonts w:ascii="Times New Roman" w:hAnsi="Times New Roman" w:cs="Times New Roman"/>
          <w:sz w:val="20"/>
          <w:szCs w:val="20"/>
        </w:rPr>
        <w:t xml:space="preserve"> O., </w:t>
      </w:r>
      <w:proofErr w:type="spellStart"/>
      <w:r w:rsidRPr="00EC2610">
        <w:rPr>
          <w:rFonts w:ascii="Times New Roman" w:hAnsi="Times New Roman" w:cs="Times New Roman"/>
          <w:sz w:val="20"/>
          <w:szCs w:val="20"/>
        </w:rPr>
        <w:t>Arzikulov</w:t>
      </w:r>
      <w:proofErr w:type="spellEnd"/>
      <w:r w:rsidRPr="00EC2610">
        <w:rPr>
          <w:rFonts w:ascii="Times New Roman" w:hAnsi="Times New Roman" w:cs="Times New Roman"/>
          <w:sz w:val="20"/>
          <w:szCs w:val="20"/>
        </w:rPr>
        <w:t xml:space="preserve"> G., </w:t>
      </w:r>
      <w:proofErr w:type="spellStart"/>
      <w:r w:rsidRPr="00EC2610">
        <w:rPr>
          <w:rFonts w:ascii="Times New Roman" w:hAnsi="Times New Roman" w:cs="Times New Roman"/>
          <w:sz w:val="20"/>
          <w:szCs w:val="20"/>
        </w:rPr>
        <w:t>Makhmudova</w:t>
      </w:r>
      <w:proofErr w:type="spellEnd"/>
      <w:r w:rsidRPr="00EC2610">
        <w:rPr>
          <w:rFonts w:ascii="Times New Roman" w:hAnsi="Times New Roman" w:cs="Times New Roman"/>
          <w:sz w:val="20"/>
          <w:szCs w:val="20"/>
        </w:rPr>
        <w:t xml:space="preserve"> G. Development and Substantiation of Energy-Saving Methods for Controlling the Modes of Operation of Centrifugal Pumping Units in Complicated Operating Conditions. Proceedings of the 11th International Conference on Applied Innovations in IT, (ICAIIT), November 2023, </w:t>
      </w:r>
      <w:proofErr w:type="spellStart"/>
      <w:r w:rsidRPr="00EC2610">
        <w:rPr>
          <w:rFonts w:ascii="Times New Roman" w:hAnsi="Times New Roman" w:cs="Times New Roman"/>
          <w:sz w:val="20"/>
          <w:szCs w:val="20"/>
        </w:rPr>
        <w:t>Koethen</w:t>
      </w:r>
      <w:proofErr w:type="spellEnd"/>
      <w:r w:rsidRPr="00EC2610">
        <w:rPr>
          <w:rFonts w:ascii="Times New Roman" w:hAnsi="Times New Roman" w:cs="Times New Roman"/>
          <w:sz w:val="20"/>
          <w:szCs w:val="20"/>
        </w:rPr>
        <w:t xml:space="preserve">, Germany. – РР. 161-165.  </w:t>
      </w:r>
    </w:p>
    <w:p w14:paraId="0C93E2C0" w14:textId="77777777" w:rsidR="00EC2610" w:rsidRPr="00EC2610" w:rsidRDefault="00EC2610" w:rsidP="00EC2610">
      <w:pPr>
        <w:pStyle w:val="a4"/>
        <w:numPr>
          <w:ilvl w:val="0"/>
          <w:numId w:val="10"/>
        </w:numPr>
        <w:tabs>
          <w:tab w:val="left" w:pos="284"/>
          <w:tab w:val="left" w:pos="993"/>
        </w:tabs>
        <w:spacing w:after="0" w:line="240" w:lineRule="auto"/>
        <w:ind w:left="0" w:firstLine="0"/>
        <w:jc w:val="both"/>
        <w:rPr>
          <w:rFonts w:ascii="Times New Roman" w:hAnsi="Times New Roman" w:cs="Times New Roman"/>
          <w:sz w:val="20"/>
          <w:szCs w:val="20"/>
        </w:rPr>
      </w:pPr>
      <w:r w:rsidRPr="00EC2610">
        <w:rPr>
          <w:rFonts w:ascii="Times New Roman" w:hAnsi="Times New Roman" w:cs="Times New Roman"/>
          <w:sz w:val="20"/>
          <w:szCs w:val="20"/>
        </w:rPr>
        <w:lastRenderedPageBreak/>
        <w:t xml:space="preserve">J.B. </w:t>
      </w:r>
      <w:proofErr w:type="spellStart"/>
      <w:r w:rsidRPr="00EC2610">
        <w:rPr>
          <w:rFonts w:ascii="Times New Roman" w:hAnsi="Times New Roman" w:cs="Times New Roman"/>
          <w:sz w:val="20"/>
          <w:szCs w:val="20"/>
        </w:rPr>
        <w:t>Toshov</w:t>
      </w:r>
      <w:proofErr w:type="spellEnd"/>
      <w:r w:rsidRPr="00EC2610">
        <w:rPr>
          <w:rFonts w:ascii="Times New Roman" w:hAnsi="Times New Roman" w:cs="Times New Roman"/>
          <w:sz w:val="20"/>
          <w:szCs w:val="20"/>
        </w:rPr>
        <w:t xml:space="preserve">, K.T. </w:t>
      </w:r>
      <w:proofErr w:type="spellStart"/>
      <w:r w:rsidRPr="00EC2610">
        <w:rPr>
          <w:rFonts w:ascii="Times New Roman" w:hAnsi="Times New Roman" w:cs="Times New Roman"/>
          <w:sz w:val="20"/>
          <w:szCs w:val="20"/>
        </w:rPr>
        <w:t>Sherov</w:t>
      </w:r>
      <w:proofErr w:type="spellEnd"/>
      <w:r w:rsidRPr="00EC2610">
        <w:rPr>
          <w:rFonts w:ascii="Times New Roman" w:hAnsi="Times New Roman" w:cs="Times New Roman"/>
          <w:sz w:val="20"/>
          <w:szCs w:val="20"/>
        </w:rPr>
        <w:t xml:space="preserve">, B.N. </w:t>
      </w:r>
      <w:proofErr w:type="spellStart"/>
      <w:r w:rsidRPr="00EC2610">
        <w:rPr>
          <w:rFonts w:ascii="Times New Roman" w:hAnsi="Times New Roman" w:cs="Times New Roman"/>
          <w:sz w:val="20"/>
          <w:szCs w:val="20"/>
        </w:rPr>
        <w:t>Absadykov</w:t>
      </w:r>
      <w:proofErr w:type="spellEnd"/>
      <w:r w:rsidRPr="00EC2610">
        <w:rPr>
          <w:rFonts w:ascii="Times New Roman" w:hAnsi="Times New Roman" w:cs="Times New Roman"/>
          <w:sz w:val="20"/>
          <w:szCs w:val="20"/>
        </w:rPr>
        <w:t xml:space="preserve">, R.U. </w:t>
      </w:r>
      <w:proofErr w:type="spellStart"/>
      <w:r w:rsidRPr="00EC2610">
        <w:rPr>
          <w:rFonts w:ascii="Times New Roman" w:hAnsi="Times New Roman" w:cs="Times New Roman"/>
          <w:sz w:val="20"/>
          <w:szCs w:val="20"/>
        </w:rPr>
        <w:t>Djuraev</w:t>
      </w:r>
      <w:proofErr w:type="spellEnd"/>
      <w:r w:rsidRPr="00EC2610">
        <w:rPr>
          <w:rFonts w:ascii="Times New Roman" w:hAnsi="Times New Roman" w:cs="Times New Roman"/>
          <w:sz w:val="20"/>
          <w:szCs w:val="20"/>
        </w:rPr>
        <w:t xml:space="preserve">, M.R. </w:t>
      </w:r>
      <w:proofErr w:type="spellStart"/>
      <w:r w:rsidRPr="00EC2610">
        <w:rPr>
          <w:rFonts w:ascii="Times New Roman" w:hAnsi="Times New Roman" w:cs="Times New Roman"/>
          <w:sz w:val="20"/>
          <w:szCs w:val="20"/>
        </w:rPr>
        <w:t>Sikhimbayev</w:t>
      </w:r>
      <w:proofErr w:type="spellEnd"/>
      <w:r w:rsidRPr="00EC2610">
        <w:rPr>
          <w:rFonts w:ascii="Times New Roman" w:hAnsi="Times New Roman" w:cs="Times New Roman"/>
          <w:sz w:val="20"/>
          <w:szCs w:val="20"/>
        </w:rPr>
        <w:t xml:space="preserve">, Efficiency of drilling wells with air purge based on the use of a vortex tube. NEWS of the National Academy of Sciences of the Republic of Kazakhstan “Series of geology and technical sciences”. – Almaty, Volume 4, Number 460 (2023), 225–235. https://doi.org/10.32014/2023.2518-170X.331 </w:t>
      </w:r>
      <w:r w:rsidRPr="00EC2610">
        <w:rPr>
          <w:rFonts w:ascii="Times New Roman" w:hAnsi="Times New Roman" w:cs="Times New Roman"/>
          <w:sz w:val="20"/>
          <w:szCs w:val="20"/>
        </w:rPr>
        <w:cr/>
      </w:r>
      <w:proofErr w:type="spellStart"/>
      <w:r w:rsidRPr="00EC2610">
        <w:rPr>
          <w:rFonts w:ascii="Times New Roman" w:hAnsi="Times New Roman" w:cs="Times New Roman"/>
          <w:sz w:val="20"/>
          <w:szCs w:val="20"/>
        </w:rPr>
        <w:t>Toshov</w:t>
      </w:r>
      <w:proofErr w:type="spellEnd"/>
      <w:r w:rsidRPr="00EC2610">
        <w:rPr>
          <w:rFonts w:ascii="Times New Roman" w:hAnsi="Times New Roman" w:cs="Times New Roman"/>
          <w:sz w:val="20"/>
          <w:szCs w:val="20"/>
        </w:rPr>
        <w:t xml:space="preserve"> J., </w:t>
      </w:r>
      <w:proofErr w:type="spellStart"/>
      <w:r w:rsidRPr="00EC2610">
        <w:rPr>
          <w:rFonts w:ascii="Times New Roman" w:hAnsi="Times New Roman" w:cs="Times New Roman"/>
          <w:sz w:val="20"/>
          <w:szCs w:val="20"/>
        </w:rPr>
        <w:t>Toshov</w:t>
      </w:r>
      <w:proofErr w:type="spellEnd"/>
      <w:r w:rsidRPr="00EC2610">
        <w:rPr>
          <w:rFonts w:ascii="Times New Roman" w:hAnsi="Times New Roman" w:cs="Times New Roman"/>
          <w:sz w:val="20"/>
          <w:szCs w:val="20"/>
        </w:rPr>
        <w:t xml:space="preserve"> B., </w:t>
      </w:r>
      <w:proofErr w:type="spellStart"/>
      <w:r w:rsidRPr="00EC2610">
        <w:rPr>
          <w:rFonts w:ascii="Times New Roman" w:hAnsi="Times New Roman" w:cs="Times New Roman"/>
          <w:sz w:val="20"/>
          <w:szCs w:val="20"/>
        </w:rPr>
        <w:t>Bainazov</w:t>
      </w:r>
      <w:proofErr w:type="spellEnd"/>
      <w:r w:rsidRPr="00EC2610">
        <w:rPr>
          <w:rFonts w:ascii="Times New Roman" w:hAnsi="Times New Roman" w:cs="Times New Roman"/>
          <w:sz w:val="20"/>
          <w:szCs w:val="20"/>
        </w:rPr>
        <w:t xml:space="preserve"> U., </w:t>
      </w:r>
      <w:proofErr w:type="spellStart"/>
      <w:r w:rsidRPr="00EC2610">
        <w:rPr>
          <w:rFonts w:ascii="Times New Roman" w:hAnsi="Times New Roman" w:cs="Times New Roman"/>
          <w:sz w:val="20"/>
          <w:szCs w:val="20"/>
        </w:rPr>
        <w:t>Elemonov</w:t>
      </w:r>
      <w:proofErr w:type="spellEnd"/>
      <w:r w:rsidRPr="00EC2610">
        <w:rPr>
          <w:rFonts w:ascii="Times New Roman" w:hAnsi="Times New Roman" w:cs="Times New Roman"/>
          <w:sz w:val="20"/>
          <w:szCs w:val="20"/>
        </w:rPr>
        <w:t xml:space="preserve"> M. Application of Cycle-Flow Technology in Coal Mines. Proceedings of the 11th International Conference on Applied Innovations in IT, (ICAIIT), March 2023, </w:t>
      </w:r>
      <w:proofErr w:type="spellStart"/>
      <w:r w:rsidRPr="00EC2610">
        <w:rPr>
          <w:rFonts w:ascii="Times New Roman" w:hAnsi="Times New Roman" w:cs="Times New Roman"/>
          <w:sz w:val="20"/>
          <w:szCs w:val="20"/>
        </w:rPr>
        <w:t>Koethen</w:t>
      </w:r>
      <w:proofErr w:type="spellEnd"/>
      <w:r w:rsidRPr="00EC2610">
        <w:rPr>
          <w:rFonts w:ascii="Times New Roman" w:hAnsi="Times New Roman" w:cs="Times New Roman"/>
          <w:sz w:val="20"/>
          <w:szCs w:val="20"/>
        </w:rPr>
        <w:t>, Germany. – РР. 279-284.</w:t>
      </w:r>
    </w:p>
    <w:p w14:paraId="331E417B" w14:textId="77777777" w:rsidR="00EC2610" w:rsidRPr="00EC2610" w:rsidRDefault="00EC2610" w:rsidP="00EC2610">
      <w:pPr>
        <w:pStyle w:val="a4"/>
        <w:numPr>
          <w:ilvl w:val="0"/>
          <w:numId w:val="10"/>
        </w:numPr>
        <w:tabs>
          <w:tab w:val="left" w:pos="284"/>
          <w:tab w:val="left" w:pos="993"/>
        </w:tabs>
        <w:spacing w:after="0" w:line="240" w:lineRule="auto"/>
        <w:ind w:left="0" w:firstLine="0"/>
        <w:jc w:val="both"/>
        <w:rPr>
          <w:rFonts w:ascii="Times New Roman" w:hAnsi="Times New Roman" w:cs="Times New Roman"/>
          <w:sz w:val="20"/>
          <w:szCs w:val="20"/>
        </w:rPr>
      </w:pPr>
      <w:r w:rsidRPr="00EC2610">
        <w:rPr>
          <w:rFonts w:ascii="Times New Roman" w:hAnsi="Times New Roman" w:cs="Times New Roman"/>
          <w:sz w:val="20"/>
          <w:szCs w:val="20"/>
        </w:rPr>
        <w:t xml:space="preserve">K.T. </w:t>
      </w:r>
      <w:proofErr w:type="spellStart"/>
      <w:r w:rsidRPr="00EC2610">
        <w:rPr>
          <w:rFonts w:ascii="Times New Roman" w:hAnsi="Times New Roman" w:cs="Times New Roman"/>
          <w:sz w:val="20"/>
          <w:szCs w:val="20"/>
        </w:rPr>
        <w:t>Sherov</w:t>
      </w:r>
      <w:proofErr w:type="spellEnd"/>
      <w:r w:rsidRPr="00EC2610">
        <w:rPr>
          <w:rFonts w:ascii="Times New Roman" w:hAnsi="Times New Roman" w:cs="Times New Roman"/>
          <w:sz w:val="20"/>
          <w:szCs w:val="20"/>
        </w:rPr>
        <w:t xml:space="preserve">, </w:t>
      </w:r>
      <w:proofErr w:type="spellStart"/>
      <w:r w:rsidRPr="00EC2610">
        <w:rPr>
          <w:rFonts w:ascii="Times New Roman" w:hAnsi="Times New Roman" w:cs="Times New Roman"/>
          <w:sz w:val="20"/>
          <w:szCs w:val="20"/>
        </w:rPr>
        <w:t>N.Zh</w:t>
      </w:r>
      <w:proofErr w:type="spellEnd"/>
      <w:r w:rsidRPr="00EC2610">
        <w:rPr>
          <w:rFonts w:ascii="Times New Roman" w:hAnsi="Times New Roman" w:cs="Times New Roman"/>
          <w:sz w:val="20"/>
          <w:szCs w:val="20"/>
        </w:rPr>
        <w:t xml:space="preserve">. </w:t>
      </w:r>
      <w:proofErr w:type="spellStart"/>
      <w:r w:rsidRPr="00EC2610">
        <w:rPr>
          <w:rFonts w:ascii="Times New Roman" w:hAnsi="Times New Roman" w:cs="Times New Roman"/>
          <w:sz w:val="20"/>
          <w:szCs w:val="20"/>
        </w:rPr>
        <w:t>Karsakova</w:t>
      </w:r>
      <w:proofErr w:type="spellEnd"/>
      <w:r w:rsidRPr="00EC2610">
        <w:rPr>
          <w:rFonts w:ascii="Times New Roman" w:hAnsi="Times New Roman" w:cs="Times New Roman"/>
          <w:sz w:val="20"/>
          <w:szCs w:val="20"/>
        </w:rPr>
        <w:t xml:space="preserve">, B.N. </w:t>
      </w:r>
      <w:proofErr w:type="spellStart"/>
      <w:r w:rsidRPr="00EC2610">
        <w:rPr>
          <w:rFonts w:ascii="Times New Roman" w:hAnsi="Times New Roman" w:cs="Times New Roman"/>
          <w:sz w:val="20"/>
          <w:szCs w:val="20"/>
        </w:rPr>
        <w:t>Absadykov</w:t>
      </w:r>
      <w:proofErr w:type="spellEnd"/>
      <w:r w:rsidRPr="00EC2610">
        <w:rPr>
          <w:rFonts w:ascii="Times New Roman" w:hAnsi="Times New Roman" w:cs="Times New Roman"/>
          <w:sz w:val="20"/>
          <w:szCs w:val="20"/>
        </w:rPr>
        <w:t xml:space="preserve">, J.B. </w:t>
      </w:r>
      <w:proofErr w:type="spellStart"/>
      <w:r w:rsidRPr="00EC2610">
        <w:rPr>
          <w:rFonts w:ascii="Times New Roman" w:hAnsi="Times New Roman" w:cs="Times New Roman"/>
          <w:sz w:val="20"/>
          <w:szCs w:val="20"/>
        </w:rPr>
        <w:t>Toshov</w:t>
      </w:r>
      <w:proofErr w:type="spellEnd"/>
      <w:r w:rsidRPr="00EC2610">
        <w:rPr>
          <w:rFonts w:ascii="Times New Roman" w:hAnsi="Times New Roman" w:cs="Times New Roman"/>
          <w:sz w:val="20"/>
          <w:szCs w:val="20"/>
        </w:rPr>
        <w:t xml:space="preserve">, M.R. </w:t>
      </w:r>
      <w:proofErr w:type="spellStart"/>
      <w:r w:rsidRPr="00EC2610">
        <w:rPr>
          <w:rFonts w:ascii="Times New Roman" w:hAnsi="Times New Roman" w:cs="Times New Roman"/>
          <w:sz w:val="20"/>
          <w:szCs w:val="20"/>
        </w:rPr>
        <w:t>Sikhimbayev</w:t>
      </w:r>
      <w:proofErr w:type="spellEnd"/>
      <w:r w:rsidRPr="00EC2610">
        <w:rPr>
          <w:rFonts w:ascii="Times New Roman" w:hAnsi="Times New Roman" w:cs="Times New Roman"/>
          <w:sz w:val="20"/>
          <w:szCs w:val="20"/>
        </w:rPr>
        <w:t>, Studying the effect of the boring bar amplitude-frequency characteristics on the accuracy of machining a large-sized part. NEWS of the National Academy of Sciences of the Republic of Kazakhstan “SERIES OF GEOLOGY AND TECHNICAL SCIENCES”. – Almaty, Volume 2, Number 464 (2024), 217–227. https://doi.org/10.32014/2024.2518-170X.405</w:t>
      </w:r>
    </w:p>
    <w:p w14:paraId="2AC2DC3C" w14:textId="77777777" w:rsidR="00EC2610" w:rsidRPr="00EC2610" w:rsidRDefault="00EC2610" w:rsidP="00EC2610">
      <w:pPr>
        <w:pStyle w:val="a4"/>
        <w:numPr>
          <w:ilvl w:val="0"/>
          <w:numId w:val="10"/>
        </w:numPr>
        <w:tabs>
          <w:tab w:val="left" w:pos="284"/>
          <w:tab w:val="left" w:pos="993"/>
        </w:tabs>
        <w:spacing w:after="0" w:line="240" w:lineRule="auto"/>
        <w:ind w:left="0" w:firstLine="0"/>
        <w:jc w:val="both"/>
        <w:rPr>
          <w:rFonts w:ascii="Times New Roman" w:hAnsi="Times New Roman" w:cs="Times New Roman"/>
          <w:sz w:val="20"/>
          <w:szCs w:val="20"/>
        </w:rPr>
      </w:pPr>
      <w:r w:rsidRPr="00EC2610">
        <w:rPr>
          <w:rFonts w:ascii="Times New Roman" w:hAnsi="Times New Roman" w:cs="Times New Roman"/>
          <w:sz w:val="20"/>
          <w:szCs w:val="20"/>
        </w:rPr>
        <w:t xml:space="preserve">J. </w:t>
      </w:r>
      <w:proofErr w:type="spellStart"/>
      <w:r w:rsidRPr="00EC2610">
        <w:rPr>
          <w:rFonts w:ascii="Times New Roman" w:hAnsi="Times New Roman" w:cs="Times New Roman"/>
          <w:sz w:val="20"/>
          <w:szCs w:val="20"/>
        </w:rPr>
        <w:t>Toshov</w:t>
      </w:r>
      <w:proofErr w:type="spellEnd"/>
      <w:r w:rsidRPr="00EC2610">
        <w:rPr>
          <w:rFonts w:ascii="Times New Roman" w:hAnsi="Times New Roman" w:cs="Times New Roman"/>
          <w:sz w:val="20"/>
          <w:szCs w:val="20"/>
        </w:rPr>
        <w:t xml:space="preserve">, L. </w:t>
      </w:r>
      <w:proofErr w:type="spellStart"/>
      <w:r w:rsidRPr="00EC2610">
        <w:rPr>
          <w:rFonts w:ascii="Times New Roman" w:hAnsi="Times New Roman" w:cs="Times New Roman"/>
          <w:sz w:val="20"/>
          <w:szCs w:val="20"/>
        </w:rPr>
        <w:t>Atakulov</w:t>
      </w:r>
      <w:proofErr w:type="spellEnd"/>
      <w:r w:rsidRPr="00EC2610">
        <w:rPr>
          <w:rFonts w:ascii="Times New Roman" w:hAnsi="Times New Roman" w:cs="Times New Roman"/>
          <w:sz w:val="20"/>
          <w:szCs w:val="20"/>
        </w:rPr>
        <w:t xml:space="preserve">, G. </w:t>
      </w:r>
      <w:proofErr w:type="spellStart"/>
      <w:r w:rsidRPr="00EC2610">
        <w:rPr>
          <w:rFonts w:ascii="Times New Roman" w:hAnsi="Times New Roman" w:cs="Times New Roman"/>
          <w:sz w:val="20"/>
          <w:szCs w:val="20"/>
        </w:rPr>
        <w:t>Arzikulov</w:t>
      </w:r>
      <w:proofErr w:type="spellEnd"/>
      <w:r w:rsidRPr="00EC2610">
        <w:rPr>
          <w:rFonts w:ascii="Times New Roman" w:hAnsi="Times New Roman" w:cs="Times New Roman"/>
          <w:sz w:val="20"/>
          <w:szCs w:val="20"/>
        </w:rPr>
        <w:t xml:space="preserve">, U. </w:t>
      </w:r>
      <w:proofErr w:type="spellStart"/>
      <w:r w:rsidRPr="00EC2610">
        <w:rPr>
          <w:rFonts w:ascii="Times New Roman" w:hAnsi="Times New Roman" w:cs="Times New Roman"/>
          <w:sz w:val="20"/>
          <w:szCs w:val="20"/>
        </w:rPr>
        <w:t>Baynazov</w:t>
      </w:r>
      <w:proofErr w:type="spellEnd"/>
      <w:r w:rsidRPr="00EC2610">
        <w:rPr>
          <w:rFonts w:ascii="Times New Roman" w:hAnsi="Times New Roman" w:cs="Times New Roman"/>
          <w:sz w:val="20"/>
          <w:szCs w:val="20"/>
        </w:rPr>
        <w:t xml:space="preserve">, Modeling of optimal operating conditions of cyclic-flow technologies with a belt conveyor at coal mine under the "ANSYS" program. AIP Conf. Proc. 3152, 020006 (2024) / III International Scientific and Technical Conference “Actual issues of Power supply systems” (ICAIPSS2023), 7–8 September 2023, Tashkent, Uzbekistan. </w:t>
      </w:r>
      <w:hyperlink r:id="rId12" w:history="1">
        <w:r w:rsidRPr="00EC2610">
          <w:rPr>
            <w:rStyle w:val="a6"/>
            <w:rFonts w:ascii="Times New Roman" w:hAnsi="Times New Roman" w:cs="Times New Roman"/>
            <w:sz w:val="20"/>
            <w:szCs w:val="20"/>
          </w:rPr>
          <w:t>https://doi.org/10.1063/5.0218904</w:t>
        </w:r>
      </w:hyperlink>
      <w:bookmarkEnd w:id="8"/>
      <w:r w:rsidRPr="00EC2610">
        <w:rPr>
          <w:rFonts w:ascii="Times New Roman" w:hAnsi="Times New Roman" w:cs="Times New Roman"/>
          <w:sz w:val="20"/>
          <w:szCs w:val="20"/>
        </w:rPr>
        <w:t xml:space="preserve"> </w:t>
      </w:r>
    </w:p>
    <w:p w14:paraId="1087A764" w14:textId="77777777" w:rsidR="00EC2610" w:rsidRPr="00EC2610" w:rsidRDefault="00EC2610" w:rsidP="00EC2610">
      <w:pPr>
        <w:pStyle w:val="a4"/>
        <w:numPr>
          <w:ilvl w:val="0"/>
          <w:numId w:val="10"/>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EC2610">
        <w:rPr>
          <w:rFonts w:ascii="Times New Roman" w:hAnsi="Times New Roman" w:cs="Times New Roman"/>
          <w:sz w:val="20"/>
          <w:szCs w:val="20"/>
        </w:rPr>
        <w:t>Kholikhmatov</w:t>
      </w:r>
      <w:proofErr w:type="spellEnd"/>
      <w:r w:rsidRPr="00EC2610">
        <w:rPr>
          <w:rFonts w:ascii="Times New Roman" w:hAnsi="Times New Roman" w:cs="Times New Roman"/>
          <w:sz w:val="20"/>
          <w:szCs w:val="20"/>
        </w:rPr>
        <w:t xml:space="preserve"> B.B., </w:t>
      </w:r>
      <w:proofErr w:type="spellStart"/>
      <w:r w:rsidRPr="00EC2610">
        <w:rPr>
          <w:rFonts w:ascii="Times New Roman" w:hAnsi="Times New Roman" w:cs="Times New Roman"/>
          <w:sz w:val="20"/>
          <w:szCs w:val="20"/>
        </w:rPr>
        <w:t>Samiev</w:t>
      </w:r>
      <w:proofErr w:type="spellEnd"/>
      <w:r w:rsidRPr="00EC2610">
        <w:rPr>
          <w:rFonts w:ascii="Times New Roman" w:hAnsi="Times New Roman" w:cs="Times New Roman"/>
          <w:sz w:val="20"/>
          <w:szCs w:val="20"/>
        </w:rPr>
        <w:t xml:space="preserve"> </w:t>
      </w:r>
      <w:proofErr w:type="spellStart"/>
      <w:r w:rsidRPr="00EC2610">
        <w:rPr>
          <w:rFonts w:ascii="Times New Roman" w:hAnsi="Times New Roman" w:cs="Times New Roman"/>
          <w:sz w:val="20"/>
          <w:szCs w:val="20"/>
        </w:rPr>
        <w:t>Sh.S</w:t>
      </w:r>
      <w:proofErr w:type="spellEnd"/>
      <w:r w:rsidRPr="00EC2610">
        <w:rPr>
          <w:rFonts w:ascii="Times New Roman" w:hAnsi="Times New Roman" w:cs="Times New Roman"/>
          <w:sz w:val="20"/>
          <w:szCs w:val="20"/>
        </w:rPr>
        <w:t xml:space="preserve">., </w:t>
      </w:r>
      <w:proofErr w:type="spellStart"/>
      <w:r w:rsidRPr="00EC2610">
        <w:rPr>
          <w:rFonts w:ascii="Times New Roman" w:hAnsi="Times New Roman" w:cs="Times New Roman"/>
          <w:sz w:val="20"/>
          <w:szCs w:val="20"/>
        </w:rPr>
        <w:t>Erejepov</w:t>
      </w:r>
      <w:proofErr w:type="spellEnd"/>
      <w:r w:rsidRPr="00EC2610">
        <w:rPr>
          <w:rFonts w:ascii="Times New Roman" w:hAnsi="Times New Roman" w:cs="Times New Roman"/>
          <w:sz w:val="20"/>
          <w:szCs w:val="20"/>
        </w:rPr>
        <w:t xml:space="preserve"> M.T., </w:t>
      </w:r>
      <w:proofErr w:type="spellStart"/>
      <w:r w:rsidRPr="00EC2610">
        <w:rPr>
          <w:rFonts w:ascii="Times New Roman" w:hAnsi="Times New Roman" w:cs="Times New Roman"/>
          <w:sz w:val="20"/>
          <w:szCs w:val="20"/>
        </w:rPr>
        <w:t>Nematov</w:t>
      </w:r>
      <w:proofErr w:type="spellEnd"/>
      <w:r w:rsidRPr="00EC2610">
        <w:rPr>
          <w:rFonts w:ascii="Times New Roman" w:hAnsi="Times New Roman" w:cs="Times New Roman"/>
          <w:sz w:val="20"/>
          <w:szCs w:val="20"/>
        </w:rPr>
        <w:t xml:space="preserve"> L.A. Modelling of laboratory work in the science "Fundamentals of power supply" using an educational simulator based on a programmed logic controller // E3S Web of Conferences 384. 2023. РР, 01032, 1-3. https://doi.org/10.1051/e3sconf/202338401032</w:t>
      </w:r>
    </w:p>
    <w:p w14:paraId="3F2D66A5" w14:textId="77777777" w:rsidR="00EC2610" w:rsidRPr="00EC2610" w:rsidRDefault="00EC2610" w:rsidP="00EC2610">
      <w:pPr>
        <w:pStyle w:val="a4"/>
        <w:numPr>
          <w:ilvl w:val="0"/>
          <w:numId w:val="10"/>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EC2610">
        <w:rPr>
          <w:rFonts w:ascii="Times New Roman" w:hAnsi="Times New Roman" w:cs="Times New Roman"/>
          <w:sz w:val="20"/>
          <w:szCs w:val="20"/>
        </w:rPr>
        <w:t>Rakhimov</w:t>
      </w:r>
      <w:proofErr w:type="spellEnd"/>
      <w:r w:rsidRPr="00EC2610">
        <w:rPr>
          <w:rFonts w:ascii="Times New Roman" w:hAnsi="Times New Roman" w:cs="Times New Roman"/>
          <w:sz w:val="20"/>
          <w:szCs w:val="20"/>
        </w:rPr>
        <w:t xml:space="preserve"> F, </w:t>
      </w:r>
      <w:proofErr w:type="spellStart"/>
      <w:r w:rsidRPr="00EC2610">
        <w:rPr>
          <w:rFonts w:ascii="Times New Roman" w:hAnsi="Times New Roman" w:cs="Times New Roman"/>
          <w:sz w:val="20"/>
          <w:szCs w:val="20"/>
        </w:rPr>
        <w:t>Rakhimov</w:t>
      </w:r>
      <w:proofErr w:type="spellEnd"/>
      <w:r w:rsidRPr="00EC2610">
        <w:rPr>
          <w:rFonts w:ascii="Times New Roman" w:hAnsi="Times New Roman" w:cs="Times New Roman"/>
          <w:sz w:val="20"/>
          <w:szCs w:val="20"/>
        </w:rPr>
        <w:t xml:space="preserve"> F, </w:t>
      </w:r>
      <w:proofErr w:type="spellStart"/>
      <w:r w:rsidRPr="00EC2610">
        <w:rPr>
          <w:rFonts w:ascii="Times New Roman" w:hAnsi="Times New Roman" w:cs="Times New Roman"/>
          <w:sz w:val="20"/>
          <w:szCs w:val="20"/>
        </w:rPr>
        <w:t>Samiev</w:t>
      </w:r>
      <w:proofErr w:type="spellEnd"/>
      <w:r w:rsidRPr="00EC2610">
        <w:rPr>
          <w:rFonts w:ascii="Times New Roman" w:hAnsi="Times New Roman" w:cs="Times New Roman"/>
          <w:sz w:val="20"/>
          <w:szCs w:val="20"/>
        </w:rPr>
        <w:t xml:space="preserve"> </w:t>
      </w:r>
      <w:proofErr w:type="spellStart"/>
      <w:r w:rsidRPr="00EC2610">
        <w:rPr>
          <w:rFonts w:ascii="Times New Roman" w:hAnsi="Times New Roman" w:cs="Times New Roman"/>
          <w:sz w:val="20"/>
          <w:szCs w:val="20"/>
        </w:rPr>
        <w:t>Sh</w:t>
      </w:r>
      <w:proofErr w:type="spellEnd"/>
      <w:r w:rsidRPr="00EC2610">
        <w:rPr>
          <w:rFonts w:ascii="Times New Roman" w:hAnsi="Times New Roman" w:cs="Times New Roman"/>
          <w:sz w:val="20"/>
          <w:szCs w:val="20"/>
        </w:rPr>
        <w:t xml:space="preserve">, </w:t>
      </w:r>
      <w:proofErr w:type="spellStart"/>
      <w:r w:rsidRPr="00EC2610">
        <w:rPr>
          <w:rFonts w:ascii="Times New Roman" w:hAnsi="Times New Roman" w:cs="Times New Roman"/>
          <w:sz w:val="20"/>
          <w:szCs w:val="20"/>
        </w:rPr>
        <w:t>Abdukhalilov</w:t>
      </w:r>
      <w:proofErr w:type="spellEnd"/>
      <w:r w:rsidRPr="00EC2610">
        <w:rPr>
          <w:rFonts w:ascii="Times New Roman" w:hAnsi="Times New Roman" w:cs="Times New Roman"/>
          <w:sz w:val="20"/>
          <w:szCs w:val="20"/>
        </w:rPr>
        <w:t xml:space="preserve"> D. Justification of Technical and Economic Effectiveness of Application of 20 kV Voltage in Overhead Electric Networks //AIP Conf. Proc. 3152, 030023 (2024). https://doi.org/10.1063/5.0218921</w:t>
      </w:r>
    </w:p>
    <w:p w14:paraId="4BC78E13" w14:textId="77777777" w:rsidR="00EC2610" w:rsidRPr="00EC2610" w:rsidRDefault="00EC2610" w:rsidP="00EC2610">
      <w:pPr>
        <w:pStyle w:val="a4"/>
        <w:numPr>
          <w:ilvl w:val="0"/>
          <w:numId w:val="10"/>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EC2610">
        <w:rPr>
          <w:rFonts w:ascii="Times New Roman" w:hAnsi="Times New Roman" w:cs="Times New Roman"/>
          <w:sz w:val="20"/>
          <w:szCs w:val="20"/>
        </w:rPr>
        <w:t>Taslimov</w:t>
      </w:r>
      <w:proofErr w:type="spellEnd"/>
      <w:r w:rsidRPr="00EC2610">
        <w:rPr>
          <w:rFonts w:ascii="Times New Roman" w:hAnsi="Times New Roman" w:cs="Times New Roman"/>
          <w:sz w:val="20"/>
          <w:szCs w:val="20"/>
        </w:rPr>
        <w:t xml:space="preserve"> A, </w:t>
      </w:r>
      <w:proofErr w:type="spellStart"/>
      <w:r w:rsidRPr="00EC2610">
        <w:rPr>
          <w:rFonts w:ascii="Times New Roman" w:hAnsi="Times New Roman" w:cs="Times New Roman"/>
          <w:sz w:val="20"/>
          <w:szCs w:val="20"/>
        </w:rPr>
        <w:t>Mo'minov</w:t>
      </w:r>
      <w:proofErr w:type="spellEnd"/>
      <w:r w:rsidRPr="00EC2610">
        <w:rPr>
          <w:rFonts w:ascii="Times New Roman" w:hAnsi="Times New Roman" w:cs="Times New Roman"/>
          <w:sz w:val="20"/>
          <w:szCs w:val="20"/>
        </w:rPr>
        <w:t xml:space="preserve"> V, </w:t>
      </w:r>
      <w:proofErr w:type="spellStart"/>
      <w:r w:rsidRPr="00EC2610">
        <w:rPr>
          <w:rFonts w:ascii="Times New Roman" w:hAnsi="Times New Roman" w:cs="Times New Roman"/>
          <w:sz w:val="20"/>
          <w:szCs w:val="20"/>
        </w:rPr>
        <w:t>Samiev</w:t>
      </w:r>
      <w:proofErr w:type="spellEnd"/>
      <w:r w:rsidRPr="00EC2610">
        <w:rPr>
          <w:rFonts w:ascii="Times New Roman" w:hAnsi="Times New Roman" w:cs="Times New Roman"/>
          <w:sz w:val="20"/>
          <w:szCs w:val="20"/>
        </w:rPr>
        <w:t xml:space="preserve"> </w:t>
      </w:r>
      <w:proofErr w:type="spellStart"/>
      <w:r w:rsidRPr="00EC2610">
        <w:rPr>
          <w:rFonts w:ascii="Times New Roman" w:hAnsi="Times New Roman" w:cs="Times New Roman"/>
          <w:sz w:val="20"/>
          <w:szCs w:val="20"/>
        </w:rPr>
        <w:t>Sh</w:t>
      </w:r>
      <w:proofErr w:type="spellEnd"/>
      <w:r w:rsidRPr="00EC2610">
        <w:rPr>
          <w:rFonts w:ascii="Times New Roman" w:hAnsi="Times New Roman" w:cs="Times New Roman"/>
          <w:sz w:val="20"/>
          <w:szCs w:val="20"/>
        </w:rPr>
        <w:t xml:space="preserve">, </w:t>
      </w:r>
      <w:proofErr w:type="spellStart"/>
      <w:r w:rsidRPr="00EC2610">
        <w:rPr>
          <w:rFonts w:ascii="Times New Roman" w:hAnsi="Times New Roman" w:cs="Times New Roman"/>
          <w:sz w:val="20"/>
          <w:szCs w:val="20"/>
        </w:rPr>
        <w:t>Abdukhalilov</w:t>
      </w:r>
      <w:proofErr w:type="spellEnd"/>
      <w:r w:rsidRPr="00EC2610">
        <w:rPr>
          <w:rFonts w:ascii="Times New Roman" w:hAnsi="Times New Roman" w:cs="Times New Roman"/>
          <w:sz w:val="20"/>
          <w:szCs w:val="20"/>
        </w:rPr>
        <w:t xml:space="preserve"> D. Issues of Optimization of Electrical Network Parameters Medium Voltage //AIP Conf. Proc. 3331, 020007 (2025). </w:t>
      </w:r>
      <w:hyperlink r:id="rId13" w:history="1">
        <w:r w:rsidRPr="00EC2610">
          <w:rPr>
            <w:rStyle w:val="a6"/>
            <w:rFonts w:ascii="Times New Roman" w:hAnsi="Times New Roman" w:cs="Times New Roman"/>
            <w:sz w:val="20"/>
            <w:szCs w:val="20"/>
          </w:rPr>
          <w:t>https://doi.org/10.1063/5.0305781</w:t>
        </w:r>
      </w:hyperlink>
    </w:p>
    <w:p w14:paraId="41A24957" w14:textId="77777777" w:rsidR="00EC2610" w:rsidRPr="00EC2610" w:rsidRDefault="00EC2610" w:rsidP="00EC2610">
      <w:pPr>
        <w:pStyle w:val="a4"/>
        <w:numPr>
          <w:ilvl w:val="0"/>
          <w:numId w:val="10"/>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EC2610">
        <w:rPr>
          <w:rFonts w:ascii="Times New Roman" w:hAnsi="Times New Roman" w:cs="Times New Roman"/>
          <w:sz w:val="20"/>
          <w:szCs w:val="20"/>
        </w:rPr>
        <w:t>Toshbekov</w:t>
      </w:r>
      <w:proofErr w:type="spellEnd"/>
      <w:r w:rsidRPr="00EC2610">
        <w:rPr>
          <w:rFonts w:ascii="Times New Roman" w:hAnsi="Times New Roman" w:cs="Times New Roman"/>
          <w:sz w:val="20"/>
          <w:szCs w:val="20"/>
        </w:rPr>
        <w:t xml:space="preserve">, O., </w:t>
      </w:r>
      <w:proofErr w:type="spellStart"/>
      <w:r w:rsidRPr="00EC2610">
        <w:rPr>
          <w:rFonts w:ascii="Times New Roman" w:hAnsi="Times New Roman" w:cs="Times New Roman"/>
          <w:sz w:val="20"/>
          <w:szCs w:val="20"/>
        </w:rPr>
        <w:t>Urazov</w:t>
      </w:r>
      <w:proofErr w:type="spellEnd"/>
      <w:r w:rsidRPr="00EC2610">
        <w:rPr>
          <w:rFonts w:ascii="Times New Roman" w:hAnsi="Times New Roman" w:cs="Times New Roman"/>
          <w:sz w:val="20"/>
          <w:szCs w:val="20"/>
        </w:rPr>
        <w:t xml:space="preserve">, M., </w:t>
      </w:r>
      <w:proofErr w:type="spellStart"/>
      <w:r w:rsidRPr="00EC2610">
        <w:rPr>
          <w:rFonts w:ascii="Times New Roman" w:hAnsi="Times New Roman" w:cs="Times New Roman"/>
          <w:sz w:val="20"/>
          <w:szCs w:val="20"/>
        </w:rPr>
        <w:t>Yermatov</w:t>
      </w:r>
      <w:proofErr w:type="spellEnd"/>
      <w:r w:rsidRPr="00EC2610">
        <w:rPr>
          <w:rFonts w:ascii="Times New Roman" w:hAnsi="Times New Roman" w:cs="Times New Roman"/>
          <w:sz w:val="20"/>
          <w:szCs w:val="20"/>
        </w:rPr>
        <w:t xml:space="preserve">, S., &amp; </w:t>
      </w:r>
      <w:proofErr w:type="spellStart"/>
      <w:r w:rsidRPr="00EC2610">
        <w:rPr>
          <w:rFonts w:ascii="Times New Roman" w:hAnsi="Times New Roman" w:cs="Times New Roman"/>
          <w:sz w:val="20"/>
          <w:szCs w:val="20"/>
        </w:rPr>
        <w:t>Khamraeva</w:t>
      </w:r>
      <w:proofErr w:type="spellEnd"/>
      <w:r w:rsidRPr="00EC2610">
        <w:rPr>
          <w:rFonts w:ascii="Times New Roman" w:hAnsi="Times New Roman" w:cs="Times New Roman"/>
          <w:sz w:val="20"/>
          <w:szCs w:val="20"/>
        </w:rPr>
        <w:t xml:space="preserve">, M. 2023). </w:t>
      </w:r>
      <w:proofErr w:type="spellStart"/>
      <w:r w:rsidRPr="00EC2610">
        <w:rPr>
          <w:rFonts w:ascii="Times New Roman" w:hAnsi="Times New Roman" w:cs="Times New Roman"/>
          <w:sz w:val="20"/>
          <w:szCs w:val="20"/>
        </w:rPr>
        <w:t>Yeffisient</w:t>
      </w:r>
      <w:proofErr w:type="spellEnd"/>
      <w:r w:rsidRPr="00EC2610">
        <w:rPr>
          <w:rFonts w:ascii="Times New Roman" w:hAnsi="Times New Roman" w:cs="Times New Roman"/>
          <w:sz w:val="20"/>
          <w:szCs w:val="20"/>
        </w:rPr>
        <w:t xml:space="preserve"> and </w:t>
      </w:r>
      <w:proofErr w:type="spellStart"/>
      <w:r w:rsidRPr="00EC2610">
        <w:rPr>
          <w:rFonts w:ascii="Times New Roman" w:hAnsi="Times New Roman" w:cs="Times New Roman"/>
          <w:sz w:val="20"/>
          <w:szCs w:val="20"/>
        </w:rPr>
        <w:t>yesonomisal</w:t>
      </w:r>
      <w:proofErr w:type="spellEnd"/>
      <w:r w:rsidRPr="00EC2610">
        <w:rPr>
          <w:rFonts w:ascii="Times New Roman" w:hAnsi="Times New Roman" w:cs="Times New Roman"/>
          <w:sz w:val="20"/>
          <w:szCs w:val="20"/>
        </w:rPr>
        <w:t xml:space="preserve"> </w:t>
      </w:r>
      <w:proofErr w:type="spellStart"/>
      <w:r w:rsidRPr="00EC2610">
        <w:rPr>
          <w:rFonts w:ascii="Times New Roman" w:hAnsi="Times New Roman" w:cs="Times New Roman"/>
          <w:sz w:val="20"/>
          <w:szCs w:val="20"/>
        </w:rPr>
        <w:t>yenergy</w:t>
      </w:r>
      <w:proofErr w:type="spellEnd"/>
      <w:r w:rsidRPr="00EC2610">
        <w:rPr>
          <w:rFonts w:ascii="Times New Roman" w:hAnsi="Times New Roman" w:cs="Times New Roman"/>
          <w:sz w:val="20"/>
          <w:szCs w:val="20"/>
        </w:rPr>
        <w:t xml:space="preserve"> use </w:t>
      </w:r>
      <w:proofErr w:type="spellStart"/>
      <w:r w:rsidRPr="00EC2610">
        <w:rPr>
          <w:rFonts w:ascii="Times New Roman" w:hAnsi="Times New Roman" w:cs="Times New Roman"/>
          <w:sz w:val="20"/>
          <w:szCs w:val="20"/>
        </w:rPr>
        <w:t>teshnology</w:t>
      </w:r>
      <w:proofErr w:type="spellEnd"/>
      <w:r w:rsidRPr="00EC2610">
        <w:rPr>
          <w:rFonts w:ascii="Times New Roman" w:hAnsi="Times New Roman" w:cs="Times New Roman"/>
          <w:sz w:val="20"/>
          <w:szCs w:val="20"/>
        </w:rPr>
        <w:t xml:space="preserve"> in the </w:t>
      </w:r>
      <w:proofErr w:type="spellStart"/>
      <w:r w:rsidRPr="00EC2610">
        <w:rPr>
          <w:rFonts w:ascii="Times New Roman" w:hAnsi="Times New Roman" w:cs="Times New Roman"/>
          <w:sz w:val="20"/>
          <w:szCs w:val="20"/>
        </w:rPr>
        <w:t>prosessing</w:t>
      </w:r>
      <w:proofErr w:type="spellEnd"/>
      <w:r w:rsidRPr="00EC2610">
        <w:rPr>
          <w:rFonts w:ascii="Times New Roman" w:hAnsi="Times New Roman" w:cs="Times New Roman"/>
          <w:sz w:val="20"/>
          <w:szCs w:val="20"/>
        </w:rPr>
        <w:t xml:space="preserve"> of </w:t>
      </w:r>
      <w:proofErr w:type="spellStart"/>
      <w:r w:rsidRPr="00EC2610">
        <w:rPr>
          <w:rFonts w:ascii="Times New Roman" w:hAnsi="Times New Roman" w:cs="Times New Roman"/>
          <w:sz w:val="20"/>
          <w:szCs w:val="20"/>
        </w:rPr>
        <w:t>domestis</w:t>
      </w:r>
      <w:proofErr w:type="spellEnd"/>
      <w:r w:rsidRPr="00EC2610">
        <w:rPr>
          <w:rFonts w:ascii="Times New Roman" w:hAnsi="Times New Roman" w:cs="Times New Roman"/>
          <w:sz w:val="20"/>
          <w:szCs w:val="20"/>
        </w:rPr>
        <w:t xml:space="preserve"> </w:t>
      </w:r>
      <w:proofErr w:type="spellStart"/>
      <w:r w:rsidRPr="00EC2610">
        <w:rPr>
          <w:rFonts w:ascii="Times New Roman" w:hAnsi="Times New Roman" w:cs="Times New Roman"/>
          <w:sz w:val="20"/>
          <w:szCs w:val="20"/>
        </w:rPr>
        <w:t>soarse</w:t>
      </w:r>
      <w:proofErr w:type="spellEnd"/>
      <w:r w:rsidRPr="00EC2610">
        <w:rPr>
          <w:rFonts w:ascii="Times New Roman" w:hAnsi="Times New Roman" w:cs="Times New Roman"/>
          <w:sz w:val="20"/>
          <w:szCs w:val="20"/>
        </w:rPr>
        <w:t xml:space="preserve"> wool fiber. In Ye3S Web of </w:t>
      </w:r>
      <w:proofErr w:type="spellStart"/>
      <w:r w:rsidRPr="00EC2610">
        <w:rPr>
          <w:rFonts w:ascii="Times New Roman" w:hAnsi="Times New Roman" w:cs="Times New Roman"/>
          <w:sz w:val="20"/>
          <w:szCs w:val="20"/>
        </w:rPr>
        <w:t>Sonferenses</w:t>
      </w:r>
      <w:proofErr w:type="spellEnd"/>
      <w:r w:rsidRPr="00EC2610">
        <w:rPr>
          <w:rFonts w:ascii="Times New Roman" w:hAnsi="Times New Roman" w:cs="Times New Roman"/>
          <w:sz w:val="20"/>
          <w:szCs w:val="20"/>
        </w:rPr>
        <w:t xml:space="preserve"> (Vol. 461, p. 01068). https://doi.org/10.1051/e3sconf/202346101068 </w:t>
      </w:r>
    </w:p>
    <w:p w14:paraId="09E471AA" w14:textId="77777777" w:rsidR="00EC2610" w:rsidRPr="00EC2610" w:rsidRDefault="00EC2610" w:rsidP="00EC2610">
      <w:pPr>
        <w:pStyle w:val="a4"/>
        <w:numPr>
          <w:ilvl w:val="0"/>
          <w:numId w:val="10"/>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EC2610">
        <w:rPr>
          <w:rFonts w:ascii="Times New Roman" w:hAnsi="Times New Roman" w:cs="Times New Roman"/>
          <w:sz w:val="20"/>
          <w:szCs w:val="20"/>
        </w:rPr>
        <w:t>Jumaniyozov</w:t>
      </w:r>
      <w:proofErr w:type="spellEnd"/>
      <w:r w:rsidRPr="00EC2610">
        <w:rPr>
          <w:rFonts w:ascii="Times New Roman" w:hAnsi="Times New Roman" w:cs="Times New Roman"/>
          <w:sz w:val="20"/>
          <w:szCs w:val="20"/>
        </w:rPr>
        <w:t xml:space="preserve">, K., </w:t>
      </w:r>
      <w:proofErr w:type="spellStart"/>
      <w:r w:rsidRPr="00EC2610">
        <w:rPr>
          <w:rFonts w:ascii="Times New Roman" w:hAnsi="Times New Roman" w:cs="Times New Roman"/>
          <w:sz w:val="20"/>
          <w:szCs w:val="20"/>
        </w:rPr>
        <w:t>Urozov</w:t>
      </w:r>
      <w:proofErr w:type="spellEnd"/>
      <w:r w:rsidRPr="00EC2610">
        <w:rPr>
          <w:rFonts w:ascii="Times New Roman" w:hAnsi="Times New Roman" w:cs="Times New Roman"/>
          <w:sz w:val="20"/>
          <w:szCs w:val="20"/>
        </w:rPr>
        <w:t xml:space="preserve">, M., </w:t>
      </w:r>
      <w:proofErr w:type="spellStart"/>
      <w:r w:rsidRPr="00EC2610">
        <w:rPr>
          <w:rFonts w:ascii="Times New Roman" w:hAnsi="Times New Roman" w:cs="Times New Roman"/>
          <w:sz w:val="20"/>
          <w:szCs w:val="20"/>
        </w:rPr>
        <w:t>Toshbekov</w:t>
      </w:r>
      <w:proofErr w:type="spellEnd"/>
      <w:r w:rsidRPr="00EC2610">
        <w:rPr>
          <w:rFonts w:ascii="Times New Roman" w:hAnsi="Times New Roman" w:cs="Times New Roman"/>
          <w:sz w:val="20"/>
          <w:szCs w:val="20"/>
        </w:rPr>
        <w:t xml:space="preserve">, O., </w:t>
      </w:r>
      <w:proofErr w:type="spellStart"/>
      <w:r w:rsidRPr="00EC2610">
        <w:rPr>
          <w:rFonts w:ascii="Times New Roman" w:hAnsi="Times New Roman" w:cs="Times New Roman"/>
          <w:sz w:val="20"/>
          <w:szCs w:val="20"/>
        </w:rPr>
        <w:t>Salimova</w:t>
      </w:r>
      <w:proofErr w:type="spellEnd"/>
      <w:r w:rsidRPr="00EC2610">
        <w:rPr>
          <w:rFonts w:ascii="Times New Roman" w:hAnsi="Times New Roman" w:cs="Times New Roman"/>
          <w:sz w:val="20"/>
          <w:szCs w:val="20"/>
        </w:rPr>
        <w:t xml:space="preserve">, M., </w:t>
      </w:r>
      <w:proofErr w:type="spellStart"/>
      <w:r w:rsidRPr="00EC2610">
        <w:rPr>
          <w:rFonts w:ascii="Times New Roman" w:hAnsi="Times New Roman" w:cs="Times New Roman"/>
          <w:sz w:val="20"/>
          <w:szCs w:val="20"/>
        </w:rPr>
        <w:t>Raximova</w:t>
      </w:r>
      <w:proofErr w:type="spellEnd"/>
      <w:r w:rsidRPr="00EC2610">
        <w:rPr>
          <w:rFonts w:ascii="Times New Roman" w:hAnsi="Times New Roman" w:cs="Times New Roman"/>
          <w:sz w:val="20"/>
          <w:szCs w:val="20"/>
        </w:rPr>
        <w:t xml:space="preserve">, K., &amp; </w:t>
      </w:r>
      <w:proofErr w:type="spellStart"/>
      <w:r w:rsidRPr="00EC2610">
        <w:rPr>
          <w:rFonts w:ascii="Times New Roman" w:hAnsi="Times New Roman" w:cs="Times New Roman"/>
          <w:sz w:val="20"/>
          <w:szCs w:val="20"/>
        </w:rPr>
        <w:t>Khursandova</w:t>
      </w:r>
      <w:proofErr w:type="spellEnd"/>
      <w:r w:rsidRPr="00EC2610">
        <w:rPr>
          <w:rFonts w:ascii="Times New Roman" w:hAnsi="Times New Roman" w:cs="Times New Roman"/>
          <w:sz w:val="20"/>
          <w:szCs w:val="20"/>
        </w:rPr>
        <w:t>, B. (2025, November). Enhancement of energy-efficient cleaning equipment. In American Institute of Physics Conference Series (Vol. 3331, No. 1, p. 050007). https://doi.org/10.1063/5.0307149</w:t>
      </w:r>
    </w:p>
    <w:p w14:paraId="4E668C56" w14:textId="19BC8A54" w:rsidR="00EC2610" w:rsidRDefault="00EC2610" w:rsidP="00EC2610">
      <w:pPr>
        <w:pStyle w:val="a4"/>
        <w:numPr>
          <w:ilvl w:val="0"/>
          <w:numId w:val="10"/>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EC2610">
        <w:rPr>
          <w:rFonts w:ascii="Times New Roman" w:hAnsi="Times New Roman" w:cs="Times New Roman"/>
          <w:sz w:val="20"/>
          <w:szCs w:val="20"/>
        </w:rPr>
        <w:t>Sultonova</w:t>
      </w:r>
      <w:proofErr w:type="spellEnd"/>
      <w:r w:rsidRPr="00EC2610">
        <w:rPr>
          <w:rFonts w:ascii="Times New Roman" w:hAnsi="Times New Roman" w:cs="Times New Roman"/>
          <w:sz w:val="20"/>
          <w:szCs w:val="20"/>
        </w:rPr>
        <w:t xml:space="preserve">, F., </w:t>
      </w:r>
      <w:proofErr w:type="spellStart"/>
      <w:r w:rsidRPr="00EC2610">
        <w:rPr>
          <w:rFonts w:ascii="Times New Roman" w:hAnsi="Times New Roman" w:cs="Times New Roman"/>
          <w:sz w:val="20"/>
          <w:szCs w:val="20"/>
        </w:rPr>
        <w:t>Toshbekov</w:t>
      </w:r>
      <w:proofErr w:type="spellEnd"/>
      <w:r w:rsidRPr="00EC2610">
        <w:rPr>
          <w:rFonts w:ascii="Times New Roman" w:hAnsi="Times New Roman" w:cs="Times New Roman"/>
          <w:sz w:val="20"/>
          <w:szCs w:val="20"/>
        </w:rPr>
        <w:t xml:space="preserve">, O., </w:t>
      </w:r>
      <w:proofErr w:type="spellStart"/>
      <w:r w:rsidRPr="00EC2610">
        <w:rPr>
          <w:rFonts w:ascii="Times New Roman" w:hAnsi="Times New Roman" w:cs="Times New Roman"/>
          <w:sz w:val="20"/>
          <w:szCs w:val="20"/>
        </w:rPr>
        <w:t>Urozov</w:t>
      </w:r>
      <w:proofErr w:type="spellEnd"/>
      <w:r w:rsidRPr="00EC2610">
        <w:rPr>
          <w:rFonts w:ascii="Times New Roman" w:hAnsi="Times New Roman" w:cs="Times New Roman"/>
          <w:sz w:val="20"/>
          <w:szCs w:val="20"/>
        </w:rPr>
        <w:t xml:space="preserve">, M., </w:t>
      </w:r>
      <w:proofErr w:type="spellStart"/>
      <w:r w:rsidRPr="00EC2610">
        <w:rPr>
          <w:rFonts w:ascii="Times New Roman" w:hAnsi="Times New Roman" w:cs="Times New Roman"/>
          <w:sz w:val="20"/>
          <w:szCs w:val="20"/>
        </w:rPr>
        <w:t>Boymurova</w:t>
      </w:r>
      <w:proofErr w:type="spellEnd"/>
      <w:r w:rsidRPr="00EC2610">
        <w:rPr>
          <w:rFonts w:ascii="Times New Roman" w:hAnsi="Times New Roman" w:cs="Times New Roman"/>
          <w:sz w:val="20"/>
          <w:szCs w:val="20"/>
        </w:rPr>
        <w:t xml:space="preserve">, N., </w:t>
      </w:r>
      <w:proofErr w:type="spellStart"/>
      <w:r w:rsidRPr="00EC2610">
        <w:rPr>
          <w:rFonts w:ascii="Times New Roman" w:hAnsi="Times New Roman" w:cs="Times New Roman"/>
          <w:sz w:val="20"/>
          <w:szCs w:val="20"/>
        </w:rPr>
        <w:t>Mustanova</w:t>
      </w:r>
      <w:proofErr w:type="spellEnd"/>
      <w:r w:rsidRPr="00EC2610">
        <w:rPr>
          <w:rFonts w:ascii="Times New Roman" w:hAnsi="Times New Roman" w:cs="Times New Roman"/>
          <w:sz w:val="20"/>
          <w:szCs w:val="20"/>
        </w:rPr>
        <w:t xml:space="preserve">, Z., &amp; </w:t>
      </w:r>
      <w:proofErr w:type="spellStart"/>
      <w:r w:rsidRPr="00EC2610">
        <w:rPr>
          <w:rFonts w:ascii="Times New Roman" w:hAnsi="Times New Roman" w:cs="Times New Roman"/>
          <w:sz w:val="20"/>
          <w:szCs w:val="20"/>
        </w:rPr>
        <w:t>Boltaeva</w:t>
      </w:r>
      <w:proofErr w:type="spellEnd"/>
      <w:r w:rsidRPr="00EC2610">
        <w:rPr>
          <w:rFonts w:ascii="Times New Roman" w:hAnsi="Times New Roman" w:cs="Times New Roman"/>
          <w:sz w:val="20"/>
          <w:szCs w:val="20"/>
        </w:rPr>
        <w:t xml:space="preserve">, I. (2025, November). Enhancing and evaluating the characteristics of specialized </w:t>
      </w:r>
      <w:proofErr w:type="spellStart"/>
      <w:r w:rsidRPr="00EC2610">
        <w:rPr>
          <w:rFonts w:ascii="Times New Roman" w:hAnsi="Times New Roman" w:cs="Times New Roman"/>
          <w:sz w:val="20"/>
          <w:szCs w:val="20"/>
        </w:rPr>
        <w:t>workwear</w:t>
      </w:r>
      <w:proofErr w:type="spellEnd"/>
      <w:r w:rsidRPr="00EC2610">
        <w:rPr>
          <w:rFonts w:ascii="Times New Roman" w:hAnsi="Times New Roman" w:cs="Times New Roman"/>
          <w:sz w:val="20"/>
          <w:szCs w:val="20"/>
        </w:rPr>
        <w:t xml:space="preserve"> for employees in the electric power supply sector. In American Institute of Physics Conference Series (Vol. 3331, No. 1, p. 050006).  </w:t>
      </w:r>
      <w:hyperlink r:id="rId14" w:history="1">
        <w:r w:rsidRPr="00596A31">
          <w:rPr>
            <w:rStyle w:val="a6"/>
            <w:rFonts w:ascii="Times New Roman" w:hAnsi="Times New Roman" w:cs="Times New Roman"/>
            <w:sz w:val="20"/>
            <w:szCs w:val="20"/>
          </w:rPr>
          <w:t>https://doi.org/10.1063/5.0306350</w:t>
        </w:r>
      </w:hyperlink>
    </w:p>
    <w:p w14:paraId="71137641" w14:textId="77777777" w:rsidR="00EC2610" w:rsidRPr="00EC2610" w:rsidRDefault="00EC2610" w:rsidP="00EC2610">
      <w:pPr>
        <w:pStyle w:val="a4"/>
        <w:numPr>
          <w:ilvl w:val="0"/>
          <w:numId w:val="10"/>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EC2610">
        <w:rPr>
          <w:rFonts w:ascii="Times New Roman" w:hAnsi="Times New Roman" w:cs="Times New Roman"/>
          <w:sz w:val="20"/>
          <w:szCs w:val="20"/>
        </w:rPr>
        <w:t>Usmanov</w:t>
      </w:r>
      <w:proofErr w:type="spellEnd"/>
      <w:r w:rsidRPr="00EC2610">
        <w:rPr>
          <w:rFonts w:ascii="Times New Roman" w:hAnsi="Times New Roman" w:cs="Times New Roman"/>
          <w:sz w:val="20"/>
          <w:szCs w:val="20"/>
        </w:rPr>
        <w:t xml:space="preserve">, E., </w:t>
      </w:r>
      <w:proofErr w:type="spellStart"/>
      <w:r w:rsidRPr="00EC2610">
        <w:rPr>
          <w:rFonts w:ascii="Times New Roman" w:hAnsi="Times New Roman" w:cs="Times New Roman"/>
          <w:sz w:val="20"/>
          <w:szCs w:val="20"/>
        </w:rPr>
        <w:t>Kholikhmatov</w:t>
      </w:r>
      <w:proofErr w:type="spellEnd"/>
      <w:r w:rsidRPr="00EC2610">
        <w:rPr>
          <w:rFonts w:ascii="Times New Roman" w:hAnsi="Times New Roman" w:cs="Times New Roman"/>
          <w:sz w:val="20"/>
          <w:szCs w:val="20"/>
        </w:rPr>
        <w:t xml:space="preserve">, B., </w:t>
      </w:r>
      <w:proofErr w:type="spellStart"/>
      <w:r w:rsidRPr="00EC2610">
        <w:rPr>
          <w:rFonts w:ascii="Times New Roman" w:hAnsi="Times New Roman" w:cs="Times New Roman"/>
          <w:sz w:val="20"/>
          <w:szCs w:val="20"/>
        </w:rPr>
        <w:t>Rikhsitillaev</w:t>
      </w:r>
      <w:proofErr w:type="spellEnd"/>
      <w:r w:rsidRPr="00EC2610">
        <w:rPr>
          <w:rFonts w:ascii="Times New Roman" w:hAnsi="Times New Roman" w:cs="Times New Roman"/>
          <w:sz w:val="20"/>
          <w:szCs w:val="20"/>
        </w:rPr>
        <w:t xml:space="preserve">, B., </w:t>
      </w:r>
      <w:proofErr w:type="spellStart"/>
      <w:r w:rsidRPr="00EC2610">
        <w:rPr>
          <w:rFonts w:ascii="Times New Roman" w:hAnsi="Times New Roman" w:cs="Times New Roman"/>
          <w:sz w:val="20"/>
          <w:szCs w:val="20"/>
        </w:rPr>
        <w:t>Nimatov</w:t>
      </w:r>
      <w:proofErr w:type="spellEnd"/>
      <w:r w:rsidRPr="00EC2610">
        <w:rPr>
          <w:rFonts w:ascii="Times New Roman" w:hAnsi="Times New Roman" w:cs="Times New Roman"/>
          <w:sz w:val="20"/>
          <w:szCs w:val="20"/>
        </w:rPr>
        <w:t xml:space="preserve">, K. Device for reducing asymmetry // E3s Web of Conferences 461. 2023. PP, 01052, 1-5. </w:t>
      </w:r>
      <w:hyperlink r:id="rId15" w:history="1">
        <w:r w:rsidRPr="00EC2610">
          <w:rPr>
            <w:rStyle w:val="a6"/>
            <w:rFonts w:ascii="Times New Roman" w:hAnsi="Times New Roman" w:cs="Times New Roman"/>
            <w:sz w:val="20"/>
            <w:szCs w:val="20"/>
          </w:rPr>
          <w:t>https://doi.org/10.1051/e3sconf/202</w:t>
        </w:r>
        <w:r w:rsidRPr="00EC2610">
          <w:rPr>
            <w:rStyle w:val="a6"/>
            <w:rFonts w:ascii="Times New Roman" w:hAnsi="Times New Roman" w:cs="Times New Roman"/>
            <w:sz w:val="20"/>
            <w:szCs w:val="20"/>
          </w:rPr>
          <w:t>3</w:t>
        </w:r>
        <w:r w:rsidRPr="00EC2610">
          <w:rPr>
            <w:rStyle w:val="a6"/>
            <w:rFonts w:ascii="Times New Roman" w:hAnsi="Times New Roman" w:cs="Times New Roman"/>
            <w:sz w:val="20"/>
            <w:szCs w:val="20"/>
          </w:rPr>
          <w:t>46101052</w:t>
        </w:r>
      </w:hyperlink>
      <w:r w:rsidRPr="00EC2610">
        <w:rPr>
          <w:rFonts w:ascii="Times New Roman" w:hAnsi="Times New Roman" w:cs="Times New Roman"/>
          <w:sz w:val="20"/>
          <w:szCs w:val="20"/>
        </w:rPr>
        <w:t xml:space="preserve"> </w:t>
      </w:r>
    </w:p>
    <w:p w14:paraId="12AC8F3B" w14:textId="77777777" w:rsidR="00EC2610" w:rsidRPr="00EC2610" w:rsidRDefault="00EC2610" w:rsidP="00EC2610">
      <w:pPr>
        <w:pStyle w:val="a4"/>
        <w:numPr>
          <w:ilvl w:val="0"/>
          <w:numId w:val="10"/>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EC2610">
        <w:rPr>
          <w:rFonts w:ascii="Times New Roman" w:hAnsi="Times New Roman" w:cs="Times New Roman"/>
          <w:sz w:val="20"/>
          <w:szCs w:val="20"/>
        </w:rPr>
        <w:t>Toshov</w:t>
      </w:r>
      <w:proofErr w:type="spellEnd"/>
      <w:r w:rsidRPr="00EC2610">
        <w:rPr>
          <w:rFonts w:ascii="Times New Roman" w:hAnsi="Times New Roman" w:cs="Times New Roman"/>
          <w:sz w:val="20"/>
          <w:szCs w:val="20"/>
        </w:rPr>
        <w:t xml:space="preserve"> B., </w:t>
      </w:r>
      <w:proofErr w:type="spellStart"/>
      <w:r w:rsidRPr="00EC2610">
        <w:rPr>
          <w:rFonts w:ascii="Times New Roman" w:hAnsi="Times New Roman" w:cs="Times New Roman"/>
          <w:sz w:val="20"/>
          <w:szCs w:val="20"/>
        </w:rPr>
        <w:t>Toshov</w:t>
      </w:r>
      <w:proofErr w:type="spellEnd"/>
      <w:r w:rsidRPr="00EC2610">
        <w:rPr>
          <w:rFonts w:ascii="Times New Roman" w:hAnsi="Times New Roman" w:cs="Times New Roman"/>
          <w:sz w:val="20"/>
          <w:szCs w:val="20"/>
        </w:rPr>
        <w:t xml:space="preserve"> J., </w:t>
      </w:r>
      <w:proofErr w:type="spellStart"/>
      <w:r w:rsidRPr="00EC2610">
        <w:rPr>
          <w:rFonts w:ascii="Times New Roman" w:hAnsi="Times New Roman" w:cs="Times New Roman"/>
          <w:sz w:val="20"/>
          <w:szCs w:val="20"/>
        </w:rPr>
        <w:t>Akhmedova</w:t>
      </w:r>
      <w:proofErr w:type="spellEnd"/>
      <w:r w:rsidRPr="00EC2610">
        <w:rPr>
          <w:rFonts w:ascii="Times New Roman" w:hAnsi="Times New Roman" w:cs="Times New Roman"/>
          <w:sz w:val="20"/>
          <w:szCs w:val="20"/>
        </w:rPr>
        <w:t xml:space="preserve"> L., </w:t>
      </w:r>
      <w:proofErr w:type="spellStart"/>
      <w:r w:rsidRPr="00EC2610">
        <w:rPr>
          <w:rFonts w:ascii="Times New Roman" w:hAnsi="Times New Roman" w:cs="Times New Roman"/>
          <w:sz w:val="20"/>
          <w:szCs w:val="20"/>
        </w:rPr>
        <w:t>Baratov</w:t>
      </w:r>
      <w:proofErr w:type="spellEnd"/>
      <w:r w:rsidRPr="00EC2610">
        <w:rPr>
          <w:rFonts w:ascii="Times New Roman" w:hAnsi="Times New Roman" w:cs="Times New Roman"/>
          <w:sz w:val="20"/>
          <w:szCs w:val="20"/>
        </w:rPr>
        <w:t xml:space="preserve"> B. The new design scheme of drilling rock cutting tools, working in rotation mode pairs. E3S Web of Conferences 383, 04069 (2023) TT21C-2023 https://doi.org/10.1051/e3sconf/202338304069 </w:t>
      </w:r>
    </w:p>
    <w:p w14:paraId="00FF8867" w14:textId="77777777" w:rsidR="00EC2610" w:rsidRPr="00EC2610" w:rsidRDefault="00EC2610" w:rsidP="00EC2610">
      <w:pPr>
        <w:pStyle w:val="a4"/>
        <w:numPr>
          <w:ilvl w:val="0"/>
          <w:numId w:val="10"/>
        </w:numPr>
        <w:tabs>
          <w:tab w:val="left" w:pos="284"/>
          <w:tab w:val="left" w:pos="993"/>
        </w:tabs>
        <w:spacing w:after="0" w:line="240" w:lineRule="auto"/>
        <w:ind w:left="0" w:firstLine="0"/>
        <w:jc w:val="both"/>
        <w:rPr>
          <w:rFonts w:ascii="Times New Roman" w:hAnsi="Times New Roman" w:cs="Times New Roman"/>
          <w:sz w:val="20"/>
          <w:szCs w:val="20"/>
        </w:rPr>
      </w:pPr>
      <w:r w:rsidRPr="00EC2610">
        <w:rPr>
          <w:rFonts w:ascii="Times New Roman" w:hAnsi="Times New Roman" w:cs="Times New Roman"/>
          <w:sz w:val="20"/>
          <w:szCs w:val="20"/>
        </w:rPr>
        <w:t xml:space="preserve">J.B. </w:t>
      </w:r>
      <w:proofErr w:type="spellStart"/>
      <w:r w:rsidRPr="00EC2610">
        <w:rPr>
          <w:rFonts w:ascii="Times New Roman" w:hAnsi="Times New Roman" w:cs="Times New Roman"/>
          <w:sz w:val="20"/>
          <w:szCs w:val="20"/>
        </w:rPr>
        <w:t>Toshev</w:t>
      </w:r>
      <w:proofErr w:type="spellEnd"/>
      <w:r w:rsidRPr="00EC2610">
        <w:rPr>
          <w:rFonts w:ascii="Times New Roman" w:hAnsi="Times New Roman" w:cs="Times New Roman"/>
          <w:sz w:val="20"/>
          <w:szCs w:val="20"/>
        </w:rPr>
        <w:t xml:space="preserve">, M.B. </w:t>
      </w:r>
      <w:proofErr w:type="spellStart"/>
      <w:r w:rsidRPr="00EC2610">
        <w:rPr>
          <w:rFonts w:ascii="Times New Roman" w:hAnsi="Times New Roman" w:cs="Times New Roman"/>
          <w:sz w:val="20"/>
          <w:szCs w:val="20"/>
        </w:rPr>
        <w:t>Norkulov</w:t>
      </w:r>
      <w:proofErr w:type="spellEnd"/>
      <w:r w:rsidRPr="00EC2610">
        <w:rPr>
          <w:rFonts w:ascii="Times New Roman" w:hAnsi="Times New Roman" w:cs="Times New Roman"/>
          <w:sz w:val="20"/>
          <w:szCs w:val="20"/>
        </w:rPr>
        <w:t xml:space="preserve">, A.A. </w:t>
      </w:r>
      <w:proofErr w:type="spellStart"/>
      <w:r w:rsidRPr="00EC2610">
        <w:rPr>
          <w:rFonts w:ascii="Times New Roman" w:hAnsi="Times New Roman" w:cs="Times New Roman"/>
          <w:sz w:val="20"/>
          <w:szCs w:val="20"/>
        </w:rPr>
        <w:t>Urazimbetova</w:t>
      </w:r>
      <w:proofErr w:type="spellEnd"/>
      <w:r w:rsidRPr="00EC2610">
        <w:rPr>
          <w:rFonts w:ascii="Times New Roman" w:hAnsi="Times New Roman" w:cs="Times New Roman"/>
          <w:sz w:val="20"/>
          <w:szCs w:val="20"/>
        </w:rPr>
        <w:t xml:space="preserve"> and L.G. </w:t>
      </w:r>
      <w:proofErr w:type="spellStart"/>
      <w:r w:rsidRPr="00EC2610">
        <w:rPr>
          <w:rFonts w:ascii="Times New Roman" w:hAnsi="Times New Roman" w:cs="Times New Roman"/>
          <w:sz w:val="20"/>
          <w:szCs w:val="20"/>
        </w:rPr>
        <w:t>Toshniyozov</w:t>
      </w:r>
      <w:proofErr w:type="spellEnd"/>
      <w:r w:rsidRPr="00EC2610">
        <w:rPr>
          <w:rFonts w:ascii="Times New Roman" w:hAnsi="Times New Roman" w:cs="Times New Roman"/>
          <w:sz w:val="20"/>
          <w:szCs w:val="20"/>
        </w:rPr>
        <w:t xml:space="preserve">. Optimization of scheme of placing cutting structures on the cone drill bit. E3S Web of Conf., Volume 402, 10039 (2023), International Scientific Siberian Transport Forum - </w:t>
      </w:r>
      <w:proofErr w:type="spellStart"/>
      <w:r w:rsidRPr="00EC2610">
        <w:rPr>
          <w:rFonts w:ascii="Times New Roman" w:hAnsi="Times New Roman" w:cs="Times New Roman"/>
          <w:sz w:val="20"/>
          <w:szCs w:val="20"/>
        </w:rPr>
        <w:t>TransSiberia</w:t>
      </w:r>
      <w:proofErr w:type="spellEnd"/>
      <w:r w:rsidRPr="00EC2610">
        <w:rPr>
          <w:rFonts w:ascii="Times New Roman" w:hAnsi="Times New Roman" w:cs="Times New Roman"/>
          <w:sz w:val="20"/>
          <w:szCs w:val="20"/>
        </w:rPr>
        <w:t xml:space="preserve"> 2023, https://doi.org/10.1051/e3sconf/202340210039</w:t>
      </w:r>
    </w:p>
    <w:p w14:paraId="643721FC" w14:textId="41FED1A3" w:rsidR="00EC2610" w:rsidRPr="00EC2610" w:rsidRDefault="00EC2610" w:rsidP="00EC2610">
      <w:pPr>
        <w:pStyle w:val="a4"/>
        <w:numPr>
          <w:ilvl w:val="0"/>
          <w:numId w:val="10"/>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EC2610">
        <w:rPr>
          <w:rFonts w:ascii="Times New Roman" w:hAnsi="Times New Roman" w:cs="Times New Roman"/>
          <w:sz w:val="20"/>
          <w:szCs w:val="20"/>
        </w:rPr>
        <w:t>Toshov</w:t>
      </w:r>
      <w:proofErr w:type="spellEnd"/>
      <w:r w:rsidRPr="00EC2610">
        <w:rPr>
          <w:rFonts w:ascii="Times New Roman" w:hAnsi="Times New Roman" w:cs="Times New Roman"/>
          <w:sz w:val="20"/>
          <w:szCs w:val="20"/>
        </w:rPr>
        <w:t xml:space="preserve"> J., </w:t>
      </w:r>
      <w:proofErr w:type="spellStart"/>
      <w:r w:rsidRPr="00EC2610">
        <w:rPr>
          <w:rFonts w:ascii="Times New Roman" w:hAnsi="Times New Roman" w:cs="Times New Roman"/>
          <w:sz w:val="20"/>
          <w:szCs w:val="20"/>
        </w:rPr>
        <w:t>Baratov</w:t>
      </w:r>
      <w:proofErr w:type="spellEnd"/>
      <w:r w:rsidRPr="00EC2610">
        <w:rPr>
          <w:rFonts w:ascii="Times New Roman" w:hAnsi="Times New Roman" w:cs="Times New Roman"/>
          <w:sz w:val="20"/>
          <w:szCs w:val="20"/>
        </w:rPr>
        <w:t xml:space="preserve"> B., </w:t>
      </w:r>
      <w:proofErr w:type="spellStart"/>
      <w:r w:rsidRPr="00EC2610">
        <w:rPr>
          <w:rFonts w:ascii="Times New Roman" w:hAnsi="Times New Roman" w:cs="Times New Roman"/>
          <w:sz w:val="20"/>
          <w:szCs w:val="20"/>
        </w:rPr>
        <w:t>Sherov</w:t>
      </w:r>
      <w:proofErr w:type="spellEnd"/>
      <w:r w:rsidRPr="00EC2610">
        <w:rPr>
          <w:rFonts w:ascii="Times New Roman" w:hAnsi="Times New Roman" w:cs="Times New Roman"/>
          <w:sz w:val="20"/>
          <w:szCs w:val="20"/>
        </w:rPr>
        <w:t xml:space="preserve"> K., </w:t>
      </w:r>
      <w:proofErr w:type="spellStart"/>
      <w:r w:rsidRPr="00EC2610">
        <w:rPr>
          <w:rFonts w:ascii="Times New Roman" w:hAnsi="Times New Roman" w:cs="Times New Roman"/>
          <w:sz w:val="20"/>
          <w:szCs w:val="20"/>
        </w:rPr>
        <w:t>Mussayev</w:t>
      </w:r>
      <w:proofErr w:type="spellEnd"/>
      <w:r w:rsidRPr="00EC2610">
        <w:rPr>
          <w:rFonts w:ascii="Times New Roman" w:hAnsi="Times New Roman" w:cs="Times New Roman"/>
          <w:sz w:val="20"/>
          <w:szCs w:val="20"/>
        </w:rPr>
        <w:t xml:space="preserve"> M., </w:t>
      </w:r>
      <w:proofErr w:type="spellStart"/>
      <w:r w:rsidRPr="00EC2610">
        <w:rPr>
          <w:rFonts w:ascii="Times New Roman" w:hAnsi="Times New Roman" w:cs="Times New Roman"/>
          <w:sz w:val="20"/>
          <w:szCs w:val="20"/>
        </w:rPr>
        <w:t>Baymirzaev</w:t>
      </w:r>
      <w:proofErr w:type="spellEnd"/>
      <w:r w:rsidRPr="00EC2610">
        <w:rPr>
          <w:rFonts w:ascii="Times New Roman" w:hAnsi="Times New Roman" w:cs="Times New Roman"/>
          <w:sz w:val="20"/>
          <w:szCs w:val="20"/>
        </w:rPr>
        <w:t xml:space="preserve"> B., </w:t>
      </w:r>
      <w:proofErr w:type="spellStart"/>
      <w:r w:rsidRPr="00EC2610">
        <w:rPr>
          <w:rFonts w:ascii="Times New Roman" w:hAnsi="Times New Roman" w:cs="Times New Roman"/>
          <w:sz w:val="20"/>
          <w:szCs w:val="20"/>
        </w:rPr>
        <w:t>Esirkepov</w:t>
      </w:r>
      <w:proofErr w:type="spellEnd"/>
      <w:r w:rsidRPr="00EC2610">
        <w:rPr>
          <w:rFonts w:ascii="Times New Roman" w:hAnsi="Times New Roman" w:cs="Times New Roman"/>
          <w:sz w:val="20"/>
          <w:szCs w:val="20"/>
        </w:rPr>
        <w:t xml:space="preserve"> A., </w:t>
      </w:r>
      <w:proofErr w:type="spellStart"/>
      <w:r w:rsidRPr="00EC2610">
        <w:rPr>
          <w:rFonts w:ascii="Times New Roman" w:hAnsi="Times New Roman" w:cs="Times New Roman"/>
          <w:sz w:val="20"/>
          <w:szCs w:val="20"/>
        </w:rPr>
        <w:t>Ismailov</w:t>
      </w:r>
      <w:proofErr w:type="spellEnd"/>
      <w:r w:rsidRPr="00EC2610">
        <w:rPr>
          <w:rFonts w:ascii="Times New Roman" w:hAnsi="Times New Roman" w:cs="Times New Roman"/>
          <w:sz w:val="20"/>
          <w:szCs w:val="20"/>
        </w:rPr>
        <w:t xml:space="preserve"> G., </w:t>
      </w:r>
      <w:proofErr w:type="spellStart"/>
      <w:r w:rsidRPr="00EC2610">
        <w:rPr>
          <w:rFonts w:ascii="Times New Roman" w:hAnsi="Times New Roman" w:cs="Times New Roman"/>
          <w:sz w:val="20"/>
          <w:szCs w:val="20"/>
        </w:rPr>
        <w:t>Abdugaliyeva</w:t>
      </w:r>
      <w:proofErr w:type="spellEnd"/>
      <w:r w:rsidRPr="00EC2610">
        <w:rPr>
          <w:rFonts w:ascii="Times New Roman" w:hAnsi="Times New Roman" w:cs="Times New Roman"/>
          <w:sz w:val="20"/>
          <w:szCs w:val="20"/>
        </w:rPr>
        <w:t xml:space="preserve"> G., </w:t>
      </w:r>
      <w:proofErr w:type="spellStart"/>
      <w:r w:rsidRPr="00EC2610">
        <w:rPr>
          <w:rFonts w:ascii="Times New Roman" w:hAnsi="Times New Roman" w:cs="Times New Roman"/>
          <w:sz w:val="20"/>
          <w:szCs w:val="20"/>
        </w:rPr>
        <w:t>Burieva</w:t>
      </w:r>
      <w:proofErr w:type="spellEnd"/>
      <w:r w:rsidRPr="00EC2610">
        <w:rPr>
          <w:rFonts w:ascii="Times New Roman" w:hAnsi="Times New Roman" w:cs="Times New Roman"/>
          <w:sz w:val="20"/>
          <w:szCs w:val="20"/>
        </w:rPr>
        <w:t xml:space="preserve"> J. Ways to Optimize the Kinetic Parameters of </w:t>
      </w:r>
      <w:proofErr w:type="spellStart"/>
      <w:r w:rsidRPr="00EC2610">
        <w:rPr>
          <w:rFonts w:ascii="Times New Roman" w:hAnsi="Times New Roman" w:cs="Times New Roman"/>
          <w:sz w:val="20"/>
          <w:szCs w:val="20"/>
        </w:rPr>
        <w:t>Tricone</w:t>
      </w:r>
      <w:proofErr w:type="spellEnd"/>
      <w:r w:rsidRPr="00EC2610">
        <w:rPr>
          <w:rFonts w:ascii="Times New Roman" w:hAnsi="Times New Roman" w:cs="Times New Roman"/>
          <w:sz w:val="20"/>
          <w:szCs w:val="20"/>
        </w:rPr>
        <w:t xml:space="preserve"> Drill Bits. Material and Mechanical Engineering Technology, №1, 2024, 35-45. https://doi.org/10.52209/2706-977X_2024_1_35  </w:t>
      </w:r>
    </w:p>
    <w:sectPr w:rsidR="00EC2610" w:rsidRPr="00EC2610"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2850388C"/>
    <w:multiLevelType w:val="multilevel"/>
    <w:tmpl w:val="0DA28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FE1F9B"/>
    <w:multiLevelType w:val="multilevel"/>
    <w:tmpl w:val="6BA0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226454E"/>
    <w:multiLevelType w:val="hybridMultilevel"/>
    <w:tmpl w:val="1A4886E2"/>
    <w:lvl w:ilvl="0" w:tplc="2C1A32A0">
      <w:start w:val="1"/>
      <w:numFmt w:val="decimal"/>
      <w:lvlText w:val="%1."/>
      <w:lvlJc w:val="left"/>
      <w:pPr>
        <w:ind w:left="1211"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414583E"/>
    <w:multiLevelType w:val="multilevel"/>
    <w:tmpl w:val="3082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C8220D"/>
    <w:multiLevelType w:val="multilevel"/>
    <w:tmpl w:val="29B8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7AFB3C1A"/>
    <w:multiLevelType w:val="multilevel"/>
    <w:tmpl w:val="FA702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9"/>
  </w:num>
  <w:num w:numId="4">
    <w:abstractNumId w:val="5"/>
  </w:num>
  <w:num w:numId="5">
    <w:abstractNumId w:val="3"/>
  </w:num>
  <w:num w:numId="6">
    <w:abstractNumId w:val="8"/>
  </w:num>
  <w:num w:numId="7">
    <w:abstractNumId w:val="4"/>
  </w:num>
  <w:num w:numId="8">
    <w:abstractNumId w:val="2"/>
  </w:num>
  <w:num w:numId="9">
    <w:abstractNumId w:val="7"/>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AC6"/>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0F7F29"/>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D7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07B0F"/>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4C82"/>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3DC9"/>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021"/>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37A"/>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CF9"/>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0EFE"/>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3B8E"/>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373"/>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05EF"/>
    <w:rsid w:val="00642499"/>
    <w:rsid w:val="00642EA1"/>
    <w:rsid w:val="0064308D"/>
    <w:rsid w:val="0064399A"/>
    <w:rsid w:val="00644029"/>
    <w:rsid w:val="00644E3D"/>
    <w:rsid w:val="00644FA9"/>
    <w:rsid w:val="00645D3A"/>
    <w:rsid w:val="00645FD4"/>
    <w:rsid w:val="0064643F"/>
    <w:rsid w:val="00646976"/>
    <w:rsid w:val="00646C69"/>
    <w:rsid w:val="00647067"/>
    <w:rsid w:val="00647F0A"/>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A93"/>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CE5"/>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47BB"/>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77DDC"/>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1A69"/>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52D"/>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A7D0B"/>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5C7"/>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1541"/>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3EE"/>
    <w:rsid w:val="00BB3759"/>
    <w:rsid w:val="00BB3DA7"/>
    <w:rsid w:val="00BB4F5E"/>
    <w:rsid w:val="00BB506B"/>
    <w:rsid w:val="00BB5974"/>
    <w:rsid w:val="00BB61D1"/>
    <w:rsid w:val="00BB77CA"/>
    <w:rsid w:val="00BC0CE8"/>
    <w:rsid w:val="00BC1687"/>
    <w:rsid w:val="00BC2373"/>
    <w:rsid w:val="00BC2709"/>
    <w:rsid w:val="00BC3876"/>
    <w:rsid w:val="00BC3E9A"/>
    <w:rsid w:val="00BC4CC4"/>
    <w:rsid w:val="00BC4E04"/>
    <w:rsid w:val="00BC4E3B"/>
    <w:rsid w:val="00BC5762"/>
    <w:rsid w:val="00BC594E"/>
    <w:rsid w:val="00BC5BF0"/>
    <w:rsid w:val="00BC5E9C"/>
    <w:rsid w:val="00BC6D8A"/>
    <w:rsid w:val="00BC6FB3"/>
    <w:rsid w:val="00BC78B9"/>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3DCE"/>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610"/>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36A9"/>
    <w:rsid w:val="00F2467B"/>
    <w:rsid w:val="00F24911"/>
    <w:rsid w:val="00F25E20"/>
    <w:rsid w:val="00F25EEF"/>
    <w:rsid w:val="00F267A3"/>
    <w:rsid w:val="00F26914"/>
    <w:rsid w:val="00F3051B"/>
    <w:rsid w:val="00F30B2C"/>
    <w:rsid w:val="00F30EA0"/>
    <w:rsid w:val="00F3104F"/>
    <w:rsid w:val="00F318FA"/>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9A7D0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Абзац списка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UnresolvedMention">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Абзац списка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styleId="a7">
    <w:name w:val="Placeholder Text"/>
    <w:basedOn w:val="a0"/>
    <w:uiPriority w:val="99"/>
    <w:semiHidden/>
    <w:rsid w:val="00F318FA"/>
    <w:rPr>
      <w:color w:val="808080"/>
    </w:rPr>
  </w:style>
  <w:style w:type="character" w:customStyle="1" w:styleId="40">
    <w:name w:val="Заголовок 4 Знак"/>
    <w:basedOn w:val="a0"/>
    <w:link w:val="4"/>
    <w:uiPriority w:val="9"/>
    <w:semiHidden/>
    <w:rsid w:val="009A7D0B"/>
    <w:rPr>
      <w:rFonts w:asciiTheme="majorHAnsi" w:eastAsiaTheme="majorEastAsia" w:hAnsiTheme="majorHAnsi" w:cstheme="majorBidi"/>
      <w:i/>
      <w:iCs/>
      <w:color w:val="2E74B5" w:themeColor="accent1" w:themeShade="BF"/>
    </w:rPr>
  </w:style>
  <w:style w:type="character" w:styleId="a8">
    <w:name w:val="Strong"/>
    <w:basedOn w:val="a0"/>
    <w:uiPriority w:val="22"/>
    <w:qFormat/>
    <w:rsid w:val="00EC2610"/>
    <w:rPr>
      <w:b/>
      <w:bCs/>
    </w:rPr>
  </w:style>
  <w:style w:type="character" w:styleId="a9">
    <w:name w:val="Emphasis"/>
    <w:basedOn w:val="a0"/>
    <w:uiPriority w:val="20"/>
    <w:qFormat/>
    <w:rsid w:val="00EC2610"/>
    <w:rPr>
      <w:i/>
      <w:iCs/>
    </w:rPr>
  </w:style>
  <w:style w:type="character" w:styleId="aa">
    <w:name w:val="FollowedHyperlink"/>
    <w:basedOn w:val="a0"/>
    <w:uiPriority w:val="99"/>
    <w:semiHidden/>
    <w:unhideWhenUsed/>
    <w:rsid w:val="00EC26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297225838">
      <w:bodyDiv w:val="1"/>
      <w:marLeft w:val="0"/>
      <w:marRight w:val="0"/>
      <w:marTop w:val="0"/>
      <w:marBottom w:val="0"/>
      <w:divBdr>
        <w:top w:val="none" w:sz="0" w:space="0" w:color="auto"/>
        <w:left w:val="none" w:sz="0" w:space="0" w:color="auto"/>
        <w:bottom w:val="none" w:sz="0" w:space="0" w:color="auto"/>
        <w:right w:val="none" w:sz="0" w:space="0" w:color="auto"/>
      </w:divBdr>
    </w:div>
    <w:div w:id="374500981">
      <w:bodyDiv w:val="1"/>
      <w:marLeft w:val="0"/>
      <w:marRight w:val="0"/>
      <w:marTop w:val="0"/>
      <w:marBottom w:val="0"/>
      <w:divBdr>
        <w:top w:val="none" w:sz="0" w:space="0" w:color="auto"/>
        <w:left w:val="none" w:sz="0" w:space="0" w:color="auto"/>
        <w:bottom w:val="none" w:sz="0" w:space="0" w:color="auto"/>
        <w:right w:val="none" w:sz="0" w:space="0" w:color="auto"/>
      </w:divBdr>
    </w:div>
    <w:div w:id="415136205">
      <w:bodyDiv w:val="1"/>
      <w:marLeft w:val="0"/>
      <w:marRight w:val="0"/>
      <w:marTop w:val="0"/>
      <w:marBottom w:val="0"/>
      <w:divBdr>
        <w:top w:val="none" w:sz="0" w:space="0" w:color="auto"/>
        <w:left w:val="none" w:sz="0" w:space="0" w:color="auto"/>
        <w:bottom w:val="none" w:sz="0" w:space="0" w:color="auto"/>
        <w:right w:val="none" w:sz="0" w:space="0" w:color="auto"/>
      </w:divBdr>
    </w:div>
    <w:div w:id="524446446">
      <w:bodyDiv w:val="1"/>
      <w:marLeft w:val="0"/>
      <w:marRight w:val="0"/>
      <w:marTop w:val="0"/>
      <w:marBottom w:val="0"/>
      <w:divBdr>
        <w:top w:val="none" w:sz="0" w:space="0" w:color="auto"/>
        <w:left w:val="none" w:sz="0" w:space="0" w:color="auto"/>
        <w:bottom w:val="none" w:sz="0" w:space="0" w:color="auto"/>
        <w:right w:val="none" w:sz="0" w:space="0" w:color="auto"/>
      </w:divBdr>
    </w:div>
    <w:div w:id="997465003">
      <w:bodyDiv w:val="1"/>
      <w:marLeft w:val="0"/>
      <w:marRight w:val="0"/>
      <w:marTop w:val="0"/>
      <w:marBottom w:val="0"/>
      <w:divBdr>
        <w:top w:val="none" w:sz="0" w:space="0" w:color="auto"/>
        <w:left w:val="none" w:sz="0" w:space="0" w:color="auto"/>
        <w:bottom w:val="none" w:sz="0" w:space="0" w:color="auto"/>
        <w:right w:val="none" w:sz="0" w:space="0" w:color="auto"/>
      </w:divBdr>
    </w:div>
    <w:div w:id="1025131731">
      <w:bodyDiv w:val="1"/>
      <w:marLeft w:val="0"/>
      <w:marRight w:val="0"/>
      <w:marTop w:val="0"/>
      <w:marBottom w:val="0"/>
      <w:divBdr>
        <w:top w:val="none" w:sz="0" w:space="0" w:color="auto"/>
        <w:left w:val="none" w:sz="0" w:space="0" w:color="auto"/>
        <w:bottom w:val="none" w:sz="0" w:space="0" w:color="auto"/>
        <w:right w:val="none" w:sz="0" w:space="0" w:color="auto"/>
      </w:divBdr>
    </w:div>
    <w:div w:id="1212304952">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455368774">
      <w:bodyDiv w:val="1"/>
      <w:marLeft w:val="0"/>
      <w:marRight w:val="0"/>
      <w:marTop w:val="0"/>
      <w:marBottom w:val="0"/>
      <w:divBdr>
        <w:top w:val="none" w:sz="0" w:space="0" w:color="auto"/>
        <w:left w:val="none" w:sz="0" w:space="0" w:color="auto"/>
        <w:bottom w:val="none" w:sz="0" w:space="0" w:color="auto"/>
        <w:right w:val="none" w:sz="0" w:space="0" w:color="auto"/>
      </w:divBdr>
    </w:div>
    <w:div w:id="1502547353">
      <w:bodyDiv w:val="1"/>
      <w:marLeft w:val="0"/>
      <w:marRight w:val="0"/>
      <w:marTop w:val="0"/>
      <w:marBottom w:val="0"/>
      <w:divBdr>
        <w:top w:val="none" w:sz="0" w:space="0" w:color="auto"/>
        <w:left w:val="none" w:sz="0" w:space="0" w:color="auto"/>
        <w:bottom w:val="none" w:sz="0" w:space="0" w:color="auto"/>
        <w:right w:val="none" w:sz="0" w:space="0" w:color="auto"/>
      </w:divBdr>
      <w:divsChild>
        <w:div w:id="661735044">
          <w:marLeft w:val="0"/>
          <w:marRight w:val="0"/>
          <w:marTop w:val="0"/>
          <w:marBottom w:val="0"/>
          <w:divBdr>
            <w:top w:val="none" w:sz="0" w:space="0" w:color="auto"/>
            <w:left w:val="none" w:sz="0" w:space="0" w:color="auto"/>
            <w:bottom w:val="none" w:sz="0" w:space="0" w:color="auto"/>
            <w:right w:val="none" w:sz="0" w:space="0" w:color="auto"/>
          </w:divBdr>
          <w:divsChild>
            <w:div w:id="780733155">
              <w:marLeft w:val="0"/>
              <w:marRight w:val="0"/>
              <w:marTop w:val="0"/>
              <w:marBottom w:val="0"/>
              <w:divBdr>
                <w:top w:val="none" w:sz="0" w:space="0" w:color="auto"/>
                <w:left w:val="none" w:sz="0" w:space="0" w:color="auto"/>
                <w:bottom w:val="none" w:sz="0" w:space="0" w:color="auto"/>
                <w:right w:val="none" w:sz="0" w:space="0" w:color="auto"/>
              </w:divBdr>
              <w:divsChild>
                <w:div w:id="818569274">
                  <w:marLeft w:val="0"/>
                  <w:marRight w:val="0"/>
                  <w:marTop w:val="0"/>
                  <w:marBottom w:val="0"/>
                  <w:divBdr>
                    <w:top w:val="none" w:sz="0" w:space="0" w:color="auto"/>
                    <w:left w:val="none" w:sz="0" w:space="0" w:color="auto"/>
                    <w:bottom w:val="none" w:sz="0" w:space="0" w:color="auto"/>
                    <w:right w:val="none" w:sz="0" w:space="0" w:color="auto"/>
                  </w:divBdr>
                  <w:divsChild>
                    <w:div w:id="403719167">
                      <w:marLeft w:val="0"/>
                      <w:marRight w:val="0"/>
                      <w:marTop w:val="0"/>
                      <w:marBottom w:val="0"/>
                      <w:divBdr>
                        <w:top w:val="none" w:sz="0" w:space="0" w:color="auto"/>
                        <w:left w:val="none" w:sz="0" w:space="0" w:color="auto"/>
                        <w:bottom w:val="none" w:sz="0" w:space="0" w:color="auto"/>
                        <w:right w:val="none" w:sz="0" w:space="0" w:color="auto"/>
                      </w:divBdr>
                      <w:divsChild>
                        <w:div w:id="462116490">
                          <w:marLeft w:val="0"/>
                          <w:marRight w:val="0"/>
                          <w:marTop w:val="0"/>
                          <w:marBottom w:val="0"/>
                          <w:divBdr>
                            <w:top w:val="none" w:sz="0" w:space="0" w:color="auto"/>
                            <w:left w:val="none" w:sz="0" w:space="0" w:color="auto"/>
                            <w:bottom w:val="none" w:sz="0" w:space="0" w:color="auto"/>
                            <w:right w:val="none" w:sz="0" w:space="0" w:color="auto"/>
                          </w:divBdr>
                          <w:divsChild>
                            <w:div w:id="15072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224193">
      <w:bodyDiv w:val="1"/>
      <w:marLeft w:val="0"/>
      <w:marRight w:val="0"/>
      <w:marTop w:val="0"/>
      <w:marBottom w:val="0"/>
      <w:divBdr>
        <w:top w:val="none" w:sz="0" w:space="0" w:color="auto"/>
        <w:left w:val="none" w:sz="0" w:space="0" w:color="auto"/>
        <w:bottom w:val="none" w:sz="0" w:space="0" w:color="auto"/>
        <w:right w:val="none" w:sz="0" w:space="0" w:color="auto"/>
      </w:divBdr>
    </w:div>
    <w:div w:id="1560631731">
      <w:bodyDiv w:val="1"/>
      <w:marLeft w:val="0"/>
      <w:marRight w:val="0"/>
      <w:marTop w:val="0"/>
      <w:marBottom w:val="0"/>
      <w:divBdr>
        <w:top w:val="none" w:sz="0" w:space="0" w:color="auto"/>
        <w:left w:val="none" w:sz="0" w:space="0" w:color="auto"/>
        <w:bottom w:val="none" w:sz="0" w:space="0" w:color="auto"/>
        <w:right w:val="none" w:sz="0" w:space="0" w:color="auto"/>
      </w:divBdr>
    </w:div>
    <w:div w:id="1578125932">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892230463">
      <w:bodyDiv w:val="1"/>
      <w:marLeft w:val="0"/>
      <w:marRight w:val="0"/>
      <w:marTop w:val="0"/>
      <w:marBottom w:val="0"/>
      <w:divBdr>
        <w:top w:val="none" w:sz="0" w:space="0" w:color="auto"/>
        <w:left w:val="none" w:sz="0" w:space="0" w:color="auto"/>
        <w:bottom w:val="none" w:sz="0" w:space="0" w:color="auto"/>
        <w:right w:val="none" w:sz="0" w:space="0" w:color="auto"/>
      </w:divBdr>
    </w:div>
    <w:div w:id="2022733878">
      <w:bodyDiv w:val="1"/>
      <w:marLeft w:val="0"/>
      <w:marRight w:val="0"/>
      <w:marTop w:val="0"/>
      <w:marBottom w:val="0"/>
      <w:divBdr>
        <w:top w:val="none" w:sz="0" w:space="0" w:color="auto"/>
        <w:left w:val="none" w:sz="0" w:space="0" w:color="auto"/>
        <w:bottom w:val="none" w:sz="0" w:space="0" w:color="auto"/>
        <w:right w:val="none" w:sz="0" w:space="0" w:color="auto"/>
      </w:divBdr>
      <w:divsChild>
        <w:div w:id="937328492">
          <w:marLeft w:val="0"/>
          <w:marRight w:val="0"/>
          <w:marTop w:val="0"/>
          <w:marBottom w:val="0"/>
          <w:divBdr>
            <w:top w:val="none" w:sz="0" w:space="0" w:color="auto"/>
            <w:left w:val="none" w:sz="0" w:space="0" w:color="auto"/>
            <w:bottom w:val="none" w:sz="0" w:space="0" w:color="auto"/>
            <w:right w:val="none" w:sz="0" w:space="0" w:color="auto"/>
          </w:divBdr>
          <w:divsChild>
            <w:div w:id="525752524">
              <w:marLeft w:val="0"/>
              <w:marRight w:val="0"/>
              <w:marTop w:val="0"/>
              <w:marBottom w:val="0"/>
              <w:divBdr>
                <w:top w:val="none" w:sz="0" w:space="0" w:color="auto"/>
                <w:left w:val="none" w:sz="0" w:space="0" w:color="auto"/>
                <w:bottom w:val="none" w:sz="0" w:space="0" w:color="auto"/>
                <w:right w:val="none" w:sz="0" w:space="0" w:color="auto"/>
              </w:divBdr>
              <w:divsChild>
                <w:div w:id="805666322">
                  <w:marLeft w:val="0"/>
                  <w:marRight w:val="0"/>
                  <w:marTop w:val="0"/>
                  <w:marBottom w:val="0"/>
                  <w:divBdr>
                    <w:top w:val="none" w:sz="0" w:space="0" w:color="auto"/>
                    <w:left w:val="none" w:sz="0" w:space="0" w:color="auto"/>
                    <w:bottom w:val="none" w:sz="0" w:space="0" w:color="auto"/>
                    <w:right w:val="none" w:sz="0" w:space="0" w:color="auto"/>
                  </w:divBdr>
                  <w:divsChild>
                    <w:div w:id="66995236">
                      <w:marLeft w:val="0"/>
                      <w:marRight w:val="0"/>
                      <w:marTop w:val="0"/>
                      <w:marBottom w:val="0"/>
                      <w:divBdr>
                        <w:top w:val="none" w:sz="0" w:space="0" w:color="auto"/>
                        <w:left w:val="none" w:sz="0" w:space="0" w:color="auto"/>
                        <w:bottom w:val="none" w:sz="0" w:space="0" w:color="auto"/>
                        <w:right w:val="none" w:sz="0" w:space="0" w:color="auto"/>
                      </w:divBdr>
                      <w:divsChild>
                        <w:div w:id="716053296">
                          <w:marLeft w:val="0"/>
                          <w:marRight w:val="0"/>
                          <w:marTop w:val="0"/>
                          <w:marBottom w:val="0"/>
                          <w:divBdr>
                            <w:top w:val="none" w:sz="0" w:space="0" w:color="auto"/>
                            <w:left w:val="none" w:sz="0" w:space="0" w:color="auto"/>
                            <w:bottom w:val="none" w:sz="0" w:space="0" w:color="auto"/>
                            <w:right w:val="none" w:sz="0" w:space="0" w:color="auto"/>
                          </w:divBdr>
                          <w:divsChild>
                            <w:div w:id="61630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776725">
      <w:bodyDiv w:val="1"/>
      <w:marLeft w:val="0"/>
      <w:marRight w:val="0"/>
      <w:marTop w:val="0"/>
      <w:marBottom w:val="0"/>
      <w:divBdr>
        <w:top w:val="none" w:sz="0" w:space="0" w:color="auto"/>
        <w:left w:val="none" w:sz="0" w:space="0" w:color="auto"/>
        <w:bottom w:val="none" w:sz="0" w:space="0" w:color="auto"/>
        <w:right w:val="none" w:sz="0" w:space="0" w:color="auto"/>
      </w:divBdr>
      <w:divsChild>
        <w:div w:id="892354195">
          <w:marLeft w:val="0"/>
          <w:marRight w:val="0"/>
          <w:marTop w:val="0"/>
          <w:marBottom w:val="0"/>
          <w:divBdr>
            <w:top w:val="none" w:sz="0" w:space="0" w:color="auto"/>
            <w:left w:val="none" w:sz="0" w:space="0" w:color="auto"/>
            <w:bottom w:val="none" w:sz="0" w:space="0" w:color="auto"/>
            <w:right w:val="none" w:sz="0" w:space="0" w:color="auto"/>
          </w:divBdr>
          <w:divsChild>
            <w:div w:id="113583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63/5.0305781"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doi.org/10.1063/5.021890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63/5.0305745" TargetMode="External"/><Relationship Id="rId5" Type="http://schemas.openxmlformats.org/officeDocument/2006/relationships/hyperlink" Target="mailto:abdullabekova_94@mail.ru" TargetMode="External"/><Relationship Id="rId15" Type="http://schemas.openxmlformats.org/officeDocument/2006/relationships/hyperlink" Target="https://doi.org/10.1051/e3sconf/202346101052" TargetMode="External"/><Relationship Id="rId10" Type="http://schemas.openxmlformats.org/officeDocument/2006/relationships/image" Target="media/image3.png"/><Relationship Id="rId4" Type="http://schemas.openxmlformats.org/officeDocument/2006/relationships/webSettings" Target="webSettings.xml"/><Relationship Id="rId9" Type="http://schemas.microsoft.com/office/2014/relationships/chartEx" Target="charts/chartEx1.xml"/><Relationship Id="rId14" Type="http://schemas.openxmlformats.org/officeDocument/2006/relationships/hyperlink" Target="https://doi.org/10.1063/5.030635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Ex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960" b="0" i="0" u="none" strike="noStrike" kern="1200" spc="0" baseline="0">
              <a:solidFill>
                <a:srgbClr val="00206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lineChart>
        <c:grouping val="stacked"/>
        <c:varyColors val="0"/>
        <c:ser>
          <c:idx val="0"/>
          <c:order val="0"/>
          <c:tx>
            <c:strRef>
              <c:f>Лист1!$B$1</c:f>
              <c:strCache>
                <c:ptCount val="1"/>
                <c:pt idx="0">
                  <c:v>Health Index (HI)</c:v>
                </c:pt>
              </c:strCache>
            </c:strRef>
          </c:tx>
          <c:spPr>
            <a:ln w="28575" cap="rnd">
              <a:solidFill>
                <a:schemeClr val="accent1"/>
              </a:solidFill>
              <a:round/>
            </a:ln>
            <a:effectLst/>
          </c:spPr>
          <c:marker>
            <c:symbol val="none"/>
          </c:marker>
          <c:dLbls>
            <c:dLbl>
              <c:idx val="0"/>
              <c:layout>
                <c:manualLayout>
                  <c:x val="-6.6705307669874606E-2"/>
                  <c:y val="-9.375E-2"/>
                </c:manualLayout>
              </c:layout>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548-4DCB-946A-77C40CAD93C5}"/>
                </c:ext>
              </c:extLst>
            </c:dLbl>
            <c:dLbl>
              <c:idx val="1"/>
              <c:layout>
                <c:manualLayout>
                  <c:x val="-8.5223826188393123E-2"/>
                  <c:y val="7.2916666666666671E-2"/>
                </c:manualLayout>
              </c:layout>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548-4DCB-946A-77C40CAD93C5}"/>
                </c:ext>
              </c:extLst>
            </c:dLbl>
            <c:dLbl>
              <c:idx val="2"/>
              <c:layout>
                <c:manualLayout>
                  <c:x val="-6.6705307669874633E-2"/>
                  <c:y val="-8.8541666666666671E-2"/>
                </c:manualLayout>
              </c:layout>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548-4DCB-946A-77C40CAD93C5}"/>
                </c:ext>
              </c:extLst>
            </c:dLbl>
            <c:dLbl>
              <c:idx val="3"/>
              <c:layout>
                <c:manualLayout>
                  <c:x val="-3.8927529892096822E-2"/>
                  <c:y val="-7.2916666666666671E-2"/>
                </c:manualLayout>
              </c:layout>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548-4DCB-946A-77C40CAD93C5}"/>
                </c:ext>
              </c:extLst>
            </c:dLbl>
            <c:dLbl>
              <c:idx val="4"/>
              <c:layout>
                <c:manualLayout>
                  <c:x val="-0.1531250607562944"/>
                  <c:y val="5.2083333333333336E-2"/>
                </c:manualLayout>
              </c:layout>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548-4DCB-946A-77C40CAD93C5}"/>
                </c:ext>
              </c:extLst>
            </c:dLbl>
            <c:dLbl>
              <c:idx val="5"/>
              <c:layout>
                <c:manualLayout>
                  <c:x val="-5.435962865752892E-2"/>
                  <c:y val="-5.7291666666666713E-2"/>
                </c:manualLayout>
              </c:layout>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548-4DCB-946A-77C40CAD93C5}"/>
                </c:ext>
              </c:extLst>
            </c:dLbl>
            <c:dLbl>
              <c:idx val="6"/>
              <c:layout>
                <c:manualLayout>
                  <c:x val="-0.10065592495382528"/>
                  <c:y val="3.6458333333333287E-2"/>
                </c:manualLayout>
              </c:layout>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548-4DCB-946A-77C40CAD93C5}"/>
                </c:ext>
              </c:extLst>
            </c:dLbl>
            <c:dLbl>
              <c:idx val="7"/>
              <c:layout>
                <c:manualLayout>
                  <c:x val="-6.0532468163701759E-2"/>
                  <c:y val="-9.8958333333333329E-2"/>
                </c:manualLayout>
              </c:layout>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548-4DCB-946A-77C40CAD93C5}"/>
                </c:ext>
              </c:extLst>
            </c:dLbl>
            <c:dLbl>
              <c:idx val="8"/>
              <c:layout>
                <c:manualLayout>
                  <c:x val="-4.5100369398269662E-2"/>
                  <c:y val="-4.6875E-2"/>
                </c:manualLayout>
              </c:layout>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548-4DCB-946A-77C40CAD93C5}"/>
                </c:ext>
              </c:extLst>
            </c:dLbl>
            <c:dLbl>
              <c:idx val="9"/>
              <c:layout>
                <c:manualLayout>
                  <c:x val="-0.11917444347234374"/>
                  <c:y val="6.25E-2"/>
                </c:manualLayout>
              </c:layout>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548-4DCB-946A-77C40CAD93C5}"/>
                </c:ext>
              </c:extLst>
            </c:dLbl>
            <c:dLbl>
              <c:idx val="10"/>
              <c:layout>
                <c:manualLayout>
                  <c:x val="-7.9050986682220395E-2"/>
                  <c:y val="6.7708333333333329E-2"/>
                </c:manualLayout>
              </c:layout>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548-4DCB-946A-77C40CAD93C5}"/>
                </c:ext>
              </c:extLst>
            </c:dLbl>
            <c:dLbl>
              <c:idx val="11"/>
              <c:layout>
                <c:manualLayout>
                  <c:x val="-5.6215125887042014E-2"/>
                  <c:y val="-0.11458333333333329"/>
                </c:manualLayout>
              </c:layout>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548-4DCB-946A-77C40CAD93C5}"/>
                </c:ext>
              </c:extLst>
            </c:dLbl>
            <c:dLbl>
              <c:idx val="12"/>
              <c:layout>
                <c:manualLayout>
                  <c:x val="-1.027656265189085E-2"/>
                  <c:y val="7.8124999999999903E-2"/>
                </c:manualLayout>
              </c:layout>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548-4DCB-946A-77C40CAD93C5}"/>
                </c:ext>
              </c:extLst>
            </c:dLbl>
            <c:spPr>
              <a:noFill/>
              <a:ln>
                <a:noFill/>
              </a:ln>
              <a:effectLst/>
            </c:spPr>
            <c:txPr>
              <a:bodyPr rot="0" spcFirstLastPara="1" vertOverflow="ellipsis" vert="horz" wrap="square" anchor="ctr" anchorCtr="1"/>
              <a:lstStyle/>
              <a:p>
                <a:pPr>
                  <a:defRPr sz="800" b="0"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1"/>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Лист1!$A$2:$A$14</c:f>
              <c:numCache>
                <c:formatCode>General</c:formatCode>
                <c:ptCount val="13"/>
                <c:pt idx="0">
                  <c:v>0</c:v>
                </c:pt>
                <c:pt idx="1">
                  <c:v>10</c:v>
                </c:pt>
                <c:pt idx="2">
                  <c:v>20</c:v>
                </c:pt>
                <c:pt idx="3">
                  <c:v>30</c:v>
                </c:pt>
                <c:pt idx="4">
                  <c:v>40</c:v>
                </c:pt>
                <c:pt idx="5">
                  <c:v>50</c:v>
                </c:pt>
                <c:pt idx="6">
                  <c:v>60</c:v>
                </c:pt>
                <c:pt idx="7">
                  <c:v>70</c:v>
                </c:pt>
                <c:pt idx="8">
                  <c:v>80</c:v>
                </c:pt>
                <c:pt idx="9">
                  <c:v>90</c:v>
                </c:pt>
                <c:pt idx="10">
                  <c:v>100</c:v>
                </c:pt>
                <c:pt idx="11">
                  <c:v>110</c:v>
                </c:pt>
                <c:pt idx="12">
                  <c:v>120</c:v>
                </c:pt>
              </c:numCache>
            </c:numRef>
          </c:cat>
          <c:val>
            <c:numRef>
              <c:f>Лист1!$B$2:$B$14</c:f>
              <c:numCache>
                <c:formatCode>General</c:formatCode>
                <c:ptCount val="13"/>
                <c:pt idx="0">
                  <c:v>0.91100000000000003</c:v>
                </c:pt>
                <c:pt idx="1">
                  <c:v>0.88100000000000001</c:v>
                </c:pt>
                <c:pt idx="2">
                  <c:v>0.85</c:v>
                </c:pt>
                <c:pt idx="3">
                  <c:v>0.81599999999999995</c:v>
                </c:pt>
                <c:pt idx="4">
                  <c:v>0.78100000000000003</c:v>
                </c:pt>
                <c:pt idx="5">
                  <c:v>0.74099999999999999</c:v>
                </c:pt>
                <c:pt idx="6">
                  <c:v>0.69799999999999995</c:v>
                </c:pt>
                <c:pt idx="7">
                  <c:v>0.66700000000000004</c:v>
                </c:pt>
                <c:pt idx="8">
                  <c:v>0.629</c:v>
                </c:pt>
                <c:pt idx="9">
                  <c:v>0.58299999999999996</c:v>
                </c:pt>
                <c:pt idx="10">
                  <c:v>0.54400000000000004</c:v>
                </c:pt>
                <c:pt idx="11">
                  <c:v>0.51800000000000002</c:v>
                </c:pt>
                <c:pt idx="12">
                  <c:v>0.48699999999999999</c:v>
                </c:pt>
              </c:numCache>
            </c:numRef>
          </c:val>
          <c:smooth val="0"/>
          <c:extLst>
            <c:ext xmlns:c16="http://schemas.microsoft.com/office/drawing/2014/chart" uri="{C3380CC4-5D6E-409C-BE32-E72D297353CC}">
              <c16:uniqueId val="{00000000-378B-4F5D-ABB8-0D5EBBD733D9}"/>
            </c:ext>
          </c:extLst>
        </c:ser>
        <c:dLbls>
          <c:dLblPos val="ctr"/>
          <c:showLegendKey val="0"/>
          <c:showVal val="1"/>
          <c:showCatName val="0"/>
          <c:showSerName val="0"/>
          <c:showPercent val="0"/>
          <c:showBubbleSize val="0"/>
        </c:dLbls>
        <c:smooth val="0"/>
        <c:axId val="1916682944"/>
        <c:axId val="1440488912"/>
      </c:lineChart>
      <c:catAx>
        <c:axId val="1916682944"/>
        <c:scaling>
          <c:orientation val="minMax"/>
        </c:scaling>
        <c:delete val="0"/>
        <c:axPos val="b"/>
        <c:title>
          <c:tx>
            <c:rich>
              <a:bodyPr rot="0" spcFirstLastPara="1" vertOverflow="ellipsis" vert="horz" wrap="square" anchor="ctr" anchorCtr="1"/>
              <a:lstStyle/>
              <a:p>
                <a:pPr>
                  <a:defRPr sz="800" b="0" i="0" u="none" strike="noStrike" kern="1200" baseline="0">
                    <a:solidFill>
                      <a:srgbClr val="002060"/>
                    </a:solidFill>
                    <a:latin typeface="Times New Roman" panose="02020603050405020304" pitchFamily="18" charset="0"/>
                    <a:ea typeface="+mn-ea"/>
                    <a:cs typeface="Times New Roman" panose="02020603050405020304" pitchFamily="18" charset="0"/>
                  </a:defRPr>
                </a:pPr>
                <a:r>
                  <a:rPr lang="en-US"/>
                  <a:t>Teme (hours)</a:t>
                </a:r>
                <a:endParaRPr lang="ru-RU"/>
              </a:p>
            </c:rich>
          </c:tx>
          <c:overlay val="0"/>
          <c:spPr>
            <a:noFill/>
            <a:ln>
              <a:noFill/>
            </a:ln>
            <a:effectLst/>
          </c:spPr>
          <c:txPr>
            <a:bodyPr rot="0" spcFirstLastPara="1" vertOverflow="ellipsis" vert="horz" wrap="square" anchor="ctr" anchorCtr="1"/>
            <a:lstStyle/>
            <a:p>
              <a:pPr>
                <a:defRPr sz="800" b="0"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ru-RU"/>
          </a:p>
        </c:txPr>
        <c:crossAx val="1440488912"/>
        <c:crosses val="autoZero"/>
        <c:auto val="1"/>
        <c:lblAlgn val="ctr"/>
        <c:lblOffset val="100"/>
        <c:noMultiLvlLbl val="0"/>
      </c:catAx>
      <c:valAx>
        <c:axId val="14404889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rgbClr val="002060"/>
                    </a:solidFill>
                    <a:latin typeface="Times New Roman" panose="02020603050405020304" pitchFamily="18" charset="0"/>
                    <a:ea typeface="+mn-ea"/>
                    <a:cs typeface="Times New Roman" panose="02020603050405020304" pitchFamily="18" charset="0"/>
                  </a:defRPr>
                </a:pPr>
                <a:r>
                  <a:rPr lang="en-US"/>
                  <a:t>Health Index</a:t>
                </a:r>
                <a:endParaRPr lang="ru-RU"/>
              </a:p>
            </c:rich>
          </c:tx>
          <c:overlay val="0"/>
          <c:spPr>
            <a:noFill/>
            <a:ln>
              <a:noFill/>
            </a:ln>
            <a:effectLst/>
          </c:spPr>
          <c:txPr>
            <a:bodyPr rot="-5400000" spcFirstLastPara="1" vertOverflow="ellipsis" vert="horz" wrap="square" anchor="ctr" anchorCtr="1"/>
            <a:lstStyle/>
            <a:p>
              <a:pPr>
                <a:defRPr sz="800" b="0"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ru-RU"/>
          </a:p>
        </c:txPr>
        <c:crossAx val="191668294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a:solidFill>
            <a:srgbClr val="00206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Лист1!$A$2:$A$6</cx:f>
        <cx:lvl ptCount="4">
          <cx:pt idx="0">CH4</cx:pt>
          <cx:pt idx="1">C2H2</cx:pt>
          <cx:pt idx="2">C2H4</cx:pt>
          <cx:pt idx="3">CO</cx:pt>
        </cx:lvl>
      </cx:strDim>
      <cx:numDim type="size">
        <cx:f>Лист1!$B$2:$B$6</cx:f>
        <cx:lvl ptCount="5" formatCode="General">
          <cx:pt idx="0">1</cx:pt>
          <cx:pt idx="1">0.84999999999999998</cx:pt>
          <cx:pt idx="2">0.71999999999999997</cx:pt>
          <cx:pt idx="3">0.68000000000000005</cx:pt>
          <cx:pt idx="4">0.59999999999999998</cx:pt>
        </cx:lvl>
      </cx:numDim>
    </cx:data>
    <cx:data id="1">
      <cx:strDim type="cat">
        <cx:f>Лист1!$A$2:$A$6</cx:f>
        <cx:lvl ptCount="4">
          <cx:pt idx="0">CH4</cx:pt>
          <cx:pt idx="1">C2H2</cx:pt>
          <cx:pt idx="2">C2H4</cx:pt>
          <cx:pt idx="3">CO</cx:pt>
        </cx:lvl>
      </cx:strDim>
      <cx:numDim type="size">
        <cx:f>Лист1!$C$2:$C$6</cx:f>
        <cx:lvl ptCount="5" formatCode="General">
          <cx:pt idx="0">0.84999999999999998</cx:pt>
          <cx:pt idx="1">1</cx:pt>
          <cx:pt idx="2">0.78000000000000003</cx:pt>
          <cx:pt idx="3">0.69999999999999996</cx:pt>
          <cx:pt idx="4">0.65000000000000002</cx:pt>
        </cx:lvl>
      </cx:numDim>
    </cx:data>
    <cx:data id="2">
      <cx:strDim type="cat">
        <cx:f>Лист1!$A$2:$A$6</cx:f>
        <cx:lvl ptCount="4">
          <cx:pt idx="0">CH4</cx:pt>
          <cx:pt idx="1">C2H2</cx:pt>
          <cx:pt idx="2">C2H4</cx:pt>
          <cx:pt idx="3">CO</cx:pt>
        </cx:lvl>
      </cx:strDim>
      <cx:numDim type="size">
        <cx:f>Лист1!$D$2:$D$6</cx:f>
        <cx:lvl ptCount="5" formatCode="General">
          <cx:pt idx="0">0.71999999999999997</cx:pt>
          <cx:pt idx="1">0.78000000000000003</cx:pt>
          <cx:pt idx="2">1</cx:pt>
          <cx:pt idx="3">0.75</cx:pt>
          <cx:pt idx="4">0.68000000000000005</cx:pt>
        </cx:lvl>
      </cx:numDim>
    </cx:data>
    <cx:data id="3">
      <cx:strDim type="cat">
        <cx:f>Лист1!$A$2:$A$6</cx:f>
        <cx:lvl ptCount="4">
          <cx:pt idx="0">CH4</cx:pt>
          <cx:pt idx="1">C2H2</cx:pt>
          <cx:pt idx="2">C2H4</cx:pt>
          <cx:pt idx="3">CO</cx:pt>
        </cx:lvl>
      </cx:strDim>
      <cx:numDim type="size">
        <cx:f>Лист1!$E$2:$E$6</cx:f>
        <cx:lvl ptCount="5" formatCode="General">
          <cx:pt idx="0">0.68000000000000005</cx:pt>
          <cx:pt idx="1">0.69999999999999996</cx:pt>
          <cx:pt idx="2">0.75</cx:pt>
          <cx:pt idx="3">1</cx:pt>
          <cx:pt idx="4">0.88</cx:pt>
        </cx:lvl>
      </cx:numDim>
    </cx:data>
    <cx:data id="4">
      <cx:strDim type="cat">
        <cx:f>Лист1!$A$2:$A$6</cx:f>
        <cx:lvl ptCount="4">
          <cx:pt idx="0">CH4</cx:pt>
          <cx:pt idx="1">C2H2</cx:pt>
          <cx:pt idx="2">C2H4</cx:pt>
          <cx:pt idx="3">CO</cx:pt>
        </cx:lvl>
      </cx:strDim>
      <cx:numDim type="size">
        <cx:f>Лист1!$F$2:$F$6</cx:f>
        <cx:lvl ptCount="5" formatCode="General">
          <cx:pt idx="0">0.59999999999999998</cx:pt>
          <cx:pt idx="1">0.65000000000000002</cx:pt>
          <cx:pt idx="2">0.68000000000000005</cx:pt>
          <cx:pt idx="3">0.88</cx:pt>
          <cx:pt idx="4">1</cx:pt>
        </cx:lvl>
      </cx:numDim>
    </cx:data>
  </cx:chartData>
  <cx:chart>
    <cx:title pos="t" align="ctr" overlay="0">
      <cx:tx>
        <cx:txData>
          <cx:v/>
        </cx:txData>
      </cx:tx>
      <cx:txPr>
        <a:bodyPr rot="0" spcFirstLastPara="1" vertOverflow="ellipsis" vert="horz" wrap="square" lIns="38100" tIns="19050" rIns="38100" bIns="19050" anchor="ctr" anchorCtr="1" compatLnSpc="0"/>
        <a:lstStyle/>
        <a:p>
          <a:pPr algn="ctr" rtl="0">
            <a:defRPr sz="1400" b="0" i="0" u="none" strike="noStrike" kern="1200" spc="0" baseline="0">
              <a:solidFill>
                <a:sysClr val="windowText" lastClr="000000">
                  <a:lumMod val="65000"/>
                  <a:lumOff val="35000"/>
                </a:sysClr>
              </a:solidFill>
              <a:latin typeface="Times New Roman" panose="02020603050405020304" pitchFamily="18" charset="0"/>
              <a:ea typeface="Times New Roman" panose="02020603050405020304" pitchFamily="18" charset="0"/>
              <a:cs typeface="Times New Roman" panose="02020603050405020304" pitchFamily="18" charset="0"/>
            </a:defRPr>
          </a:pPr>
          <a:endParaRPr kumimoji="0" lang="ru-RU" sz="1400" b="0" i="0" u="none" strike="noStrike" kern="1200" cap="none" spc="0" normalizeH="0" baseline="0" noProof="0">
            <a:ln>
              <a:noFill/>
            </a:ln>
            <a:solidFill>
              <a:sysClr val="windowText" lastClr="000000">
                <a:lumMod val="65000"/>
                <a:lumOff val="35000"/>
              </a:sysClr>
            </a:solidFill>
            <a:effectLst/>
            <a:uLnTx/>
            <a:uFillTx/>
            <a:latin typeface="Times New Roman" panose="02020603050405020304" pitchFamily="18" charset="0"/>
            <a:cs typeface="Times New Roman" panose="02020603050405020304" pitchFamily="18" charset="0"/>
          </a:endParaRPr>
        </a:p>
      </cx:txPr>
    </cx:title>
    <cx:plotArea>
      <cx:plotAreaRegion>
        <cx:series layoutId="treemap" uniqueId="{02D44A66-726F-4E3A-8EEF-CB1EA1F19C76}" formatIdx="0">
          <cx:tx>
            <cx:txData>
              <cx:f>Лист1!$B$1</cx:f>
              <cx:v>H22</cx:v>
            </cx:txData>
          </cx:tx>
          <cx:dataLabels pos="ctr">
            <cx:txPr>
              <a:bodyPr vertOverflow="overflow" horzOverflow="overflow" wrap="square" lIns="0" tIns="0" rIns="0" bIns="0"/>
              <a:lstStyle/>
              <a:p>
                <a:pPr algn="ctr" rtl="0">
                  <a:defRPr sz="900" b="0" i="0">
                    <a:solidFill>
                      <a:srgbClr val="FFFFFF"/>
                    </a:solidFill>
                    <a:latin typeface="Times New Roman" panose="02020603050405020304" pitchFamily="18" charset="0"/>
                    <a:ea typeface="Times New Roman" panose="02020603050405020304" pitchFamily="18" charset="0"/>
                    <a:cs typeface="Times New Roman" panose="02020603050405020304" pitchFamily="18" charset="0"/>
                  </a:defRPr>
                </a:pPr>
                <a:endParaRPr lang="ru-RU">
                  <a:latin typeface="Times New Roman" panose="02020603050405020304" pitchFamily="18" charset="0"/>
                  <a:cs typeface="Times New Roman" panose="02020603050405020304" pitchFamily="18" charset="0"/>
                </a:endParaRPr>
              </a:p>
            </cx:txPr>
            <cx:visibility seriesName="0" categoryName="1" value="0"/>
          </cx:dataLabels>
          <cx:dataId val="0"/>
          <cx:layoutPr>
            <cx:parentLabelLayout val="overlapping"/>
          </cx:layoutPr>
        </cx:series>
        <cx:series layoutId="treemap" hidden="1" uniqueId="{A1CD5237-8CDD-49B6-B1C0-006D7F85F4A3}" formatIdx="1">
          <cx:tx>
            <cx:txData>
              <cx:f>Лист1!$C$1</cx:f>
              <cx:v>CH4</cx:v>
            </cx:txData>
          </cx:tx>
          <cx:dataLabels pos="ctr">
            <cx:txPr>
              <a:bodyPr vertOverflow="overflow" horzOverflow="overflow" wrap="square" lIns="0" tIns="0" rIns="0" bIns="0"/>
              <a:lstStyle/>
              <a:p>
                <a:pPr algn="ctr" rtl="0">
                  <a:defRPr sz="900" b="0" i="0">
                    <a:solidFill>
                      <a:srgbClr val="FFFFFF"/>
                    </a:solidFill>
                    <a:latin typeface="Times New Roman" panose="02020603050405020304" pitchFamily="18" charset="0"/>
                    <a:ea typeface="Times New Roman" panose="02020603050405020304" pitchFamily="18" charset="0"/>
                    <a:cs typeface="Times New Roman" panose="02020603050405020304" pitchFamily="18" charset="0"/>
                  </a:defRPr>
                </a:pPr>
                <a:endParaRPr lang="ru-RU">
                  <a:latin typeface="Times New Roman" panose="02020603050405020304" pitchFamily="18" charset="0"/>
                  <a:cs typeface="Times New Roman" panose="02020603050405020304" pitchFamily="18" charset="0"/>
                </a:endParaRPr>
              </a:p>
            </cx:txPr>
            <cx:visibility seriesName="0" categoryName="1" value="0"/>
          </cx:dataLabels>
          <cx:dataId val="1"/>
          <cx:layoutPr>
            <cx:parentLabelLayout val="overlapping"/>
          </cx:layoutPr>
        </cx:series>
        <cx:series layoutId="treemap" hidden="1" uniqueId="{B0F927CD-C397-4E10-B1F8-CE17089DA301}" formatIdx="2">
          <cx:tx>
            <cx:txData>
              <cx:f>Лист1!$D$1</cx:f>
              <cx:v>C2H2</cx:v>
            </cx:txData>
          </cx:tx>
          <cx:dataLabels pos="ctr">
            <cx:txPr>
              <a:bodyPr vertOverflow="overflow" horzOverflow="overflow" wrap="square" lIns="0" tIns="0" rIns="0" bIns="0"/>
              <a:lstStyle/>
              <a:p>
                <a:pPr algn="ctr" rtl="0">
                  <a:defRPr sz="900" b="0" i="0">
                    <a:solidFill>
                      <a:srgbClr val="FFFFFF"/>
                    </a:solidFill>
                    <a:latin typeface="Times New Roman" panose="02020603050405020304" pitchFamily="18" charset="0"/>
                    <a:ea typeface="Times New Roman" panose="02020603050405020304" pitchFamily="18" charset="0"/>
                    <a:cs typeface="Times New Roman" panose="02020603050405020304" pitchFamily="18" charset="0"/>
                  </a:defRPr>
                </a:pPr>
                <a:endParaRPr lang="ru-RU">
                  <a:latin typeface="Times New Roman" panose="02020603050405020304" pitchFamily="18" charset="0"/>
                  <a:cs typeface="Times New Roman" panose="02020603050405020304" pitchFamily="18" charset="0"/>
                </a:endParaRPr>
              </a:p>
            </cx:txPr>
            <cx:visibility seriesName="0" categoryName="1" value="0"/>
          </cx:dataLabels>
          <cx:dataId val="2"/>
          <cx:layoutPr>
            <cx:parentLabelLayout val="overlapping"/>
          </cx:layoutPr>
        </cx:series>
        <cx:series layoutId="treemap" hidden="1" uniqueId="{3DE1DEAC-75E8-441D-BDAC-F0D3706487C8}" formatIdx="3">
          <cx:tx>
            <cx:txData>
              <cx:f>Лист1!$E$1</cx:f>
              <cx:v>C2H4</cx:v>
            </cx:txData>
          </cx:tx>
          <cx:dataLabels pos="ctr">
            <cx:txPr>
              <a:bodyPr vertOverflow="overflow" horzOverflow="overflow" wrap="square" lIns="0" tIns="0" rIns="0" bIns="0"/>
              <a:lstStyle/>
              <a:p>
                <a:pPr algn="ctr" rtl="0">
                  <a:defRPr sz="900" b="0" i="0">
                    <a:solidFill>
                      <a:srgbClr val="FFFFFF"/>
                    </a:solidFill>
                    <a:latin typeface="Times New Roman" panose="02020603050405020304" pitchFamily="18" charset="0"/>
                    <a:ea typeface="Times New Roman" panose="02020603050405020304" pitchFamily="18" charset="0"/>
                    <a:cs typeface="Times New Roman" panose="02020603050405020304" pitchFamily="18" charset="0"/>
                  </a:defRPr>
                </a:pPr>
                <a:endParaRPr lang="ru-RU">
                  <a:latin typeface="Times New Roman" panose="02020603050405020304" pitchFamily="18" charset="0"/>
                  <a:cs typeface="Times New Roman" panose="02020603050405020304" pitchFamily="18" charset="0"/>
                </a:endParaRPr>
              </a:p>
            </cx:txPr>
            <cx:visibility seriesName="0" categoryName="1" value="0"/>
          </cx:dataLabels>
          <cx:dataId val="3"/>
          <cx:layoutPr>
            <cx:parentLabelLayout val="overlapping"/>
          </cx:layoutPr>
        </cx:series>
        <cx:series layoutId="treemap" hidden="1" uniqueId="{6E579228-04CE-4B04-9EA0-F7D672EB2C76}" formatIdx="4">
          <cx:tx>
            <cx:txData>
              <cx:f>Лист1!$F$1</cx:f>
              <cx:v>CO</cx:v>
            </cx:txData>
          </cx:tx>
          <cx:dataLabels pos="ctr">
            <cx:txPr>
              <a:bodyPr vertOverflow="overflow" horzOverflow="overflow" wrap="square" lIns="0" tIns="0" rIns="0" bIns="0"/>
              <a:lstStyle/>
              <a:p>
                <a:pPr algn="ctr" rtl="0">
                  <a:defRPr sz="900" b="0" i="0">
                    <a:solidFill>
                      <a:srgbClr val="FFFFFF"/>
                    </a:solidFill>
                    <a:latin typeface="Times New Roman" panose="02020603050405020304" pitchFamily="18" charset="0"/>
                    <a:ea typeface="Times New Roman" panose="02020603050405020304" pitchFamily="18" charset="0"/>
                    <a:cs typeface="Times New Roman" panose="02020603050405020304" pitchFamily="18" charset="0"/>
                  </a:defRPr>
                </a:pPr>
                <a:endParaRPr lang="ru-RU">
                  <a:latin typeface="Times New Roman" panose="02020603050405020304" pitchFamily="18" charset="0"/>
                  <a:cs typeface="Times New Roman" panose="02020603050405020304" pitchFamily="18" charset="0"/>
                </a:endParaRPr>
              </a:p>
            </cx:txPr>
            <cx:visibility seriesName="0" categoryName="1" value="0"/>
          </cx:dataLabels>
          <cx:dataId val="4"/>
          <cx:layoutPr>
            <cx:parentLabelLayout val="overlapping"/>
          </cx:layoutPr>
        </cx:series>
      </cx:plotAreaRegion>
    </cx:plotArea>
    <cx:legend pos="r" align="ctr" overlay="0">
      <cx:txPr>
        <a:bodyPr vertOverflow="overflow" horzOverflow="overflow" wrap="square" lIns="0" tIns="0" rIns="0" bIns="0"/>
        <a:lstStyle/>
        <a:p>
          <a:pPr algn="ctr" rtl="0">
            <a:defRPr sz="900" b="0" i="0">
              <a:solidFill>
                <a:srgbClr val="404040"/>
              </a:solidFill>
              <a:latin typeface="Times New Roman" panose="02020603050405020304" pitchFamily="18" charset="0"/>
              <a:ea typeface="Times New Roman" panose="02020603050405020304" pitchFamily="18" charset="0"/>
              <a:cs typeface="Times New Roman" panose="02020603050405020304" pitchFamily="18" charset="0"/>
            </a:defRPr>
          </a:pPr>
          <a:endParaRPr lang="ru-RU">
            <a:latin typeface="Times New Roman" panose="02020603050405020304" pitchFamily="18" charset="0"/>
            <a:cs typeface="Times New Roman" panose="02020603050405020304" pitchFamily="18" charset="0"/>
          </a:endParaRPr>
        </a:p>
      </cx:txPr>
    </cx:legend>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411">
  <cs:axisTitle>
    <cs:lnRef idx="0"/>
    <cs:fillRef idx="0"/>
    <cs:effectRef idx="0"/>
    <cs:fontRef idx="minor">
      <a:schemeClr val="dk1">
        <a:lumMod val="75000"/>
        <a:lumOff val="25000"/>
      </a:schemeClr>
    </cs:fontRef>
    <cs:spPr>
      <a:solidFill>
        <a:schemeClr val="bg1">
          <a:lumMod val="65000"/>
        </a:schemeClr>
      </a:solidFill>
      <a:ln>
        <a:solidFill>
          <a:schemeClr val="bg1"/>
        </a:solidFill>
      </a:ln>
    </cs:spPr>
    <cs:defRPr sz="9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cs:chartArea>
  <cs:dataLabel>
    <cs:lnRef idx="0"/>
    <cs:fillRef idx="0"/>
    <cs:effectRef idx="0"/>
    <cs:fontRef idx="minor">
      <a:schemeClr val="lt1"/>
    </cs:fontRef>
    <cs:defRPr sz="900"/>
  </cs:dataLabel>
  <cs:dataLabelCallout>
    <cs:lnRef idx="0"/>
    <cs:fillRef idx="0"/>
    <cs:effectRef idx="0"/>
    <cs:fontRef idx="minor">
      <a:schemeClr val="lt1"/>
    </cs:fontRef>
    <cs:spPr>
      <a:solidFill>
        <a:schemeClr val="dk1">
          <a:lumMod val="65000"/>
          <a:lumOff val="35000"/>
          <a:alpha val="75000"/>
        </a:schemeClr>
      </a:solidFill>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ln>
        <a:solidFill>
          <a:schemeClr val="lt1"/>
        </a:solidFill>
      </a:ln>
    </cs:spPr>
  </cs:dataPoint>
  <cs:dataPoint3D>
    <cs:lnRef idx="0"/>
    <cs:fillRef idx="0">
      <cs:styleClr val="auto"/>
    </cs:fillRef>
    <cs:effectRef idx="0"/>
    <cs:fontRef idx="minor">
      <a:schemeClr val="dk1"/>
    </cs:fontRef>
    <cs:spPr>
      <a:solidFill>
        <a:schemeClr val="ph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2857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75000"/>
            <a:lumOff val="25000"/>
          </a:schemeClr>
        </a:solidFill>
      </a:ln>
    </cs:spPr>
    <cs:defRPr sz="9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lumOff val="10000"/>
              </a:schemeClr>
            </a:gs>
            <a:gs pos="0">
              <a:schemeClr val="lt1">
                <a:lumMod val="75000"/>
                <a:alpha val="36000"/>
                <a:lumOff val="10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cs:seriesAxis>
  <cs:seriesLine>
    <cs:lnRef idx="0"/>
    <cs:fillRef idx="0"/>
    <cs:effectRef idx="0"/>
    <cs:fontRef idx="minor">
      <a:schemeClr val="dk1"/>
    </cs:fontRef>
    <cs:spPr>
      <a:ln w="9525" cap="flat">
        <a:solidFill>
          <a:schemeClr val="bg1">
            <a:lumMod val="50000"/>
          </a:schemeClr>
        </a:solidFill>
        <a:round/>
      </a:ln>
    </cs:spPr>
  </cs:seriesLine>
  <cs:title>
    <cs:lnRef idx="0"/>
    <cs:fillRef idx="0"/>
    <cs:effectRef idx="0"/>
    <cs:fontRef idx="minor">
      <a:schemeClr val="dk1">
        <a:lumMod val="75000"/>
        <a:lumOff val="25000"/>
      </a:schemeClr>
    </cs:fontRef>
    <cs:defRPr sz="1800" b="1"/>
  </cs:title>
  <cs:trendline>
    <cs:lnRef idx="0"/>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75000"/>
        <a:lumOff val="25000"/>
      </a:schemeClr>
    </cs:fontRef>
    <cs:defRPr sz="9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defRPr sz="9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4876</Words>
  <Characters>27796</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4</cp:revision>
  <cp:lastPrinted>2023-12-26T18:03:00Z</cp:lastPrinted>
  <dcterms:created xsi:type="dcterms:W3CDTF">2026-01-07T10:09:00Z</dcterms:created>
  <dcterms:modified xsi:type="dcterms:W3CDTF">2026-01-10T06:31:00Z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2b7cc438-91ad-4e35-a314-9adeb564215c</vt:lpwstr>
  </property>
</Properties>
</file>