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7CFAC" w14:textId="7EE3BA03" w:rsidR="005E71AF" w:rsidRPr="005E71AF" w:rsidRDefault="009868FA" w:rsidP="004D79AC">
      <w:pPr>
        <w:pStyle w:val="AuthorName"/>
        <w:spacing w:before="1200" w:after="200"/>
        <w:rPr>
          <w:b/>
          <w:bCs/>
          <w:sz w:val="36"/>
          <w:szCs w:val="36"/>
        </w:rPr>
      </w:pPr>
      <w:r w:rsidRPr="005E71AF">
        <w:rPr>
          <w:b/>
          <w:bCs/>
          <w:sz w:val="36"/>
          <w:szCs w:val="36"/>
        </w:rPr>
        <w:t>Methodology for the formalization of quantitative and qualitative parameters in transformer diagnostics</w:t>
      </w:r>
    </w:p>
    <w:p w14:paraId="1F5E1B4F" w14:textId="6D35DC7E" w:rsidR="00CA398A" w:rsidRPr="004D79AC" w:rsidRDefault="005E71AF" w:rsidP="008745D5">
      <w:pPr>
        <w:pStyle w:val="AuthorName"/>
        <w:spacing w:before="240" w:after="200"/>
        <w:rPr>
          <w:sz w:val="20"/>
          <w:lang w:eastAsia="en-GB"/>
        </w:rPr>
      </w:pPr>
      <w:r w:rsidRPr="005E71AF">
        <w:t>Dilafruz Abdullabekova</w:t>
      </w:r>
      <w:r w:rsidR="004D79AC">
        <w:t xml:space="preserve"> </w:t>
      </w:r>
      <w:r w:rsidR="008745D5">
        <w:rPr>
          <w:szCs w:val="36"/>
          <w:vertAlign w:val="superscript"/>
        </w:rPr>
        <w:t>a)</w:t>
      </w:r>
      <w:r w:rsidR="000C106A" w:rsidRPr="00287E0A">
        <w:t xml:space="preserve">, </w:t>
      </w:r>
      <w:r w:rsidR="0000001C" w:rsidRPr="0000001C">
        <w:t>Dilshod Eshmuradov</w:t>
      </w:r>
      <w:r w:rsidR="000C106A" w:rsidRPr="00287E0A">
        <w:t xml:space="preserve">, </w:t>
      </w:r>
      <w:r w:rsidR="0000001C">
        <w:t>Surayyo Abdullaeva</w:t>
      </w:r>
    </w:p>
    <w:p w14:paraId="071EE664" w14:textId="4658B2B4" w:rsidR="005E71AF" w:rsidRPr="00195505" w:rsidRDefault="00635CCF" w:rsidP="00635CCF">
      <w:pPr>
        <w:pStyle w:val="AuthorAffiliation"/>
        <w:jc w:val="left"/>
      </w:pPr>
      <w:r w:rsidRPr="00635CCF">
        <w:t>Tashkent University of Information Technologies named after Muhammad al-Khwarizmi, Tashkent, Uzbekistan</w:t>
      </w:r>
    </w:p>
    <w:p w14:paraId="1397C91D" w14:textId="251F40A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4D79AC" w:rsidRPr="0097633D">
          <w:rPr>
            <w:rStyle w:val="a6"/>
          </w:rPr>
          <w:t>abdullabekova_94@mail.ru</w:t>
        </w:r>
      </w:hyperlink>
      <w:r w:rsidR="004D79AC">
        <w:t xml:space="preserve"> </w:t>
      </w:r>
    </w:p>
    <w:p w14:paraId="7B5BB405" w14:textId="77777777" w:rsidR="005E71AF" w:rsidRPr="005E71AF" w:rsidRDefault="00E25282" w:rsidP="005E71AF">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E71AF" w:rsidRPr="005E71AF">
        <w:rPr>
          <w:rFonts w:ascii="Times New Roman" w:hAnsi="Times New Roman" w:cs="Times New Roman"/>
          <w:iCs/>
          <w:sz w:val="18"/>
          <w:szCs w:val="18"/>
        </w:rPr>
        <w:t>This study introduces an advanced methodology for the formalization and integration of heterogeneous quantitative and qualitative parameters into a unified Health Index (HI) for power transformers. Unlike conventional approaches that rely primarily on a single diagnostic source, the proposed framework combines multi-source data, including dissolved gas analysis (DGA), thermography, leakage and resistance measurements, and partial discharge monitoring, with expert-driven qualitative assessments such as visual inspection, operational history, and environmental conditions. The methodology employs data normalization, Mamdani-type fuzzy inference, and multi-criteria weighted aggregation to ensure both interpretability and robustness of the results. Validation using benchmark datasets, along with sensitivity analysis of indicator weighting, confirms that the integrated HI provides superior accuracy and earlier detection of abnormal transformer states compared to individual diagnostic methods. The approach enhances reliability-centered maintenance planning and supports informed decision-making in transformer asset management.</w:t>
      </w:r>
    </w:p>
    <w:p w14:paraId="61870707" w14:textId="0816309C" w:rsidR="008A22AB" w:rsidRPr="00287E0A" w:rsidRDefault="00CA398A" w:rsidP="005E71AF">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D7E5109" w14:textId="77777777" w:rsidR="007033DD" w:rsidRPr="007033DD" w:rsidRDefault="007033DD" w:rsidP="007033DD">
      <w:pPr>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Ensuring the reliability of power transformers remains a critical challenge for modern power systems, as unexpected failures can lead to substantial economic losses, reduced system stability, and unplanned outages. To mitigate these risks, reliable monitoring techniques and advanced interpretation of diagnostic data are essential. Conventional diagnostic methods—including dissolved gas analysis (DGA), frequency response analysis (FRA/SFRA), thermography, partial discharge (PD) measurements, and acoustic emission—have been widely applied in practice. Nevertheless, each technique is inherently limited by its sensitivity to specific defect types, environmental influences, and operational conditions. Consequently, relying on a single diagnostic source often results in incomplete or delayed detection of emerging faults.</w:t>
      </w:r>
    </w:p>
    <w:p w14:paraId="41F78B47" w14:textId="29F1B15E" w:rsidR="007033DD" w:rsidRPr="007033DD" w:rsidRDefault="007033DD" w:rsidP="007033DD">
      <w:pPr>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This limitation has motivated a shift toward multi-factor approaches and integrated diagnostic indices. Recent studies and systematic reviews highlight the effectiveness of combining complementary methods and incorporating machine learning (ML) techniques for improved interpretation of DGA data and other condition indicators. At the same time, international standards, such as IEC 60422 and its updates, emphasize the importance of regulated sampling procedures and frequency for transformer oil monitoring, underscoring the need for consistent formalization of quantitative parameters in diagnostic frameworks</w:t>
      </w:r>
      <w:r w:rsidRPr="007033DD">
        <w:rPr>
          <w:rFonts w:ascii="Times New Roman" w:hAnsi="Times New Roman" w:cs="Times New Roman"/>
          <w:sz w:val="20"/>
        </w:rPr>
        <w:t xml:space="preserve"> </w:t>
      </w:r>
      <w:r w:rsidRPr="007033DD">
        <w:rPr>
          <w:rFonts w:ascii="Times New Roman" w:hAnsi="Times New Roman" w:cs="Times New Roman"/>
          <w:color w:val="000000" w:themeColor="text1"/>
          <w:sz w:val="20"/>
        </w:rPr>
        <w:t>[1-5].</w:t>
      </w:r>
    </w:p>
    <w:p w14:paraId="50A707CC" w14:textId="6897FDD5" w:rsidR="007033DD" w:rsidRDefault="007033DD" w:rsidP="007033DD">
      <w:pPr>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Failure statistics collected over decades reveal that the majority of transformer failures are associated with insulation degradation (oil and paper), mechanical endurance limits, tap changer malfunctions, and bushing failures. Although the overall rate of severe failures remains relatively low, their consequences are often critical, reinforcing the importance of early detection and predictive assessment. Despite significant advances, there is still a lack of unified methodologies that can integrate both quantitative measurements and qualitative expert judgments into a single, interpretable, and reliable health indicator. Addressing this research gap forms the core motivation of the present study</w:t>
      </w:r>
      <w:r w:rsidR="004D79AC">
        <w:rPr>
          <w:rFonts w:ascii="Times New Roman" w:hAnsi="Times New Roman" w:cs="Times New Roman"/>
          <w:color w:val="000000" w:themeColor="text1"/>
          <w:sz w:val="20"/>
        </w:rPr>
        <w:t xml:space="preserve"> </w:t>
      </w:r>
      <w:r w:rsidRPr="007033DD">
        <w:rPr>
          <w:rFonts w:ascii="Times New Roman" w:hAnsi="Times New Roman" w:cs="Times New Roman"/>
          <w:color w:val="000000" w:themeColor="text1"/>
          <w:sz w:val="20"/>
        </w:rPr>
        <w:t>[</w:t>
      </w:r>
      <w:r>
        <w:rPr>
          <w:rFonts w:ascii="Times New Roman" w:hAnsi="Times New Roman" w:cs="Times New Roman"/>
          <w:color w:val="000000" w:themeColor="text1"/>
          <w:sz w:val="20"/>
        </w:rPr>
        <w:t>2</w:t>
      </w:r>
      <w:r w:rsidRPr="007033DD">
        <w:rPr>
          <w:rFonts w:ascii="Times New Roman" w:hAnsi="Times New Roman" w:cs="Times New Roman"/>
          <w:color w:val="000000" w:themeColor="text1"/>
          <w:sz w:val="20"/>
        </w:rPr>
        <w:t>].</w:t>
      </w:r>
    </w:p>
    <w:p w14:paraId="5D8B0E40" w14:textId="77777777" w:rsidR="004D79AC" w:rsidRDefault="004D79AC" w:rsidP="007033DD">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p>
    <w:p w14:paraId="37108D7C" w14:textId="382E2696" w:rsidR="007033DD" w:rsidRPr="00287E0A" w:rsidRDefault="007033DD" w:rsidP="007033DD">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32E2F141"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Parameter set and classification: The proposed methodology relies on a structured set of condition parameters (KPIs) that encompass both quantitative (measurable) indicators obtained from diagnostic tests and qualitative (expert-based) assessments derived from operational practices. This dual classification ensures comprehensive coverage of transformer condition and enables robust aggregation within the Health Index framework.</w:t>
      </w:r>
    </w:p>
    <w:p w14:paraId="474E23C7"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1. Quantitative parameters</w:t>
      </w:r>
    </w:p>
    <w:p w14:paraId="1BBF68FB"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-dissolved gas analysis (DGA): concentrations of individual gases (H₂, CH₄, C₂H₂, C₂H₄, C₂H₆, CO, CO₂), total combustible gases (TCG), and ratio-based diagnostic indices (e.g., Rogers ratios, Duval triangle).</w:t>
      </w:r>
    </w:p>
    <w:p w14:paraId="192B16F0" w14:textId="6268D568"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-thermal parameters (thermography): maximum winding temperature (</w:t>
      </w:r>
      <m:oMath>
        <m:sSub>
          <m:sSubPr>
            <m:ctrlPr>
              <w:rPr>
                <w:rFonts w:ascii="Cambria Math" w:hAnsi="Cambria Math" w:cs="Times New Roman"/>
                <w:i/>
                <w:color w:val="000000" w:themeColor="text1"/>
                <w:sz w:val="20"/>
              </w:rPr>
            </m:ctrlPr>
          </m:sSubPr>
          <m:e>
            <m:r>
              <w:rPr>
                <w:rFonts w:ascii="Cambria Math" w:hAnsi="Cambria Math" w:cs="Times New Roman"/>
                <w:color w:val="000000" w:themeColor="text1"/>
                <w:sz w:val="20"/>
              </w:rPr>
              <m:t>T</m:t>
            </m:r>
          </m:e>
          <m:sub>
            <m:r>
              <w:rPr>
                <w:rFonts w:ascii="Cambria Math" w:hAnsi="Cambria Math" w:cs="Times New Roman"/>
                <w:color w:val="000000" w:themeColor="text1"/>
                <w:sz w:val="20"/>
              </w:rPr>
              <m:t>max</m:t>
            </m:r>
          </m:sub>
        </m:sSub>
      </m:oMath>
      <w:r w:rsidRPr="004D79AC">
        <w:rPr>
          <w:rFonts w:ascii="Times New Roman" w:hAnsi="Times New Roman" w:cs="Times New Roman"/>
          <w:color w:val="000000" w:themeColor="text1"/>
          <w:sz w:val="20"/>
        </w:rPr>
        <w:t>), top-oil temperature (</w:t>
      </w:r>
      <m:oMath>
        <m:r>
          <w:rPr>
            <w:rFonts w:ascii="Cambria Math" w:hAnsi="Cambria Math" w:cs="Times New Roman"/>
            <w:color w:val="000000" w:themeColor="text1"/>
            <w:sz w:val="20"/>
          </w:rPr>
          <m:t>T_oil</m:t>
        </m:r>
      </m:oMath>
      <w:r w:rsidRPr="004D79AC">
        <w:rPr>
          <w:rFonts w:ascii="Times New Roman" w:hAnsi="Times New Roman" w:cs="Times New Roman"/>
          <w:color w:val="000000" w:themeColor="text1"/>
          <w:sz w:val="20"/>
        </w:rPr>
        <w:t>), hot-spot temperature rise (</w:t>
      </w:r>
      <w:r w:rsidRPr="004D79AC">
        <w:rPr>
          <w:rFonts w:ascii="Times New Roman" w:hAnsi="Times New Roman" w:cs="Times New Roman"/>
          <w:color w:val="000000" w:themeColor="text1"/>
          <w:sz w:val="20"/>
          <w:lang w:val="ru-RU"/>
        </w:rPr>
        <w:t>Δ</w:t>
      </w:r>
      <w:r w:rsidRPr="004D79AC">
        <w:rPr>
          <w:rFonts w:ascii="Times New Roman" w:hAnsi="Times New Roman" w:cs="Times New Roman"/>
          <w:color w:val="000000" w:themeColor="text1"/>
          <w:sz w:val="20"/>
        </w:rPr>
        <w:t>T), and thermal gradients.</w:t>
      </w:r>
    </w:p>
    <w:p w14:paraId="251BC00B" w14:textId="3F9E4E7F"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-partial discharge (pd) measurements: apparent charge magnitude, pulse count, energy content, and frequency-domain characteristics.</w:t>
      </w:r>
      <w:r w:rsidRPr="004D79AC">
        <w:rPr>
          <w:rFonts w:ascii="Times New Roman" w:hAnsi="Times New Roman" w:cs="Times New Roman"/>
          <w:sz w:val="20"/>
        </w:rPr>
        <w:t xml:space="preserve"> </w:t>
      </w:r>
      <w:r w:rsidRPr="004D79AC">
        <w:rPr>
          <w:rFonts w:ascii="Times New Roman" w:hAnsi="Times New Roman" w:cs="Times New Roman"/>
          <w:color w:val="000000" w:themeColor="text1"/>
          <w:sz w:val="20"/>
        </w:rPr>
        <w:t>[3].</w:t>
      </w:r>
    </w:p>
    <w:p w14:paraId="34A32B15" w14:textId="6C0D0EFC"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-electrical tests</w:t>
      </w:r>
      <w:r w:rsidRPr="004D79AC">
        <w:rPr>
          <w:rFonts w:ascii="Times New Roman" w:hAnsi="Times New Roman" w:cs="Times New Roman"/>
          <w:b/>
          <w:bCs/>
          <w:color w:val="000000" w:themeColor="text1"/>
          <w:sz w:val="20"/>
        </w:rPr>
        <w:t>:</w:t>
      </w:r>
      <w:r w:rsidRPr="004D79AC">
        <w:rPr>
          <w:rFonts w:ascii="Times New Roman" w:hAnsi="Times New Roman" w:cs="Times New Roman"/>
          <w:color w:val="000000" w:themeColor="text1"/>
          <w:sz w:val="20"/>
        </w:rPr>
        <w:t xml:space="preserve"> winding resistance (</w:t>
      </w:r>
      <m:oMath>
        <m:sSub>
          <m:sSubPr>
            <m:ctrlPr>
              <w:rPr>
                <w:rFonts w:ascii="Cambria Math" w:hAnsi="Cambria Math" w:cs="Times New Roman"/>
                <w:i/>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w</m:t>
            </m:r>
          </m:sub>
        </m:sSub>
      </m:oMath>
      <w:r w:rsidRPr="004D79AC">
        <w:rPr>
          <w:rFonts w:ascii="Times New Roman" w:hAnsi="Times New Roman" w:cs="Times New Roman"/>
          <w:color w:val="000000" w:themeColor="text1"/>
          <w:sz w:val="20"/>
        </w:rPr>
        <w:t>), insulation resistance (</w:t>
      </w:r>
      <m:oMath>
        <m:sSub>
          <m:sSubPr>
            <m:ctrlPr>
              <w:rPr>
                <w:rFonts w:ascii="Cambria Math" w:hAnsi="Cambria Math" w:cs="Times New Roman"/>
                <w:i/>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ins</m:t>
            </m:r>
          </m:sub>
        </m:sSub>
      </m:oMath>
      <w:r w:rsidRPr="004D79AC">
        <w:rPr>
          <w:rFonts w:ascii="Times New Roman" w:hAnsi="Times New Roman" w:cs="Times New Roman"/>
          <w:color w:val="000000" w:themeColor="text1"/>
          <w:sz w:val="20"/>
        </w:rPr>
        <w:t xml:space="preserve">), dissipation factor (tan </w:t>
      </w:r>
      <w:r w:rsidRPr="004D79AC">
        <w:rPr>
          <w:rFonts w:ascii="Times New Roman" w:hAnsi="Times New Roman" w:cs="Times New Roman"/>
          <w:color w:val="000000" w:themeColor="text1"/>
          <w:sz w:val="20"/>
          <w:lang w:val="ru-RU"/>
        </w:rPr>
        <w:t>δ</w:t>
      </w:r>
      <w:r w:rsidRPr="004D79AC">
        <w:rPr>
          <w:rFonts w:ascii="Times New Roman" w:hAnsi="Times New Roman" w:cs="Times New Roman"/>
          <w:color w:val="000000" w:themeColor="text1"/>
          <w:sz w:val="20"/>
        </w:rPr>
        <w:t>), leakage current, and load/no-load current parameters.</w:t>
      </w:r>
    </w:p>
    <w:p w14:paraId="72B88A3C"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-physicochemical oil properties: moisture content (ppm), acidity/neutralization number, dielectric breakdown voltage, interfacial tension, and oxidation stability.</w:t>
      </w:r>
    </w:p>
    <w:p w14:paraId="2C9C162F"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2. Qualitative parameters</w:t>
      </w:r>
    </w:p>
    <w:p w14:paraId="7B0BE29C"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-visual inspection: external condition, oil leakage, corrosion, bushing integrity, and mechanical defects.</w:t>
      </w:r>
    </w:p>
    <w:p w14:paraId="12017D33"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-operational history: number of switching operations, fault events, overload records, and thermal cycling frequency.</w:t>
      </w:r>
    </w:p>
    <w:p w14:paraId="5E2CD130"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-environmental and installation conditions</w:t>
      </w:r>
      <w:r w:rsidRPr="004D79AC">
        <w:rPr>
          <w:rFonts w:ascii="Times New Roman" w:hAnsi="Times New Roman" w:cs="Times New Roman"/>
          <w:b/>
          <w:bCs/>
          <w:color w:val="000000" w:themeColor="text1"/>
          <w:sz w:val="20"/>
        </w:rPr>
        <w:t>:</w:t>
      </w:r>
      <w:r w:rsidRPr="004D79AC">
        <w:rPr>
          <w:rFonts w:ascii="Times New Roman" w:hAnsi="Times New Roman" w:cs="Times New Roman"/>
          <w:color w:val="000000" w:themeColor="text1"/>
          <w:sz w:val="20"/>
        </w:rPr>
        <w:t xml:space="preserve"> ambient temperature, humidity, pollution level, vibration environment, and cooling system performance.</w:t>
      </w:r>
    </w:p>
    <w:p w14:paraId="7861F919"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b/>
          <w:bCs/>
          <w:color w:val="000000" w:themeColor="text1"/>
          <w:sz w:val="20"/>
        </w:rPr>
        <w:t>-</w:t>
      </w:r>
      <w:r w:rsidRPr="004D79AC">
        <w:rPr>
          <w:rFonts w:ascii="Times New Roman" w:hAnsi="Times New Roman" w:cs="Times New Roman"/>
          <w:color w:val="000000" w:themeColor="text1"/>
          <w:sz w:val="20"/>
        </w:rPr>
        <w:t>maintenance and service records: repair history, preventive maintenance actions, and expert judgment on residual lifetime.</w:t>
      </w:r>
    </w:p>
    <w:p w14:paraId="619E2C0A"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This classification allows the parameters to be systematically normalized, mapped to a unified scale, and subsequently aggregated using fuzzy or deterministic models. It also provides the basis for weighting different diagnostic sources according to their reliability and criticality.</w:t>
      </w:r>
    </w:p>
    <w:p w14:paraId="0C0C747F"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A. Quantitative (measured) parameters</w:t>
      </w:r>
    </w:p>
    <w:p w14:paraId="54DDDF16"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Dissolved gas analysis (DGA): concentrations of H₂, CH₄, C₂H₂, C₂H₄, C₂H₆, CO, CO₂ (ppm).</w:t>
      </w:r>
    </w:p>
    <w:p w14:paraId="5EC43C9C"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Moisture Content in Oil: mass fraction of water (ppm) and dew point temperature.</w:t>
      </w:r>
    </w:p>
    <w:p w14:paraId="295622E9" w14:textId="3934A849"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Thermal Indicators: temperature gradient and maximum hot-spot rise (°C) obtained via thermography or built-in sensors.</w:t>
      </w:r>
      <w:r w:rsidRPr="004D79AC">
        <w:rPr>
          <w:rFonts w:ascii="Times New Roman" w:hAnsi="Times New Roman" w:cs="Times New Roman"/>
          <w:sz w:val="20"/>
        </w:rPr>
        <w:t xml:space="preserve"> </w:t>
      </w:r>
      <w:r w:rsidRPr="004D79AC">
        <w:rPr>
          <w:rFonts w:ascii="Times New Roman" w:hAnsi="Times New Roman" w:cs="Times New Roman"/>
          <w:color w:val="000000" w:themeColor="text1"/>
          <w:sz w:val="20"/>
        </w:rPr>
        <w:t>[4].</w:t>
      </w:r>
    </w:p>
    <w:p w14:paraId="6886103F"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Electrical measurements: insulation resistance and winding resistance (</w:t>
      </w:r>
      <w:r w:rsidRPr="004D79AC">
        <w:rPr>
          <w:rFonts w:ascii="Times New Roman" w:hAnsi="Times New Roman" w:cs="Times New Roman"/>
          <w:color w:val="000000" w:themeColor="text1"/>
          <w:sz w:val="20"/>
          <w:lang w:val="ru-RU"/>
        </w:rPr>
        <w:t>Ω</w:t>
      </w:r>
      <w:r w:rsidRPr="004D79AC">
        <w:rPr>
          <w:rFonts w:ascii="Times New Roman" w:hAnsi="Times New Roman" w:cs="Times New Roman"/>
          <w:color w:val="000000" w:themeColor="text1"/>
          <w:sz w:val="20"/>
        </w:rPr>
        <w:t>).</w:t>
      </w:r>
    </w:p>
    <w:p w14:paraId="7A2A254A"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Partial discharges (PD): pulse count and discharge rate (pulses/min, pC).</w:t>
      </w:r>
    </w:p>
    <w:p w14:paraId="3DE57102"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Mechanical measurements: winding deformation (mm), vibration levels.</w:t>
      </w:r>
    </w:p>
    <w:p w14:paraId="262D2D93"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B. Qualitative / expert-based parameters</w:t>
      </w:r>
    </w:p>
    <w:p w14:paraId="2E3A1DB2"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Visual Inspection: corrosion, oil leakage, overheating traces (scale 0–3).</w:t>
      </w:r>
    </w:p>
    <w:p w14:paraId="0691FF79"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Operational history: load cycles, fault events, overloads (scale 0–3).</w:t>
      </w:r>
    </w:p>
    <w:p w14:paraId="2A027536"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Installation and environmental conditions: humidity, pollution, solar radiation (scale 0–3).</w:t>
      </w:r>
    </w:p>
    <w:p w14:paraId="3B57718F"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Maintenance accessibility: regularity and quality of servicing (scale 0–2).</w:t>
      </w:r>
    </w:p>
    <w:p w14:paraId="24AC45BB"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The selection of these parameters is consistent with modern monitoring practices and recent publications on multi-factor transformer condition assessment (e.g., MDPI sources).</w:t>
      </w:r>
    </w:p>
    <w:p w14:paraId="7FFBD50C"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Formalization — stages and formulas</w:t>
      </w:r>
    </w:p>
    <w:p w14:paraId="7B291D73" w14:textId="2F5FCE86"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Normalization of quantitative indicators</w:t>
      </w:r>
      <w:r w:rsidRPr="004D79AC">
        <w:rPr>
          <w:rFonts w:ascii="Times New Roman" w:hAnsi="Times New Roman" w:cs="Times New Roman"/>
          <w:color w:val="000000" w:themeColor="text1"/>
          <w:sz w:val="20"/>
        </w:rPr>
        <w:br/>
        <w:t xml:space="preserve">each quantitative parameter </w:t>
      </w:r>
      <m:oMath>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sub>
        </m:sSub>
        <m:r>
          <w:rPr>
            <w:rFonts w:ascii="Cambria Math" w:hAnsi="Cambria Math" w:cs="Times New Roman"/>
            <w:color w:val="000000" w:themeColor="text1"/>
            <w:sz w:val="20"/>
          </w:rPr>
          <m:t xml:space="preserve"> </m:t>
        </m:r>
      </m:oMath>
      <w:r w:rsidRPr="004D79AC">
        <w:rPr>
          <w:rFonts w:ascii="Times New Roman" w:hAnsi="Times New Roman" w:cs="Times New Roman"/>
          <w:color w:val="000000" w:themeColor="text1"/>
          <w:sz w:val="20"/>
        </w:rPr>
        <w:t xml:space="preserve">is transformed into a normalized value </w:t>
      </w:r>
      <w:r w:rsidRPr="004D79AC">
        <w:rPr>
          <w:rFonts w:ascii="Times New Roman" w:hAnsi="Times New Roman" w:cs="Times New Roman"/>
          <w:color w:val="000000" w:themeColor="text1"/>
          <w:sz w:val="20"/>
          <w:lang w:val="ru-RU"/>
        </w:rPr>
        <w:t>значению</w:t>
      </w:r>
      <w:r w:rsidRPr="004D79AC">
        <w:rPr>
          <w:rFonts w:ascii="Times New Roman" w:hAnsi="Times New Roman" w:cs="Times New Roman"/>
          <w:color w:val="000000" w:themeColor="text1"/>
          <w:sz w:val="20"/>
        </w:rPr>
        <w:t xml:space="preserve"> </w:t>
      </w:r>
      <m:oMath>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n</m:t>
            </m:r>
          </m:e>
          <m:sub>
            <m:r>
              <w:rPr>
                <w:rFonts w:ascii="Cambria Math" w:hAnsi="Cambria Math" w:cs="Times New Roman"/>
                <w:color w:val="000000" w:themeColor="text1"/>
                <w:sz w:val="20"/>
                <w:lang w:val="ru-RU"/>
              </w:rPr>
              <m:t>i</m:t>
            </m:r>
          </m:sub>
        </m:sSub>
      </m:oMath>
      <w:r w:rsidRPr="004D79AC">
        <w:rPr>
          <w:rFonts w:ascii="Times New Roman" w:hAnsi="Times New Roman" w:cs="Times New Roman"/>
          <w:color w:val="000000" w:themeColor="text1"/>
          <w:sz w:val="20"/>
        </w:rPr>
        <w:t xml:space="preserve"> </w:t>
      </w:r>
      <w:r w:rsidRPr="004D79AC">
        <w:rPr>
          <w:rFonts w:ascii="Cambria Math" w:hAnsi="Cambria Math" w:cs="Cambria Math"/>
          <w:color w:val="000000" w:themeColor="text1"/>
          <w:sz w:val="20"/>
        </w:rPr>
        <w:t>∈</w:t>
      </w:r>
      <w:r w:rsidRPr="004D79AC">
        <w:rPr>
          <w:rFonts w:ascii="Times New Roman" w:hAnsi="Times New Roman" w:cs="Times New Roman"/>
          <w:color w:val="000000" w:themeColor="text1"/>
          <w:sz w:val="20"/>
        </w:rPr>
        <w:t xml:space="preserve"> [0,1], where:</w:t>
      </w:r>
    </w:p>
    <w:p w14:paraId="735BBAC9" w14:textId="6C01CD4F" w:rsidR="007033DD" w:rsidRPr="004D79AC" w:rsidRDefault="006C155F" w:rsidP="004D79AC">
      <w:pPr>
        <w:spacing w:after="0" w:line="240" w:lineRule="auto"/>
        <w:ind w:firstLine="284"/>
        <w:jc w:val="both"/>
        <w:rPr>
          <w:rFonts w:ascii="Times New Roman" w:hAnsi="Times New Roman" w:cs="Times New Roman"/>
          <w:iCs/>
          <w:color w:val="000000" w:themeColor="text1"/>
          <w:sz w:val="20"/>
        </w:rPr>
      </w:pPr>
      <w:r w:rsidRPr="004D79AC">
        <w:rPr>
          <w:rFonts w:ascii="Times New Roman" w:eastAsiaTheme="minorEastAsia" w:hAnsi="Times New Roman" w:cs="Times New Roman"/>
          <w:i/>
          <w:color w:val="000000" w:themeColor="text1"/>
          <w:sz w:val="20"/>
        </w:rPr>
        <w:t xml:space="preserve">                                                            </w:t>
      </w:r>
      <m:oMath>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n</m:t>
            </m:r>
          </m:e>
          <m:sub>
            <m:r>
              <w:rPr>
                <w:rFonts w:ascii="Cambria Math" w:hAnsi="Cambria Math" w:cs="Times New Roman"/>
                <w:color w:val="000000" w:themeColor="text1"/>
                <w:sz w:val="20"/>
                <w:lang w:val="ru-RU"/>
              </w:rPr>
              <m:t>i</m:t>
            </m:r>
          </m:sub>
        </m:sSub>
        <m:r>
          <w:rPr>
            <w:rFonts w:ascii="Cambria Math" w:hAnsi="Cambria Math" w:cs="Times New Roman"/>
            <w:color w:val="000000" w:themeColor="text1"/>
            <w:sz w:val="20"/>
          </w:rPr>
          <m:t>=</m:t>
        </m:r>
        <m:f>
          <m:fPr>
            <m:ctrlPr>
              <w:rPr>
                <w:rFonts w:ascii="Cambria Math" w:hAnsi="Cambria Math" w:cs="Times New Roman"/>
                <w:i/>
                <w:color w:val="000000" w:themeColor="text1"/>
                <w:sz w:val="20"/>
                <w:lang w:val="ru-RU"/>
              </w:rPr>
            </m:ctrlPr>
          </m:fPr>
          <m:num>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sub>
            </m:sSub>
            <m:r>
              <w:rPr>
                <w:rFonts w:ascii="Cambria Math" w:hAnsi="Cambria Math" w:cs="Times New Roman"/>
                <w:color w:val="000000" w:themeColor="text1"/>
                <w:sz w:val="20"/>
              </w:rPr>
              <m:t>-</m:t>
            </m:r>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r>
                  <w:rPr>
                    <w:rFonts w:ascii="Cambria Math" w:hAnsi="Cambria Math" w:cs="Times New Roman"/>
                    <w:color w:val="000000" w:themeColor="text1"/>
                    <w:sz w:val="20"/>
                  </w:rPr>
                  <m:t xml:space="preserve">, </m:t>
                </m:r>
                <m:r>
                  <w:rPr>
                    <w:rFonts w:ascii="Cambria Math" w:hAnsi="Cambria Math" w:cs="Times New Roman"/>
                    <w:color w:val="000000" w:themeColor="text1"/>
                    <w:sz w:val="20"/>
                    <w:lang w:val="ru-RU"/>
                  </w:rPr>
                  <m:t>min</m:t>
                </m:r>
              </m:sub>
            </m:sSub>
          </m:num>
          <m:den>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r>
                  <w:rPr>
                    <w:rFonts w:ascii="Cambria Math" w:hAnsi="Cambria Math" w:cs="Times New Roman"/>
                    <w:color w:val="000000" w:themeColor="text1"/>
                    <w:sz w:val="20"/>
                  </w:rPr>
                  <m:t>,</m:t>
                </m:r>
                <m:r>
                  <w:rPr>
                    <w:rFonts w:ascii="Cambria Math" w:hAnsi="Cambria Math" w:cs="Times New Roman"/>
                    <w:color w:val="000000" w:themeColor="text1"/>
                    <w:sz w:val="20"/>
                    <w:lang w:val="ru-RU"/>
                  </w:rPr>
                  <m:t>max</m:t>
                </m:r>
              </m:sub>
            </m:sSub>
            <m:r>
              <w:rPr>
                <w:rFonts w:ascii="Cambria Math" w:hAnsi="Cambria Math" w:cs="Times New Roman"/>
                <w:color w:val="000000" w:themeColor="text1"/>
                <w:sz w:val="20"/>
              </w:rPr>
              <m:t>-</m:t>
            </m:r>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r>
                  <w:rPr>
                    <w:rFonts w:ascii="Cambria Math" w:hAnsi="Cambria Math" w:cs="Times New Roman"/>
                    <w:color w:val="000000" w:themeColor="text1"/>
                    <w:sz w:val="20"/>
                  </w:rPr>
                  <m:t>,</m:t>
                </m:r>
                <m:r>
                  <w:rPr>
                    <w:rFonts w:ascii="Cambria Math" w:hAnsi="Cambria Math" w:cs="Times New Roman"/>
                    <w:color w:val="000000" w:themeColor="text1"/>
                    <w:sz w:val="20"/>
                    <w:lang w:val="ru-RU"/>
                  </w:rPr>
                  <m:t>min</m:t>
                </m:r>
              </m:sub>
            </m:sSub>
          </m:den>
        </m:f>
        <m:r>
          <w:rPr>
            <w:rFonts w:ascii="Cambria Math" w:hAnsi="Cambria Math" w:cs="Times New Roman"/>
            <w:color w:val="000000" w:themeColor="text1"/>
            <w:sz w:val="20"/>
          </w:rPr>
          <m:t xml:space="preserve"> </m:t>
        </m:r>
      </m:oMath>
      <w:r w:rsidRPr="004D79AC">
        <w:rPr>
          <w:rFonts w:ascii="Times New Roman" w:eastAsiaTheme="minorEastAsia" w:hAnsi="Times New Roman" w:cs="Times New Roman"/>
          <w:i/>
          <w:color w:val="000000" w:themeColor="text1"/>
          <w:sz w:val="20"/>
        </w:rPr>
        <w:t xml:space="preserve">                                                                                        </w:t>
      </w:r>
      <w:r w:rsidRPr="004D79AC">
        <w:rPr>
          <w:rFonts w:ascii="Times New Roman" w:eastAsiaTheme="minorEastAsia" w:hAnsi="Times New Roman" w:cs="Times New Roman"/>
          <w:iCs/>
          <w:color w:val="000000" w:themeColor="text1"/>
          <w:sz w:val="20"/>
        </w:rPr>
        <w:t>(1)</w:t>
      </w:r>
    </w:p>
    <w:p w14:paraId="2119B485"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For indicators where a higher raw value signifies deterioration (e.g., gas concentration in ppm, PD activity), the normalization is defined as:</w:t>
      </w:r>
    </w:p>
    <w:p w14:paraId="722F23C3" w14:textId="71A8429D"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 xml:space="preserve">where </w:t>
      </w:r>
      <m:oMath>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r>
              <w:rPr>
                <w:rFonts w:ascii="Cambria Math" w:hAnsi="Cambria Math" w:cs="Times New Roman"/>
                <w:color w:val="000000" w:themeColor="text1"/>
                <w:sz w:val="20"/>
              </w:rPr>
              <m:t xml:space="preserve">, </m:t>
            </m:r>
            <m:r>
              <w:rPr>
                <w:rFonts w:ascii="Cambria Math" w:hAnsi="Cambria Math" w:cs="Times New Roman"/>
                <w:color w:val="000000" w:themeColor="text1"/>
                <w:sz w:val="20"/>
                <w:lang w:val="ru-RU"/>
              </w:rPr>
              <m:t>min</m:t>
            </m:r>
          </m:sub>
        </m:sSub>
      </m:oMath>
      <w:r w:rsidRPr="004D79AC">
        <w:rPr>
          <w:rFonts w:ascii="Times New Roman" w:hAnsi="Times New Roman" w:cs="Times New Roman"/>
          <w:color w:val="000000" w:themeColor="text1"/>
          <w:sz w:val="20"/>
        </w:rPr>
        <w:t xml:space="preserve"> and </w:t>
      </w:r>
      <m:oMath>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r>
              <w:rPr>
                <w:rFonts w:ascii="Cambria Math" w:hAnsi="Cambria Math" w:cs="Times New Roman"/>
                <w:color w:val="000000" w:themeColor="text1"/>
                <w:sz w:val="20"/>
              </w:rPr>
              <m:t>,</m:t>
            </m:r>
            <m:r>
              <w:rPr>
                <w:rFonts w:ascii="Cambria Math" w:hAnsi="Cambria Math" w:cs="Times New Roman"/>
                <w:color w:val="000000" w:themeColor="text1"/>
                <w:sz w:val="20"/>
                <w:lang w:val="ru-RU"/>
              </w:rPr>
              <m:t>max</m:t>
            </m:r>
          </m:sub>
        </m:sSub>
        <m:r>
          <w:rPr>
            <w:rFonts w:ascii="Cambria Math" w:hAnsi="Cambria Math" w:cs="Times New Roman"/>
            <w:color w:val="000000" w:themeColor="text1"/>
            <w:sz w:val="20"/>
          </w:rPr>
          <m:t xml:space="preserve">  </m:t>
        </m:r>
      </m:oMath>
      <w:r w:rsidRPr="004D79AC">
        <w:rPr>
          <w:rFonts w:ascii="Times New Roman" w:hAnsi="Times New Roman" w:cs="Times New Roman"/>
          <w:color w:val="000000" w:themeColor="text1"/>
          <w:sz w:val="20"/>
        </w:rPr>
        <w:t>represent the reference boundaries for the parameter.</w:t>
      </w:r>
    </w:p>
    <w:p w14:paraId="157BDAB1"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For parameters where larger values indicate a better technical state (e.g., insulation resistance), the normalization formula is inverted so that higher raw values correspond to lower normalized deterioration scores:</w:t>
      </w:r>
    </w:p>
    <w:p w14:paraId="4B816CAD" w14:textId="4317445A" w:rsidR="007033DD" w:rsidRPr="004D79AC" w:rsidRDefault="006C155F" w:rsidP="004D79AC">
      <w:pPr>
        <w:spacing w:after="0" w:line="240" w:lineRule="auto"/>
        <w:ind w:firstLine="284"/>
        <w:jc w:val="both"/>
        <w:rPr>
          <w:rFonts w:ascii="Times New Roman" w:hAnsi="Times New Roman" w:cs="Times New Roman"/>
          <w:iCs/>
          <w:color w:val="000000" w:themeColor="text1"/>
          <w:sz w:val="20"/>
        </w:rPr>
      </w:pPr>
      <w:r w:rsidRPr="004D79AC">
        <w:rPr>
          <w:rFonts w:ascii="Times New Roman" w:eastAsiaTheme="minorEastAsia" w:hAnsi="Times New Roman" w:cs="Times New Roman"/>
          <w:i/>
          <w:color w:val="000000" w:themeColor="text1"/>
          <w:sz w:val="20"/>
        </w:rPr>
        <w:lastRenderedPageBreak/>
        <w:t xml:space="preserve">                                                          </w:t>
      </w:r>
      <m:oMath>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n</m:t>
            </m:r>
          </m:e>
          <m:sub>
            <m:r>
              <w:rPr>
                <w:rFonts w:ascii="Cambria Math" w:hAnsi="Cambria Math" w:cs="Times New Roman"/>
                <w:color w:val="000000" w:themeColor="text1"/>
                <w:sz w:val="20"/>
                <w:lang w:val="ru-RU"/>
              </w:rPr>
              <m:t>i</m:t>
            </m:r>
          </m:sub>
        </m:sSub>
        <m:r>
          <w:rPr>
            <w:rFonts w:ascii="Cambria Math" w:hAnsi="Cambria Math" w:cs="Times New Roman"/>
            <w:color w:val="000000" w:themeColor="text1"/>
            <w:sz w:val="20"/>
          </w:rPr>
          <m:t>=1-</m:t>
        </m:r>
        <m:f>
          <m:fPr>
            <m:ctrlPr>
              <w:rPr>
                <w:rFonts w:ascii="Cambria Math" w:hAnsi="Cambria Math" w:cs="Times New Roman"/>
                <w:i/>
                <w:color w:val="000000" w:themeColor="text1"/>
                <w:sz w:val="20"/>
                <w:lang w:val="ru-RU"/>
              </w:rPr>
            </m:ctrlPr>
          </m:fPr>
          <m:num>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sub>
            </m:sSub>
            <m:r>
              <w:rPr>
                <w:rFonts w:ascii="Cambria Math" w:hAnsi="Cambria Math" w:cs="Times New Roman"/>
                <w:color w:val="000000" w:themeColor="text1"/>
                <w:sz w:val="20"/>
              </w:rPr>
              <m:t>-</m:t>
            </m:r>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r>
                  <w:rPr>
                    <w:rFonts w:ascii="Cambria Math" w:hAnsi="Cambria Math" w:cs="Times New Roman"/>
                    <w:color w:val="000000" w:themeColor="text1"/>
                    <w:sz w:val="20"/>
                  </w:rPr>
                  <m:t xml:space="preserve">, </m:t>
                </m:r>
                <m:r>
                  <w:rPr>
                    <w:rFonts w:ascii="Cambria Math" w:hAnsi="Cambria Math" w:cs="Times New Roman"/>
                    <w:color w:val="000000" w:themeColor="text1"/>
                    <w:sz w:val="20"/>
                    <w:lang w:val="ru-RU"/>
                  </w:rPr>
                  <m:t>min</m:t>
                </m:r>
              </m:sub>
            </m:sSub>
          </m:num>
          <m:den>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r>
                  <w:rPr>
                    <w:rFonts w:ascii="Cambria Math" w:hAnsi="Cambria Math" w:cs="Times New Roman"/>
                    <w:color w:val="000000" w:themeColor="text1"/>
                    <w:sz w:val="20"/>
                  </w:rPr>
                  <m:t>,</m:t>
                </m:r>
                <m:r>
                  <w:rPr>
                    <w:rFonts w:ascii="Cambria Math" w:hAnsi="Cambria Math" w:cs="Times New Roman"/>
                    <w:color w:val="000000" w:themeColor="text1"/>
                    <w:sz w:val="20"/>
                    <w:lang w:val="ru-RU"/>
                  </w:rPr>
                  <m:t>max</m:t>
                </m:r>
              </m:sub>
            </m:sSub>
            <m:r>
              <w:rPr>
                <w:rFonts w:ascii="Cambria Math" w:hAnsi="Cambria Math" w:cs="Times New Roman"/>
                <w:color w:val="000000" w:themeColor="text1"/>
                <w:sz w:val="20"/>
              </w:rPr>
              <m:t>-</m:t>
            </m:r>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x</m:t>
                </m:r>
              </m:e>
              <m:sub>
                <m:r>
                  <w:rPr>
                    <w:rFonts w:ascii="Cambria Math" w:hAnsi="Cambria Math" w:cs="Times New Roman"/>
                    <w:color w:val="000000" w:themeColor="text1"/>
                    <w:sz w:val="20"/>
                    <w:lang w:val="ru-RU"/>
                  </w:rPr>
                  <m:t>i</m:t>
                </m:r>
                <m:r>
                  <w:rPr>
                    <w:rFonts w:ascii="Cambria Math" w:hAnsi="Cambria Math" w:cs="Times New Roman"/>
                    <w:color w:val="000000" w:themeColor="text1"/>
                    <w:sz w:val="20"/>
                  </w:rPr>
                  <m:t>,</m:t>
                </m:r>
                <m:r>
                  <w:rPr>
                    <w:rFonts w:ascii="Cambria Math" w:hAnsi="Cambria Math" w:cs="Times New Roman"/>
                    <w:color w:val="000000" w:themeColor="text1"/>
                    <w:sz w:val="20"/>
                    <w:lang w:val="ru-RU"/>
                  </w:rPr>
                  <m:t>min</m:t>
                </m:r>
              </m:sub>
            </m:sSub>
          </m:den>
        </m:f>
      </m:oMath>
      <w:r w:rsidRPr="004D79AC">
        <w:rPr>
          <w:rFonts w:ascii="Times New Roman" w:eastAsiaTheme="minorEastAsia" w:hAnsi="Times New Roman" w:cs="Times New Roman"/>
          <w:i/>
          <w:color w:val="000000" w:themeColor="text1"/>
          <w:sz w:val="20"/>
        </w:rPr>
        <w:t xml:space="preserve">                                                                                    </w:t>
      </w:r>
      <w:r w:rsidRPr="004D79AC">
        <w:rPr>
          <w:rFonts w:ascii="Times New Roman" w:eastAsiaTheme="minorEastAsia" w:hAnsi="Times New Roman" w:cs="Times New Roman"/>
          <w:iCs/>
          <w:color w:val="000000" w:themeColor="text1"/>
          <w:sz w:val="20"/>
        </w:rPr>
        <w:t>(2)</w:t>
      </w:r>
    </w:p>
    <w:p w14:paraId="3F33016A" w14:textId="2CF9E3B1"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 xml:space="preserve">Qualitative assessments </w:t>
      </w:r>
      <m:oMath>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q</m:t>
            </m:r>
          </m:e>
          <m:sub>
            <m:r>
              <w:rPr>
                <w:rFonts w:ascii="Cambria Math" w:hAnsi="Cambria Math" w:cs="Times New Roman"/>
                <w:color w:val="000000" w:themeColor="text1"/>
                <w:sz w:val="20"/>
                <w:lang w:val="ru-RU"/>
              </w:rPr>
              <m:t>j</m:t>
            </m:r>
          </m:sub>
        </m:sSub>
      </m:oMath>
      <w:r w:rsidRPr="004D79AC">
        <w:rPr>
          <w:rFonts w:ascii="Times New Roman" w:hAnsi="Times New Roman" w:cs="Times New Roman"/>
          <w:color w:val="000000" w:themeColor="text1"/>
          <w:sz w:val="20"/>
        </w:rPr>
        <w:t xml:space="preserve">are linearly mapped to the range [0,1] where </w:t>
      </w:r>
      <m:oMath>
        <m:r>
          <w:rPr>
            <w:rFonts w:ascii="Cambria Math" w:hAnsi="Cambria Math" w:cs="Times New Roman"/>
            <w:color w:val="000000" w:themeColor="text1"/>
            <w:sz w:val="20"/>
          </w:rPr>
          <m:t>0</m:t>
        </m:r>
      </m:oMath>
      <w:r w:rsidR="006C155F" w:rsidRPr="004D79AC">
        <w:rPr>
          <w:rFonts w:ascii="Times New Roman" w:hAnsi="Times New Roman" w:cs="Times New Roman"/>
          <w:color w:val="000000" w:themeColor="text1"/>
          <w:sz w:val="20"/>
        </w:rPr>
        <w:t xml:space="preserve"> </w:t>
      </w:r>
      <w:r w:rsidRPr="004D79AC">
        <w:rPr>
          <w:rFonts w:ascii="Times New Roman" w:hAnsi="Times New Roman" w:cs="Times New Roman"/>
          <w:color w:val="000000" w:themeColor="text1"/>
          <w:sz w:val="20"/>
        </w:rPr>
        <w:t>represents the optimal state and 1 corresponds to the worst condition. For example, for a 0–3 scale:</w:t>
      </w:r>
    </w:p>
    <w:p w14:paraId="22CA0DCF" w14:textId="592E0BF1" w:rsidR="007033DD" w:rsidRPr="004D79AC" w:rsidRDefault="006C155F"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eastAsiaTheme="minorEastAsia" w:hAnsi="Times New Roman" w:cs="Times New Roman"/>
          <w:color w:val="000000" w:themeColor="text1"/>
          <w:sz w:val="20"/>
        </w:rPr>
        <w:t xml:space="preserve">                                                                          </w:t>
      </w:r>
      <m:oMath>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m</m:t>
            </m:r>
          </m:e>
          <m:sub>
            <m:r>
              <w:rPr>
                <w:rFonts w:ascii="Cambria Math" w:hAnsi="Cambria Math" w:cs="Times New Roman"/>
                <w:color w:val="000000" w:themeColor="text1"/>
                <w:sz w:val="20"/>
                <w:lang w:val="ru-RU"/>
              </w:rPr>
              <m:t>j</m:t>
            </m:r>
          </m:sub>
        </m:sSub>
        <m:r>
          <w:rPr>
            <w:rFonts w:ascii="Cambria Math" w:hAnsi="Cambria Math" w:cs="Times New Roman"/>
            <w:color w:val="000000" w:themeColor="text1"/>
            <w:sz w:val="20"/>
          </w:rPr>
          <m:t>=</m:t>
        </m:r>
        <m:f>
          <m:fPr>
            <m:ctrlPr>
              <w:rPr>
                <w:rFonts w:ascii="Cambria Math" w:hAnsi="Cambria Math" w:cs="Times New Roman"/>
                <w:i/>
                <w:color w:val="000000" w:themeColor="text1"/>
                <w:sz w:val="20"/>
                <w:lang w:val="ru-RU"/>
              </w:rPr>
            </m:ctrlPr>
          </m:fPr>
          <m:num>
            <m:sSub>
              <m:sSubPr>
                <m:ctrlPr>
                  <w:rPr>
                    <w:rFonts w:ascii="Cambria Math" w:hAnsi="Cambria Math" w:cs="Times New Roman"/>
                    <w:i/>
                    <w:color w:val="000000" w:themeColor="text1"/>
                    <w:sz w:val="20"/>
                    <w:lang w:val="ru-RU"/>
                  </w:rPr>
                </m:ctrlPr>
              </m:sSubPr>
              <m:e>
                <m:r>
                  <w:rPr>
                    <w:rFonts w:ascii="Cambria Math" w:hAnsi="Cambria Math" w:cs="Times New Roman"/>
                    <w:color w:val="000000" w:themeColor="text1"/>
                    <w:sz w:val="20"/>
                    <w:lang w:val="ru-RU"/>
                  </w:rPr>
                  <m:t>q</m:t>
                </m:r>
              </m:e>
              <m:sub>
                <m:r>
                  <w:rPr>
                    <w:rFonts w:ascii="Cambria Math" w:hAnsi="Cambria Math" w:cs="Times New Roman"/>
                    <w:color w:val="000000" w:themeColor="text1"/>
                    <w:sz w:val="20"/>
                    <w:lang w:val="ru-RU"/>
                  </w:rPr>
                  <m:t>j</m:t>
                </m:r>
              </m:sub>
            </m:sSub>
          </m:num>
          <m:den>
            <m:r>
              <w:rPr>
                <w:rFonts w:ascii="Cambria Math" w:hAnsi="Cambria Math" w:cs="Times New Roman"/>
                <w:color w:val="000000" w:themeColor="text1"/>
                <w:sz w:val="20"/>
              </w:rPr>
              <m:t>3</m:t>
            </m:r>
          </m:den>
        </m:f>
      </m:oMath>
      <w:r w:rsidRPr="004D79AC">
        <w:rPr>
          <w:rFonts w:ascii="Times New Roman" w:eastAsiaTheme="minorEastAsia" w:hAnsi="Times New Roman" w:cs="Times New Roman"/>
          <w:color w:val="000000" w:themeColor="text1"/>
          <w:sz w:val="20"/>
        </w:rPr>
        <w:t xml:space="preserve">                                                                                          (3)</w:t>
      </w:r>
    </w:p>
    <w:p w14:paraId="3C8090EC"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Fuzzy aggregation (Mamdani) — structural framework</w:t>
      </w:r>
    </w:p>
    <w:p w14:paraId="2B447598"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To integrate multiple condition parameters, a Mamdani-type fuzzy inference system is employed, with linguistic terms assigned to each normalized input (e.g., low, medium, high risk). Fuzzy rules are formulated based on expert knowledge. Examples include:</w:t>
      </w:r>
    </w:p>
    <w:p w14:paraId="7C60031C"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IF DGA.H₂ is high AND PD is high THEN condition = Poor.</w:t>
      </w:r>
    </w:p>
    <w:p w14:paraId="0A644089" w14:textId="77777777"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IF thermography is medium AND visual inspection is minor THEN condition = moderate.</w:t>
      </w:r>
    </w:p>
    <w:p w14:paraId="430C88E2" w14:textId="468426F5" w:rsidR="007033DD" w:rsidRPr="004D79AC" w:rsidRDefault="007033DD" w:rsidP="004D79AC">
      <w:pPr>
        <w:spacing w:after="0" w:line="240" w:lineRule="auto"/>
        <w:ind w:firstLine="284"/>
        <w:jc w:val="both"/>
        <w:rPr>
          <w:rFonts w:ascii="Times New Roman" w:hAnsi="Times New Roman" w:cs="Times New Roman"/>
          <w:color w:val="000000" w:themeColor="text1"/>
          <w:sz w:val="20"/>
        </w:rPr>
      </w:pPr>
      <w:r w:rsidRPr="004D79AC">
        <w:rPr>
          <w:rFonts w:ascii="Times New Roman" w:hAnsi="Times New Roman" w:cs="Times New Roman"/>
          <w:color w:val="000000" w:themeColor="text1"/>
          <w:sz w:val="20"/>
        </w:rPr>
        <w:t>The output variable, “Risk level,” is defuzzified using the centroid method to produce a numerical Health Index (HI) in the range [0,1]. The fuzzy model provides advantages in handling ambiguous boundaries and incomplete data. Several studies confirm the practical applicability of fuzzy logic approaches for transformer condition assessment (e.g., MDPI sources).</w:t>
      </w:r>
    </w:p>
    <w:p w14:paraId="56D75806" w14:textId="4E13D86B" w:rsidR="007033DD" w:rsidRPr="007033DD" w:rsidRDefault="007033DD" w:rsidP="007033DD">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2EC1A05"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Weighted deterministic aggregation (Alternative approach)</w:t>
      </w:r>
    </w:p>
    <w:p w14:paraId="46AF1C70"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For simplicity and reproducibility, a linear weighted aggregation can be applied:</w:t>
      </w:r>
    </w:p>
    <w:p w14:paraId="46E2E0BC" w14:textId="3DC3076F" w:rsidR="007033DD" w:rsidRPr="004D79AC" w:rsidRDefault="006C155F"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eastAsiaTheme="minorEastAsia" w:hAnsi="Times New Roman" w:cs="Times New Roman"/>
          <w:color w:val="000000" w:themeColor="text1"/>
          <w:sz w:val="20"/>
          <w:szCs w:val="20"/>
        </w:rPr>
        <w:t xml:space="preserve">                                          </w:t>
      </w:r>
      <m:oMath>
        <m:r>
          <w:rPr>
            <w:rFonts w:ascii="Cambria Math" w:hAnsi="Cambria Math" w:cs="Times New Roman"/>
            <w:color w:val="000000" w:themeColor="text1"/>
            <w:sz w:val="20"/>
            <w:szCs w:val="20"/>
            <w:lang w:val="ru-RU"/>
          </w:rPr>
          <m:t>HI</m:t>
        </m:r>
        <m:r>
          <w:rPr>
            <w:rFonts w:ascii="Cambria Math" w:hAnsi="Cambria Math" w:cs="Times New Roman"/>
            <w:color w:val="000000" w:themeColor="text1"/>
            <w:sz w:val="20"/>
            <w:szCs w:val="20"/>
          </w:rPr>
          <m:t>=</m:t>
        </m:r>
        <m:nary>
          <m:naryPr>
            <m:chr m:val="∑"/>
            <m:limLoc m:val="undOvr"/>
            <m:ctrlPr>
              <w:rPr>
                <w:rFonts w:ascii="Cambria Math" w:hAnsi="Cambria Math" w:cs="Times New Roman"/>
                <w:i/>
                <w:color w:val="000000" w:themeColor="text1"/>
                <w:sz w:val="20"/>
                <w:szCs w:val="20"/>
                <w:lang w:val="ru-RU"/>
              </w:rPr>
            </m:ctrlPr>
          </m:naryPr>
          <m:sub>
            <m:r>
              <w:rPr>
                <w:rFonts w:ascii="Cambria Math" w:hAnsi="Cambria Math" w:cs="Times New Roman"/>
                <w:color w:val="000000" w:themeColor="text1"/>
                <w:sz w:val="20"/>
                <w:szCs w:val="20"/>
                <w:lang w:val="ru-RU"/>
              </w:rPr>
              <m:t>i</m:t>
            </m:r>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lang w:val="ru-RU"/>
              </w:rPr>
              <m:t>N</m:t>
            </m:r>
          </m:sup>
          <m:e>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w</m:t>
                </m:r>
              </m:e>
              <m:sub>
                <m:r>
                  <w:rPr>
                    <w:rFonts w:ascii="Cambria Math" w:hAnsi="Cambria Math" w:cs="Times New Roman"/>
                    <w:color w:val="000000" w:themeColor="text1"/>
                    <w:sz w:val="20"/>
                    <w:szCs w:val="20"/>
                    <w:lang w:val="ru-RU"/>
                  </w:rPr>
                  <m:t>i</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n</m:t>
                </m:r>
              </m:e>
              <m:sub>
                <m:r>
                  <w:rPr>
                    <w:rFonts w:ascii="Cambria Math" w:hAnsi="Cambria Math" w:cs="Times New Roman"/>
                    <w:color w:val="000000" w:themeColor="text1"/>
                    <w:sz w:val="20"/>
                    <w:szCs w:val="20"/>
                    <w:lang w:val="ru-RU"/>
                  </w:rPr>
                  <m:t>i</m:t>
                </m:r>
              </m:sub>
            </m:sSub>
            <m:r>
              <w:rPr>
                <w:rFonts w:ascii="Cambria Math" w:hAnsi="Cambria Math" w:cs="Times New Roman"/>
                <w:color w:val="000000" w:themeColor="text1"/>
                <w:sz w:val="20"/>
                <w:szCs w:val="20"/>
              </w:rPr>
              <m:t>+</m:t>
            </m:r>
            <m:nary>
              <m:naryPr>
                <m:chr m:val="∑"/>
                <m:limLoc m:val="undOvr"/>
                <m:ctrlPr>
                  <w:rPr>
                    <w:rFonts w:ascii="Cambria Math" w:hAnsi="Cambria Math" w:cs="Times New Roman"/>
                    <w:i/>
                    <w:color w:val="000000" w:themeColor="text1"/>
                    <w:sz w:val="20"/>
                    <w:szCs w:val="20"/>
                    <w:lang w:val="ru-RU"/>
                  </w:rPr>
                </m:ctrlPr>
              </m:naryPr>
              <m:sub>
                <m:r>
                  <w:rPr>
                    <w:rFonts w:ascii="Cambria Math" w:hAnsi="Cambria Math" w:cs="Times New Roman"/>
                    <w:color w:val="000000" w:themeColor="text1"/>
                    <w:sz w:val="20"/>
                    <w:szCs w:val="20"/>
                    <w:lang w:val="ru-RU"/>
                  </w:rPr>
                  <m:t>j</m:t>
                </m:r>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lang w:val="ru-RU"/>
                  </w:rPr>
                  <m:t>M</m:t>
                </m:r>
              </m:sup>
              <m:e>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v</m:t>
                    </m:r>
                  </m:e>
                  <m:sub>
                    <m:r>
                      <w:rPr>
                        <w:rFonts w:ascii="Cambria Math" w:hAnsi="Cambria Math" w:cs="Times New Roman"/>
                        <w:color w:val="000000" w:themeColor="text1"/>
                        <w:sz w:val="20"/>
                        <w:szCs w:val="20"/>
                        <w:lang w:val="ru-RU"/>
                      </w:rPr>
                      <m:t>j</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m</m:t>
                    </m:r>
                  </m:e>
                  <m:sub>
                    <m:r>
                      <w:rPr>
                        <w:rFonts w:ascii="Cambria Math" w:hAnsi="Cambria Math" w:cs="Times New Roman"/>
                        <w:color w:val="000000" w:themeColor="text1"/>
                        <w:sz w:val="20"/>
                        <w:szCs w:val="20"/>
                        <w:lang w:val="ru-RU"/>
                      </w:rPr>
                      <m:t>j</m:t>
                    </m:r>
                  </m:sub>
                </m:sSub>
              </m:e>
            </m:nary>
          </m:e>
        </m:nary>
      </m:oMath>
      <w:r w:rsidRPr="004D79AC">
        <w:rPr>
          <w:rFonts w:ascii="Times New Roman" w:eastAsiaTheme="minorEastAsia" w:hAnsi="Times New Roman" w:cs="Times New Roman"/>
          <w:color w:val="000000" w:themeColor="text1"/>
          <w:sz w:val="20"/>
          <w:szCs w:val="20"/>
        </w:rPr>
        <w:t xml:space="preserve">                                                                        (4)</w:t>
      </w:r>
    </w:p>
    <w:p w14:paraId="08D4634B"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where:</w:t>
      </w:r>
    </w:p>
    <w:p w14:paraId="56F1E34D" w14:textId="798573F5" w:rsidR="007033DD" w:rsidRPr="004D79AC" w:rsidRDefault="00402F1C" w:rsidP="004D79AC">
      <w:pPr>
        <w:tabs>
          <w:tab w:val="left" w:pos="426"/>
        </w:tabs>
        <w:spacing w:after="0" w:line="240" w:lineRule="auto"/>
        <w:ind w:firstLine="284"/>
        <w:jc w:val="both"/>
        <w:rPr>
          <w:rFonts w:ascii="Times New Roman" w:hAnsi="Times New Roman" w:cs="Times New Roman"/>
          <w:color w:val="000000" w:themeColor="text1"/>
          <w:sz w:val="20"/>
          <w:szCs w:val="20"/>
        </w:rPr>
      </w:pP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n</m:t>
            </m:r>
          </m:e>
          <m:sub>
            <m:r>
              <w:rPr>
                <w:rFonts w:ascii="Cambria Math" w:hAnsi="Cambria Math" w:cs="Times New Roman"/>
                <w:color w:val="000000" w:themeColor="text1"/>
                <w:sz w:val="20"/>
                <w:szCs w:val="20"/>
                <w:lang w:val="ru-RU"/>
              </w:rPr>
              <m:t>i</m:t>
            </m:r>
          </m:sub>
        </m:sSub>
      </m:oMath>
      <w:r w:rsidR="007033DD" w:rsidRPr="004D79AC">
        <w:rPr>
          <w:rFonts w:ascii="Times New Roman" w:hAnsi="Times New Roman" w:cs="Times New Roman"/>
          <w:color w:val="000000" w:themeColor="text1"/>
          <w:sz w:val="20"/>
          <w:szCs w:val="20"/>
        </w:rPr>
        <w:t xml:space="preserve"> is the normalized value of the </w:t>
      </w:r>
      <m:oMath>
        <m:r>
          <w:rPr>
            <w:rFonts w:ascii="Cambria Math" w:hAnsi="Cambria Math" w:cs="Times New Roman"/>
            <w:color w:val="000000" w:themeColor="text1"/>
            <w:sz w:val="20"/>
            <w:szCs w:val="20"/>
          </w:rPr>
          <m:t>i</m:t>
        </m:r>
      </m:oMath>
      <w:r w:rsidR="007033DD" w:rsidRPr="004D79AC">
        <w:rPr>
          <w:rFonts w:ascii="Times New Roman" w:hAnsi="Times New Roman" w:cs="Times New Roman"/>
          <w:color w:val="000000" w:themeColor="text1"/>
          <w:sz w:val="20"/>
          <w:szCs w:val="20"/>
        </w:rPr>
        <w:t>-th parameter,</w:t>
      </w:r>
    </w:p>
    <w:p w14:paraId="18A9DD83" w14:textId="1C81C246" w:rsidR="007033DD" w:rsidRPr="004D79AC" w:rsidRDefault="00402F1C" w:rsidP="004D79AC">
      <w:pPr>
        <w:tabs>
          <w:tab w:val="left" w:pos="426"/>
        </w:tabs>
        <w:spacing w:after="0" w:line="240" w:lineRule="auto"/>
        <w:ind w:firstLine="284"/>
        <w:jc w:val="both"/>
        <w:rPr>
          <w:rFonts w:ascii="Times New Roman" w:hAnsi="Times New Roman" w:cs="Times New Roman"/>
          <w:color w:val="000000" w:themeColor="text1"/>
          <w:sz w:val="20"/>
          <w:szCs w:val="20"/>
        </w:rPr>
      </w:pP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w</m:t>
            </m:r>
          </m:e>
          <m:sub>
            <m:r>
              <w:rPr>
                <w:rFonts w:ascii="Cambria Math" w:hAnsi="Cambria Math" w:cs="Times New Roman"/>
                <w:color w:val="000000" w:themeColor="text1"/>
                <w:sz w:val="20"/>
                <w:szCs w:val="20"/>
                <w:lang w:val="ru-RU"/>
              </w:rPr>
              <m:t>i</m:t>
            </m:r>
          </m:sub>
        </m:sSub>
      </m:oMath>
      <w:r w:rsidR="007033DD" w:rsidRPr="004D79AC">
        <w:rPr>
          <w:rFonts w:ascii="Times New Roman" w:hAnsi="Times New Roman" w:cs="Times New Roman"/>
          <w:color w:val="000000" w:themeColor="text1"/>
          <w:sz w:val="20"/>
          <w:szCs w:val="20"/>
        </w:rPr>
        <w:t xml:space="preserve">​ is the weight assigned to the </w:t>
      </w:r>
      <m:oMath>
        <m:r>
          <w:rPr>
            <w:rFonts w:ascii="Cambria Math" w:hAnsi="Cambria Math" w:cs="Times New Roman"/>
            <w:color w:val="000000" w:themeColor="text1"/>
            <w:sz w:val="20"/>
            <w:szCs w:val="20"/>
          </w:rPr>
          <m:t>i</m:t>
        </m:r>
      </m:oMath>
      <w:r w:rsidR="007033DD" w:rsidRPr="004D79AC">
        <w:rPr>
          <w:rFonts w:ascii="Times New Roman" w:hAnsi="Times New Roman" w:cs="Times New Roman"/>
          <w:color w:val="000000" w:themeColor="text1"/>
          <w:sz w:val="20"/>
          <w:szCs w:val="20"/>
        </w:rPr>
        <w:t xml:space="preserve"> -th parameter (</w:t>
      </w:r>
      <m:oMath>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w</m:t>
            </m:r>
          </m:e>
          <m:sub>
            <m:r>
              <w:rPr>
                <w:rFonts w:ascii="Cambria Math" w:hAnsi="Cambria Math" w:cs="Times New Roman"/>
                <w:color w:val="000000" w:themeColor="text1"/>
                <w:sz w:val="20"/>
                <w:szCs w:val="20"/>
                <w:lang w:val="ru-RU"/>
              </w:rPr>
              <m:t>i</m:t>
            </m:r>
          </m:sub>
        </m:sSub>
        <m:r>
          <w:rPr>
            <w:rFonts w:ascii="Cambria Math" w:hAnsi="Cambria Math" w:cs="Times New Roman"/>
            <w:color w:val="000000" w:themeColor="text1"/>
            <w:sz w:val="20"/>
            <w:szCs w:val="20"/>
          </w:rPr>
          <m:t>​</m:t>
        </m:r>
        <m:r>
          <w:rPr>
            <w:rFonts w:ascii="Cambria Math" w:hAnsi="Cambria Math" w:cs="Times New Roman"/>
            <w:color w:val="000000" w:themeColor="text1"/>
            <w:sz w:val="20"/>
            <w:szCs w:val="20"/>
          </w:rPr>
          <m:t>=1</m:t>
        </m:r>
      </m:oMath>
      <w:r w:rsidR="007033DD" w:rsidRPr="004D79AC">
        <w:rPr>
          <w:rFonts w:ascii="Times New Roman" w:hAnsi="Times New Roman" w:cs="Times New Roman"/>
          <w:color w:val="000000" w:themeColor="text1"/>
          <w:sz w:val="20"/>
          <w:szCs w:val="20"/>
        </w:rPr>
        <w:t>),</w:t>
      </w:r>
    </w:p>
    <w:p w14:paraId="47A3AA94" w14:textId="36DBBD14"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HI∈[0,1]HI /in [0,1]HI∈[0,1]</m:t>
        </m:r>
      </m:oMath>
      <w:r w:rsidRPr="004D79AC">
        <w:rPr>
          <w:rFonts w:ascii="Times New Roman" w:hAnsi="Times New Roman" w:cs="Times New Roman"/>
          <w:color w:val="000000" w:themeColor="text1"/>
          <w:sz w:val="20"/>
          <w:szCs w:val="20"/>
        </w:rPr>
        <w:t xml:space="preserve"> represents the aggregated Health Index.</w:t>
      </w:r>
    </w:p>
    <w:p w14:paraId="6CD3CE3F" w14:textId="295456FC"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 xml:space="preserve">This deterministic approach allows transparent interpretation and easy replication while providing Here,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w</m:t>
            </m:r>
          </m:e>
          <m:sub>
            <m:r>
              <w:rPr>
                <w:rFonts w:ascii="Cambria Math" w:hAnsi="Cambria Math" w:cs="Times New Roman"/>
                <w:color w:val="000000" w:themeColor="text1"/>
                <w:sz w:val="20"/>
                <w:szCs w:val="20"/>
                <w:lang w:val="ru-RU"/>
              </w:rPr>
              <m:t>i</m:t>
            </m:r>
          </m:sub>
        </m:sSub>
      </m:oMath>
      <w:r w:rsidRPr="004D79AC">
        <w:rPr>
          <w:rFonts w:ascii="Times New Roman" w:hAnsi="Times New Roman" w:cs="Times New Roman"/>
          <w:color w:val="000000" w:themeColor="text1"/>
          <w:sz w:val="20"/>
          <w:szCs w:val="20"/>
        </w:rPr>
        <w:t xml:space="preserve">,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v</m:t>
            </m:r>
          </m:e>
          <m:sub>
            <m:r>
              <w:rPr>
                <w:rFonts w:ascii="Cambria Math" w:hAnsi="Cambria Math" w:cs="Times New Roman"/>
                <w:color w:val="000000" w:themeColor="text1"/>
                <w:sz w:val="20"/>
                <w:szCs w:val="20"/>
                <w:lang w:val="ru-RU"/>
              </w:rPr>
              <m:t>j</m:t>
            </m:r>
          </m:sub>
        </m:sSub>
      </m:oMath>
      <w:r w:rsidRPr="004D79AC">
        <w:rPr>
          <w:rFonts w:ascii="Times New Roman" w:hAnsi="Times New Roman" w:cs="Times New Roman"/>
          <w:color w:val="000000" w:themeColor="text1"/>
          <w:sz w:val="20"/>
          <w:szCs w:val="20"/>
        </w:rPr>
        <w:t xml:space="preserve"> represent normalized weights (the sum of all weights equals 1), and the Health Index </w:t>
      </w:r>
      <m:oMath>
        <m:r>
          <w:rPr>
            <w:rFonts w:ascii="Cambria Math" w:hAnsi="Cambria Math" w:cs="Times New Roman"/>
            <w:color w:val="000000" w:themeColor="text1"/>
            <w:sz w:val="20"/>
            <w:szCs w:val="20"/>
          </w:rPr>
          <m:t>HI∈[0,1]HI \in [0,1]HI∈[0,1].</m:t>
        </m:r>
      </m:oMath>
      <w:r w:rsidRPr="004D79AC">
        <w:rPr>
          <w:rFonts w:ascii="Times New Roman" w:hAnsi="Times New Roman" w:cs="Times New Roman"/>
          <w:color w:val="000000" w:themeColor="text1"/>
          <w:sz w:val="20"/>
          <w:szCs w:val="20"/>
        </w:rPr>
        <w:t xml:space="preserve"> For interpretation, the following ranges can be introduced:</w:t>
      </w:r>
    </w:p>
    <w:p w14:paraId="149C48F7" w14:textId="7A46C1BF"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HI ≤ 0.2</m:t>
        </m:r>
      </m:oMath>
      <w:r w:rsidRPr="004D79AC">
        <w:rPr>
          <w:rFonts w:ascii="Times New Roman" w:hAnsi="Times New Roman" w:cs="Times New Roman"/>
          <w:color w:val="000000" w:themeColor="text1"/>
          <w:sz w:val="20"/>
          <w:szCs w:val="20"/>
        </w:rPr>
        <w:t xml:space="preserve"> — Excellent condition</w:t>
      </w:r>
    </w:p>
    <w:p w14:paraId="4AA7EBCB" w14:textId="5ED8B3B4"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 xml:space="preserve">0.2 &lt; HI ≤ 0.4 </m:t>
        </m:r>
      </m:oMath>
      <w:r w:rsidRPr="004D79AC">
        <w:rPr>
          <w:rFonts w:ascii="Times New Roman" w:hAnsi="Times New Roman" w:cs="Times New Roman"/>
          <w:color w:val="000000" w:themeColor="text1"/>
          <w:sz w:val="20"/>
          <w:szCs w:val="20"/>
        </w:rPr>
        <w:t>— Good condition</w:t>
      </w:r>
    </w:p>
    <w:p w14:paraId="270DB033" w14:textId="48966B7E"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0.6 &lt; HI ≤ 0.8</m:t>
        </m:r>
      </m:oMath>
      <w:r w:rsidRPr="004D79AC">
        <w:rPr>
          <w:rFonts w:ascii="Times New Roman" w:hAnsi="Times New Roman" w:cs="Times New Roman"/>
          <w:color w:val="000000" w:themeColor="text1"/>
          <w:sz w:val="20"/>
          <w:szCs w:val="20"/>
        </w:rPr>
        <w:t xml:space="preserve"> — Moderate condition</w:t>
      </w:r>
    </w:p>
    <w:p w14:paraId="532D6C1E" w14:textId="34AA7B81"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0.6&lt;HI≤0.80</m:t>
        </m:r>
      </m:oMath>
      <w:r w:rsidRPr="004D79AC">
        <w:rPr>
          <w:rFonts w:ascii="Times New Roman" w:hAnsi="Times New Roman" w:cs="Times New Roman"/>
          <w:color w:val="000000" w:themeColor="text1"/>
          <w:sz w:val="20"/>
          <w:szCs w:val="20"/>
        </w:rPr>
        <w:t>— Poor condition</w:t>
      </w:r>
    </w:p>
    <w:p w14:paraId="1099A1B4" w14:textId="0B068DD2"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 xml:space="preserve">HI &gt; 0.8 </m:t>
        </m:r>
      </m:oMath>
      <w:r w:rsidRPr="004D79AC">
        <w:rPr>
          <w:rFonts w:ascii="Times New Roman" w:hAnsi="Times New Roman" w:cs="Times New Roman"/>
          <w:color w:val="000000" w:themeColor="text1"/>
          <w:sz w:val="20"/>
          <w:szCs w:val="20"/>
        </w:rPr>
        <w:t>— Critical condition</w:t>
      </w:r>
      <w:r w:rsidR="004D79AC">
        <w:rPr>
          <w:rFonts w:ascii="Times New Roman" w:hAnsi="Times New Roman" w:cs="Times New Roman"/>
          <w:color w:val="000000" w:themeColor="text1"/>
          <w:sz w:val="20"/>
          <w:szCs w:val="20"/>
        </w:rPr>
        <w:t xml:space="preserve"> </w:t>
      </w:r>
      <w:r w:rsidRPr="004D79AC">
        <w:rPr>
          <w:rFonts w:ascii="Times New Roman" w:hAnsi="Times New Roman" w:cs="Times New Roman"/>
          <w:color w:val="000000" w:themeColor="text1"/>
          <w:sz w:val="20"/>
          <w:szCs w:val="20"/>
        </w:rPr>
        <w:t>[7].</w:t>
      </w:r>
    </w:p>
    <w:p w14:paraId="70DD31F5"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Weights are determined either based on expert judgment or via optimization methods (e.g., optimization using historical failure data). Statistical approaches, such as regression analysis or feature importance derived from machine learning models, can assist in fine-tuning the weights using historical datasets (PMC sources).</w:t>
      </w:r>
    </w:p>
    <w:p w14:paraId="70D26D5A" w14:textId="51C2359C"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 xml:space="preserve"> Weights can be determined based on expert judgment or through optimization methods (e.g., optimization using historical failure data). Statistical approaches, such as regression analysis or feature importance derived from machine learning models, can be employed to fine-tune the weights using historical datasets (PMC sources).</w:t>
      </w:r>
      <w:r w:rsidRPr="004D79AC">
        <w:rPr>
          <w:rFonts w:ascii="Times New Roman" w:hAnsi="Times New Roman" w:cs="Times New Roman"/>
          <w:sz w:val="20"/>
          <w:szCs w:val="20"/>
        </w:rPr>
        <w:t xml:space="preserve"> </w:t>
      </w:r>
      <w:r w:rsidRPr="004D79AC">
        <w:rPr>
          <w:rFonts w:ascii="Times New Roman" w:hAnsi="Times New Roman" w:cs="Times New Roman"/>
          <w:color w:val="000000" w:themeColor="text1"/>
          <w:sz w:val="20"/>
          <w:szCs w:val="20"/>
        </w:rPr>
        <w:t>[6].</w:t>
      </w:r>
    </w:p>
    <w:p w14:paraId="53B9FE85"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Illustrative example of Health Index calculation. Consider a simplified set of indicators with hypothetical numerical values.</w:t>
      </w:r>
    </w:p>
    <w:p w14:paraId="216612A7"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Input data:</w:t>
      </w:r>
    </w:p>
    <w:p w14:paraId="63E65E71" w14:textId="556D0459"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 xml:space="preserve">CH₄ (ppm) = 120, </w:t>
      </w:r>
      <w:r w:rsidRPr="004D79AC">
        <w:rPr>
          <w:rFonts w:ascii="Times New Roman" w:hAnsi="Times New Roman" w:cs="Times New Roman"/>
          <w:color w:val="000000" w:themeColor="text1"/>
          <w:sz w:val="20"/>
          <w:szCs w:val="20"/>
          <w:lang w:val="en"/>
        </w:rPr>
        <w:t>we mean</w:t>
      </w:r>
      <w:r w:rsidRPr="004D79AC">
        <w:rPr>
          <w:rFonts w:ascii="Times New Roman" w:hAnsi="Times New Roman" w:cs="Times New Roman"/>
          <w:color w:val="000000" w:themeColor="text1"/>
          <w:sz w:val="20"/>
          <w:szCs w:val="20"/>
        </w:rPr>
        <w:t xml:space="preserve">  .</w:t>
      </w:r>
      <w:r w:rsidR="006C155F" w:rsidRPr="004D79AC">
        <w:rPr>
          <w:rFonts w:ascii="Times New Roman" w:hAnsi="Times New Roman" w:cs="Times New Roman"/>
          <w:color w:val="000000" w:themeColor="text1"/>
          <w:sz w:val="20"/>
          <w:szCs w:val="20"/>
        </w:rPr>
        <w:t xml:space="preserve">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lang w:val="ru-RU"/>
              </w:rPr>
              <m:t>min</m:t>
            </m:r>
          </m:sub>
        </m:sSub>
        <m:r>
          <w:rPr>
            <w:rFonts w:ascii="Cambria Math" w:hAnsi="Cambria Math" w:cs="Times New Roman"/>
            <w:color w:val="000000" w:themeColor="text1"/>
            <w:sz w:val="20"/>
            <w:szCs w:val="20"/>
          </w:rPr>
          <m:t xml:space="preserve">=0,  </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x</m:t>
            </m:r>
          </m:e>
          <m:sub>
            <m:r>
              <w:rPr>
                <w:rFonts w:ascii="Cambria Math" w:hAnsi="Cambria Math" w:cs="Times New Roman"/>
                <w:color w:val="000000" w:themeColor="text1"/>
                <w:sz w:val="20"/>
                <w:szCs w:val="20"/>
                <w:lang w:val="ru-RU"/>
              </w:rPr>
              <m:t>max</m:t>
            </m:r>
          </m:sub>
        </m:sSub>
        <m:r>
          <w:rPr>
            <w:rFonts w:ascii="Cambria Math" w:hAnsi="Cambria Math" w:cs="Times New Roman"/>
            <w:color w:val="000000" w:themeColor="text1"/>
            <w:sz w:val="20"/>
            <w:szCs w:val="20"/>
          </w:rPr>
          <m:t>=600</m:t>
        </m:r>
      </m:oMath>
      <w:r w:rsidR="006C155F" w:rsidRPr="004D79AC">
        <w:rPr>
          <w:rFonts w:ascii="Times New Roman" w:hAnsi="Times New Roman" w:cs="Times New Roman"/>
          <w:color w:val="000000" w:themeColor="text1"/>
          <w:sz w:val="20"/>
          <w:szCs w:val="20"/>
        </w:rPr>
        <w:t xml:space="preserve">                                                                  (5)</w:t>
      </w:r>
    </w:p>
    <w:p w14:paraId="17C203B9" w14:textId="25B8642B"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 xml:space="preserve">C₂H₂ (ppm)=5, </w:t>
      </w:r>
      <m:oMath>
        <m:r>
          <w:rPr>
            <w:rFonts w:ascii="Cambria Math" w:hAnsi="Cambria Math" w:cs="Times New Roman"/>
            <w:color w:val="000000" w:themeColor="text1"/>
            <w:sz w:val="20"/>
            <w:szCs w:val="20"/>
          </w:rPr>
          <m:t xml:space="preserve">  </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lang w:val="ru-RU"/>
              </w:rPr>
              <m:t>min</m:t>
            </m:r>
          </m:sub>
        </m:sSub>
      </m:oMath>
      <w:r w:rsidRPr="004D79AC">
        <w:rPr>
          <w:rFonts w:ascii="Times New Roman" w:hAnsi="Times New Roman" w:cs="Times New Roman"/>
          <w:color w:val="000000" w:themeColor="text1"/>
          <w:sz w:val="20"/>
          <w:szCs w:val="20"/>
        </w:rPr>
        <w:t xml:space="preserve"> = 0,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x</m:t>
            </m:r>
          </m:e>
          <m:sub>
            <m:r>
              <w:rPr>
                <w:rFonts w:ascii="Cambria Math" w:hAnsi="Cambria Math" w:cs="Times New Roman"/>
                <w:color w:val="000000" w:themeColor="text1"/>
                <w:sz w:val="20"/>
                <w:szCs w:val="20"/>
                <w:lang w:val="ru-RU"/>
              </w:rPr>
              <m:t>max</m:t>
            </m:r>
          </m:sub>
        </m:sSub>
      </m:oMath>
      <w:r w:rsidRPr="004D79AC">
        <w:rPr>
          <w:rFonts w:ascii="Times New Roman" w:hAnsi="Times New Roman" w:cs="Times New Roman"/>
          <w:color w:val="000000" w:themeColor="text1"/>
          <w:sz w:val="20"/>
          <w:szCs w:val="20"/>
        </w:rPr>
        <w:t>=50.</w:t>
      </w:r>
      <w:r w:rsidR="006C155F" w:rsidRPr="004D79AC">
        <w:rPr>
          <w:rFonts w:ascii="Times New Roman" w:hAnsi="Times New Roman" w:cs="Times New Roman"/>
          <w:color w:val="000000" w:themeColor="text1"/>
          <w:sz w:val="20"/>
          <w:szCs w:val="20"/>
        </w:rPr>
        <w:t xml:space="preserve">                                                                                                        (6)</w:t>
      </w:r>
    </w:p>
    <w:p w14:paraId="09158E8D" w14:textId="5C404E91"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br/>
        <w:t xml:space="preserve">Humidity (ppm) = 40,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lang w:val="ru-RU"/>
              </w:rPr>
              <m:t>min</m:t>
            </m:r>
          </m:sub>
        </m:sSub>
      </m:oMath>
      <w:r w:rsidRPr="004D79AC">
        <w:rPr>
          <w:rFonts w:ascii="Times New Roman" w:hAnsi="Times New Roman" w:cs="Times New Roman"/>
          <w:color w:val="000000" w:themeColor="text1"/>
          <w:sz w:val="20"/>
          <w:szCs w:val="20"/>
        </w:rPr>
        <w:t xml:space="preserve">=0,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x</m:t>
            </m:r>
          </m:e>
          <m:sub>
            <m:r>
              <w:rPr>
                <w:rFonts w:ascii="Cambria Math" w:hAnsi="Cambria Math" w:cs="Times New Roman"/>
                <w:color w:val="000000" w:themeColor="text1"/>
                <w:sz w:val="20"/>
                <w:szCs w:val="20"/>
                <w:lang w:val="ru-RU"/>
              </w:rPr>
              <m:t>max</m:t>
            </m:r>
          </m:sub>
        </m:sSub>
      </m:oMath>
      <w:r w:rsidRPr="004D79AC">
        <w:rPr>
          <w:rFonts w:ascii="Times New Roman" w:hAnsi="Times New Roman" w:cs="Times New Roman"/>
          <w:color w:val="000000" w:themeColor="text1"/>
          <w:sz w:val="20"/>
          <w:szCs w:val="20"/>
        </w:rPr>
        <w:t>=200.</w:t>
      </w:r>
    </w:p>
    <w:p w14:paraId="1B0A6F7F" w14:textId="644807A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lang w:val="en"/>
        </w:rPr>
        <w:t>Preheating temperature</w:t>
      </w:r>
      <w:r w:rsidRPr="004D79AC">
        <w:rPr>
          <w:rFonts w:ascii="Times New Roman" w:hAnsi="Times New Roman" w:cs="Times New Roman"/>
          <w:color w:val="000000" w:themeColor="text1"/>
          <w:sz w:val="20"/>
          <w:szCs w:val="20"/>
        </w:rPr>
        <w:t xml:space="preserve"> (</w:t>
      </w:r>
      <w:r w:rsidRPr="004D79AC">
        <w:rPr>
          <w:rFonts w:ascii="Times New Roman" w:hAnsi="Times New Roman" w:cs="Times New Roman"/>
          <w:color w:val="000000" w:themeColor="text1"/>
          <w:sz w:val="20"/>
          <w:szCs w:val="20"/>
          <w:lang w:val="ru-RU"/>
        </w:rPr>
        <w:t>Δ</w:t>
      </w:r>
      <w:r w:rsidRPr="004D79AC">
        <w:rPr>
          <w:rFonts w:ascii="Times New Roman" w:hAnsi="Times New Roman" w:cs="Times New Roman"/>
          <w:color w:val="000000" w:themeColor="text1"/>
          <w:sz w:val="20"/>
          <w:szCs w:val="20"/>
        </w:rPr>
        <w:t xml:space="preserve">T, °C) = 50,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lang w:val="ru-RU"/>
              </w:rPr>
              <m:t>min</m:t>
            </m:r>
          </m:sub>
        </m:sSub>
      </m:oMath>
      <w:r w:rsidRPr="004D79AC">
        <w:rPr>
          <w:rFonts w:ascii="Times New Roman" w:hAnsi="Times New Roman" w:cs="Times New Roman"/>
          <w:color w:val="000000" w:themeColor="text1"/>
          <w:sz w:val="20"/>
          <w:szCs w:val="20"/>
        </w:rPr>
        <w:t xml:space="preserve">=0, </w:t>
      </w:r>
      <m:oMath>
        <m:r>
          <w:rPr>
            <w:rFonts w:ascii="Cambria Math" w:hAnsi="Cambria Math" w:cs="Times New Roman"/>
            <w:color w:val="000000" w:themeColor="text1"/>
            <w:sz w:val="20"/>
            <w:szCs w:val="20"/>
          </w:rPr>
          <m:t xml:space="preserve"> </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x</m:t>
            </m:r>
          </m:e>
          <m:sub>
            <m:r>
              <w:rPr>
                <w:rFonts w:ascii="Cambria Math" w:hAnsi="Cambria Math" w:cs="Times New Roman"/>
                <w:color w:val="000000" w:themeColor="text1"/>
                <w:sz w:val="20"/>
                <w:szCs w:val="20"/>
                <w:lang w:val="ru-RU"/>
              </w:rPr>
              <m:t>max</m:t>
            </m:r>
          </m:sub>
        </m:sSub>
      </m:oMath>
      <w:r w:rsidRPr="004D79AC">
        <w:rPr>
          <w:rFonts w:ascii="Times New Roman" w:hAnsi="Times New Roman" w:cs="Times New Roman"/>
          <w:color w:val="000000" w:themeColor="text1"/>
          <w:sz w:val="20"/>
          <w:szCs w:val="20"/>
        </w:rPr>
        <w:t>=120.</w:t>
      </w:r>
    </w:p>
    <w:p w14:paraId="7A641E6B" w14:textId="7D042FC6"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PD count = 150  imp/min,</w:t>
      </w:r>
      <m:oMath>
        <m:r>
          <w:rPr>
            <w:rFonts w:ascii="Cambria Math" w:hAnsi="Cambria Math" w:cs="Times New Roman"/>
            <w:color w:val="000000" w:themeColor="text1"/>
            <w:sz w:val="20"/>
            <w:szCs w:val="20"/>
          </w:rPr>
          <m:t xml:space="preserve"> </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lang w:val="ru-RU"/>
              </w:rPr>
              <m:t>min</m:t>
            </m:r>
          </m:sub>
        </m:sSub>
      </m:oMath>
      <w:r w:rsidRPr="004D79AC">
        <w:rPr>
          <w:rFonts w:ascii="Times New Roman" w:hAnsi="Times New Roman" w:cs="Times New Roman"/>
          <w:color w:val="000000" w:themeColor="text1"/>
          <w:sz w:val="20"/>
          <w:szCs w:val="20"/>
        </w:rPr>
        <w:t xml:space="preserve">=0,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x</m:t>
            </m:r>
          </m:e>
          <m:sub>
            <m:r>
              <w:rPr>
                <w:rFonts w:ascii="Cambria Math" w:hAnsi="Cambria Math" w:cs="Times New Roman"/>
                <w:color w:val="000000" w:themeColor="text1"/>
                <w:sz w:val="20"/>
                <w:szCs w:val="20"/>
                <w:lang w:val="ru-RU"/>
              </w:rPr>
              <m:t>max</m:t>
            </m:r>
          </m:sub>
        </m:sSub>
      </m:oMath>
      <w:r w:rsidRPr="004D79AC">
        <w:rPr>
          <w:rFonts w:ascii="Times New Roman" w:hAnsi="Times New Roman" w:cs="Times New Roman"/>
          <w:color w:val="000000" w:themeColor="text1"/>
          <w:sz w:val="20"/>
          <w:szCs w:val="20"/>
        </w:rPr>
        <w:t>=1000.</w:t>
      </w:r>
    </w:p>
    <w:p w14:paraId="6DEFF36B"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lang w:val="en"/>
        </w:rPr>
      </w:pPr>
      <w:r w:rsidRPr="004D79AC">
        <w:rPr>
          <w:rFonts w:ascii="Times New Roman" w:hAnsi="Times New Roman" w:cs="Times New Roman"/>
          <w:color w:val="000000" w:themeColor="text1"/>
          <w:sz w:val="20"/>
          <w:szCs w:val="20"/>
          <w:lang w:val="en"/>
        </w:rPr>
        <w:t>Visual assessment q = 1 (out of 3).</w:t>
      </w:r>
    </w:p>
    <w:p w14:paraId="295A3626"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lang w:val="en"/>
        </w:rPr>
        <w:t>Step 1: Normalization of quantitative:</w:t>
      </w:r>
    </w:p>
    <w:p w14:paraId="04DC2766" w14:textId="4578A234" w:rsidR="007033DD" w:rsidRPr="004D79AC" w:rsidRDefault="006C155F" w:rsidP="004D79AC">
      <w:pPr>
        <w:tabs>
          <w:tab w:val="left" w:pos="426"/>
        </w:tabs>
        <w:spacing w:after="0" w:line="240" w:lineRule="auto"/>
        <w:ind w:firstLine="284"/>
        <w:jc w:val="both"/>
        <w:rPr>
          <w:rFonts w:ascii="Times New Roman" w:hAnsi="Times New Roman" w:cs="Times New Roman"/>
          <w:i/>
          <w:color w:val="000000" w:themeColor="text1"/>
          <w:sz w:val="20"/>
          <w:szCs w:val="20"/>
        </w:rPr>
      </w:pPr>
      <w:r w:rsidRPr="004D79AC">
        <w:rPr>
          <w:rFonts w:ascii="Times New Roman" w:eastAsiaTheme="minorEastAsia" w:hAnsi="Times New Roman" w:cs="Times New Roman"/>
          <w:color w:val="000000" w:themeColor="text1"/>
          <w:sz w:val="20"/>
          <w:szCs w:val="20"/>
        </w:rPr>
        <w:t xml:space="preserve">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rPr>
              <m:t>n</m:t>
            </m:r>
          </m:e>
          <m:sub>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CH</m:t>
                </m:r>
              </m:e>
              <m:sub>
                <m:r>
                  <w:rPr>
                    <w:rFonts w:ascii="Cambria Math" w:hAnsi="Cambria Math" w:cs="Times New Roman"/>
                    <w:color w:val="000000" w:themeColor="text1"/>
                    <w:sz w:val="20"/>
                    <w:szCs w:val="20"/>
                  </w:rPr>
                  <m:t>4</m:t>
                </m:r>
              </m:sub>
            </m:sSub>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lang w:val="ru-RU"/>
              </w:rPr>
            </m:ctrlPr>
          </m:fPr>
          <m:num>
            <m:d>
              <m:dPr>
                <m:ctrlPr>
                  <w:rPr>
                    <w:rFonts w:ascii="Cambria Math" w:hAnsi="Cambria Math" w:cs="Times New Roman"/>
                    <w:i/>
                    <w:color w:val="000000" w:themeColor="text1"/>
                    <w:sz w:val="20"/>
                    <w:szCs w:val="20"/>
                    <w:lang w:val="ru-RU"/>
                  </w:rPr>
                </m:ctrlPr>
              </m:dPr>
              <m:e>
                <m:r>
                  <w:rPr>
                    <w:rFonts w:ascii="Cambria Math" w:hAnsi="Cambria Math" w:cs="Times New Roman"/>
                    <w:color w:val="000000" w:themeColor="text1"/>
                    <w:sz w:val="20"/>
                    <w:szCs w:val="20"/>
                  </w:rPr>
                  <m:t>120-0</m:t>
                </m:r>
              </m:e>
            </m:d>
          </m:num>
          <m:den>
            <m:d>
              <m:dPr>
                <m:ctrlPr>
                  <w:rPr>
                    <w:rFonts w:ascii="Cambria Math" w:hAnsi="Cambria Math" w:cs="Times New Roman"/>
                    <w:i/>
                    <w:color w:val="000000" w:themeColor="text1"/>
                    <w:sz w:val="20"/>
                    <w:szCs w:val="20"/>
                    <w:lang w:val="ru-RU"/>
                  </w:rPr>
                </m:ctrlPr>
              </m:dPr>
              <m:e>
                <m:r>
                  <w:rPr>
                    <w:rFonts w:ascii="Cambria Math" w:hAnsi="Cambria Math" w:cs="Times New Roman"/>
                    <w:color w:val="000000" w:themeColor="text1"/>
                    <w:sz w:val="20"/>
                    <w:szCs w:val="20"/>
                  </w:rPr>
                  <m:t>600-0</m:t>
                </m:r>
              </m:e>
            </m:d>
          </m:den>
        </m:f>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lang w:val="ru-RU"/>
              </w:rPr>
            </m:ctrlPr>
          </m:fPr>
          <m:num>
            <m:r>
              <w:rPr>
                <w:rFonts w:ascii="Cambria Math" w:hAnsi="Cambria Math" w:cs="Times New Roman"/>
                <w:color w:val="000000" w:themeColor="text1"/>
                <w:sz w:val="20"/>
                <w:szCs w:val="20"/>
              </w:rPr>
              <m:t>120</m:t>
            </m:r>
          </m:num>
          <m:den>
            <m:r>
              <w:rPr>
                <w:rFonts w:ascii="Cambria Math" w:hAnsi="Cambria Math" w:cs="Times New Roman"/>
                <w:color w:val="000000" w:themeColor="text1"/>
                <w:sz w:val="20"/>
                <w:szCs w:val="20"/>
              </w:rPr>
              <m:t>600</m:t>
            </m:r>
          </m:den>
        </m:f>
        <m:r>
          <w:rPr>
            <w:rFonts w:ascii="Cambria Math" w:hAnsi="Cambria Math" w:cs="Times New Roman"/>
            <w:color w:val="000000" w:themeColor="text1"/>
            <w:sz w:val="20"/>
            <w:szCs w:val="20"/>
          </w:rPr>
          <m:t xml:space="preserve">=0.2  </m:t>
        </m:r>
      </m:oMath>
      <w:r w:rsidRPr="004D79AC">
        <w:rPr>
          <w:rFonts w:ascii="Times New Roman" w:eastAsiaTheme="minorEastAsia" w:hAnsi="Times New Roman" w:cs="Times New Roman"/>
          <w:color w:val="000000" w:themeColor="text1"/>
          <w:sz w:val="20"/>
          <w:szCs w:val="20"/>
        </w:rPr>
        <w:t xml:space="preserve">                                                                                    </w:t>
      </w:r>
      <w:r w:rsidRPr="004D79AC">
        <w:rPr>
          <w:rFonts w:ascii="Times New Roman" w:eastAsiaTheme="minorEastAsia" w:hAnsi="Times New Roman" w:cs="Times New Roman"/>
          <w:iCs/>
          <w:color w:val="000000" w:themeColor="text1"/>
          <w:sz w:val="20"/>
          <w:szCs w:val="20"/>
        </w:rPr>
        <w:t>(7)</w:t>
      </w:r>
    </w:p>
    <w:p w14:paraId="0CE0347F" w14:textId="4D03B31B" w:rsidR="007033DD" w:rsidRPr="004D79AC" w:rsidRDefault="006C155F" w:rsidP="004D79AC">
      <w:pPr>
        <w:tabs>
          <w:tab w:val="left" w:pos="426"/>
        </w:tabs>
        <w:spacing w:after="0" w:line="240" w:lineRule="auto"/>
        <w:ind w:firstLine="284"/>
        <w:jc w:val="both"/>
        <w:rPr>
          <w:rFonts w:ascii="Times New Roman" w:hAnsi="Times New Roman" w:cs="Times New Roman"/>
          <w:i/>
          <w:color w:val="000000" w:themeColor="text1"/>
          <w:sz w:val="20"/>
          <w:szCs w:val="20"/>
        </w:rPr>
      </w:pPr>
      <w:r w:rsidRPr="004D79AC">
        <w:rPr>
          <w:rFonts w:ascii="Times New Roman" w:eastAsiaTheme="minorEastAsia" w:hAnsi="Times New Roman" w:cs="Times New Roman"/>
          <w:i/>
          <w:color w:val="000000" w:themeColor="text1"/>
          <w:sz w:val="20"/>
          <w:szCs w:val="20"/>
        </w:rPr>
        <w:t xml:space="preserve">                                                          </w:t>
      </w: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n</m:t>
            </m:r>
          </m:e>
          <m:sub>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C</m:t>
                </m:r>
              </m:e>
              <m:sub>
                <m:r>
                  <w:rPr>
                    <w:rFonts w:ascii="Cambria Math" w:hAnsi="Cambria Math" w:cs="Times New Roman"/>
                    <w:color w:val="000000" w:themeColor="text1"/>
                    <w:sz w:val="20"/>
                    <w:szCs w:val="20"/>
                  </w:rPr>
                  <m:t>2</m:t>
                </m:r>
              </m:sub>
            </m:sSub>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H</m:t>
                </m:r>
              </m:e>
              <m:sub>
                <m:r>
                  <w:rPr>
                    <w:rFonts w:ascii="Cambria Math" w:hAnsi="Cambria Math" w:cs="Times New Roman"/>
                    <w:color w:val="000000" w:themeColor="text1"/>
                    <w:sz w:val="20"/>
                    <w:szCs w:val="20"/>
                  </w:rPr>
                  <m:t>2</m:t>
                </m:r>
              </m:sub>
            </m:sSub>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lang w:val="ru-RU"/>
              </w:rPr>
            </m:ctrlPr>
          </m:fPr>
          <m:num>
            <m:r>
              <w:rPr>
                <w:rFonts w:ascii="Cambria Math" w:hAnsi="Cambria Math" w:cs="Times New Roman"/>
                <w:color w:val="000000" w:themeColor="text1"/>
                <w:sz w:val="20"/>
                <w:szCs w:val="20"/>
              </w:rPr>
              <m:t>5</m:t>
            </m:r>
          </m:num>
          <m:den>
            <m:r>
              <w:rPr>
                <w:rFonts w:ascii="Cambria Math" w:hAnsi="Cambria Math" w:cs="Times New Roman"/>
                <w:color w:val="000000" w:themeColor="text1"/>
                <w:sz w:val="20"/>
                <w:szCs w:val="20"/>
              </w:rPr>
              <m:t>50</m:t>
            </m:r>
          </m:den>
        </m:f>
        <m:r>
          <w:rPr>
            <w:rFonts w:ascii="Cambria Math" w:hAnsi="Cambria Math" w:cs="Times New Roman"/>
            <w:color w:val="000000" w:themeColor="text1"/>
            <w:sz w:val="20"/>
            <w:szCs w:val="20"/>
          </w:rPr>
          <m:t>=0.10</m:t>
        </m:r>
      </m:oMath>
      <w:r w:rsidRPr="004D79AC">
        <w:rPr>
          <w:rFonts w:ascii="Times New Roman" w:eastAsiaTheme="minorEastAsia" w:hAnsi="Times New Roman" w:cs="Times New Roman"/>
          <w:i/>
          <w:color w:val="000000" w:themeColor="text1"/>
          <w:sz w:val="20"/>
          <w:szCs w:val="20"/>
        </w:rPr>
        <w:t xml:space="preserve">                                                                                   </w:t>
      </w:r>
    </w:p>
    <w:p w14:paraId="104AA7B5" w14:textId="5F0AF3B4" w:rsidR="007033DD" w:rsidRPr="004D79AC" w:rsidRDefault="00402F1C" w:rsidP="004D79AC">
      <w:pPr>
        <w:tabs>
          <w:tab w:val="left" w:pos="426"/>
        </w:tabs>
        <w:spacing w:after="0" w:line="240" w:lineRule="auto"/>
        <w:ind w:firstLine="284"/>
        <w:jc w:val="center"/>
        <w:rPr>
          <w:rFonts w:ascii="Times New Roman" w:hAnsi="Times New Roman" w:cs="Times New Roman"/>
          <w:i/>
          <w:color w:val="000000" w:themeColor="text1"/>
          <w:sz w:val="20"/>
          <w:szCs w:val="20"/>
        </w:rPr>
      </w:pPr>
      <m:oMathPara>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n</m:t>
              </m:r>
            </m:e>
            <m:sub>
              <m:r>
                <w:rPr>
                  <w:rFonts w:ascii="Cambria Math" w:hAnsi="Cambria Math" w:cs="Times New Roman"/>
                  <w:color w:val="000000" w:themeColor="text1"/>
                  <w:sz w:val="20"/>
                  <w:szCs w:val="20"/>
                  <w:lang w:val="ru-RU"/>
                </w:rPr>
                <m:t>Moi</m:t>
              </m:r>
              <m:r>
                <w:rPr>
                  <w:rFonts w:ascii="Cambria Math" w:hAnsi="Cambria Math" w:cs="Times New Roman"/>
                  <w:color w:val="000000" w:themeColor="text1"/>
                  <w:sz w:val="20"/>
                  <w:szCs w:val="20"/>
                  <w:lang w:val="ru-RU"/>
                </w:rPr>
                <m:t>s</m:t>
              </m:r>
              <m:r>
                <w:rPr>
                  <w:rFonts w:ascii="Cambria Math" w:hAnsi="Cambria Math" w:cs="Times New Roman"/>
                  <w:color w:val="000000" w:themeColor="text1"/>
                  <w:sz w:val="20"/>
                  <w:szCs w:val="20"/>
                  <w:lang w:val="ru-RU"/>
                </w:rPr>
                <m:t>t</m:t>
              </m:r>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lang w:val="ru-RU"/>
                </w:rPr>
              </m:ctrlPr>
            </m:fPr>
            <m:num>
              <m:r>
                <w:rPr>
                  <w:rFonts w:ascii="Cambria Math" w:hAnsi="Cambria Math" w:cs="Times New Roman"/>
                  <w:color w:val="000000" w:themeColor="text1"/>
                  <w:sz w:val="20"/>
                  <w:szCs w:val="20"/>
                </w:rPr>
                <m:t>40</m:t>
              </m:r>
            </m:num>
            <m:den>
              <m:r>
                <w:rPr>
                  <w:rFonts w:ascii="Cambria Math" w:hAnsi="Cambria Math" w:cs="Times New Roman"/>
                  <w:color w:val="000000" w:themeColor="text1"/>
                  <w:sz w:val="20"/>
                  <w:szCs w:val="20"/>
                </w:rPr>
                <m:t>200</m:t>
              </m:r>
            </m:den>
          </m:f>
          <m:r>
            <w:rPr>
              <w:rFonts w:ascii="Cambria Math" w:hAnsi="Cambria Math" w:cs="Times New Roman"/>
              <w:color w:val="000000" w:themeColor="text1"/>
              <w:sz w:val="20"/>
              <w:szCs w:val="20"/>
            </w:rPr>
            <m:t>=0.20</m:t>
          </m:r>
        </m:oMath>
      </m:oMathPara>
    </w:p>
    <w:p w14:paraId="1B108DBE" w14:textId="2AA1AAD6" w:rsidR="007033DD" w:rsidRPr="004D79AC" w:rsidRDefault="00402F1C" w:rsidP="004D79AC">
      <w:pPr>
        <w:tabs>
          <w:tab w:val="left" w:pos="426"/>
        </w:tabs>
        <w:spacing w:after="0" w:line="240" w:lineRule="auto"/>
        <w:ind w:firstLine="284"/>
        <w:jc w:val="center"/>
        <w:rPr>
          <w:rFonts w:ascii="Times New Roman" w:hAnsi="Times New Roman" w:cs="Times New Roman"/>
          <w:i/>
          <w:color w:val="000000" w:themeColor="text1"/>
          <w:sz w:val="20"/>
          <w:szCs w:val="20"/>
        </w:rPr>
      </w:pP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n</m:t>
            </m:r>
          </m:e>
          <m:sub>
            <m:r>
              <w:rPr>
                <w:rFonts w:ascii="Cambria Math" w:hAnsi="Cambria Math" w:cs="Times New Roman"/>
                <w:color w:val="000000" w:themeColor="text1"/>
                <w:sz w:val="20"/>
                <w:szCs w:val="20"/>
                <w:lang w:val="ru-RU"/>
              </w:rPr>
              <m:t>T</m:t>
            </m:r>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lang w:val="ru-RU"/>
              </w:rPr>
            </m:ctrlPr>
          </m:fPr>
          <m:num>
            <m:r>
              <w:rPr>
                <w:rFonts w:ascii="Cambria Math" w:hAnsi="Cambria Math" w:cs="Times New Roman"/>
                <w:color w:val="000000" w:themeColor="text1"/>
                <w:sz w:val="20"/>
                <w:szCs w:val="20"/>
              </w:rPr>
              <m:t>50</m:t>
            </m:r>
          </m:num>
          <m:den>
            <m:r>
              <w:rPr>
                <w:rFonts w:ascii="Cambria Math" w:hAnsi="Cambria Math" w:cs="Times New Roman"/>
                <w:color w:val="000000" w:themeColor="text1"/>
                <w:sz w:val="20"/>
                <w:szCs w:val="20"/>
              </w:rPr>
              <m:t>120</m:t>
            </m:r>
          </m:den>
        </m:f>
        <m:r>
          <w:rPr>
            <w:rFonts w:ascii="Cambria Math" w:hAnsi="Cambria Math" w:cs="Times New Roman"/>
            <w:color w:val="000000" w:themeColor="text1"/>
            <w:sz w:val="20"/>
            <w:szCs w:val="20"/>
          </w:rPr>
          <m:t>=0.41666 (</m:t>
        </m:r>
      </m:oMath>
      <w:r w:rsidR="007033DD" w:rsidRPr="004D79AC">
        <w:rPr>
          <w:rFonts w:ascii="Times New Roman" w:hAnsi="Times New Roman" w:cs="Times New Roman"/>
          <w:i/>
          <w:color w:val="000000" w:themeColor="text1"/>
          <w:sz w:val="20"/>
          <w:szCs w:val="20"/>
        </w:rPr>
        <w:t>accuracy required</w:t>
      </w:r>
      <m:oMath>
        <m:r>
          <w:rPr>
            <w:rFonts w:ascii="Cambria Math" w:hAnsi="Cambria Math" w:cs="Times New Roman"/>
            <w:color w:val="000000" w:themeColor="text1"/>
            <w:sz w:val="20"/>
            <w:szCs w:val="20"/>
          </w:rPr>
          <m:t xml:space="preserve">:   </m:t>
        </m:r>
        <m:f>
          <m:fPr>
            <m:ctrlPr>
              <w:rPr>
                <w:rFonts w:ascii="Cambria Math" w:hAnsi="Cambria Math" w:cs="Times New Roman"/>
                <w:i/>
                <w:color w:val="000000" w:themeColor="text1"/>
                <w:sz w:val="20"/>
                <w:szCs w:val="20"/>
                <w:lang w:val="ru-RU"/>
              </w:rPr>
            </m:ctrlPr>
          </m:fPr>
          <m:num>
            <m:r>
              <w:rPr>
                <w:rFonts w:ascii="Cambria Math" w:hAnsi="Cambria Math" w:cs="Times New Roman"/>
                <w:color w:val="000000" w:themeColor="text1"/>
                <w:sz w:val="20"/>
                <w:szCs w:val="20"/>
              </w:rPr>
              <m:t>50</m:t>
            </m:r>
          </m:num>
          <m:den>
            <m:r>
              <w:rPr>
                <w:rFonts w:ascii="Cambria Math" w:hAnsi="Cambria Math" w:cs="Times New Roman"/>
                <w:color w:val="000000" w:themeColor="text1"/>
                <w:sz w:val="20"/>
                <w:szCs w:val="20"/>
              </w:rPr>
              <m:t>120</m:t>
            </m:r>
          </m:den>
        </m:f>
        <m:r>
          <w:rPr>
            <w:rFonts w:ascii="Cambria Math" w:hAnsi="Cambria Math" w:cs="Times New Roman"/>
            <w:color w:val="000000" w:themeColor="text1"/>
            <w:sz w:val="20"/>
            <w:szCs w:val="20"/>
          </w:rPr>
          <m:t>=0,416666667)</m:t>
        </m:r>
      </m:oMath>
      <w:r w:rsidR="006C155F" w:rsidRPr="004D79AC">
        <w:rPr>
          <w:rFonts w:ascii="Times New Roman" w:eastAsiaTheme="minorEastAsia" w:hAnsi="Times New Roman" w:cs="Times New Roman"/>
          <w:i/>
          <w:color w:val="000000" w:themeColor="text1"/>
          <w:sz w:val="20"/>
          <w:szCs w:val="20"/>
        </w:rPr>
        <w:t xml:space="preserve">                                                                   </w:t>
      </w:r>
    </w:p>
    <w:p w14:paraId="651A7455" w14:textId="0C90A260" w:rsidR="007033DD" w:rsidRPr="004D79AC" w:rsidRDefault="00402F1C" w:rsidP="004D79AC">
      <w:pPr>
        <w:tabs>
          <w:tab w:val="left" w:pos="426"/>
        </w:tabs>
        <w:spacing w:after="0" w:line="240" w:lineRule="auto"/>
        <w:ind w:firstLine="284"/>
        <w:jc w:val="both"/>
        <w:rPr>
          <w:rFonts w:ascii="Times New Roman" w:hAnsi="Times New Roman" w:cs="Times New Roman"/>
          <w:i/>
          <w:color w:val="000000" w:themeColor="text1"/>
          <w:sz w:val="20"/>
          <w:szCs w:val="20"/>
        </w:rPr>
      </w:pPr>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rPr>
              <m:t>n</m:t>
            </m:r>
          </m:e>
          <m:sub>
            <m:r>
              <w:rPr>
                <w:rFonts w:ascii="Cambria Math" w:hAnsi="Cambria Math" w:cs="Times New Roman"/>
                <w:color w:val="000000" w:themeColor="text1"/>
                <w:sz w:val="20"/>
                <w:szCs w:val="20"/>
                <w:lang w:val="ru-RU"/>
              </w:rPr>
              <m:t>PD</m:t>
            </m:r>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lang w:val="ru-RU"/>
              </w:rPr>
            </m:ctrlPr>
          </m:fPr>
          <m:num>
            <m:r>
              <w:rPr>
                <w:rFonts w:ascii="Cambria Math" w:hAnsi="Cambria Math" w:cs="Times New Roman"/>
                <w:color w:val="000000" w:themeColor="text1"/>
                <w:sz w:val="20"/>
                <w:szCs w:val="20"/>
              </w:rPr>
              <m:t>150</m:t>
            </m:r>
          </m:num>
          <m:den>
            <m:r>
              <w:rPr>
                <w:rFonts w:ascii="Cambria Math" w:hAnsi="Cambria Math" w:cs="Times New Roman"/>
                <w:color w:val="000000" w:themeColor="text1"/>
                <w:sz w:val="20"/>
                <w:szCs w:val="20"/>
              </w:rPr>
              <m:t>1000</m:t>
            </m:r>
          </m:den>
        </m:f>
        <m:r>
          <w:rPr>
            <w:rFonts w:ascii="Cambria Math" w:hAnsi="Cambria Math" w:cs="Times New Roman"/>
            <w:color w:val="000000" w:themeColor="text1"/>
            <w:sz w:val="20"/>
            <w:szCs w:val="20"/>
          </w:rPr>
          <m:t>=0.15</m:t>
        </m:r>
      </m:oMath>
      <w:r w:rsidR="006C155F" w:rsidRPr="004D79AC">
        <w:rPr>
          <w:rFonts w:ascii="Times New Roman" w:eastAsiaTheme="minorEastAsia" w:hAnsi="Times New Roman" w:cs="Times New Roman"/>
          <w:i/>
          <w:color w:val="000000" w:themeColor="text1"/>
          <w:sz w:val="20"/>
          <w:szCs w:val="20"/>
        </w:rPr>
        <w:t xml:space="preserve">                                                                                                                                               </w:t>
      </w:r>
    </w:p>
    <w:p w14:paraId="42EDD791"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lang w:val="en"/>
        </w:rPr>
        <w:t>Step 2: Quality parameter:</w:t>
      </w:r>
    </w:p>
    <w:p w14:paraId="3973A4BA" w14:textId="157B66DE" w:rsidR="007033DD" w:rsidRPr="004D79AC" w:rsidRDefault="00402F1C" w:rsidP="004D79AC">
      <w:pPr>
        <w:tabs>
          <w:tab w:val="left" w:pos="426"/>
        </w:tabs>
        <w:spacing w:after="0" w:line="240" w:lineRule="auto"/>
        <w:ind w:firstLine="284"/>
        <w:jc w:val="center"/>
        <w:rPr>
          <w:rFonts w:ascii="Times New Roman" w:hAnsi="Times New Roman" w:cs="Times New Roman"/>
          <w:i/>
          <w:color w:val="000000" w:themeColor="text1"/>
          <w:sz w:val="20"/>
          <w:szCs w:val="20"/>
        </w:rPr>
      </w:pPr>
      <m:oMathPara>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m</m:t>
              </m:r>
            </m:e>
            <m:sub>
              <m:r>
                <w:rPr>
                  <w:rFonts w:ascii="Cambria Math" w:hAnsi="Cambria Math" w:cs="Times New Roman"/>
                  <w:color w:val="000000" w:themeColor="text1"/>
                  <w:sz w:val="20"/>
                  <w:szCs w:val="20"/>
                  <w:lang w:val="ru-RU"/>
                </w:rPr>
                <m:t>vis</m:t>
              </m:r>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lang w:val="ru-RU"/>
                </w:rPr>
              </m:ctrlPr>
            </m:fPr>
            <m:num>
              <m:r>
                <w:rPr>
                  <w:rFonts w:ascii="Cambria Math" w:hAnsi="Cambria Math" w:cs="Times New Roman"/>
                  <w:color w:val="000000" w:themeColor="text1"/>
                  <w:sz w:val="20"/>
                  <w:szCs w:val="20"/>
                  <w:lang w:val="ru-RU"/>
                </w:rPr>
                <m:t>q</m:t>
              </m:r>
            </m:num>
            <m:den>
              <m:r>
                <w:rPr>
                  <w:rFonts w:ascii="Cambria Math" w:hAnsi="Cambria Math" w:cs="Times New Roman"/>
                  <w:color w:val="000000" w:themeColor="text1"/>
                  <w:sz w:val="20"/>
                  <w:szCs w:val="20"/>
                </w:rPr>
                <m:t>3</m:t>
              </m:r>
            </m:den>
          </m:f>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lang w:val="ru-RU"/>
                </w:rPr>
              </m:ctrlPr>
            </m:fPr>
            <m:num>
              <m:r>
                <w:rPr>
                  <w:rFonts w:ascii="Cambria Math" w:hAnsi="Cambria Math" w:cs="Times New Roman"/>
                  <w:color w:val="000000" w:themeColor="text1"/>
                  <w:sz w:val="20"/>
                  <w:szCs w:val="20"/>
                </w:rPr>
                <m:t>1</m:t>
              </m:r>
            </m:num>
            <m:den>
              <m:r>
                <w:rPr>
                  <w:rFonts w:ascii="Cambria Math" w:hAnsi="Cambria Math" w:cs="Times New Roman"/>
                  <w:color w:val="000000" w:themeColor="text1"/>
                  <w:sz w:val="20"/>
                  <w:szCs w:val="20"/>
                </w:rPr>
                <m:t>3</m:t>
              </m:r>
            </m:den>
          </m:f>
          <m:r>
            <w:rPr>
              <w:rFonts w:ascii="Cambria Math" w:hAnsi="Cambria Math" w:cs="Times New Roman"/>
              <w:color w:val="000000" w:themeColor="text1"/>
              <w:sz w:val="20"/>
              <w:szCs w:val="20"/>
            </w:rPr>
            <m:t>=0.3333333</m:t>
          </m:r>
        </m:oMath>
      </m:oMathPara>
    </w:p>
    <w:p w14:paraId="24833F40"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lang w:val="en"/>
        </w:rPr>
        <w:t>Step 3: Set the weights (example):</w:t>
      </w:r>
    </w:p>
    <w:p w14:paraId="5A1E3F42" w14:textId="6ED0F4EA" w:rsidR="007033DD" w:rsidRPr="004D79AC" w:rsidRDefault="00402F1C" w:rsidP="004D79AC">
      <w:pPr>
        <w:tabs>
          <w:tab w:val="left" w:pos="426"/>
        </w:tabs>
        <w:spacing w:after="0" w:line="240" w:lineRule="auto"/>
        <w:ind w:firstLine="284"/>
        <w:jc w:val="both"/>
        <w:rPr>
          <w:rFonts w:ascii="Times New Roman"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w</m:t>
              </m:r>
            </m:e>
            <m:sub>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CH</m:t>
                  </m:r>
                </m:e>
                <m:sub>
                  <m:r>
                    <w:rPr>
                      <w:rFonts w:ascii="Cambria Math" w:hAnsi="Cambria Math" w:cs="Times New Roman"/>
                      <w:color w:val="000000" w:themeColor="text1"/>
                      <w:sz w:val="20"/>
                      <w:szCs w:val="20"/>
                    </w:rPr>
                    <m:t>4</m:t>
                  </m:r>
                </m:sub>
              </m:sSub>
            </m:sub>
          </m:sSub>
          <m:r>
            <w:rPr>
              <w:rFonts w:ascii="Cambria Math" w:hAnsi="Cambria Math" w:cs="Times New Roman"/>
              <w:color w:val="000000" w:themeColor="text1"/>
              <w:sz w:val="20"/>
              <w:szCs w:val="20"/>
            </w:rPr>
            <m:t xml:space="preserve">=0.15,  </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w</m:t>
              </m:r>
            </m:e>
            <m:sub>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C</m:t>
                  </m:r>
                </m:e>
                <m:sub>
                  <m:r>
                    <w:rPr>
                      <w:rFonts w:ascii="Cambria Math" w:hAnsi="Cambria Math" w:cs="Times New Roman"/>
                      <w:color w:val="000000" w:themeColor="text1"/>
                      <w:sz w:val="20"/>
                      <w:szCs w:val="20"/>
                    </w:rPr>
                    <m:t>2</m:t>
                  </m:r>
                </m:sub>
              </m:sSub>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H</m:t>
                  </m:r>
                </m:e>
                <m:sub>
                  <m:r>
                    <w:rPr>
                      <w:rFonts w:ascii="Cambria Math" w:hAnsi="Cambria Math" w:cs="Times New Roman"/>
                      <w:color w:val="000000" w:themeColor="text1"/>
                      <w:sz w:val="20"/>
                      <w:szCs w:val="20"/>
                    </w:rPr>
                    <m:t>2</m:t>
                  </m:r>
                </m:sub>
              </m:sSub>
            </m:sub>
          </m:sSub>
          <m:r>
            <w:rPr>
              <w:rFonts w:ascii="Cambria Math" w:hAnsi="Cambria Math" w:cs="Times New Roman"/>
              <w:color w:val="000000" w:themeColor="text1"/>
              <w:sz w:val="20"/>
              <w:szCs w:val="20"/>
            </w:rPr>
            <m:t xml:space="preserve">=0.20,   </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w</m:t>
              </m:r>
            </m:e>
            <m:sub>
              <m:r>
                <w:rPr>
                  <w:rFonts w:ascii="Cambria Math" w:hAnsi="Cambria Math" w:cs="Times New Roman"/>
                  <w:color w:val="000000" w:themeColor="text1"/>
                  <w:sz w:val="20"/>
                  <w:szCs w:val="20"/>
                  <w:lang w:val="ru-RU"/>
                </w:rPr>
                <m:t>Moist</m:t>
              </m:r>
            </m:sub>
          </m:sSub>
          <m:r>
            <w:rPr>
              <w:rFonts w:ascii="Cambria Math" w:hAnsi="Cambria Math" w:cs="Times New Roman"/>
              <w:color w:val="000000" w:themeColor="text1"/>
              <w:sz w:val="20"/>
              <w:szCs w:val="20"/>
            </w:rPr>
            <m:t xml:space="preserve">=0.15,  </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w</m:t>
              </m:r>
            </m:e>
            <m:sub>
              <m:r>
                <w:rPr>
                  <w:rFonts w:ascii="Cambria Math" w:hAnsi="Cambria Math" w:cs="Times New Roman"/>
                  <w:color w:val="000000" w:themeColor="text1"/>
                  <w:sz w:val="20"/>
                  <w:szCs w:val="20"/>
                  <w:lang w:val="ru-RU"/>
                </w:rPr>
                <m:t>T</m:t>
              </m:r>
            </m:sub>
          </m:sSub>
          <m:r>
            <w:rPr>
              <w:rFonts w:ascii="Cambria Math" w:hAnsi="Cambria Math" w:cs="Times New Roman"/>
              <w:color w:val="000000" w:themeColor="text1"/>
              <w:sz w:val="20"/>
              <w:szCs w:val="20"/>
            </w:rPr>
            <m:t xml:space="preserve">=0.20,  </m:t>
          </m:r>
          <m:sSub>
            <m:sSubPr>
              <m:ctrlPr>
                <w:rPr>
                  <w:rFonts w:ascii="Cambria Math" w:hAnsi="Cambria Math" w:cs="Times New Roman"/>
                  <w:i/>
                  <w:color w:val="000000" w:themeColor="text1"/>
                  <w:sz w:val="20"/>
                  <w:szCs w:val="20"/>
                  <w:lang w:val="ru-RU"/>
                </w:rPr>
              </m:ctrlPr>
            </m:sSubPr>
            <m:e>
              <m:r>
                <w:rPr>
                  <w:rFonts w:ascii="Cambria Math" w:hAnsi="Cambria Math" w:cs="Times New Roman"/>
                  <w:color w:val="000000" w:themeColor="text1"/>
                  <w:sz w:val="20"/>
                  <w:szCs w:val="20"/>
                  <w:lang w:val="ru-RU"/>
                </w:rPr>
                <m:t>w</m:t>
              </m:r>
            </m:e>
            <m:sub>
              <m:r>
                <w:rPr>
                  <w:rFonts w:ascii="Cambria Math" w:hAnsi="Cambria Math" w:cs="Times New Roman"/>
                  <w:color w:val="000000" w:themeColor="text1"/>
                  <w:sz w:val="20"/>
                  <w:szCs w:val="20"/>
                  <w:lang w:val="ru-RU"/>
                </w:rPr>
                <m:t>PD</m:t>
              </m:r>
            </m:sub>
          </m:sSub>
          <m:r>
            <w:rPr>
              <w:rFonts w:ascii="Cambria Math" w:hAnsi="Cambria Math" w:cs="Times New Roman"/>
              <w:color w:val="000000" w:themeColor="text1"/>
              <w:sz w:val="20"/>
              <w:szCs w:val="20"/>
            </w:rPr>
            <m:t xml:space="preserve">=0.10,  </m:t>
          </m:r>
          <m:r>
            <m:rPr>
              <m:sty m:val="p"/>
            </m:rPr>
            <w:rPr>
              <w:rFonts w:ascii="Cambria Math" w:hAnsi="Cambria Math" w:cs="Times New Roman"/>
              <w:color w:val="000000" w:themeColor="text1"/>
              <w:sz w:val="20"/>
              <w:szCs w:val="20"/>
            </w:rPr>
            <w:br/>
          </m:r>
        </m:oMath>
      </m:oMathPara>
      <w:r w:rsidR="007033DD" w:rsidRPr="004D79AC">
        <w:rPr>
          <w:rFonts w:ascii="Times New Roman" w:hAnsi="Times New Roman" w:cs="Times New Roman"/>
          <w:i/>
          <w:color w:val="000000" w:themeColor="text1"/>
          <w:sz w:val="20"/>
          <w:szCs w:val="20"/>
        </w:rPr>
        <w:t>total quantitative</w:t>
      </w:r>
      <m:oMath>
        <m:r>
          <w:rPr>
            <w:rFonts w:ascii="Cambria Math" w:hAnsi="Cambria Math" w:cs="Times New Roman"/>
            <w:color w:val="000000" w:themeColor="text1"/>
            <w:sz w:val="20"/>
            <w:szCs w:val="20"/>
          </w:rPr>
          <m:t>=0,80</m:t>
        </m:r>
      </m:oMath>
    </w:p>
    <w:p w14:paraId="556DABFB"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br/>
        <w:t>Step 4: Linear HI:</w:t>
      </w:r>
    </w:p>
    <w:p w14:paraId="6B6B9053" w14:textId="50682FD0"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HI=0,15</w:t>
      </w:r>
      <m:oMath>
        <m:r>
          <w:rPr>
            <w:rFonts w:ascii="Cambria Math" w:hAnsi="Cambria Math" w:cs="Times New Roman"/>
            <w:color w:val="000000" w:themeColor="text1"/>
            <w:sz w:val="20"/>
            <w:szCs w:val="20"/>
          </w:rPr>
          <m:t>×</m:t>
        </m:r>
      </m:oMath>
      <w:r w:rsidRPr="004D79AC">
        <w:rPr>
          <w:rFonts w:ascii="Times New Roman" w:hAnsi="Times New Roman" w:cs="Times New Roman"/>
          <w:color w:val="000000" w:themeColor="text1"/>
          <w:sz w:val="20"/>
          <w:szCs w:val="20"/>
        </w:rPr>
        <w:t>0,2+0,20</w:t>
      </w:r>
      <m:oMath>
        <m:r>
          <w:rPr>
            <w:rFonts w:ascii="Cambria Math" w:hAnsi="Cambria Math" w:cs="Times New Roman"/>
            <w:color w:val="000000" w:themeColor="text1"/>
            <w:sz w:val="20"/>
            <w:szCs w:val="20"/>
          </w:rPr>
          <m:t>×</m:t>
        </m:r>
      </m:oMath>
      <w:r w:rsidRPr="004D79AC">
        <w:rPr>
          <w:rFonts w:ascii="Times New Roman" w:hAnsi="Times New Roman" w:cs="Times New Roman"/>
          <w:color w:val="000000" w:themeColor="text1"/>
          <w:sz w:val="20"/>
          <w:szCs w:val="20"/>
        </w:rPr>
        <w:t xml:space="preserve"> 0,10+0,15</w:t>
      </w:r>
      <m:oMath>
        <m:r>
          <w:rPr>
            <w:rFonts w:ascii="Cambria Math" w:hAnsi="Cambria Math" w:cs="Times New Roman"/>
            <w:color w:val="000000" w:themeColor="text1"/>
            <w:sz w:val="20"/>
            <w:szCs w:val="20"/>
          </w:rPr>
          <m:t>×</m:t>
        </m:r>
      </m:oMath>
      <w:r w:rsidRPr="004D79AC">
        <w:rPr>
          <w:rFonts w:ascii="Times New Roman" w:hAnsi="Times New Roman" w:cs="Times New Roman"/>
          <w:color w:val="000000" w:themeColor="text1"/>
          <w:sz w:val="20"/>
          <w:szCs w:val="20"/>
        </w:rPr>
        <w:t>0,20+0,20</w:t>
      </w:r>
      <m:oMath>
        <m:r>
          <w:rPr>
            <w:rFonts w:ascii="Cambria Math" w:hAnsi="Cambria Math" w:cs="Times New Roman"/>
            <w:color w:val="000000" w:themeColor="text1"/>
            <w:sz w:val="20"/>
            <w:szCs w:val="20"/>
          </w:rPr>
          <m:t>×</m:t>
        </m:r>
      </m:oMath>
      <w:r w:rsidRPr="004D79AC">
        <w:rPr>
          <w:rFonts w:ascii="Times New Roman" w:hAnsi="Times New Roman" w:cs="Times New Roman"/>
          <w:color w:val="000000" w:themeColor="text1"/>
          <w:sz w:val="20"/>
          <w:szCs w:val="20"/>
        </w:rPr>
        <w:t>0,416666667+0,10</w:t>
      </w:r>
      <m:oMath>
        <m:r>
          <w:rPr>
            <w:rFonts w:ascii="Cambria Math" w:hAnsi="Cambria Math" w:cs="Times New Roman"/>
            <w:color w:val="000000" w:themeColor="text1"/>
            <w:sz w:val="20"/>
            <w:szCs w:val="20"/>
          </w:rPr>
          <m:t>×</m:t>
        </m:r>
      </m:oMath>
      <w:r w:rsidRPr="004D79AC">
        <w:rPr>
          <w:rFonts w:ascii="Times New Roman" w:hAnsi="Times New Roman" w:cs="Times New Roman"/>
          <w:color w:val="000000" w:themeColor="text1"/>
          <w:sz w:val="20"/>
          <w:szCs w:val="20"/>
        </w:rPr>
        <w:t>0,15+0,20</w:t>
      </w:r>
      <m:oMath>
        <m:r>
          <w:rPr>
            <w:rFonts w:ascii="Cambria Math" w:hAnsi="Cambria Math" w:cs="Times New Roman"/>
            <w:color w:val="000000" w:themeColor="text1"/>
            <w:sz w:val="20"/>
            <w:szCs w:val="20"/>
          </w:rPr>
          <m:t>×</m:t>
        </m:r>
      </m:oMath>
      <w:r w:rsidRPr="004D79AC">
        <w:rPr>
          <w:rFonts w:ascii="Times New Roman" w:hAnsi="Times New Roman" w:cs="Times New Roman"/>
          <w:color w:val="000000" w:themeColor="text1"/>
          <w:sz w:val="20"/>
          <w:szCs w:val="20"/>
        </w:rPr>
        <w:t>0,33333</w:t>
      </w:r>
      <w:r w:rsidRPr="004D79AC">
        <w:rPr>
          <w:rFonts w:ascii="Times New Roman" w:hAnsi="Times New Roman" w:cs="Times New Roman"/>
          <w:color w:val="000000" w:themeColor="text1"/>
          <w:sz w:val="20"/>
          <w:szCs w:val="20"/>
        </w:rPr>
        <w:br/>
        <w:t>Let's count in parts (do it carefully):</w:t>
      </w:r>
    </w:p>
    <w:p w14:paraId="188CBFAF"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0.15·0.2 = 0.03</w:t>
      </w:r>
    </w:p>
    <w:p w14:paraId="6AA2560B"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0.20·0.10 = 0.02</w:t>
      </w:r>
    </w:p>
    <w:p w14:paraId="70CBCA0C"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0.15·0.20 = 0.03</w:t>
      </w:r>
    </w:p>
    <w:p w14:paraId="55131755"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0.20·0.4166666667 = 0.08333333334</w:t>
      </w:r>
    </w:p>
    <w:p w14:paraId="58730426"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0.10·0.15 = 0.015</w:t>
      </w:r>
    </w:p>
    <w:p w14:paraId="4F7311B3"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0.20·0.3333333333 = 0.06666666666</w:t>
      </w:r>
    </w:p>
    <w:p w14:paraId="0C7AEF73" w14:textId="4234191B"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lang w:val="en"/>
        </w:rPr>
        <w:t>Sum</w:t>
      </w:r>
      <w:r w:rsidRPr="004D79AC">
        <w:rPr>
          <w:rFonts w:ascii="Times New Roman" w:hAnsi="Times New Roman" w:cs="Times New Roman"/>
          <w:color w:val="000000" w:themeColor="text1"/>
          <w:sz w:val="20"/>
          <w:szCs w:val="20"/>
        </w:rPr>
        <w:t>: 0.03 + 0.02 + 0.03 + 0.08333333334 + 0.015 + 0.06666666666 =0.245 (</w:t>
      </w:r>
      <w:r w:rsidRPr="004D79AC">
        <w:rPr>
          <w:rFonts w:ascii="Times New Roman" w:hAnsi="Times New Roman" w:cs="Times New Roman"/>
          <w:color w:val="000000" w:themeColor="text1"/>
          <w:sz w:val="20"/>
          <w:szCs w:val="20"/>
          <w:lang w:val="en"/>
        </w:rPr>
        <w:t>examination:</w:t>
      </w:r>
      <w:r w:rsidRPr="004D79AC">
        <w:rPr>
          <w:rFonts w:ascii="Times New Roman" w:hAnsi="Times New Roman" w:cs="Times New Roman"/>
          <w:color w:val="000000" w:themeColor="text1"/>
          <w:sz w:val="20"/>
          <w:szCs w:val="20"/>
        </w:rPr>
        <w:t>0.03+0.02=0.05; +0.03=0.08; +0.08333333334=0.16333333334; +0.015=0.17833333334; +0.06666666666=0.24500000000).</w:t>
      </w:r>
    </w:p>
    <w:p w14:paraId="2652709E" w14:textId="77777777" w:rsidR="00FD19F4" w:rsidRPr="004D79AC" w:rsidRDefault="00FD19F4" w:rsidP="004D79AC">
      <w:pPr>
        <w:tabs>
          <w:tab w:val="left" w:pos="426"/>
        </w:tabs>
        <w:spacing w:after="0" w:line="240" w:lineRule="auto"/>
        <w:ind w:firstLine="284"/>
        <w:jc w:val="both"/>
        <w:rPr>
          <w:rFonts w:ascii="Times New Roman" w:hAnsi="Times New Roman" w:cs="Times New Roman"/>
          <w:color w:val="000000" w:themeColor="text1"/>
          <w:sz w:val="20"/>
          <w:szCs w:val="20"/>
        </w:rPr>
      </w:pPr>
    </w:p>
    <w:p w14:paraId="6340C613"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lang w:val="en"/>
        </w:rPr>
        <w:t>Total</w:t>
      </w:r>
      <w:r w:rsidRPr="004D79AC">
        <w:rPr>
          <w:rFonts w:ascii="Times New Roman" w:hAnsi="Times New Roman" w:cs="Times New Roman"/>
          <w:color w:val="000000" w:themeColor="text1"/>
          <w:sz w:val="20"/>
          <w:szCs w:val="20"/>
        </w:rPr>
        <w:t xml:space="preserve"> HI = 0.245 → </w:t>
      </w:r>
      <w:r w:rsidRPr="004D79AC">
        <w:rPr>
          <w:rFonts w:ascii="Times New Roman" w:hAnsi="Times New Roman" w:cs="Times New Roman"/>
          <w:color w:val="000000" w:themeColor="text1"/>
          <w:sz w:val="20"/>
          <w:szCs w:val="20"/>
          <w:lang w:val="en"/>
        </w:rPr>
        <w:t>falls into the "Good" class</w:t>
      </w:r>
      <w:r w:rsidRPr="004D79AC">
        <w:rPr>
          <w:rFonts w:ascii="Times New Roman" w:hAnsi="Times New Roman" w:cs="Times New Roman"/>
          <w:color w:val="000000" w:themeColor="text1"/>
          <w:sz w:val="20"/>
          <w:szCs w:val="20"/>
        </w:rPr>
        <w:t xml:space="preserve"> (</w:t>
      </w:r>
      <w:r w:rsidRPr="004D79AC">
        <w:rPr>
          <w:rFonts w:ascii="Times New Roman" w:hAnsi="Times New Roman" w:cs="Times New Roman"/>
          <w:color w:val="000000" w:themeColor="text1"/>
          <w:sz w:val="20"/>
          <w:szCs w:val="20"/>
          <w:lang w:val="en"/>
        </w:rPr>
        <w:t>between</w:t>
      </w:r>
      <w:r w:rsidRPr="004D79AC">
        <w:rPr>
          <w:rFonts w:ascii="Times New Roman" w:hAnsi="Times New Roman" w:cs="Times New Roman"/>
          <w:color w:val="000000" w:themeColor="text1"/>
          <w:sz w:val="20"/>
          <w:szCs w:val="20"/>
        </w:rPr>
        <w:t xml:space="preserve"> 0.2 and 0.4).</w:t>
      </w:r>
    </w:p>
    <w:p w14:paraId="46FBA2B0"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lang w:val="en"/>
        </w:rPr>
      </w:pPr>
      <w:r w:rsidRPr="004D79AC">
        <w:rPr>
          <w:rFonts w:ascii="Times New Roman" w:hAnsi="Times New Roman" w:cs="Times New Roman"/>
          <w:color w:val="000000" w:themeColor="text1"/>
          <w:sz w:val="20"/>
          <w:szCs w:val="20"/>
          <w:lang w:val="en"/>
        </w:rPr>
        <w:t>This calculation demonstrates the method's transparency and the ability to be quickly interpreted.</w:t>
      </w:r>
    </w:p>
    <w:p w14:paraId="4484DB69"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lang w:val="en"/>
        </w:rPr>
      </w:pPr>
    </w:p>
    <w:p w14:paraId="37E21879" w14:textId="01EDC88C"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lang w:val="en"/>
        </w:rPr>
      </w:pPr>
      <w:r w:rsidRPr="004D79AC">
        <w:rPr>
          <w:rFonts w:ascii="Times New Roman" w:hAnsi="Times New Roman" w:cs="Times New Roman"/>
          <w:color w:val="000000" w:themeColor="text1"/>
          <w:sz w:val="20"/>
          <w:szCs w:val="20"/>
          <w:lang w:val="en"/>
        </w:rPr>
        <w:t>Fig</w:t>
      </w:r>
      <w:r w:rsidRPr="004D79AC">
        <w:rPr>
          <w:rFonts w:ascii="Times New Roman" w:hAnsi="Times New Roman" w:cs="Times New Roman"/>
          <w:color w:val="000000" w:themeColor="text1"/>
          <w:sz w:val="20"/>
          <w:szCs w:val="20"/>
        </w:rPr>
        <w:t>.</w:t>
      </w:r>
      <w:r w:rsidR="00FE1394" w:rsidRPr="004D79AC">
        <w:rPr>
          <w:rFonts w:ascii="Times New Roman" w:hAnsi="Times New Roman" w:cs="Times New Roman"/>
          <w:color w:val="000000" w:themeColor="text1"/>
          <w:sz w:val="20"/>
          <w:szCs w:val="20"/>
        </w:rPr>
        <w:t xml:space="preserve">1 </w:t>
      </w:r>
      <w:r w:rsidRPr="004D79AC">
        <w:rPr>
          <w:rFonts w:ascii="Times New Roman" w:hAnsi="Times New Roman" w:cs="Times New Roman"/>
          <w:color w:val="000000" w:themeColor="text1"/>
          <w:sz w:val="20"/>
          <w:szCs w:val="20"/>
          <w:lang w:val="en"/>
        </w:rPr>
        <w:t>shows a graph of the HI dynamics over time—an example of how a transformer gradually deteriorates over 10 years.</w:t>
      </w:r>
    </w:p>
    <w:p w14:paraId="77D19ED0"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p>
    <w:p w14:paraId="42D5CDEA" w14:textId="6FA810A4" w:rsidR="00241038" w:rsidRPr="004D79AC" w:rsidRDefault="00241038" w:rsidP="004D79AC">
      <w:pPr>
        <w:tabs>
          <w:tab w:val="left" w:pos="426"/>
        </w:tabs>
        <w:spacing w:after="0" w:line="240" w:lineRule="auto"/>
        <w:ind w:firstLine="284"/>
        <w:jc w:val="center"/>
        <w:rPr>
          <w:rFonts w:ascii="Times New Roman" w:hAnsi="Times New Roman" w:cs="Times New Roman"/>
          <w:color w:val="FF0000"/>
          <w:sz w:val="20"/>
          <w:szCs w:val="20"/>
        </w:rPr>
      </w:pPr>
      <w:r w:rsidRPr="004D79AC">
        <w:rPr>
          <w:rFonts w:ascii="Times New Roman" w:hAnsi="Times New Roman" w:cs="Times New Roman"/>
          <w:noProof/>
          <w:color w:val="FF0000"/>
          <w:sz w:val="20"/>
          <w:szCs w:val="20"/>
          <w:lang w:val="ru-RU" w:eastAsia="ru-RU"/>
        </w:rPr>
        <w:drawing>
          <wp:inline distT="0" distB="0" distL="0" distR="0" wp14:anchorId="1D934FDA" wp14:editId="094262D9">
            <wp:extent cx="4967287" cy="2609850"/>
            <wp:effectExtent l="0" t="0" r="508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F6882CF" w14:textId="3D02C43F"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w:r w:rsidRPr="004D79AC">
        <w:rPr>
          <w:rFonts w:ascii="Times New Roman" w:hAnsi="Times New Roman" w:cs="Times New Roman"/>
          <w:b/>
          <w:bCs/>
          <w:color w:val="000000" w:themeColor="text1"/>
          <w:sz w:val="20"/>
          <w:szCs w:val="20"/>
        </w:rPr>
        <w:t xml:space="preserve">Fig. </w:t>
      </w:r>
      <w:r w:rsidR="00FE1394" w:rsidRPr="004D79AC">
        <w:rPr>
          <w:rFonts w:ascii="Times New Roman" w:hAnsi="Times New Roman" w:cs="Times New Roman"/>
          <w:b/>
          <w:bCs/>
          <w:color w:val="000000" w:themeColor="text1"/>
          <w:sz w:val="20"/>
          <w:szCs w:val="20"/>
        </w:rPr>
        <w:t>1</w:t>
      </w:r>
      <w:r w:rsidRPr="004D79AC">
        <w:rPr>
          <w:rFonts w:ascii="Times New Roman" w:hAnsi="Times New Roman" w:cs="Times New Roman"/>
          <w:b/>
          <w:bCs/>
          <w:color w:val="000000" w:themeColor="text1"/>
          <w:sz w:val="20"/>
          <w:szCs w:val="20"/>
        </w:rPr>
        <w:t>.</w:t>
      </w:r>
      <w:r w:rsidRPr="004D79AC">
        <w:rPr>
          <w:rFonts w:ascii="Times New Roman" w:hAnsi="Times New Roman" w:cs="Times New Roman"/>
          <w:color w:val="000000" w:themeColor="text1"/>
          <w:sz w:val="20"/>
          <w:szCs w:val="20"/>
        </w:rPr>
        <w:t xml:space="preserve"> Dynamics of transformer condition</w:t>
      </w:r>
    </w:p>
    <w:p w14:paraId="76A9A519" w14:textId="77777777" w:rsidR="00FD19F4" w:rsidRPr="004D79AC" w:rsidRDefault="00FD19F4" w:rsidP="004D79AC">
      <w:pPr>
        <w:tabs>
          <w:tab w:val="left" w:pos="426"/>
        </w:tabs>
        <w:spacing w:after="0" w:line="240" w:lineRule="auto"/>
        <w:ind w:firstLine="284"/>
        <w:jc w:val="center"/>
        <w:rPr>
          <w:rFonts w:ascii="Times New Roman" w:hAnsi="Times New Roman" w:cs="Times New Roman"/>
          <w:color w:val="000000" w:themeColor="text1"/>
          <w:sz w:val="20"/>
          <w:szCs w:val="20"/>
        </w:rPr>
      </w:pPr>
    </w:p>
    <w:p w14:paraId="276F258E" w14:textId="2DA6E564"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Comparative analysis of methods and statistical observations. Effectiveness of DGA vs. multi factor index</w:t>
      </w:r>
      <w:r w:rsidRPr="004D79AC">
        <w:rPr>
          <w:rFonts w:ascii="Times New Roman" w:hAnsi="Times New Roman" w:cs="Times New Roman"/>
          <w:color w:val="000000" w:themeColor="text1"/>
          <w:sz w:val="20"/>
          <w:szCs w:val="20"/>
        </w:rPr>
        <w:br/>
        <w:t xml:space="preserve">dissolved gas analysis (DGA) is highly sensitive for detecting thermal and arcing processes in transformer insulation. However, it may not capture mechanical deformations, bushing issues, or external environmental factors. A multi-factor approach that integrates DGA, partial discharges (PD), thermography, and expert assessments enhances </w:t>
      </w:r>
      <w:r w:rsidRPr="004D79AC">
        <w:rPr>
          <w:rFonts w:ascii="Times New Roman" w:hAnsi="Times New Roman" w:cs="Times New Roman"/>
          <w:color w:val="000000" w:themeColor="text1"/>
          <w:sz w:val="20"/>
          <w:szCs w:val="20"/>
        </w:rPr>
        <w:lastRenderedPageBreak/>
        <w:t>diagnostic coverage and reduces false alarms. Recent studies indicate that combining DGA with machine learning and integrated methods improves fault-type classification accuracy and early warning times (PMC sources).</w:t>
      </w:r>
      <w:r w:rsidRPr="004D79AC">
        <w:rPr>
          <w:rFonts w:ascii="Times New Roman" w:hAnsi="Times New Roman" w:cs="Times New Roman"/>
          <w:sz w:val="20"/>
          <w:szCs w:val="20"/>
        </w:rPr>
        <w:t xml:space="preserve"> </w:t>
      </w:r>
      <w:r w:rsidRPr="004D79AC">
        <w:rPr>
          <w:rFonts w:ascii="Times New Roman" w:hAnsi="Times New Roman" w:cs="Times New Roman"/>
          <w:color w:val="000000" w:themeColor="text1"/>
          <w:sz w:val="20"/>
          <w:szCs w:val="20"/>
        </w:rPr>
        <w:t>[6].</w:t>
      </w:r>
    </w:p>
    <w:p w14:paraId="6E0070B4"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Failure statistics and indicator significance</w:t>
      </w:r>
      <w:r w:rsidRPr="004D79AC">
        <w:rPr>
          <w:rFonts w:ascii="Times New Roman" w:hAnsi="Times New Roman" w:cs="Times New Roman"/>
          <w:color w:val="000000" w:themeColor="text1"/>
          <w:sz w:val="20"/>
          <w:szCs w:val="20"/>
        </w:rPr>
        <w:br/>
        <w:t>Review statistics show that the most frequent causes of transformer failures are insulation degradation (approximately 40–60% in various studies) as well as issues with bushings and tap changers. Analysis of historical failure data reveals that composite indices can predict failures 1–3 years in advance more accurately than individual measurements from DGA or thermography alone (e-cigre.org).</w:t>
      </w:r>
    </w:p>
    <w:p w14:paraId="21F0AB78" w14:textId="52B0348F"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 xml:space="preserve">Fig. </w:t>
      </w:r>
      <w:r w:rsidR="00FE1394" w:rsidRPr="004D79AC">
        <w:rPr>
          <w:rFonts w:ascii="Times New Roman" w:hAnsi="Times New Roman" w:cs="Times New Roman"/>
          <w:color w:val="000000" w:themeColor="text1"/>
          <w:sz w:val="20"/>
          <w:szCs w:val="20"/>
        </w:rPr>
        <w:t>2</w:t>
      </w:r>
      <w:r w:rsidRPr="004D79AC">
        <w:rPr>
          <w:rFonts w:ascii="Times New Roman" w:hAnsi="Times New Roman" w:cs="Times New Roman"/>
          <w:color w:val="000000" w:themeColor="text1"/>
          <w:sz w:val="20"/>
          <w:szCs w:val="20"/>
        </w:rPr>
        <w:t>. Classification schemes and parameter normalization, presents the classification of condition parameters into quantitative (e.g., DGA, moisture content, temperature) and qualitative (e.g., visual inspection, operational conditions) categories. The normalization histogram illustrates how raw measurements are mapped to a standardized [0,1] scale, providing a foundation for integration into the Health Index.</w:t>
      </w:r>
      <w:r w:rsidRPr="004D79AC">
        <w:rPr>
          <w:rFonts w:ascii="Times New Roman" w:hAnsi="Times New Roman" w:cs="Times New Roman"/>
          <w:sz w:val="20"/>
          <w:szCs w:val="20"/>
        </w:rPr>
        <w:t xml:space="preserve"> </w:t>
      </w:r>
      <w:r w:rsidRPr="004D79AC">
        <w:rPr>
          <w:rFonts w:ascii="Times New Roman" w:hAnsi="Times New Roman" w:cs="Times New Roman"/>
          <w:color w:val="000000" w:themeColor="text1"/>
          <w:sz w:val="20"/>
          <w:szCs w:val="20"/>
        </w:rPr>
        <w:t>[8].</w:t>
      </w:r>
    </w:p>
    <w:p w14:paraId="652BDB1C" w14:textId="77777777" w:rsidR="0078554B" w:rsidRPr="004D79AC" w:rsidRDefault="0078554B" w:rsidP="004D79AC">
      <w:pPr>
        <w:tabs>
          <w:tab w:val="left" w:pos="426"/>
        </w:tabs>
        <w:spacing w:after="0" w:line="240" w:lineRule="auto"/>
        <w:ind w:firstLine="284"/>
        <w:jc w:val="center"/>
        <w:rPr>
          <w:rFonts w:ascii="Times New Roman" w:hAnsi="Times New Roman" w:cs="Times New Roman"/>
          <w:noProof/>
          <w:color w:val="FF0000"/>
          <w:sz w:val="20"/>
          <w:szCs w:val="20"/>
        </w:rPr>
      </w:pPr>
    </w:p>
    <w:p w14:paraId="28EEDAA9" w14:textId="43996F1E" w:rsidR="007033DD" w:rsidRPr="004D79AC" w:rsidRDefault="007033DD" w:rsidP="004D79AC">
      <w:pPr>
        <w:tabs>
          <w:tab w:val="left" w:pos="426"/>
        </w:tabs>
        <w:spacing w:after="0" w:line="240" w:lineRule="auto"/>
        <w:ind w:firstLine="284"/>
        <w:jc w:val="center"/>
        <w:rPr>
          <w:rFonts w:ascii="Times New Roman" w:hAnsi="Times New Roman" w:cs="Times New Roman"/>
          <w:color w:val="FF0000"/>
          <w:sz w:val="20"/>
          <w:szCs w:val="20"/>
        </w:rPr>
      </w:pPr>
    </w:p>
    <w:p w14:paraId="0FC161EF" w14:textId="357FAD94" w:rsidR="0078554B" w:rsidRPr="004D79AC" w:rsidRDefault="0078554B" w:rsidP="004D79AC">
      <w:pPr>
        <w:tabs>
          <w:tab w:val="left" w:pos="426"/>
        </w:tabs>
        <w:spacing w:after="0" w:line="240" w:lineRule="auto"/>
        <w:ind w:firstLine="284"/>
        <w:jc w:val="center"/>
        <w:rPr>
          <w:rFonts w:ascii="Times New Roman" w:hAnsi="Times New Roman" w:cs="Times New Roman"/>
          <w:color w:val="FF0000"/>
          <w:sz w:val="20"/>
          <w:szCs w:val="20"/>
        </w:rPr>
      </w:pPr>
      <w:r w:rsidRPr="004D79AC">
        <w:rPr>
          <w:rFonts w:ascii="Times New Roman" w:hAnsi="Times New Roman" w:cs="Times New Roman"/>
          <w:noProof/>
          <w:color w:val="FF0000"/>
          <w:sz w:val="20"/>
          <w:szCs w:val="20"/>
          <w:lang w:val="ru-RU" w:eastAsia="ru-RU"/>
        </w:rPr>
        <w:drawing>
          <wp:inline distT="0" distB="0" distL="0" distR="0" wp14:anchorId="7E32E8EB" wp14:editId="600E8B2A">
            <wp:extent cx="5272087" cy="2981325"/>
            <wp:effectExtent l="0" t="0" r="508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47447B" w14:textId="513B64E9"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lang w:val="en"/>
        </w:rPr>
      </w:pPr>
      <w:r w:rsidRPr="004D79AC">
        <w:rPr>
          <w:rFonts w:ascii="Times New Roman" w:hAnsi="Times New Roman" w:cs="Times New Roman"/>
          <w:b/>
          <w:bCs/>
          <w:color w:val="000000" w:themeColor="text1"/>
          <w:sz w:val="20"/>
          <w:szCs w:val="20"/>
          <w:lang w:val="en"/>
        </w:rPr>
        <w:t>Fig.</w:t>
      </w:r>
      <w:r w:rsidR="00FE1394" w:rsidRPr="004D79AC">
        <w:rPr>
          <w:rFonts w:ascii="Times New Roman" w:hAnsi="Times New Roman" w:cs="Times New Roman"/>
          <w:b/>
          <w:bCs/>
          <w:color w:val="000000" w:themeColor="text1"/>
          <w:sz w:val="20"/>
          <w:szCs w:val="20"/>
        </w:rPr>
        <w:t>2.</w:t>
      </w:r>
      <w:r w:rsidR="00FE1394" w:rsidRPr="004D79AC">
        <w:rPr>
          <w:rFonts w:ascii="Times New Roman" w:hAnsi="Times New Roman" w:cs="Times New Roman"/>
          <w:color w:val="000000" w:themeColor="text1"/>
          <w:sz w:val="20"/>
          <w:szCs w:val="20"/>
        </w:rPr>
        <w:t xml:space="preserve"> </w:t>
      </w:r>
      <w:r w:rsidRPr="004D79AC">
        <w:rPr>
          <w:rFonts w:ascii="Times New Roman" w:hAnsi="Times New Roman" w:cs="Times New Roman"/>
          <w:color w:val="000000" w:themeColor="text1"/>
          <w:sz w:val="20"/>
          <w:szCs w:val="20"/>
          <w:lang w:val="en"/>
        </w:rPr>
        <w:t xml:space="preserve"> </w:t>
      </w:r>
      <w:r w:rsidR="00FE1394" w:rsidRPr="004D79AC">
        <w:rPr>
          <w:rFonts w:ascii="Times New Roman" w:hAnsi="Times New Roman" w:cs="Times New Roman"/>
          <w:color w:val="000000" w:themeColor="text1"/>
          <w:sz w:val="20"/>
          <w:szCs w:val="20"/>
          <w:lang w:val="ru-RU"/>
        </w:rPr>
        <w:t>С</w:t>
      </w:r>
      <w:r w:rsidRPr="004D79AC">
        <w:rPr>
          <w:rFonts w:ascii="Times New Roman" w:hAnsi="Times New Roman" w:cs="Times New Roman"/>
          <w:color w:val="000000" w:themeColor="text1"/>
          <w:sz w:val="20"/>
          <w:szCs w:val="20"/>
          <w:lang w:val="en"/>
        </w:rPr>
        <w:t>lassification of parameters</w:t>
      </w:r>
    </w:p>
    <w:p w14:paraId="6F294DAE" w14:textId="77777777" w:rsidR="00FD19F4" w:rsidRPr="004D79AC" w:rsidRDefault="00FD19F4" w:rsidP="004D79AC">
      <w:pPr>
        <w:tabs>
          <w:tab w:val="left" w:pos="426"/>
        </w:tabs>
        <w:spacing w:after="0" w:line="240" w:lineRule="auto"/>
        <w:ind w:firstLine="284"/>
        <w:jc w:val="center"/>
        <w:rPr>
          <w:rFonts w:ascii="Times New Roman" w:hAnsi="Times New Roman" w:cs="Times New Roman"/>
          <w:color w:val="000000" w:themeColor="text1"/>
          <w:sz w:val="20"/>
          <w:szCs w:val="20"/>
        </w:rPr>
      </w:pPr>
    </w:p>
    <w:p w14:paraId="3F1B20A3" w14:textId="5BB7B81F"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lang w:val="en"/>
        </w:rPr>
        <w:t>Fig</w:t>
      </w:r>
      <w:r w:rsidRPr="004D79AC">
        <w:rPr>
          <w:rFonts w:ascii="Times New Roman" w:hAnsi="Times New Roman" w:cs="Times New Roman"/>
          <w:color w:val="000000" w:themeColor="text1"/>
          <w:sz w:val="20"/>
          <w:szCs w:val="20"/>
        </w:rPr>
        <w:t>.</w:t>
      </w:r>
      <w:r w:rsidRPr="004D79AC">
        <w:rPr>
          <w:rFonts w:ascii="Times New Roman" w:hAnsi="Times New Roman" w:cs="Times New Roman"/>
          <w:color w:val="000000" w:themeColor="text1"/>
          <w:sz w:val="20"/>
          <w:szCs w:val="20"/>
          <w:lang w:val="en"/>
        </w:rPr>
        <w:t xml:space="preserve"> </w:t>
      </w:r>
      <w:r w:rsidR="00FE1394" w:rsidRPr="004D79AC">
        <w:rPr>
          <w:rFonts w:ascii="Times New Roman" w:hAnsi="Times New Roman" w:cs="Times New Roman"/>
          <w:color w:val="000000" w:themeColor="text1"/>
          <w:sz w:val="20"/>
          <w:szCs w:val="20"/>
        </w:rPr>
        <w:t>3</w:t>
      </w:r>
      <w:r w:rsidRPr="004D79AC">
        <w:rPr>
          <w:rFonts w:ascii="Times New Roman" w:hAnsi="Times New Roman" w:cs="Times New Roman"/>
          <w:color w:val="000000" w:themeColor="text1"/>
          <w:sz w:val="20"/>
          <w:szCs w:val="20"/>
          <w:lang w:val="en"/>
        </w:rPr>
        <w:t xml:space="preserve"> shows a comparison of the Health Index with different weights, demonstrating how changing the weights of the indicators affects the final health index.</w:t>
      </w:r>
      <w:r w:rsidRPr="004D79AC">
        <w:rPr>
          <w:rFonts w:ascii="Times New Roman" w:hAnsi="Times New Roman" w:cs="Times New Roman"/>
          <w:color w:val="000000" w:themeColor="text1"/>
          <w:sz w:val="20"/>
          <w:szCs w:val="20"/>
        </w:rPr>
        <w:t xml:space="preserve"> This figure illustrates the comparative behavior of the Health Index (HI) under different weighting schemes and threshold settings. Sensitivity analysis indicates that HI is most influenced by key parameters such as C₂H₂ (arc activity), PD, and hot-spot temperature. Adjusting weights based on historical failure data, regression analysis, or feature importance from machine learning models ensures more accurate early detection of potential transformer faults.</w:t>
      </w:r>
      <w:r w:rsidRPr="004D79AC">
        <w:rPr>
          <w:rFonts w:ascii="Times New Roman" w:hAnsi="Times New Roman" w:cs="Times New Roman"/>
          <w:sz w:val="20"/>
          <w:szCs w:val="20"/>
        </w:rPr>
        <w:t xml:space="preserve"> </w:t>
      </w:r>
      <w:r w:rsidRPr="004D79AC">
        <w:rPr>
          <w:rFonts w:ascii="Times New Roman" w:hAnsi="Times New Roman" w:cs="Times New Roman"/>
          <w:color w:val="000000" w:themeColor="text1"/>
          <w:sz w:val="20"/>
          <w:szCs w:val="20"/>
        </w:rPr>
        <w:t>[9].</w:t>
      </w:r>
    </w:p>
    <w:p w14:paraId="0EBFF418"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The figure also highlights how multi-factor aggregation outperforms individual diagnostics (DGA or thermography) in capturing complex deviations, providing a robust tool for predictive maintenance and operational decision-making.</w:t>
      </w:r>
    </w:p>
    <w:p w14:paraId="7503FF41"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FF0000"/>
          <w:sz w:val="20"/>
          <w:szCs w:val="20"/>
        </w:rPr>
      </w:pPr>
    </w:p>
    <w:p w14:paraId="356445D8" w14:textId="38E2B686" w:rsidR="007033DD" w:rsidRPr="004D79AC" w:rsidRDefault="007033DD" w:rsidP="004D79AC">
      <w:pPr>
        <w:tabs>
          <w:tab w:val="left" w:pos="426"/>
        </w:tabs>
        <w:spacing w:after="0" w:line="240" w:lineRule="auto"/>
        <w:ind w:firstLine="284"/>
        <w:jc w:val="center"/>
        <w:rPr>
          <w:rFonts w:ascii="Times New Roman" w:hAnsi="Times New Roman" w:cs="Times New Roman"/>
          <w:color w:val="FF0000"/>
          <w:sz w:val="20"/>
          <w:szCs w:val="20"/>
        </w:rPr>
      </w:pPr>
    </w:p>
    <w:p w14:paraId="47AFF0E1" w14:textId="78E8E2B7" w:rsidR="00241038" w:rsidRPr="004D79AC" w:rsidRDefault="00241038" w:rsidP="004D79AC">
      <w:pPr>
        <w:tabs>
          <w:tab w:val="left" w:pos="426"/>
        </w:tabs>
        <w:spacing w:after="0" w:line="240" w:lineRule="auto"/>
        <w:ind w:firstLine="284"/>
        <w:jc w:val="center"/>
        <w:rPr>
          <w:rFonts w:ascii="Times New Roman" w:hAnsi="Times New Roman" w:cs="Times New Roman"/>
          <w:color w:val="FF0000"/>
          <w:sz w:val="20"/>
          <w:szCs w:val="20"/>
        </w:rPr>
      </w:pPr>
      <w:r w:rsidRPr="004D79AC">
        <w:rPr>
          <w:rFonts w:ascii="Times New Roman" w:hAnsi="Times New Roman" w:cs="Times New Roman"/>
          <w:noProof/>
          <w:color w:val="FF0000"/>
          <w:sz w:val="20"/>
          <w:szCs w:val="20"/>
          <w:lang w:val="ru-RU" w:eastAsia="ru-RU"/>
        </w:rPr>
        <w:lastRenderedPageBreak/>
        <w:drawing>
          <wp:inline distT="0" distB="0" distL="0" distR="0" wp14:anchorId="194E735B" wp14:editId="48935618">
            <wp:extent cx="4624387" cy="2538413"/>
            <wp:effectExtent l="0" t="0" r="5080" b="146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D8323A" w14:textId="7B6DE34C" w:rsidR="007033DD" w:rsidRPr="004D79AC" w:rsidRDefault="007033DD" w:rsidP="004D79AC">
      <w:pPr>
        <w:tabs>
          <w:tab w:val="left" w:pos="426"/>
        </w:tabs>
        <w:spacing w:after="0" w:line="240" w:lineRule="auto"/>
        <w:ind w:firstLine="284"/>
        <w:jc w:val="center"/>
        <w:rPr>
          <w:rFonts w:ascii="Times New Roman" w:hAnsi="Times New Roman" w:cs="Times New Roman"/>
          <w:color w:val="000000" w:themeColor="text1"/>
          <w:sz w:val="20"/>
          <w:szCs w:val="20"/>
        </w:rPr>
      </w:pPr>
      <w:r w:rsidRPr="004D79AC">
        <w:rPr>
          <w:rFonts w:ascii="Times New Roman" w:hAnsi="Times New Roman" w:cs="Times New Roman"/>
          <w:b/>
          <w:bCs/>
          <w:color w:val="000000" w:themeColor="text1"/>
          <w:sz w:val="20"/>
          <w:szCs w:val="20"/>
        </w:rPr>
        <w:t xml:space="preserve">Fig. </w:t>
      </w:r>
      <w:r w:rsidR="00FE1394" w:rsidRPr="004D79AC">
        <w:rPr>
          <w:rFonts w:ascii="Times New Roman" w:hAnsi="Times New Roman" w:cs="Times New Roman"/>
          <w:b/>
          <w:bCs/>
          <w:color w:val="000000" w:themeColor="text1"/>
          <w:sz w:val="20"/>
          <w:szCs w:val="20"/>
        </w:rPr>
        <w:t>3</w:t>
      </w:r>
      <w:r w:rsidRPr="004D79AC">
        <w:rPr>
          <w:rFonts w:ascii="Times New Roman" w:hAnsi="Times New Roman" w:cs="Times New Roman"/>
          <w:b/>
          <w:bCs/>
          <w:color w:val="000000" w:themeColor="text1"/>
          <w:sz w:val="20"/>
          <w:szCs w:val="20"/>
        </w:rPr>
        <w:t>.</w:t>
      </w:r>
      <w:r w:rsidRPr="004D79AC">
        <w:rPr>
          <w:rFonts w:ascii="Times New Roman" w:hAnsi="Times New Roman" w:cs="Times New Roman"/>
          <w:color w:val="000000" w:themeColor="text1"/>
          <w:sz w:val="20"/>
          <w:szCs w:val="20"/>
        </w:rPr>
        <w:t xml:space="preserve"> Health Index comparison</w:t>
      </w:r>
    </w:p>
    <w:p w14:paraId="7D13B414" w14:textId="77777777" w:rsidR="00FD19F4" w:rsidRPr="004D79AC" w:rsidRDefault="00FD19F4" w:rsidP="004D79AC">
      <w:pPr>
        <w:tabs>
          <w:tab w:val="left" w:pos="426"/>
        </w:tabs>
        <w:spacing w:after="0" w:line="240" w:lineRule="auto"/>
        <w:ind w:firstLine="284"/>
        <w:jc w:val="center"/>
        <w:rPr>
          <w:rFonts w:ascii="Times New Roman" w:hAnsi="Times New Roman" w:cs="Times New Roman"/>
          <w:color w:val="000000" w:themeColor="text1"/>
          <w:sz w:val="20"/>
          <w:szCs w:val="20"/>
        </w:rPr>
      </w:pPr>
    </w:p>
    <w:p w14:paraId="1B0BD535" w14:textId="77777777"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Sensitivity analysis revealed that the Health Index (HI) is most influenced by the weights of key indicators, particularly C₂H₂ (arc activity), PD, and temperature. Therefore, it is recommended to calibrate weights using historical data from the specific transformer fleet through regression, feature-selection techniques, or expert audit.</w:t>
      </w:r>
    </w:p>
    <w:p w14:paraId="2FFF0894" w14:textId="520883A4" w:rsidR="007033DD" w:rsidRPr="004D79AC" w:rsidRDefault="007033DD" w:rsidP="004D79AC">
      <w:pPr>
        <w:tabs>
          <w:tab w:val="left" w:pos="426"/>
        </w:tabs>
        <w:spacing w:after="0" w:line="240" w:lineRule="auto"/>
        <w:ind w:firstLine="284"/>
        <w:jc w:val="both"/>
        <w:rPr>
          <w:rFonts w:ascii="Times New Roman" w:hAnsi="Times New Roman" w:cs="Times New Roman"/>
          <w:color w:val="000000" w:themeColor="text1"/>
          <w:sz w:val="20"/>
          <w:szCs w:val="20"/>
          <w:lang w:val="ru-RU"/>
        </w:rPr>
      </w:pPr>
      <w:r w:rsidRPr="004D79AC">
        <w:rPr>
          <w:rFonts w:ascii="Times New Roman" w:hAnsi="Times New Roman" w:cs="Times New Roman"/>
          <w:color w:val="000000" w:themeColor="text1"/>
          <w:sz w:val="20"/>
          <w:szCs w:val="20"/>
          <w:lang w:val="ru-RU"/>
        </w:rPr>
        <w:t>Discussion on Practical Implementability</w:t>
      </w:r>
      <w:r w:rsidR="00402F1C">
        <w:rPr>
          <w:rFonts w:ascii="Times New Roman" w:hAnsi="Times New Roman" w:cs="Times New Roman"/>
          <w:color w:val="000000" w:themeColor="text1"/>
          <w:sz w:val="20"/>
          <w:szCs w:val="20"/>
        </w:rPr>
        <w:t xml:space="preserve"> </w:t>
      </w:r>
      <w:r w:rsidRPr="004D79AC">
        <w:rPr>
          <w:rFonts w:ascii="Times New Roman" w:hAnsi="Times New Roman" w:cs="Times New Roman"/>
          <w:color w:val="000000" w:themeColor="text1"/>
          <w:sz w:val="20"/>
          <w:szCs w:val="20"/>
        </w:rPr>
        <w:t>[10</w:t>
      </w:r>
      <w:r w:rsidR="00402F1C">
        <w:rPr>
          <w:rFonts w:ascii="Times New Roman" w:hAnsi="Times New Roman" w:cs="Times New Roman"/>
          <w:color w:val="000000" w:themeColor="text1"/>
          <w:sz w:val="20"/>
          <w:szCs w:val="20"/>
        </w:rPr>
        <w:t>-43</w:t>
      </w:r>
      <w:bookmarkStart w:id="0" w:name="_GoBack"/>
      <w:bookmarkEnd w:id="0"/>
      <w:r w:rsidRPr="004D79AC">
        <w:rPr>
          <w:rFonts w:ascii="Times New Roman" w:hAnsi="Times New Roman" w:cs="Times New Roman"/>
          <w:color w:val="000000" w:themeColor="text1"/>
          <w:sz w:val="20"/>
          <w:szCs w:val="20"/>
        </w:rPr>
        <w:t>].</w:t>
      </w:r>
    </w:p>
    <w:p w14:paraId="65F8E3B0" w14:textId="77777777" w:rsidR="007033DD" w:rsidRPr="004D79AC" w:rsidRDefault="007033DD" w:rsidP="004D79AC">
      <w:pPr>
        <w:numPr>
          <w:ilvl w:val="0"/>
          <w:numId w:val="6"/>
        </w:numPr>
        <w:tabs>
          <w:tab w:val="clear" w:pos="720"/>
          <w:tab w:val="left" w:pos="426"/>
        </w:tabs>
        <w:spacing w:after="0" w:line="240" w:lineRule="auto"/>
        <w:ind w:left="0"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Data collection: standardized oil sampling (in accordance with IEC 60422) and synchronization of measurements (DGA, PD, thermography) with time stamps are essential for accurate HI computation (webstore.iec.ch).</w:t>
      </w:r>
    </w:p>
    <w:p w14:paraId="1843D38C" w14:textId="5A9C45B4" w:rsidR="007033DD" w:rsidRPr="004D79AC" w:rsidRDefault="007033DD" w:rsidP="004D79AC">
      <w:pPr>
        <w:numPr>
          <w:ilvl w:val="0"/>
          <w:numId w:val="6"/>
        </w:numPr>
        <w:tabs>
          <w:tab w:val="clear" w:pos="720"/>
          <w:tab w:val="left" w:pos="426"/>
        </w:tabs>
        <w:spacing w:after="0" w:line="240" w:lineRule="auto"/>
        <w:ind w:left="0"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 xml:space="preserve">Calibration of reference values: reference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rPr>
              <m:t>min</m:t>
            </m:r>
          </m:sub>
        </m:sSub>
      </m:oMath>
      <w:r w:rsidRPr="004D79AC">
        <w:rPr>
          <w:rFonts w:ascii="Times New Roman" w:hAnsi="Times New Roman" w:cs="Times New Roman"/>
          <w:color w:val="000000" w:themeColor="text1"/>
          <w:sz w:val="20"/>
          <w:szCs w:val="20"/>
        </w:rPr>
        <w:t xml:space="preserv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rPr>
              <m:t>max</m:t>
            </m:r>
          </m:sub>
        </m:sSub>
      </m:oMath>
      <w:r w:rsidRPr="004D79AC">
        <w:rPr>
          <w:rFonts w:ascii="Times New Roman" w:hAnsi="Times New Roman" w:cs="Times New Roman"/>
          <w:color w:val="000000" w:themeColor="text1"/>
          <w:sz w:val="20"/>
          <w:szCs w:val="20"/>
        </w:rPr>
        <w:t>must be established and adapted to transformer type, voltage class, and climate conditions.</w:t>
      </w:r>
    </w:p>
    <w:p w14:paraId="7D1757F4" w14:textId="77777777" w:rsidR="007033DD" w:rsidRPr="004D79AC" w:rsidRDefault="007033DD" w:rsidP="004D79AC">
      <w:pPr>
        <w:numPr>
          <w:ilvl w:val="0"/>
          <w:numId w:val="6"/>
        </w:numPr>
        <w:tabs>
          <w:tab w:val="clear" w:pos="720"/>
          <w:tab w:val="left" w:pos="426"/>
        </w:tabs>
        <w:spacing w:after="0" w:line="240" w:lineRule="auto"/>
        <w:ind w:left="0"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Integration into CMMS/SCADA: The HI can be visualized within asset management systems and used for maintenance planning and repair prioritization.</w:t>
      </w:r>
    </w:p>
    <w:p w14:paraId="03963164" w14:textId="2F66B860" w:rsidR="007033DD" w:rsidRPr="004D79AC" w:rsidRDefault="007033DD" w:rsidP="004D79AC">
      <w:pPr>
        <w:numPr>
          <w:ilvl w:val="0"/>
          <w:numId w:val="6"/>
        </w:numPr>
        <w:tabs>
          <w:tab w:val="clear" w:pos="720"/>
          <w:tab w:val="left" w:pos="426"/>
        </w:tabs>
        <w:spacing w:after="0" w:line="240" w:lineRule="auto"/>
        <w:ind w:left="0" w:firstLine="284"/>
        <w:jc w:val="both"/>
        <w:rPr>
          <w:rFonts w:ascii="Times New Roman" w:hAnsi="Times New Roman" w:cs="Times New Roman"/>
          <w:color w:val="000000" w:themeColor="text1"/>
          <w:sz w:val="20"/>
          <w:szCs w:val="20"/>
        </w:rPr>
      </w:pPr>
      <w:r w:rsidRPr="004D79AC">
        <w:rPr>
          <w:rFonts w:ascii="Times New Roman" w:hAnsi="Times New Roman" w:cs="Times New Roman"/>
          <w:color w:val="000000" w:themeColor="text1"/>
          <w:sz w:val="20"/>
          <w:szCs w:val="20"/>
        </w:rPr>
        <w:t>Personnel Training: Engineers must be trained to interpret fuzzy rules and provide accurate expert evaluations. [11].</w:t>
      </w:r>
    </w:p>
    <w:p w14:paraId="49C27D49" w14:textId="123390A2" w:rsidR="007033DD" w:rsidRPr="007033DD" w:rsidRDefault="007033DD" w:rsidP="007033DD">
      <w:pPr>
        <w:overflowPunct w:val="0"/>
        <w:autoSpaceDE w:val="0"/>
        <w:autoSpaceDN w:val="0"/>
        <w:adjustRightInd w:val="0"/>
        <w:spacing w:before="240" w:after="240" w:line="240" w:lineRule="auto"/>
        <w:ind w:left="360"/>
        <w:jc w:val="center"/>
        <w:textAlignment w:val="baseline"/>
        <w:rPr>
          <w:rFonts w:ascii="Times New Roman" w:hAnsi="Times New Roman" w:cs="Times New Roman"/>
          <w:b/>
          <w:sz w:val="24"/>
          <w:szCs w:val="24"/>
        </w:rPr>
      </w:pPr>
      <w:r w:rsidRPr="007033DD">
        <w:rPr>
          <w:rFonts w:ascii="Times New Roman" w:hAnsi="Times New Roman" w:cs="Times New Roman"/>
          <w:b/>
          <w:sz w:val="24"/>
          <w:szCs w:val="24"/>
        </w:rPr>
        <w:t>CONCLUSIONS</w:t>
      </w:r>
    </w:p>
    <w:p w14:paraId="53A0ED3F" w14:textId="404F4263"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 xml:space="preserve">The proposed methodology provides a structured and transparent approach for integrating quantitative and qualitative transformer condition parameters into a unified Health Index (HI). The illustrative example demonstrated that HI can be calculated with relative ease and interpreted clearly, enabling timely identification of deviations and potential failures. Comparative analysis and literature review confirm that a multi-factor approach surpasses single-method assessments in terms of diagnostic coverage, sensitivity to early-stage faults, and robustness against incomplete or noisy data. </w:t>
      </w:r>
    </w:p>
    <w:p w14:paraId="5FBA6FB6"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lang w:val="ru-RU"/>
        </w:rPr>
      </w:pPr>
      <w:r w:rsidRPr="007033DD">
        <w:rPr>
          <w:rFonts w:ascii="Times New Roman" w:hAnsi="Times New Roman" w:cs="Times New Roman"/>
          <w:color w:val="000000" w:themeColor="text1"/>
          <w:sz w:val="20"/>
          <w:lang w:val="ru-RU"/>
        </w:rPr>
        <w:t xml:space="preserve">Key </w:t>
      </w:r>
      <w:r w:rsidRPr="007033DD">
        <w:rPr>
          <w:rFonts w:ascii="Times New Roman" w:hAnsi="Times New Roman" w:cs="Times New Roman"/>
          <w:color w:val="000000" w:themeColor="text1"/>
          <w:sz w:val="20"/>
        </w:rPr>
        <w:t>r</w:t>
      </w:r>
      <w:r w:rsidRPr="007033DD">
        <w:rPr>
          <w:rFonts w:ascii="Times New Roman" w:hAnsi="Times New Roman" w:cs="Times New Roman"/>
          <w:color w:val="000000" w:themeColor="text1"/>
          <w:sz w:val="20"/>
          <w:lang w:val="ru-RU"/>
        </w:rPr>
        <w:t xml:space="preserve">ecommendations for </w:t>
      </w:r>
      <w:r w:rsidRPr="007033DD">
        <w:rPr>
          <w:rFonts w:ascii="Times New Roman" w:hAnsi="Times New Roman" w:cs="Times New Roman"/>
          <w:color w:val="000000" w:themeColor="text1"/>
          <w:sz w:val="20"/>
        </w:rPr>
        <w:t>i</w:t>
      </w:r>
      <w:r w:rsidRPr="007033DD">
        <w:rPr>
          <w:rFonts w:ascii="Times New Roman" w:hAnsi="Times New Roman" w:cs="Times New Roman"/>
          <w:color w:val="000000" w:themeColor="text1"/>
          <w:sz w:val="20"/>
          <w:lang w:val="ru-RU"/>
        </w:rPr>
        <w:t>mplementation:</w:t>
      </w:r>
    </w:p>
    <w:p w14:paraId="0E5C938E" w14:textId="77777777" w:rsidR="007033DD" w:rsidRPr="007033DD" w:rsidRDefault="007033DD" w:rsidP="004D79AC">
      <w:pPr>
        <w:numPr>
          <w:ilvl w:val="0"/>
          <w:numId w:val="7"/>
        </w:numPr>
        <w:tabs>
          <w:tab w:val="clear" w:pos="720"/>
          <w:tab w:val="left" w:pos="142"/>
          <w:tab w:val="num" w:pos="284"/>
          <w:tab w:val="left" w:pos="567"/>
        </w:tabs>
        <w:spacing w:after="0" w:line="240" w:lineRule="auto"/>
        <w:ind w:left="0"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Historical data collection and weight calibration:</w:t>
      </w:r>
    </w:p>
    <w:p w14:paraId="10955A6C"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Collect and maintain detailed historical failure data.</w:t>
      </w:r>
    </w:p>
    <w:p w14:paraId="4CBA9EAD"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Adjust parameter weights based on statistical methods (regression, feature importance, SHAP values) or expert evaluation to reflect the criticality of each indicator within the specific transformer fleet.</w:t>
      </w:r>
    </w:p>
    <w:p w14:paraId="2E662A97" w14:textId="77777777" w:rsidR="007033DD" w:rsidRPr="007033DD" w:rsidRDefault="007033DD" w:rsidP="004D79AC">
      <w:pPr>
        <w:numPr>
          <w:ilvl w:val="0"/>
          <w:numId w:val="7"/>
        </w:numPr>
        <w:tabs>
          <w:tab w:val="clear" w:pos="720"/>
          <w:tab w:val="left" w:pos="142"/>
          <w:tab w:val="num" w:pos="426"/>
          <w:tab w:val="left" w:pos="567"/>
        </w:tabs>
        <w:spacing w:after="0" w:line="240" w:lineRule="auto"/>
        <w:ind w:left="0"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Complementary use of fuzzy and deterministic models:</w:t>
      </w:r>
    </w:p>
    <w:p w14:paraId="207CB13C"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Employ the fuzzy mamdani model alongside the linear weighted index for scenarios with incomplete, uncertain, or noisy measurements.</w:t>
      </w:r>
    </w:p>
    <w:p w14:paraId="6AA7FE1F"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Use deterministic aggregation for transparent, reproducible reporting and regulatory compliance.</w:t>
      </w:r>
    </w:p>
    <w:p w14:paraId="49CCD55C" w14:textId="77777777" w:rsidR="007033DD" w:rsidRPr="007033DD" w:rsidRDefault="007033DD" w:rsidP="004D79AC">
      <w:pPr>
        <w:numPr>
          <w:ilvl w:val="0"/>
          <w:numId w:val="7"/>
        </w:numPr>
        <w:tabs>
          <w:tab w:val="clear" w:pos="720"/>
          <w:tab w:val="left" w:pos="142"/>
          <w:tab w:val="num" w:pos="426"/>
          <w:tab w:val="left" w:pos="567"/>
        </w:tabs>
        <w:spacing w:after="0" w:line="240" w:lineRule="auto"/>
        <w:ind w:left="0"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Pilot implementation and threshold calibration:</w:t>
      </w:r>
    </w:p>
    <w:p w14:paraId="52220C0D"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Deploy pilot projects on a subset of uniform transformers to calibrate thresholds and verify HI performance across operational conditions.</w:t>
      </w:r>
    </w:p>
    <w:p w14:paraId="7F35428F" w14:textId="77777777" w:rsidR="007033DD" w:rsidRPr="007033DD" w:rsidRDefault="007033DD" w:rsidP="004D79AC">
      <w:pPr>
        <w:numPr>
          <w:ilvl w:val="0"/>
          <w:numId w:val="7"/>
        </w:numPr>
        <w:tabs>
          <w:tab w:val="clear" w:pos="720"/>
          <w:tab w:val="left" w:pos="142"/>
          <w:tab w:val="left" w:pos="284"/>
          <w:tab w:val="left" w:pos="567"/>
        </w:tabs>
        <w:spacing w:after="0" w:line="240" w:lineRule="auto"/>
        <w:ind w:left="0"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Integration with asset management and monitoring systems:</w:t>
      </w:r>
    </w:p>
    <w:p w14:paraId="3947611C"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lastRenderedPageBreak/>
        <w:t>Implement HI within CMMS or SCADA systems to support predictive maintenance planning and prioritization of repair activities.</w:t>
      </w:r>
    </w:p>
    <w:p w14:paraId="02653E13" w14:textId="3BB2992C"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 xml:space="preserve">Integrate online monitoring sensors (fiber-optic, IoT) to increase data collection frequency and real-time responsiveness. </w:t>
      </w:r>
    </w:p>
    <w:p w14:paraId="010B1CA6" w14:textId="77777777" w:rsidR="007033DD" w:rsidRPr="007033DD" w:rsidRDefault="007033DD" w:rsidP="004D79AC">
      <w:pPr>
        <w:numPr>
          <w:ilvl w:val="0"/>
          <w:numId w:val="7"/>
        </w:numPr>
        <w:tabs>
          <w:tab w:val="clear" w:pos="720"/>
          <w:tab w:val="left" w:pos="142"/>
          <w:tab w:val="num" w:pos="284"/>
          <w:tab w:val="left" w:pos="567"/>
        </w:tabs>
        <w:spacing w:after="0" w:line="240" w:lineRule="auto"/>
        <w:ind w:left="0"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Standardized measurement and data management:</w:t>
      </w:r>
    </w:p>
    <w:p w14:paraId="2256B332"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Ensure oil sampling, DGA, PD, and thermographic measurements follow standardized procedures (e.g., IEC 60422).</w:t>
      </w:r>
    </w:p>
    <w:p w14:paraId="73255A0D"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Synchronize measurement timestamps to maintain data integrity.</w:t>
      </w:r>
    </w:p>
    <w:p w14:paraId="7AFC8A0F" w14:textId="77777777" w:rsidR="007033DD" w:rsidRPr="007033DD" w:rsidRDefault="007033DD" w:rsidP="004D79AC">
      <w:pPr>
        <w:numPr>
          <w:ilvl w:val="0"/>
          <w:numId w:val="7"/>
        </w:numPr>
        <w:tabs>
          <w:tab w:val="clear" w:pos="720"/>
          <w:tab w:val="left" w:pos="142"/>
          <w:tab w:val="num" w:pos="284"/>
          <w:tab w:val="left" w:pos="567"/>
        </w:tabs>
        <w:spacing w:after="0" w:line="240" w:lineRule="auto"/>
        <w:ind w:left="0" w:firstLine="284"/>
        <w:jc w:val="both"/>
        <w:rPr>
          <w:rFonts w:ascii="Times New Roman" w:hAnsi="Times New Roman" w:cs="Times New Roman"/>
          <w:color w:val="000000" w:themeColor="text1"/>
          <w:sz w:val="20"/>
          <w:lang w:val="ru-RU"/>
        </w:rPr>
      </w:pPr>
      <w:r w:rsidRPr="007033DD">
        <w:rPr>
          <w:rFonts w:ascii="Times New Roman" w:hAnsi="Times New Roman" w:cs="Times New Roman"/>
          <w:color w:val="000000" w:themeColor="text1"/>
          <w:sz w:val="20"/>
          <w:lang w:val="ru-RU"/>
        </w:rPr>
        <w:t xml:space="preserve">Personnel </w:t>
      </w:r>
      <w:r w:rsidRPr="007033DD">
        <w:rPr>
          <w:rFonts w:ascii="Times New Roman" w:hAnsi="Times New Roman" w:cs="Times New Roman"/>
          <w:color w:val="000000" w:themeColor="text1"/>
          <w:sz w:val="20"/>
        </w:rPr>
        <w:t>t</w:t>
      </w:r>
      <w:r w:rsidRPr="007033DD">
        <w:rPr>
          <w:rFonts w:ascii="Times New Roman" w:hAnsi="Times New Roman" w:cs="Times New Roman"/>
          <w:color w:val="000000" w:themeColor="text1"/>
          <w:sz w:val="20"/>
          <w:lang w:val="ru-RU"/>
        </w:rPr>
        <w:t>raining:</w:t>
      </w:r>
    </w:p>
    <w:p w14:paraId="4549683F"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Train engineering staff on the interpretation of fuzzy rules and accurate expert assessments to ensure consistent evaluation of qualitative parameters.</w:t>
      </w:r>
    </w:p>
    <w:p w14:paraId="2C310A09" w14:textId="77777777" w:rsidR="007033DD" w:rsidRPr="007033DD" w:rsidRDefault="007033DD" w:rsidP="004D79AC">
      <w:pPr>
        <w:numPr>
          <w:ilvl w:val="0"/>
          <w:numId w:val="7"/>
        </w:numPr>
        <w:tabs>
          <w:tab w:val="clear" w:pos="720"/>
          <w:tab w:val="left" w:pos="142"/>
          <w:tab w:val="num" w:pos="284"/>
          <w:tab w:val="left" w:pos="567"/>
        </w:tabs>
        <w:spacing w:after="0" w:line="240" w:lineRule="auto"/>
        <w:ind w:left="0" w:firstLine="284"/>
        <w:jc w:val="both"/>
        <w:rPr>
          <w:rFonts w:ascii="Times New Roman" w:hAnsi="Times New Roman" w:cs="Times New Roman"/>
          <w:color w:val="000000" w:themeColor="text1"/>
          <w:sz w:val="20"/>
          <w:lang w:val="ru-RU"/>
        </w:rPr>
      </w:pPr>
      <w:r w:rsidRPr="007033DD">
        <w:rPr>
          <w:rFonts w:ascii="Times New Roman" w:hAnsi="Times New Roman" w:cs="Times New Roman"/>
          <w:color w:val="000000" w:themeColor="text1"/>
          <w:sz w:val="20"/>
          <w:lang w:val="ru-RU"/>
        </w:rPr>
        <w:t xml:space="preserve">Adaptation </w:t>
      </w:r>
      <w:r w:rsidRPr="007033DD">
        <w:rPr>
          <w:rFonts w:ascii="Times New Roman" w:hAnsi="Times New Roman" w:cs="Times New Roman"/>
          <w:color w:val="000000" w:themeColor="text1"/>
          <w:sz w:val="20"/>
        </w:rPr>
        <w:t>a</w:t>
      </w:r>
      <w:r w:rsidRPr="007033DD">
        <w:rPr>
          <w:rFonts w:ascii="Times New Roman" w:hAnsi="Times New Roman" w:cs="Times New Roman"/>
          <w:color w:val="000000" w:themeColor="text1"/>
          <w:sz w:val="20"/>
          <w:lang w:val="ru-RU"/>
        </w:rPr>
        <w:t xml:space="preserve">cross </w:t>
      </w:r>
      <w:r w:rsidRPr="007033DD">
        <w:rPr>
          <w:rFonts w:ascii="Times New Roman" w:hAnsi="Times New Roman" w:cs="Times New Roman"/>
          <w:color w:val="000000" w:themeColor="text1"/>
          <w:sz w:val="20"/>
        </w:rPr>
        <w:t>d</w:t>
      </w:r>
      <w:r w:rsidRPr="007033DD">
        <w:rPr>
          <w:rFonts w:ascii="Times New Roman" w:hAnsi="Times New Roman" w:cs="Times New Roman"/>
          <w:color w:val="000000" w:themeColor="text1"/>
          <w:sz w:val="20"/>
          <w:lang w:val="ru-RU"/>
        </w:rPr>
        <w:t xml:space="preserve">ifferent </w:t>
      </w:r>
      <w:r w:rsidRPr="007033DD">
        <w:rPr>
          <w:rFonts w:ascii="Times New Roman" w:hAnsi="Times New Roman" w:cs="Times New Roman"/>
          <w:color w:val="000000" w:themeColor="text1"/>
          <w:sz w:val="20"/>
        </w:rPr>
        <w:t>c</w:t>
      </w:r>
      <w:r w:rsidRPr="007033DD">
        <w:rPr>
          <w:rFonts w:ascii="Times New Roman" w:hAnsi="Times New Roman" w:cs="Times New Roman"/>
          <w:color w:val="000000" w:themeColor="text1"/>
          <w:sz w:val="20"/>
          <w:lang w:val="ru-RU"/>
        </w:rPr>
        <w:t>onditions:</w:t>
      </w:r>
    </w:p>
    <w:p w14:paraId="705ACA3E"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Investigate the transferability of thresholds and weight configurations across different climate zones, transformer types, and manufacturers.</w:t>
      </w:r>
    </w:p>
    <w:p w14:paraId="660D9798"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Use machine learning-assisted optimization to refine HI for new operational contexts.</w:t>
      </w:r>
    </w:p>
    <w:p w14:paraId="327D91CA" w14:textId="77777777" w:rsidR="007033DD" w:rsidRPr="007033DD" w:rsidRDefault="007033DD" w:rsidP="004D79AC">
      <w:pPr>
        <w:numPr>
          <w:ilvl w:val="0"/>
          <w:numId w:val="7"/>
        </w:numPr>
        <w:tabs>
          <w:tab w:val="clear" w:pos="720"/>
          <w:tab w:val="left" w:pos="142"/>
          <w:tab w:val="num" w:pos="284"/>
          <w:tab w:val="left" w:pos="567"/>
        </w:tabs>
        <w:spacing w:after="0" w:line="240" w:lineRule="auto"/>
        <w:ind w:left="0" w:firstLine="284"/>
        <w:jc w:val="both"/>
        <w:rPr>
          <w:rFonts w:ascii="Times New Roman" w:hAnsi="Times New Roman" w:cs="Times New Roman"/>
          <w:color w:val="000000" w:themeColor="text1"/>
          <w:sz w:val="20"/>
          <w:lang w:val="ru-RU"/>
        </w:rPr>
      </w:pPr>
      <w:r w:rsidRPr="007033DD">
        <w:rPr>
          <w:rFonts w:ascii="Times New Roman" w:hAnsi="Times New Roman" w:cs="Times New Roman"/>
          <w:color w:val="000000" w:themeColor="text1"/>
          <w:sz w:val="20"/>
          <w:lang w:val="ru-RU"/>
        </w:rPr>
        <w:t xml:space="preserve">Future </w:t>
      </w:r>
      <w:r w:rsidRPr="007033DD">
        <w:rPr>
          <w:rFonts w:ascii="Times New Roman" w:hAnsi="Times New Roman" w:cs="Times New Roman"/>
          <w:color w:val="000000" w:themeColor="text1"/>
          <w:sz w:val="20"/>
        </w:rPr>
        <w:t>e</w:t>
      </w:r>
      <w:r w:rsidRPr="007033DD">
        <w:rPr>
          <w:rFonts w:ascii="Times New Roman" w:hAnsi="Times New Roman" w:cs="Times New Roman"/>
          <w:color w:val="000000" w:themeColor="text1"/>
          <w:sz w:val="20"/>
          <w:lang w:val="ru-RU"/>
        </w:rPr>
        <w:t>nhancements:</w:t>
      </w:r>
    </w:p>
    <w:p w14:paraId="164EB79F"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Explore automatic adjustment of HI weights using AI-based predictive analytics.</w:t>
      </w:r>
    </w:p>
    <w:p w14:paraId="64E6FBF1" w14:textId="77777777"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Develop interfaces for real-time visualization of transformer health trends to support strategic decision-making.</w:t>
      </w:r>
    </w:p>
    <w:p w14:paraId="494498F4" w14:textId="77F04F02" w:rsidR="007033DD" w:rsidRPr="007033DD" w:rsidRDefault="007033DD" w:rsidP="004D79AC">
      <w:pPr>
        <w:tabs>
          <w:tab w:val="left" w:pos="142"/>
          <w:tab w:val="left" w:pos="567"/>
        </w:tabs>
        <w:spacing w:after="0" w:line="240" w:lineRule="auto"/>
        <w:ind w:firstLine="284"/>
        <w:jc w:val="both"/>
        <w:rPr>
          <w:rFonts w:ascii="Times New Roman" w:hAnsi="Times New Roman" w:cs="Times New Roman"/>
          <w:color w:val="000000" w:themeColor="text1"/>
          <w:sz w:val="20"/>
        </w:rPr>
      </w:pPr>
      <w:r w:rsidRPr="007033DD">
        <w:rPr>
          <w:rFonts w:ascii="Times New Roman" w:hAnsi="Times New Roman" w:cs="Times New Roman"/>
          <w:color w:val="000000" w:themeColor="text1"/>
          <w:sz w:val="20"/>
        </w:rPr>
        <w:t>In conclusion, the integrated HI methodology offers a practical, flexible, and reproducible framework for transformer condition assessment, supporting both short-term operational decisions and long-term asset management strategies.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5306C025" w14:textId="5B3CC8D8" w:rsidR="007033DD" w:rsidRPr="00402F1C" w:rsidRDefault="007033DD"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D79AC">
        <w:rPr>
          <w:rFonts w:ascii="Times New Roman" w:hAnsi="Times New Roman" w:cs="Times New Roman"/>
          <w:sz w:val="20"/>
          <w:szCs w:val="20"/>
          <w:lang w:val="uz-Cyrl-UZ"/>
        </w:rPr>
        <w:t>Ab</w:t>
      </w:r>
      <w:r w:rsidRPr="00402F1C">
        <w:rPr>
          <w:rFonts w:ascii="Times New Roman" w:hAnsi="Times New Roman" w:cs="Times New Roman"/>
          <w:sz w:val="20"/>
          <w:szCs w:val="20"/>
          <w:lang w:val="uz-Cyrl-UZ"/>
        </w:rPr>
        <w:t>u-Siada, A.; Sutikno, H.; Prasojo, R.A. Machine Learning-Based Multi-Method Interpretation to Enhance Dissolved Gas Analysis for Power Transformer Fault Diagnosis. Heliyon, 2024, 10, e25975. Available at: https://doi.org/10.1016/j.heliyon.2024.e25975</w:t>
      </w:r>
    </w:p>
    <w:p w14:paraId="1642C4D3" w14:textId="1785558B" w:rsidR="007033DD" w:rsidRPr="00402F1C" w:rsidRDefault="007033DD"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2F1C">
        <w:rPr>
          <w:rFonts w:ascii="Times New Roman" w:hAnsi="Times New Roman" w:cs="Times New Roman"/>
          <w:sz w:val="20"/>
          <w:szCs w:val="20"/>
          <w:lang w:val="uz-Cyrl-UZ"/>
        </w:rPr>
        <w:t>Hancock, B.; Salmeron, M. Lessons Learned from Analysis of Power Transformer Failure Rates. Doble Engineering Company, 2022. Available at: https://www.doble.com/wp-content/uploads/Doble_IEEE_CONCAPAN_2022_for_publication.pdf</w:t>
      </w:r>
    </w:p>
    <w:p w14:paraId="1A858575" w14:textId="06C45939" w:rsidR="007033DD" w:rsidRPr="00402F1C" w:rsidRDefault="007033DD"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2F1C">
        <w:rPr>
          <w:rFonts w:ascii="Times New Roman" w:hAnsi="Times New Roman" w:cs="Times New Roman"/>
          <w:sz w:val="20"/>
          <w:szCs w:val="20"/>
          <w:lang w:val="uz-Cyrl-UZ"/>
        </w:rPr>
        <w:t>Wang, F.; Nishtar, Z.; Zhang, F.; et al. Implementation of Fuzzy Logic Scheme for Assessment of Power Transformer Oil Deterioration Using Imprecise Information. Energies, 2024, 17, 5412. Available at: https://doi.org/10.3390/en17215412</w:t>
      </w:r>
    </w:p>
    <w:p w14:paraId="0F5D92D4" w14:textId="5E83F113" w:rsidR="007033DD" w:rsidRPr="00402F1C" w:rsidRDefault="007033DD"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2F1C">
        <w:rPr>
          <w:rFonts w:ascii="Times New Roman" w:hAnsi="Times New Roman" w:cs="Times New Roman"/>
          <w:sz w:val="20"/>
          <w:szCs w:val="20"/>
          <w:lang w:val="uz-Cyrl-UZ"/>
        </w:rPr>
        <w:t>Abu-Siada, A.; Sutikno, H.; Prasojo, R.A. Performance Analysis of Multiple Machine Learning Models Applied to Dissolved Gas Analysis under Thermal Fault Classification Considering IEEE C57104-2019TM Standard for Substation Transformer. MDPI Sensors, 2024, 18, 3535. Available at: https://doi.org/10.3390/s180213535</w:t>
      </w:r>
    </w:p>
    <w:p w14:paraId="13D680C5" w14:textId="45F1E7BA" w:rsidR="007033DD" w:rsidRPr="00402F1C" w:rsidRDefault="007033DD"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2F1C">
        <w:rPr>
          <w:rFonts w:ascii="Times New Roman" w:hAnsi="Times New Roman" w:cs="Times New Roman"/>
          <w:sz w:val="20"/>
          <w:szCs w:val="20"/>
          <w:lang w:val="uz-Cyrl-UZ"/>
        </w:rPr>
        <w:t>International Electrotechnical Commission (IEC). IEC 60422:2024 — Mineral Insulating Oils in Electrical Equipment. Available at: https://webstore.iec.ch/en/publication/66421</w:t>
      </w:r>
    </w:p>
    <w:p w14:paraId="5562C3B1" w14:textId="6C539B91" w:rsidR="007033DD" w:rsidRPr="00402F1C" w:rsidRDefault="007033DD"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2F1C">
        <w:rPr>
          <w:rFonts w:ascii="Times New Roman" w:hAnsi="Times New Roman" w:cs="Times New Roman"/>
          <w:sz w:val="20"/>
          <w:szCs w:val="20"/>
          <w:lang w:val="uz-Cyrl-UZ"/>
        </w:rPr>
        <w:t>Wang, F.; Nishtar, Z.; Zhang, F.; et al. Implementation of Fuzzy Logic Scheme for Assessment of Power Transformer Oil Deterioration Using Imprecise Information. Energies, 2024, 17, 5412. Available at: https://doi.org/10.3390/en17215412</w:t>
      </w:r>
    </w:p>
    <w:p w14:paraId="7E30BE2E" w14:textId="05E24AF8" w:rsidR="00CA398A" w:rsidRPr="00402F1C" w:rsidRDefault="00C04377"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lang w:val="uz-Cyrl-UZ"/>
        </w:rPr>
        <w:t>R. Schürhuber, B. R. Oswald, L. Fickert, J. Fortmann. Verhalten von Windkraftanlagen mit</w:t>
      </w:r>
      <w:r w:rsidRPr="00402F1C">
        <w:rPr>
          <w:rFonts w:ascii="Times New Roman" w:hAnsi="Times New Roman" w:cs="Times New Roman"/>
          <w:sz w:val="20"/>
          <w:szCs w:val="20"/>
        </w:rPr>
        <w:t xml:space="preserve"> </w:t>
      </w:r>
      <w:r w:rsidRPr="00402F1C">
        <w:rPr>
          <w:rFonts w:ascii="Times New Roman" w:hAnsi="Times New Roman" w:cs="Times New Roman"/>
          <w:sz w:val="20"/>
          <w:szCs w:val="20"/>
          <w:lang w:val="uz-Cyrl-UZ"/>
        </w:rPr>
        <w:t>doppelt speisenden Asynchrongeneratoren</w:t>
      </w:r>
      <w:r w:rsidRPr="00402F1C">
        <w:rPr>
          <w:rFonts w:ascii="Times New Roman" w:hAnsi="Times New Roman" w:cs="Times New Roman"/>
          <w:sz w:val="20"/>
          <w:szCs w:val="20"/>
        </w:rPr>
        <w:t xml:space="preserve"> </w:t>
      </w:r>
      <w:r w:rsidRPr="00402F1C">
        <w:rPr>
          <w:rFonts w:ascii="Times New Roman" w:hAnsi="Times New Roman" w:cs="Times New Roman"/>
          <w:sz w:val="20"/>
          <w:szCs w:val="20"/>
          <w:lang w:val="uz-Cyrl-UZ"/>
        </w:rPr>
        <w:t>(DFIG) bei Kurzschlüssen und anderen</w:t>
      </w:r>
      <w:r w:rsidRPr="00402F1C">
        <w:rPr>
          <w:rFonts w:ascii="Times New Roman" w:hAnsi="Times New Roman" w:cs="Times New Roman"/>
          <w:sz w:val="20"/>
          <w:szCs w:val="20"/>
        </w:rPr>
        <w:t xml:space="preserve"> </w:t>
      </w:r>
      <w:r w:rsidRPr="00402F1C">
        <w:rPr>
          <w:rFonts w:ascii="Times New Roman" w:hAnsi="Times New Roman" w:cs="Times New Roman"/>
          <w:sz w:val="20"/>
          <w:szCs w:val="20"/>
          <w:lang w:val="uz-Cyrl-UZ"/>
        </w:rPr>
        <w:t>Netzfehlern</w:t>
      </w:r>
      <w:r w:rsidRPr="00402F1C">
        <w:rPr>
          <w:rFonts w:ascii="Times New Roman" w:hAnsi="Times New Roman" w:cs="Times New Roman"/>
          <w:sz w:val="20"/>
          <w:szCs w:val="20"/>
        </w:rPr>
        <w:t xml:space="preserve">. </w:t>
      </w:r>
      <w:r w:rsidRPr="00402F1C">
        <w:rPr>
          <w:rFonts w:ascii="Times New Roman" w:hAnsi="Times New Roman" w:cs="Times New Roman"/>
          <w:sz w:val="20"/>
          <w:szCs w:val="20"/>
          <w:lang w:val="uz-Cyrl-UZ"/>
        </w:rPr>
        <w:t xml:space="preserve">Elektrotechnik &amp; Informationstechnik (2020) 137/8: 415–424. </w:t>
      </w:r>
      <w:hyperlink r:id="rId9" w:history="1">
        <w:r w:rsidR="005E71AF" w:rsidRPr="00402F1C">
          <w:rPr>
            <w:rStyle w:val="a6"/>
            <w:rFonts w:ascii="Times New Roman" w:hAnsi="Times New Roman" w:cs="Times New Roman"/>
            <w:sz w:val="20"/>
            <w:szCs w:val="20"/>
            <w:lang w:val="uz-Cyrl-UZ"/>
          </w:rPr>
          <w:t>https://doi.org/10.1007/s00502-020-00829-2</w:t>
        </w:r>
      </w:hyperlink>
    </w:p>
    <w:p w14:paraId="1EEBB313" w14:textId="75CD7226" w:rsidR="00D746C9" w:rsidRPr="00402F1C" w:rsidRDefault="00AF1A27"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 xml:space="preserve">N.Rashidov, Kh.Rozmetov, S.Rismukhamedov, M.Peysenov. E3S Web of Conferences, 384, 01043, (2023), </w:t>
      </w:r>
      <w:r w:rsidRPr="00402F1C">
        <w:rPr>
          <w:rFonts w:ascii="Times New Roman" w:hAnsi="Times New Roman" w:cs="Times New Roman"/>
          <w:color w:val="0070C0"/>
          <w:sz w:val="20"/>
          <w:szCs w:val="20"/>
          <w:u w:val="single"/>
        </w:rPr>
        <w:t>https://doi.org/10.1051/e3sconf/202338401043</w:t>
      </w:r>
    </w:p>
    <w:p w14:paraId="4A677176" w14:textId="658AE694" w:rsidR="00D746C9" w:rsidRPr="00402F1C" w:rsidRDefault="00D746C9"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402F1C">
        <w:rPr>
          <w:rFonts w:ascii="Times New Roman" w:hAnsi="Times New Roman" w:cs="Times New Roman"/>
          <w:sz w:val="20"/>
          <w:szCs w:val="20"/>
          <w:lang w:val="de-DE"/>
        </w:rPr>
        <w:t>Fabian Büssis. Steuerung und Regelung einer Windenergie-Netzeinspeisung mit doppeltgespeistem Asynchrongenerator. Department Informations- und Elektrotechnikder Fakultät Technik und Informatikder Hochschule für Angewandte Wissenschaften Hamburg.</w:t>
      </w:r>
    </w:p>
    <w:p w14:paraId="23AC7B1B" w14:textId="77777777" w:rsidR="006A4554" w:rsidRPr="00402F1C" w:rsidRDefault="006A4554" w:rsidP="00402F1C">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1" w:name="_Hlk133650480"/>
      <w:r w:rsidRPr="00402F1C">
        <w:rPr>
          <w:rFonts w:ascii="Times New Roman" w:hAnsi="Times New Roman" w:cs="Times New Roman"/>
          <w:sz w:val="20"/>
          <w:szCs w:val="20"/>
          <w:lang w:val="uz-Cyrl-UZ"/>
        </w:rPr>
        <w:t>Bobojanov M</w:t>
      </w:r>
      <w:r w:rsidRPr="00402F1C">
        <w:rPr>
          <w:rFonts w:ascii="Times New Roman" w:hAnsi="Times New Roman" w:cs="Times New Roman"/>
          <w:sz w:val="20"/>
          <w:szCs w:val="20"/>
        </w:rPr>
        <w:t>.</w:t>
      </w:r>
      <w:r w:rsidRPr="00402F1C">
        <w:rPr>
          <w:rFonts w:ascii="Times New Roman" w:hAnsi="Times New Roman" w:cs="Times New Roman"/>
          <w:sz w:val="20"/>
          <w:szCs w:val="20"/>
          <w:lang w:val="uz-Cyrl-UZ"/>
        </w:rPr>
        <w:t>, Mahmutkhonov S</w:t>
      </w:r>
      <w:r w:rsidRPr="00402F1C">
        <w:rPr>
          <w:rFonts w:ascii="Times New Roman" w:hAnsi="Times New Roman" w:cs="Times New Roman"/>
          <w:sz w:val="20"/>
          <w:szCs w:val="20"/>
        </w:rPr>
        <w:t>.</w:t>
      </w:r>
      <w:r w:rsidRPr="00402F1C">
        <w:rPr>
          <w:rFonts w:ascii="Times New Roman" w:hAnsi="Times New Roman" w:cs="Times New Roman"/>
          <w:sz w:val="20"/>
          <w:szCs w:val="20"/>
          <w:lang w:val="uz-Cyrl-UZ"/>
        </w:rPr>
        <w:t xml:space="preserve"> </w:t>
      </w:r>
      <w:r w:rsidRPr="00402F1C">
        <w:rPr>
          <w:rFonts w:ascii="Times New Roman" w:hAnsi="Times New Roman" w:cs="Times New Roman"/>
          <w:sz w:val="20"/>
          <w:szCs w:val="20"/>
        </w:rPr>
        <w:t>Influence of the consumer to power quality at the point of connection</w:t>
      </w:r>
      <w:r w:rsidRPr="00402F1C">
        <w:rPr>
          <w:rFonts w:ascii="Times New Roman" w:hAnsi="Times New Roman" w:cs="Times New Roman"/>
          <w:sz w:val="20"/>
          <w:szCs w:val="20"/>
          <w:lang w:val="uz-Cyrl-UZ"/>
        </w:rPr>
        <w:t xml:space="preserve"> // E3S Web of Conferences 384. 2023. РР, </w:t>
      </w:r>
      <w:r w:rsidRPr="00402F1C">
        <w:rPr>
          <w:rFonts w:ascii="Times New Roman" w:hAnsi="Times New Roman" w:cs="Times New Roman"/>
          <w:sz w:val="20"/>
          <w:szCs w:val="20"/>
        </w:rPr>
        <w:t>01041</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5</w:t>
      </w:r>
      <w:r w:rsidRPr="00402F1C">
        <w:rPr>
          <w:rFonts w:ascii="Times New Roman" w:hAnsi="Times New Roman" w:cs="Times New Roman"/>
          <w:sz w:val="20"/>
          <w:szCs w:val="20"/>
          <w:lang w:val="uz-Cyrl-UZ"/>
        </w:rPr>
        <w:t xml:space="preserve">. </w:t>
      </w:r>
      <w:hyperlink r:id="rId10"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41</w:t>
        </w:r>
      </w:hyperlink>
      <w:r w:rsidRPr="00402F1C">
        <w:rPr>
          <w:rStyle w:val="a6"/>
          <w:rFonts w:ascii="Times New Roman" w:hAnsi="Times New Roman" w:cs="Times New Roman"/>
          <w:sz w:val="20"/>
          <w:szCs w:val="20"/>
          <w:lang w:val="uz-Cyrl-UZ"/>
        </w:rPr>
        <w:t>.</w:t>
      </w:r>
    </w:p>
    <w:p w14:paraId="2AFB6DD6" w14:textId="77777777" w:rsidR="006A4554" w:rsidRPr="00402F1C" w:rsidRDefault="006A4554" w:rsidP="00402F1C">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2" w:name="_Hlk133650509"/>
      <w:bookmarkEnd w:id="1"/>
      <w:r w:rsidRPr="00402F1C">
        <w:rPr>
          <w:rFonts w:ascii="Times New Roman" w:hAnsi="Times New Roman" w:cs="Times New Roman"/>
          <w:sz w:val="20"/>
          <w:szCs w:val="20"/>
          <w:lang w:val="uz-Cyrl-UZ"/>
        </w:rPr>
        <w:t xml:space="preserve">Rasulov A.N., Ruzinazarov M.R. </w:t>
      </w:r>
      <w:r w:rsidRPr="00402F1C">
        <w:rPr>
          <w:rFonts w:ascii="Times New Roman" w:hAnsi="Times New Roman" w:cs="Times New Roman"/>
          <w:sz w:val="20"/>
          <w:szCs w:val="20"/>
        </w:rPr>
        <w:t>Electrical load graphs and indicators</w:t>
      </w:r>
      <w:r w:rsidRPr="00402F1C">
        <w:rPr>
          <w:rFonts w:ascii="Times New Roman" w:hAnsi="Times New Roman" w:cs="Times New Roman"/>
          <w:sz w:val="20"/>
          <w:szCs w:val="20"/>
          <w:lang w:val="uz-Cyrl-UZ"/>
        </w:rPr>
        <w:t xml:space="preserve"> // E3S Web of Conferences 384. 2023. РР, </w:t>
      </w:r>
      <w:r w:rsidRPr="00402F1C">
        <w:rPr>
          <w:rFonts w:ascii="Times New Roman" w:hAnsi="Times New Roman" w:cs="Times New Roman"/>
          <w:sz w:val="20"/>
          <w:szCs w:val="20"/>
        </w:rPr>
        <w:t>01042</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4</w:t>
      </w:r>
      <w:r w:rsidRPr="00402F1C">
        <w:rPr>
          <w:rFonts w:ascii="Times New Roman" w:hAnsi="Times New Roman" w:cs="Times New Roman"/>
          <w:sz w:val="20"/>
          <w:szCs w:val="20"/>
          <w:lang w:val="uz-Cyrl-UZ"/>
        </w:rPr>
        <w:t xml:space="preserve">. </w:t>
      </w:r>
      <w:hyperlink r:id="rId11"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42</w:t>
        </w:r>
      </w:hyperlink>
      <w:bookmarkEnd w:id="2"/>
      <w:r w:rsidRPr="00402F1C">
        <w:rPr>
          <w:rStyle w:val="a6"/>
          <w:rFonts w:ascii="Times New Roman" w:hAnsi="Times New Roman" w:cs="Times New Roman"/>
          <w:sz w:val="20"/>
          <w:szCs w:val="20"/>
          <w:lang w:val="uz-Cyrl-UZ"/>
        </w:rPr>
        <w:t>.</w:t>
      </w:r>
    </w:p>
    <w:p w14:paraId="0AB178F9" w14:textId="77777777" w:rsidR="006A4554" w:rsidRPr="00402F1C" w:rsidRDefault="006A4554" w:rsidP="00402F1C">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02F1C">
        <w:rPr>
          <w:rFonts w:ascii="Times New Roman" w:hAnsi="Times New Roman" w:cs="Times New Roman"/>
          <w:sz w:val="20"/>
          <w:szCs w:val="20"/>
          <w:lang w:val="uz-Cyrl-UZ"/>
        </w:rPr>
        <w:lastRenderedPageBreak/>
        <w:t>Rashidov N</w:t>
      </w:r>
      <w:r w:rsidRPr="00402F1C">
        <w:rPr>
          <w:rFonts w:ascii="Times New Roman" w:hAnsi="Times New Roman" w:cs="Times New Roman"/>
          <w:sz w:val="20"/>
          <w:szCs w:val="20"/>
        </w:rPr>
        <w:t>.</w:t>
      </w:r>
      <w:r w:rsidRPr="00402F1C">
        <w:rPr>
          <w:rFonts w:ascii="Times New Roman" w:hAnsi="Times New Roman" w:cs="Times New Roman"/>
          <w:sz w:val="20"/>
          <w:szCs w:val="20"/>
          <w:lang w:val="uz-Cyrl-UZ"/>
        </w:rPr>
        <w:t>, Rozmetov Kh</w:t>
      </w:r>
      <w:r w:rsidRPr="00402F1C">
        <w:rPr>
          <w:rFonts w:ascii="Times New Roman" w:hAnsi="Times New Roman" w:cs="Times New Roman"/>
          <w:sz w:val="20"/>
          <w:szCs w:val="20"/>
        </w:rPr>
        <w:t>.</w:t>
      </w:r>
      <w:r w:rsidRPr="00402F1C">
        <w:rPr>
          <w:rFonts w:ascii="Times New Roman" w:hAnsi="Times New Roman" w:cs="Times New Roman"/>
          <w:sz w:val="20"/>
          <w:szCs w:val="20"/>
          <w:lang w:val="uz-Cyrl-UZ"/>
        </w:rPr>
        <w:t>,</w:t>
      </w:r>
      <w:r w:rsidRPr="00402F1C">
        <w:rPr>
          <w:rFonts w:ascii="Times New Roman" w:hAnsi="Times New Roman" w:cs="Times New Roman"/>
          <w:sz w:val="20"/>
          <w:szCs w:val="20"/>
        </w:rPr>
        <w:t xml:space="preserve"> </w:t>
      </w:r>
      <w:r w:rsidRPr="00402F1C">
        <w:rPr>
          <w:rFonts w:ascii="Times New Roman" w:hAnsi="Times New Roman" w:cs="Times New Roman"/>
          <w:sz w:val="20"/>
          <w:szCs w:val="20"/>
          <w:lang w:val="uz-Cyrl-UZ"/>
        </w:rPr>
        <w:t>Rismukhamedov</w:t>
      </w:r>
      <w:r w:rsidRPr="00402F1C">
        <w:rPr>
          <w:rFonts w:ascii="Times New Roman" w:hAnsi="Times New Roman" w:cs="Times New Roman"/>
          <w:sz w:val="20"/>
          <w:szCs w:val="20"/>
        </w:rPr>
        <w:t xml:space="preserve"> S.</w:t>
      </w:r>
      <w:r w:rsidRPr="00402F1C">
        <w:rPr>
          <w:rFonts w:ascii="Times New Roman" w:hAnsi="Times New Roman" w:cs="Times New Roman"/>
          <w:sz w:val="20"/>
          <w:szCs w:val="20"/>
          <w:lang w:val="uz-Cyrl-UZ"/>
        </w:rPr>
        <w:t>, Peysenov</w:t>
      </w:r>
      <w:r w:rsidRPr="00402F1C">
        <w:rPr>
          <w:rFonts w:ascii="Times New Roman" w:hAnsi="Times New Roman" w:cs="Times New Roman"/>
          <w:sz w:val="20"/>
          <w:szCs w:val="20"/>
        </w:rPr>
        <w:t xml:space="preserve"> M.</w:t>
      </w:r>
      <w:r w:rsidRPr="00402F1C">
        <w:rPr>
          <w:rFonts w:ascii="Times New Roman" w:hAnsi="Times New Roman" w:cs="Times New Roman"/>
          <w:sz w:val="20"/>
          <w:szCs w:val="20"/>
          <w:lang w:val="uz-Cyrl-UZ"/>
        </w:rPr>
        <w:t xml:space="preserve"> </w:t>
      </w:r>
      <w:r w:rsidRPr="00402F1C">
        <w:rPr>
          <w:rFonts w:ascii="Times New Roman" w:hAnsi="Times New Roman" w:cs="Times New Roman"/>
          <w:sz w:val="20"/>
          <w:szCs w:val="20"/>
        </w:rPr>
        <w:t>Design of a pole changing winding for asynchronous machines drived on conveyors using the ANSYS Maxwell</w:t>
      </w:r>
      <w:r w:rsidRPr="00402F1C">
        <w:rPr>
          <w:rFonts w:ascii="Times New Roman" w:hAnsi="Times New Roman" w:cs="Times New Roman"/>
          <w:sz w:val="20"/>
          <w:szCs w:val="20"/>
          <w:lang w:val="uz-Cyrl-UZ"/>
        </w:rPr>
        <w:t xml:space="preserve"> // E3S Web of Conferences 384. 2023. РР, </w:t>
      </w:r>
      <w:r w:rsidRPr="00402F1C">
        <w:rPr>
          <w:rFonts w:ascii="Times New Roman" w:hAnsi="Times New Roman" w:cs="Times New Roman"/>
          <w:sz w:val="20"/>
          <w:szCs w:val="20"/>
        </w:rPr>
        <w:t>01043</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4</w:t>
      </w:r>
      <w:r w:rsidRPr="00402F1C">
        <w:rPr>
          <w:rFonts w:ascii="Times New Roman" w:hAnsi="Times New Roman" w:cs="Times New Roman"/>
          <w:sz w:val="20"/>
          <w:szCs w:val="20"/>
          <w:lang w:val="uz-Cyrl-UZ"/>
        </w:rPr>
        <w:t xml:space="preserve">. </w:t>
      </w:r>
      <w:hyperlink r:id="rId12"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43</w:t>
        </w:r>
      </w:hyperlink>
      <w:r w:rsidRPr="00402F1C">
        <w:rPr>
          <w:rStyle w:val="a6"/>
          <w:rFonts w:ascii="Times New Roman" w:hAnsi="Times New Roman" w:cs="Times New Roman"/>
          <w:sz w:val="20"/>
          <w:szCs w:val="20"/>
          <w:lang w:val="uz-Cyrl-UZ"/>
        </w:rPr>
        <w:t>.</w:t>
      </w:r>
    </w:p>
    <w:p w14:paraId="557A8DD8" w14:textId="77777777" w:rsidR="006A4554" w:rsidRPr="00402F1C" w:rsidRDefault="006A4554" w:rsidP="00402F1C">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02F1C">
        <w:rPr>
          <w:rFonts w:ascii="Times New Roman" w:hAnsi="Times New Roman" w:cs="Times New Roman"/>
          <w:sz w:val="20"/>
          <w:szCs w:val="20"/>
          <w:lang w:val="uz-Cyrl-UZ"/>
        </w:rPr>
        <w:t>Tuychiev F, Haqberdiev</w:t>
      </w:r>
      <w:r w:rsidRPr="00402F1C">
        <w:rPr>
          <w:rFonts w:ascii="Times New Roman" w:hAnsi="Times New Roman" w:cs="Times New Roman"/>
          <w:sz w:val="20"/>
          <w:szCs w:val="20"/>
        </w:rPr>
        <w:t xml:space="preserve"> A.</w:t>
      </w:r>
      <w:r w:rsidRPr="00402F1C">
        <w:rPr>
          <w:rFonts w:ascii="Times New Roman" w:hAnsi="Times New Roman" w:cs="Times New Roman"/>
          <w:sz w:val="20"/>
          <w:szCs w:val="20"/>
          <w:lang w:val="uz-Cyrl-UZ"/>
        </w:rPr>
        <w:t xml:space="preserve"> </w:t>
      </w:r>
      <w:r w:rsidRPr="00402F1C">
        <w:rPr>
          <w:rFonts w:ascii="Times New Roman" w:hAnsi="Times New Roman" w:cs="Times New Roman"/>
          <w:sz w:val="20"/>
          <w:szCs w:val="20"/>
        </w:rPr>
        <w:t>Development of two-speed asynchronous electric motors for the undercarriage of mine self-propelled cars</w:t>
      </w:r>
      <w:r w:rsidRPr="00402F1C">
        <w:rPr>
          <w:rFonts w:ascii="Times New Roman" w:hAnsi="Times New Roman" w:cs="Times New Roman"/>
          <w:sz w:val="20"/>
          <w:szCs w:val="20"/>
          <w:lang w:val="uz-Cyrl-UZ"/>
        </w:rPr>
        <w:t xml:space="preserve"> // E3S Web of Conferences 384. 2023. РР, </w:t>
      </w:r>
      <w:r w:rsidRPr="00402F1C">
        <w:rPr>
          <w:rFonts w:ascii="Times New Roman" w:hAnsi="Times New Roman" w:cs="Times New Roman"/>
          <w:sz w:val="20"/>
          <w:szCs w:val="20"/>
        </w:rPr>
        <w:t>01044</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5</w:t>
      </w:r>
      <w:r w:rsidRPr="00402F1C">
        <w:rPr>
          <w:rFonts w:ascii="Times New Roman" w:hAnsi="Times New Roman" w:cs="Times New Roman"/>
          <w:sz w:val="20"/>
          <w:szCs w:val="20"/>
          <w:lang w:val="uz-Cyrl-UZ"/>
        </w:rPr>
        <w:t xml:space="preserve">. </w:t>
      </w:r>
      <w:hyperlink r:id="rId13"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44</w:t>
        </w:r>
      </w:hyperlink>
      <w:r w:rsidRPr="00402F1C">
        <w:rPr>
          <w:rStyle w:val="a6"/>
          <w:rFonts w:ascii="Times New Roman" w:hAnsi="Times New Roman" w:cs="Times New Roman"/>
          <w:sz w:val="20"/>
          <w:szCs w:val="20"/>
          <w:lang w:val="uz-Cyrl-UZ"/>
        </w:rPr>
        <w:t>.</w:t>
      </w:r>
    </w:p>
    <w:p w14:paraId="59A089CF" w14:textId="77777777" w:rsidR="006A4554" w:rsidRPr="00402F1C" w:rsidRDefault="006A4554" w:rsidP="00402F1C">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3" w:name="_Hlk154484130"/>
      <w:r w:rsidRPr="00402F1C">
        <w:rPr>
          <w:rFonts w:ascii="Times New Roman" w:hAnsi="Times New Roman" w:cs="Times New Roman"/>
          <w:sz w:val="20"/>
          <w:szCs w:val="20"/>
          <w:lang w:val="uz-Cyrl-UZ"/>
        </w:rPr>
        <w:t>Bobojanov M</w:t>
      </w:r>
      <w:r w:rsidRPr="00402F1C">
        <w:rPr>
          <w:rFonts w:ascii="Times New Roman" w:hAnsi="Times New Roman" w:cs="Times New Roman"/>
          <w:sz w:val="20"/>
          <w:szCs w:val="20"/>
        </w:rPr>
        <w:t>.</w:t>
      </w:r>
      <w:r w:rsidRPr="00402F1C">
        <w:rPr>
          <w:rFonts w:ascii="Times New Roman" w:hAnsi="Times New Roman" w:cs="Times New Roman"/>
          <w:sz w:val="20"/>
          <w:szCs w:val="20"/>
          <w:lang w:val="uz-Cyrl-UZ"/>
        </w:rPr>
        <w:t>, Torayev S</w:t>
      </w:r>
      <w:r w:rsidRPr="00402F1C">
        <w:rPr>
          <w:rFonts w:ascii="Times New Roman" w:hAnsi="Times New Roman" w:cs="Times New Roman"/>
          <w:sz w:val="20"/>
          <w:szCs w:val="20"/>
        </w:rPr>
        <w:t>.</w:t>
      </w:r>
      <w:r w:rsidRPr="00402F1C">
        <w:rPr>
          <w:rFonts w:ascii="Times New Roman" w:hAnsi="Times New Roman" w:cs="Times New Roman"/>
          <w:sz w:val="20"/>
          <w:szCs w:val="20"/>
          <w:lang w:val="uz-Cyrl-UZ"/>
        </w:rPr>
        <w:t xml:space="preserve"> </w:t>
      </w:r>
      <w:r w:rsidRPr="00402F1C">
        <w:rPr>
          <w:rFonts w:ascii="Times New Roman" w:hAnsi="Times New Roman" w:cs="Times New Roman"/>
          <w:sz w:val="20"/>
          <w:szCs w:val="20"/>
        </w:rPr>
        <w:t>Saving electrical energy by using induction motors with pole changing windings in the water supply system</w:t>
      </w:r>
      <w:r w:rsidRPr="00402F1C">
        <w:rPr>
          <w:rFonts w:ascii="Times New Roman" w:hAnsi="Times New Roman" w:cs="Times New Roman"/>
          <w:sz w:val="20"/>
          <w:szCs w:val="20"/>
          <w:lang w:val="uz-Cyrl-UZ"/>
        </w:rPr>
        <w:t xml:space="preserve"> // E3S Web of Conferences 384. 2023. РР, </w:t>
      </w:r>
      <w:r w:rsidRPr="00402F1C">
        <w:rPr>
          <w:rFonts w:ascii="Times New Roman" w:hAnsi="Times New Roman" w:cs="Times New Roman"/>
          <w:sz w:val="20"/>
          <w:szCs w:val="20"/>
        </w:rPr>
        <w:t>01045</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4</w:t>
      </w:r>
      <w:r w:rsidRPr="00402F1C">
        <w:rPr>
          <w:rFonts w:ascii="Times New Roman" w:hAnsi="Times New Roman" w:cs="Times New Roman"/>
          <w:sz w:val="20"/>
          <w:szCs w:val="20"/>
          <w:lang w:val="uz-Cyrl-UZ"/>
        </w:rPr>
        <w:t xml:space="preserve">. </w:t>
      </w:r>
      <w:hyperlink r:id="rId14"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45</w:t>
        </w:r>
      </w:hyperlink>
      <w:r w:rsidRPr="00402F1C">
        <w:rPr>
          <w:rStyle w:val="a6"/>
          <w:rFonts w:ascii="Times New Roman" w:hAnsi="Times New Roman" w:cs="Times New Roman"/>
          <w:sz w:val="20"/>
          <w:szCs w:val="20"/>
          <w:lang w:val="uz-Cyrl-UZ"/>
        </w:rPr>
        <w:t>.</w:t>
      </w:r>
    </w:p>
    <w:p w14:paraId="7ED3AB14" w14:textId="77777777" w:rsidR="006A4554" w:rsidRPr="00402F1C" w:rsidRDefault="006A4554" w:rsidP="00402F1C">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02F1C">
        <w:rPr>
          <w:rFonts w:ascii="Times New Roman" w:hAnsi="Times New Roman" w:cs="Times New Roman"/>
          <w:sz w:val="20"/>
          <w:szCs w:val="20"/>
          <w:lang w:val="uz-Cyrl-UZ"/>
        </w:rPr>
        <w:t xml:space="preserve">Reymov K.M., Esemuratova Sh.M., Khusanov B.M., Mytnikov A.V. </w:t>
      </w:r>
      <w:r w:rsidRPr="00402F1C">
        <w:rPr>
          <w:rFonts w:ascii="Times New Roman" w:hAnsi="Times New Roman" w:cs="Times New Roman"/>
          <w:sz w:val="20"/>
          <w:szCs w:val="20"/>
        </w:rPr>
        <w:t>A study of a hybrid type stand-alone 3 kW photovoltaic system of Karakalpak state university</w:t>
      </w:r>
      <w:r w:rsidRPr="00402F1C">
        <w:rPr>
          <w:rFonts w:ascii="Times New Roman" w:hAnsi="Times New Roman" w:cs="Times New Roman"/>
          <w:sz w:val="20"/>
          <w:szCs w:val="20"/>
          <w:lang w:val="uz-Cyrl-UZ"/>
        </w:rPr>
        <w:t xml:space="preserve"> // E3S Web of Conferences 384. 2023. РР, </w:t>
      </w:r>
      <w:r w:rsidRPr="00402F1C">
        <w:rPr>
          <w:rFonts w:ascii="Times New Roman" w:hAnsi="Times New Roman" w:cs="Times New Roman"/>
          <w:sz w:val="20"/>
          <w:szCs w:val="20"/>
        </w:rPr>
        <w:t>01047</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4</w:t>
      </w:r>
      <w:r w:rsidRPr="00402F1C">
        <w:rPr>
          <w:rFonts w:ascii="Times New Roman" w:hAnsi="Times New Roman" w:cs="Times New Roman"/>
          <w:sz w:val="20"/>
          <w:szCs w:val="20"/>
          <w:lang w:val="uz-Cyrl-UZ"/>
        </w:rPr>
        <w:t xml:space="preserve">. </w:t>
      </w:r>
      <w:hyperlink r:id="rId15"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47</w:t>
        </w:r>
      </w:hyperlink>
      <w:r w:rsidRPr="00402F1C">
        <w:rPr>
          <w:rStyle w:val="a6"/>
          <w:rFonts w:ascii="Times New Roman" w:hAnsi="Times New Roman" w:cs="Times New Roman"/>
          <w:sz w:val="20"/>
          <w:szCs w:val="20"/>
          <w:lang w:val="uz-Cyrl-UZ"/>
        </w:rPr>
        <w:t>.</w:t>
      </w:r>
    </w:p>
    <w:p w14:paraId="19571927" w14:textId="77777777" w:rsidR="006A4554" w:rsidRPr="00402F1C" w:rsidRDefault="006A4554" w:rsidP="00402F1C">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4" w:name="_Hlk133650738"/>
      <w:r w:rsidRPr="00402F1C">
        <w:rPr>
          <w:rFonts w:ascii="Times New Roman" w:hAnsi="Times New Roman" w:cs="Times New Roman"/>
          <w:sz w:val="20"/>
          <w:szCs w:val="20"/>
          <w:lang w:val="uz-Cyrl-UZ"/>
        </w:rPr>
        <w:t xml:space="preserve">Kholikhmatov B.B., Samiev Sh.S., Erejepov M.T., Nematov L.A. </w:t>
      </w:r>
      <w:r w:rsidRPr="00402F1C">
        <w:rPr>
          <w:rFonts w:ascii="Times New Roman" w:hAnsi="Times New Roman" w:cs="Times New Roman"/>
          <w:sz w:val="20"/>
          <w:szCs w:val="20"/>
        </w:rPr>
        <w:t>Modelling of laboratory work in the science "Fundamentals of power supply" using an educational simulator based on a programmed logic controller</w:t>
      </w:r>
      <w:r w:rsidRPr="00402F1C">
        <w:rPr>
          <w:rFonts w:ascii="Times New Roman" w:hAnsi="Times New Roman" w:cs="Times New Roman"/>
          <w:sz w:val="20"/>
          <w:szCs w:val="20"/>
          <w:lang w:val="uz-Cyrl-UZ"/>
        </w:rPr>
        <w:t xml:space="preserve"> // E3S Web of Conferences 384. 2023. РР, </w:t>
      </w:r>
      <w:r w:rsidRPr="00402F1C">
        <w:rPr>
          <w:rFonts w:ascii="Times New Roman" w:hAnsi="Times New Roman" w:cs="Times New Roman"/>
          <w:sz w:val="20"/>
          <w:szCs w:val="20"/>
        </w:rPr>
        <w:t>01032</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3</w:t>
      </w:r>
      <w:r w:rsidRPr="00402F1C">
        <w:rPr>
          <w:rFonts w:ascii="Times New Roman" w:hAnsi="Times New Roman" w:cs="Times New Roman"/>
          <w:sz w:val="20"/>
          <w:szCs w:val="20"/>
          <w:lang w:val="uz-Cyrl-UZ"/>
        </w:rPr>
        <w:t xml:space="preserve">. </w:t>
      </w:r>
      <w:hyperlink r:id="rId16"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32</w:t>
        </w:r>
      </w:hyperlink>
      <w:r w:rsidRPr="00402F1C">
        <w:rPr>
          <w:rStyle w:val="a6"/>
          <w:rFonts w:ascii="Times New Roman" w:hAnsi="Times New Roman" w:cs="Times New Roman"/>
          <w:sz w:val="20"/>
          <w:szCs w:val="20"/>
          <w:lang w:val="uz-Cyrl-UZ"/>
        </w:rPr>
        <w:t>.</w:t>
      </w:r>
    </w:p>
    <w:bookmarkEnd w:id="4"/>
    <w:p w14:paraId="3D6C9C73" w14:textId="77777777" w:rsidR="006A4554" w:rsidRPr="00402F1C" w:rsidRDefault="006A4554" w:rsidP="00402F1C">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02F1C">
        <w:rPr>
          <w:rFonts w:ascii="Times New Roman" w:hAnsi="Times New Roman" w:cs="Times New Roman"/>
          <w:sz w:val="20"/>
          <w:szCs w:val="20"/>
          <w:lang w:val="uz-Cyrl-UZ"/>
        </w:rPr>
        <w:t xml:space="preserve">Melikuziev M.V. </w:t>
      </w:r>
      <w:r w:rsidRPr="00402F1C">
        <w:rPr>
          <w:rFonts w:ascii="Times New Roman" w:hAnsi="Times New Roman" w:cs="Times New Roman"/>
          <w:sz w:val="20"/>
          <w:szCs w:val="20"/>
        </w:rPr>
        <w:t>Determination of the service area and location of transformer substations in the city power supply system</w:t>
      </w:r>
      <w:r w:rsidRPr="00402F1C">
        <w:rPr>
          <w:rFonts w:ascii="Times New Roman" w:hAnsi="Times New Roman" w:cs="Times New Roman"/>
          <w:sz w:val="20"/>
          <w:szCs w:val="20"/>
          <w:lang w:val="uz-Cyrl-UZ"/>
        </w:rPr>
        <w:t xml:space="preserve"> // E3S Web of Conferences 384. 2023. РР, </w:t>
      </w:r>
      <w:r w:rsidRPr="00402F1C">
        <w:rPr>
          <w:rFonts w:ascii="Times New Roman" w:hAnsi="Times New Roman" w:cs="Times New Roman"/>
          <w:sz w:val="20"/>
          <w:szCs w:val="20"/>
        </w:rPr>
        <w:t>01033</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5</w:t>
      </w:r>
      <w:r w:rsidRPr="00402F1C">
        <w:rPr>
          <w:rFonts w:ascii="Times New Roman" w:hAnsi="Times New Roman" w:cs="Times New Roman"/>
          <w:sz w:val="20"/>
          <w:szCs w:val="20"/>
          <w:lang w:val="uz-Cyrl-UZ"/>
        </w:rPr>
        <w:t xml:space="preserve">. </w:t>
      </w:r>
      <w:hyperlink r:id="rId17"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33</w:t>
        </w:r>
      </w:hyperlink>
      <w:r w:rsidRPr="00402F1C">
        <w:rPr>
          <w:rStyle w:val="a6"/>
          <w:rFonts w:ascii="Times New Roman" w:hAnsi="Times New Roman" w:cs="Times New Roman"/>
          <w:sz w:val="20"/>
          <w:szCs w:val="20"/>
          <w:lang w:val="uz-Cyrl-UZ"/>
        </w:rPr>
        <w:t>.</w:t>
      </w:r>
    </w:p>
    <w:p w14:paraId="0ABAB2DC" w14:textId="16C36997" w:rsidR="006A4554" w:rsidRPr="00402F1C" w:rsidRDefault="006A4554" w:rsidP="00402F1C">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02F1C">
        <w:rPr>
          <w:rFonts w:ascii="Times New Roman" w:hAnsi="Times New Roman" w:cs="Times New Roman"/>
          <w:sz w:val="20"/>
          <w:szCs w:val="20"/>
          <w:lang w:val="uz-Cyrl-UZ"/>
        </w:rPr>
        <w:t xml:space="preserve">Bobojonov Y.M., Saidkhodjaev A.G. </w:t>
      </w:r>
      <w:r w:rsidRPr="00402F1C">
        <w:rPr>
          <w:rFonts w:ascii="Times New Roman" w:hAnsi="Times New Roman" w:cs="Times New Roman"/>
          <w:sz w:val="20"/>
          <w:szCs w:val="20"/>
        </w:rPr>
        <w:t xml:space="preserve">Critical evaluation of energy use in industrial enterprises </w:t>
      </w:r>
      <w:r w:rsidRPr="00402F1C">
        <w:rPr>
          <w:rFonts w:ascii="Times New Roman" w:hAnsi="Times New Roman" w:cs="Times New Roman"/>
          <w:sz w:val="20"/>
          <w:szCs w:val="20"/>
          <w:lang w:val="uz-Cyrl-UZ"/>
        </w:rPr>
        <w:t xml:space="preserve">// E3S Web of Conferences 384. 2023. РР, </w:t>
      </w:r>
      <w:r w:rsidRPr="00402F1C">
        <w:rPr>
          <w:rFonts w:ascii="Times New Roman" w:hAnsi="Times New Roman" w:cs="Times New Roman"/>
          <w:sz w:val="20"/>
          <w:szCs w:val="20"/>
        </w:rPr>
        <w:t>01048</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5</w:t>
      </w:r>
      <w:r w:rsidRPr="00402F1C">
        <w:rPr>
          <w:rFonts w:ascii="Times New Roman" w:hAnsi="Times New Roman" w:cs="Times New Roman"/>
          <w:sz w:val="20"/>
          <w:szCs w:val="20"/>
          <w:lang w:val="uz-Cyrl-UZ"/>
        </w:rPr>
        <w:t xml:space="preserve">. </w:t>
      </w:r>
      <w:hyperlink r:id="rId18"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48</w:t>
        </w:r>
      </w:hyperlink>
      <w:r w:rsidRPr="00402F1C">
        <w:rPr>
          <w:rStyle w:val="a6"/>
          <w:rFonts w:ascii="Times New Roman" w:hAnsi="Times New Roman" w:cs="Times New Roman"/>
          <w:sz w:val="20"/>
          <w:szCs w:val="20"/>
          <w:lang w:val="uz-Cyrl-UZ"/>
        </w:rPr>
        <w:t>.</w:t>
      </w:r>
    </w:p>
    <w:p w14:paraId="40256092" w14:textId="77777777" w:rsidR="00402F1C" w:rsidRPr="00402F1C" w:rsidRDefault="00402F1C" w:rsidP="00402F1C">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5" w:name="_Hlk218705325"/>
      <w:bookmarkEnd w:id="3"/>
      <w:r w:rsidRPr="00402F1C">
        <w:rPr>
          <w:rStyle w:val="a7"/>
          <w:rFonts w:ascii="Times New Roman" w:hAnsi="Times New Roman" w:cs="Times New Roman"/>
          <w:b w:val="0"/>
          <w:sz w:val="20"/>
          <w:szCs w:val="20"/>
        </w:rPr>
        <w:t>Mahmutkhonov S., Baizhonova L., Mustayev R., Tashmatova S.</w:t>
      </w:r>
      <w:r w:rsidRPr="00402F1C">
        <w:rPr>
          <w:rFonts w:ascii="Times New Roman" w:hAnsi="Times New Roman" w:cs="Times New Roman"/>
          <w:sz w:val="20"/>
          <w:szCs w:val="20"/>
        </w:rPr>
        <w:t xml:space="preserve"> Dynamic analysis of voltage-ampere characteristics and harmonic distortions in electric arc furnaces. // </w:t>
      </w:r>
      <w:r w:rsidRPr="00402F1C">
        <w:rPr>
          <w:rStyle w:val="a8"/>
          <w:rFonts w:ascii="Times New Roman" w:hAnsi="Times New Roman" w:cs="Times New Roman"/>
          <w:sz w:val="20"/>
          <w:szCs w:val="20"/>
        </w:rPr>
        <w:t>AIP Conference Proceedings</w:t>
      </w:r>
      <w:r w:rsidRPr="00402F1C">
        <w:rPr>
          <w:rFonts w:ascii="Times New Roman" w:hAnsi="Times New Roman" w:cs="Times New Roman"/>
          <w:sz w:val="20"/>
          <w:szCs w:val="20"/>
        </w:rPr>
        <w:t xml:space="preserve">. </w:t>
      </w:r>
      <w:r w:rsidRPr="00402F1C">
        <w:rPr>
          <w:rStyle w:val="a7"/>
          <w:rFonts w:ascii="Times New Roman" w:hAnsi="Times New Roman" w:cs="Times New Roman"/>
          <w:b w:val="0"/>
          <w:sz w:val="20"/>
          <w:szCs w:val="20"/>
        </w:rPr>
        <w:t>3331</w:t>
      </w:r>
      <w:r w:rsidRPr="00402F1C">
        <w:rPr>
          <w:rFonts w:ascii="Times New Roman" w:hAnsi="Times New Roman" w:cs="Times New Roman"/>
          <w:sz w:val="20"/>
          <w:szCs w:val="20"/>
        </w:rPr>
        <w:t xml:space="preserve">(1), 2025. </w:t>
      </w:r>
      <w:r w:rsidRPr="00402F1C">
        <w:rPr>
          <w:rStyle w:val="a7"/>
          <w:rFonts w:ascii="Times New Roman" w:hAnsi="Times New Roman" w:cs="Times New Roman"/>
          <w:b w:val="0"/>
          <w:sz w:val="20"/>
          <w:szCs w:val="20"/>
        </w:rPr>
        <w:t>pp. 070023, 1–5.</w:t>
      </w:r>
      <w:r w:rsidRPr="00402F1C">
        <w:rPr>
          <w:rFonts w:ascii="Times New Roman" w:hAnsi="Times New Roman" w:cs="Times New Roman"/>
          <w:sz w:val="20"/>
          <w:szCs w:val="20"/>
        </w:rPr>
        <w:t xml:space="preserve"> </w:t>
      </w:r>
      <w:hyperlink r:id="rId19" w:history="1">
        <w:r w:rsidRPr="00402F1C">
          <w:rPr>
            <w:rStyle w:val="a6"/>
            <w:rFonts w:ascii="Times New Roman" w:hAnsi="Times New Roman" w:cs="Times New Roman"/>
            <w:sz w:val="20"/>
            <w:szCs w:val="20"/>
          </w:rPr>
          <w:t>https://doi.org/10.1063/5.0305745</w:t>
        </w:r>
      </w:hyperlink>
      <w:r w:rsidRPr="00402F1C">
        <w:rPr>
          <w:rFonts w:ascii="Times New Roman" w:hAnsi="Times New Roman" w:cs="Times New Roman"/>
          <w:sz w:val="20"/>
          <w:szCs w:val="20"/>
          <w:lang w:val="uz-Cyrl-UZ"/>
        </w:rPr>
        <w:t>.</w:t>
      </w:r>
      <w:r w:rsidRPr="00402F1C">
        <w:rPr>
          <w:rFonts w:ascii="Times New Roman" w:hAnsi="Times New Roman" w:cs="Times New Roman"/>
          <w:sz w:val="20"/>
          <w:szCs w:val="20"/>
        </w:rPr>
        <w:t xml:space="preserve"> </w:t>
      </w:r>
    </w:p>
    <w:p w14:paraId="74F68CB7" w14:textId="77777777" w:rsidR="00402F1C" w:rsidRPr="00402F1C" w:rsidRDefault="00402F1C" w:rsidP="00402F1C">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402F1C">
        <w:rPr>
          <w:rFonts w:ascii="Times New Roman" w:hAnsi="Times New Roman" w:cs="Times New Roman"/>
          <w:sz w:val="20"/>
          <w:szCs w:val="20"/>
          <w:lang w:val="uz-Cyrl-UZ"/>
        </w:rPr>
        <w:t>Bobojanov M</w:t>
      </w:r>
      <w:r w:rsidRPr="00402F1C">
        <w:rPr>
          <w:rFonts w:ascii="Times New Roman" w:hAnsi="Times New Roman" w:cs="Times New Roman"/>
          <w:sz w:val="20"/>
          <w:szCs w:val="20"/>
        </w:rPr>
        <w:t>.</w:t>
      </w:r>
      <w:r w:rsidRPr="00402F1C">
        <w:rPr>
          <w:rFonts w:ascii="Times New Roman" w:hAnsi="Times New Roman" w:cs="Times New Roman"/>
          <w:sz w:val="20"/>
          <w:szCs w:val="20"/>
          <w:lang w:val="uz-Cyrl-UZ"/>
        </w:rPr>
        <w:t>, Mahmutkhonov S</w:t>
      </w:r>
      <w:r w:rsidRPr="00402F1C">
        <w:rPr>
          <w:rFonts w:ascii="Times New Roman" w:hAnsi="Times New Roman" w:cs="Times New Roman"/>
          <w:sz w:val="20"/>
          <w:szCs w:val="20"/>
        </w:rPr>
        <w:t>.</w:t>
      </w:r>
      <w:r w:rsidRPr="00402F1C">
        <w:rPr>
          <w:rFonts w:ascii="Times New Roman" w:hAnsi="Times New Roman" w:cs="Times New Roman"/>
          <w:sz w:val="20"/>
          <w:szCs w:val="20"/>
          <w:lang w:val="uz-Cyrl-UZ"/>
        </w:rPr>
        <w:t xml:space="preserve"> </w:t>
      </w:r>
      <w:r w:rsidRPr="00402F1C">
        <w:rPr>
          <w:rFonts w:ascii="Times New Roman" w:hAnsi="Times New Roman" w:cs="Times New Roman"/>
          <w:sz w:val="20"/>
          <w:szCs w:val="20"/>
        </w:rPr>
        <w:t>Influence of the consumer to power quality at the point of connection</w:t>
      </w:r>
      <w:r w:rsidRPr="00402F1C">
        <w:rPr>
          <w:rFonts w:ascii="Times New Roman" w:hAnsi="Times New Roman" w:cs="Times New Roman"/>
          <w:sz w:val="20"/>
          <w:szCs w:val="20"/>
          <w:lang w:val="uz-Cyrl-UZ"/>
        </w:rPr>
        <w:t xml:space="preserve"> // E3S Web of Conferences 384. 2023. РР, </w:t>
      </w:r>
      <w:r w:rsidRPr="00402F1C">
        <w:rPr>
          <w:rFonts w:ascii="Times New Roman" w:hAnsi="Times New Roman" w:cs="Times New Roman"/>
          <w:sz w:val="20"/>
          <w:szCs w:val="20"/>
        </w:rPr>
        <w:t>01041</w:t>
      </w:r>
      <w:r w:rsidRPr="00402F1C">
        <w:rPr>
          <w:rFonts w:ascii="Times New Roman" w:hAnsi="Times New Roman" w:cs="Times New Roman"/>
          <w:sz w:val="20"/>
          <w:szCs w:val="20"/>
          <w:lang w:val="uz-Cyrl-UZ"/>
        </w:rPr>
        <w:t>, 1-</w:t>
      </w:r>
      <w:r w:rsidRPr="00402F1C">
        <w:rPr>
          <w:rFonts w:ascii="Times New Roman" w:hAnsi="Times New Roman" w:cs="Times New Roman"/>
          <w:sz w:val="20"/>
          <w:szCs w:val="20"/>
        </w:rPr>
        <w:t>5</w:t>
      </w:r>
      <w:r w:rsidRPr="00402F1C">
        <w:rPr>
          <w:rFonts w:ascii="Times New Roman" w:hAnsi="Times New Roman" w:cs="Times New Roman"/>
          <w:sz w:val="20"/>
          <w:szCs w:val="20"/>
          <w:lang w:val="uz-Cyrl-UZ"/>
        </w:rPr>
        <w:t xml:space="preserve">. </w:t>
      </w:r>
      <w:hyperlink r:id="rId20" w:history="1">
        <w:r w:rsidRPr="00402F1C">
          <w:rPr>
            <w:rStyle w:val="a6"/>
            <w:rFonts w:ascii="Times New Roman" w:hAnsi="Times New Roman" w:cs="Times New Roman"/>
            <w:sz w:val="20"/>
            <w:szCs w:val="20"/>
            <w:lang w:val="uz-Cyrl-UZ"/>
          </w:rPr>
          <w:t>https://doi.org/10.1051/e3sconf/2023384010</w:t>
        </w:r>
        <w:r w:rsidRPr="00402F1C">
          <w:rPr>
            <w:rStyle w:val="a6"/>
            <w:rFonts w:ascii="Times New Roman" w:hAnsi="Times New Roman" w:cs="Times New Roman"/>
            <w:sz w:val="20"/>
            <w:szCs w:val="20"/>
          </w:rPr>
          <w:t>41</w:t>
        </w:r>
      </w:hyperlink>
      <w:r w:rsidRPr="00402F1C">
        <w:rPr>
          <w:rStyle w:val="a6"/>
          <w:rFonts w:ascii="Times New Roman" w:hAnsi="Times New Roman" w:cs="Times New Roman"/>
          <w:sz w:val="20"/>
          <w:szCs w:val="20"/>
          <w:lang w:val="uz-Cyrl-UZ"/>
        </w:rPr>
        <w:t>.</w:t>
      </w:r>
      <w:bookmarkStart w:id="6" w:name="_Hlk218354155"/>
    </w:p>
    <w:p w14:paraId="318133DB"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7" w:name="_Hlk218354131"/>
      <w:bookmarkEnd w:id="6"/>
      <w:r w:rsidRPr="00402F1C">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21" w:history="1">
        <w:r w:rsidRPr="00402F1C">
          <w:rPr>
            <w:rStyle w:val="a6"/>
            <w:rFonts w:ascii="Times New Roman" w:hAnsi="Times New Roman" w:cs="Times New Roman"/>
            <w:sz w:val="20"/>
            <w:szCs w:val="20"/>
            <w:lang w:val="uz-Cyrl-UZ"/>
          </w:rPr>
          <w:t>https://doi.org/10.1051/e3sconf/202128907023</w:t>
        </w:r>
      </w:hyperlink>
      <w:r w:rsidRPr="00402F1C">
        <w:rPr>
          <w:rFonts w:ascii="Times New Roman" w:hAnsi="Times New Roman" w:cs="Times New Roman"/>
          <w:sz w:val="20"/>
          <w:szCs w:val="20"/>
          <w:lang w:val="uz-Cyrl-UZ"/>
        </w:rPr>
        <w:t>.</w:t>
      </w:r>
      <w:bookmarkEnd w:id="7"/>
      <w:r w:rsidRPr="00402F1C">
        <w:rPr>
          <w:rFonts w:ascii="Times New Roman" w:hAnsi="Times New Roman" w:cs="Times New Roman"/>
          <w:sz w:val="20"/>
          <w:szCs w:val="20"/>
          <w:lang w:val="uz-Cyrl-UZ"/>
        </w:rPr>
        <w:t xml:space="preserve"> </w:t>
      </w:r>
    </w:p>
    <w:p w14:paraId="44AF1746" w14:textId="77777777" w:rsidR="00402F1C" w:rsidRPr="00402F1C" w:rsidRDefault="00402F1C" w:rsidP="00402F1C">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402F1C">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22" w:history="1">
        <w:r w:rsidRPr="00402F1C">
          <w:rPr>
            <w:rStyle w:val="a6"/>
            <w:rFonts w:ascii="Times New Roman" w:hAnsi="Times New Roman" w:cs="Times New Roman"/>
            <w:sz w:val="20"/>
            <w:szCs w:val="20"/>
            <w:lang w:val="uz-Latn-UZ"/>
          </w:rPr>
          <w:t>https://doi.org/10.1134/S107042721030328</w:t>
        </w:r>
      </w:hyperlink>
      <w:r w:rsidRPr="00402F1C">
        <w:rPr>
          <w:rFonts w:ascii="Times New Roman" w:hAnsi="Times New Roman" w:cs="Times New Roman"/>
          <w:sz w:val="20"/>
          <w:szCs w:val="20"/>
          <w:lang w:val="uz-Latn-UZ"/>
        </w:rPr>
        <w:t xml:space="preserve">  </w:t>
      </w:r>
    </w:p>
    <w:p w14:paraId="0C1CB38C" w14:textId="77777777" w:rsidR="00402F1C" w:rsidRPr="00402F1C" w:rsidRDefault="00402F1C" w:rsidP="00402F1C">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402F1C">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23" w:history="1">
        <w:r w:rsidRPr="00402F1C">
          <w:rPr>
            <w:rStyle w:val="a6"/>
            <w:rFonts w:ascii="Times New Roman" w:hAnsi="Times New Roman" w:cs="Times New Roman"/>
            <w:sz w:val="20"/>
            <w:szCs w:val="20"/>
            <w:lang w:val="uz-Latn-UZ"/>
          </w:rPr>
          <w:t>http://dl.uctm.edu/journal/</w:t>
        </w:r>
      </w:hyperlink>
      <w:r w:rsidRPr="00402F1C">
        <w:rPr>
          <w:rFonts w:ascii="Times New Roman" w:hAnsi="Times New Roman" w:cs="Times New Roman"/>
          <w:sz w:val="20"/>
          <w:szCs w:val="20"/>
          <w:lang w:val="uz-Latn-UZ"/>
        </w:rPr>
        <w:t xml:space="preserve"> </w:t>
      </w:r>
    </w:p>
    <w:p w14:paraId="4420B08A" w14:textId="77777777" w:rsidR="00402F1C" w:rsidRPr="00402F1C" w:rsidRDefault="00402F1C" w:rsidP="00402F1C">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bookmarkStart w:id="8" w:name="_Hlk218705442"/>
      <w:bookmarkEnd w:id="5"/>
      <w:r w:rsidRPr="00402F1C">
        <w:rPr>
          <w:rFonts w:ascii="Times New Roman" w:hAnsi="Times New Roman" w:cs="Times New Roman"/>
          <w:sz w:val="20"/>
          <w:szCs w:val="20"/>
        </w:rPr>
        <w:t>Urishev, B., Fakhriddin Nosirov, and N. Ruzikulova. 2023. “Hydraulic Energy Storage of Wind Power Plants.” E3S Web of Conferences, 383. https://doi.org/10.1051/e3sconf/202338304052</w:t>
      </w:r>
    </w:p>
    <w:p w14:paraId="35217E31" w14:textId="77777777" w:rsidR="00402F1C" w:rsidRPr="00402F1C" w:rsidRDefault="00402F1C" w:rsidP="00402F1C">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Urishev, B., S. Eshev, Fakhriddin Nosirov, and U. Kuvatov. 2024. “A Device for Reducing the Siltation of the Front Chamber of the Pumping Station in Irrigation Systems.” E3S Web of Conferences, 274. https://doi.org/10.1051/e3sconf/202127403001</w:t>
      </w:r>
    </w:p>
    <w:p w14:paraId="60F2F265" w14:textId="77777777" w:rsidR="00402F1C" w:rsidRPr="00402F1C" w:rsidRDefault="00402F1C" w:rsidP="00402F1C">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14:paraId="6349E94D" w14:textId="77777777" w:rsidR="00402F1C" w:rsidRPr="00402F1C" w:rsidRDefault="00402F1C" w:rsidP="00402F1C">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bookmarkStart w:id="9" w:name="_Hlk214727448"/>
      <w:bookmarkStart w:id="10" w:name="_Hlk218705532"/>
      <w:bookmarkEnd w:id="8"/>
      <w:r w:rsidRPr="00402F1C">
        <w:rPr>
          <w:rFonts w:ascii="Times New Roman" w:hAnsi="Times New Roman" w:cs="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25881C4C"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11" w:name="_Hlk218705590"/>
      <w:bookmarkEnd w:id="9"/>
      <w:bookmarkEnd w:id="10"/>
      <w:r w:rsidRPr="00402F1C">
        <w:rPr>
          <w:rFonts w:ascii="Times New Roman" w:hAnsi="Times New Roman" w:cs="Times New Roman"/>
          <w:sz w:val="20"/>
          <w:szCs w:val="20"/>
        </w:rPr>
        <w:t>Baratov, B.N., Umarov, F.Y., Toshov, Z.H. Tricone drill bit performance evaluation. Gornyi Zhurnal, Moscow, 2021. - № 12. - PP. 60-63. DOI:10.17580/gzh.2021.12.11.</w:t>
      </w:r>
    </w:p>
    <w:p w14:paraId="71B2439B"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14:paraId="5ED893C2"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14:paraId="35A95C75"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lastRenderedPageBreak/>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402F1C">
        <w:rPr>
          <w:rFonts w:ascii="Times New Roman" w:hAnsi="Times New Roman" w:cs="Times New Roman"/>
          <w:sz w:val="20"/>
          <w:szCs w:val="20"/>
        </w:rPr>
        <w:cr/>
        <w:t>Toshov J., Toshov B., Bainazov U., Elemonov M. Application of Cycle-Flow Technology in Coal Mines. Proceedings of the 11th International Conference on Applied Innovations in IT, (ICAIIT), March 2023, Koethen, Germany. – РР. 279-284.</w:t>
      </w:r>
    </w:p>
    <w:p w14:paraId="3D4CCC52"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 xml:space="preserve">Usmanov, E., Kholikhmatov, B., Rikhsitillaev, B., Nimatov, K. Device for reducing asymmetry // E3s Web of Conferences 461. 2023. PP, 01052, 1-5. </w:t>
      </w:r>
      <w:hyperlink r:id="rId24" w:history="1">
        <w:r w:rsidRPr="00402F1C">
          <w:rPr>
            <w:rStyle w:val="a6"/>
            <w:rFonts w:ascii="Times New Roman" w:hAnsi="Times New Roman" w:cs="Times New Roman"/>
            <w:sz w:val="20"/>
            <w:szCs w:val="20"/>
          </w:rPr>
          <w:t>https://doi.org/10.1051/e3sconf/202</w:t>
        </w:r>
        <w:r w:rsidRPr="00402F1C">
          <w:rPr>
            <w:rStyle w:val="a6"/>
            <w:rFonts w:ascii="Times New Roman" w:hAnsi="Times New Roman" w:cs="Times New Roman"/>
            <w:sz w:val="20"/>
            <w:szCs w:val="20"/>
          </w:rPr>
          <w:t>3</w:t>
        </w:r>
        <w:r w:rsidRPr="00402F1C">
          <w:rPr>
            <w:rStyle w:val="a6"/>
            <w:rFonts w:ascii="Times New Roman" w:hAnsi="Times New Roman" w:cs="Times New Roman"/>
            <w:sz w:val="20"/>
            <w:szCs w:val="20"/>
          </w:rPr>
          <w:t>46101052</w:t>
        </w:r>
      </w:hyperlink>
      <w:r w:rsidRPr="00402F1C">
        <w:rPr>
          <w:rFonts w:ascii="Times New Roman" w:hAnsi="Times New Roman" w:cs="Times New Roman"/>
          <w:sz w:val="20"/>
          <w:szCs w:val="20"/>
        </w:rPr>
        <w:t xml:space="preserve"> </w:t>
      </w:r>
    </w:p>
    <w:p w14:paraId="46473B22"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14:paraId="35B45CEC"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14:paraId="635D8DD8"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14:paraId="17177595"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7A068DFF"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25" w:history="1">
        <w:r w:rsidRPr="00402F1C">
          <w:rPr>
            <w:rStyle w:val="a6"/>
            <w:rFonts w:ascii="Times New Roman" w:hAnsi="Times New Roman" w:cs="Times New Roman"/>
            <w:sz w:val="20"/>
            <w:szCs w:val="20"/>
          </w:rPr>
          <w:t>https://doi.org/10.1063/5.0218904</w:t>
        </w:r>
      </w:hyperlink>
      <w:bookmarkEnd w:id="11"/>
      <w:r w:rsidRPr="00402F1C">
        <w:rPr>
          <w:rFonts w:ascii="Times New Roman" w:hAnsi="Times New Roman" w:cs="Times New Roman"/>
          <w:sz w:val="20"/>
          <w:szCs w:val="20"/>
        </w:rPr>
        <w:t xml:space="preserve"> </w:t>
      </w:r>
    </w:p>
    <w:p w14:paraId="68826AAB"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14:paraId="6E4305D9"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Rakhimov F, Rakhimov F, Samiev Sh, Abdukhalilov D. Justification of Technical and Economic Effectiveness of Application of 20 kV Voltage in Overhead Electric Networks //AIP Conf. Proc. 3152, 030023 (2024). https://doi.org/10.1063/5.0218921</w:t>
      </w:r>
    </w:p>
    <w:p w14:paraId="1C444CF8"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 xml:space="preserve">Taslimov A, Mo'minov V, Samiev Sh, Abdukhalilov D. Issues of Optimization of Electrical Network Parameters Medium Voltage //AIP Conf. Proc. 3331, 020007 (2025). </w:t>
      </w:r>
      <w:hyperlink r:id="rId26" w:history="1">
        <w:r w:rsidRPr="00402F1C">
          <w:rPr>
            <w:rStyle w:val="a6"/>
            <w:rFonts w:ascii="Times New Roman" w:hAnsi="Times New Roman" w:cs="Times New Roman"/>
            <w:sz w:val="20"/>
            <w:szCs w:val="20"/>
          </w:rPr>
          <w:t>https://doi.org/10.1063/5.0305781</w:t>
        </w:r>
      </w:hyperlink>
    </w:p>
    <w:p w14:paraId="034998BE"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 xml:space="preserve">Toshbekov, O., Urazov, M., Yermatov, S., &amp; Khamraeva, M. 2023). Yeffisient and yesonomisal yenergy use teshnology in the prosessing of domestis soarse wool fiber. In Ye3S Web of Sonferenses (Vol. 461, p. 01068). https://doi.org/10.1051/e3sconf/202346101068 </w:t>
      </w:r>
    </w:p>
    <w:p w14:paraId="397571E9" w14:textId="77777777" w:rsidR="00402F1C"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Jumaniyozov, K., Urozov, M., Toshbekov, O., Salimova, M., Raximova, K., &amp; Khursandova, B. (2025, November). Enhancement of energy-efficient cleaning equipment. In American Institute of Physics Conference Series (Vol. 3331, No. 1, p. 050007). https://doi.org/10.1063/5.0307149</w:t>
      </w:r>
    </w:p>
    <w:p w14:paraId="2CE1EF48" w14:textId="4D1BA7EB" w:rsidR="00D80C1F" w:rsidRPr="00402F1C" w:rsidRDefault="00402F1C" w:rsidP="00402F1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02F1C">
        <w:rPr>
          <w:rFonts w:ascii="Times New Roman" w:hAnsi="Times New Roman" w:cs="Times New Roman"/>
          <w:sz w:val="20"/>
          <w:szCs w:val="20"/>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sectPr w:rsidR="00D80C1F" w:rsidRPr="00402F1C"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2268"/>
    <w:multiLevelType w:val="multilevel"/>
    <w:tmpl w:val="51488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904801"/>
    <w:multiLevelType w:val="multilevel"/>
    <w:tmpl w:val="145C7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7"/>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01C"/>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038"/>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2F1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D79AC"/>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1AF"/>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CCF"/>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55F"/>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3DD"/>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54B"/>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68FA"/>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1F01"/>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9F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94"/>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402F1C"/>
    <w:rPr>
      <w:b/>
      <w:bCs/>
    </w:rPr>
  </w:style>
  <w:style w:type="character" w:styleId="a8">
    <w:name w:val="Emphasis"/>
    <w:basedOn w:val="a0"/>
    <w:uiPriority w:val="20"/>
    <w:qFormat/>
    <w:rsid w:val="00402F1C"/>
    <w:rPr>
      <w:i/>
      <w:iCs/>
    </w:rPr>
  </w:style>
  <w:style w:type="character" w:styleId="a9">
    <w:name w:val="FollowedHyperlink"/>
    <w:basedOn w:val="a0"/>
    <w:uiPriority w:val="99"/>
    <w:semiHidden/>
    <w:unhideWhenUsed/>
    <w:rsid w:val="00402F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7409504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08772034">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71716091">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923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1051/e3sconf/202338401044" TargetMode="External"/><Relationship Id="rId18" Type="http://schemas.openxmlformats.org/officeDocument/2006/relationships/hyperlink" Target="https://doi.org/10.1051/e3sconf/202338401048" TargetMode="External"/><Relationship Id="rId26" Type="http://schemas.openxmlformats.org/officeDocument/2006/relationships/hyperlink" Target="https://doi.org/10.1063/5.0305781" TargetMode="External"/><Relationship Id="rId3" Type="http://schemas.openxmlformats.org/officeDocument/2006/relationships/settings" Target="settings.xml"/><Relationship Id="rId21" Type="http://schemas.openxmlformats.org/officeDocument/2006/relationships/hyperlink" Target="https://doi.org/10.1051/e3sconf/202128907023" TargetMode="External"/><Relationship Id="rId7" Type="http://schemas.openxmlformats.org/officeDocument/2006/relationships/chart" Target="charts/chart2.xml"/><Relationship Id="rId12" Type="http://schemas.openxmlformats.org/officeDocument/2006/relationships/hyperlink" Target="https://doi.org/10.1051/e3sconf/202338401043" TargetMode="External"/><Relationship Id="rId17" Type="http://schemas.openxmlformats.org/officeDocument/2006/relationships/hyperlink" Target="https://doi.org/10.1051/e3sconf/202338401033" TargetMode="External"/><Relationship Id="rId25" Type="http://schemas.openxmlformats.org/officeDocument/2006/relationships/hyperlink" Target="https://doi.org/10.1063/5.0218904" TargetMode="External"/><Relationship Id="rId2" Type="http://schemas.openxmlformats.org/officeDocument/2006/relationships/styles" Target="styles.xml"/><Relationship Id="rId16" Type="http://schemas.openxmlformats.org/officeDocument/2006/relationships/hyperlink" Target="https://doi.org/10.1051/e3sconf/202338401032" TargetMode="External"/><Relationship Id="rId20" Type="http://schemas.openxmlformats.org/officeDocument/2006/relationships/hyperlink" Target="https://doi.org/10.1051/e3sconf/202338401041"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051/e3sconf/202338401042" TargetMode="External"/><Relationship Id="rId24" Type="http://schemas.openxmlformats.org/officeDocument/2006/relationships/hyperlink" Target="https://doi.org/10.1051/e3sconf/202346101052" TargetMode="External"/><Relationship Id="rId5" Type="http://schemas.openxmlformats.org/officeDocument/2006/relationships/hyperlink" Target="mailto:abdullabekova_94@mail.ru" TargetMode="External"/><Relationship Id="rId15" Type="http://schemas.openxmlformats.org/officeDocument/2006/relationships/hyperlink" Target="https://doi.org/10.1051/e3sconf/202338401047" TargetMode="External"/><Relationship Id="rId23" Type="http://schemas.openxmlformats.org/officeDocument/2006/relationships/hyperlink" Target="http://dl.uctm.edu/journal/" TargetMode="External"/><Relationship Id="rId28" Type="http://schemas.openxmlformats.org/officeDocument/2006/relationships/theme" Target="theme/theme1.xml"/><Relationship Id="rId10" Type="http://schemas.openxmlformats.org/officeDocument/2006/relationships/hyperlink" Target="https://doi.org/10.1051/e3sconf/202338401041" TargetMode="External"/><Relationship Id="rId19" Type="http://schemas.openxmlformats.org/officeDocument/2006/relationships/hyperlink" Target="https://doi.org/10.1063/5.0305745" TargetMode="External"/><Relationship Id="rId4" Type="http://schemas.openxmlformats.org/officeDocument/2006/relationships/webSettings" Target="webSettings.xml"/><Relationship Id="rId9" Type="http://schemas.openxmlformats.org/officeDocument/2006/relationships/hyperlink" Target="https://doi.org/10.1007/s00502-020-00829-2" TargetMode="External"/><Relationship Id="rId14" Type="http://schemas.openxmlformats.org/officeDocument/2006/relationships/hyperlink" Target="https://doi.org/10.1051/e3sconf/202338401045" TargetMode="External"/><Relationship Id="rId22" Type="http://schemas.openxmlformats.org/officeDocument/2006/relationships/hyperlink" Target="https://doi.org/10.1134/S107042721030328"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Health Index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Лист1!$B$2:$B$11</c:f>
              <c:numCache>
                <c:formatCode>General</c:formatCode>
                <c:ptCount val="10"/>
                <c:pt idx="0">
                  <c:v>0.15</c:v>
                </c:pt>
                <c:pt idx="1">
                  <c:v>0.18</c:v>
                </c:pt>
                <c:pt idx="2">
                  <c:v>0.22</c:v>
                </c:pt>
                <c:pt idx="3">
                  <c:v>0.28000000000000003</c:v>
                </c:pt>
                <c:pt idx="4">
                  <c:v>0.35</c:v>
                </c:pt>
                <c:pt idx="5">
                  <c:v>0.4</c:v>
                </c:pt>
                <c:pt idx="6">
                  <c:v>0.45</c:v>
                </c:pt>
                <c:pt idx="7">
                  <c:v>0.55000000000000004</c:v>
                </c:pt>
                <c:pt idx="8">
                  <c:v>0.62</c:v>
                </c:pt>
                <c:pt idx="9">
                  <c:v>0.7</c:v>
                </c:pt>
              </c:numCache>
            </c:numRef>
          </c:val>
          <c:smooth val="0"/>
          <c:extLst>
            <c:ext xmlns:c16="http://schemas.microsoft.com/office/drawing/2014/chart" uri="{C3380CC4-5D6E-409C-BE32-E72D297353CC}">
              <c16:uniqueId val="{00000000-94A2-431D-B41E-DA55E0B513A5}"/>
            </c:ext>
          </c:extLst>
        </c:ser>
        <c:ser>
          <c:idx val="1"/>
          <c:order val="1"/>
          <c:tx>
            <c:strRef>
              <c:f>Лист1!$C$1</c:f>
              <c:strCache>
                <c:ptCount val="1"/>
                <c:pt idx="0">
                  <c:v>Ряд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Лист1!$C$2:$C$11</c:f>
              <c:numCache>
                <c:formatCode>General</c:formatCode>
                <c:ptCount val="10"/>
              </c:numCache>
            </c:numRef>
          </c:val>
          <c:smooth val="0"/>
          <c:extLst>
            <c:ext xmlns:c16="http://schemas.microsoft.com/office/drawing/2014/chart" uri="{C3380CC4-5D6E-409C-BE32-E72D297353CC}">
              <c16:uniqueId val="{00000001-94A2-431D-B41E-DA55E0B513A5}"/>
            </c:ext>
          </c:extLst>
        </c:ser>
        <c:ser>
          <c:idx val="2"/>
          <c:order val="2"/>
          <c:tx>
            <c:strRef>
              <c:f>Лист1!$D$1</c:f>
              <c:strCache>
                <c:ptCount val="1"/>
                <c:pt idx="0">
                  <c:v>Столбец1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Лист1!$D$2:$D$11</c:f>
              <c:numCache>
                <c:formatCode>General</c:formatCode>
                <c:ptCount val="10"/>
              </c:numCache>
            </c:numRef>
          </c:val>
          <c:smooth val="0"/>
          <c:extLst>
            <c:ext xmlns:c16="http://schemas.microsoft.com/office/drawing/2014/chart" uri="{C3380CC4-5D6E-409C-BE32-E72D297353CC}">
              <c16:uniqueId val="{00000002-94A2-431D-B41E-DA55E0B513A5}"/>
            </c:ext>
          </c:extLst>
        </c:ser>
        <c:dLbls>
          <c:showLegendKey val="0"/>
          <c:showVal val="0"/>
          <c:showCatName val="0"/>
          <c:showSerName val="0"/>
          <c:showPercent val="0"/>
          <c:showBubbleSize val="0"/>
        </c:dLbls>
        <c:marker val="1"/>
        <c:smooth val="0"/>
        <c:axId val="491877759"/>
        <c:axId val="1983601167"/>
      </c:lineChart>
      <c:catAx>
        <c:axId val="491877759"/>
        <c:scaling>
          <c:orientation val="minMax"/>
        </c:scaling>
        <c:delete val="0"/>
        <c:axPos val="b"/>
        <c:title>
          <c:tx>
            <c:rich>
              <a:bodyPr rot="0" spcFirstLastPara="1" vertOverflow="ellipsis" vert="horz" wrap="square" anchor="ctr" anchorCtr="1"/>
              <a:lstStyle/>
              <a:p>
                <a:pPr>
                  <a:defRPr sz="10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a:t>Year</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1983601167"/>
        <c:crosses val="autoZero"/>
        <c:auto val="1"/>
        <c:lblAlgn val="ctr"/>
        <c:lblOffset val="100"/>
        <c:noMultiLvlLbl val="0"/>
      </c:catAx>
      <c:valAx>
        <c:axId val="1983601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a:t>HI</a:t>
                </a:r>
                <a:r>
                  <a:rPr lang="ru-RU"/>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491877759"/>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rgbClr val="00206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rgbClr val="002060"/>
                </a:solidFill>
                <a:latin typeface="Times New Roman" panose="02020603050405020304" pitchFamily="18" charset="0"/>
                <a:ea typeface="+mn-ea"/>
                <a:cs typeface="Times New Roman" panose="02020603050405020304" pitchFamily="18" charset="0"/>
              </a:defRPr>
            </a:pPr>
            <a:r>
              <a:rPr lang="en-US" sz="1100"/>
              <a:t>Normalized values [0....1]</a:t>
            </a:r>
            <a:endParaRPr lang="ru-RU" sz="1100"/>
          </a:p>
        </c:rich>
      </c:tx>
      <c:overlay val="0"/>
      <c:spPr>
        <a:noFill/>
        <a:ln>
          <a:noFill/>
        </a:ln>
        <a:effectLst/>
      </c:spPr>
      <c:txPr>
        <a:bodyPr rot="0" spcFirstLastPara="1" vertOverflow="ellipsis" vert="horz" wrap="square" anchor="ctr" anchorCtr="1"/>
        <a:lstStyle/>
        <a:p>
          <a:pPr>
            <a:defRPr sz="1100" b="1" i="0" u="none" strike="noStrike" kern="1200" cap="all" spc="5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Value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Лист1!$A$2:$A$7</c:f>
              <c:strCache>
                <c:ptCount val="6"/>
                <c:pt idx="0">
                  <c:v>CH4</c:v>
                </c:pt>
                <c:pt idx="1">
                  <c:v>C2H2</c:v>
                </c:pt>
                <c:pt idx="2">
                  <c:v>Moisture</c:v>
                </c:pt>
                <c:pt idx="3">
                  <c:v>ΔT</c:v>
                </c:pt>
                <c:pt idx="4">
                  <c:v>P.D.</c:v>
                </c:pt>
                <c:pt idx="5">
                  <c:v>Visual</c:v>
                </c:pt>
              </c:strCache>
            </c:strRef>
          </c:cat>
          <c:val>
            <c:numRef>
              <c:f>Лист1!$B$2:$B$7</c:f>
              <c:numCache>
                <c:formatCode>General</c:formatCode>
                <c:ptCount val="6"/>
                <c:pt idx="0">
                  <c:v>0.2</c:v>
                </c:pt>
                <c:pt idx="1">
                  <c:v>0.1</c:v>
                </c:pt>
                <c:pt idx="2">
                  <c:v>0.2</c:v>
                </c:pt>
                <c:pt idx="3">
                  <c:v>0.42</c:v>
                </c:pt>
                <c:pt idx="4">
                  <c:v>0.15</c:v>
                </c:pt>
                <c:pt idx="5">
                  <c:v>0.33</c:v>
                </c:pt>
              </c:numCache>
            </c:numRef>
          </c:val>
          <c:extLst>
            <c:ext xmlns:c16="http://schemas.microsoft.com/office/drawing/2014/chart" uri="{C3380CC4-5D6E-409C-BE32-E72D297353CC}">
              <c16:uniqueId val="{00000000-D4A9-4793-8096-C700106322DF}"/>
            </c:ext>
          </c:extLst>
        </c:ser>
        <c:ser>
          <c:idx val="1"/>
          <c:order val="1"/>
          <c:tx>
            <c:strRef>
              <c:f>Лист1!$C$1</c:f>
              <c:strCache>
                <c:ptCount val="1"/>
                <c:pt idx="0">
                  <c:v>Столбец2</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cat>
            <c:strRef>
              <c:f>Лист1!$A$2:$A$7</c:f>
              <c:strCache>
                <c:ptCount val="6"/>
                <c:pt idx="0">
                  <c:v>CH4</c:v>
                </c:pt>
                <c:pt idx="1">
                  <c:v>C2H2</c:v>
                </c:pt>
                <c:pt idx="2">
                  <c:v>Moisture</c:v>
                </c:pt>
                <c:pt idx="3">
                  <c:v>ΔT</c:v>
                </c:pt>
                <c:pt idx="4">
                  <c:v>P.D.</c:v>
                </c:pt>
                <c:pt idx="5">
                  <c:v>Visual</c:v>
                </c:pt>
              </c:strCache>
            </c:strRef>
          </c:cat>
          <c:val>
            <c:numRef>
              <c:f>Лист1!$C$2:$C$7</c:f>
              <c:numCache>
                <c:formatCode>General</c:formatCode>
                <c:ptCount val="6"/>
              </c:numCache>
            </c:numRef>
          </c:val>
          <c:extLst>
            <c:ext xmlns:c16="http://schemas.microsoft.com/office/drawing/2014/chart" uri="{C3380CC4-5D6E-409C-BE32-E72D297353CC}">
              <c16:uniqueId val="{00000001-D4A9-4793-8096-C700106322DF}"/>
            </c:ext>
          </c:extLst>
        </c:ser>
        <c:ser>
          <c:idx val="2"/>
          <c:order val="2"/>
          <c:tx>
            <c:strRef>
              <c:f>Лист1!$D$1</c:f>
              <c:strCache>
                <c:ptCount val="1"/>
                <c:pt idx="0">
                  <c:v>Столбец1</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cat>
            <c:strRef>
              <c:f>Лист1!$A$2:$A$7</c:f>
              <c:strCache>
                <c:ptCount val="6"/>
                <c:pt idx="0">
                  <c:v>CH4</c:v>
                </c:pt>
                <c:pt idx="1">
                  <c:v>C2H2</c:v>
                </c:pt>
                <c:pt idx="2">
                  <c:v>Moisture</c:v>
                </c:pt>
                <c:pt idx="3">
                  <c:v>ΔT</c:v>
                </c:pt>
                <c:pt idx="4">
                  <c:v>P.D.</c:v>
                </c:pt>
                <c:pt idx="5">
                  <c:v>Visual</c:v>
                </c:pt>
              </c:strCache>
            </c:strRef>
          </c:cat>
          <c:val>
            <c:numRef>
              <c:f>Лист1!$D$2:$D$7</c:f>
              <c:numCache>
                <c:formatCode>General</c:formatCode>
                <c:ptCount val="6"/>
              </c:numCache>
            </c:numRef>
          </c:val>
          <c:extLst>
            <c:ext xmlns:c16="http://schemas.microsoft.com/office/drawing/2014/chart" uri="{C3380CC4-5D6E-409C-BE32-E72D297353CC}">
              <c16:uniqueId val="{00000002-D4A9-4793-8096-C700106322DF}"/>
            </c:ext>
          </c:extLst>
        </c:ser>
        <c:dLbls>
          <c:showLegendKey val="0"/>
          <c:showVal val="0"/>
          <c:showCatName val="0"/>
          <c:showSerName val="0"/>
          <c:showPercent val="0"/>
          <c:showBubbleSize val="0"/>
        </c:dLbls>
        <c:gapWidth val="355"/>
        <c:overlap val="-70"/>
        <c:axId val="935959792"/>
        <c:axId val="955093072"/>
      </c:barChart>
      <c:catAx>
        <c:axId val="935959792"/>
        <c:scaling>
          <c:orientation val="minMax"/>
        </c:scaling>
        <c:delete val="0"/>
        <c:axPos val="b"/>
        <c:title>
          <c:tx>
            <c:rich>
              <a:bodyPr rot="0" spcFirstLastPara="1" vertOverflow="ellipsis" vert="horz" wrap="square" anchor="ctr" anchorCtr="1"/>
              <a:lstStyle/>
              <a:p>
                <a:pPr>
                  <a:defRPr sz="900" b="0" i="0" u="none" strike="noStrike" kern="1200" cap="all" baseline="0">
                    <a:solidFill>
                      <a:srgbClr val="002060"/>
                    </a:solidFill>
                    <a:latin typeface="Times New Roman" panose="02020603050405020304" pitchFamily="18" charset="0"/>
                    <a:ea typeface="+mn-ea"/>
                    <a:cs typeface="Times New Roman" panose="02020603050405020304" pitchFamily="18" charset="0"/>
                  </a:defRPr>
                </a:pPr>
                <a:r>
                  <a:rPr lang="en-US"/>
                  <a:t>Parametrs</a:t>
                </a:r>
                <a:endParaRPr lang="ru-RU"/>
              </a:p>
            </c:rich>
          </c:tx>
          <c:overlay val="0"/>
          <c:spPr>
            <a:noFill/>
            <a:ln>
              <a:noFill/>
            </a:ln>
            <a:effectLst/>
          </c:spPr>
          <c:txPr>
            <a:bodyPr rot="0" spcFirstLastPara="1" vertOverflow="ellipsis" vert="horz" wrap="square" anchor="ctr" anchorCtr="1"/>
            <a:lstStyle/>
            <a:p>
              <a:pPr>
                <a:defRPr sz="900" b="0" i="0" u="none" strike="noStrike" kern="1200" cap="all" baseline="0">
                  <a:solidFill>
                    <a:srgbClr val="00206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955093072"/>
        <c:crosses val="autoZero"/>
        <c:auto val="1"/>
        <c:lblAlgn val="ctr"/>
        <c:lblOffset val="100"/>
        <c:noMultiLvlLbl val="0"/>
      </c:catAx>
      <c:valAx>
        <c:axId val="95509307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rgbClr val="002060"/>
                    </a:solidFill>
                    <a:latin typeface="Times New Roman" panose="02020603050405020304" pitchFamily="18" charset="0"/>
                    <a:ea typeface="+mn-ea"/>
                    <a:cs typeface="Times New Roman" panose="02020603050405020304" pitchFamily="18" charset="0"/>
                  </a:defRPr>
                </a:pPr>
                <a:r>
                  <a:rPr lang="en-US"/>
                  <a:t>Value</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rgbClr val="00206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935959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rgbClr val="00206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26741593444735"/>
          <c:y val="5.5041280960720543E-2"/>
          <c:w val="0.83452110370301491"/>
          <c:h val="0.77905082355073385"/>
        </c:manualLayout>
      </c:layout>
      <c:bar3DChart>
        <c:barDir val="col"/>
        <c:grouping val="clustered"/>
        <c:varyColors val="0"/>
        <c:ser>
          <c:idx val="0"/>
          <c:order val="0"/>
          <c:tx>
            <c:strRef>
              <c:f>Лист1!$B$1</c:f>
              <c:strCache>
                <c:ptCount val="1"/>
                <c:pt idx="0">
                  <c:v>Health Index</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3"/>
                <c:pt idx="0">
                  <c:v>Basic</c:v>
                </c:pt>
                <c:pt idx="1">
                  <c:v>Shift to DGA</c:v>
                </c:pt>
                <c:pt idx="2">
                  <c:v>Shift to visual</c:v>
                </c:pt>
              </c:strCache>
            </c:strRef>
          </c:cat>
          <c:val>
            <c:numRef>
              <c:f>Лист1!$B$2:$B$5</c:f>
              <c:numCache>
                <c:formatCode>General</c:formatCode>
                <c:ptCount val="4"/>
                <c:pt idx="0">
                  <c:v>0.24</c:v>
                </c:pt>
                <c:pt idx="1">
                  <c:v>0.22</c:v>
                </c:pt>
                <c:pt idx="2">
                  <c:v>0.27</c:v>
                </c:pt>
              </c:numCache>
            </c:numRef>
          </c:val>
          <c:extLst>
            <c:ext xmlns:c16="http://schemas.microsoft.com/office/drawing/2014/chart" uri="{C3380CC4-5D6E-409C-BE32-E72D297353CC}">
              <c16:uniqueId val="{00000000-D2B9-4066-93DE-CD79DAAA865C}"/>
            </c:ext>
          </c:extLst>
        </c:ser>
        <c:ser>
          <c:idx val="1"/>
          <c:order val="1"/>
          <c:tx>
            <c:strRef>
              <c:f>Лист1!$C$1</c:f>
              <c:strCache>
                <c:ptCount val="1"/>
                <c:pt idx="0">
                  <c:v>Столбец3</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3"/>
                <c:pt idx="0">
                  <c:v>Basic</c:v>
                </c:pt>
                <c:pt idx="1">
                  <c:v>Shift to DGA</c:v>
                </c:pt>
                <c:pt idx="2">
                  <c:v>Shift to visual</c:v>
                </c:pt>
              </c:strCache>
            </c:strRef>
          </c:cat>
          <c:val>
            <c:numRef>
              <c:f>Лист1!$C$2:$C$5</c:f>
              <c:numCache>
                <c:formatCode>General</c:formatCode>
                <c:ptCount val="4"/>
              </c:numCache>
            </c:numRef>
          </c:val>
          <c:extLst>
            <c:ext xmlns:c16="http://schemas.microsoft.com/office/drawing/2014/chart" uri="{C3380CC4-5D6E-409C-BE32-E72D297353CC}">
              <c16:uniqueId val="{00000001-D2B9-4066-93DE-CD79DAAA865C}"/>
            </c:ext>
          </c:extLst>
        </c:ser>
        <c:ser>
          <c:idx val="2"/>
          <c:order val="2"/>
          <c:tx>
            <c:strRef>
              <c:f>Лист1!$D$1</c:f>
              <c:strCache>
                <c:ptCount val="1"/>
                <c:pt idx="0">
                  <c:v>Столбец2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Лист1!$A$2:$A$5</c:f>
              <c:strCache>
                <c:ptCount val="3"/>
                <c:pt idx="0">
                  <c:v>Basic</c:v>
                </c:pt>
                <c:pt idx="1">
                  <c:v>Shift to DGA</c:v>
                </c:pt>
                <c:pt idx="2">
                  <c:v>Shift to visual</c:v>
                </c:pt>
              </c:strCache>
            </c:strRef>
          </c:cat>
          <c:val>
            <c:numRef>
              <c:f>Лист1!$D$2:$D$5</c:f>
              <c:numCache>
                <c:formatCode>General</c:formatCode>
                <c:ptCount val="4"/>
              </c:numCache>
            </c:numRef>
          </c:val>
          <c:extLst>
            <c:ext xmlns:c16="http://schemas.microsoft.com/office/drawing/2014/chart" uri="{C3380CC4-5D6E-409C-BE32-E72D297353CC}">
              <c16:uniqueId val="{00000002-D2B9-4066-93DE-CD79DAAA865C}"/>
            </c:ext>
          </c:extLst>
        </c:ser>
        <c:dLbls>
          <c:showLegendKey val="0"/>
          <c:showVal val="0"/>
          <c:showCatName val="0"/>
          <c:showSerName val="0"/>
          <c:showPercent val="0"/>
          <c:showBubbleSize val="0"/>
        </c:dLbls>
        <c:gapWidth val="150"/>
        <c:shape val="box"/>
        <c:axId val="1927274703"/>
        <c:axId val="267361663"/>
        <c:axId val="0"/>
      </c:bar3DChart>
      <c:catAx>
        <c:axId val="1927274703"/>
        <c:scaling>
          <c:orientation val="minMax"/>
        </c:scaling>
        <c:delete val="0"/>
        <c:axPos val="b"/>
        <c:title>
          <c:tx>
            <c:rich>
              <a:bodyPr rot="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a:t>Scale</a:t>
                </a:r>
                <a:endParaRPr lang="ru-RU"/>
              </a:p>
            </c:rich>
          </c:tx>
          <c:layout>
            <c:manualLayout>
              <c:xMode val="edge"/>
              <c:yMode val="edge"/>
              <c:x val="0.81645801209756763"/>
              <c:y val="0.91017436305575639"/>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267361663"/>
        <c:crosses val="autoZero"/>
        <c:auto val="1"/>
        <c:lblAlgn val="ctr"/>
        <c:lblOffset val="100"/>
        <c:noMultiLvlLbl val="0"/>
      </c:catAx>
      <c:valAx>
        <c:axId val="2673616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ru-RU"/>
                  <a:t>Н</a:t>
                </a:r>
                <a:r>
                  <a:rPr lang="en-US"/>
                  <a:t>I</a:t>
                </a:r>
                <a:endParaRPr lang="ru-RU"/>
              </a:p>
            </c:rich>
          </c:tx>
          <c:overlay val="0"/>
          <c:spPr>
            <a:noFill/>
            <a:ln>
              <a:noFill/>
            </a:ln>
            <a:effectLst/>
          </c:spPr>
          <c:txPr>
            <a:bodyPr rot="-54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19272747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rgbClr val="00206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4777</Words>
  <Characters>27235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10</cp:revision>
  <cp:lastPrinted>2023-12-26T18:03:00Z</cp:lastPrinted>
  <dcterms:created xsi:type="dcterms:W3CDTF">2025-12-04T12:56:00Z</dcterms:created>
  <dcterms:modified xsi:type="dcterms:W3CDTF">2026-01-10T06:32:00Z</dcterms:modified>
</cp:coreProperties>
</file>