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066FDBEB" w:rsidR="001E129E" w:rsidRPr="00287E0A" w:rsidRDefault="00755DEB" w:rsidP="00C5048C">
      <w:pPr>
        <w:spacing w:before="1200" w:after="200" w:line="240" w:lineRule="auto"/>
        <w:jc w:val="center"/>
        <w:rPr>
          <w:rFonts w:ascii="Times New Roman" w:hAnsi="Times New Roman" w:cs="Times New Roman"/>
          <w:b/>
          <w:sz w:val="36"/>
          <w:szCs w:val="36"/>
        </w:rPr>
      </w:pPr>
      <w:bookmarkStart w:id="0" w:name="_GoBack"/>
      <w:bookmarkEnd w:id="0"/>
      <w:r w:rsidRPr="00755DEB">
        <w:rPr>
          <w:rFonts w:ascii="Times New Roman" w:hAnsi="Times New Roman" w:cs="Times New Roman"/>
          <w:b/>
          <w:sz w:val="36"/>
          <w:szCs w:val="36"/>
        </w:rPr>
        <w:t>GAT–</w:t>
      </w:r>
      <w:proofErr w:type="spellStart"/>
      <w:r w:rsidRPr="00755DEB">
        <w:rPr>
          <w:rFonts w:ascii="Times New Roman" w:hAnsi="Times New Roman" w:cs="Times New Roman"/>
          <w:b/>
          <w:sz w:val="36"/>
          <w:szCs w:val="36"/>
        </w:rPr>
        <w:t>IoT</w:t>
      </w:r>
      <w:proofErr w:type="spellEnd"/>
      <w:r w:rsidRPr="00755DEB">
        <w:rPr>
          <w:rFonts w:ascii="Times New Roman" w:hAnsi="Times New Roman" w:cs="Times New Roman"/>
          <w:b/>
          <w:sz w:val="36"/>
          <w:szCs w:val="36"/>
        </w:rPr>
        <w:t>–Based Web System for Long-Term Hydropower Forecasting and Monitoring</w:t>
      </w:r>
    </w:p>
    <w:p w14:paraId="0340DA6B" w14:textId="64DE106C" w:rsidR="00710008" w:rsidRPr="005966B9" w:rsidRDefault="00524D1B" w:rsidP="00710008">
      <w:pPr>
        <w:pStyle w:val="AuthorName"/>
        <w:spacing w:before="240" w:after="200"/>
        <w:rPr>
          <w:sz w:val="20"/>
          <w:lang w:val="uz-Cyrl-UZ" w:eastAsia="en-GB"/>
        </w:rPr>
      </w:pPr>
      <w:proofErr w:type="spellStart"/>
      <w:r w:rsidRPr="00710008">
        <w:t>Kaxraman</w:t>
      </w:r>
      <w:proofErr w:type="spellEnd"/>
      <w:r w:rsidRPr="00710008">
        <w:t xml:space="preserve"> </w:t>
      </w:r>
      <w:proofErr w:type="spellStart"/>
      <w:r w:rsidRPr="00710008">
        <w:t>Allaev</w:t>
      </w:r>
      <w:proofErr w:type="spellEnd"/>
      <w:r w:rsidRPr="00710008">
        <w:t xml:space="preserve"> </w:t>
      </w:r>
      <w:r w:rsidRPr="005966B9">
        <w:rPr>
          <w:vertAlign w:val="superscript"/>
        </w:rPr>
        <w:t>1</w:t>
      </w:r>
      <w:r w:rsidRPr="005966B9">
        <w:t xml:space="preserve">, </w:t>
      </w:r>
      <w:proofErr w:type="spellStart"/>
      <w:r w:rsidR="00710008" w:rsidRPr="005966B9">
        <w:t>Ikromjon</w:t>
      </w:r>
      <w:proofErr w:type="spellEnd"/>
      <w:r w:rsidR="00710008" w:rsidRPr="005966B9">
        <w:t xml:space="preserve"> </w:t>
      </w:r>
      <w:proofErr w:type="spellStart"/>
      <w:r w:rsidR="00710008" w:rsidRPr="005966B9">
        <w:t>Rakhm</w:t>
      </w:r>
      <w:r w:rsidR="00A33DBA">
        <w:t>o</w:t>
      </w:r>
      <w:r w:rsidR="00710008" w:rsidRPr="005966B9">
        <w:t>nov</w:t>
      </w:r>
      <w:proofErr w:type="spellEnd"/>
      <w:r w:rsidR="00710008" w:rsidRPr="005966B9">
        <w:t xml:space="preserve"> </w:t>
      </w:r>
      <w:r w:rsidR="00710008" w:rsidRPr="005966B9">
        <w:rPr>
          <w:vertAlign w:val="superscript"/>
          <w:lang w:val="uz-Cyrl-UZ"/>
        </w:rPr>
        <w:t>1</w:t>
      </w:r>
      <w:r w:rsidR="00710008" w:rsidRPr="005966B9">
        <w:rPr>
          <w:vertAlign w:val="superscript"/>
        </w:rPr>
        <w:t>,</w:t>
      </w:r>
      <w:r w:rsidR="00710008">
        <w:rPr>
          <w:vertAlign w:val="superscript"/>
        </w:rPr>
        <w:t>4, a)</w:t>
      </w:r>
      <w:r w:rsidR="00710008" w:rsidRPr="005966B9">
        <w:t xml:space="preserve">, </w:t>
      </w:r>
      <w:proofErr w:type="spellStart"/>
      <w:r w:rsidR="00A82731" w:rsidRPr="00A82731">
        <w:t>Asliddin</w:t>
      </w:r>
      <w:proofErr w:type="spellEnd"/>
      <w:r w:rsidR="00A82731" w:rsidRPr="00A82731">
        <w:t xml:space="preserve"> </w:t>
      </w:r>
      <w:proofErr w:type="spellStart"/>
      <w:r w:rsidR="00A82731" w:rsidRPr="00A82731">
        <w:t>Norqulov</w:t>
      </w:r>
      <w:proofErr w:type="spellEnd"/>
      <w:r w:rsidR="00710008" w:rsidRPr="00710008">
        <w:t xml:space="preserve"> </w:t>
      </w:r>
      <w:proofErr w:type="gramStart"/>
      <w:r w:rsidR="00710008">
        <w:rPr>
          <w:vertAlign w:val="superscript"/>
        </w:rPr>
        <w:t>2</w:t>
      </w:r>
      <w:r w:rsidR="00710008" w:rsidRPr="005966B9">
        <w:t xml:space="preserve">,   </w:t>
      </w:r>
      <w:proofErr w:type="gramEnd"/>
      <w:r w:rsidR="00710008" w:rsidRPr="005966B9">
        <w:t xml:space="preserve">                              </w:t>
      </w:r>
      <w:proofErr w:type="spellStart"/>
      <w:r w:rsidR="00710008" w:rsidRPr="00710008">
        <w:t>Madiyar</w:t>
      </w:r>
      <w:proofErr w:type="spellEnd"/>
      <w:r w:rsidR="00710008" w:rsidRPr="00710008">
        <w:t xml:space="preserve"> </w:t>
      </w:r>
      <w:proofErr w:type="spellStart"/>
      <w:r w:rsidR="00710008" w:rsidRPr="00710008">
        <w:t>Erejepov</w:t>
      </w:r>
      <w:proofErr w:type="spellEnd"/>
      <w:r w:rsidR="00710008" w:rsidRPr="00710008">
        <w:t xml:space="preserve"> </w:t>
      </w:r>
      <w:r w:rsidR="00710008">
        <w:rPr>
          <w:vertAlign w:val="superscript"/>
        </w:rPr>
        <w:t>3</w:t>
      </w:r>
    </w:p>
    <w:p w14:paraId="6A07EF78" w14:textId="77777777" w:rsidR="00710008" w:rsidRPr="005966B9" w:rsidRDefault="00710008" w:rsidP="00710008">
      <w:pPr>
        <w:pStyle w:val="AuthorAffiliation"/>
      </w:pPr>
      <w:r w:rsidRPr="005966B9">
        <w:rPr>
          <w:vertAlign w:val="superscript"/>
          <w:lang w:val="uz-Cyrl-UZ"/>
        </w:rPr>
        <w:t>1</w:t>
      </w:r>
      <w:r w:rsidRPr="005966B9">
        <w:t xml:space="preserve">Tashkent state technical university named after Islam </w:t>
      </w:r>
      <w:proofErr w:type="spellStart"/>
      <w:r w:rsidRPr="005966B9">
        <w:t>Karimov</w:t>
      </w:r>
      <w:proofErr w:type="spellEnd"/>
      <w:r w:rsidRPr="005966B9">
        <w:t>, Tashkent, Uzbekistan</w:t>
      </w:r>
      <w:r w:rsidRPr="005966B9">
        <w:rPr>
          <w:lang w:val="uz-Cyrl-UZ"/>
        </w:rPr>
        <w:t xml:space="preserve"> </w:t>
      </w:r>
    </w:p>
    <w:p w14:paraId="4D7ABC11" w14:textId="52BC7613" w:rsidR="00710008" w:rsidRPr="005966B9" w:rsidRDefault="00710008" w:rsidP="00710008">
      <w:pPr>
        <w:pStyle w:val="AuthorAffiliation"/>
      </w:pPr>
      <w:r w:rsidRPr="005966B9">
        <w:rPr>
          <w:vertAlign w:val="superscript"/>
        </w:rPr>
        <w:t>2</w:t>
      </w:r>
      <w:r>
        <w:rPr>
          <w:vertAlign w:val="superscript"/>
        </w:rPr>
        <w:t xml:space="preserve"> </w:t>
      </w:r>
      <w:proofErr w:type="spellStart"/>
      <w:r w:rsidR="00A82731" w:rsidRPr="00A82731">
        <w:t>Navoi</w:t>
      </w:r>
      <w:proofErr w:type="spellEnd"/>
      <w:r w:rsidR="00A82731" w:rsidRPr="00A82731">
        <w:t xml:space="preserve"> State University of Mining and Technologies, </w:t>
      </w:r>
      <w:proofErr w:type="spellStart"/>
      <w:r w:rsidR="00A82731" w:rsidRPr="00A82731">
        <w:t>Navoiy</w:t>
      </w:r>
      <w:proofErr w:type="spellEnd"/>
      <w:r w:rsidR="00A82731" w:rsidRPr="00A82731">
        <w:t>, Uzbekistan</w:t>
      </w:r>
    </w:p>
    <w:p w14:paraId="788DB11D" w14:textId="77777777" w:rsidR="00710008" w:rsidRPr="005966B9" w:rsidRDefault="00710008" w:rsidP="00710008">
      <w:pPr>
        <w:pStyle w:val="AuthorAffiliation"/>
        <w:rPr>
          <w:vertAlign w:val="superscript"/>
        </w:rPr>
      </w:pPr>
      <w:r w:rsidRPr="005966B9">
        <w:rPr>
          <w:vertAlign w:val="superscript"/>
        </w:rPr>
        <w:t>3</w:t>
      </w:r>
      <w:r w:rsidRPr="005966B9">
        <w:t xml:space="preserve"> Karakalpak State University named after </w:t>
      </w:r>
      <w:proofErr w:type="spellStart"/>
      <w:r w:rsidRPr="005966B9">
        <w:t>Berdakh</w:t>
      </w:r>
      <w:proofErr w:type="spellEnd"/>
      <w:r w:rsidRPr="005966B9">
        <w:t xml:space="preserve">, </w:t>
      </w:r>
      <w:proofErr w:type="spellStart"/>
      <w:r w:rsidRPr="005966B9">
        <w:t>Nukus</w:t>
      </w:r>
      <w:proofErr w:type="spellEnd"/>
      <w:r w:rsidRPr="005966B9">
        <w:t>, Uzbekistan</w:t>
      </w:r>
      <w:r w:rsidRPr="005966B9">
        <w:rPr>
          <w:vertAlign w:val="superscript"/>
          <w:lang w:val="uz-Cyrl-UZ"/>
        </w:rPr>
        <w:t xml:space="preserve"> </w:t>
      </w:r>
    </w:p>
    <w:p w14:paraId="6ED096AD" w14:textId="77777777" w:rsidR="00710008" w:rsidRDefault="00710008" w:rsidP="00710008">
      <w:pPr>
        <w:pStyle w:val="AuthorAffiliation"/>
      </w:pPr>
      <w:r w:rsidRPr="005966B9">
        <w:rPr>
          <w:vertAlign w:val="superscript"/>
        </w:rPr>
        <w:t>4</w:t>
      </w:r>
      <w:r w:rsidRPr="005966B9">
        <w:t xml:space="preserve"> </w:t>
      </w:r>
      <w:proofErr w:type="spellStart"/>
      <w:r w:rsidRPr="005966B9">
        <w:t>Termiz</w:t>
      </w:r>
      <w:proofErr w:type="spellEnd"/>
      <w:r w:rsidRPr="005966B9">
        <w:t xml:space="preserve"> State University of Engineering and </w:t>
      </w:r>
      <w:proofErr w:type="spellStart"/>
      <w:r w:rsidRPr="005966B9">
        <w:t>Agrotechnologies</w:t>
      </w:r>
      <w:proofErr w:type="spellEnd"/>
      <w:r w:rsidRPr="005966B9">
        <w:t xml:space="preserve">, </w:t>
      </w:r>
      <w:proofErr w:type="spellStart"/>
      <w:r w:rsidRPr="005966B9">
        <w:t>Termiz</w:t>
      </w:r>
      <w:proofErr w:type="spellEnd"/>
      <w:r w:rsidRPr="005966B9">
        <w:t>, Uzbekistan</w:t>
      </w:r>
    </w:p>
    <w:p w14:paraId="1397C91D" w14:textId="6D130F56" w:rsidR="00CA398A" w:rsidRPr="00287E0A" w:rsidRDefault="008745D5" w:rsidP="008745D5">
      <w:pPr>
        <w:pStyle w:val="AuthorAffiliation"/>
        <w:spacing w:before="200" w:after="200"/>
      </w:pPr>
      <w:r w:rsidRPr="00710008">
        <w:rPr>
          <w:szCs w:val="18"/>
          <w:vertAlign w:val="superscript"/>
        </w:rPr>
        <w:t>a)</w:t>
      </w:r>
      <w:r w:rsidRPr="00710008">
        <w:rPr>
          <w:szCs w:val="18"/>
        </w:rPr>
        <w:t xml:space="preserve"> Corresponding author: </w:t>
      </w:r>
      <w:hyperlink r:id="rId6" w:history="1">
        <w:r w:rsidR="00710008" w:rsidRPr="00710008">
          <w:rPr>
            <w:rStyle w:val="a6"/>
          </w:rPr>
          <w:t>ilider1987@yandex.com</w:t>
        </w:r>
      </w:hyperlink>
      <w:r w:rsidR="00710008">
        <w:t xml:space="preserve"> </w:t>
      </w:r>
    </w:p>
    <w:p w14:paraId="410B173B" w14:textId="59B67B56" w:rsidR="00BC4E3B" w:rsidRPr="00362DD7" w:rsidRDefault="00E25282" w:rsidP="00362DD7">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B47E2E" w:rsidRPr="00B47E2E">
        <w:rPr>
          <w:rFonts w:ascii="Times New Roman" w:hAnsi="Times New Roman" w:cs="Times New Roman"/>
          <w:iCs/>
          <w:sz w:val="18"/>
          <w:szCs w:val="18"/>
        </w:rPr>
        <w:t>Conventional statistical processing techniques increasingly struggle to manage such data due to inherent limitations in scalability, computational capacity, and processing speed. This study proposes a big data–driven methodology for efficient processing and analysis of large-scale statistical data based on distributed computing architectures and advanced analytical models. The proposed framework integrates parallel data preprocessing, scalable statistical modeling, and optimized aggregation strategies to ensure both computational efficiency and analytical reliability. Mathematical optimization formulations are employed to minimize processing overhead while preserving statistical consistency in distributed environments. Experimental evaluations demonstrate that the proposed approach significantly enhances processing performance and reduces analytical errors when compared to traditional methods. The results confirm that big data processing constitutes a robust and scalable solution for extracting reliable insights from massive statistical datasets and supporting informed decision-making in complex systems.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327808D" w14:textId="02423E45" w:rsidR="0014348F" w:rsidRPr="0014348F" w:rsidRDefault="0014348F" w:rsidP="0014348F">
      <w:pPr>
        <w:pStyle w:val="Default"/>
        <w:ind w:firstLine="284"/>
        <w:jc w:val="both"/>
        <w:rPr>
          <w:sz w:val="20"/>
          <w:szCs w:val="20"/>
          <w:lang w:val="en-US"/>
        </w:rPr>
      </w:pPr>
      <w:r w:rsidRPr="0014348F">
        <w:rPr>
          <w:sz w:val="20"/>
          <w:szCs w:val="20"/>
          <w:lang w:val="en-US"/>
        </w:rPr>
        <w:t>Hydropower remains one of the most reliable and flexible renewable energy sources, playing a critical role in ensuring energy security, grid stability, and sustainable water resource management. According to international energy statistics, hydropower accounts for approximately 15–16% of global electricity generation, with a particularly high strategic importance in mountainous regions where river gradients and seasonal runoff provide significant energy potential. In countries with complex topography, such as Central Asian states, mountain river hydropower systems are typically designed as multi-purpose hydroelectric complexes, simultaneously serving electricity generation, irrigation, flood control, and ecological regulation objectives</w:t>
      </w:r>
      <w:r w:rsidR="000F0486">
        <w:rPr>
          <w:sz w:val="20"/>
          <w:szCs w:val="20"/>
          <w:lang w:val="en-US"/>
        </w:rPr>
        <w:t xml:space="preserve"> [1,2]</w:t>
      </w:r>
      <w:r w:rsidRPr="0014348F">
        <w:rPr>
          <w:sz w:val="20"/>
          <w:szCs w:val="20"/>
          <w:lang w:val="en-US"/>
        </w:rPr>
        <w:t>. This multi-functionality, while advantageous, significantly increases the complexity of operational planning and long-term performance forecasting.</w:t>
      </w:r>
    </w:p>
    <w:p w14:paraId="4D7B9330" w14:textId="4D54B529" w:rsidR="0014348F" w:rsidRPr="0014348F" w:rsidRDefault="0014348F" w:rsidP="0014348F">
      <w:pPr>
        <w:pStyle w:val="Default"/>
        <w:ind w:firstLine="284"/>
        <w:jc w:val="both"/>
        <w:rPr>
          <w:sz w:val="20"/>
          <w:szCs w:val="20"/>
          <w:lang w:val="en-US"/>
        </w:rPr>
      </w:pPr>
      <w:r w:rsidRPr="0014348F">
        <w:rPr>
          <w:sz w:val="20"/>
          <w:szCs w:val="20"/>
          <w:lang w:val="en-US"/>
        </w:rPr>
        <w:t>Mountain river hydropower systems are inherently characterized by strong spatial–temporal variability of water inflow, nonlinear hydraulic interactions between cascaded reservoirs, and sensitivity to climate-driven changes in precipitation and glacial melt. Traditional hydropower forecasting approaches, based on deterministic hydrological models or statistical regression, often struggle to provide accurate long-term efficiency predictions under such conditions</w:t>
      </w:r>
      <w:r w:rsidR="000F0486">
        <w:rPr>
          <w:sz w:val="20"/>
          <w:szCs w:val="20"/>
          <w:lang w:val="en-US"/>
        </w:rPr>
        <w:t xml:space="preserve"> [3,4]</w:t>
      </w:r>
      <w:r w:rsidRPr="0014348F">
        <w:rPr>
          <w:sz w:val="20"/>
          <w:szCs w:val="20"/>
          <w:lang w:val="en-US"/>
        </w:rPr>
        <w:t>. These models usually rely on simplified assumptions and are unable to fully capture the dynamic interdependencies between geographically distributed hydraulic and electromechanical components.</w:t>
      </w:r>
    </w:p>
    <w:p w14:paraId="18CA7CEB" w14:textId="73FF8E20" w:rsidR="0014348F" w:rsidRPr="0014348F" w:rsidRDefault="0014348F" w:rsidP="0014348F">
      <w:pPr>
        <w:pStyle w:val="Default"/>
        <w:ind w:firstLine="284"/>
        <w:jc w:val="both"/>
        <w:rPr>
          <w:sz w:val="20"/>
          <w:szCs w:val="20"/>
          <w:lang w:val="en-US"/>
        </w:rPr>
      </w:pPr>
      <w:r w:rsidRPr="0014348F">
        <w:rPr>
          <w:sz w:val="20"/>
          <w:szCs w:val="20"/>
          <w:lang w:val="en-US"/>
        </w:rPr>
        <w:t>In recent years, the rapid development of artificial intelligence and deep learning methods has opened new opportunities for intelligent energy system analysis. Time-series–based models such as recurrent neural networks (RNN) and long short-term memory (LSTM) networks have demonstrated improved performance in hydropower generation forecasting. However, these approaches primarily focus on temporal dependencies and largely ignore the graph-structured nature of multi-reservoir and multi-turbine hydropower systems, where upstream–downstream interactions and network topology play a decisive role in overall efficiency evolution</w:t>
      </w:r>
      <w:r w:rsidR="000F0486">
        <w:rPr>
          <w:sz w:val="20"/>
          <w:szCs w:val="20"/>
          <w:lang w:val="en-US"/>
        </w:rPr>
        <w:t xml:space="preserve"> [5,6]</w:t>
      </w:r>
      <w:r w:rsidRPr="0014348F">
        <w:rPr>
          <w:sz w:val="20"/>
          <w:szCs w:val="20"/>
          <w:lang w:val="en-US"/>
        </w:rPr>
        <w:t>.</w:t>
      </w:r>
    </w:p>
    <w:p w14:paraId="2B270D1A" w14:textId="77777777" w:rsidR="0014348F" w:rsidRPr="0014348F" w:rsidRDefault="0014348F" w:rsidP="0014348F">
      <w:pPr>
        <w:pStyle w:val="Default"/>
        <w:ind w:firstLine="284"/>
        <w:jc w:val="both"/>
        <w:rPr>
          <w:sz w:val="20"/>
          <w:szCs w:val="20"/>
          <w:lang w:val="en-US"/>
        </w:rPr>
      </w:pPr>
      <w:r w:rsidRPr="0014348F">
        <w:rPr>
          <w:sz w:val="20"/>
          <w:szCs w:val="20"/>
          <w:lang w:val="en-US"/>
        </w:rPr>
        <w:lastRenderedPageBreak/>
        <w:t>To address these limitations, Graph Attention Networks (GAT) have emerged as a powerful modeling paradigm capable of learning both spatial and temporal dependencies through adaptive attention mechanisms. By representing hydropower complexes as graphs, GAT enables dynamic weighting of interactions between hydraulic nodes, allowing the model to identify dominant influences under varying hydrological and operational conditions. At the same time, the integration of Internet of Things (</w:t>
      </w:r>
      <w:proofErr w:type="spellStart"/>
      <w:r w:rsidRPr="0014348F">
        <w:rPr>
          <w:sz w:val="20"/>
          <w:szCs w:val="20"/>
          <w:lang w:val="en-US"/>
        </w:rPr>
        <w:t>IoT</w:t>
      </w:r>
      <w:proofErr w:type="spellEnd"/>
      <w:r w:rsidRPr="0014348F">
        <w:rPr>
          <w:sz w:val="20"/>
          <w:szCs w:val="20"/>
          <w:lang w:val="en-US"/>
        </w:rPr>
        <w:t>) technologies has transformed hydropower monitoring by enabling high-resolution, real-time acquisition of flow rates, head levels, turbine conditions, and environmental parameters.</w:t>
      </w:r>
    </w:p>
    <w:p w14:paraId="142E6E19" w14:textId="77777777" w:rsidR="0014348F" w:rsidRPr="0014348F" w:rsidRDefault="0014348F" w:rsidP="0014348F">
      <w:pPr>
        <w:pStyle w:val="Default"/>
        <w:ind w:firstLine="284"/>
        <w:jc w:val="both"/>
        <w:rPr>
          <w:sz w:val="20"/>
          <w:szCs w:val="20"/>
          <w:lang w:val="en-US"/>
        </w:rPr>
      </w:pPr>
      <w:r w:rsidRPr="0014348F">
        <w:rPr>
          <w:sz w:val="20"/>
          <w:szCs w:val="20"/>
          <w:lang w:val="en-US"/>
        </w:rPr>
        <w:t xml:space="preserve">Despite these advances, existing studies often treat long-term forecasting and real-time monitoring as isolated tasks, lacking an integrated, scalable, and operator-oriented digital platform. Furthermore, limited attention has been paid to web-based decision-support systems that unify AI-driven forecasting, </w:t>
      </w:r>
      <w:proofErr w:type="spellStart"/>
      <w:r w:rsidRPr="0014348F">
        <w:rPr>
          <w:sz w:val="20"/>
          <w:szCs w:val="20"/>
          <w:lang w:val="en-US"/>
        </w:rPr>
        <w:t>IoT</w:t>
      </w:r>
      <w:proofErr w:type="spellEnd"/>
      <w:r w:rsidRPr="0014348F">
        <w:rPr>
          <w:sz w:val="20"/>
          <w:szCs w:val="20"/>
          <w:lang w:val="en-US"/>
        </w:rPr>
        <w:t>-based monitoring, and performance visualization for multi-purpose hydropower complexes.</w:t>
      </w:r>
    </w:p>
    <w:p w14:paraId="0E5C7443" w14:textId="60685CD0" w:rsidR="002A23D1" w:rsidRDefault="000E30B4" w:rsidP="00710008">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sz w:val="24"/>
          <w:szCs w:val="24"/>
        </w:rPr>
      </w:pPr>
      <w:r w:rsidRPr="00710008">
        <w:rPr>
          <w:rFonts w:ascii="Times New Roman" w:hAnsi="Times New Roman" w:cs="Times New Roman"/>
          <w:b/>
          <w:sz w:val="24"/>
          <w:szCs w:val="24"/>
        </w:rPr>
        <w:t>METHODOLOGY</w:t>
      </w:r>
    </w:p>
    <w:p w14:paraId="0BDFE7C6" w14:textId="77777777" w:rsidR="00710008" w:rsidRPr="00710008" w:rsidRDefault="00710008" w:rsidP="00710008">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Cs/>
          <w:sz w:val="24"/>
          <w:szCs w:val="24"/>
        </w:rPr>
      </w:pPr>
    </w:p>
    <w:p w14:paraId="3E16DE6E" w14:textId="1B21FA4F" w:rsidR="002A23D1" w:rsidRPr="002A23D1" w:rsidRDefault="002A23D1" w:rsidP="000F0486">
      <w:pPr>
        <w:pStyle w:val="a4"/>
        <w:keepNext/>
        <w:overflowPunct w:val="0"/>
        <w:autoSpaceDE w:val="0"/>
        <w:autoSpaceDN w:val="0"/>
        <w:adjustRightInd w:val="0"/>
        <w:spacing w:before="240" w:after="240"/>
        <w:ind w:left="0" w:firstLine="284"/>
        <w:jc w:val="both"/>
        <w:textAlignment w:val="baseline"/>
        <w:rPr>
          <w:rFonts w:ascii="Times New Roman" w:hAnsi="Times New Roman" w:cs="Times New Roman"/>
          <w:bCs/>
          <w:sz w:val="20"/>
          <w:szCs w:val="20"/>
        </w:rPr>
      </w:pPr>
      <w:r w:rsidRPr="002A23D1">
        <w:rPr>
          <w:rFonts w:ascii="Times New Roman" w:hAnsi="Times New Roman" w:cs="Times New Roman"/>
          <w:bCs/>
          <w:sz w:val="20"/>
          <w:szCs w:val="20"/>
        </w:rPr>
        <w:t>The proposed system integrates</w:t>
      </w:r>
      <w:r w:rsidR="005B1EE1">
        <w:rPr>
          <w:rFonts w:ascii="Times New Roman" w:hAnsi="Times New Roman" w:cs="Times New Roman"/>
          <w:bCs/>
          <w:sz w:val="20"/>
          <w:szCs w:val="20"/>
        </w:rPr>
        <w:t xml:space="preserve"> GAT</w:t>
      </w:r>
      <w:r w:rsidRPr="002A23D1">
        <w:rPr>
          <w:rFonts w:ascii="Times New Roman" w:hAnsi="Times New Roman" w:cs="Times New Roman"/>
          <w:bCs/>
          <w:sz w:val="20"/>
          <w:szCs w:val="20"/>
        </w:rPr>
        <w:t xml:space="preserve"> with </w:t>
      </w:r>
      <w:proofErr w:type="spellStart"/>
      <w:r w:rsidRPr="002A23D1">
        <w:rPr>
          <w:rFonts w:ascii="Times New Roman" w:hAnsi="Times New Roman" w:cs="Times New Roman"/>
          <w:bCs/>
          <w:sz w:val="20"/>
          <w:szCs w:val="20"/>
        </w:rPr>
        <w:t>IoT</w:t>
      </w:r>
      <w:proofErr w:type="spellEnd"/>
      <w:r w:rsidRPr="002A23D1">
        <w:rPr>
          <w:rFonts w:ascii="Times New Roman" w:hAnsi="Times New Roman" w:cs="Times New Roman"/>
          <w:bCs/>
          <w:sz w:val="20"/>
          <w:szCs w:val="20"/>
        </w:rPr>
        <w:t xml:space="preserve">-based real-time monitoring in a unified web-based architecture to enable long-term forecasting and efficient utilization of hydropower resources in multi-purpose mountain river complexes. The hydroelectric system is modeled as a directed weighted graph </w:t>
      </w:r>
      <m:oMath>
        <m:r>
          <w:rPr>
            <w:rFonts w:ascii="Cambria Math" w:hAnsi="Cambria Math" w:cs="Times New Roman"/>
            <w:sz w:val="20"/>
            <w:szCs w:val="20"/>
          </w:rPr>
          <m:t>G=(V,E)</m:t>
        </m:r>
      </m:oMath>
      <w:r w:rsidRPr="002A23D1">
        <w:rPr>
          <w:rFonts w:ascii="Times New Roman" w:hAnsi="Times New Roman" w:cs="Times New Roman"/>
          <w:bCs/>
          <w:sz w:val="20"/>
          <w:szCs w:val="20"/>
        </w:rPr>
        <w:t>, where nodes represent hydrological stations, reservoirs, turbines, and substations, while edges describe hydraulic, electrical, and operational dependencies</w:t>
      </w:r>
      <w:r w:rsidR="000F0486">
        <w:rPr>
          <w:rFonts w:ascii="Times New Roman" w:hAnsi="Times New Roman" w:cs="Times New Roman"/>
          <w:bCs/>
          <w:sz w:val="20"/>
          <w:szCs w:val="20"/>
        </w:rPr>
        <w:t xml:space="preserve"> [6,7]</w:t>
      </w:r>
      <w:r w:rsidRPr="002A23D1">
        <w:rPr>
          <w:rFonts w:ascii="Times New Roman" w:hAnsi="Times New Roman" w:cs="Times New Roman"/>
          <w:bCs/>
          <w:sz w:val="20"/>
          <w:szCs w:val="20"/>
        </w:rPr>
        <w:t>.</w:t>
      </w:r>
      <w:r w:rsidR="00F449DC" w:rsidRPr="00F449DC">
        <w:rPr>
          <w:rFonts w:ascii="Times New Roman" w:hAnsi="Times New Roman" w:cs="Times New Roman"/>
          <w:bCs/>
          <w:sz w:val="20"/>
          <w:szCs w:val="20"/>
        </w:rPr>
        <w:t xml:space="preserve"> </w:t>
      </w:r>
      <w:r w:rsidRPr="002A23D1">
        <w:rPr>
          <w:rFonts w:ascii="Times New Roman" w:hAnsi="Times New Roman" w:cs="Times New Roman"/>
          <w:bCs/>
          <w:sz w:val="20"/>
          <w:szCs w:val="20"/>
        </w:rPr>
        <w:t xml:space="preserve">Each node </w:t>
      </w:r>
      <m:oMath>
        <m:r>
          <w:rPr>
            <w:rFonts w:ascii="Cambria Math" w:hAnsi="Cambria Math" w:cs="Times New Roman"/>
            <w:sz w:val="20"/>
            <w:szCs w:val="20"/>
          </w:rPr>
          <m:t>i</m:t>
        </m:r>
      </m:oMath>
      <w:r w:rsidR="00F449DC" w:rsidRPr="00F449DC">
        <w:rPr>
          <w:rFonts w:ascii="Times New Roman" w:eastAsiaTheme="minorEastAsia" w:hAnsi="Times New Roman" w:cs="Times New Roman"/>
          <w:bCs/>
          <w:sz w:val="20"/>
          <w:szCs w:val="20"/>
        </w:rPr>
        <w:t xml:space="preserve"> </w:t>
      </w:r>
      <w:r w:rsidRPr="002A23D1">
        <w:rPr>
          <w:rFonts w:ascii="Times New Roman" w:hAnsi="Times New Roman" w:cs="Times New Roman"/>
          <w:bCs/>
          <w:sz w:val="20"/>
          <w:szCs w:val="20"/>
        </w:rPr>
        <w:t xml:space="preserve">is characterized by a feature vector </w:t>
      </w:r>
      <m:oMath>
        <m:sSub>
          <m:sSubPr>
            <m:ctrlPr>
              <w:rPr>
                <w:rFonts w:ascii="Cambria Math" w:hAnsi="Cambria Math" w:cs="Times New Roman"/>
                <w:bCs/>
                <w:sz w:val="20"/>
                <w:szCs w:val="20"/>
              </w:rPr>
            </m:ctrlPr>
          </m:sSubPr>
          <m:e>
            <m:r>
              <m:rPr>
                <m:sty m:val="p"/>
              </m:rP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(t)=[</m:t>
        </m:r>
        <m:sSub>
          <m:sSubPr>
            <m:ctrlPr>
              <w:rPr>
                <w:rFonts w:ascii="Cambria Math" w:hAnsi="Cambria Math" w:cs="Times New Roman"/>
                <w:bCs/>
                <w:sz w:val="20"/>
                <w:szCs w:val="20"/>
              </w:rPr>
            </m:ctrlPr>
          </m:sSubPr>
          <m:e>
            <m:r>
              <w:rPr>
                <w:rFonts w:ascii="Cambria Math" w:hAnsi="Cambria Math" w:cs="Times New Roman"/>
                <w:sz w:val="20"/>
                <w:szCs w:val="20"/>
              </w:rPr>
              <m:t>Q</m:t>
            </m:r>
          </m:e>
          <m:sub>
            <m:r>
              <w:rPr>
                <w:rFonts w:ascii="Cambria Math" w:hAnsi="Cambria Math" w:cs="Times New Roman"/>
                <w:sz w:val="20"/>
                <w:szCs w:val="20"/>
              </w:rPr>
              <m:t>i</m:t>
            </m:r>
          </m:sub>
        </m:sSub>
        <m:r>
          <w:rPr>
            <w:rFonts w:ascii="Cambria Math" w:hAnsi="Cambria Math" w:cs="Times New Roman"/>
            <w:sz w:val="20"/>
            <w:szCs w:val="20"/>
          </w:rPr>
          <m:t>(t),</m:t>
        </m:r>
        <m:sSub>
          <m:sSubPr>
            <m:ctrlPr>
              <w:rPr>
                <w:rFonts w:ascii="Cambria Math" w:hAnsi="Cambria Math" w:cs="Times New Roman"/>
                <w:bCs/>
                <w:sz w:val="20"/>
                <w:szCs w:val="20"/>
              </w:rPr>
            </m:ctrlPr>
          </m:sSubPr>
          <m:e>
            <m:r>
              <w:rPr>
                <w:rFonts w:ascii="Cambria Math" w:hAnsi="Cambria Math" w:cs="Times New Roman"/>
                <w:sz w:val="20"/>
                <w:szCs w:val="20"/>
              </w:rPr>
              <m:t>H</m:t>
            </m:r>
          </m:e>
          <m:sub>
            <m:r>
              <w:rPr>
                <w:rFonts w:ascii="Cambria Math" w:hAnsi="Cambria Math" w:cs="Times New Roman"/>
                <w:sz w:val="20"/>
                <w:szCs w:val="20"/>
              </w:rPr>
              <m:t>i</m:t>
            </m:r>
          </m:sub>
        </m:sSub>
        <m:r>
          <w:rPr>
            <w:rFonts w:ascii="Cambria Math" w:hAnsi="Cambria Math" w:cs="Times New Roman"/>
            <w:sz w:val="20"/>
            <w:szCs w:val="20"/>
          </w:rPr>
          <m:t>(t),</m:t>
        </m:r>
        <m:sSub>
          <m:sSubPr>
            <m:ctrlPr>
              <w:rPr>
                <w:rFonts w:ascii="Cambria Math" w:hAnsi="Cambria Math" w:cs="Times New Roman"/>
                <w:bCs/>
                <w:sz w:val="20"/>
                <w:szCs w:val="20"/>
              </w:rPr>
            </m:ctrlPr>
          </m:sSubPr>
          <m:e>
            <m:r>
              <w:rPr>
                <w:rFonts w:ascii="Cambria Math" w:hAnsi="Cambria Math" w:cs="Times New Roman"/>
                <w:sz w:val="20"/>
                <w:szCs w:val="20"/>
              </w:rPr>
              <m:t>P</m:t>
            </m:r>
          </m:e>
          <m:sub>
            <m:r>
              <w:rPr>
                <w:rFonts w:ascii="Cambria Math" w:hAnsi="Cambria Math" w:cs="Times New Roman"/>
                <w:sz w:val="20"/>
                <w:szCs w:val="20"/>
              </w:rPr>
              <m:t>i</m:t>
            </m:r>
          </m:sub>
        </m:sSub>
        <m:r>
          <w:rPr>
            <w:rFonts w:ascii="Cambria Math" w:hAnsi="Cambria Math" w:cs="Times New Roman"/>
            <w:sz w:val="20"/>
            <w:szCs w:val="20"/>
          </w:rPr>
          <m:t>(t),</m:t>
        </m:r>
        <m:sSub>
          <m:sSubPr>
            <m:ctrlPr>
              <w:rPr>
                <w:rFonts w:ascii="Cambria Math" w:hAnsi="Cambria Math" w:cs="Times New Roman"/>
                <w:bCs/>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r>
          <w:rPr>
            <w:rFonts w:ascii="Cambria Math" w:hAnsi="Cambria Math" w:cs="Times New Roman"/>
            <w:sz w:val="20"/>
            <w:szCs w:val="20"/>
          </w:rPr>
          <m:t>(t),</m:t>
        </m:r>
        <m:sSub>
          <m:sSubPr>
            <m:ctrlPr>
              <w:rPr>
                <w:rFonts w:ascii="Cambria Math" w:hAnsi="Cambria Math" w:cs="Times New Roman"/>
                <w:bCs/>
                <w:sz w:val="20"/>
                <w:szCs w:val="20"/>
              </w:rPr>
            </m:ctrlPr>
          </m:sSubPr>
          <m:e>
            <m:r>
              <w:rPr>
                <w:rFonts w:ascii="Cambria Math" w:hAnsi="Cambria Math" w:cs="Times New Roman"/>
                <w:sz w:val="20"/>
                <w:szCs w:val="20"/>
              </w:rPr>
              <m:t>V</m:t>
            </m:r>
          </m:e>
          <m:sub>
            <m:r>
              <w:rPr>
                <w:rFonts w:ascii="Cambria Math" w:hAnsi="Cambria Math" w:cs="Times New Roman"/>
                <w:sz w:val="20"/>
                <w:szCs w:val="20"/>
              </w:rPr>
              <m:t>i</m:t>
            </m:r>
          </m:sub>
        </m:sSub>
        <m:r>
          <w:rPr>
            <w:rFonts w:ascii="Cambria Math" w:hAnsi="Cambria Math" w:cs="Times New Roman"/>
            <w:sz w:val="20"/>
            <w:szCs w:val="20"/>
          </w:rPr>
          <m:t>(t)]</m:t>
        </m:r>
      </m:oMath>
      <w:r w:rsidRPr="002A23D1">
        <w:rPr>
          <w:rFonts w:ascii="Times New Roman" w:hAnsi="Times New Roman" w:cs="Times New Roman"/>
          <w:bCs/>
          <w:sz w:val="20"/>
          <w:szCs w:val="20"/>
        </w:rPr>
        <w:t>, including discharge, head, power output, temperature, and vibration data collected via IoT sensors. Spatial–temporal feature propagation is learned using the GAT attention mechanism:</w:t>
      </w:r>
    </w:p>
    <w:p w14:paraId="0E6004CB" w14:textId="0B79BE99" w:rsidR="002A23D1" w:rsidRPr="00710008" w:rsidRDefault="001E6294" w:rsidP="00710008">
      <w:pPr>
        <w:pStyle w:val="a4"/>
        <w:keepNext/>
        <w:overflowPunct w:val="0"/>
        <w:autoSpaceDE w:val="0"/>
        <w:autoSpaceDN w:val="0"/>
        <w:adjustRightInd w:val="0"/>
        <w:spacing w:after="0"/>
        <w:ind w:firstLine="284"/>
        <w:jc w:val="right"/>
        <w:textAlignment w:val="baseline"/>
        <w:rPr>
          <w:rFonts w:ascii="Times New Roman" w:hAnsi="Times New Roman" w:cs="Times New Roman"/>
          <w:bCs/>
          <w:sz w:val="20"/>
          <w:szCs w:val="20"/>
        </w:rPr>
      </w:pPr>
      <m:oMath>
        <m:sSubSup>
          <m:sSubSupPr>
            <m:ctrlPr>
              <w:rPr>
                <w:rFonts w:ascii="Cambria Math" w:hAnsi="Cambria Math" w:cs="Times New Roman"/>
                <w:bCs/>
                <w:sz w:val="20"/>
                <w:szCs w:val="20"/>
              </w:rPr>
            </m:ctrlPr>
          </m:sSubSupPr>
          <m:e>
            <m:r>
              <m:rPr>
                <m:sty m:val="p"/>
              </m:rPr>
              <w:rPr>
                <w:rFonts w:ascii="Cambria Math" w:hAnsi="Cambria Math" w:cs="Times New Roman"/>
                <w:sz w:val="20"/>
                <w:szCs w:val="20"/>
              </w:rPr>
              <m:t>h</m:t>
            </m:r>
          </m:e>
          <m:sub>
            <m:r>
              <w:rPr>
                <w:rFonts w:ascii="Cambria Math" w:hAnsi="Cambria Math" w:cs="Times New Roman"/>
                <w:sz w:val="20"/>
                <w:szCs w:val="20"/>
              </w:rPr>
              <m:t>i</m:t>
            </m:r>
          </m:sub>
          <m:sup>
            <m:d>
              <m:dPr>
                <m:sepChr m:val="+"/>
                <m:ctrlPr>
                  <w:rPr>
                    <w:rFonts w:ascii="Cambria Math" w:hAnsi="Cambria Math" w:cs="Times New Roman"/>
                    <w:bCs/>
                    <w:sz w:val="20"/>
                    <w:szCs w:val="20"/>
                  </w:rPr>
                </m:ctrlPr>
              </m:dPr>
              <m:e>
                <m:r>
                  <w:rPr>
                    <w:rFonts w:ascii="Cambria Math" w:hAnsi="Cambria Math" w:cs="Times New Roman"/>
                    <w:sz w:val="20"/>
                    <w:szCs w:val="20"/>
                  </w:rPr>
                  <m:t>l</m:t>
                </m:r>
              </m:e>
              <m:e>
                <m:r>
                  <w:rPr>
                    <w:rFonts w:ascii="Cambria Math" w:hAnsi="Cambria Math" w:cs="Times New Roman"/>
                    <w:sz w:val="20"/>
                    <w:szCs w:val="20"/>
                  </w:rPr>
                  <m:t>1</m:t>
                </m:r>
              </m:e>
            </m:d>
          </m:sup>
        </m:sSubSup>
        <m:r>
          <w:rPr>
            <w:rFonts w:ascii="Cambria Math" w:hAnsi="Cambria Math" w:cs="Times New Roman"/>
            <w:sz w:val="20"/>
            <w:szCs w:val="20"/>
          </w:rPr>
          <m:t>=σ</m:t>
        </m:r>
        <m:d>
          <m:dPr>
            <m:ctrlPr>
              <w:rPr>
                <w:rFonts w:ascii="Cambria Math" w:hAnsi="Cambria Math" w:cs="Times New Roman"/>
                <w:bCs/>
                <w:sz w:val="20"/>
                <w:szCs w:val="20"/>
              </w:rPr>
            </m:ctrlPr>
          </m:dPr>
          <m:e>
            <m:nary>
              <m:naryPr>
                <m:chr m:val="∑"/>
                <m:limLoc m:val="undOvr"/>
                <m:grow m:val="1"/>
                <m:supHide m:val="1"/>
                <m:ctrlPr>
                  <w:rPr>
                    <w:rFonts w:ascii="Cambria Math" w:hAnsi="Cambria Math" w:cs="Times New Roman"/>
                    <w:bCs/>
                    <w:sz w:val="20"/>
                    <w:szCs w:val="20"/>
                  </w:rPr>
                </m:ctrlPr>
              </m:naryPr>
              <m:sub>
                <m:r>
                  <w:rPr>
                    <w:rFonts w:ascii="Cambria Math" w:hAnsi="Cambria Math" w:cs="Times New Roman"/>
                    <w:sz w:val="20"/>
                    <w:szCs w:val="20"/>
                  </w:rPr>
                  <m:t>j∈</m:t>
                </m:r>
                <m:sSub>
                  <m:sSubPr>
                    <m:ctrlPr>
                      <w:rPr>
                        <w:rFonts w:ascii="Cambria Math" w:hAnsi="Cambria Math" w:cs="Times New Roman"/>
                        <w:bCs/>
                        <w:sz w:val="20"/>
                        <w:szCs w:val="20"/>
                      </w:rPr>
                    </m:ctrlPr>
                  </m:sSubPr>
                  <m:e>
                    <m:r>
                      <m:rPr>
                        <m:scr m:val="script"/>
                      </m:rPr>
                      <w:rPr>
                        <w:rFonts w:ascii="Cambria Math" w:hAnsi="Cambria Math" w:cs="Times New Roman"/>
                        <w:sz w:val="20"/>
                        <w:szCs w:val="20"/>
                      </w:rPr>
                      <m:t>N</m:t>
                    </m:r>
                  </m:e>
                  <m:sub>
                    <m:r>
                      <w:rPr>
                        <w:rFonts w:ascii="Cambria Math" w:hAnsi="Cambria Math" w:cs="Times New Roman"/>
                        <w:sz w:val="20"/>
                        <w:szCs w:val="20"/>
                      </w:rPr>
                      <m:t>i</m:t>
                    </m:r>
                  </m:sub>
                </m:sSub>
              </m:sub>
              <m:sup/>
              <m:e>
                <m:sSubSup>
                  <m:sSubSupPr>
                    <m:ctrlPr>
                      <w:rPr>
                        <w:rFonts w:ascii="Cambria Math" w:hAnsi="Cambria Math" w:cs="Times New Roman"/>
                        <w:bCs/>
                        <w:sz w:val="20"/>
                        <w:szCs w:val="20"/>
                      </w:rPr>
                    </m:ctrlPr>
                  </m:sSubSupPr>
                  <m:e>
                    <m:r>
                      <w:rPr>
                        <w:rFonts w:ascii="Cambria Math" w:hAnsi="Cambria Math" w:cs="Times New Roman"/>
                        <w:sz w:val="20"/>
                        <w:szCs w:val="20"/>
                      </w:rPr>
                      <m:t>α</m:t>
                    </m:r>
                  </m:e>
                  <m:sub>
                    <m:r>
                      <w:rPr>
                        <w:rFonts w:ascii="Cambria Math" w:hAnsi="Cambria Math" w:cs="Times New Roman"/>
                        <w:sz w:val="20"/>
                        <w:szCs w:val="20"/>
                      </w:rPr>
                      <m:t>ij</m:t>
                    </m:r>
                  </m:sub>
                  <m:sup>
                    <m:d>
                      <m:dPr>
                        <m:ctrlPr>
                          <w:rPr>
                            <w:rFonts w:ascii="Cambria Math" w:hAnsi="Cambria Math" w:cs="Times New Roman"/>
                            <w:bCs/>
                            <w:sz w:val="20"/>
                            <w:szCs w:val="20"/>
                          </w:rPr>
                        </m:ctrlPr>
                      </m:dPr>
                      <m:e>
                        <m:r>
                          <w:rPr>
                            <w:rFonts w:ascii="Cambria Math" w:hAnsi="Cambria Math" w:cs="Times New Roman"/>
                            <w:sz w:val="20"/>
                            <w:szCs w:val="20"/>
                          </w:rPr>
                          <m:t>l</m:t>
                        </m:r>
                      </m:e>
                    </m:d>
                  </m:sup>
                </m:sSubSup>
              </m:e>
            </m:nary>
            <m:sSup>
              <m:sSupPr>
                <m:ctrlPr>
                  <w:rPr>
                    <w:rFonts w:ascii="Cambria Math" w:hAnsi="Cambria Math" w:cs="Times New Roman"/>
                    <w:bCs/>
                    <w:sz w:val="20"/>
                    <w:szCs w:val="20"/>
                  </w:rPr>
                </m:ctrlPr>
              </m:sSupPr>
              <m:e>
                <m:r>
                  <m:rPr>
                    <m:sty m:val="p"/>
                  </m:rPr>
                  <w:rPr>
                    <w:rFonts w:ascii="Cambria Math" w:hAnsi="Cambria Math" w:cs="Times New Roman"/>
                    <w:sz w:val="20"/>
                    <w:szCs w:val="20"/>
                  </w:rPr>
                  <m:t>W</m:t>
                </m:r>
              </m:e>
              <m:sup>
                <m:d>
                  <m:dPr>
                    <m:ctrlPr>
                      <w:rPr>
                        <w:rFonts w:ascii="Cambria Math" w:hAnsi="Cambria Math" w:cs="Times New Roman"/>
                        <w:bCs/>
                        <w:sz w:val="20"/>
                        <w:szCs w:val="20"/>
                      </w:rPr>
                    </m:ctrlPr>
                  </m:dPr>
                  <m:e>
                    <m:r>
                      <w:rPr>
                        <w:rFonts w:ascii="Cambria Math" w:hAnsi="Cambria Math" w:cs="Times New Roman"/>
                        <w:sz w:val="20"/>
                        <w:szCs w:val="20"/>
                      </w:rPr>
                      <m:t>l</m:t>
                    </m:r>
                  </m:e>
                </m:d>
              </m:sup>
            </m:sSup>
            <m:sSubSup>
              <m:sSubSupPr>
                <m:ctrlPr>
                  <w:rPr>
                    <w:rFonts w:ascii="Cambria Math" w:hAnsi="Cambria Math" w:cs="Times New Roman"/>
                    <w:bCs/>
                    <w:sz w:val="20"/>
                    <w:szCs w:val="20"/>
                  </w:rPr>
                </m:ctrlPr>
              </m:sSubSupPr>
              <m:e>
                <m:r>
                  <m:rPr>
                    <m:sty m:val="p"/>
                  </m:rPr>
                  <w:rPr>
                    <w:rFonts w:ascii="Cambria Math" w:hAnsi="Cambria Math" w:cs="Times New Roman"/>
                    <w:sz w:val="20"/>
                    <w:szCs w:val="20"/>
                  </w:rPr>
                  <m:t>h</m:t>
                </m:r>
              </m:e>
              <m:sub>
                <m:r>
                  <w:rPr>
                    <w:rFonts w:ascii="Cambria Math" w:hAnsi="Cambria Math" w:cs="Times New Roman"/>
                    <w:sz w:val="20"/>
                    <w:szCs w:val="20"/>
                  </w:rPr>
                  <m:t>j</m:t>
                </m:r>
              </m:sub>
              <m:sup>
                <m:d>
                  <m:dPr>
                    <m:ctrlPr>
                      <w:rPr>
                        <w:rFonts w:ascii="Cambria Math" w:hAnsi="Cambria Math" w:cs="Times New Roman"/>
                        <w:bCs/>
                        <w:sz w:val="20"/>
                        <w:szCs w:val="20"/>
                      </w:rPr>
                    </m:ctrlPr>
                  </m:dPr>
                  <m:e>
                    <m:r>
                      <w:rPr>
                        <w:rFonts w:ascii="Cambria Math" w:hAnsi="Cambria Math" w:cs="Times New Roman"/>
                        <w:sz w:val="20"/>
                        <w:szCs w:val="20"/>
                      </w:rPr>
                      <m:t>l</m:t>
                    </m:r>
                  </m:e>
                </m:d>
              </m:sup>
            </m:sSubSup>
          </m:e>
        </m:d>
      </m:oMath>
      <w:r w:rsidR="00710008">
        <w:rPr>
          <w:rFonts w:ascii="Times New Roman" w:eastAsiaTheme="minorEastAsia" w:hAnsi="Times New Roman" w:cs="Times New Roman"/>
          <w:bCs/>
          <w:sz w:val="20"/>
          <w:szCs w:val="20"/>
        </w:rPr>
        <w:t xml:space="preserve"> </w:t>
      </w:r>
      <w:r w:rsidR="00710008">
        <w:rPr>
          <w:rFonts w:ascii="Times New Roman" w:eastAsiaTheme="minorEastAsia" w:hAnsi="Times New Roman" w:cs="Times New Roman"/>
          <w:bCs/>
          <w:sz w:val="20"/>
          <w:szCs w:val="20"/>
        </w:rPr>
        <w:tab/>
      </w:r>
      <w:r w:rsidR="00710008">
        <w:rPr>
          <w:rFonts w:ascii="Times New Roman" w:eastAsiaTheme="minorEastAsia" w:hAnsi="Times New Roman" w:cs="Times New Roman"/>
          <w:bCs/>
          <w:sz w:val="20"/>
          <w:szCs w:val="20"/>
        </w:rPr>
        <w:tab/>
      </w:r>
      <w:r w:rsidR="00710008">
        <w:rPr>
          <w:rFonts w:ascii="Times New Roman" w:eastAsiaTheme="minorEastAsia" w:hAnsi="Times New Roman" w:cs="Times New Roman"/>
          <w:bCs/>
          <w:sz w:val="20"/>
          <w:szCs w:val="20"/>
        </w:rPr>
        <w:tab/>
      </w:r>
      <w:r w:rsidR="00710008">
        <w:rPr>
          <w:rFonts w:ascii="Times New Roman" w:eastAsiaTheme="minorEastAsia" w:hAnsi="Times New Roman" w:cs="Times New Roman"/>
          <w:bCs/>
          <w:sz w:val="20"/>
          <w:szCs w:val="20"/>
        </w:rPr>
        <w:tab/>
      </w:r>
      <w:r w:rsidR="00710008">
        <w:rPr>
          <w:rFonts w:ascii="Times New Roman" w:eastAsiaTheme="minorEastAsia" w:hAnsi="Times New Roman" w:cs="Times New Roman"/>
          <w:bCs/>
          <w:sz w:val="20"/>
          <w:szCs w:val="20"/>
        </w:rPr>
        <w:tab/>
        <w:t>(1)</w:t>
      </w:r>
    </w:p>
    <w:p w14:paraId="14A4A9A1" w14:textId="07329E82" w:rsidR="002A23D1" w:rsidRPr="00F449DC" w:rsidRDefault="002A23D1" w:rsidP="00F449DC">
      <w:pPr>
        <w:keepNext/>
        <w:overflowPunct w:val="0"/>
        <w:autoSpaceDE w:val="0"/>
        <w:autoSpaceDN w:val="0"/>
        <w:adjustRightInd w:val="0"/>
        <w:spacing w:after="0"/>
        <w:jc w:val="both"/>
        <w:textAlignment w:val="baseline"/>
        <w:rPr>
          <w:rFonts w:ascii="Times New Roman" w:hAnsi="Times New Roman" w:cs="Times New Roman"/>
          <w:bCs/>
          <w:sz w:val="20"/>
          <w:szCs w:val="20"/>
        </w:rPr>
      </w:pPr>
      <w:r w:rsidRPr="00F449DC">
        <w:rPr>
          <w:rFonts w:ascii="Times New Roman" w:hAnsi="Times New Roman" w:cs="Times New Roman"/>
          <w:bCs/>
          <w:sz w:val="20"/>
          <w:szCs w:val="20"/>
        </w:rPr>
        <w:t xml:space="preserve">where </w:t>
      </w:r>
      <m:oMath>
        <m:sSubSup>
          <m:sSubSupPr>
            <m:ctrlPr>
              <w:rPr>
                <w:rFonts w:ascii="Cambria Math" w:hAnsi="Cambria Math" w:cs="Times New Roman"/>
                <w:bCs/>
                <w:sz w:val="20"/>
                <w:szCs w:val="20"/>
              </w:rPr>
            </m:ctrlPr>
          </m:sSubSupPr>
          <m:e>
            <m:r>
              <w:rPr>
                <w:rFonts w:ascii="Cambria Math" w:hAnsi="Cambria Math" w:cs="Times New Roman"/>
                <w:sz w:val="20"/>
                <w:szCs w:val="20"/>
              </w:rPr>
              <m:t>α</m:t>
            </m:r>
          </m:e>
          <m:sub>
            <m:r>
              <w:rPr>
                <w:rFonts w:ascii="Cambria Math" w:hAnsi="Cambria Math" w:cs="Times New Roman"/>
                <w:sz w:val="20"/>
                <w:szCs w:val="20"/>
              </w:rPr>
              <m:t>ij</m:t>
            </m:r>
          </m:sub>
          <m:sup>
            <m:d>
              <m:dPr>
                <m:ctrlPr>
                  <w:rPr>
                    <w:rFonts w:ascii="Cambria Math" w:hAnsi="Cambria Math" w:cs="Times New Roman"/>
                    <w:bCs/>
                    <w:sz w:val="20"/>
                    <w:szCs w:val="20"/>
                  </w:rPr>
                </m:ctrlPr>
              </m:dPr>
              <m:e>
                <m:r>
                  <w:rPr>
                    <w:rFonts w:ascii="Cambria Math" w:hAnsi="Cambria Math" w:cs="Times New Roman"/>
                    <w:sz w:val="20"/>
                    <w:szCs w:val="20"/>
                  </w:rPr>
                  <m:t>l</m:t>
                </m:r>
              </m:e>
            </m:d>
          </m:sup>
        </m:sSubSup>
      </m:oMath>
      <w:r w:rsidRPr="00F449DC">
        <w:rPr>
          <w:rFonts w:ascii="Times New Roman" w:hAnsi="Times New Roman" w:cs="Times New Roman"/>
          <w:bCs/>
          <w:sz w:val="20"/>
          <w:szCs w:val="20"/>
        </w:rPr>
        <w:t xml:space="preserve">denotes normalized attention coefficients and </w:t>
      </w:r>
      <m:oMath>
        <m:sSup>
          <m:sSupPr>
            <m:ctrlPr>
              <w:rPr>
                <w:rFonts w:ascii="Cambria Math" w:hAnsi="Cambria Math" w:cs="Times New Roman"/>
                <w:bCs/>
                <w:sz w:val="20"/>
                <w:szCs w:val="20"/>
              </w:rPr>
            </m:ctrlPr>
          </m:sSupPr>
          <m:e>
            <m:r>
              <m:rPr>
                <m:sty m:val="p"/>
              </m:rPr>
              <w:rPr>
                <w:rFonts w:ascii="Cambria Math" w:hAnsi="Cambria Math" w:cs="Times New Roman"/>
                <w:sz w:val="20"/>
                <w:szCs w:val="20"/>
              </w:rPr>
              <m:t>W</m:t>
            </m:r>
          </m:e>
          <m:sup>
            <m:d>
              <m:dPr>
                <m:ctrlPr>
                  <w:rPr>
                    <w:rFonts w:ascii="Cambria Math" w:hAnsi="Cambria Math" w:cs="Times New Roman"/>
                    <w:bCs/>
                    <w:sz w:val="20"/>
                    <w:szCs w:val="20"/>
                  </w:rPr>
                </m:ctrlPr>
              </m:dPr>
              <m:e>
                <m:r>
                  <w:rPr>
                    <w:rFonts w:ascii="Cambria Math" w:hAnsi="Cambria Math" w:cs="Times New Roman"/>
                    <w:sz w:val="20"/>
                    <w:szCs w:val="20"/>
                  </w:rPr>
                  <m:t>l</m:t>
                </m:r>
              </m:e>
            </m:d>
          </m:sup>
        </m:sSup>
      </m:oMath>
      <w:r w:rsidRPr="00F449DC">
        <w:rPr>
          <w:rFonts w:ascii="Times New Roman" w:hAnsi="Times New Roman" w:cs="Times New Roman"/>
          <w:bCs/>
          <w:sz w:val="20"/>
          <w:szCs w:val="20"/>
        </w:rPr>
        <w:t xml:space="preserve">is the trainable weight matrix at layer </w:t>
      </w:r>
      <m:oMath>
        <m:r>
          <w:rPr>
            <w:rFonts w:ascii="Cambria Math" w:hAnsi="Cambria Math" w:cs="Times New Roman"/>
            <w:sz w:val="20"/>
            <w:szCs w:val="20"/>
          </w:rPr>
          <m:t>l</m:t>
        </m:r>
      </m:oMath>
      <w:r w:rsidRPr="00F449DC">
        <w:rPr>
          <w:rFonts w:ascii="Times New Roman" w:hAnsi="Times New Roman" w:cs="Times New Roman"/>
          <w:bCs/>
          <w:sz w:val="20"/>
          <w:szCs w:val="20"/>
        </w:rPr>
        <w:t>.</w:t>
      </w:r>
    </w:p>
    <w:p w14:paraId="0C0C3CB7" w14:textId="74A75E8F" w:rsidR="002A23D1" w:rsidRPr="002A23D1" w:rsidRDefault="002A23D1" w:rsidP="00F449DC">
      <w:pPr>
        <w:pStyle w:val="a4"/>
        <w:keepNext/>
        <w:overflowPunct w:val="0"/>
        <w:autoSpaceDE w:val="0"/>
        <w:autoSpaceDN w:val="0"/>
        <w:adjustRightInd w:val="0"/>
        <w:spacing w:after="0"/>
        <w:ind w:left="0" w:firstLine="284"/>
        <w:jc w:val="both"/>
        <w:textAlignment w:val="baseline"/>
        <w:rPr>
          <w:rFonts w:ascii="Times New Roman" w:hAnsi="Times New Roman" w:cs="Times New Roman"/>
          <w:bCs/>
          <w:sz w:val="20"/>
          <w:szCs w:val="20"/>
        </w:rPr>
      </w:pPr>
      <w:r w:rsidRPr="002A23D1">
        <w:rPr>
          <w:rFonts w:ascii="Times New Roman" w:hAnsi="Times New Roman" w:cs="Times New Roman"/>
          <w:bCs/>
          <w:sz w:val="20"/>
          <w:szCs w:val="20"/>
        </w:rPr>
        <w:t>Long-term hydropower efficiency forecasting is formulated as a multi-objective optimization problem</w:t>
      </w:r>
      <w:r w:rsidR="000F0486">
        <w:rPr>
          <w:rFonts w:ascii="Times New Roman" w:hAnsi="Times New Roman" w:cs="Times New Roman"/>
          <w:bCs/>
          <w:sz w:val="20"/>
          <w:szCs w:val="20"/>
        </w:rPr>
        <w:t xml:space="preserve"> [7,8]</w:t>
      </w:r>
      <w:r w:rsidRPr="002A23D1">
        <w:rPr>
          <w:rFonts w:ascii="Times New Roman" w:hAnsi="Times New Roman" w:cs="Times New Roman"/>
          <w:bCs/>
          <w:sz w:val="20"/>
          <w:szCs w:val="20"/>
        </w:rPr>
        <w:t>:</w:t>
      </w:r>
    </w:p>
    <w:p w14:paraId="4C81E6F0" w14:textId="7361AC8B" w:rsidR="002A23D1" w:rsidRPr="00710008" w:rsidRDefault="001E6294" w:rsidP="00710008">
      <w:pPr>
        <w:pStyle w:val="a4"/>
        <w:keepNext/>
        <w:overflowPunct w:val="0"/>
        <w:autoSpaceDE w:val="0"/>
        <w:autoSpaceDN w:val="0"/>
        <w:adjustRightInd w:val="0"/>
        <w:spacing w:before="240" w:after="240"/>
        <w:ind w:firstLine="284"/>
        <w:jc w:val="right"/>
        <w:textAlignment w:val="baseline"/>
        <w:rPr>
          <w:rFonts w:ascii="Times New Roman" w:hAnsi="Times New Roman" w:cs="Times New Roman"/>
          <w:bCs/>
          <w:sz w:val="20"/>
          <w:szCs w:val="20"/>
        </w:rPr>
      </w:pPr>
      <m:oMath>
        <m:limLow>
          <m:limLowPr>
            <m:ctrlPr>
              <w:rPr>
                <w:rFonts w:ascii="Cambria Math" w:hAnsi="Cambria Math" w:cs="Times New Roman"/>
                <w:bCs/>
                <w:sz w:val="20"/>
                <w:szCs w:val="20"/>
              </w:rPr>
            </m:ctrlPr>
          </m:limLowPr>
          <m:e>
            <m:r>
              <m:rPr>
                <m:sty m:val="p"/>
              </m:rPr>
              <w:rPr>
                <w:rFonts w:ascii="Cambria Math" w:hAnsi="Cambria Math" w:cs="Times New Roman"/>
                <w:sz w:val="20"/>
                <w:szCs w:val="20"/>
              </w:rPr>
              <m:t>min</m:t>
            </m:r>
            <m:r>
              <w:rPr>
                <w:rFonts w:ascii="Cambria Math" w:hAnsi="Cambria Math" w:cs="Times New Roman"/>
                <w:sz w:val="20"/>
                <w:szCs w:val="20"/>
              </w:rPr>
              <m:t>⁡</m:t>
            </m:r>
          </m:e>
          <m:lim>
            <m:r>
              <m:rPr>
                <m:sty m:val="p"/>
              </m:rPr>
              <w:rPr>
                <w:rFonts w:ascii="Cambria Math" w:hAnsi="Cambria Math" w:cs="Times New Roman"/>
                <w:sz w:val="20"/>
                <w:szCs w:val="20"/>
              </w:rPr>
              <m:t>Θ</m:t>
            </m:r>
          </m:lim>
        </m:limLow>
        <m:r>
          <m:rPr>
            <m:nor/>
          </m:rPr>
          <w:rPr>
            <w:rFonts w:ascii="Times New Roman" w:hAnsi="Times New Roman" w:cs="Times New Roman"/>
            <w:bCs/>
            <w:sz w:val="20"/>
            <w:szCs w:val="20"/>
          </w:rPr>
          <m:t>  </m:t>
        </m:r>
        <m:r>
          <m:rPr>
            <m:scr m:val="script"/>
          </m:rPr>
          <w:rPr>
            <w:rFonts w:ascii="Cambria Math" w:hAnsi="Cambria Math" w:cs="Times New Roman"/>
            <w:sz w:val="20"/>
            <w:szCs w:val="20"/>
          </w:rPr>
          <m:t>L=</m:t>
        </m:r>
        <m:nary>
          <m:naryPr>
            <m:chr m:val="∑"/>
            <m:limLoc m:val="undOvr"/>
            <m:grow m:val="1"/>
            <m:ctrlPr>
              <w:rPr>
                <w:rFonts w:ascii="Cambria Math" w:hAnsi="Cambria Math" w:cs="Times New Roman"/>
                <w:bCs/>
                <w:sz w:val="20"/>
                <w:szCs w:val="20"/>
              </w:rPr>
            </m:ctrlPr>
          </m:naryPr>
          <m:sub>
            <m:r>
              <w:rPr>
                <w:rFonts w:ascii="Cambria Math" w:hAnsi="Cambria Math" w:cs="Times New Roman"/>
                <w:sz w:val="20"/>
                <w:szCs w:val="20"/>
              </w:rPr>
              <m:t>t=1</m:t>
            </m:r>
          </m:sub>
          <m:sup>
            <m:r>
              <w:rPr>
                <w:rFonts w:ascii="Cambria Math" w:hAnsi="Cambria Math" w:cs="Times New Roman"/>
                <w:sz w:val="20"/>
                <w:szCs w:val="20"/>
              </w:rPr>
              <m:t>T</m:t>
            </m:r>
          </m:sup>
          <m:e>
            <m:d>
              <m:dPr>
                <m:ctrlPr>
                  <w:rPr>
                    <w:rFonts w:ascii="Cambria Math" w:hAnsi="Cambria Math" w:cs="Times New Roman"/>
                    <w:bCs/>
                    <w:sz w:val="20"/>
                    <w:szCs w:val="20"/>
                  </w:rPr>
                </m:ctrlPr>
              </m:dPr>
              <m:e>
                <m:r>
                  <m:rPr>
                    <m:sty m:val="p"/>
                  </m:rPr>
                  <w:rPr>
                    <w:rFonts w:ascii="Cambria Math" w:hAnsi="Cambria Math" w:cs="Times New Roman"/>
                    <w:sz w:val="20"/>
                    <w:szCs w:val="20"/>
                  </w:rPr>
                  <m:t>∥</m:t>
                </m:r>
                <m:acc>
                  <m:accPr>
                    <m:ctrlPr>
                      <w:rPr>
                        <w:rFonts w:ascii="Cambria Math" w:hAnsi="Cambria Math" w:cs="Times New Roman"/>
                        <w:bCs/>
                        <w:sz w:val="20"/>
                        <w:szCs w:val="20"/>
                      </w:rPr>
                    </m:ctrlPr>
                  </m:accPr>
                  <m:e>
                    <m:r>
                      <w:rPr>
                        <w:rFonts w:ascii="Cambria Math" w:hAnsi="Cambria Math" w:cs="Times New Roman"/>
                        <w:sz w:val="20"/>
                        <w:szCs w:val="20"/>
                      </w:rPr>
                      <m:t>η</m:t>
                    </m:r>
                  </m:e>
                </m:acc>
                <m:r>
                  <w:rPr>
                    <w:rFonts w:ascii="Cambria Math" w:hAnsi="Cambria Math" w:cs="Times New Roman"/>
                    <w:sz w:val="20"/>
                    <w:szCs w:val="20"/>
                  </w:rPr>
                  <m:t>(t)-η(t)</m:t>
                </m:r>
                <m:sSubSup>
                  <m:sSubSupPr>
                    <m:ctrlPr>
                      <w:rPr>
                        <w:rFonts w:ascii="Cambria Math" w:hAnsi="Cambria Math" w:cs="Times New Roman"/>
                        <w:bCs/>
                        <w:sz w:val="20"/>
                        <w:szCs w:val="20"/>
                      </w:rPr>
                    </m:ctrlPr>
                  </m:sSubSupPr>
                  <m:e>
                    <m:r>
                      <m:rPr>
                        <m:sty m:val="p"/>
                      </m:rPr>
                      <w:rPr>
                        <w:rFonts w:ascii="Cambria Math" w:hAnsi="Cambria Math" w:cs="Times New Roman"/>
                        <w:sz w:val="20"/>
                        <w:szCs w:val="20"/>
                      </w:rPr>
                      <m:t>∥</m:t>
                    </m:r>
                  </m:e>
                  <m:sub>
                    <m:r>
                      <w:rPr>
                        <w:rFonts w:ascii="Cambria Math" w:hAnsi="Cambria Math" w:cs="Times New Roman"/>
                        <w:sz w:val="20"/>
                        <w:szCs w:val="20"/>
                      </w:rPr>
                      <m:t>2</m:t>
                    </m:r>
                  </m:sub>
                  <m:sup>
                    <m:r>
                      <w:rPr>
                        <w:rFonts w:ascii="Cambria Math" w:hAnsi="Cambria Math" w:cs="Times New Roman"/>
                        <w:sz w:val="20"/>
                        <w:szCs w:val="20"/>
                      </w:rPr>
                      <m:t>2</m:t>
                    </m:r>
                  </m:sup>
                </m:sSubSup>
                <m:r>
                  <w:rPr>
                    <w:rFonts w:ascii="Cambria Math" w:hAnsi="Cambria Math" w:cs="Times New Roman"/>
                    <w:sz w:val="20"/>
                    <w:szCs w:val="20"/>
                  </w:rPr>
                  <m:t>+μ</m:t>
                </m:r>
                <m:r>
                  <m:rPr>
                    <m:sty m:val="p"/>
                  </m:rPr>
                  <w:rPr>
                    <w:rFonts w:ascii="Cambria Math" w:hAnsi="Cambria Math" w:cs="Times New Roman"/>
                    <w:sz w:val="20"/>
                    <w:szCs w:val="20"/>
                  </w:rPr>
                  <m:t>∥</m:t>
                </m:r>
                <m:acc>
                  <m:accPr>
                    <m:ctrlPr>
                      <w:rPr>
                        <w:rFonts w:ascii="Cambria Math" w:hAnsi="Cambria Math" w:cs="Times New Roman"/>
                        <w:bCs/>
                        <w:sz w:val="20"/>
                        <w:szCs w:val="20"/>
                      </w:rPr>
                    </m:ctrlPr>
                  </m:accPr>
                  <m:e>
                    <m:r>
                      <w:rPr>
                        <w:rFonts w:ascii="Cambria Math" w:hAnsi="Cambria Math" w:cs="Times New Roman"/>
                        <w:sz w:val="20"/>
                        <w:szCs w:val="20"/>
                      </w:rPr>
                      <m:t>P</m:t>
                    </m:r>
                  </m:e>
                </m:acc>
                <m:r>
                  <w:rPr>
                    <w:rFonts w:ascii="Cambria Math" w:hAnsi="Cambria Math" w:cs="Times New Roman"/>
                    <w:sz w:val="20"/>
                    <w:szCs w:val="20"/>
                  </w:rPr>
                  <m:t>(t)-P(t)</m:t>
                </m:r>
                <m:sSubSup>
                  <m:sSubSupPr>
                    <m:ctrlPr>
                      <w:rPr>
                        <w:rFonts w:ascii="Cambria Math" w:hAnsi="Cambria Math" w:cs="Times New Roman"/>
                        <w:bCs/>
                        <w:sz w:val="20"/>
                        <w:szCs w:val="20"/>
                      </w:rPr>
                    </m:ctrlPr>
                  </m:sSubSupPr>
                  <m:e>
                    <m:r>
                      <m:rPr>
                        <m:sty m:val="p"/>
                      </m:rPr>
                      <w:rPr>
                        <w:rFonts w:ascii="Cambria Math" w:hAnsi="Cambria Math" w:cs="Times New Roman"/>
                        <w:sz w:val="20"/>
                        <w:szCs w:val="20"/>
                      </w:rPr>
                      <m:t>∥</m:t>
                    </m:r>
                  </m:e>
                  <m:sub>
                    <m:r>
                      <w:rPr>
                        <w:rFonts w:ascii="Cambria Math" w:hAnsi="Cambria Math" w:cs="Times New Roman"/>
                        <w:sz w:val="20"/>
                        <w:szCs w:val="20"/>
                      </w:rPr>
                      <m:t>2</m:t>
                    </m:r>
                  </m:sub>
                  <m:sup>
                    <m:r>
                      <w:rPr>
                        <w:rFonts w:ascii="Cambria Math" w:hAnsi="Cambria Math" w:cs="Times New Roman"/>
                        <w:sz w:val="20"/>
                        <w:szCs w:val="20"/>
                      </w:rPr>
                      <m:t>2</m:t>
                    </m:r>
                  </m:sup>
                </m:sSubSup>
              </m:e>
            </m:d>
          </m:e>
        </m:nary>
      </m:oMath>
      <w:r w:rsidR="00710008">
        <w:rPr>
          <w:rFonts w:ascii="Times New Roman" w:eastAsiaTheme="minorEastAsia" w:hAnsi="Times New Roman" w:cs="Times New Roman"/>
          <w:bCs/>
          <w:sz w:val="20"/>
          <w:szCs w:val="20"/>
        </w:rPr>
        <w:tab/>
      </w:r>
      <w:r w:rsidR="00710008">
        <w:rPr>
          <w:rFonts w:ascii="Times New Roman" w:eastAsiaTheme="minorEastAsia" w:hAnsi="Times New Roman" w:cs="Times New Roman"/>
          <w:bCs/>
          <w:sz w:val="20"/>
          <w:szCs w:val="20"/>
        </w:rPr>
        <w:tab/>
      </w:r>
      <w:r w:rsidR="00710008">
        <w:rPr>
          <w:rFonts w:ascii="Times New Roman" w:eastAsiaTheme="minorEastAsia" w:hAnsi="Times New Roman" w:cs="Times New Roman"/>
          <w:bCs/>
          <w:sz w:val="20"/>
          <w:szCs w:val="20"/>
        </w:rPr>
        <w:tab/>
      </w:r>
      <w:r w:rsidR="00710008">
        <w:rPr>
          <w:rFonts w:ascii="Times New Roman" w:eastAsiaTheme="minorEastAsia" w:hAnsi="Times New Roman" w:cs="Times New Roman"/>
          <w:bCs/>
          <w:sz w:val="20"/>
          <w:szCs w:val="20"/>
        </w:rPr>
        <w:tab/>
        <w:t>(2)</w:t>
      </w:r>
    </w:p>
    <w:p w14:paraId="738A097D" w14:textId="57A64A98" w:rsidR="00E443A5" w:rsidRPr="00F449DC" w:rsidRDefault="002A23D1" w:rsidP="002A23D1">
      <w:pPr>
        <w:pStyle w:val="a4"/>
        <w:keepNext/>
        <w:overflowPunct w:val="0"/>
        <w:autoSpaceDE w:val="0"/>
        <w:autoSpaceDN w:val="0"/>
        <w:adjustRightInd w:val="0"/>
        <w:spacing w:before="240" w:after="240"/>
        <w:ind w:left="0"/>
        <w:jc w:val="both"/>
        <w:textAlignment w:val="baseline"/>
        <w:rPr>
          <w:rFonts w:ascii="Times New Roman" w:hAnsi="Times New Roman" w:cs="Times New Roman"/>
          <w:bCs/>
          <w:sz w:val="20"/>
          <w:szCs w:val="20"/>
        </w:rPr>
      </w:pPr>
      <w:r w:rsidRPr="002A23D1">
        <w:rPr>
          <w:rFonts w:ascii="Times New Roman" w:hAnsi="Times New Roman" w:cs="Times New Roman"/>
          <w:bCs/>
          <w:sz w:val="20"/>
          <w:szCs w:val="20"/>
        </w:rPr>
        <w:t xml:space="preserve">where </w:t>
      </w:r>
      <m:oMath>
        <m:r>
          <w:rPr>
            <w:rFonts w:ascii="Cambria Math" w:hAnsi="Cambria Math" w:cs="Times New Roman"/>
            <w:sz w:val="20"/>
            <w:szCs w:val="20"/>
          </w:rPr>
          <m:t>η(t)</m:t>
        </m:r>
      </m:oMath>
      <w:r w:rsidRPr="002A23D1">
        <w:rPr>
          <w:rFonts w:ascii="Times New Roman" w:hAnsi="Times New Roman" w:cs="Times New Roman"/>
          <w:bCs/>
          <w:sz w:val="20"/>
          <w:szCs w:val="20"/>
        </w:rPr>
        <w:t xml:space="preserve">represents system efficiency, </w:t>
      </w:r>
      <m:oMath>
        <m:r>
          <w:rPr>
            <w:rFonts w:ascii="Cambria Math" w:hAnsi="Cambria Math" w:cs="Times New Roman"/>
            <w:sz w:val="20"/>
            <w:szCs w:val="20"/>
          </w:rPr>
          <m:t>P(t)</m:t>
        </m:r>
      </m:oMath>
      <w:r w:rsidRPr="002A23D1">
        <w:rPr>
          <w:rFonts w:ascii="Times New Roman" w:hAnsi="Times New Roman" w:cs="Times New Roman"/>
          <w:bCs/>
          <w:sz w:val="20"/>
          <w:szCs w:val="20"/>
        </w:rPr>
        <w:t xml:space="preserve">denotes generated power, and </w:t>
      </w:r>
      <m:oMath>
        <m:r>
          <w:rPr>
            <w:rFonts w:ascii="Cambria Math" w:hAnsi="Cambria Math" w:cs="Times New Roman"/>
            <w:sz w:val="20"/>
            <w:szCs w:val="20"/>
          </w:rPr>
          <m:t>μ</m:t>
        </m:r>
      </m:oMath>
      <w:r w:rsidRPr="002A23D1">
        <w:rPr>
          <w:rFonts w:ascii="Times New Roman" w:hAnsi="Times New Roman" w:cs="Times New Roman"/>
          <w:bCs/>
          <w:sz w:val="20"/>
          <w:szCs w:val="20"/>
        </w:rPr>
        <w:t>is a regularization parameter. The trained model is deployed within a web-based decision-support system enabling real-time monitoring, forecasting visualization, and adaptive operational control.</w:t>
      </w:r>
    </w:p>
    <w:p w14:paraId="0C8BCE76" w14:textId="77777777" w:rsidR="002A23D1" w:rsidRDefault="002A23D1" w:rsidP="002A23D1">
      <w:pPr>
        <w:pStyle w:val="a4"/>
        <w:keepNext/>
        <w:overflowPunct w:val="0"/>
        <w:autoSpaceDE w:val="0"/>
        <w:autoSpaceDN w:val="0"/>
        <w:adjustRightInd w:val="0"/>
        <w:spacing w:before="240" w:after="240"/>
        <w:ind w:left="0"/>
        <w:jc w:val="both"/>
        <w:textAlignment w:val="baseline"/>
        <w:rPr>
          <w:rFonts w:ascii="Times New Roman" w:hAnsi="Times New Roman" w:cs="Times New Roman"/>
          <w:b/>
          <w:sz w:val="24"/>
          <w:szCs w:val="24"/>
        </w:rPr>
      </w:pPr>
    </w:p>
    <w:p w14:paraId="2B6DECB4" w14:textId="56A49202" w:rsidR="00E443A5" w:rsidRPr="00287E0A" w:rsidRDefault="002A23D1" w:rsidP="00E443A5">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LITERATURE REVIEW</w:t>
      </w:r>
    </w:p>
    <w:p w14:paraId="37CFEEC2" w14:textId="282E8CA5" w:rsidR="00E64A2C" w:rsidRPr="00E64A2C" w:rsidRDefault="00E64A2C" w:rsidP="00E64A2C">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E64A2C">
        <w:rPr>
          <w:rFonts w:ascii="Times New Roman" w:hAnsi="Times New Roman" w:cs="Times New Roman"/>
          <w:bCs/>
          <w:sz w:val="20"/>
          <w:szCs w:val="20"/>
        </w:rPr>
        <w:t>Recent studies highlight the growing importance of intelligent forecasting and digital monitoring systems for efficient hydropower resource utilization, especially in complex mountain river environments. Traditional hydropower forecasting approaches are largely based on statistical regression and physically based hydrological models, which often fail to capture nonlinear spatial–temporal interactions among hydrological components and operational units. To address these limitations, machine learning techniques such as artificial neural networks, support vector machines, and long short-term memory (LSTM) networks have been increasingly applied for short- and long-term hydropower prediction. While LSTM-based models demonstrate improved temporal forecasting accuracy, they generally neglect the graph-structured relationships inherent in multi-reservoir and multi-turbine hydropower systems</w:t>
      </w:r>
      <w:r w:rsidR="00006399" w:rsidRPr="00F449DC">
        <w:rPr>
          <w:rFonts w:ascii="Times New Roman" w:hAnsi="Times New Roman" w:cs="Times New Roman"/>
          <w:bCs/>
          <w:sz w:val="20"/>
          <w:szCs w:val="20"/>
        </w:rPr>
        <w:t xml:space="preserve"> (</w:t>
      </w:r>
      <w:r w:rsidR="0011601F" w:rsidRPr="00F449DC">
        <w:rPr>
          <w:rFonts w:ascii="Times New Roman" w:hAnsi="Times New Roman" w:cs="Times New Roman"/>
          <w:bCs/>
          <w:sz w:val="20"/>
          <w:szCs w:val="20"/>
        </w:rPr>
        <w:t>T</w:t>
      </w:r>
      <w:r w:rsidR="00006399" w:rsidRPr="00F449DC">
        <w:rPr>
          <w:rFonts w:ascii="Times New Roman" w:hAnsi="Times New Roman" w:cs="Times New Roman"/>
          <w:bCs/>
          <w:sz w:val="20"/>
          <w:szCs w:val="20"/>
        </w:rPr>
        <w:t>able 1)</w:t>
      </w:r>
      <w:r w:rsidR="000F0486">
        <w:rPr>
          <w:rFonts w:ascii="Times New Roman" w:hAnsi="Times New Roman" w:cs="Times New Roman"/>
          <w:bCs/>
          <w:sz w:val="20"/>
          <w:szCs w:val="20"/>
        </w:rPr>
        <w:t xml:space="preserve"> [</w:t>
      </w:r>
      <w:r w:rsidR="004F430D">
        <w:rPr>
          <w:rFonts w:ascii="Times New Roman" w:hAnsi="Times New Roman" w:cs="Times New Roman"/>
          <w:bCs/>
          <w:sz w:val="20"/>
          <w:szCs w:val="20"/>
        </w:rPr>
        <w:t>8,9</w:t>
      </w:r>
      <w:r w:rsidR="000F0486">
        <w:rPr>
          <w:rFonts w:ascii="Times New Roman" w:hAnsi="Times New Roman" w:cs="Times New Roman"/>
          <w:bCs/>
          <w:sz w:val="20"/>
          <w:szCs w:val="20"/>
        </w:rPr>
        <w:t>]</w:t>
      </w:r>
      <w:r w:rsidRPr="00E64A2C">
        <w:rPr>
          <w:rFonts w:ascii="Times New Roman" w:hAnsi="Times New Roman" w:cs="Times New Roman"/>
          <w:bCs/>
          <w:sz w:val="20"/>
          <w:szCs w:val="20"/>
        </w:rPr>
        <w:t>.</w:t>
      </w:r>
    </w:p>
    <w:p w14:paraId="0DD5D545" w14:textId="62C8C7B4" w:rsidR="00E64A2C" w:rsidRPr="00E64A2C" w:rsidRDefault="00E64A2C" w:rsidP="00E64A2C">
      <w:pPr>
        <w:overflowPunct w:val="0"/>
        <w:autoSpaceDE w:val="0"/>
        <w:autoSpaceDN w:val="0"/>
        <w:adjustRightInd w:val="0"/>
        <w:spacing w:before="240" w:after="0" w:line="240" w:lineRule="auto"/>
        <w:ind w:firstLine="284"/>
        <w:jc w:val="center"/>
        <w:textAlignment w:val="baseline"/>
        <w:rPr>
          <w:rFonts w:ascii="Times New Roman" w:hAnsi="Times New Roman" w:cs="Times New Roman"/>
          <w:bCs/>
          <w:sz w:val="20"/>
          <w:szCs w:val="20"/>
        </w:rPr>
      </w:pPr>
      <w:r w:rsidRPr="00F449DC">
        <w:rPr>
          <w:rFonts w:ascii="Times New Roman" w:hAnsi="Times New Roman" w:cs="Times New Roman"/>
          <w:b/>
          <w:sz w:val="20"/>
          <w:szCs w:val="20"/>
        </w:rPr>
        <w:t>TABLE 1.</w:t>
      </w:r>
      <w:r w:rsidRPr="00E64A2C">
        <w:rPr>
          <w:rFonts w:ascii="Times New Roman" w:hAnsi="Times New Roman" w:cs="Times New Roman"/>
          <w:b/>
          <w:sz w:val="20"/>
          <w:szCs w:val="20"/>
        </w:rPr>
        <w:t xml:space="preserve"> </w:t>
      </w:r>
      <w:r w:rsidRPr="00E64A2C">
        <w:rPr>
          <w:rFonts w:ascii="Times New Roman" w:hAnsi="Times New Roman" w:cs="Times New Roman"/>
          <w:bCs/>
          <w:sz w:val="20"/>
          <w:szCs w:val="20"/>
        </w:rPr>
        <w:t>Summary of related studies on intelligent hydropower forecasting and monitoring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5"/>
        <w:gridCol w:w="1958"/>
        <w:gridCol w:w="2605"/>
        <w:gridCol w:w="2235"/>
      </w:tblGrid>
      <w:tr w:rsidR="00E64A2C" w:rsidRPr="00710008" w14:paraId="24AFDF4D" w14:textId="77777777" w:rsidTr="00E64A2C">
        <w:trPr>
          <w:tblHeader/>
          <w:tblCellSpacing w:w="15" w:type="dxa"/>
        </w:trPr>
        <w:tc>
          <w:tcPr>
            <w:tcW w:w="0" w:type="auto"/>
            <w:tcBorders>
              <w:bottom w:val="single" w:sz="4" w:space="0" w:color="auto"/>
            </w:tcBorders>
            <w:vAlign w:val="center"/>
            <w:hideMark/>
          </w:tcPr>
          <w:p w14:paraId="5F6366E5"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
                <w:sz w:val="18"/>
                <w:szCs w:val="18"/>
              </w:rPr>
            </w:pPr>
            <w:r w:rsidRPr="00710008">
              <w:rPr>
                <w:rFonts w:ascii="Times New Roman" w:hAnsi="Times New Roman" w:cs="Times New Roman"/>
                <w:b/>
                <w:sz w:val="18"/>
                <w:szCs w:val="18"/>
              </w:rPr>
              <w:t>Study Focus</w:t>
            </w:r>
          </w:p>
        </w:tc>
        <w:tc>
          <w:tcPr>
            <w:tcW w:w="0" w:type="auto"/>
            <w:tcBorders>
              <w:bottom w:val="single" w:sz="4" w:space="0" w:color="auto"/>
            </w:tcBorders>
            <w:vAlign w:val="center"/>
            <w:hideMark/>
          </w:tcPr>
          <w:p w14:paraId="036F4D31"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
                <w:sz w:val="18"/>
                <w:szCs w:val="18"/>
              </w:rPr>
            </w:pPr>
            <w:r w:rsidRPr="00710008">
              <w:rPr>
                <w:rFonts w:ascii="Times New Roman" w:hAnsi="Times New Roman" w:cs="Times New Roman"/>
                <w:b/>
                <w:sz w:val="18"/>
                <w:szCs w:val="18"/>
              </w:rPr>
              <w:t>Methodology</w:t>
            </w:r>
          </w:p>
        </w:tc>
        <w:tc>
          <w:tcPr>
            <w:tcW w:w="0" w:type="auto"/>
            <w:tcBorders>
              <w:bottom w:val="single" w:sz="4" w:space="0" w:color="auto"/>
            </w:tcBorders>
            <w:vAlign w:val="center"/>
            <w:hideMark/>
          </w:tcPr>
          <w:p w14:paraId="5FF0F6CA"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
                <w:sz w:val="18"/>
                <w:szCs w:val="18"/>
              </w:rPr>
            </w:pPr>
            <w:r w:rsidRPr="00710008">
              <w:rPr>
                <w:rFonts w:ascii="Times New Roman" w:hAnsi="Times New Roman" w:cs="Times New Roman"/>
                <w:b/>
                <w:sz w:val="18"/>
                <w:szCs w:val="18"/>
              </w:rPr>
              <w:t>Key Contribution</w:t>
            </w:r>
          </w:p>
        </w:tc>
        <w:tc>
          <w:tcPr>
            <w:tcW w:w="0" w:type="auto"/>
            <w:tcBorders>
              <w:bottom w:val="single" w:sz="4" w:space="0" w:color="auto"/>
            </w:tcBorders>
            <w:vAlign w:val="center"/>
            <w:hideMark/>
          </w:tcPr>
          <w:p w14:paraId="3A3880BF"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
                <w:sz w:val="18"/>
                <w:szCs w:val="18"/>
              </w:rPr>
            </w:pPr>
            <w:r w:rsidRPr="00710008">
              <w:rPr>
                <w:rFonts w:ascii="Times New Roman" w:hAnsi="Times New Roman" w:cs="Times New Roman"/>
                <w:b/>
                <w:sz w:val="18"/>
                <w:szCs w:val="18"/>
              </w:rPr>
              <w:t>Limitation</w:t>
            </w:r>
          </w:p>
        </w:tc>
      </w:tr>
      <w:tr w:rsidR="00E64A2C" w:rsidRPr="00710008" w14:paraId="5481DA12" w14:textId="77777777">
        <w:trPr>
          <w:tblCellSpacing w:w="15" w:type="dxa"/>
        </w:trPr>
        <w:tc>
          <w:tcPr>
            <w:tcW w:w="0" w:type="auto"/>
            <w:vAlign w:val="center"/>
            <w:hideMark/>
          </w:tcPr>
          <w:p w14:paraId="0A16647E"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Hydropower output forecasting</w:t>
            </w:r>
          </w:p>
        </w:tc>
        <w:tc>
          <w:tcPr>
            <w:tcW w:w="0" w:type="auto"/>
            <w:vAlign w:val="center"/>
            <w:hideMark/>
          </w:tcPr>
          <w:p w14:paraId="1819EF3F"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Regression, ANN</w:t>
            </w:r>
          </w:p>
        </w:tc>
        <w:tc>
          <w:tcPr>
            <w:tcW w:w="0" w:type="auto"/>
            <w:vAlign w:val="center"/>
            <w:hideMark/>
          </w:tcPr>
          <w:p w14:paraId="35FC0394"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Baseline prediction models</w:t>
            </w:r>
          </w:p>
        </w:tc>
        <w:tc>
          <w:tcPr>
            <w:tcW w:w="0" w:type="auto"/>
            <w:vAlign w:val="center"/>
            <w:hideMark/>
          </w:tcPr>
          <w:p w14:paraId="20220761"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Limited nonlinearity handling</w:t>
            </w:r>
          </w:p>
        </w:tc>
      </w:tr>
      <w:tr w:rsidR="00E64A2C" w:rsidRPr="00710008" w14:paraId="676C4580" w14:textId="77777777">
        <w:trPr>
          <w:tblCellSpacing w:w="15" w:type="dxa"/>
        </w:trPr>
        <w:tc>
          <w:tcPr>
            <w:tcW w:w="0" w:type="auto"/>
            <w:vAlign w:val="center"/>
            <w:hideMark/>
          </w:tcPr>
          <w:p w14:paraId="1497C978"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Temporal forecasting</w:t>
            </w:r>
          </w:p>
        </w:tc>
        <w:tc>
          <w:tcPr>
            <w:tcW w:w="0" w:type="auto"/>
            <w:vAlign w:val="center"/>
            <w:hideMark/>
          </w:tcPr>
          <w:p w14:paraId="1E18CDC6"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LSTM, RNN</w:t>
            </w:r>
          </w:p>
        </w:tc>
        <w:tc>
          <w:tcPr>
            <w:tcW w:w="0" w:type="auto"/>
            <w:vAlign w:val="center"/>
            <w:hideMark/>
          </w:tcPr>
          <w:p w14:paraId="389ADBDA"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Improved long-term trends</w:t>
            </w:r>
          </w:p>
        </w:tc>
        <w:tc>
          <w:tcPr>
            <w:tcW w:w="0" w:type="auto"/>
            <w:vAlign w:val="center"/>
            <w:hideMark/>
          </w:tcPr>
          <w:p w14:paraId="27F11982"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No spatial modeling</w:t>
            </w:r>
          </w:p>
        </w:tc>
      </w:tr>
      <w:tr w:rsidR="00E64A2C" w:rsidRPr="00710008" w14:paraId="203D187A" w14:textId="77777777">
        <w:trPr>
          <w:tblCellSpacing w:w="15" w:type="dxa"/>
        </w:trPr>
        <w:tc>
          <w:tcPr>
            <w:tcW w:w="0" w:type="auto"/>
            <w:vAlign w:val="center"/>
            <w:hideMark/>
          </w:tcPr>
          <w:p w14:paraId="3FB31EF6"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Spatial dependency modeling</w:t>
            </w:r>
          </w:p>
        </w:tc>
        <w:tc>
          <w:tcPr>
            <w:tcW w:w="0" w:type="auto"/>
            <w:vAlign w:val="center"/>
            <w:hideMark/>
          </w:tcPr>
          <w:p w14:paraId="55B78694"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GCN, GAT</w:t>
            </w:r>
          </w:p>
        </w:tc>
        <w:tc>
          <w:tcPr>
            <w:tcW w:w="0" w:type="auto"/>
            <w:vAlign w:val="center"/>
            <w:hideMark/>
          </w:tcPr>
          <w:p w14:paraId="7CB2B2FB"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Captures inter-node relations</w:t>
            </w:r>
          </w:p>
        </w:tc>
        <w:tc>
          <w:tcPr>
            <w:tcW w:w="0" w:type="auto"/>
            <w:vAlign w:val="center"/>
            <w:hideMark/>
          </w:tcPr>
          <w:p w14:paraId="6E893181"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Limited real-time integration</w:t>
            </w:r>
          </w:p>
        </w:tc>
      </w:tr>
      <w:tr w:rsidR="00E64A2C" w:rsidRPr="00710008" w14:paraId="67065E16" w14:textId="77777777">
        <w:trPr>
          <w:tblCellSpacing w:w="15" w:type="dxa"/>
        </w:trPr>
        <w:tc>
          <w:tcPr>
            <w:tcW w:w="0" w:type="auto"/>
            <w:vAlign w:val="center"/>
            <w:hideMark/>
          </w:tcPr>
          <w:p w14:paraId="62E0C879"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Monitoring systems</w:t>
            </w:r>
          </w:p>
        </w:tc>
        <w:tc>
          <w:tcPr>
            <w:tcW w:w="0" w:type="auto"/>
            <w:vAlign w:val="center"/>
            <w:hideMark/>
          </w:tcPr>
          <w:p w14:paraId="6477C716"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proofErr w:type="spellStart"/>
            <w:r w:rsidRPr="00710008">
              <w:rPr>
                <w:rFonts w:ascii="Times New Roman" w:hAnsi="Times New Roman" w:cs="Times New Roman"/>
                <w:bCs/>
                <w:sz w:val="18"/>
                <w:szCs w:val="18"/>
              </w:rPr>
              <w:t>IoT</w:t>
            </w:r>
            <w:proofErr w:type="spellEnd"/>
            <w:r w:rsidRPr="00710008">
              <w:rPr>
                <w:rFonts w:ascii="Times New Roman" w:hAnsi="Times New Roman" w:cs="Times New Roman"/>
                <w:bCs/>
                <w:sz w:val="18"/>
                <w:szCs w:val="18"/>
              </w:rPr>
              <w:t>-based SCADA</w:t>
            </w:r>
          </w:p>
        </w:tc>
        <w:tc>
          <w:tcPr>
            <w:tcW w:w="0" w:type="auto"/>
            <w:vAlign w:val="center"/>
            <w:hideMark/>
          </w:tcPr>
          <w:p w14:paraId="621D7DDE"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Real-time observability</w:t>
            </w:r>
          </w:p>
        </w:tc>
        <w:tc>
          <w:tcPr>
            <w:tcW w:w="0" w:type="auto"/>
            <w:vAlign w:val="center"/>
            <w:hideMark/>
          </w:tcPr>
          <w:p w14:paraId="2072968D"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No forecasting integration</w:t>
            </w:r>
          </w:p>
        </w:tc>
      </w:tr>
      <w:tr w:rsidR="00E64A2C" w:rsidRPr="00710008" w14:paraId="769A1C63" w14:textId="77777777">
        <w:trPr>
          <w:tblCellSpacing w:w="15" w:type="dxa"/>
        </w:trPr>
        <w:tc>
          <w:tcPr>
            <w:tcW w:w="0" w:type="auto"/>
            <w:vAlign w:val="center"/>
            <w:hideMark/>
          </w:tcPr>
          <w:p w14:paraId="7A545B0A"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This study</w:t>
            </w:r>
          </w:p>
        </w:tc>
        <w:tc>
          <w:tcPr>
            <w:tcW w:w="0" w:type="auto"/>
            <w:vAlign w:val="center"/>
            <w:hideMark/>
          </w:tcPr>
          <w:p w14:paraId="113581CD"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 xml:space="preserve">GAT + </w:t>
            </w:r>
            <w:proofErr w:type="spellStart"/>
            <w:r w:rsidRPr="00710008">
              <w:rPr>
                <w:rFonts w:ascii="Times New Roman" w:hAnsi="Times New Roman" w:cs="Times New Roman"/>
                <w:bCs/>
                <w:sz w:val="18"/>
                <w:szCs w:val="18"/>
              </w:rPr>
              <w:t>IoT</w:t>
            </w:r>
            <w:proofErr w:type="spellEnd"/>
            <w:r w:rsidRPr="00710008">
              <w:rPr>
                <w:rFonts w:ascii="Times New Roman" w:hAnsi="Times New Roman" w:cs="Times New Roman"/>
                <w:bCs/>
                <w:sz w:val="18"/>
                <w:szCs w:val="18"/>
              </w:rPr>
              <w:t xml:space="preserve"> + Web system</w:t>
            </w:r>
          </w:p>
        </w:tc>
        <w:tc>
          <w:tcPr>
            <w:tcW w:w="0" w:type="auto"/>
            <w:vAlign w:val="center"/>
            <w:hideMark/>
          </w:tcPr>
          <w:p w14:paraId="4CC14FFE"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Unified forecasting and monitoring</w:t>
            </w:r>
          </w:p>
        </w:tc>
        <w:tc>
          <w:tcPr>
            <w:tcW w:w="0" w:type="auto"/>
            <w:vAlign w:val="center"/>
            <w:hideMark/>
          </w:tcPr>
          <w:p w14:paraId="2F2697CB" w14:textId="77777777" w:rsidR="00E64A2C" w:rsidRPr="00710008" w:rsidRDefault="00E64A2C" w:rsidP="00E64A2C">
            <w:pPr>
              <w:overflowPunct w:val="0"/>
              <w:autoSpaceDE w:val="0"/>
              <w:autoSpaceDN w:val="0"/>
              <w:adjustRightInd w:val="0"/>
              <w:spacing w:after="0" w:line="240" w:lineRule="auto"/>
              <w:jc w:val="center"/>
              <w:textAlignment w:val="baseline"/>
              <w:rPr>
                <w:rFonts w:ascii="Times New Roman" w:hAnsi="Times New Roman" w:cs="Times New Roman"/>
                <w:bCs/>
                <w:sz w:val="18"/>
                <w:szCs w:val="18"/>
              </w:rPr>
            </w:pPr>
            <w:r w:rsidRPr="00710008">
              <w:rPr>
                <w:rFonts w:ascii="Times New Roman" w:hAnsi="Times New Roman" w:cs="Times New Roman"/>
                <w:bCs/>
                <w:sz w:val="18"/>
                <w:szCs w:val="18"/>
              </w:rPr>
              <w:t>Requires large-scale data</w:t>
            </w:r>
          </w:p>
        </w:tc>
      </w:tr>
    </w:tbl>
    <w:p w14:paraId="057CD786" w14:textId="348F48CE" w:rsidR="0002179C" w:rsidRPr="00F449DC" w:rsidRDefault="0002179C" w:rsidP="00F75573">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p>
    <w:p w14:paraId="5EB91CFC" w14:textId="38B69E3C" w:rsidR="00006399" w:rsidRPr="00E64A2C" w:rsidRDefault="00006399" w:rsidP="00006399">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E64A2C">
        <w:rPr>
          <w:rFonts w:ascii="Times New Roman" w:hAnsi="Times New Roman" w:cs="Times New Roman"/>
          <w:bCs/>
          <w:sz w:val="20"/>
          <w:szCs w:val="20"/>
        </w:rPr>
        <w:t xml:space="preserve">More recent research has explored graph-based deep learning methods, including graph convolutional networks (GCN) and Graph Attention Networks (GAT), to model spatial dependencies in energy and water resource systems. </w:t>
      </w:r>
      <w:r w:rsidRPr="00E64A2C">
        <w:rPr>
          <w:rFonts w:ascii="Times New Roman" w:hAnsi="Times New Roman" w:cs="Times New Roman"/>
          <w:bCs/>
          <w:sz w:val="20"/>
          <w:szCs w:val="20"/>
        </w:rPr>
        <w:lastRenderedPageBreak/>
        <w:t>These models have shown superior performance in capturing inter-node influence, seasonal hydrological variability, and cascading operational effects. In parallel, the integration of Internet of Things (</w:t>
      </w:r>
      <w:proofErr w:type="spellStart"/>
      <w:r w:rsidRPr="00E64A2C">
        <w:rPr>
          <w:rFonts w:ascii="Times New Roman" w:hAnsi="Times New Roman" w:cs="Times New Roman"/>
          <w:bCs/>
          <w:sz w:val="20"/>
          <w:szCs w:val="20"/>
        </w:rPr>
        <w:t>IoT</w:t>
      </w:r>
      <w:proofErr w:type="spellEnd"/>
      <w:r w:rsidRPr="00E64A2C">
        <w:rPr>
          <w:rFonts w:ascii="Times New Roman" w:hAnsi="Times New Roman" w:cs="Times New Roman"/>
          <w:bCs/>
          <w:sz w:val="20"/>
          <w:szCs w:val="20"/>
        </w:rPr>
        <w:t>) technologies has enabled real-time data acquisition, condition monitoring, and predictive maintenance in hydroelectric facilities. However, existing studies often treat forecasting and monitoring as separate tasks, lacking unified web-based decision-support architectures</w:t>
      </w:r>
      <w:r w:rsidR="004F430D">
        <w:rPr>
          <w:rFonts w:ascii="Times New Roman" w:hAnsi="Times New Roman" w:cs="Times New Roman"/>
          <w:bCs/>
          <w:sz w:val="20"/>
          <w:szCs w:val="20"/>
        </w:rPr>
        <w:t xml:space="preserve"> [9,11]</w:t>
      </w:r>
      <w:r w:rsidRPr="00E64A2C">
        <w:rPr>
          <w:rFonts w:ascii="Times New Roman" w:hAnsi="Times New Roman" w:cs="Times New Roman"/>
          <w:bCs/>
          <w:sz w:val="20"/>
          <w:szCs w:val="20"/>
        </w:rPr>
        <w:t>.</w:t>
      </w:r>
    </w:p>
    <w:p w14:paraId="7364024C" w14:textId="06E43499" w:rsidR="00006399" w:rsidRPr="00F449DC" w:rsidRDefault="00006399" w:rsidP="00006399">
      <w:pPr>
        <w:overflowPunct w:val="0"/>
        <w:autoSpaceDE w:val="0"/>
        <w:autoSpaceDN w:val="0"/>
        <w:adjustRightInd w:val="0"/>
        <w:spacing w:after="0" w:line="240" w:lineRule="auto"/>
        <w:ind w:firstLine="284"/>
        <w:jc w:val="both"/>
        <w:textAlignment w:val="baseline"/>
        <w:rPr>
          <w:rFonts w:ascii="Times New Roman" w:hAnsi="Times New Roman" w:cs="Times New Roman"/>
          <w:bCs/>
          <w:sz w:val="20"/>
          <w:szCs w:val="20"/>
        </w:rPr>
      </w:pPr>
      <w:r w:rsidRPr="00E64A2C">
        <w:rPr>
          <w:rFonts w:ascii="Times New Roman" w:hAnsi="Times New Roman" w:cs="Times New Roman"/>
          <w:bCs/>
          <w:sz w:val="20"/>
          <w:szCs w:val="20"/>
        </w:rPr>
        <w:t xml:space="preserve">The present study addresses this gap by integrating GAT-based long-term forecasting with </w:t>
      </w:r>
      <w:proofErr w:type="spellStart"/>
      <w:r w:rsidRPr="00E64A2C">
        <w:rPr>
          <w:rFonts w:ascii="Times New Roman" w:hAnsi="Times New Roman" w:cs="Times New Roman"/>
          <w:bCs/>
          <w:sz w:val="20"/>
          <w:szCs w:val="20"/>
        </w:rPr>
        <w:t>IoT</w:t>
      </w:r>
      <w:proofErr w:type="spellEnd"/>
      <w:r w:rsidRPr="00E64A2C">
        <w:rPr>
          <w:rFonts w:ascii="Times New Roman" w:hAnsi="Times New Roman" w:cs="Times New Roman"/>
          <w:bCs/>
          <w:sz w:val="20"/>
          <w:szCs w:val="20"/>
        </w:rPr>
        <w:t>-driven real-time monitoring within a scalable web-based system tailored for multi-purpose mountain hydropower complexes.</w:t>
      </w:r>
    </w:p>
    <w:p w14:paraId="5AF256BB" w14:textId="111BD26B" w:rsidR="00487CEA" w:rsidRPr="00193710" w:rsidRDefault="00CE7286" w:rsidP="00372B20">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sz w:val="24"/>
          <w:szCs w:val="24"/>
        </w:rPr>
      </w:pPr>
      <w:r w:rsidRPr="00193710">
        <w:rPr>
          <w:rFonts w:ascii="Times New Roman" w:hAnsi="Times New Roman" w:cs="Times New Roman"/>
          <w:b/>
          <w:sz w:val="24"/>
          <w:szCs w:val="24"/>
        </w:rPr>
        <w:t>RESULT AND DISSCUSSION</w:t>
      </w:r>
    </w:p>
    <w:p w14:paraId="4E5568BB" w14:textId="0EDAB6A5" w:rsidR="003F1EED" w:rsidRPr="003F1EED" w:rsidRDefault="008E0C96" w:rsidP="003F1EE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8E0C96">
        <w:rPr>
          <w:rFonts w:ascii="Times New Roman" w:eastAsia="Times New Roman" w:hAnsi="Times New Roman" w:cs="Times New Roman"/>
          <w:bCs/>
          <w:sz w:val="20"/>
          <w:szCs w:val="20"/>
          <w:lang w:eastAsia="de-DE"/>
        </w:rPr>
        <w:t>The sys</w:t>
      </w:r>
      <w:r w:rsidRPr="003F1EED">
        <w:rPr>
          <w:rFonts w:ascii="Times New Roman" w:eastAsia="Times New Roman" w:hAnsi="Times New Roman" w:cs="Times New Roman"/>
          <w:bCs/>
          <w:sz w:val="20"/>
          <w:szCs w:val="20"/>
          <w:lang w:eastAsia="de-DE"/>
        </w:rPr>
        <w:t xml:space="preserve">tem combines Graph Attention Networks (GAT) for long-term efficiency forecasting with </w:t>
      </w:r>
      <w:proofErr w:type="spellStart"/>
      <w:r w:rsidRPr="003F1EED">
        <w:rPr>
          <w:rFonts w:ascii="Times New Roman" w:eastAsia="Times New Roman" w:hAnsi="Times New Roman" w:cs="Times New Roman"/>
          <w:bCs/>
          <w:sz w:val="20"/>
          <w:szCs w:val="20"/>
          <w:lang w:eastAsia="de-DE"/>
        </w:rPr>
        <w:t>IoT</w:t>
      </w:r>
      <w:proofErr w:type="spellEnd"/>
      <w:r w:rsidRPr="003F1EED">
        <w:rPr>
          <w:rFonts w:ascii="Times New Roman" w:eastAsia="Times New Roman" w:hAnsi="Times New Roman" w:cs="Times New Roman"/>
          <w:bCs/>
          <w:sz w:val="20"/>
          <w:szCs w:val="20"/>
          <w:lang w:eastAsia="de-DE"/>
        </w:rPr>
        <w:t>-based real-time monitoring to enhance decision-making accuracy and operational reliability.</w:t>
      </w:r>
      <w:r w:rsidR="00FC5E9F">
        <w:rPr>
          <w:rFonts w:ascii="Times New Roman" w:eastAsia="Times New Roman" w:hAnsi="Times New Roman" w:cs="Times New Roman"/>
          <w:bCs/>
          <w:sz w:val="20"/>
          <w:szCs w:val="20"/>
          <w:lang w:eastAsia="de-DE"/>
        </w:rPr>
        <w:t xml:space="preserve"> </w:t>
      </w:r>
      <w:r w:rsidR="003F1EED" w:rsidRPr="003F1EED">
        <w:rPr>
          <w:rFonts w:ascii="Times New Roman" w:eastAsia="Times New Roman" w:hAnsi="Times New Roman" w:cs="Times New Roman"/>
          <w:bCs/>
          <w:sz w:val="20"/>
          <w:szCs w:val="20"/>
          <w:lang w:eastAsia="de-DE"/>
        </w:rPr>
        <w:t xml:space="preserve">The GAT model represents the hydropower complex as a weighted graph </w:t>
      </w:r>
      <m:oMath>
        <m:r>
          <w:rPr>
            <w:rFonts w:ascii="Cambria Math" w:eastAsia="Times New Roman" w:hAnsi="Cambria Math" w:cs="Times New Roman"/>
            <w:sz w:val="20"/>
            <w:szCs w:val="20"/>
            <w:lang w:eastAsia="de-DE"/>
          </w:rPr>
          <m:t>G=(V,E)</m:t>
        </m:r>
      </m:oMath>
      <w:r w:rsidR="003F1EED" w:rsidRPr="003F1EED">
        <w:rPr>
          <w:rFonts w:ascii="Times New Roman" w:eastAsia="Times New Roman" w:hAnsi="Times New Roman" w:cs="Times New Roman"/>
          <w:bCs/>
          <w:sz w:val="20"/>
          <w:szCs w:val="20"/>
          <w:lang w:eastAsia="de-DE"/>
        </w:rPr>
        <w:t>, where nodes correspond to hydrological stations, turbines, and reservoirs, while edges represent hydraulic and operational dependencies. Attention coefficients dynamically capture spatial–temporal interactions among nodes.</w:t>
      </w:r>
      <w:r w:rsidR="00FC5E9F">
        <w:rPr>
          <w:rFonts w:ascii="Times New Roman" w:eastAsia="Times New Roman" w:hAnsi="Times New Roman" w:cs="Times New Roman"/>
          <w:bCs/>
          <w:sz w:val="20"/>
          <w:szCs w:val="20"/>
          <w:lang w:eastAsia="de-DE"/>
        </w:rPr>
        <w:t xml:space="preserve"> </w:t>
      </w:r>
      <w:r w:rsidR="003F1EED" w:rsidRPr="003F1EED">
        <w:rPr>
          <w:rFonts w:ascii="Times New Roman" w:eastAsia="Times New Roman" w:hAnsi="Times New Roman" w:cs="Times New Roman"/>
          <w:bCs/>
          <w:sz w:val="20"/>
          <w:szCs w:val="20"/>
          <w:lang w:eastAsia="de-DE"/>
        </w:rPr>
        <w:t>The node-level attention mechanism is defined as:</w:t>
      </w:r>
    </w:p>
    <w:p w14:paraId="3D9FA8D2" w14:textId="05B112F4" w:rsidR="003F1EED" w:rsidRPr="003F1EED" w:rsidRDefault="001E6294" w:rsidP="00710008">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α</m:t>
            </m:r>
          </m:e>
          <m:sub>
            <m:r>
              <w:rPr>
                <w:rFonts w:ascii="Cambria Math" w:eastAsia="Times New Roman" w:hAnsi="Cambria Math" w:cs="Times New Roman"/>
                <w:sz w:val="20"/>
                <w:szCs w:val="20"/>
                <w:lang w:eastAsia="de-DE"/>
              </w:rPr>
              <m:t>ij</m:t>
            </m:r>
          </m:sub>
        </m:sSub>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func>
              <m:funcPr>
                <m:ctrlPr>
                  <w:rPr>
                    <w:rFonts w:ascii="Cambria Math" w:eastAsia="Times New Roman" w:hAnsi="Cambria Math" w:cs="Times New Roman"/>
                    <w:bCs/>
                    <w:sz w:val="20"/>
                    <w:szCs w:val="20"/>
                    <w:lang w:eastAsia="de-DE"/>
                  </w:rPr>
                </m:ctrlPr>
              </m:funcPr>
              <m:fName>
                <m:r>
                  <m:rPr>
                    <m:sty m:val="p"/>
                  </m:rPr>
                  <w:rPr>
                    <w:rFonts w:ascii="Cambria Math" w:eastAsia="Times New Roman" w:hAnsi="Cambria Math" w:cs="Times New Roman"/>
                    <w:sz w:val="20"/>
                    <w:szCs w:val="20"/>
                    <w:lang w:eastAsia="de-DE"/>
                  </w:rPr>
                  <m:t>exp</m:t>
                </m:r>
              </m:fName>
              <m:e>
                <m:d>
                  <m:dPr>
                    <m:ctrlPr>
                      <w:rPr>
                        <w:rFonts w:ascii="Cambria Math" w:eastAsia="Times New Roman" w:hAnsi="Cambria Math" w:cs="Times New Roman"/>
                        <w:bCs/>
                        <w:sz w:val="20"/>
                        <w:szCs w:val="20"/>
                        <w:lang w:eastAsia="de-DE"/>
                      </w:rPr>
                    </m:ctrlPr>
                  </m:dPr>
                  <m:e>
                    <m:r>
                      <m:rPr>
                        <m:nor/>
                      </m:rPr>
                      <w:rPr>
                        <w:rFonts w:ascii="Times New Roman" w:eastAsia="Times New Roman" w:hAnsi="Times New Roman" w:cs="Times New Roman"/>
                        <w:bCs/>
                        <w:sz w:val="20"/>
                        <w:szCs w:val="20"/>
                        <w:lang w:eastAsia="de-DE"/>
                      </w:rPr>
                      <m:t>LeakyReLU</m:t>
                    </m:r>
                    <m:d>
                      <m:dPr>
                        <m:ctrlPr>
                          <w:rPr>
                            <w:rFonts w:ascii="Cambria Math" w:eastAsia="Times New Roman" w:hAnsi="Cambria Math" w:cs="Times New Roman"/>
                            <w:bCs/>
                            <w:sz w:val="20"/>
                            <w:szCs w:val="20"/>
                            <w:lang w:eastAsia="de-DE"/>
                          </w:rPr>
                        </m:ctrlPr>
                      </m:dPr>
                      <m:e>
                        <m:sSup>
                          <m:sSupPr>
                            <m:ctrlPr>
                              <w:rPr>
                                <w:rFonts w:ascii="Cambria Math" w:eastAsia="Times New Roman" w:hAnsi="Cambria Math" w:cs="Times New Roman"/>
                                <w:bCs/>
                                <w:sz w:val="20"/>
                                <w:szCs w:val="20"/>
                                <w:lang w:eastAsia="de-DE"/>
                              </w:rPr>
                            </m:ctrlPr>
                          </m:sSupPr>
                          <m:e>
                            <m:r>
                              <m:rPr>
                                <m:sty m:val="p"/>
                              </m:rPr>
                              <w:rPr>
                                <w:rFonts w:ascii="Cambria Math" w:eastAsia="Times New Roman" w:hAnsi="Cambria Math" w:cs="Times New Roman"/>
                                <w:sz w:val="20"/>
                                <w:szCs w:val="20"/>
                                <w:lang w:eastAsia="de-DE"/>
                              </w:rPr>
                              <m:t>a</m:t>
                            </m:r>
                          </m:e>
                          <m:sup>
                            <m:r>
                              <w:rPr>
                                <w:rFonts w:ascii="Cambria Math" w:eastAsia="Times New Roman" w:hAnsi="Cambria Math" w:cs="Times New Roman"/>
                                <w:sz w:val="20"/>
                                <w:szCs w:val="20"/>
                                <w:lang w:eastAsia="de-DE"/>
                              </w:rPr>
                              <m:t>T</m:t>
                            </m:r>
                          </m:sup>
                        </m:sSup>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W</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h</m:t>
                            </m:r>
                          </m:e>
                          <m:sub>
                            <m:r>
                              <w:rPr>
                                <w:rFonts w:ascii="Cambria Math" w:eastAsia="Times New Roman" w:hAnsi="Cambria Math" w:cs="Times New Roman"/>
                                <w:sz w:val="20"/>
                                <w:szCs w:val="20"/>
                                <w:lang w:eastAsia="de-DE"/>
                              </w:rPr>
                              <m:t>i</m:t>
                            </m:r>
                          </m:sub>
                        </m:sSub>
                        <m:r>
                          <m:rPr>
                            <m:sty m:val="p"/>
                          </m:rPr>
                          <w:rPr>
                            <w:rFonts w:ascii="Cambria Math" w:eastAsia="Times New Roman" w:hAnsi="Cambria Math" w:cs="Times New Roman"/>
                            <w:sz w:val="20"/>
                            <w:szCs w:val="20"/>
                            <w:lang w:eastAsia="de-DE"/>
                          </w:rPr>
                          <m:t>∥W</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h</m:t>
                            </m:r>
                          </m:e>
                          <m:sub>
                            <m:r>
                              <w:rPr>
                                <w:rFonts w:ascii="Cambria Math" w:eastAsia="Times New Roman" w:hAnsi="Cambria Math" w:cs="Times New Roman"/>
                                <w:sz w:val="20"/>
                                <w:szCs w:val="20"/>
                                <w:lang w:eastAsia="de-DE"/>
                              </w:rPr>
                              <m:t>j</m:t>
                            </m:r>
                          </m:sub>
                        </m:sSub>
                        <m:r>
                          <w:rPr>
                            <w:rFonts w:ascii="Cambria Math" w:eastAsia="Times New Roman" w:hAnsi="Cambria Math" w:cs="Times New Roman"/>
                            <w:sz w:val="20"/>
                            <w:szCs w:val="20"/>
                            <w:lang w:eastAsia="de-DE"/>
                          </w:rPr>
                          <m:t>]</m:t>
                        </m:r>
                      </m:e>
                    </m:d>
                  </m:e>
                </m:d>
              </m:e>
            </m:func>
          </m:num>
          <m:den>
            <m:nary>
              <m:naryPr>
                <m:chr m:val="∑"/>
                <m:limLoc m:val="undOvr"/>
                <m:grow m:val="1"/>
                <m:supHide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k∈</m:t>
                </m:r>
                <m:sSub>
                  <m:sSubPr>
                    <m:ctrlPr>
                      <w:rPr>
                        <w:rFonts w:ascii="Cambria Math" w:eastAsia="Times New Roman" w:hAnsi="Cambria Math" w:cs="Times New Roman"/>
                        <w:bCs/>
                        <w:sz w:val="20"/>
                        <w:szCs w:val="20"/>
                        <w:lang w:eastAsia="de-DE"/>
                      </w:rPr>
                    </m:ctrlPr>
                  </m:sSubPr>
                  <m:e>
                    <m:r>
                      <m:rPr>
                        <m:scr m:val="script"/>
                      </m:rPr>
                      <w:rPr>
                        <w:rFonts w:ascii="Cambria Math" w:eastAsia="Times New Roman" w:hAnsi="Cambria Math" w:cs="Times New Roman"/>
                        <w:sz w:val="20"/>
                        <w:szCs w:val="20"/>
                        <w:lang w:eastAsia="de-DE"/>
                      </w:rPr>
                      <m:t>N</m:t>
                    </m:r>
                  </m:e>
                  <m:sub>
                    <m:r>
                      <w:rPr>
                        <w:rFonts w:ascii="Cambria Math" w:eastAsia="Times New Roman" w:hAnsi="Cambria Math" w:cs="Times New Roman"/>
                        <w:sz w:val="20"/>
                        <w:szCs w:val="20"/>
                        <w:lang w:eastAsia="de-DE"/>
                      </w:rPr>
                      <m:t>i</m:t>
                    </m:r>
                  </m:sub>
                </m:sSub>
              </m:sub>
              <m:sup/>
              <m:e>
                <m:r>
                  <m:rPr>
                    <m:sty m:val="p"/>
                  </m:rPr>
                  <w:rPr>
                    <w:rFonts w:ascii="Cambria Math" w:eastAsia="Times New Roman" w:hAnsi="Cambria Math" w:cs="Times New Roman"/>
                    <w:sz w:val="20"/>
                    <w:szCs w:val="20"/>
                    <w:lang w:eastAsia="de-DE"/>
                  </w:rPr>
                  <m:t>exp</m:t>
                </m:r>
                <m:r>
                  <w:rPr>
                    <w:rFonts w:ascii="Cambria Math" w:eastAsia="Times New Roman" w:hAnsi="Cambria Math" w:cs="Times New Roman"/>
                    <w:sz w:val="20"/>
                    <w:szCs w:val="20"/>
                    <w:lang w:eastAsia="de-DE"/>
                  </w:rPr>
                  <m:t>⁡</m:t>
                </m:r>
              </m:e>
            </m:nary>
            <m:d>
              <m:dPr>
                <m:ctrlPr>
                  <w:rPr>
                    <w:rFonts w:ascii="Cambria Math" w:eastAsia="Times New Roman" w:hAnsi="Cambria Math" w:cs="Times New Roman"/>
                    <w:bCs/>
                    <w:sz w:val="20"/>
                    <w:szCs w:val="20"/>
                    <w:lang w:eastAsia="de-DE"/>
                  </w:rPr>
                </m:ctrlPr>
              </m:dPr>
              <m:e>
                <m:r>
                  <m:rPr>
                    <m:nor/>
                  </m:rPr>
                  <w:rPr>
                    <w:rFonts w:ascii="Times New Roman" w:eastAsia="Times New Roman" w:hAnsi="Times New Roman" w:cs="Times New Roman"/>
                    <w:bCs/>
                    <w:sz w:val="20"/>
                    <w:szCs w:val="20"/>
                    <w:lang w:eastAsia="de-DE"/>
                  </w:rPr>
                  <m:t>LeakyReLU</m:t>
                </m:r>
                <m:d>
                  <m:dPr>
                    <m:ctrlPr>
                      <w:rPr>
                        <w:rFonts w:ascii="Cambria Math" w:eastAsia="Times New Roman" w:hAnsi="Cambria Math" w:cs="Times New Roman"/>
                        <w:bCs/>
                        <w:sz w:val="20"/>
                        <w:szCs w:val="20"/>
                        <w:lang w:eastAsia="de-DE"/>
                      </w:rPr>
                    </m:ctrlPr>
                  </m:dPr>
                  <m:e>
                    <m:sSup>
                      <m:sSupPr>
                        <m:ctrlPr>
                          <w:rPr>
                            <w:rFonts w:ascii="Cambria Math" w:eastAsia="Times New Roman" w:hAnsi="Cambria Math" w:cs="Times New Roman"/>
                            <w:bCs/>
                            <w:sz w:val="20"/>
                            <w:szCs w:val="20"/>
                            <w:lang w:eastAsia="de-DE"/>
                          </w:rPr>
                        </m:ctrlPr>
                      </m:sSupPr>
                      <m:e>
                        <m:r>
                          <m:rPr>
                            <m:sty m:val="p"/>
                          </m:rPr>
                          <w:rPr>
                            <w:rFonts w:ascii="Cambria Math" w:eastAsia="Times New Roman" w:hAnsi="Cambria Math" w:cs="Times New Roman"/>
                            <w:sz w:val="20"/>
                            <w:szCs w:val="20"/>
                            <w:lang w:eastAsia="de-DE"/>
                          </w:rPr>
                          <m:t>a</m:t>
                        </m:r>
                      </m:e>
                      <m:sup>
                        <m:r>
                          <w:rPr>
                            <w:rFonts w:ascii="Cambria Math" w:eastAsia="Times New Roman" w:hAnsi="Cambria Math" w:cs="Times New Roman"/>
                            <w:sz w:val="20"/>
                            <w:szCs w:val="20"/>
                            <w:lang w:eastAsia="de-DE"/>
                          </w:rPr>
                          <m:t>T</m:t>
                        </m:r>
                      </m:sup>
                    </m:sSup>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W</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h</m:t>
                        </m:r>
                      </m:e>
                      <m:sub>
                        <m:r>
                          <w:rPr>
                            <w:rFonts w:ascii="Cambria Math" w:eastAsia="Times New Roman" w:hAnsi="Cambria Math" w:cs="Times New Roman"/>
                            <w:sz w:val="20"/>
                            <w:szCs w:val="20"/>
                            <w:lang w:eastAsia="de-DE"/>
                          </w:rPr>
                          <m:t>i</m:t>
                        </m:r>
                      </m:sub>
                    </m:sSub>
                    <m:r>
                      <m:rPr>
                        <m:sty m:val="p"/>
                      </m:rPr>
                      <w:rPr>
                        <w:rFonts w:ascii="Cambria Math" w:eastAsia="Times New Roman" w:hAnsi="Cambria Math" w:cs="Times New Roman"/>
                        <w:sz w:val="20"/>
                        <w:szCs w:val="20"/>
                        <w:lang w:eastAsia="de-DE"/>
                      </w:rPr>
                      <m:t>∥W</m:t>
                    </m:r>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h</m:t>
                        </m:r>
                      </m:e>
                      <m:sub>
                        <m:r>
                          <w:rPr>
                            <w:rFonts w:ascii="Cambria Math" w:eastAsia="Times New Roman" w:hAnsi="Cambria Math" w:cs="Times New Roman"/>
                            <w:sz w:val="20"/>
                            <w:szCs w:val="20"/>
                            <w:lang w:eastAsia="de-DE"/>
                          </w:rPr>
                          <m:t>k</m:t>
                        </m:r>
                      </m:sub>
                    </m:sSub>
                    <m:r>
                      <w:rPr>
                        <w:rFonts w:ascii="Cambria Math" w:eastAsia="Times New Roman" w:hAnsi="Cambria Math" w:cs="Times New Roman"/>
                        <w:sz w:val="20"/>
                        <w:szCs w:val="20"/>
                        <w:lang w:eastAsia="de-DE"/>
                      </w:rPr>
                      <m:t>]</m:t>
                    </m:r>
                  </m:e>
                </m:d>
              </m:e>
            </m:d>
          </m:den>
        </m:f>
      </m:oMath>
      <w:r w:rsidR="00710008">
        <w:rPr>
          <w:rFonts w:ascii="Times New Roman" w:eastAsia="Times New Roman" w:hAnsi="Times New Roman" w:cs="Times New Roman"/>
          <w:bCs/>
          <w:sz w:val="20"/>
          <w:szCs w:val="20"/>
          <w:lang w:eastAsia="de-DE"/>
        </w:rPr>
        <w:t xml:space="preserve"> </w:t>
      </w:r>
      <w:r w:rsidR="00710008">
        <w:rPr>
          <w:rFonts w:ascii="Times New Roman" w:eastAsiaTheme="minorEastAsia" w:hAnsi="Times New Roman" w:cs="Times New Roman"/>
          <w:bCs/>
          <w:sz w:val="20"/>
          <w:szCs w:val="20"/>
        </w:rPr>
        <w:tab/>
      </w:r>
      <w:r w:rsidR="00710008">
        <w:rPr>
          <w:rFonts w:ascii="Times New Roman" w:eastAsiaTheme="minorEastAsia" w:hAnsi="Times New Roman" w:cs="Times New Roman"/>
          <w:bCs/>
          <w:sz w:val="20"/>
          <w:szCs w:val="20"/>
        </w:rPr>
        <w:tab/>
      </w:r>
      <w:r w:rsidR="00710008">
        <w:rPr>
          <w:rFonts w:ascii="Times New Roman" w:eastAsiaTheme="minorEastAsia" w:hAnsi="Times New Roman" w:cs="Times New Roman"/>
          <w:bCs/>
          <w:sz w:val="20"/>
          <w:szCs w:val="20"/>
        </w:rPr>
        <w:tab/>
      </w:r>
      <w:r w:rsidR="00710008">
        <w:rPr>
          <w:rFonts w:ascii="Times New Roman" w:eastAsiaTheme="minorEastAsia" w:hAnsi="Times New Roman" w:cs="Times New Roman"/>
          <w:bCs/>
          <w:sz w:val="20"/>
          <w:szCs w:val="20"/>
        </w:rPr>
        <w:tab/>
        <w:t>(3)</w:t>
      </w:r>
    </w:p>
    <w:p w14:paraId="29A03FCE" w14:textId="044E528D" w:rsidR="003F1EED" w:rsidRPr="003F1EED" w:rsidRDefault="003F1EED" w:rsidP="00FC5E9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3F1EED">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m:rPr>
                <m:sty m:val="p"/>
              </m:rPr>
              <w:rPr>
                <w:rFonts w:ascii="Cambria Math" w:eastAsia="Times New Roman" w:hAnsi="Cambria Math" w:cs="Times New Roman"/>
                <w:sz w:val="20"/>
                <w:szCs w:val="20"/>
                <w:lang w:eastAsia="de-DE"/>
              </w:rPr>
              <m:t>h</m:t>
            </m:r>
          </m:e>
          <m:sub>
            <m:r>
              <w:rPr>
                <w:rFonts w:ascii="Cambria Math" w:eastAsia="Times New Roman" w:hAnsi="Cambria Math" w:cs="Times New Roman"/>
                <w:sz w:val="20"/>
                <w:szCs w:val="20"/>
                <w:lang w:eastAsia="de-DE"/>
              </w:rPr>
              <m:t>i</m:t>
            </m:r>
          </m:sub>
        </m:sSub>
      </m:oMath>
      <w:r w:rsidRPr="003F1EED">
        <w:rPr>
          <w:rFonts w:ascii="Times New Roman" w:eastAsia="Times New Roman" w:hAnsi="Times New Roman" w:cs="Times New Roman"/>
          <w:bCs/>
          <w:sz w:val="20"/>
          <w:szCs w:val="20"/>
          <w:lang w:eastAsia="de-DE"/>
        </w:rPr>
        <w:t xml:space="preserve">is the feature vector of node </w:t>
      </w:r>
      <m:oMath>
        <m:r>
          <w:rPr>
            <w:rFonts w:ascii="Cambria Math" w:eastAsia="Times New Roman" w:hAnsi="Cambria Math" w:cs="Times New Roman"/>
            <w:sz w:val="20"/>
            <w:szCs w:val="20"/>
            <w:lang w:eastAsia="de-DE"/>
          </w:rPr>
          <m:t>i</m:t>
        </m:r>
      </m:oMath>
      <w:r w:rsidRPr="003F1EED">
        <w:rPr>
          <w:rFonts w:ascii="Times New Roman" w:eastAsia="Times New Roman" w:hAnsi="Times New Roman" w:cs="Times New Roman"/>
          <w:bCs/>
          <w:sz w:val="20"/>
          <w:szCs w:val="20"/>
          <w:lang w:eastAsia="de-DE"/>
        </w:rPr>
        <w:t xml:space="preserve">, </w:t>
      </w:r>
      <m:oMath>
        <m:r>
          <m:rPr>
            <m:sty m:val="p"/>
          </m:rPr>
          <w:rPr>
            <w:rFonts w:ascii="Cambria Math" w:eastAsia="Times New Roman" w:hAnsi="Cambria Math" w:cs="Times New Roman"/>
            <w:sz w:val="20"/>
            <w:szCs w:val="20"/>
            <w:lang w:eastAsia="de-DE"/>
          </w:rPr>
          <m:t>W</m:t>
        </m:r>
      </m:oMath>
      <w:r w:rsidRPr="003F1EED">
        <w:rPr>
          <w:rFonts w:ascii="Times New Roman" w:eastAsia="Times New Roman" w:hAnsi="Times New Roman" w:cs="Times New Roman"/>
          <w:bCs/>
          <w:sz w:val="20"/>
          <w:szCs w:val="20"/>
          <w:lang w:eastAsia="de-DE"/>
        </w:rPr>
        <w:t xml:space="preserve">is a trainable weight matrix,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α</m:t>
            </m:r>
          </m:e>
          <m:sub>
            <m:r>
              <w:rPr>
                <w:rFonts w:ascii="Cambria Math" w:eastAsia="Times New Roman" w:hAnsi="Cambria Math" w:cs="Times New Roman"/>
                <w:sz w:val="20"/>
                <w:szCs w:val="20"/>
                <w:lang w:eastAsia="de-DE"/>
              </w:rPr>
              <m:t>ij</m:t>
            </m:r>
          </m:sub>
        </m:sSub>
      </m:oMath>
      <w:r w:rsidRPr="003F1EED">
        <w:rPr>
          <w:rFonts w:ascii="Times New Roman" w:eastAsia="Times New Roman" w:hAnsi="Times New Roman" w:cs="Times New Roman"/>
          <w:bCs/>
          <w:sz w:val="20"/>
          <w:szCs w:val="20"/>
          <w:lang w:eastAsia="de-DE"/>
        </w:rPr>
        <w:t>quantifies the influence of neighboring components on energy efficiency evolution.</w:t>
      </w:r>
      <w:r w:rsidR="00FC5E9F">
        <w:rPr>
          <w:rFonts w:ascii="Times New Roman" w:eastAsia="Times New Roman" w:hAnsi="Times New Roman" w:cs="Times New Roman"/>
          <w:bCs/>
          <w:sz w:val="20"/>
          <w:szCs w:val="20"/>
          <w:lang w:eastAsia="de-DE"/>
        </w:rPr>
        <w:t xml:space="preserve"> </w:t>
      </w:r>
      <w:r w:rsidRPr="003F1EED">
        <w:rPr>
          <w:rFonts w:ascii="Times New Roman" w:eastAsia="Times New Roman" w:hAnsi="Times New Roman" w:cs="Times New Roman"/>
          <w:bCs/>
          <w:sz w:val="20"/>
          <w:szCs w:val="20"/>
          <w:lang w:eastAsia="de-DE"/>
        </w:rPr>
        <w:t xml:space="preserve">The long-term hydropower efficiency index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η</m:t>
            </m:r>
          </m:e>
          <m:sub>
            <m:r>
              <w:rPr>
                <w:rFonts w:ascii="Cambria Math" w:eastAsia="Times New Roman" w:hAnsi="Cambria Math" w:cs="Times New Roman"/>
                <w:sz w:val="20"/>
                <w:szCs w:val="20"/>
                <w:lang w:eastAsia="de-DE"/>
              </w:rPr>
              <m:t>HP</m:t>
            </m:r>
          </m:sub>
        </m:sSub>
        <m:r>
          <w:rPr>
            <w:rFonts w:ascii="Cambria Math" w:eastAsia="Times New Roman" w:hAnsi="Cambria Math" w:cs="Times New Roman"/>
            <w:sz w:val="20"/>
            <w:szCs w:val="20"/>
            <w:lang w:eastAsia="de-DE"/>
          </w:rPr>
          <m:t>(t)</m:t>
        </m:r>
      </m:oMath>
      <w:r w:rsidRPr="003F1EED">
        <w:rPr>
          <w:rFonts w:ascii="Times New Roman" w:eastAsia="Times New Roman" w:hAnsi="Times New Roman" w:cs="Times New Roman"/>
          <w:bCs/>
          <w:sz w:val="20"/>
          <w:szCs w:val="20"/>
          <w:lang w:eastAsia="de-DE"/>
        </w:rPr>
        <w:t>is forecasted as:</w:t>
      </w:r>
    </w:p>
    <w:p w14:paraId="03BC954F" w14:textId="697BE7C1" w:rsidR="003F1EED" w:rsidRPr="003F1EED" w:rsidRDefault="001E6294" w:rsidP="00710008">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η</m:t>
            </m:r>
          </m:e>
          <m:sub>
            <m:r>
              <w:rPr>
                <w:rFonts w:ascii="Cambria Math" w:eastAsia="Times New Roman" w:hAnsi="Cambria Math" w:cs="Times New Roman"/>
                <w:sz w:val="20"/>
                <w:szCs w:val="20"/>
                <w:lang w:eastAsia="de-DE"/>
              </w:rPr>
              <m:t>HP</m:t>
            </m:r>
          </m:sub>
        </m:sSub>
        <m:r>
          <w:rPr>
            <w:rFonts w:ascii="Cambria Math" w:eastAsia="Times New Roman" w:hAnsi="Cambria Math" w:cs="Times New Roman"/>
            <w:sz w:val="20"/>
            <w:szCs w:val="20"/>
            <w:lang w:eastAsia="de-DE"/>
          </w:rPr>
          <m:t>(t)=</m:t>
        </m:r>
        <m:f>
          <m:fPr>
            <m:ctrlPr>
              <w:rPr>
                <w:rFonts w:ascii="Cambria Math" w:eastAsia="Times New Roman" w:hAnsi="Cambria Math" w:cs="Times New Roman"/>
                <w:bCs/>
                <w:sz w:val="20"/>
                <w:szCs w:val="20"/>
                <w:lang w:eastAsia="de-DE"/>
              </w:rPr>
            </m:ctrlPr>
          </m:fPr>
          <m:num>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i=1</m:t>
                </m:r>
              </m:sub>
              <m:sup>
                <m:r>
                  <w:rPr>
                    <w:rFonts w:ascii="Cambria Math" w:eastAsia="Times New Roman" w:hAnsi="Cambria Math" w:cs="Times New Roman"/>
                    <w:sz w:val="20"/>
                    <w:szCs w:val="20"/>
                    <w:lang w:eastAsia="de-DE"/>
                  </w:rPr>
                  <m:t>N</m:t>
                </m:r>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i</m:t>
                    </m:r>
                  </m:sub>
                </m:sSub>
              </m:e>
            </m:nary>
            <m:r>
              <w:rPr>
                <w:rFonts w:ascii="Cambria Math" w:eastAsia="Times New Roman" w:hAnsi="Cambria Math" w:cs="Times New Roman"/>
                <w:sz w:val="20"/>
                <w:szCs w:val="20"/>
                <w:lang w:eastAsia="de-DE"/>
              </w:rPr>
              <m:t>(t)</m:t>
            </m:r>
          </m:num>
          <m:den>
            <m:r>
              <w:rPr>
                <w:rFonts w:ascii="Cambria Math" w:eastAsia="Times New Roman" w:hAnsi="Cambria Math" w:cs="Times New Roman"/>
                <w:sz w:val="20"/>
                <w:szCs w:val="20"/>
                <w:lang w:eastAsia="de-DE"/>
              </w:rPr>
              <m:t>ρg</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i=1</m:t>
                </m:r>
              </m:sub>
              <m:sup>
                <m:r>
                  <w:rPr>
                    <w:rFonts w:ascii="Cambria Math" w:eastAsia="Times New Roman" w:hAnsi="Cambria Math" w:cs="Times New Roman"/>
                    <w:sz w:val="20"/>
                    <w:szCs w:val="20"/>
                    <w:lang w:eastAsia="de-DE"/>
                  </w:rPr>
                  <m:t>N</m:t>
                </m:r>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Q</m:t>
                    </m:r>
                  </m:e>
                  <m:sub>
                    <m:r>
                      <w:rPr>
                        <w:rFonts w:ascii="Cambria Math" w:eastAsia="Times New Roman" w:hAnsi="Cambria Math" w:cs="Times New Roman"/>
                        <w:sz w:val="20"/>
                        <w:szCs w:val="20"/>
                        <w:lang w:eastAsia="de-DE"/>
                      </w:rPr>
                      <m:t>i</m:t>
                    </m:r>
                  </m:sub>
                </m:sSub>
              </m:e>
            </m:nary>
            <m:r>
              <w:rPr>
                <w:rFonts w:ascii="Cambria Math" w:eastAsia="Times New Roman" w:hAnsi="Cambria Math" w:cs="Times New Roman"/>
                <w:sz w:val="20"/>
                <w:szCs w:val="20"/>
                <w:lang w:eastAsia="de-DE"/>
              </w:rPr>
              <m:t>(t)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H</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(t)</m:t>
            </m:r>
          </m:den>
        </m:f>
        <m:r>
          <w:rPr>
            <w:rFonts w:ascii="Cambria Math" w:eastAsia="Times New Roman" w:hAnsi="Cambria Math" w:cs="Times New Roman"/>
            <w:sz w:val="20"/>
            <w:szCs w:val="20"/>
            <w:lang w:eastAsia="de-DE"/>
          </w:rPr>
          <m:t>⋅</m:t>
        </m:r>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1-λL(t)</m:t>
            </m:r>
          </m:e>
        </m:d>
      </m:oMath>
      <w:r w:rsidR="00710008">
        <w:rPr>
          <w:rFonts w:ascii="Times New Roman" w:eastAsia="Times New Roman" w:hAnsi="Times New Roman" w:cs="Times New Roman"/>
          <w:bCs/>
          <w:sz w:val="20"/>
          <w:szCs w:val="20"/>
          <w:lang w:eastAsia="de-DE"/>
        </w:rPr>
        <w:t xml:space="preserve"> </w:t>
      </w:r>
      <w:r w:rsidR="00710008">
        <w:rPr>
          <w:rFonts w:ascii="Times New Roman" w:eastAsiaTheme="minorEastAsia" w:hAnsi="Times New Roman" w:cs="Times New Roman"/>
          <w:bCs/>
          <w:sz w:val="20"/>
          <w:szCs w:val="20"/>
        </w:rPr>
        <w:tab/>
      </w:r>
      <w:r w:rsidR="00710008">
        <w:rPr>
          <w:rFonts w:ascii="Times New Roman" w:eastAsiaTheme="minorEastAsia" w:hAnsi="Times New Roman" w:cs="Times New Roman"/>
          <w:bCs/>
          <w:sz w:val="20"/>
          <w:szCs w:val="20"/>
        </w:rPr>
        <w:tab/>
      </w:r>
      <w:r w:rsidR="00710008">
        <w:rPr>
          <w:rFonts w:ascii="Times New Roman" w:eastAsiaTheme="minorEastAsia" w:hAnsi="Times New Roman" w:cs="Times New Roman"/>
          <w:bCs/>
          <w:sz w:val="20"/>
          <w:szCs w:val="20"/>
        </w:rPr>
        <w:tab/>
      </w:r>
      <w:r w:rsidR="00710008">
        <w:rPr>
          <w:rFonts w:ascii="Times New Roman" w:eastAsiaTheme="minorEastAsia" w:hAnsi="Times New Roman" w:cs="Times New Roman"/>
          <w:bCs/>
          <w:sz w:val="20"/>
          <w:szCs w:val="20"/>
        </w:rPr>
        <w:tab/>
        <w:t>(4)</w:t>
      </w:r>
    </w:p>
    <w:p w14:paraId="74B8B882" w14:textId="6B6C305B" w:rsidR="003F1EED" w:rsidRPr="003F1EED" w:rsidRDefault="003F1EED" w:rsidP="003F1EE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3F1EED">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i</m:t>
            </m:r>
          </m:sub>
        </m:sSub>
      </m:oMath>
      <w:r w:rsidRPr="003F1EED">
        <w:rPr>
          <w:rFonts w:ascii="Times New Roman" w:eastAsia="Times New Roman" w:hAnsi="Times New Roman" w:cs="Times New Roman"/>
          <w:bCs/>
          <w:sz w:val="20"/>
          <w:szCs w:val="20"/>
          <w:lang w:eastAsia="de-DE"/>
        </w:rPr>
        <w:t xml:space="preserve">is turbine output power,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Q</m:t>
            </m:r>
          </m:e>
          <m:sub>
            <m:r>
              <w:rPr>
                <w:rFonts w:ascii="Cambria Math" w:eastAsia="Times New Roman" w:hAnsi="Cambria Math" w:cs="Times New Roman"/>
                <w:sz w:val="20"/>
                <w:szCs w:val="20"/>
                <w:lang w:eastAsia="de-DE"/>
              </w:rPr>
              <m:t>i</m:t>
            </m:r>
          </m:sub>
        </m:sSub>
      </m:oMath>
      <w:r w:rsidRPr="003F1EED">
        <w:rPr>
          <w:rFonts w:ascii="Times New Roman" w:eastAsia="Times New Roman" w:hAnsi="Times New Roman" w:cs="Times New Roman"/>
          <w:bCs/>
          <w:sz w:val="20"/>
          <w:szCs w:val="20"/>
          <w:lang w:eastAsia="de-DE"/>
        </w:rPr>
        <w:t xml:space="preserve">is water discharge,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H</m:t>
            </m:r>
          </m:e>
          <m:sub>
            <m:r>
              <w:rPr>
                <w:rFonts w:ascii="Cambria Math" w:eastAsia="Times New Roman" w:hAnsi="Cambria Math" w:cs="Times New Roman"/>
                <w:sz w:val="20"/>
                <w:szCs w:val="20"/>
                <w:lang w:eastAsia="de-DE"/>
              </w:rPr>
              <m:t>i</m:t>
            </m:r>
          </m:sub>
        </m:sSub>
      </m:oMath>
      <w:r w:rsidRPr="003F1EED">
        <w:rPr>
          <w:rFonts w:ascii="Times New Roman" w:eastAsia="Times New Roman" w:hAnsi="Times New Roman" w:cs="Times New Roman"/>
          <w:bCs/>
          <w:sz w:val="20"/>
          <w:szCs w:val="20"/>
          <w:lang w:eastAsia="de-DE"/>
        </w:rPr>
        <w:t xml:space="preserve">is effective head, </w:t>
      </w:r>
      <m:oMath>
        <m:r>
          <w:rPr>
            <w:rFonts w:ascii="Cambria Math" w:eastAsia="Times New Roman" w:hAnsi="Cambria Math" w:cs="Times New Roman"/>
            <w:sz w:val="20"/>
            <w:szCs w:val="20"/>
            <w:lang w:eastAsia="de-DE"/>
          </w:rPr>
          <m:t>L(t)</m:t>
        </m:r>
      </m:oMath>
      <w:r w:rsidRPr="003F1EED">
        <w:rPr>
          <w:rFonts w:ascii="Times New Roman" w:eastAsia="Times New Roman" w:hAnsi="Times New Roman" w:cs="Times New Roman"/>
          <w:bCs/>
          <w:sz w:val="20"/>
          <w:szCs w:val="20"/>
          <w:lang w:eastAsia="de-DE"/>
        </w:rPr>
        <w:t>represents cumul</w:t>
      </w:r>
      <w:proofErr w:type="spellStart"/>
      <w:r w:rsidRPr="003F1EED">
        <w:rPr>
          <w:rFonts w:ascii="Times New Roman" w:eastAsia="Times New Roman" w:hAnsi="Times New Roman" w:cs="Times New Roman"/>
          <w:bCs/>
          <w:sz w:val="20"/>
          <w:szCs w:val="20"/>
          <w:lang w:eastAsia="de-DE"/>
        </w:rPr>
        <w:t>ative</w:t>
      </w:r>
      <w:proofErr w:type="spellEnd"/>
      <w:r w:rsidRPr="003F1EED">
        <w:rPr>
          <w:rFonts w:ascii="Times New Roman" w:eastAsia="Times New Roman" w:hAnsi="Times New Roman" w:cs="Times New Roman"/>
          <w:bCs/>
          <w:sz w:val="20"/>
          <w:szCs w:val="20"/>
          <w:lang w:eastAsia="de-DE"/>
        </w:rPr>
        <w:t xml:space="preserve"> hydraulic and mechanical losses, and </w:t>
      </w:r>
      <m:oMath>
        <m:r>
          <w:rPr>
            <w:rFonts w:ascii="Cambria Math" w:eastAsia="Times New Roman" w:hAnsi="Cambria Math" w:cs="Times New Roman"/>
            <w:sz w:val="20"/>
            <w:szCs w:val="20"/>
            <w:lang w:eastAsia="de-DE"/>
          </w:rPr>
          <m:t>λ</m:t>
        </m:r>
      </m:oMath>
      <w:r w:rsidRPr="003F1EED">
        <w:rPr>
          <w:rFonts w:ascii="Times New Roman" w:eastAsia="Times New Roman" w:hAnsi="Times New Roman" w:cs="Times New Roman"/>
          <w:bCs/>
          <w:sz w:val="20"/>
          <w:szCs w:val="20"/>
          <w:lang w:eastAsia="de-DE"/>
        </w:rPr>
        <w:t>is a degradation coefficient learned by the GAT.</w:t>
      </w:r>
    </w:p>
    <w:p w14:paraId="6D8B57FF" w14:textId="77777777" w:rsidR="003F1EED" w:rsidRPr="003F1EED" w:rsidRDefault="003F1EED" w:rsidP="003F1EE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3F1EED">
        <w:rPr>
          <w:rFonts w:ascii="Times New Roman" w:eastAsia="Times New Roman" w:hAnsi="Times New Roman" w:cs="Times New Roman"/>
          <w:bCs/>
          <w:sz w:val="20"/>
          <w:szCs w:val="20"/>
          <w:lang w:eastAsia="de-DE"/>
        </w:rPr>
        <w:t>Simulation results demonstrate that the proposed GAT-based model reduces long-term forecasting error by 18–24% compared to LSTM-based baselines, particularly under seasonal hydrological variability typical for mountain river systems.</w:t>
      </w:r>
    </w:p>
    <w:p w14:paraId="151D986F" w14:textId="77777777" w:rsidR="003F1EED" w:rsidRPr="003F1EED" w:rsidRDefault="003F1EED" w:rsidP="003F1EE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proofErr w:type="spellStart"/>
      <w:r w:rsidRPr="003F1EED">
        <w:rPr>
          <w:rFonts w:ascii="Times New Roman" w:eastAsia="Times New Roman" w:hAnsi="Times New Roman" w:cs="Times New Roman"/>
          <w:bCs/>
          <w:sz w:val="20"/>
          <w:szCs w:val="20"/>
          <w:lang w:eastAsia="de-DE"/>
        </w:rPr>
        <w:t>IoT</w:t>
      </w:r>
      <w:proofErr w:type="spellEnd"/>
      <w:r w:rsidRPr="003F1EED">
        <w:rPr>
          <w:rFonts w:ascii="Times New Roman" w:eastAsia="Times New Roman" w:hAnsi="Times New Roman" w:cs="Times New Roman"/>
          <w:bCs/>
          <w:sz w:val="20"/>
          <w:szCs w:val="20"/>
          <w:lang w:eastAsia="de-DE"/>
        </w:rPr>
        <w:t xml:space="preserve"> sensor nodes deployed across intake channels, turbines, and reservoirs provide real-time measurements of flow rate, head, vibration, temperature, and power output. The monitoring efficiency is quantified using a real-time observability coefficient:</w:t>
      </w:r>
    </w:p>
    <w:p w14:paraId="2B6D84F6" w14:textId="78F11EC4" w:rsidR="003F1EED" w:rsidRPr="003F1EED" w:rsidRDefault="003F1EED" w:rsidP="00710008">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m:rPr>
            <m:scr m:val="script"/>
          </m:rPr>
          <w:rPr>
            <w:rFonts w:ascii="Cambria Math" w:eastAsia="Times New Roman" w:hAnsi="Cambria Math" w:cs="Times New Roman"/>
            <w:sz w:val="20"/>
            <w:szCs w:val="20"/>
            <w:lang w:eastAsia="de-DE"/>
          </w:rPr>
          <m:t>O(</m:t>
        </m:r>
        <m:r>
          <w:rPr>
            <w:rFonts w:ascii="Cambria Math" w:eastAsia="Times New Roman" w:hAnsi="Cambria Math" w:cs="Times New Roman"/>
            <w:sz w:val="20"/>
            <w:szCs w:val="20"/>
            <w:lang w:eastAsia="de-DE"/>
          </w:rPr>
          <m:t>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1</m:t>
            </m:r>
          </m:num>
          <m:den>
            <m:r>
              <w:rPr>
                <w:rFonts w:ascii="Cambria Math" w:eastAsia="Times New Roman" w:hAnsi="Cambria Math" w:cs="Times New Roman"/>
                <w:sz w:val="20"/>
                <w:szCs w:val="20"/>
                <w:lang w:eastAsia="de-DE"/>
              </w:rPr>
              <m:t>M</m:t>
            </m:r>
          </m:den>
        </m:f>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m=1</m:t>
            </m:r>
          </m:sub>
          <m:sup>
            <m:r>
              <w:rPr>
                <w:rFonts w:ascii="Cambria Math" w:eastAsia="Times New Roman" w:hAnsi="Cambria Math" w:cs="Times New Roman"/>
                <w:sz w:val="20"/>
                <w:szCs w:val="20"/>
                <w:lang w:eastAsia="de-DE"/>
              </w:rPr>
              <m:t>M</m:t>
            </m:r>
          </m:sup>
          <m:e>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1-</m:t>
                </m:r>
                <m:f>
                  <m:fPr>
                    <m:ctrlPr>
                      <w:rPr>
                        <w:rFonts w:ascii="Cambria Math" w:eastAsia="Times New Roman" w:hAnsi="Cambria Math" w:cs="Times New Roman"/>
                        <w:bCs/>
                        <w:sz w:val="20"/>
                        <w:szCs w:val="20"/>
                        <w:lang w:eastAsia="de-DE"/>
                      </w:rPr>
                    </m:ctrlPr>
                  </m:fPr>
                  <m:num>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acc>
                          <m:accPr>
                            <m:ctrlPr>
                              <w:rPr>
                                <w:rFonts w:ascii="Cambria Math" w:eastAsia="Times New Roman" w:hAnsi="Cambria Math" w:cs="Times New Roman"/>
                                <w:bCs/>
                                <w:sz w:val="20"/>
                                <w:szCs w:val="20"/>
                                <w:lang w:eastAsia="de-DE"/>
                              </w:rPr>
                            </m:ctrlPr>
                          </m:accPr>
                          <m:e>
                            <m:r>
                              <w:rPr>
                                <w:rFonts w:ascii="Cambria Math" w:eastAsia="Times New Roman" w:hAnsi="Cambria Math" w:cs="Times New Roman"/>
                                <w:sz w:val="20"/>
                                <w:szCs w:val="20"/>
                                <w:lang w:eastAsia="de-DE"/>
                              </w:rPr>
                              <m:t>x</m:t>
                            </m:r>
                          </m:e>
                        </m:acc>
                      </m:e>
                      <m:sub>
                        <m:r>
                          <w:rPr>
                            <w:rFonts w:ascii="Cambria Math" w:eastAsia="Times New Roman" w:hAnsi="Cambria Math" w:cs="Times New Roman"/>
                            <w:sz w:val="20"/>
                            <w:szCs w:val="20"/>
                            <w:lang w:eastAsia="de-DE"/>
                          </w:rPr>
                          <m:t>m</m:t>
                        </m:r>
                      </m:sub>
                    </m:sSub>
                    <m:r>
                      <w:rPr>
                        <w:rFonts w:ascii="Cambria Math" w:eastAsia="Times New Roman" w:hAnsi="Cambria Math" w:cs="Times New Roman"/>
                        <w:sz w:val="20"/>
                        <w:szCs w:val="20"/>
                        <w:lang w:eastAsia="de-DE"/>
                      </w:rPr>
                      <m:t>(t)-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m</m:t>
                        </m:r>
                      </m:sub>
                    </m:sSub>
                    <m:r>
                      <w:rPr>
                        <w:rFonts w:ascii="Cambria Math" w:eastAsia="Times New Roman" w:hAnsi="Cambria Math" w:cs="Times New Roman"/>
                        <w:sz w:val="20"/>
                        <w:szCs w:val="20"/>
                        <w:lang w:eastAsia="de-DE"/>
                      </w:rPr>
                      <m:t>(t)</m:t>
                    </m:r>
                    <m:r>
                      <m:rPr>
                        <m:sty m:val="p"/>
                      </m:rPr>
                      <w:rPr>
                        <w:rFonts w:ascii="Cambria Math" w:eastAsia="Times New Roman" w:hAnsi="Cambria Math" w:cs="Times New Roman"/>
                        <w:sz w:val="20"/>
                        <w:szCs w:val="20"/>
                        <w:lang w:eastAsia="de-DE"/>
                      </w:rPr>
                      <m:t>∣</m:t>
                    </m:r>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m</m:t>
                        </m:r>
                      </m:sub>
                    </m:sSub>
                    <m:r>
                      <w:rPr>
                        <w:rFonts w:ascii="Cambria Math" w:eastAsia="Times New Roman" w:hAnsi="Cambria Math" w:cs="Times New Roman"/>
                        <w:sz w:val="20"/>
                        <w:szCs w:val="20"/>
                        <w:lang w:eastAsia="de-DE"/>
                      </w:rPr>
                      <m:t>(t)</m:t>
                    </m:r>
                  </m:den>
                </m:f>
              </m:e>
            </m:d>
          </m:e>
        </m:nary>
      </m:oMath>
      <w:r w:rsidR="00710008">
        <w:rPr>
          <w:rFonts w:ascii="Times New Roman" w:eastAsia="Times New Roman" w:hAnsi="Times New Roman" w:cs="Times New Roman"/>
          <w:bCs/>
          <w:sz w:val="20"/>
          <w:szCs w:val="20"/>
          <w:lang w:eastAsia="de-DE"/>
        </w:rPr>
        <w:t xml:space="preserve">  </w:t>
      </w:r>
      <w:r w:rsidR="00710008">
        <w:rPr>
          <w:rFonts w:ascii="Times New Roman" w:eastAsiaTheme="minorEastAsia" w:hAnsi="Times New Roman" w:cs="Times New Roman"/>
          <w:bCs/>
          <w:sz w:val="20"/>
          <w:szCs w:val="20"/>
        </w:rPr>
        <w:tab/>
      </w:r>
      <w:r w:rsidR="00710008">
        <w:rPr>
          <w:rFonts w:ascii="Times New Roman" w:eastAsiaTheme="minorEastAsia" w:hAnsi="Times New Roman" w:cs="Times New Roman"/>
          <w:bCs/>
          <w:sz w:val="20"/>
          <w:szCs w:val="20"/>
        </w:rPr>
        <w:tab/>
      </w:r>
      <w:r w:rsidR="00710008">
        <w:rPr>
          <w:rFonts w:ascii="Times New Roman" w:eastAsiaTheme="minorEastAsia" w:hAnsi="Times New Roman" w:cs="Times New Roman"/>
          <w:bCs/>
          <w:sz w:val="20"/>
          <w:szCs w:val="20"/>
        </w:rPr>
        <w:tab/>
      </w:r>
      <w:r w:rsidR="00710008">
        <w:rPr>
          <w:rFonts w:ascii="Times New Roman" w:eastAsiaTheme="minorEastAsia" w:hAnsi="Times New Roman" w:cs="Times New Roman"/>
          <w:bCs/>
          <w:sz w:val="20"/>
          <w:szCs w:val="20"/>
        </w:rPr>
        <w:tab/>
        <w:t>(5)</w:t>
      </w:r>
    </w:p>
    <w:p w14:paraId="2392A969" w14:textId="540A5D84" w:rsidR="003F1EED" w:rsidRPr="003F1EED" w:rsidRDefault="003F1EED" w:rsidP="003F1EE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3F1EED">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m</m:t>
            </m:r>
          </m:sub>
        </m:sSub>
        <m:r>
          <w:rPr>
            <w:rFonts w:ascii="Cambria Math" w:eastAsia="Times New Roman" w:hAnsi="Cambria Math" w:cs="Times New Roman"/>
            <w:sz w:val="20"/>
            <w:szCs w:val="20"/>
            <w:lang w:eastAsia="de-DE"/>
          </w:rPr>
          <m:t>(t)</m:t>
        </m:r>
      </m:oMath>
      <w:r w:rsidRPr="003F1EED">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acc>
              <m:accPr>
                <m:ctrlPr>
                  <w:rPr>
                    <w:rFonts w:ascii="Cambria Math" w:eastAsia="Times New Roman" w:hAnsi="Cambria Math" w:cs="Times New Roman"/>
                    <w:bCs/>
                    <w:sz w:val="20"/>
                    <w:szCs w:val="20"/>
                    <w:lang w:eastAsia="de-DE"/>
                  </w:rPr>
                </m:ctrlPr>
              </m:accPr>
              <m:e>
                <m:r>
                  <w:rPr>
                    <w:rFonts w:ascii="Cambria Math" w:eastAsia="Times New Roman" w:hAnsi="Cambria Math" w:cs="Times New Roman"/>
                    <w:sz w:val="20"/>
                    <w:szCs w:val="20"/>
                    <w:lang w:eastAsia="de-DE"/>
                  </w:rPr>
                  <m:t>x</m:t>
                </m:r>
              </m:e>
            </m:acc>
          </m:e>
          <m:sub>
            <m:r>
              <w:rPr>
                <w:rFonts w:ascii="Cambria Math" w:eastAsia="Times New Roman" w:hAnsi="Cambria Math" w:cs="Times New Roman"/>
                <w:sz w:val="20"/>
                <w:szCs w:val="20"/>
                <w:lang w:eastAsia="de-DE"/>
              </w:rPr>
              <m:t>m</m:t>
            </m:r>
          </m:sub>
        </m:sSub>
        <m:r>
          <w:rPr>
            <w:rFonts w:ascii="Cambria Math" w:eastAsia="Times New Roman" w:hAnsi="Cambria Math" w:cs="Times New Roman"/>
            <w:sz w:val="20"/>
            <w:szCs w:val="20"/>
            <w:lang w:eastAsia="de-DE"/>
          </w:rPr>
          <m:t>(t)</m:t>
        </m:r>
      </m:oMath>
      <w:r w:rsidRPr="003F1EED">
        <w:rPr>
          <w:rFonts w:ascii="Times New Roman" w:eastAsia="Times New Roman" w:hAnsi="Times New Roman" w:cs="Times New Roman"/>
          <w:bCs/>
          <w:sz w:val="20"/>
          <w:szCs w:val="20"/>
          <w:lang w:eastAsia="de-DE"/>
        </w:rPr>
        <w:t>denote actual and estimated sensor values, respectively. The system maintained an average observability coefficient above 0.96, confirming high data reliability.</w:t>
      </w:r>
    </w:p>
    <w:p w14:paraId="787D8991" w14:textId="72188D98" w:rsidR="00263E08" w:rsidRPr="00263E08" w:rsidRDefault="003F1EED" w:rsidP="00263E0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3F1EED">
        <w:rPr>
          <w:rFonts w:ascii="Times New Roman" w:eastAsia="Times New Roman" w:hAnsi="Times New Roman" w:cs="Times New Roman"/>
          <w:bCs/>
          <w:sz w:val="20"/>
          <w:szCs w:val="20"/>
          <w:lang w:eastAsia="de-DE"/>
        </w:rPr>
        <w:t>Latency analysis showed that the web-based dashboard achieved an average response time of 1.2–1.8 seconds, which is suitable for operational decision support in multi-purpose hydroelectric complexes.</w:t>
      </w:r>
      <w:r w:rsidR="00263E08">
        <w:rPr>
          <w:rFonts w:ascii="Times New Roman" w:eastAsia="Times New Roman" w:hAnsi="Times New Roman" w:cs="Times New Roman"/>
          <w:bCs/>
          <w:sz w:val="20"/>
          <w:szCs w:val="20"/>
          <w:lang w:eastAsia="de-DE"/>
        </w:rPr>
        <w:t xml:space="preserve"> </w:t>
      </w:r>
      <w:r w:rsidR="00263E08" w:rsidRPr="00263E08">
        <w:rPr>
          <w:rFonts w:ascii="Times New Roman" w:eastAsia="Times New Roman" w:hAnsi="Times New Roman" w:cs="Times New Roman"/>
          <w:bCs/>
          <w:sz w:val="20"/>
          <w:szCs w:val="20"/>
          <w:lang w:eastAsia="de-DE"/>
        </w:rPr>
        <w:t>Table 1 summarizes the comparative performance of different forecasting and monitoring approaches.</w:t>
      </w:r>
    </w:p>
    <w:p w14:paraId="03137C36" w14:textId="78AE708B" w:rsidR="00263E08" w:rsidRPr="00263E08" w:rsidRDefault="00F436F4" w:rsidP="00F436F4">
      <w:pPr>
        <w:overflowPunct w:val="0"/>
        <w:autoSpaceDE w:val="0"/>
        <w:autoSpaceDN w:val="0"/>
        <w:adjustRightInd w:val="0"/>
        <w:spacing w:before="240" w:after="0" w:line="240" w:lineRule="auto"/>
        <w:jc w:val="center"/>
        <w:textAlignment w:val="baseline"/>
        <w:rPr>
          <w:rFonts w:ascii="Times New Roman" w:eastAsia="Times New Roman" w:hAnsi="Times New Roman" w:cs="Times New Roman"/>
          <w:bCs/>
          <w:sz w:val="20"/>
          <w:szCs w:val="20"/>
          <w:lang w:eastAsia="de-DE"/>
        </w:rPr>
      </w:pPr>
      <w:r w:rsidRPr="00263E08">
        <w:rPr>
          <w:rFonts w:ascii="Times New Roman" w:eastAsia="Times New Roman" w:hAnsi="Times New Roman" w:cs="Times New Roman"/>
          <w:b/>
          <w:sz w:val="20"/>
          <w:szCs w:val="20"/>
          <w:lang w:eastAsia="de-DE"/>
        </w:rPr>
        <w:t xml:space="preserve">TABLE </w:t>
      </w:r>
      <w:r w:rsidR="00F449DC">
        <w:rPr>
          <w:rFonts w:ascii="Times New Roman" w:eastAsia="Times New Roman" w:hAnsi="Times New Roman" w:cs="Times New Roman"/>
          <w:b/>
          <w:sz w:val="20"/>
          <w:szCs w:val="20"/>
          <w:lang w:eastAsia="de-DE"/>
        </w:rPr>
        <w:t>2</w:t>
      </w:r>
      <w:r w:rsidRPr="00263E08">
        <w:rPr>
          <w:rFonts w:ascii="Times New Roman" w:eastAsia="Times New Roman" w:hAnsi="Times New Roman" w:cs="Times New Roman"/>
          <w:b/>
          <w:sz w:val="20"/>
          <w:szCs w:val="20"/>
          <w:lang w:eastAsia="de-DE"/>
        </w:rPr>
        <w:t xml:space="preserve">. </w:t>
      </w:r>
      <w:r w:rsidR="00263E08" w:rsidRPr="00263E08">
        <w:rPr>
          <w:rFonts w:ascii="Times New Roman" w:eastAsia="Times New Roman" w:hAnsi="Times New Roman" w:cs="Times New Roman"/>
          <w:bCs/>
          <w:sz w:val="20"/>
          <w:szCs w:val="20"/>
          <w:lang w:eastAsia="de-DE"/>
        </w:rPr>
        <w:t>Comparative performance evaluation of hydropower forecasting systems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9"/>
        <w:gridCol w:w="1914"/>
        <w:gridCol w:w="2054"/>
        <w:gridCol w:w="2569"/>
      </w:tblGrid>
      <w:tr w:rsidR="00263E08" w:rsidRPr="00710008" w14:paraId="04607111" w14:textId="77777777" w:rsidTr="00F436F4">
        <w:trPr>
          <w:tblHeader/>
          <w:tblCellSpacing w:w="15" w:type="dxa"/>
        </w:trPr>
        <w:tc>
          <w:tcPr>
            <w:tcW w:w="0" w:type="auto"/>
            <w:tcBorders>
              <w:bottom w:val="single" w:sz="4" w:space="0" w:color="auto"/>
            </w:tcBorders>
            <w:vAlign w:val="center"/>
            <w:hideMark/>
          </w:tcPr>
          <w:p w14:paraId="1D90D2E6" w14:textId="77777777" w:rsidR="00263E08" w:rsidRPr="00710008" w:rsidRDefault="00263E08" w:rsidP="00F436F4">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
                <w:sz w:val="18"/>
                <w:szCs w:val="18"/>
                <w:lang w:eastAsia="de-DE"/>
              </w:rPr>
            </w:pPr>
            <w:r w:rsidRPr="00710008">
              <w:rPr>
                <w:rFonts w:ascii="Times New Roman" w:eastAsia="Times New Roman" w:hAnsi="Times New Roman" w:cs="Times New Roman"/>
                <w:b/>
                <w:sz w:val="18"/>
                <w:szCs w:val="18"/>
                <w:lang w:eastAsia="de-DE"/>
              </w:rPr>
              <w:t>Method</w:t>
            </w:r>
          </w:p>
        </w:tc>
        <w:tc>
          <w:tcPr>
            <w:tcW w:w="0" w:type="auto"/>
            <w:tcBorders>
              <w:bottom w:val="single" w:sz="4" w:space="0" w:color="auto"/>
            </w:tcBorders>
            <w:vAlign w:val="center"/>
            <w:hideMark/>
          </w:tcPr>
          <w:p w14:paraId="57F78CA2" w14:textId="77777777" w:rsidR="00263E08" w:rsidRPr="00710008" w:rsidRDefault="00263E08" w:rsidP="00F436F4">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
                <w:sz w:val="18"/>
                <w:szCs w:val="18"/>
                <w:lang w:eastAsia="de-DE"/>
              </w:rPr>
            </w:pPr>
            <w:r w:rsidRPr="00710008">
              <w:rPr>
                <w:rFonts w:ascii="Times New Roman" w:eastAsia="Times New Roman" w:hAnsi="Times New Roman" w:cs="Times New Roman"/>
                <w:b/>
                <w:sz w:val="18"/>
                <w:szCs w:val="18"/>
                <w:lang w:eastAsia="de-DE"/>
              </w:rPr>
              <w:t>Forecast RMSE (%)</w:t>
            </w:r>
          </w:p>
        </w:tc>
        <w:tc>
          <w:tcPr>
            <w:tcW w:w="0" w:type="auto"/>
            <w:tcBorders>
              <w:bottom w:val="single" w:sz="4" w:space="0" w:color="auto"/>
            </w:tcBorders>
            <w:vAlign w:val="center"/>
            <w:hideMark/>
          </w:tcPr>
          <w:p w14:paraId="4EDB13D8" w14:textId="77777777" w:rsidR="00263E08" w:rsidRPr="00710008" w:rsidRDefault="00263E08" w:rsidP="00F436F4">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
                <w:sz w:val="18"/>
                <w:szCs w:val="18"/>
                <w:lang w:eastAsia="de-DE"/>
              </w:rPr>
            </w:pPr>
            <w:r w:rsidRPr="00710008">
              <w:rPr>
                <w:rFonts w:ascii="Times New Roman" w:eastAsia="Times New Roman" w:hAnsi="Times New Roman" w:cs="Times New Roman"/>
                <w:b/>
                <w:sz w:val="18"/>
                <w:szCs w:val="18"/>
                <w:lang w:eastAsia="de-DE"/>
              </w:rPr>
              <w:t>Real-Time Latency (s)</w:t>
            </w:r>
          </w:p>
        </w:tc>
        <w:tc>
          <w:tcPr>
            <w:tcW w:w="0" w:type="auto"/>
            <w:tcBorders>
              <w:bottom w:val="single" w:sz="4" w:space="0" w:color="auto"/>
            </w:tcBorders>
            <w:vAlign w:val="center"/>
            <w:hideMark/>
          </w:tcPr>
          <w:p w14:paraId="45951C03" w14:textId="77777777" w:rsidR="00263E08" w:rsidRPr="00710008" w:rsidRDefault="00263E08" w:rsidP="00F436F4">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
                <w:sz w:val="18"/>
                <w:szCs w:val="18"/>
                <w:lang w:eastAsia="de-DE"/>
              </w:rPr>
            </w:pPr>
            <w:r w:rsidRPr="00710008">
              <w:rPr>
                <w:rFonts w:ascii="Times New Roman" w:eastAsia="Times New Roman" w:hAnsi="Times New Roman" w:cs="Times New Roman"/>
                <w:b/>
                <w:sz w:val="18"/>
                <w:szCs w:val="18"/>
                <w:lang w:eastAsia="de-DE"/>
              </w:rPr>
              <w:t>Efficiency Improvement (%)</w:t>
            </w:r>
          </w:p>
        </w:tc>
      </w:tr>
      <w:tr w:rsidR="00263E08" w:rsidRPr="00710008" w14:paraId="34BFB876" w14:textId="77777777">
        <w:trPr>
          <w:tblCellSpacing w:w="15" w:type="dxa"/>
        </w:trPr>
        <w:tc>
          <w:tcPr>
            <w:tcW w:w="0" w:type="auto"/>
            <w:vAlign w:val="center"/>
            <w:hideMark/>
          </w:tcPr>
          <w:p w14:paraId="02DE41B7" w14:textId="77777777" w:rsidR="00263E08" w:rsidRPr="00710008" w:rsidRDefault="00263E08" w:rsidP="00F436F4">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Cs/>
                <w:sz w:val="18"/>
                <w:szCs w:val="18"/>
                <w:lang w:eastAsia="de-DE"/>
              </w:rPr>
            </w:pPr>
            <w:r w:rsidRPr="00710008">
              <w:rPr>
                <w:rFonts w:ascii="Times New Roman" w:eastAsia="Times New Roman" w:hAnsi="Times New Roman" w:cs="Times New Roman"/>
                <w:bCs/>
                <w:sz w:val="18"/>
                <w:szCs w:val="18"/>
                <w:lang w:eastAsia="de-DE"/>
              </w:rPr>
              <w:t>Statistical Regression</w:t>
            </w:r>
          </w:p>
        </w:tc>
        <w:tc>
          <w:tcPr>
            <w:tcW w:w="0" w:type="auto"/>
            <w:vAlign w:val="center"/>
            <w:hideMark/>
          </w:tcPr>
          <w:p w14:paraId="238BC739" w14:textId="77777777" w:rsidR="00263E08" w:rsidRPr="00710008" w:rsidRDefault="00263E08" w:rsidP="00F436F4">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Cs/>
                <w:sz w:val="18"/>
                <w:szCs w:val="18"/>
                <w:lang w:eastAsia="de-DE"/>
              </w:rPr>
            </w:pPr>
            <w:r w:rsidRPr="00710008">
              <w:rPr>
                <w:rFonts w:ascii="Times New Roman" w:eastAsia="Times New Roman" w:hAnsi="Times New Roman" w:cs="Times New Roman"/>
                <w:bCs/>
                <w:sz w:val="18"/>
                <w:szCs w:val="18"/>
                <w:lang w:eastAsia="de-DE"/>
              </w:rPr>
              <w:t>9.8</w:t>
            </w:r>
          </w:p>
        </w:tc>
        <w:tc>
          <w:tcPr>
            <w:tcW w:w="0" w:type="auto"/>
            <w:vAlign w:val="center"/>
            <w:hideMark/>
          </w:tcPr>
          <w:p w14:paraId="4466A2F6" w14:textId="77777777" w:rsidR="00263E08" w:rsidRPr="00710008" w:rsidRDefault="00263E08" w:rsidP="00F436F4">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Cs/>
                <w:sz w:val="18"/>
                <w:szCs w:val="18"/>
                <w:lang w:eastAsia="de-DE"/>
              </w:rPr>
            </w:pPr>
            <w:r w:rsidRPr="00710008">
              <w:rPr>
                <w:rFonts w:ascii="Times New Roman" w:eastAsia="Times New Roman" w:hAnsi="Times New Roman" w:cs="Times New Roman"/>
                <w:bCs/>
                <w:sz w:val="18"/>
                <w:szCs w:val="18"/>
                <w:lang w:eastAsia="de-DE"/>
              </w:rPr>
              <w:t>3.6</w:t>
            </w:r>
          </w:p>
        </w:tc>
        <w:tc>
          <w:tcPr>
            <w:tcW w:w="0" w:type="auto"/>
            <w:vAlign w:val="center"/>
            <w:hideMark/>
          </w:tcPr>
          <w:p w14:paraId="30868C43" w14:textId="77777777" w:rsidR="00263E08" w:rsidRPr="00710008" w:rsidRDefault="00263E08" w:rsidP="00F436F4">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Cs/>
                <w:sz w:val="18"/>
                <w:szCs w:val="18"/>
                <w:lang w:eastAsia="de-DE"/>
              </w:rPr>
            </w:pPr>
            <w:r w:rsidRPr="00710008">
              <w:rPr>
                <w:rFonts w:ascii="Times New Roman" w:eastAsia="Times New Roman" w:hAnsi="Times New Roman" w:cs="Times New Roman"/>
                <w:bCs/>
                <w:sz w:val="18"/>
                <w:szCs w:val="18"/>
                <w:lang w:eastAsia="de-DE"/>
              </w:rPr>
              <w:t>4.2</w:t>
            </w:r>
          </w:p>
        </w:tc>
      </w:tr>
      <w:tr w:rsidR="00263E08" w:rsidRPr="00710008" w14:paraId="3021BC3A" w14:textId="77777777">
        <w:trPr>
          <w:tblCellSpacing w:w="15" w:type="dxa"/>
        </w:trPr>
        <w:tc>
          <w:tcPr>
            <w:tcW w:w="0" w:type="auto"/>
            <w:vAlign w:val="center"/>
            <w:hideMark/>
          </w:tcPr>
          <w:p w14:paraId="3A1463B4" w14:textId="77777777" w:rsidR="00263E08" w:rsidRPr="00710008" w:rsidRDefault="00263E08" w:rsidP="00F436F4">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Cs/>
                <w:sz w:val="18"/>
                <w:szCs w:val="18"/>
                <w:lang w:eastAsia="de-DE"/>
              </w:rPr>
            </w:pPr>
            <w:r w:rsidRPr="00710008">
              <w:rPr>
                <w:rFonts w:ascii="Times New Roman" w:eastAsia="Times New Roman" w:hAnsi="Times New Roman" w:cs="Times New Roman"/>
                <w:bCs/>
                <w:sz w:val="18"/>
                <w:szCs w:val="18"/>
                <w:lang w:eastAsia="de-DE"/>
              </w:rPr>
              <w:t>LSTM-Based Model</w:t>
            </w:r>
          </w:p>
        </w:tc>
        <w:tc>
          <w:tcPr>
            <w:tcW w:w="0" w:type="auto"/>
            <w:vAlign w:val="center"/>
            <w:hideMark/>
          </w:tcPr>
          <w:p w14:paraId="3B41CC41" w14:textId="77777777" w:rsidR="00263E08" w:rsidRPr="00710008" w:rsidRDefault="00263E08" w:rsidP="00F436F4">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Cs/>
                <w:sz w:val="18"/>
                <w:szCs w:val="18"/>
                <w:lang w:eastAsia="de-DE"/>
              </w:rPr>
            </w:pPr>
            <w:r w:rsidRPr="00710008">
              <w:rPr>
                <w:rFonts w:ascii="Times New Roman" w:eastAsia="Times New Roman" w:hAnsi="Times New Roman" w:cs="Times New Roman"/>
                <w:bCs/>
                <w:sz w:val="18"/>
                <w:szCs w:val="18"/>
                <w:lang w:eastAsia="de-DE"/>
              </w:rPr>
              <w:t>6.4</w:t>
            </w:r>
          </w:p>
        </w:tc>
        <w:tc>
          <w:tcPr>
            <w:tcW w:w="0" w:type="auto"/>
            <w:vAlign w:val="center"/>
            <w:hideMark/>
          </w:tcPr>
          <w:p w14:paraId="6645A79D" w14:textId="77777777" w:rsidR="00263E08" w:rsidRPr="00710008" w:rsidRDefault="00263E08" w:rsidP="00F436F4">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Cs/>
                <w:sz w:val="18"/>
                <w:szCs w:val="18"/>
                <w:lang w:eastAsia="de-DE"/>
              </w:rPr>
            </w:pPr>
            <w:r w:rsidRPr="00710008">
              <w:rPr>
                <w:rFonts w:ascii="Times New Roman" w:eastAsia="Times New Roman" w:hAnsi="Times New Roman" w:cs="Times New Roman"/>
                <w:bCs/>
                <w:sz w:val="18"/>
                <w:szCs w:val="18"/>
                <w:lang w:eastAsia="de-DE"/>
              </w:rPr>
              <w:t>2.4</w:t>
            </w:r>
          </w:p>
        </w:tc>
        <w:tc>
          <w:tcPr>
            <w:tcW w:w="0" w:type="auto"/>
            <w:vAlign w:val="center"/>
            <w:hideMark/>
          </w:tcPr>
          <w:p w14:paraId="193C0F40" w14:textId="77777777" w:rsidR="00263E08" w:rsidRPr="00710008" w:rsidRDefault="00263E08" w:rsidP="00F436F4">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Cs/>
                <w:sz w:val="18"/>
                <w:szCs w:val="18"/>
                <w:lang w:eastAsia="de-DE"/>
              </w:rPr>
            </w:pPr>
            <w:r w:rsidRPr="00710008">
              <w:rPr>
                <w:rFonts w:ascii="Times New Roman" w:eastAsia="Times New Roman" w:hAnsi="Times New Roman" w:cs="Times New Roman"/>
                <w:bCs/>
                <w:sz w:val="18"/>
                <w:szCs w:val="18"/>
                <w:lang w:eastAsia="de-DE"/>
              </w:rPr>
              <w:t>8.7</w:t>
            </w:r>
          </w:p>
        </w:tc>
      </w:tr>
      <w:tr w:rsidR="00263E08" w:rsidRPr="00710008" w14:paraId="3A5BF826" w14:textId="77777777">
        <w:trPr>
          <w:tblCellSpacing w:w="15" w:type="dxa"/>
        </w:trPr>
        <w:tc>
          <w:tcPr>
            <w:tcW w:w="0" w:type="auto"/>
            <w:vAlign w:val="center"/>
            <w:hideMark/>
          </w:tcPr>
          <w:p w14:paraId="193EDCD5" w14:textId="77777777" w:rsidR="00263E08" w:rsidRPr="00710008" w:rsidRDefault="00263E08" w:rsidP="00F436F4">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Cs/>
                <w:sz w:val="18"/>
                <w:szCs w:val="18"/>
                <w:lang w:eastAsia="de-DE"/>
              </w:rPr>
            </w:pPr>
            <w:r w:rsidRPr="00710008">
              <w:rPr>
                <w:rFonts w:ascii="Times New Roman" w:eastAsia="Times New Roman" w:hAnsi="Times New Roman" w:cs="Times New Roman"/>
                <w:bCs/>
                <w:sz w:val="18"/>
                <w:szCs w:val="18"/>
                <w:lang w:eastAsia="de-DE"/>
              </w:rPr>
              <w:t>Proposed GAT–</w:t>
            </w:r>
            <w:proofErr w:type="spellStart"/>
            <w:r w:rsidRPr="00710008">
              <w:rPr>
                <w:rFonts w:ascii="Times New Roman" w:eastAsia="Times New Roman" w:hAnsi="Times New Roman" w:cs="Times New Roman"/>
                <w:bCs/>
                <w:sz w:val="18"/>
                <w:szCs w:val="18"/>
                <w:lang w:eastAsia="de-DE"/>
              </w:rPr>
              <w:t>IoT</w:t>
            </w:r>
            <w:proofErr w:type="spellEnd"/>
            <w:r w:rsidRPr="00710008">
              <w:rPr>
                <w:rFonts w:ascii="Times New Roman" w:eastAsia="Times New Roman" w:hAnsi="Times New Roman" w:cs="Times New Roman"/>
                <w:bCs/>
                <w:sz w:val="18"/>
                <w:szCs w:val="18"/>
                <w:lang w:eastAsia="de-DE"/>
              </w:rPr>
              <w:t xml:space="preserve"> System</w:t>
            </w:r>
          </w:p>
        </w:tc>
        <w:tc>
          <w:tcPr>
            <w:tcW w:w="0" w:type="auto"/>
            <w:vAlign w:val="center"/>
            <w:hideMark/>
          </w:tcPr>
          <w:p w14:paraId="1BAA901A" w14:textId="77777777" w:rsidR="00263E08" w:rsidRPr="00710008" w:rsidRDefault="00263E08" w:rsidP="00F436F4">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Cs/>
                <w:sz w:val="18"/>
                <w:szCs w:val="18"/>
                <w:lang w:eastAsia="de-DE"/>
              </w:rPr>
            </w:pPr>
            <w:r w:rsidRPr="00710008">
              <w:rPr>
                <w:rFonts w:ascii="Times New Roman" w:eastAsia="Times New Roman" w:hAnsi="Times New Roman" w:cs="Times New Roman"/>
                <w:bCs/>
                <w:sz w:val="18"/>
                <w:szCs w:val="18"/>
                <w:lang w:eastAsia="de-DE"/>
              </w:rPr>
              <w:t>4.9</w:t>
            </w:r>
          </w:p>
        </w:tc>
        <w:tc>
          <w:tcPr>
            <w:tcW w:w="0" w:type="auto"/>
            <w:vAlign w:val="center"/>
            <w:hideMark/>
          </w:tcPr>
          <w:p w14:paraId="7966FC2D" w14:textId="77777777" w:rsidR="00263E08" w:rsidRPr="00710008" w:rsidRDefault="00263E08" w:rsidP="00F436F4">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Cs/>
                <w:sz w:val="18"/>
                <w:szCs w:val="18"/>
                <w:lang w:eastAsia="de-DE"/>
              </w:rPr>
            </w:pPr>
            <w:r w:rsidRPr="00710008">
              <w:rPr>
                <w:rFonts w:ascii="Times New Roman" w:eastAsia="Times New Roman" w:hAnsi="Times New Roman" w:cs="Times New Roman"/>
                <w:bCs/>
                <w:sz w:val="18"/>
                <w:szCs w:val="18"/>
                <w:lang w:eastAsia="de-DE"/>
              </w:rPr>
              <w:t>1.5</w:t>
            </w:r>
          </w:p>
        </w:tc>
        <w:tc>
          <w:tcPr>
            <w:tcW w:w="0" w:type="auto"/>
            <w:vAlign w:val="center"/>
            <w:hideMark/>
          </w:tcPr>
          <w:p w14:paraId="7EE5362A" w14:textId="77777777" w:rsidR="00263E08" w:rsidRPr="00710008" w:rsidRDefault="00263E08" w:rsidP="00F436F4">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Cs/>
                <w:sz w:val="18"/>
                <w:szCs w:val="18"/>
                <w:lang w:eastAsia="de-DE"/>
              </w:rPr>
            </w:pPr>
            <w:r w:rsidRPr="00710008">
              <w:rPr>
                <w:rFonts w:ascii="Times New Roman" w:eastAsia="Times New Roman" w:hAnsi="Times New Roman" w:cs="Times New Roman"/>
                <w:bCs/>
                <w:sz w:val="18"/>
                <w:szCs w:val="18"/>
                <w:lang w:eastAsia="de-DE"/>
              </w:rPr>
              <w:t>14.3</w:t>
            </w:r>
          </w:p>
        </w:tc>
      </w:tr>
    </w:tbl>
    <w:p w14:paraId="6B73AAED" w14:textId="77777777" w:rsidR="00710008" w:rsidRDefault="00710008" w:rsidP="0071000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p>
    <w:p w14:paraId="754B8C43" w14:textId="732EF4D6" w:rsidR="00263E08" w:rsidRDefault="00263E08" w:rsidP="0071000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63E08">
        <w:rPr>
          <w:rFonts w:ascii="Times New Roman" w:eastAsia="Times New Roman" w:hAnsi="Times New Roman" w:cs="Times New Roman"/>
          <w:bCs/>
          <w:sz w:val="20"/>
          <w:szCs w:val="20"/>
          <w:lang w:eastAsia="de-DE"/>
        </w:rPr>
        <w:t>The results indicate that incorporating graph-based attention mechanisms significantly enhances the system’s ability to capture complex hydrological dependencies, leading to superior forecasting accuracy and operational efficiency.</w:t>
      </w:r>
    </w:p>
    <w:p w14:paraId="0F0D2E98" w14:textId="57604201" w:rsidR="00A137C3" w:rsidRDefault="00A137C3" w:rsidP="00710008">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A137C3">
        <w:rPr>
          <w:rFonts w:ascii="Times New Roman" w:eastAsia="Times New Roman" w:hAnsi="Times New Roman" w:cs="Times New Roman"/>
          <w:bCs/>
          <w:sz w:val="20"/>
          <w:szCs w:val="20"/>
          <w:lang w:eastAsia="de-DE"/>
        </w:rPr>
        <w:t xml:space="preserve">The impact of the proposed system on long-term forecasting accuracy is illustrated in Figure </w:t>
      </w:r>
      <w:r w:rsidR="00F449DC">
        <w:rPr>
          <w:rFonts w:ascii="Times New Roman" w:eastAsia="Times New Roman" w:hAnsi="Times New Roman" w:cs="Times New Roman"/>
          <w:bCs/>
          <w:sz w:val="20"/>
          <w:szCs w:val="20"/>
          <w:lang w:eastAsia="de-DE"/>
        </w:rPr>
        <w:t>1</w:t>
      </w:r>
      <w:r w:rsidRPr="00A137C3">
        <w:rPr>
          <w:rFonts w:ascii="Times New Roman" w:eastAsia="Times New Roman" w:hAnsi="Times New Roman" w:cs="Times New Roman"/>
          <w:bCs/>
          <w:sz w:val="20"/>
          <w:szCs w:val="20"/>
          <w:lang w:eastAsia="de-DE"/>
        </w:rPr>
        <w:t>, showing RMSE reduction over a 10-year forecast horizon.</w:t>
      </w:r>
    </w:p>
    <w:p w14:paraId="38893F0A" w14:textId="14EA8A7D" w:rsidR="00F2203F" w:rsidRDefault="00F2203F" w:rsidP="00F2203F">
      <w:pPr>
        <w:overflowPunct w:val="0"/>
        <w:autoSpaceDE w:val="0"/>
        <w:autoSpaceDN w:val="0"/>
        <w:adjustRightInd w:val="0"/>
        <w:spacing w:before="240" w:after="0" w:line="240" w:lineRule="auto"/>
        <w:jc w:val="center"/>
        <w:textAlignment w:val="baseline"/>
        <w:rPr>
          <w:rFonts w:ascii="Times New Roman" w:eastAsia="Times New Roman" w:hAnsi="Times New Roman" w:cs="Times New Roman"/>
          <w:bCs/>
          <w:sz w:val="20"/>
          <w:szCs w:val="20"/>
          <w:lang w:eastAsia="de-DE"/>
        </w:rPr>
      </w:pPr>
      <w:r w:rsidRPr="00F2203F">
        <w:rPr>
          <w:rFonts w:ascii="Times New Roman" w:eastAsia="Times New Roman" w:hAnsi="Times New Roman" w:cs="Times New Roman"/>
          <w:bCs/>
          <w:noProof/>
          <w:sz w:val="20"/>
          <w:szCs w:val="20"/>
          <w:lang w:val="ru-RU" w:eastAsia="ru-RU"/>
        </w:rPr>
        <w:lastRenderedPageBreak/>
        <w:drawing>
          <wp:inline distT="0" distB="0" distL="0" distR="0" wp14:anchorId="04CF9C0E" wp14:editId="64171DCD">
            <wp:extent cx="4026089" cy="2966592"/>
            <wp:effectExtent l="0" t="0" r="0" b="5715"/>
            <wp:docPr id="1159127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127031" name=""/>
                    <pic:cNvPicPr/>
                  </pic:nvPicPr>
                  <pic:blipFill>
                    <a:blip r:embed="rId7"/>
                    <a:stretch>
                      <a:fillRect/>
                    </a:stretch>
                  </pic:blipFill>
                  <pic:spPr>
                    <a:xfrm>
                      <a:off x="0" y="0"/>
                      <a:ext cx="4036952" cy="2974596"/>
                    </a:xfrm>
                    <a:prstGeom prst="rect">
                      <a:avLst/>
                    </a:prstGeom>
                  </pic:spPr>
                </pic:pic>
              </a:graphicData>
            </a:graphic>
          </wp:inline>
        </w:drawing>
      </w:r>
    </w:p>
    <w:p w14:paraId="11623859" w14:textId="04E9234B" w:rsidR="0022025A" w:rsidRDefault="0022025A" w:rsidP="00F2203F">
      <w:pPr>
        <w:overflowPunct w:val="0"/>
        <w:autoSpaceDE w:val="0"/>
        <w:autoSpaceDN w:val="0"/>
        <w:adjustRightInd w:val="0"/>
        <w:spacing w:before="240" w:after="0" w:line="240" w:lineRule="auto"/>
        <w:jc w:val="center"/>
        <w:textAlignment w:val="baseline"/>
        <w:rPr>
          <w:rFonts w:ascii="Times New Roman" w:eastAsia="Times New Roman" w:hAnsi="Times New Roman" w:cs="Times New Roman"/>
          <w:bCs/>
          <w:sz w:val="20"/>
          <w:szCs w:val="20"/>
          <w:lang w:eastAsia="de-DE"/>
        </w:rPr>
      </w:pPr>
      <w:r w:rsidRPr="0022025A">
        <w:rPr>
          <w:rFonts w:ascii="Times New Roman" w:eastAsia="Times New Roman" w:hAnsi="Times New Roman" w:cs="Times New Roman"/>
          <w:b/>
          <w:sz w:val="20"/>
          <w:szCs w:val="20"/>
          <w:lang w:eastAsia="de-DE"/>
        </w:rPr>
        <w:t xml:space="preserve">FIGURE 1. </w:t>
      </w:r>
      <w:r w:rsidRPr="0022025A">
        <w:rPr>
          <w:rFonts w:ascii="Times New Roman" w:eastAsia="Times New Roman" w:hAnsi="Times New Roman" w:cs="Times New Roman"/>
          <w:bCs/>
          <w:sz w:val="20"/>
          <w:szCs w:val="20"/>
          <w:lang w:eastAsia="de-DE"/>
        </w:rPr>
        <w:t>Comparison of Long-Term Hydropower Efficiency Forecasting Accuracy Using LSTM and GAT Models</w:t>
      </w:r>
    </w:p>
    <w:p w14:paraId="11F01640" w14:textId="1FA2CCED" w:rsidR="00F2203F" w:rsidRPr="00263E08" w:rsidRDefault="00F2203F" w:rsidP="0022025A">
      <w:pPr>
        <w:overflowPunct w:val="0"/>
        <w:autoSpaceDE w:val="0"/>
        <w:autoSpaceDN w:val="0"/>
        <w:adjustRightInd w:val="0"/>
        <w:spacing w:before="240" w:after="0" w:line="240" w:lineRule="auto"/>
        <w:ind w:firstLine="284"/>
        <w:jc w:val="both"/>
        <w:textAlignment w:val="baseline"/>
        <w:rPr>
          <w:rFonts w:ascii="Times New Roman" w:eastAsia="Times New Roman" w:hAnsi="Times New Roman" w:cs="Times New Roman"/>
          <w:bCs/>
          <w:sz w:val="20"/>
          <w:szCs w:val="20"/>
          <w:lang w:eastAsia="de-DE"/>
        </w:rPr>
      </w:pPr>
      <w:r w:rsidRPr="00F2203F">
        <w:rPr>
          <w:rFonts w:ascii="Times New Roman" w:eastAsia="Times New Roman" w:hAnsi="Times New Roman" w:cs="Times New Roman"/>
          <w:bCs/>
          <w:sz w:val="20"/>
          <w:szCs w:val="20"/>
          <w:lang w:eastAsia="de-DE"/>
        </w:rPr>
        <w:t xml:space="preserve">The results confirm that integrating Graph Attention Networks with </w:t>
      </w:r>
      <w:proofErr w:type="spellStart"/>
      <w:r w:rsidRPr="00F2203F">
        <w:rPr>
          <w:rFonts w:ascii="Times New Roman" w:eastAsia="Times New Roman" w:hAnsi="Times New Roman" w:cs="Times New Roman"/>
          <w:bCs/>
          <w:sz w:val="20"/>
          <w:szCs w:val="20"/>
          <w:lang w:eastAsia="de-DE"/>
        </w:rPr>
        <w:t>IoT</w:t>
      </w:r>
      <w:proofErr w:type="spellEnd"/>
      <w:r w:rsidRPr="00F2203F">
        <w:rPr>
          <w:rFonts w:ascii="Times New Roman" w:eastAsia="Times New Roman" w:hAnsi="Times New Roman" w:cs="Times New Roman"/>
          <w:bCs/>
          <w:sz w:val="20"/>
          <w:szCs w:val="20"/>
          <w:lang w:eastAsia="de-DE"/>
        </w:rPr>
        <w:t>-based monitoring enables a holistic and adaptive approach to managing mountain hydropower resources. Unlike traditional sequence-based models, GAT effectively models spatial interdependencies among hydrological components, which is critical for multi-purpose hydroelectric complexes. The web-based architecture further ensures scalability, interoperability, and accessibility for operators and decision-makers. Overall, the proposed system demonstrates strong potential for improving sustainability, reliability, and efficiency of hydropower resource utilization under long-term operational uncertainty.</w:t>
      </w:r>
    </w:p>
    <w:p w14:paraId="346A210A" w14:textId="77777777" w:rsidR="004A70B8" w:rsidRPr="00BF6A0B" w:rsidRDefault="004A70B8" w:rsidP="0022025A">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614E874A" w14:textId="226CF9C1" w:rsidR="00580EBB" w:rsidRPr="00580EBB" w:rsidRDefault="00580EBB" w:rsidP="00580EBB">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580EBB">
        <w:rPr>
          <w:rFonts w:ascii="Times New Roman" w:hAnsi="Times New Roman" w:cs="Times New Roman"/>
          <w:sz w:val="20"/>
        </w:rPr>
        <w:t xml:space="preserve">This study presents a comprehensive web-based intelligent system for the long-term forecasting and real-time monitoring of mountain river hydropower resources in multi-purpose hydroelectric complexes. By integrating Graph Attention Networks with </w:t>
      </w:r>
      <w:proofErr w:type="spellStart"/>
      <w:r w:rsidRPr="00580EBB">
        <w:rPr>
          <w:rFonts w:ascii="Times New Roman" w:hAnsi="Times New Roman" w:cs="Times New Roman"/>
          <w:sz w:val="20"/>
        </w:rPr>
        <w:t>IoT</w:t>
      </w:r>
      <w:proofErr w:type="spellEnd"/>
      <w:r w:rsidRPr="00580EBB">
        <w:rPr>
          <w:rFonts w:ascii="Times New Roman" w:hAnsi="Times New Roman" w:cs="Times New Roman"/>
          <w:sz w:val="20"/>
        </w:rPr>
        <w:t>-driven data acquisition, the proposed framework effectively addresses the intrinsic spatial–temporal complexity and operational interdependencies characteristic of mountainous hydropower systems. Unlike conventional time-series–oriented approaches, the graph-based modeling paradigm enables adaptive learning of upstream–downstream hydraulic interactions and turbine-level dependencies, resulting in substantially improved long-term forecasting accuracy.</w:t>
      </w:r>
      <w:r>
        <w:rPr>
          <w:rFonts w:ascii="Times New Roman" w:hAnsi="Times New Roman" w:cs="Times New Roman"/>
          <w:sz w:val="20"/>
        </w:rPr>
        <w:t xml:space="preserve"> </w:t>
      </w:r>
      <w:r w:rsidRPr="00580EBB">
        <w:rPr>
          <w:rFonts w:ascii="Times New Roman" w:hAnsi="Times New Roman" w:cs="Times New Roman"/>
          <w:sz w:val="20"/>
        </w:rPr>
        <w:t xml:space="preserve">The experimental results demonstrate that the proposed GAT-based forecasting model consistently outperforms traditional regression and LSTM-based methods, achieving notable reductions in MAE and RMSE across extended forecasting horizons. The integration of high-resolution </w:t>
      </w:r>
      <w:proofErr w:type="spellStart"/>
      <w:r w:rsidRPr="00580EBB">
        <w:rPr>
          <w:rFonts w:ascii="Times New Roman" w:hAnsi="Times New Roman" w:cs="Times New Roman"/>
          <w:sz w:val="20"/>
        </w:rPr>
        <w:t>IoT</w:t>
      </w:r>
      <w:proofErr w:type="spellEnd"/>
      <w:r w:rsidRPr="00580EBB">
        <w:rPr>
          <w:rFonts w:ascii="Times New Roman" w:hAnsi="Times New Roman" w:cs="Times New Roman"/>
          <w:sz w:val="20"/>
        </w:rPr>
        <w:t xml:space="preserve"> monitoring further enhances system observability, data reliability, and operational responsiveness, enabling near real-time assessment of hydropower efficiency and equipment condition. The web-based architecture ensures scalability, interoperability, and accessibility, facilitating informed decision-making for operators, planners, and policymakers.</w:t>
      </w:r>
    </w:p>
    <w:p w14:paraId="1DEF8A4A" w14:textId="2D7DE396" w:rsidR="00580EBB" w:rsidRPr="00580EBB" w:rsidRDefault="00580EBB" w:rsidP="00580EBB">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580EBB">
        <w:rPr>
          <w:rFonts w:ascii="Times New Roman" w:hAnsi="Times New Roman" w:cs="Times New Roman"/>
          <w:sz w:val="20"/>
        </w:rPr>
        <w:t>From a practical perspective, the proposed system provides a robust digital decision-support tool for optimizing water–energy trade-offs, improving asset utilization, and mitigating operational risks under long-term hydrological uncertainty and climate variability. Moreover, the modular design allows seamless adaptation to different hydropower configurations and regional conditions, making the framework applicable beyond the studied case.</w:t>
      </w:r>
      <w:r>
        <w:rPr>
          <w:rFonts w:ascii="Times New Roman" w:hAnsi="Times New Roman" w:cs="Times New Roman"/>
          <w:sz w:val="20"/>
        </w:rPr>
        <w:t xml:space="preserve"> </w:t>
      </w:r>
      <w:r w:rsidRPr="00580EBB">
        <w:rPr>
          <w:rFonts w:ascii="Times New Roman" w:hAnsi="Times New Roman" w:cs="Times New Roman"/>
          <w:sz w:val="20"/>
        </w:rPr>
        <w:t>Future research will focus on extending the model toward hybrid physics-informed graph learning, integrating climate scenario analysis, and enhancing automated control strategies to further strengthen the resilience and sustainability of multi-purpose hydropower systems in increasingly complex energy landscapes.</w:t>
      </w:r>
    </w:p>
    <w:p w14:paraId="5FF2BC5A" w14:textId="24574E7E" w:rsidR="00F84944" w:rsidRPr="00D80726" w:rsidRDefault="00CA398A" w:rsidP="0090239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REFERENCES</w:t>
      </w:r>
    </w:p>
    <w:p w14:paraId="77BA3106" w14:textId="77777777" w:rsidR="00326ADB" w:rsidRPr="00710008" w:rsidRDefault="00326ADB" w:rsidP="00710008">
      <w:pPr>
        <w:numPr>
          <w:ilvl w:val="0"/>
          <w:numId w:val="11"/>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710008">
        <w:rPr>
          <w:rFonts w:ascii="Times New Roman" w:eastAsia="Times New Roman" w:hAnsi="Times New Roman" w:cs="Times New Roman"/>
          <w:sz w:val="20"/>
          <w:szCs w:val="20"/>
        </w:rPr>
        <w:t xml:space="preserve">T. N. </w:t>
      </w:r>
      <w:proofErr w:type="spellStart"/>
      <w:r w:rsidRPr="00710008">
        <w:rPr>
          <w:rFonts w:ascii="Times New Roman" w:eastAsia="Times New Roman" w:hAnsi="Times New Roman" w:cs="Times New Roman"/>
          <w:sz w:val="20"/>
          <w:szCs w:val="20"/>
        </w:rPr>
        <w:t>Kipf</w:t>
      </w:r>
      <w:proofErr w:type="spellEnd"/>
      <w:r w:rsidRPr="00710008">
        <w:rPr>
          <w:rFonts w:ascii="Times New Roman" w:eastAsia="Times New Roman" w:hAnsi="Times New Roman" w:cs="Times New Roman"/>
          <w:sz w:val="20"/>
          <w:szCs w:val="20"/>
        </w:rPr>
        <w:t xml:space="preserve"> and M. Welling, “Semi-supervised classification with graph convolutional networks,” </w:t>
      </w:r>
      <w:r w:rsidRPr="00710008">
        <w:rPr>
          <w:rFonts w:ascii="Times New Roman" w:eastAsia="Times New Roman" w:hAnsi="Times New Roman" w:cs="Times New Roman"/>
          <w:i/>
          <w:iCs/>
          <w:sz w:val="20"/>
          <w:szCs w:val="20"/>
        </w:rPr>
        <w:t>Proc. Int. Conf. Learn. Representations (ICLR)</w:t>
      </w:r>
      <w:r w:rsidRPr="00710008">
        <w:rPr>
          <w:rFonts w:ascii="Times New Roman" w:eastAsia="Times New Roman" w:hAnsi="Times New Roman" w:cs="Times New Roman"/>
          <w:sz w:val="20"/>
          <w:szCs w:val="20"/>
        </w:rPr>
        <w:t>, pp. 1–14 (2017).</w:t>
      </w:r>
    </w:p>
    <w:p w14:paraId="3CF7AEF6" w14:textId="77777777" w:rsidR="00326ADB" w:rsidRPr="00710008" w:rsidRDefault="00326ADB" w:rsidP="00710008">
      <w:pPr>
        <w:numPr>
          <w:ilvl w:val="0"/>
          <w:numId w:val="11"/>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710008">
        <w:rPr>
          <w:rFonts w:ascii="Times New Roman" w:eastAsia="Times New Roman" w:hAnsi="Times New Roman" w:cs="Times New Roman"/>
          <w:sz w:val="20"/>
          <w:szCs w:val="20"/>
        </w:rPr>
        <w:t xml:space="preserve">P. </w:t>
      </w:r>
      <w:proofErr w:type="spellStart"/>
      <w:r w:rsidRPr="00710008">
        <w:rPr>
          <w:rFonts w:ascii="Times New Roman" w:eastAsia="Times New Roman" w:hAnsi="Times New Roman" w:cs="Times New Roman"/>
          <w:sz w:val="20"/>
          <w:szCs w:val="20"/>
        </w:rPr>
        <w:t>Veličković</w:t>
      </w:r>
      <w:proofErr w:type="spellEnd"/>
      <w:r w:rsidRPr="00710008">
        <w:rPr>
          <w:rFonts w:ascii="Times New Roman" w:eastAsia="Times New Roman" w:hAnsi="Times New Roman" w:cs="Times New Roman"/>
          <w:sz w:val="20"/>
          <w:szCs w:val="20"/>
        </w:rPr>
        <w:t xml:space="preserve">, G. </w:t>
      </w:r>
      <w:proofErr w:type="spellStart"/>
      <w:r w:rsidRPr="00710008">
        <w:rPr>
          <w:rFonts w:ascii="Times New Roman" w:eastAsia="Times New Roman" w:hAnsi="Times New Roman" w:cs="Times New Roman"/>
          <w:sz w:val="20"/>
          <w:szCs w:val="20"/>
        </w:rPr>
        <w:t>Cucurull</w:t>
      </w:r>
      <w:proofErr w:type="spellEnd"/>
      <w:r w:rsidRPr="00710008">
        <w:rPr>
          <w:rFonts w:ascii="Times New Roman" w:eastAsia="Times New Roman" w:hAnsi="Times New Roman" w:cs="Times New Roman"/>
          <w:sz w:val="20"/>
          <w:szCs w:val="20"/>
        </w:rPr>
        <w:t xml:space="preserve">, A. Casanova, A. Romero, P. </w:t>
      </w:r>
      <w:proofErr w:type="spellStart"/>
      <w:r w:rsidRPr="00710008">
        <w:rPr>
          <w:rFonts w:ascii="Times New Roman" w:eastAsia="Times New Roman" w:hAnsi="Times New Roman" w:cs="Times New Roman"/>
          <w:sz w:val="20"/>
          <w:szCs w:val="20"/>
        </w:rPr>
        <w:t>Liò</w:t>
      </w:r>
      <w:proofErr w:type="spellEnd"/>
      <w:r w:rsidRPr="00710008">
        <w:rPr>
          <w:rFonts w:ascii="Times New Roman" w:eastAsia="Times New Roman" w:hAnsi="Times New Roman" w:cs="Times New Roman"/>
          <w:sz w:val="20"/>
          <w:szCs w:val="20"/>
        </w:rPr>
        <w:t xml:space="preserve">, and Y. </w:t>
      </w:r>
      <w:proofErr w:type="spellStart"/>
      <w:r w:rsidRPr="00710008">
        <w:rPr>
          <w:rFonts w:ascii="Times New Roman" w:eastAsia="Times New Roman" w:hAnsi="Times New Roman" w:cs="Times New Roman"/>
          <w:sz w:val="20"/>
          <w:szCs w:val="20"/>
        </w:rPr>
        <w:t>Bengio</w:t>
      </w:r>
      <w:proofErr w:type="spellEnd"/>
      <w:r w:rsidRPr="00710008">
        <w:rPr>
          <w:rFonts w:ascii="Times New Roman" w:eastAsia="Times New Roman" w:hAnsi="Times New Roman" w:cs="Times New Roman"/>
          <w:sz w:val="20"/>
          <w:szCs w:val="20"/>
        </w:rPr>
        <w:t xml:space="preserve">, “Graph attention networks,” </w:t>
      </w:r>
      <w:r w:rsidRPr="00710008">
        <w:rPr>
          <w:rFonts w:ascii="Times New Roman" w:eastAsia="Times New Roman" w:hAnsi="Times New Roman" w:cs="Times New Roman"/>
          <w:i/>
          <w:iCs/>
          <w:sz w:val="20"/>
          <w:szCs w:val="20"/>
        </w:rPr>
        <w:t>Proc. Int. Conf. Learn. Representations (ICLR)</w:t>
      </w:r>
      <w:r w:rsidRPr="00710008">
        <w:rPr>
          <w:rFonts w:ascii="Times New Roman" w:eastAsia="Times New Roman" w:hAnsi="Times New Roman" w:cs="Times New Roman"/>
          <w:sz w:val="20"/>
          <w:szCs w:val="20"/>
        </w:rPr>
        <w:t>, pp. 1–12 (2018).</w:t>
      </w:r>
    </w:p>
    <w:p w14:paraId="55E88CEF" w14:textId="77777777" w:rsidR="00326ADB" w:rsidRPr="00710008" w:rsidRDefault="00326ADB" w:rsidP="00710008">
      <w:pPr>
        <w:numPr>
          <w:ilvl w:val="0"/>
          <w:numId w:val="11"/>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710008">
        <w:rPr>
          <w:rFonts w:ascii="Times New Roman" w:eastAsia="Times New Roman" w:hAnsi="Times New Roman" w:cs="Times New Roman"/>
          <w:sz w:val="20"/>
          <w:szCs w:val="20"/>
        </w:rPr>
        <w:t xml:space="preserve">I. U. </w:t>
      </w:r>
      <w:proofErr w:type="spellStart"/>
      <w:r w:rsidRPr="00710008">
        <w:rPr>
          <w:rFonts w:ascii="Times New Roman" w:eastAsia="Times New Roman" w:hAnsi="Times New Roman" w:cs="Times New Roman"/>
          <w:sz w:val="20"/>
          <w:szCs w:val="20"/>
        </w:rPr>
        <w:t>Rakhmonov</w:t>
      </w:r>
      <w:proofErr w:type="spellEnd"/>
      <w:r w:rsidRPr="00710008">
        <w:rPr>
          <w:rFonts w:ascii="Times New Roman" w:eastAsia="Times New Roman" w:hAnsi="Times New Roman" w:cs="Times New Roman"/>
          <w:sz w:val="20"/>
          <w:szCs w:val="20"/>
        </w:rPr>
        <w:t xml:space="preserve">, N. N. </w:t>
      </w:r>
      <w:proofErr w:type="spellStart"/>
      <w:r w:rsidRPr="00710008">
        <w:rPr>
          <w:rFonts w:ascii="Times New Roman" w:eastAsia="Times New Roman" w:hAnsi="Times New Roman" w:cs="Times New Roman"/>
          <w:sz w:val="20"/>
          <w:szCs w:val="20"/>
        </w:rPr>
        <w:t>Kurbonov</w:t>
      </w:r>
      <w:proofErr w:type="spellEnd"/>
      <w:r w:rsidRPr="00710008">
        <w:rPr>
          <w:rFonts w:ascii="Times New Roman" w:eastAsia="Times New Roman" w:hAnsi="Times New Roman" w:cs="Times New Roman"/>
          <w:sz w:val="20"/>
          <w:szCs w:val="20"/>
        </w:rPr>
        <w:t xml:space="preserve">, and I. </w:t>
      </w:r>
      <w:proofErr w:type="spellStart"/>
      <w:r w:rsidRPr="00710008">
        <w:rPr>
          <w:rFonts w:ascii="Times New Roman" w:eastAsia="Times New Roman" w:hAnsi="Times New Roman" w:cs="Times New Roman"/>
          <w:sz w:val="20"/>
          <w:szCs w:val="20"/>
        </w:rPr>
        <w:t>Kocaarslan</w:t>
      </w:r>
      <w:proofErr w:type="spellEnd"/>
      <w:r w:rsidRPr="00710008">
        <w:rPr>
          <w:rFonts w:ascii="Times New Roman" w:eastAsia="Times New Roman" w:hAnsi="Times New Roman" w:cs="Times New Roman"/>
          <w:sz w:val="20"/>
          <w:szCs w:val="20"/>
        </w:rPr>
        <w:t xml:space="preserve">, “Development of advanced digital monitoring systems for energy efficiency management in industrial applications,” </w:t>
      </w:r>
      <w:r w:rsidRPr="00710008">
        <w:rPr>
          <w:rFonts w:ascii="Times New Roman" w:eastAsia="Times New Roman" w:hAnsi="Times New Roman" w:cs="Times New Roman"/>
          <w:i/>
          <w:iCs/>
          <w:sz w:val="20"/>
          <w:szCs w:val="20"/>
        </w:rPr>
        <w:t>AIP Conf. Proc.</w:t>
      </w:r>
      <w:r w:rsidRPr="00710008">
        <w:rPr>
          <w:rFonts w:ascii="Times New Roman" w:eastAsia="Times New Roman" w:hAnsi="Times New Roman" w:cs="Times New Roman"/>
          <w:sz w:val="20"/>
          <w:szCs w:val="20"/>
        </w:rPr>
        <w:t xml:space="preserve"> 2920, 020012 (2025).</w:t>
      </w:r>
    </w:p>
    <w:p w14:paraId="55739340" w14:textId="77777777" w:rsidR="00326ADB" w:rsidRPr="00710008" w:rsidRDefault="00326ADB" w:rsidP="00710008">
      <w:pPr>
        <w:numPr>
          <w:ilvl w:val="0"/>
          <w:numId w:val="11"/>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710008">
        <w:rPr>
          <w:rFonts w:ascii="Times New Roman" w:eastAsia="Times New Roman" w:hAnsi="Times New Roman" w:cs="Times New Roman"/>
          <w:sz w:val="20"/>
          <w:szCs w:val="20"/>
        </w:rPr>
        <w:t xml:space="preserve">K. </w:t>
      </w:r>
      <w:proofErr w:type="spellStart"/>
      <w:r w:rsidRPr="00710008">
        <w:rPr>
          <w:rFonts w:ascii="Times New Roman" w:eastAsia="Times New Roman" w:hAnsi="Times New Roman" w:cs="Times New Roman"/>
          <w:sz w:val="20"/>
          <w:szCs w:val="20"/>
        </w:rPr>
        <w:t>Allaev</w:t>
      </w:r>
      <w:proofErr w:type="spellEnd"/>
      <w:r w:rsidRPr="00710008">
        <w:rPr>
          <w:rFonts w:ascii="Times New Roman" w:eastAsia="Times New Roman" w:hAnsi="Times New Roman" w:cs="Times New Roman"/>
          <w:sz w:val="20"/>
          <w:szCs w:val="20"/>
        </w:rPr>
        <w:t xml:space="preserve">, H. </w:t>
      </w:r>
      <w:proofErr w:type="spellStart"/>
      <w:r w:rsidRPr="00710008">
        <w:rPr>
          <w:rFonts w:ascii="Times New Roman" w:eastAsia="Times New Roman" w:hAnsi="Times New Roman" w:cs="Times New Roman"/>
          <w:sz w:val="20"/>
          <w:szCs w:val="20"/>
        </w:rPr>
        <w:t>Nazirova</w:t>
      </w:r>
      <w:proofErr w:type="spellEnd"/>
      <w:r w:rsidRPr="00710008">
        <w:rPr>
          <w:rFonts w:ascii="Times New Roman" w:eastAsia="Times New Roman" w:hAnsi="Times New Roman" w:cs="Times New Roman"/>
          <w:sz w:val="20"/>
          <w:szCs w:val="20"/>
        </w:rPr>
        <w:t xml:space="preserve">, and A. </w:t>
      </w:r>
      <w:proofErr w:type="spellStart"/>
      <w:r w:rsidRPr="00710008">
        <w:rPr>
          <w:rFonts w:ascii="Times New Roman" w:eastAsia="Times New Roman" w:hAnsi="Times New Roman" w:cs="Times New Roman"/>
          <w:sz w:val="20"/>
          <w:szCs w:val="20"/>
        </w:rPr>
        <w:t>Badalov</w:t>
      </w:r>
      <w:proofErr w:type="spellEnd"/>
      <w:r w:rsidRPr="00710008">
        <w:rPr>
          <w:rFonts w:ascii="Times New Roman" w:eastAsia="Times New Roman" w:hAnsi="Times New Roman" w:cs="Times New Roman"/>
          <w:sz w:val="20"/>
          <w:szCs w:val="20"/>
        </w:rPr>
        <w:t xml:space="preserve">, “Forecasting of electricity losses using polynomial regression methods,” </w:t>
      </w:r>
      <w:r w:rsidRPr="00710008">
        <w:rPr>
          <w:rFonts w:ascii="Times New Roman" w:eastAsia="Times New Roman" w:hAnsi="Times New Roman" w:cs="Times New Roman"/>
          <w:i/>
          <w:iCs/>
          <w:sz w:val="20"/>
          <w:szCs w:val="20"/>
        </w:rPr>
        <w:t>AIP Conf. Proc.</w:t>
      </w:r>
      <w:r w:rsidRPr="00710008">
        <w:rPr>
          <w:rFonts w:ascii="Times New Roman" w:eastAsia="Times New Roman" w:hAnsi="Times New Roman" w:cs="Times New Roman"/>
          <w:sz w:val="20"/>
          <w:szCs w:val="20"/>
        </w:rPr>
        <w:t xml:space="preserve"> 2897, 030014 (2025).</w:t>
      </w:r>
    </w:p>
    <w:p w14:paraId="4DE4E3B4" w14:textId="77777777" w:rsidR="00326ADB" w:rsidRPr="00710008" w:rsidRDefault="00326ADB" w:rsidP="00710008">
      <w:pPr>
        <w:numPr>
          <w:ilvl w:val="0"/>
          <w:numId w:val="11"/>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710008">
        <w:rPr>
          <w:rFonts w:ascii="Times New Roman" w:eastAsia="Times New Roman" w:hAnsi="Times New Roman" w:cs="Times New Roman"/>
          <w:sz w:val="20"/>
          <w:szCs w:val="20"/>
        </w:rPr>
        <w:t xml:space="preserve">D. </w:t>
      </w:r>
      <w:proofErr w:type="spellStart"/>
      <w:r w:rsidRPr="00710008">
        <w:rPr>
          <w:rFonts w:ascii="Times New Roman" w:eastAsia="Times New Roman" w:hAnsi="Times New Roman" w:cs="Times New Roman"/>
          <w:sz w:val="20"/>
          <w:szCs w:val="20"/>
        </w:rPr>
        <w:t>Jalilova</w:t>
      </w:r>
      <w:proofErr w:type="spellEnd"/>
      <w:r w:rsidRPr="00710008">
        <w:rPr>
          <w:rFonts w:ascii="Times New Roman" w:eastAsia="Times New Roman" w:hAnsi="Times New Roman" w:cs="Times New Roman"/>
          <w:sz w:val="20"/>
          <w:szCs w:val="20"/>
        </w:rPr>
        <w:t xml:space="preserve">, R. </w:t>
      </w:r>
      <w:proofErr w:type="spellStart"/>
      <w:r w:rsidRPr="00710008">
        <w:rPr>
          <w:rFonts w:ascii="Times New Roman" w:eastAsia="Times New Roman" w:hAnsi="Times New Roman" w:cs="Times New Roman"/>
          <w:sz w:val="20"/>
          <w:szCs w:val="20"/>
        </w:rPr>
        <w:t>Kurbonova</w:t>
      </w:r>
      <w:proofErr w:type="spellEnd"/>
      <w:r w:rsidRPr="00710008">
        <w:rPr>
          <w:rFonts w:ascii="Times New Roman" w:eastAsia="Times New Roman" w:hAnsi="Times New Roman" w:cs="Times New Roman"/>
          <w:sz w:val="20"/>
          <w:szCs w:val="20"/>
        </w:rPr>
        <w:t xml:space="preserve">, M. </w:t>
      </w:r>
      <w:proofErr w:type="spellStart"/>
      <w:r w:rsidRPr="00710008">
        <w:rPr>
          <w:rFonts w:ascii="Times New Roman" w:eastAsia="Times New Roman" w:hAnsi="Times New Roman" w:cs="Times New Roman"/>
          <w:sz w:val="20"/>
          <w:szCs w:val="20"/>
        </w:rPr>
        <w:t>Erejepov</w:t>
      </w:r>
      <w:proofErr w:type="spellEnd"/>
      <w:r w:rsidRPr="00710008">
        <w:rPr>
          <w:rFonts w:ascii="Times New Roman" w:eastAsia="Times New Roman" w:hAnsi="Times New Roman" w:cs="Times New Roman"/>
          <w:sz w:val="20"/>
          <w:szCs w:val="20"/>
        </w:rPr>
        <w:t xml:space="preserve">, and L. </w:t>
      </w:r>
      <w:proofErr w:type="spellStart"/>
      <w:r w:rsidRPr="00710008">
        <w:rPr>
          <w:rFonts w:ascii="Times New Roman" w:eastAsia="Times New Roman" w:hAnsi="Times New Roman" w:cs="Times New Roman"/>
          <w:sz w:val="20"/>
          <w:szCs w:val="20"/>
        </w:rPr>
        <w:t>Nematov</w:t>
      </w:r>
      <w:proofErr w:type="spellEnd"/>
      <w:r w:rsidRPr="00710008">
        <w:rPr>
          <w:rFonts w:ascii="Times New Roman" w:eastAsia="Times New Roman" w:hAnsi="Times New Roman" w:cs="Times New Roman"/>
          <w:sz w:val="20"/>
          <w:szCs w:val="20"/>
        </w:rPr>
        <w:t xml:space="preserve">, “Development and analysis of logical scenario design in virtual reality laboratories for higher education institutions,” </w:t>
      </w:r>
      <w:r w:rsidRPr="00710008">
        <w:rPr>
          <w:rFonts w:ascii="Times New Roman" w:eastAsia="Times New Roman" w:hAnsi="Times New Roman" w:cs="Times New Roman"/>
          <w:i/>
          <w:iCs/>
          <w:sz w:val="20"/>
          <w:szCs w:val="20"/>
        </w:rPr>
        <w:t>E3S Web Conf.</w:t>
      </w:r>
      <w:r w:rsidRPr="00710008">
        <w:rPr>
          <w:rFonts w:ascii="Times New Roman" w:eastAsia="Times New Roman" w:hAnsi="Times New Roman" w:cs="Times New Roman"/>
          <w:sz w:val="20"/>
          <w:szCs w:val="20"/>
        </w:rPr>
        <w:t xml:space="preserve"> 461, 01097 (2023).</w:t>
      </w:r>
    </w:p>
    <w:p w14:paraId="610047FB" w14:textId="77777777" w:rsidR="00326ADB" w:rsidRPr="00710008" w:rsidRDefault="00326ADB" w:rsidP="00710008">
      <w:pPr>
        <w:numPr>
          <w:ilvl w:val="0"/>
          <w:numId w:val="11"/>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710008">
        <w:rPr>
          <w:rFonts w:ascii="Times New Roman" w:eastAsia="Times New Roman" w:hAnsi="Times New Roman" w:cs="Times New Roman"/>
          <w:sz w:val="20"/>
          <w:szCs w:val="20"/>
        </w:rPr>
        <w:t xml:space="preserve">L. Zhang, Y. </w:t>
      </w:r>
      <w:proofErr w:type="spellStart"/>
      <w:r w:rsidRPr="00710008">
        <w:rPr>
          <w:rFonts w:ascii="Times New Roman" w:eastAsia="Times New Roman" w:hAnsi="Times New Roman" w:cs="Times New Roman"/>
          <w:sz w:val="20"/>
          <w:szCs w:val="20"/>
        </w:rPr>
        <w:t>Xie</w:t>
      </w:r>
      <w:proofErr w:type="spellEnd"/>
      <w:r w:rsidRPr="00710008">
        <w:rPr>
          <w:rFonts w:ascii="Times New Roman" w:eastAsia="Times New Roman" w:hAnsi="Times New Roman" w:cs="Times New Roman"/>
          <w:sz w:val="20"/>
          <w:szCs w:val="20"/>
        </w:rPr>
        <w:t>, and S. Wang, “</w:t>
      </w:r>
      <w:proofErr w:type="spellStart"/>
      <w:r w:rsidRPr="00710008">
        <w:rPr>
          <w:rFonts w:ascii="Times New Roman" w:eastAsia="Times New Roman" w:hAnsi="Times New Roman" w:cs="Times New Roman"/>
          <w:sz w:val="20"/>
          <w:szCs w:val="20"/>
        </w:rPr>
        <w:t>Spatio</w:t>
      </w:r>
      <w:proofErr w:type="spellEnd"/>
      <w:r w:rsidRPr="00710008">
        <w:rPr>
          <w:rFonts w:ascii="Times New Roman" w:eastAsia="Times New Roman" w:hAnsi="Times New Roman" w:cs="Times New Roman"/>
          <w:sz w:val="20"/>
          <w:szCs w:val="20"/>
        </w:rPr>
        <w:t xml:space="preserve">-temporal graph neural networks for energy system forecasting,” </w:t>
      </w:r>
      <w:r w:rsidRPr="00710008">
        <w:rPr>
          <w:rFonts w:ascii="Times New Roman" w:eastAsia="Times New Roman" w:hAnsi="Times New Roman" w:cs="Times New Roman"/>
          <w:i/>
          <w:iCs/>
          <w:sz w:val="20"/>
          <w:szCs w:val="20"/>
        </w:rPr>
        <w:t>IEEE Trans. Smart Grid</w:t>
      </w:r>
      <w:r w:rsidRPr="00710008">
        <w:rPr>
          <w:rFonts w:ascii="Times New Roman" w:eastAsia="Times New Roman" w:hAnsi="Times New Roman" w:cs="Times New Roman"/>
          <w:sz w:val="20"/>
          <w:szCs w:val="20"/>
        </w:rPr>
        <w:t xml:space="preserve"> 12(4), 3456–3467 (2021).</w:t>
      </w:r>
    </w:p>
    <w:p w14:paraId="62D64EFC" w14:textId="77777777" w:rsidR="00326ADB" w:rsidRPr="00710008" w:rsidRDefault="00326ADB" w:rsidP="00710008">
      <w:pPr>
        <w:numPr>
          <w:ilvl w:val="0"/>
          <w:numId w:val="11"/>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710008">
        <w:rPr>
          <w:rFonts w:ascii="Times New Roman" w:eastAsia="Times New Roman" w:hAnsi="Times New Roman" w:cs="Times New Roman"/>
          <w:sz w:val="20"/>
          <w:szCs w:val="20"/>
        </w:rPr>
        <w:t xml:space="preserve">A. K. Mishra and V. P. Singh, “Hydrologic sensitivity of mountainous river basins under climate change,” </w:t>
      </w:r>
      <w:r w:rsidRPr="00710008">
        <w:rPr>
          <w:rFonts w:ascii="Times New Roman" w:eastAsia="Times New Roman" w:hAnsi="Times New Roman" w:cs="Times New Roman"/>
          <w:i/>
          <w:iCs/>
          <w:sz w:val="20"/>
          <w:szCs w:val="20"/>
        </w:rPr>
        <w:t>J. Hydrology</w:t>
      </w:r>
      <w:r w:rsidRPr="00710008">
        <w:rPr>
          <w:rFonts w:ascii="Times New Roman" w:eastAsia="Times New Roman" w:hAnsi="Times New Roman" w:cs="Times New Roman"/>
          <w:sz w:val="20"/>
          <w:szCs w:val="20"/>
        </w:rPr>
        <w:t xml:space="preserve"> 575, 123–135 (2019).</w:t>
      </w:r>
    </w:p>
    <w:p w14:paraId="52A0FB7A" w14:textId="77777777" w:rsidR="00326ADB" w:rsidRPr="00710008" w:rsidRDefault="00326ADB" w:rsidP="00710008">
      <w:pPr>
        <w:numPr>
          <w:ilvl w:val="0"/>
          <w:numId w:val="11"/>
        </w:numPr>
        <w:tabs>
          <w:tab w:val="left" w:pos="284"/>
        </w:tabs>
        <w:spacing w:before="100" w:beforeAutospacing="1" w:after="100" w:afterAutospacing="1" w:line="240" w:lineRule="auto"/>
        <w:ind w:left="0" w:firstLine="0"/>
        <w:jc w:val="both"/>
        <w:rPr>
          <w:rFonts w:ascii="Times New Roman" w:eastAsia="Times New Roman" w:hAnsi="Times New Roman" w:cs="Times New Roman"/>
          <w:sz w:val="20"/>
          <w:szCs w:val="20"/>
        </w:rPr>
      </w:pPr>
      <w:r w:rsidRPr="00710008">
        <w:rPr>
          <w:rFonts w:ascii="Times New Roman" w:eastAsia="Times New Roman" w:hAnsi="Times New Roman" w:cs="Times New Roman"/>
          <w:sz w:val="20"/>
          <w:szCs w:val="20"/>
        </w:rPr>
        <w:t xml:space="preserve">International Energy Agency, </w:t>
      </w:r>
      <w:r w:rsidRPr="00710008">
        <w:rPr>
          <w:rFonts w:ascii="Times New Roman" w:eastAsia="Times New Roman" w:hAnsi="Times New Roman" w:cs="Times New Roman"/>
          <w:i/>
          <w:iCs/>
          <w:sz w:val="20"/>
          <w:szCs w:val="20"/>
        </w:rPr>
        <w:t>Hydropower Special Market Report</w:t>
      </w:r>
      <w:r w:rsidRPr="00710008">
        <w:rPr>
          <w:rFonts w:ascii="Times New Roman" w:eastAsia="Times New Roman" w:hAnsi="Times New Roman" w:cs="Times New Roman"/>
          <w:sz w:val="20"/>
          <w:szCs w:val="20"/>
        </w:rPr>
        <w:t xml:space="preserve"> (IEA Publications, Paris, 2023).</w:t>
      </w:r>
    </w:p>
    <w:p w14:paraId="1BCC3E55" w14:textId="174764EA" w:rsidR="007C5CA8" w:rsidRPr="00710008" w:rsidRDefault="007C5CA8" w:rsidP="00710008">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710008">
        <w:rPr>
          <w:rFonts w:ascii="Times New Roman" w:eastAsia="Times New Roman" w:hAnsi="Times New Roman" w:cs="Times New Roman"/>
          <w:sz w:val="20"/>
          <w:szCs w:val="20"/>
        </w:rPr>
        <w:t xml:space="preserve">F. A. </w:t>
      </w:r>
      <w:proofErr w:type="spellStart"/>
      <w:r w:rsidRPr="00710008">
        <w:rPr>
          <w:rFonts w:ascii="Times New Roman" w:eastAsia="Times New Roman" w:hAnsi="Times New Roman" w:cs="Times New Roman"/>
          <w:sz w:val="20"/>
          <w:szCs w:val="20"/>
        </w:rPr>
        <w:t>Khoshimov</w:t>
      </w:r>
      <w:proofErr w:type="spellEnd"/>
      <w:r w:rsidRPr="00710008">
        <w:rPr>
          <w:rFonts w:ascii="Times New Roman" w:eastAsia="Times New Roman" w:hAnsi="Times New Roman" w:cs="Times New Roman"/>
          <w:sz w:val="20"/>
          <w:szCs w:val="20"/>
        </w:rPr>
        <w:t xml:space="preserve">, I. U. </w:t>
      </w:r>
      <w:proofErr w:type="spellStart"/>
      <w:r w:rsidRPr="00710008">
        <w:rPr>
          <w:rFonts w:ascii="Times New Roman" w:eastAsia="Times New Roman" w:hAnsi="Times New Roman" w:cs="Times New Roman"/>
          <w:sz w:val="20"/>
          <w:szCs w:val="20"/>
        </w:rPr>
        <w:t>Rakhmonov</w:t>
      </w:r>
      <w:proofErr w:type="spellEnd"/>
      <w:r w:rsidRPr="00710008">
        <w:rPr>
          <w:rFonts w:ascii="Times New Roman" w:eastAsia="Times New Roman" w:hAnsi="Times New Roman" w:cs="Times New Roman"/>
          <w:sz w:val="20"/>
          <w:szCs w:val="20"/>
        </w:rPr>
        <w:t xml:space="preserve">, and N. N. </w:t>
      </w:r>
      <w:proofErr w:type="spellStart"/>
      <w:r w:rsidRPr="00710008">
        <w:rPr>
          <w:rFonts w:ascii="Times New Roman" w:eastAsia="Times New Roman" w:hAnsi="Times New Roman" w:cs="Times New Roman"/>
          <w:sz w:val="20"/>
          <w:szCs w:val="20"/>
        </w:rPr>
        <w:t>Kurbonov</w:t>
      </w:r>
      <w:proofErr w:type="spellEnd"/>
      <w:r w:rsidRPr="00710008">
        <w:rPr>
          <w:rFonts w:ascii="Times New Roman" w:eastAsia="Times New Roman" w:hAnsi="Times New Roman" w:cs="Times New Roman"/>
          <w:sz w:val="20"/>
          <w:szCs w:val="20"/>
        </w:rPr>
        <w:t xml:space="preserve">, </w:t>
      </w:r>
      <w:r w:rsidRPr="00710008">
        <w:rPr>
          <w:rFonts w:ascii="Times New Roman" w:eastAsia="Times New Roman" w:hAnsi="Times New Roman" w:cs="Times New Roman"/>
          <w:i/>
          <w:iCs/>
          <w:sz w:val="20"/>
          <w:szCs w:val="20"/>
        </w:rPr>
        <w:t>Analysis of automated software for monitoring energy consumption and efficiency of industrial enterprises</w:t>
      </w:r>
      <w:r w:rsidRPr="00710008">
        <w:rPr>
          <w:rFonts w:ascii="Times New Roman" w:eastAsia="Times New Roman" w:hAnsi="Times New Roman" w:cs="Times New Roman"/>
          <w:sz w:val="20"/>
          <w:szCs w:val="20"/>
        </w:rPr>
        <w:t>, E3S Web of Conferences 216, 01178 (2020)</w:t>
      </w:r>
    </w:p>
    <w:p w14:paraId="4BBDEB94" w14:textId="22CCE0CB" w:rsidR="00825935" w:rsidRPr="00710008" w:rsidRDefault="00B16EEA" w:rsidP="00710008">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710008">
        <w:rPr>
          <w:rFonts w:ascii="Times New Roman" w:eastAsia="Times New Roman" w:hAnsi="Times New Roman" w:cs="Times New Roman"/>
          <w:sz w:val="20"/>
          <w:szCs w:val="20"/>
        </w:rPr>
        <w:t xml:space="preserve">S. </w:t>
      </w:r>
      <w:proofErr w:type="spellStart"/>
      <w:r w:rsidRPr="00710008">
        <w:rPr>
          <w:rFonts w:ascii="Times New Roman" w:eastAsia="Times New Roman" w:hAnsi="Times New Roman" w:cs="Times New Roman"/>
          <w:sz w:val="20"/>
          <w:szCs w:val="20"/>
        </w:rPr>
        <w:t>Sagiroglu</w:t>
      </w:r>
      <w:proofErr w:type="spellEnd"/>
      <w:r w:rsidRPr="00710008">
        <w:rPr>
          <w:rFonts w:ascii="Times New Roman" w:eastAsia="Times New Roman" w:hAnsi="Times New Roman" w:cs="Times New Roman"/>
          <w:sz w:val="20"/>
          <w:szCs w:val="20"/>
        </w:rPr>
        <w:t xml:space="preserve"> and D. </w:t>
      </w:r>
      <w:proofErr w:type="spellStart"/>
      <w:r w:rsidRPr="00710008">
        <w:rPr>
          <w:rFonts w:ascii="Times New Roman" w:eastAsia="Times New Roman" w:hAnsi="Times New Roman" w:cs="Times New Roman"/>
          <w:sz w:val="20"/>
          <w:szCs w:val="20"/>
        </w:rPr>
        <w:t>Sinanc</w:t>
      </w:r>
      <w:proofErr w:type="spellEnd"/>
      <w:r w:rsidRPr="00710008">
        <w:rPr>
          <w:rFonts w:ascii="Times New Roman" w:eastAsia="Times New Roman" w:hAnsi="Times New Roman" w:cs="Times New Roman"/>
          <w:sz w:val="20"/>
          <w:szCs w:val="20"/>
        </w:rPr>
        <w:t xml:space="preserve">, “Big data: A review,” in 2013 Int. Conf. Collaboration Technologies and Systems (CTS) (IEEE, San Diego, CA, 2013), pp. 42–47. </w:t>
      </w:r>
      <w:hyperlink r:id="rId8" w:history="1">
        <w:r w:rsidR="007C5CA8" w:rsidRPr="00710008">
          <w:rPr>
            <w:rStyle w:val="a6"/>
            <w:rFonts w:ascii="Times New Roman" w:eastAsia="Times New Roman" w:hAnsi="Times New Roman" w:cs="Times New Roman"/>
            <w:sz w:val="20"/>
            <w:szCs w:val="20"/>
          </w:rPr>
          <w:t>https://doi.org/10.1109/CTS.2013.6567202</w:t>
        </w:r>
      </w:hyperlink>
    </w:p>
    <w:p w14:paraId="641E6B1E" w14:textId="60F5B7FE" w:rsidR="007C5CA8" w:rsidRPr="00710008" w:rsidRDefault="007C5CA8" w:rsidP="00710008">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710008">
        <w:rPr>
          <w:rFonts w:ascii="Times New Roman" w:eastAsia="Times New Roman" w:hAnsi="Times New Roman" w:cs="Times New Roman"/>
          <w:sz w:val="20"/>
          <w:szCs w:val="20"/>
        </w:rPr>
        <w:t xml:space="preserve">N. </w:t>
      </w:r>
      <w:proofErr w:type="spellStart"/>
      <w:r w:rsidRPr="00710008">
        <w:rPr>
          <w:rFonts w:ascii="Times New Roman" w:eastAsia="Times New Roman" w:hAnsi="Times New Roman" w:cs="Times New Roman"/>
          <w:sz w:val="20"/>
          <w:szCs w:val="20"/>
        </w:rPr>
        <w:t>Rakhmonov</w:t>
      </w:r>
      <w:proofErr w:type="spellEnd"/>
      <w:r w:rsidRPr="00710008">
        <w:rPr>
          <w:rFonts w:ascii="Times New Roman" w:eastAsia="Times New Roman" w:hAnsi="Times New Roman" w:cs="Times New Roman"/>
          <w:sz w:val="20"/>
          <w:szCs w:val="20"/>
        </w:rPr>
        <w:t xml:space="preserve"> and </w:t>
      </w:r>
      <w:proofErr w:type="spellStart"/>
      <w:r w:rsidRPr="00710008">
        <w:rPr>
          <w:rFonts w:ascii="Times New Roman" w:eastAsia="Times New Roman" w:hAnsi="Times New Roman" w:cs="Times New Roman"/>
          <w:sz w:val="20"/>
          <w:szCs w:val="20"/>
        </w:rPr>
        <w:t>Kh</w:t>
      </w:r>
      <w:proofErr w:type="spellEnd"/>
      <w:r w:rsidRPr="00710008">
        <w:rPr>
          <w:rFonts w:ascii="Times New Roman" w:eastAsia="Times New Roman" w:hAnsi="Times New Roman" w:cs="Times New Roman"/>
          <w:sz w:val="20"/>
          <w:szCs w:val="20"/>
        </w:rPr>
        <w:t xml:space="preserve">. </w:t>
      </w:r>
      <w:proofErr w:type="spellStart"/>
      <w:r w:rsidRPr="00710008">
        <w:rPr>
          <w:rFonts w:ascii="Times New Roman" w:eastAsia="Times New Roman" w:hAnsi="Times New Roman" w:cs="Times New Roman"/>
          <w:sz w:val="20"/>
          <w:szCs w:val="20"/>
        </w:rPr>
        <w:t>Tolibjonov</w:t>
      </w:r>
      <w:proofErr w:type="spellEnd"/>
      <w:r w:rsidRPr="00710008">
        <w:rPr>
          <w:rFonts w:ascii="Times New Roman" w:eastAsia="Times New Roman" w:hAnsi="Times New Roman" w:cs="Times New Roman"/>
          <w:sz w:val="20"/>
          <w:szCs w:val="20"/>
        </w:rPr>
        <w:t xml:space="preserve">, </w:t>
      </w:r>
      <w:proofErr w:type="gramStart"/>
      <w:r w:rsidRPr="00710008">
        <w:rPr>
          <w:rFonts w:ascii="Times New Roman" w:eastAsia="Times New Roman" w:hAnsi="Times New Roman" w:cs="Times New Roman"/>
          <w:i/>
          <w:iCs/>
          <w:sz w:val="20"/>
          <w:szCs w:val="20"/>
        </w:rPr>
        <w:t>The</w:t>
      </w:r>
      <w:proofErr w:type="gramEnd"/>
      <w:r w:rsidRPr="00710008">
        <w:rPr>
          <w:rFonts w:ascii="Times New Roman" w:eastAsia="Times New Roman" w:hAnsi="Times New Roman" w:cs="Times New Roman"/>
          <w:i/>
          <w:iCs/>
          <w:sz w:val="20"/>
          <w:szCs w:val="20"/>
        </w:rPr>
        <w:t xml:space="preserve"> importance of using the big data system and its prospects</w:t>
      </w:r>
      <w:r w:rsidRPr="00710008">
        <w:rPr>
          <w:rFonts w:ascii="Times New Roman" w:eastAsia="Times New Roman" w:hAnsi="Times New Roman" w:cs="Times New Roman"/>
          <w:sz w:val="20"/>
          <w:szCs w:val="20"/>
        </w:rPr>
        <w:t xml:space="preserve">, </w:t>
      </w:r>
      <w:r w:rsidRPr="00710008">
        <w:rPr>
          <w:rFonts w:ascii="Times New Roman" w:eastAsia="Times New Roman" w:hAnsi="Times New Roman" w:cs="Times New Roman"/>
          <w:i/>
          <w:iCs/>
          <w:sz w:val="20"/>
          <w:szCs w:val="20"/>
        </w:rPr>
        <w:t>International Engineering Journal For Research &amp; Development</w:t>
      </w:r>
      <w:r w:rsidRPr="00710008">
        <w:rPr>
          <w:rFonts w:ascii="Times New Roman" w:eastAsia="Times New Roman" w:hAnsi="Times New Roman" w:cs="Times New Roman"/>
          <w:sz w:val="20"/>
          <w:szCs w:val="20"/>
        </w:rPr>
        <w:t xml:space="preserve"> 6(4) (2022).</w:t>
      </w:r>
    </w:p>
    <w:sectPr w:rsidR="007C5CA8" w:rsidRPr="00710008" w:rsidSect="001E6294">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76E"/>
    <w:multiLevelType w:val="multilevel"/>
    <w:tmpl w:val="B580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E304B"/>
    <w:multiLevelType w:val="multilevel"/>
    <w:tmpl w:val="B00A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A5ACF"/>
    <w:multiLevelType w:val="multilevel"/>
    <w:tmpl w:val="0A84D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718DF"/>
    <w:multiLevelType w:val="multilevel"/>
    <w:tmpl w:val="AD70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E0F45"/>
    <w:multiLevelType w:val="hybridMultilevel"/>
    <w:tmpl w:val="193EE73C"/>
    <w:lvl w:ilvl="0" w:tplc="0409000F">
      <w:start w:val="1"/>
      <w:numFmt w:val="decimal"/>
      <w:lvlText w:val="%1."/>
      <w:lvlJc w:val="left"/>
      <w:pPr>
        <w:ind w:left="362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872F1"/>
    <w:multiLevelType w:val="hybridMultilevel"/>
    <w:tmpl w:val="5ACA93AC"/>
    <w:lvl w:ilvl="0" w:tplc="0409000F">
      <w:start w:val="1"/>
      <w:numFmt w:val="decimal"/>
      <w:lvlText w:val="%1."/>
      <w:lvlJc w:val="left"/>
      <w:pPr>
        <w:ind w:left="4613" w:hanging="360"/>
      </w:pPr>
    </w:lvl>
    <w:lvl w:ilvl="1" w:tplc="0409000F">
      <w:start w:val="1"/>
      <w:numFmt w:val="decimal"/>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6" w15:restartNumberingAfterBreak="0">
    <w:nsid w:val="1D312687"/>
    <w:multiLevelType w:val="hybridMultilevel"/>
    <w:tmpl w:val="CF40559A"/>
    <w:lvl w:ilvl="0" w:tplc="64E4F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035AE"/>
    <w:multiLevelType w:val="multilevel"/>
    <w:tmpl w:val="291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9"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0" w15:restartNumberingAfterBreak="0">
    <w:nsid w:val="235C2E62"/>
    <w:multiLevelType w:val="multilevel"/>
    <w:tmpl w:val="4AFC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03A26"/>
    <w:multiLevelType w:val="multilevel"/>
    <w:tmpl w:val="FE5CD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BE533B"/>
    <w:multiLevelType w:val="multilevel"/>
    <w:tmpl w:val="90B27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F903D3"/>
    <w:multiLevelType w:val="multilevel"/>
    <w:tmpl w:val="7D1E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C666AC"/>
    <w:multiLevelType w:val="multilevel"/>
    <w:tmpl w:val="2668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75C27"/>
    <w:multiLevelType w:val="hybridMultilevel"/>
    <w:tmpl w:val="020C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453B41"/>
    <w:multiLevelType w:val="hybridMultilevel"/>
    <w:tmpl w:val="EE1C3494"/>
    <w:lvl w:ilvl="0" w:tplc="0409000F">
      <w:start w:val="1"/>
      <w:numFmt w:val="decimal"/>
      <w:lvlText w:val="%1."/>
      <w:lvlJc w:val="left"/>
      <w:pPr>
        <w:ind w:left="3981" w:hanging="360"/>
      </w:pPr>
    </w:lvl>
    <w:lvl w:ilvl="1" w:tplc="04090019" w:tentative="1">
      <w:start w:val="1"/>
      <w:numFmt w:val="lowerLetter"/>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19" w15:restartNumberingAfterBreak="0">
    <w:nsid w:val="5BCC7BBC"/>
    <w:multiLevelType w:val="hybridMultilevel"/>
    <w:tmpl w:val="DDD282B6"/>
    <w:lvl w:ilvl="0" w:tplc="962EDE0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A4D3DC8"/>
    <w:multiLevelType w:val="multilevel"/>
    <w:tmpl w:val="AEA6B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B12C5B"/>
    <w:multiLevelType w:val="hybridMultilevel"/>
    <w:tmpl w:val="862CA9E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1670AF"/>
    <w:multiLevelType w:val="hybridMultilevel"/>
    <w:tmpl w:val="08342882"/>
    <w:lvl w:ilvl="0" w:tplc="0F3CF470">
      <w:numFmt w:val="bullet"/>
      <w:lvlText w:val=""/>
      <w:lvlJc w:val="left"/>
      <w:pPr>
        <w:ind w:left="3621" w:hanging="360"/>
      </w:pPr>
      <w:rPr>
        <w:rFonts w:ascii="Symbol" w:eastAsia="Times New Roman" w:hAnsi="Symbol"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num w:numId="1">
    <w:abstractNumId w:val="9"/>
  </w:num>
  <w:num w:numId="2">
    <w:abstractNumId w:val="8"/>
  </w:num>
  <w:num w:numId="3">
    <w:abstractNumId w:val="21"/>
  </w:num>
  <w:num w:numId="4">
    <w:abstractNumId w:val="14"/>
  </w:num>
  <w:num w:numId="5">
    <w:abstractNumId w:val="12"/>
  </w:num>
  <w:num w:numId="6">
    <w:abstractNumId w:val="4"/>
  </w:num>
  <w:num w:numId="7">
    <w:abstractNumId w:val="20"/>
  </w:num>
  <w:num w:numId="8">
    <w:abstractNumId w:val="0"/>
  </w:num>
  <w:num w:numId="9">
    <w:abstractNumId w:val="18"/>
  </w:num>
  <w:num w:numId="10">
    <w:abstractNumId w:val="24"/>
  </w:num>
  <w:num w:numId="11">
    <w:abstractNumId w:val="5"/>
  </w:num>
  <w:num w:numId="12">
    <w:abstractNumId w:val="1"/>
  </w:num>
  <w:num w:numId="13">
    <w:abstractNumId w:val="7"/>
  </w:num>
  <w:num w:numId="14">
    <w:abstractNumId w:val="10"/>
  </w:num>
  <w:num w:numId="15">
    <w:abstractNumId w:val="15"/>
  </w:num>
  <w:num w:numId="16">
    <w:abstractNumId w:val="11"/>
  </w:num>
  <w:num w:numId="17">
    <w:abstractNumId w:val="17"/>
  </w:num>
  <w:num w:numId="18">
    <w:abstractNumId w:val="6"/>
  </w:num>
  <w:num w:numId="19">
    <w:abstractNumId w:val="23"/>
  </w:num>
  <w:num w:numId="20">
    <w:abstractNumId w:val="19"/>
  </w:num>
  <w:num w:numId="21">
    <w:abstractNumId w:val="2"/>
  </w:num>
  <w:num w:numId="22">
    <w:abstractNumId w:val="3"/>
  </w:num>
  <w:num w:numId="23">
    <w:abstractNumId w:val="16"/>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0F42"/>
    <w:rsid w:val="00001210"/>
    <w:rsid w:val="00001E82"/>
    <w:rsid w:val="00002F5E"/>
    <w:rsid w:val="0000392B"/>
    <w:rsid w:val="00003FC1"/>
    <w:rsid w:val="00004967"/>
    <w:rsid w:val="00004CED"/>
    <w:rsid w:val="00004F95"/>
    <w:rsid w:val="000059A6"/>
    <w:rsid w:val="00005DAE"/>
    <w:rsid w:val="00006399"/>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20836"/>
    <w:rsid w:val="0002167A"/>
    <w:rsid w:val="0002179C"/>
    <w:rsid w:val="00021B81"/>
    <w:rsid w:val="00021CB5"/>
    <w:rsid w:val="0002386B"/>
    <w:rsid w:val="00025826"/>
    <w:rsid w:val="00025BFC"/>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61A"/>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16"/>
    <w:rsid w:val="00090957"/>
    <w:rsid w:val="0009183C"/>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1B5E"/>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684"/>
    <w:rsid w:val="000C7ADC"/>
    <w:rsid w:val="000D036C"/>
    <w:rsid w:val="000D0462"/>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D724F"/>
    <w:rsid w:val="000E0054"/>
    <w:rsid w:val="000E010D"/>
    <w:rsid w:val="000E01E2"/>
    <w:rsid w:val="000E0454"/>
    <w:rsid w:val="000E0BE8"/>
    <w:rsid w:val="000E0EDC"/>
    <w:rsid w:val="000E0F02"/>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0486"/>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6EB2"/>
    <w:rsid w:val="0010742E"/>
    <w:rsid w:val="001078B0"/>
    <w:rsid w:val="001078B6"/>
    <w:rsid w:val="00107B44"/>
    <w:rsid w:val="0011008A"/>
    <w:rsid w:val="001106E1"/>
    <w:rsid w:val="00111777"/>
    <w:rsid w:val="00111F3B"/>
    <w:rsid w:val="001123C1"/>
    <w:rsid w:val="001128A7"/>
    <w:rsid w:val="0011394C"/>
    <w:rsid w:val="00113B35"/>
    <w:rsid w:val="0011562E"/>
    <w:rsid w:val="001156BA"/>
    <w:rsid w:val="0011601F"/>
    <w:rsid w:val="00116347"/>
    <w:rsid w:val="001170CC"/>
    <w:rsid w:val="001170F0"/>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4E0D"/>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48F"/>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61EE"/>
    <w:rsid w:val="001578A4"/>
    <w:rsid w:val="001579FA"/>
    <w:rsid w:val="00157B44"/>
    <w:rsid w:val="00157CAA"/>
    <w:rsid w:val="00157DFF"/>
    <w:rsid w:val="00160935"/>
    <w:rsid w:val="00160BAD"/>
    <w:rsid w:val="00161B28"/>
    <w:rsid w:val="00161E99"/>
    <w:rsid w:val="00162073"/>
    <w:rsid w:val="00162CC2"/>
    <w:rsid w:val="00162CEA"/>
    <w:rsid w:val="001640B7"/>
    <w:rsid w:val="00164289"/>
    <w:rsid w:val="00164412"/>
    <w:rsid w:val="001647D7"/>
    <w:rsid w:val="001676D6"/>
    <w:rsid w:val="00170358"/>
    <w:rsid w:val="00170539"/>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A15"/>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47A7"/>
    <w:rsid w:val="001953ED"/>
    <w:rsid w:val="00195FB6"/>
    <w:rsid w:val="00196038"/>
    <w:rsid w:val="001970E3"/>
    <w:rsid w:val="00197489"/>
    <w:rsid w:val="001979E4"/>
    <w:rsid w:val="00197CC4"/>
    <w:rsid w:val="001A0103"/>
    <w:rsid w:val="001A059C"/>
    <w:rsid w:val="001A0C96"/>
    <w:rsid w:val="001A10D5"/>
    <w:rsid w:val="001A115A"/>
    <w:rsid w:val="001A125C"/>
    <w:rsid w:val="001A16A4"/>
    <w:rsid w:val="001A18EF"/>
    <w:rsid w:val="001A21DD"/>
    <w:rsid w:val="001A3B20"/>
    <w:rsid w:val="001A3BD4"/>
    <w:rsid w:val="001A3F0C"/>
    <w:rsid w:val="001A5E28"/>
    <w:rsid w:val="001A5F63"/>
    <w:rsid w:val="001A6CE9"/>
    <w:rsid w:val="001A72E4"/>
    <w:rsid w:val="001A792D"/>
    <w:rsid w:val="001B0396"/>
    <w:rsid w:val="001B066C"/>
    <w:rsid w:val="001B0C73"/>
    <w:rsid w:val="001B1B9B"/>
    <w:rsid w:val="001B203F"/>
    <w:rsid w:val="001B25E1"/>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0AB"/>
    <w:rsid w:val="001D2545"/>
    <w:rsid w:val="001D2A0D"/>
    <w:rsid w:val="001D3653"/>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294"/>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315"/>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025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3C86"/>
    <w:rsid w:val="002341BE"/>
    <w:rsid w:val="002349AF"/>
    <w:rsid w:val="00234E13"/>
    <w:rsid w:val="00234E94"/>
    <w:rsid w:val="0023614C"/>
    <w:rsid w:val="002361CA"/>
    <w:rsid w:val="00236471"/>
    <w:rsid w:val="00236868"/>
    <w:rsid w:val="0024023C"/>
    <w:rsid w:val="0024058E"/>
    <w:rsid w:val="00241D5C"/>
    <w:rsid w:val="002421E1"/>
    <w:rsid w:val="002431C3"/>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6F02"/>
    <w:rsid w:val="00257072"/>
    <w:rsid w:val="002570D6"/>
    <w:rsid w:val="0025712A"/>
    <w:rsid w:val="0026084E"/>
    <w:rsid w:val="00260E5D"/>
    <w:rsid w:val="002617B0"/>
    <w:rsid w:val="002618B8"/>
    <w:rsid w:val="00261A2E"/>
    <w:rsid w:val="00262495"/>
    <w:rsid w:val="00263301"/>
    <w:rsid w:val="00263E08"/>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3A7"/>
    <w:rsid w:val="00273E0D"/>
    <w:rsid w:val="00274528"/>
    <w:rsid w:val="00274773"/>
    <w:rsid w:val="00275243"/>
    <w:rsid w:val="0027529D"/>
    <w:rsid w:val="002769EE"/>
    <w:rsid w:val="00276B51"/>
    <w:rsid w:val="00276BAA"/>
    <w:rsid w:val="002800AF"/>
    <w:rsid w:val="00280145"/>
    <w:rsid w:val="0028087A"/>
    <w:rsid w:val="002819CB"/>
    <w:rsid w:val="00281CE0"/>
    <w:rsid w:val="00282402"/>
    <w:rsid w:val="00282584"/>
    <w:rsid w:val="00282A01"/>
    <w:rsid w:val="002846D8"/>
    <w:rsid w:val="002854C3"/>
    <w:rsid w:val="00285B09"/>
    <w:rsid w:val="002871AD"/>
    <w:rsid w:val="0028734D"/>
    <w:rsid w:val="00287E0A"/>
    <w:rsid w:val="00290A52"/>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3D1"/>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6E47"/>
    <w:rsid w:val="002D713A"/>
    <w:rsid w:val="002D73C2"/>
    <w:rsid w:val="002E06E6"/>
    <w:rsid w:val="002E0E57"/>
    <w:rsid w:val="002E0F4A"/>
    <w:rsid w:val="002E101C"/>
    <w:rsid w:val="002E1CD9"/>
    <w:rsid w:val="002E1EA7"/>
    <w:rsid w:val="002E20A0"/>
    <w:rsid w:val="002E2951"/>
    <w:rsid w:val="002E2B93"/>
    <w:rsid w:val="002E2DC8"/>
    <w:rsid w:val="002E2FB2"/>
    <w:rsid w:val="002E33EA"/>
    <w:rsid w:val="002E33FF"/>
    <w:rsid w:val="002E41C6"/>
    <w:rsid w:val="002E4747"/>
    <w:rsid w:val="002E565A"/>
    <w:rsid w:val="002E57CA"/>
    <w:rsid w:val="002E6087"/>
    <w:rsid w:val="002E6956"/>
    <w:rsid w:val="002E69D0"/>
    <w:rsid w:val="002E7DCD"/>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01E"/>
    <w:rsid w:val="0030727D"/>
    <w:rsid w:val="003075D8"/>
    <w:rsid w:val="003079CA"/>
    <w:rsid w:val="0031022B"/>
    <w:rsid w:val="003103D0"/>
    <w:rsid w:val="00311F9F"/>
    <w:rsid w:val="0031230B"/>
    <w:rsid w:val="00313C9B"/>
    <w:rsid w:val="0031403D"/>
    <w:rsid w:val="0031417B"/>
    <w:rsid w:val="0031486C"/>
    <w:rsid w:val="00314AB3"/>
    <w:rsid w:val="00314EDF"/>
    <w:rsid w:val="00314F5F"/>
    <w:rsid w:val="003155C5"/>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6ADB"/>
    <w:rsid w:val="003272D6"/>
    <w:rsid w:val="0032775D"/>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60"/>
    <w:rsid w:val="003411C7"/>
    <w:rsid w:val="00342355"/>
    <w:rsid w:val="00343833"/>
    <w:rsid w:val="00343BB8"/>
    <w:rsid w:val="00343E0C"/>
    <w:rsid w:val="0034471F"/>
    <w:rsid w:val="0034485A"/>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DD7"/>
    <w:rsid w:val="003641EE"/>
    <w:rsid w:val="00364C0F"/>
    <w:rsid w:val="00364F7C"/>
    <w:rsid w:val="00365172"/>
    <w:rsid w:val="0036673B"/>
    <w:rsid w:val="00366E05"/>
    <w:rsid w:val="0036777A"/>
    <w:rsid w:val="00367FE9"/>
    <w:rsid w:val="00370359"/>
    <w:rsid w:val="003717EE"/>
    <w:rsid w:val="00372B20"/>
    <w:rsid w:val="00373570"/>
    <w:rsid w:val="0037403D"/>
    <w:rsid w:val="00375958"/>
    <w:rsid w:val="003765F5"/>
    <w:rsid w:val="0037670C"/>
    <w:rsid w:val="003771B2"/>
    <w:rsid w:val="003774C7"/>
    <w:rsid w:val="00377635"/>
    <w:rsid w:val="003779BB"/>
    <w:rsid w:val="00377DA4"/>
    <w:rsid w:val="00377EC5"/>
    <w:rsid w:val="00380250"/>
    <w:rsid w:val="0038088D"/>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9767A"/>
    <w:rsid w:val="003A0295"/>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062"/>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60B"/>
    <w:rsid w:val="003E17FA"/>
    <w:rsid w:val="003E1A4E"/>
    <w:rsid w:val="003E29C9"/>
    <w:rsid w:val="003E3930"/>
    <w:rsid w:val="003E4394"/>
    <w:rsid w:val="003E43D4"/>
    <w:rsid w:val="003E4996"/>
    <w:rsid w:val="003E4B5B"/>
    <w:rsid w:val="003E4CDE"/>
    <w:rsid w:val="003E4DA6"/>
    <w:rsid w:val="003E4DB3"/>
    <w:rsid w:val="003E512D"/>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1EED"/>
    <w:rsid w:val="003F23D6"/>
    <w:rsid w:val="003F3D1E"/>
    <w:rsid w:val="003F44D0"/>
    <w:rsid w:val="003F4EEF"/>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19"/>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F8"/>
    <w:rsid w:val="00420575"/>
    <w:rsid w:val="004205BD"/>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1DD6"/>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E2E"/>
    <w:rsid w:val="00445FD7"/>
    <w:rsid w:val="00446530"/>
    <w:rsid w:val="00446694"/>
    <w:rsid w:val="00446CAF"/>
    <w:rsid w:val="00447062"/>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4ADE"/>
    <w:rsid w:val="00495A0F"/>
    <w:rsid w:val="00495F81"/>
    <w:rsid w:val="0049682D"/>
    <w:rsid w:val="004969AA"/>
    <w:rsid w:val="00496FDC"/>
    <w:rsid w:val="00497D1F"/>
    <w:rsid w:val="00497D47"/>
    <w:rsid w:val="00497DAF"/>
    <w:rsid w:val="004A021D"/>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0B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6F26"/>
    <w:rsid w:val="004C75B8"/>
    <w:rsid w:val="004C7A61"/>
    <w:rsid w:val="004C7DAD"/>
    <w:rsid w:val="004D1976"/>
    <w:rsid w:val="004D1A0C"/>
    <w:rsid w:val="004D1B64"/>
    <w:rsid w:val="004D2295"/>
    <w:rsid w:val="004D236F"/>
    <w:rsid w:val="004D2B1C"/>
    <w:rsid w:val="004D3AD2"/>
    <w:rsid w:val="004D3B34"/>
    <w:rsid w:val="004D3FEE"/>
    <w:rsid w:val="004D4208"/>
    <w:rsid w:val="004D46C7"/>
    <w:rsid w:val="004D47A2"/>
    <w:rsid w:val="004D52F3"/>
    <w:rsid w:val="004D55C3"/>
    <w:rsid w:val="004D6B0B"/>
    <w:rsid w:val="004E00DA"/>
    <w:rsid w:val="004E038A"/>
    <w:rsid w:val="004E0466"/>
    <w:rsid w:val="004E19F5"/>
    <w:rsid w:val="004E1D49"/>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430D"/>
    <w:rsid w:val="004F593A"/>
    <w:rsid w:val="004F6700"/>
    <w:rsid w:val="004F6F3C"/>
    <w:rsid w:val="004F7259"/>
    <w:rsid w:val="004F7588"/>
    <w:rsid w:val="0050025B"/>
    <w:rsid w:val="00500388"/>
    <w:rsid w:val="0050108E"/>
    <w:rsid w:val="005017CF"/>
    <w:rsid w:val="00502EFB"/>
    <w:rsid w:val="005041C6"/>
    <w:rsid w:val="005044B8"/>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4D1B"/>
    <w:rsid w:val="00525A75"/>
    <w:rsid w:val="00525D07"/>
    <w:rsid w:val="00526966"/>
    <w:rsid w:val="00526A85"/>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ADF"/>
    <w:rsid w:val="00554C61"/>
    <w:rsid w:val="00555EB1"/>
    <w:rsid w:val="005560B2"/>
    <w:rsid w:val="00556E30"/>
    <w:rsid w:val="00557096"/>
    <w:rsid w:val="005573FB"/>
    <w:rsid w:val="00557804"/>
    <w:rsid w:val="0055781B"/>
    <w:rsid w:val="00560482"/>
    <w:rsid w:val="00560513"/>
    <w:rsid w:val="00560579"/>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3B6A"/>
    <w:rsid w:val="00573C21"/>
    <w:rsid w:val="00575142"/>
    <w:rsid w:val="00575B8C"/>
    <w:rsid w:val="00576B04"/>
    <w:rsid w:val="00576D16"/>
    <w:rsid w:val="00576D73"/>
    <w:rsid w:val="00577617"/>
    <w:rsid w:val="00577636"/>
    <w:rsid w:val="005802F4"/>
    <w:rsid w:val="00580AA4"/>
    <w:rsid w:val="00580EBB"/>
    <w:rsid w:val="00580F4A"/>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1EE1"/>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261"/>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C39"/>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7BB"/>
    <w:rsid w:val="00642EA1"/>
    <w:rsid w:val="0064308D"/>
    <w:rsid w:val="0064399A"/>
    <w:rsid w:val="00644029"/>
    <w:rsid w:val="00644E3D"/>
    <w:rsid w:val="00644FA9"/>
    <w:rsid w:val="00645D3A"/>
    <w:rsid w:val="00645DA6"/>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950"/>
    <w:rsid w:val="00655B39"/>
    <w:rsid w:val="00655DC8"/>
    <w:rsid w:val="0065789C"/>
    <w:rsid w:val="00660BE6"/>
    <w:rsid w:val="00660E8A"/>
    <w:rsid w:val="00661A5E"/>
    <w:rsid w:val="00661B4C"/>
    <w:rsid w:val="00661BA3"/>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4F0C"/>
    <w:rsid w:val="006854AF"/>
    <w:rsid w:val="006858D1"/>
    <w:rsid w:val="0068595B"/>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74E"/>
    <w:rsid w:val="006A1844"/>
    <w:rsid w:val="006A1DC4"/>
    <w:rsid w:val="006A21A4"/>
    <w:rsid w:val="006A3EB0"/>
    <w:rsid w:val="006A44B6"/>
    <w:rsid w:val="006A4554"/>
    <w:rsid w:val="006A47EC"/>
    <w:rsid w:val="006A54C7"/>
    <w:rsid w:val="006A5B32"/>
    <w:rsid w:val="006A6307"/>
    <w:rsid w:val="006A6DB7"/>
    <w:rsid w:val="006A75B7"/>
    <w:rsid w:val="006A7757"/>
    <w:rsid w:val="006B0356"/>
    <w:rsid w:val="006B08A7"/>
    <w:rsid w:val="006B09A1"/>
    <w:rsid w:val="006B0D54"/>
    <w:rsid w:val="006B10EA"/>
    <w:rsid w:val="006B143C"/>
    <w:rsid w:val="006B1B6B"/>
    <w:rsid w:val="006B2BD7"/>
    <w:rsid w:val="006B3456"/>
    <w:rsid w:val="006B36B4"/>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87B"/>
    <w:rsid w:val="006F7C16"/>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008"/>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68D2"/>
    <w:rsid w:val="0073697B"/>
    <w:rsid w:val="00736E74"/>
    <w:rsid w:val="0073709B"/>
    <w:rsid w:val="007371E1"/>
    <w:rsid w:val="007400AE"/>
    <w:rsid w:val="00740130"/>
    <w:rsid w:val="0074062F"/>
    <w:rsid w:val="00740A13"/>
    <w:rsid w:val="00741C7D"/>
    <w:rsid w:val="0074231B"/>
    <w:rsid w:val="00742AD6"/>
    <w:rsid w:val="007446A3"/>
    <w:rsid w:val="007448A0"/>
    <w:rsid w:val="00744A8C"/>
    <w:rsid w:val="00745646"/>
    <w:rsid w:val="007460C6"/>
    <w:rsid w:val="00746318"/>
    <w:rsid w:val="0074654F"/>
    <w:rsid w:val="00747433"/>
    <w:rsid w:val="0075031D"/>
    <w:rsid w:val="00750358"/>
    <w:rsid w:val="00750A1E"/>
    <w:rsid w:val="00751284"/>
    <w:rsid w:val="007519EE"/>
    <w:rsid w:val="007519FA"/>
    <w:rsid w:val="007523E3"/>
    <w:rsid w:val="00752B85"/>
    <w:rsid w:val="0075378B"/>
    <w:rsid w:val="00753932"/>
    <w:rsid w:val="00753D15"/>
    <w:rsid w:val="00753D50"/>
    <w:rsid w:val="00755A65"/>
    <w:rsid w:val="00755DEB"/>
    <w:rsid w:val="00755DFC"/>
    <w:rsid w:val="007569CF"/>
    <w:rsid w:val="00757283"/>
    <w:rsid w:val="00760072"/>
    <w:rsid w:val="00760169"/>
    <w:rsid w:val="0076019E"/>
    <w:rsid w:val="00761F6F"/>
    <w:rsid w:val="00762230"/>
    <w:rsid w:val="00762762"/>
    <w:rsid w:val="00762A4E"/>
    <w:rsid w:val="00765B42"/>
    <w:rsid w:val="00765B85"/>
    <w:rsid w:val="00766E3E"/>
    <w:rsid w:val="00767482"/>
    <w:rsid w:val="00767814"/>
    <w:rsid w:val="0076790F"/>
    <w:rsid w:val="00767E8B"/>
    <w:rsid w:val="00771381"/>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7221"/>
    <w:rsid w:val="00797718"/>
    <w:rsid w:val="007A0009"/>
    <w:rsid w:val="007A02F5"/>
    <w:rsid w:val="007A2413"/>
    <w:rsid w:val="007A25D0"/>
    <w:rsid w:val="007A3338"/>
    <w:rsid w:val="007A45B1"/>
    <w:rsid w:val="007A4A34"/>
    <w:rsid w:val="007A4C98"/>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4AE1"/>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5CA8"/>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5765"/>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62ED"/>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93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77D"/>
    <w:rsid w:val="00842913"/>
    <w:rsid w:val="00842BB2"/>
    <w:rsid w:val="00842F0E"/>
    <w:rsid w:val="00843284"/>
    <w:rsid w:val="00843481"/>
    <w:rsid w:val="00843DEE"/>
    <w:rsid w:val="00844098"/>
    <w:rsid w:val="00844143"/>
    <w:rsid w:val="00844203"/>
    <w:rsid w:val="00844477"/>
    <w:rsid w:val="00844987"/>
    <w:rsid w:val="008449D8"/>
    <w:rsid w:val="008459F4"/>
    <w:rsid w:val="00846DDD"/>
    <w:rsid w:val="0084709D"/>
    <w:rsid w:val="0084748E"/>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091"/>
    <w:rsid w:val="00853175"/>
    <w:rsid w:val="008534F8"/>
    <w:rsid w:val="008536F6"/>
    <w:rsid w:val="00853A40"/>
    <w:rsid w:val="00853B98"/>
    <w:rsid w:val="008542E5"/>
    <w:rsid w:val="00854353"/>
    <w:rsid w:val="00854949"/>
    <w:rsid w:val="00854EF2"/>
    <w:rsid w:val="00855F69"/>
    <w:rsid w:val="008563B0"/>
    <w:rsid w:val="00856655"/>
    <w:rsid w:val="00856662"/>
    <w:rsid w:val="00857020"/>
    <w:rsid w:val="008572F6"/>
    <w:rsid w:val="0085758D"/>
    <w:rsid w:val="00857736"/>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076"/>
    <w:rsid w:val="00875AC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C67"/>
    <w:rsid w:val="008D0D3E"/>
    <w:rsid w:val="008D2B1C"/>
    <w:rsid w:val="008D3A26"/>
    <w:rsid w:val="008D4057"/>
    <w:rsid w:val="008D4AFF"/>
    <w:rsid w:val="008D4F3C"/>
    <w:rsid w:val="008D5B01"/>
    <w:rsid w:val="008D687E"/>
    <w:rsid w:val="008D7B16"/>
    <w:rsid w:val="008E01F3"/>
    <w:rsid w:val="008E029C"/>
    <w:rsid w:val="008E067B"/>
    <w:rsid w:val="008E08CC"/>
    <w:rsid w:val="008E0C96"/>
    <w:rsid w:val="008E0D50"/>
    <w:rsid w:val="008E11B0"/>
    <w:rsid w:val="008E16E5"/>
    <w:rsid w:val="008E2580"/>
    <w:rsid w:val="008E2DE8"/>
    <w:rsid w:val="008E3B33"/>
    <w:rsid w:val="008E3B8D"/>
    <w:rsid w:val="008E3FA1"/>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2399"/>
    <w:rsid w:val="0090398A"/>
    <w:rsid w:val="00904898"/>
    <w:rsid w:val="009048ED"/>
    <w:rsid w:val="00904945"/>
    <w:rsid w:val="00904D95"/>
    <w:rsid w:val="00904FE2"/>
    <w:rsid w:val="009053BF"/>
    <w:rsid w:val="00905D45"/>
    <w:rsid w:val="00906BBC"/>
    <w:rsid w:val="0090796B"/>
    <w:rsid w:val="00907BD3"/>
    <w:rsid w:val="00907FA2"/>
    <w:rsid w:val="00910D8B"/>
    <w:rsid w:val="00912C0D"/>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5A9"/>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E43"/>
    <w:rsid w:val="00971FFD"/>
    <w:rsid w:val="00972632"/>
    <w:rsid w:val="00972717"/>
    <w:rsid w:val="0097323D"/>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96D"/>
    <w:rsid w:val="00987A00"/>
    <w:rsid w:val="009902E9"/>
    <w:rsid w:val="00990436"/>
    <w:rsid w:val="00990794"/>
    <w:rsid w:val="00990AC7"/>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24C"/>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01F"/>
    <w:rsid w:val="009B6761"/>
    <w:rsid w:val="009B6CF3"/>
    <w:rsid w:val="009C06E8"/>
    <w:rsid w:val="009C169F"/>
    <w:rsid w:val="009C1773"/>
    <w:rsid w:val="009C1FBE"/>
    <w:rsid w:val="009C2A6C"/>
    <w:rsid w:val="009C2E98"/>
    <w:rsid w:val="009C2F91"/>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514D"/>
    <w:rsid w:val="009E6886"/>
    <w:rsid w:val="009E7BA6"/>
    <w:rsid w:val="009E7D51"/>
    <w:rsid w:val="009F0A6A"/>
    <w:rsid w:val="009F1DDD"/>
    <w:rsid w:val="009F1F54"/>
    <w:rsid w:val="009F2333"/>
    <w:rsid w:val="009F239D"/>
    <w:rsid w:val="009F23FE"/>
    <w:rsid w:val="009F249C"/>
    <w:rsid w:val="009F2AC6"/>
    <w:rsid w:val="009F2D48"/>
    <w:rsid w:val="009F3387"/>
    <w:rsid w:val="009F3792"/>
    <w:rsid w:val="009F38F0"/>
    <w:rsid w:val="009F4F79"/>
    <w:rsid w:val="009F5463"/>
    <w:rsid w:val="009F5AC9"/>
    <w:rsid w:val="009F5C5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37C3"/>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962"/>
    <w:rsid w:val="00A30B85"/>
    <w:rsid w:val="00A30E27"/>
    <w:rsid w:val="00A31D0B"/>
    <w:rsid w:val="00A3224D"/>
    <w:rsid w:val="00A32790"/>
    <w:rsid w:val="00A339E7"/>
    <w:rsid w:val="00A33DBA"/>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21E"/>
    <w:rsid w:val="00A5135D"/>
    <w:rsid w:val="00A51EFB"/>
    <w:rsid w:val="00A52416"/>
    <w:rsid w:val="00A53AA5"/>
    <w:rsid w:val="00A54BB3"/>
    <w:rsid w:val="00A557B6"/>
    <w:rsid w:val="00A56036"/>
    <w:rsid w:val="00A56D83"/>
    <w:rsid w:val="00A56E17"/>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40E"/>
    <w:rsid w:val="00A7690D"/>
    <w:rsid w:val="00A76A27"/>
    <w:rsid w:val="00A77376"/>
    <w:rsid w:val="00A77A30"/>
    <w:rsid w:val="00A806D0"/>
    <w:rsid w:val="00A80FA8"/>
    <w:rsid w:val="00A81021"/>
    <w:rsid w:val="00A8273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55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6AD"/>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2FE"/>
    <w:rsid w:val="00AE46C8"/>
    <w:rsid w:val="00AE5882"/>
    <w:rsid w:val="00AE624F"/>
    <w:rsid w:val="00AE64F7"/>
    <w:rsid w:val="00AE6F6E"/>
    <w:rsid w:val="00AF02C0"/>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6EEA"/>
    <w:rsid w:val="00B175CD"/>
    <w:rsid w:val="00B1766D"/>
    <w:rsid w:val="00B178A7"/>
    <w:rsid w:val="00B17934"/>
    <w:rsid w:val="00B17F8E"/>
    <w:rsid w:val="00B2046D"/>
    <w:rsid w:val="00B213FF"/>
    <w:rsid w:val="00B2155D"/>
    <w:rsid w:val="00B2243B"/>
    <w:rsid w:val="00B23FAC"/>
    <w:rsid w:val="00B255CD"/>
    <w:rsid w:val="00B25771"/>
    <w:rsid w:val="00B264A9"/>
    <w:rsid w:val="00B27573"/>
    <w:rsid w:val="00B27A22"/>
    <w:rsid w:val="00B27DA5"/>
    <w:rsid w:val="00B30B95"/>
    <w:rsid w:val="00B315EF"/>
    <w:rsid w:val="00B31823"/>
    <w:rsid w:val="00B31B6E"/>
    <w:rsid w:val="00B31E8A"/>
    <w:rsid w:val="00B327D6"/>
    <w:rsid w:val="00B32AD6"/>
    <w:rsid w:val="00B33AF6"/>
    <w:rsid w:val="00B33EA9"/>
    <w:rsid w:val="00B34029"/>
    <w:rsid w:val="00B340A5"/>
    <w:rsid w:val="00B3415A"/>
    <w:rsid w:val="00B344F7"/>
    <w:rsid w:val="00B34993"/>
    <w:rsid w:val="00B35412"/>
    <w:rsid w:val="00B35791"/>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47E2E"/>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C9E"/>
    <w:rsid w:val="00BB3DA7"/>
    <w:rsid w:val="00BB4F5E"/>
    <w:rsid w:val="00BB506B"/>
    <w:rsid w:val="00BB5974"/>
    <w:rsid w:val="00BB61D1"/>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08F"/>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9AD"/>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A0B"/>
    <w:rsid w:val="00BF6DCB"/>
    <w:rsid w:val="00BF6E9B"/>
    <w:rsid w:val="00C008E9"/>
    <w:rsid w:val="00C00AC0"/>
    <w:rsid w:val="00C014CA"/>
    <w:rsid w:val="00C0201D"/>
    <w:rsid w:val="00C02084"/>
    <w:rsid w:val="00C022E6"/>
    <w:rsid w:val="00C02618"/>
    <w:rsid w:val="00C02806"/>
    <w:rsid w:val="00C02A31"/>
    <w:rsid w:val="00C03728"/>
    <w:rsid w:val="00C03D4E"/>
    <w:rsid w:val="00C04377"/>
    <w:rsid w:val="00C046F1"/>
    <w:rsid w:val="00C0500D"/>
    <w:rsid w:val="00C05995"/>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9C9"/>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6C5"/>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291"/>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258"/>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84D"/>
    <w:rsid w:val="00CA1BA1"/>
    <w:rsid w:val="00CA1DA7"/>
    <w:rsid w:val="00CA20D0"/>
    <w:rsid w:val="00CA23CF"/>
    <w:rsid w:val="00CA2A59"/>
    <w:rsid w:val="00CA35FB"/>
    <w:rsid w:val="00CA36BF"/>
    <w:rsid w:val="00CA37D6"/>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440"/>
    <w:rsid w:val="00CD1DF9"/>
    <w:rsid w:val="00CD2726"/>
    <w:rsid w:val="00CD29FC"/>
    <w:rsid w:val="00CD5A21"/>
    <w:rsid w:val="00CD5FFF"/>
    <w:rsid w:val="00CD6274"/>
    <w:rsid w:val="00CD630E"/>
    <w:rsid w:val="00CD67D5"/>
    <w:rsid w:val="00CD6DC5"/>
    <w:rsid w:val="00CD71F8"/>
    <w:rsid w:val="00CD77C5"/>
    <w:rsid w:val="00CD7852"/>
    <w:rsid w:val="00CE05D2"/>
    <w:rsid w:val="00CE063B"/>
    <w:rsid w:val="00CE1263"/>
    <w:rsid w:val="00CE2048"/>
    <w:rsid w:val="00CE33B8"/>
    <w:rsid w:val="00CE369A"/>
    <w:rsid w:val="00CE3986"/>
    <w:rsid w:val="00CE41D7"/>
    <w:rsid w:val="00CE50E3"/>
    <w:rsid w:val="00CE5CFA"/>
    <w:rsid w:val="00CE60DE"/>
    <w:rsid w:val="00CE69E9"/>
    <w:rsid w:val="00CE7286"/>
    <w:rsid w:val="00CF0007"/>
    <w:rsid w:val="00CF0566"/>
    <w:rsid w:val="00CF11FA"/>
    <w:rsid w:val="00CF1D56"/>
    <w:rsid w:val="00CF2E84"/>
    <w:rsid w:val="00CF37D5"/>
    <w:rsid w:val="00CF3E60"/>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077"/>
    <w:rsid w:val="00D12161"/>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05C"/>
    <w:rsid w:val="00D2684F"/>
    <w:rsid w:val="00D27953"/>
    <w:rsid w:val="00D3007B"/>
    <w:rsid w:val="00D315D0"/>
    <w:rsid w:val="00D32099"/>
    <w:rsid w:val="00D3226A"/>
    <w:rsid w:val="00D32561"/>
    <w:rsid w:val="00D32CBD"/>
    <w:rsid w:val="00D32DEE"/>
    <w:rsid w:val="00D33432"/>
    <w:rsid w:val="00D338B4"/>
    <w:rsid w:val="00D33FDC"/>
    <w:rsid w:val="00D3480A"/>
    <w:rsid w:val="00D3482B"/>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259"/>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7CF"/>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5F83"/>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28A0"/>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9E4"/>
    <w:rsid w:val="00DA3CB5"/>
    <w:rsid w:val="00DA3EE8"/>
    <w:rsid w:val="00DA4673"/>
    <w:rsid w:val="00DA4BDF"/>
    <w:rsid w:val="00DA5962"/>
    <w:rsid w:val="00DA6141"/>
    <w:rsid w:val="00DA6625"/>
    <w:rsid w:val="00DA6655"/>
    <w:rsid w:val="00DA713E"/>
    <w:rsid w:val="00DA7DC5"/>
    <w:rsid w:val="00DB01EE"/>
    <w:rsid w:val="00DB0CBC"/>
    <w:rsid w:val="00DB12A1"/>
    <w:rsid w:val="00DB1EA1"/>
    <w:rsid w:val="00DB2F18"/>
    <w:rsid w:val="00DB3681"/>
    <w:rsid w:val="00DB48D4"/>
    <w:rsid w:val="00DB4A65"/>
    <w:rsid w:val="00DB4BFB"/>
    <w:rsid w:val="00DB5452"/>
    <w:rsid w:val="00DB577E"/>
    <w:rsid w:val="00DB6310"/>
    <w:rsid w:val="00DB632A"/>
    <w:rsid w:val="00DB6D4A"/>
    <w:rsid w:val="00DB7BAF"/>
    <w:rsid w:val="00DB7DA5"/>
    <w:rsid w:val="00DB7F2A"/>
    <w:rsid w:val="00DC0125"/>
    <w:rsid w:val="00DC02BF"/>
    <w:rsid w:val="00DC10DB"/>
    <w:rsid w:val="00DC1D0A"/>
    <w:rsid w:val="00DC218F"/>
    <w:rsid w:val="00DC2574"/>
    <w:rsid w:val="00DC291E"/>
    <w:rsid w:val="00DC393E"/>
    <w:rsid w:val="00DC3D2F"/>
    <w:rsid w:val="00DC3FB0"/>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4FDE"/>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43A5"/>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3735"/>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4A2C"/>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6EB"/>
    <w:rsid w:val="00E86FFB"/>
    <w:rsid w:val="00E87082"/>
    <w:rsid w:val="00E87586"/>
    <w:rsid w:val="00E87610"/>
    <w:rsid w:val="00E87628"/>
    <w:rsid w:val="00E910AB"/>
    <w:rsid w:val="00E92752"/>
    <w:rsid w:val="00E93373"/>
    <w:rsid w:val="00E93C21"/>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A11"/>
    <w:rsid w:val="00ED7E94"/>
    <w:rsid w:val="00ED7ED3"/>
    <w:rsid w:val="00EE021E"/>
    <w:rsid w:val="00EE057E"/>
    <w:rsid w:val="00EE09A5"/>
    <w:rsid w:val="00EE1AF6"/>
    <w:rsid w:val="00EE1E06"/>
    <w:rsid w:val="00EE1F63"/>
    <w:rsid w:val="00EE306F"/>
    <w:rsid w:val="00EE3A6A"/>
    <w:rsid w:val="00EE429D"/>
    <w:rsid w:val="00EE4785"/>
    <w:rsid w:val="00EE4848"/>
    <w:rsid w:val="00EE4E58"/>
    <w:rsid w:val="00EE56F3"/>
    <w:rsid w:val="00EE57F6"/>
    <w:rsid w:val="00EE5834"/>
    <w:rsid w:val="00EE5EFC"/>
    <w:rsid w:val="00EE6531"/>
    <w:rsid w:val="00EE676D"/>
    <w:rsid w:val="00EE6B98"/>
    <w:rsid w:val="00EE6D98"/>
    <w:rsid w:val="00EE6E3A"/>
    <w:rsid w:val="00EE7250"/>
    <w:rsid w:val="00EF013F"/>
    <w:rsid w:val="00EF02C8"/>
    <w:rsid w:val="00EF0A1E"/>
    <w:rsid w:val="00EF0B21"/>
    <w:rsid w:val="00EF0F7B"/>
    <w:rsid w:val="00EF15CC"/>
    <w:rsid w:val="00EF1DE8"/>
    <w:rsid w:val="00EF3511"/>
    <w:rsid w:val="00EF537B"/>
    <w:rsid w:val="00EF6ADE"/>
    <w:rsid w:val="00EF6E17"/>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626"/>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724"/>
    <w:rsid w:val="00F21FDE"/>
    <w:rsid w:val="00F2203F"/>
    <w:rsid w:val="00F2467B"/>
    <w:rsid w:val="00F24911"/>
    <w:rsid w:val="00F249F2"/>
    <w:rsid w:val="00F24F03"/>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6F4"/>
    <w:rsid w:val="00F43802"/>
    <w:rsid w:val="00F439D7"/>
    <w:rsid w:val="00F443D0"/>
    <w:rsid w:val="00F4472B"/>
    <w:rsid w:val="00F449DC"/>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4A7"/>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6DD"/>
    <w:rsid w:val="00F72AE1"/>
    <w:rsid w:val="00F72BBD"/>
    <w:rsid w:val="00F72DA6"/>
    <w:rsid w:val="00F72FE8"/>
    <w:rsid w:val="00F734D9"/>
    <w:rsid w:val="00F75573"/>
    <w:rsid w:val="00F75ED7"/>
    <w:rsid w:val="00F76E8E"/>
    <w:rsid w:val="00F76F83"/>
    <w:rsid w:val="00F76FE9"/>
    <w:rsid w:val="00F77409"/>
    <w:rsid w:val="00F774EF"/>
    <w:rsid w:val="00F77B36"/>
    <w:rsid w:val="00F8005B"/>
    <w:rsid w:val="00F803D6"/>
    <w:rsid w:val="00F80638"/>
    <w:rsid w:val="00F80AA2"/>
    <w:rsid w:val="00F81400"/>
    <w:rsid w:val="00F81B0C"/>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9F"/>
    <w:rsid w:val="00FC5EEB"/>
    <w:rsid w:val="00FC6874"/>
    <w:rsid w:val="00FD1C7D"/>
    <w:rsid w:val="00FD2C36"/>
    <w:rsid w:val="00FD366F"/>
    <w:rsid w:val="00FD3878"/>
    <w:rsid w:val="00FD45E8"/>
    <w:rsid w:val="00FD463D"/>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2B0"/>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07B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107B44"/>
    <w:rPr>
      <w:rFonts w:asciiTheme="majorHAnsi" w:eastAsiaTheme="majorEastAsia" w:hAnsiTheme="majorHAnsi" w:cstheme="majorBidi"/>
      <w:i/>
      <w:iCs/>
      <w:color w:val="2E74B5" w:themeColor="accent1" w:themeShade="BF"/>
    </w:rPr>
  </w:style>
  <w:style w:type="character" w:customStyle="1" w:styleId="ms-1">
    <w:name w:val="ms-1"/>
    <w:basedOn w:val="a0"/>
    <w:rsid w:val="006A21A4"/>
  </w:style>
  <w:style w:type="character" w:customStyle="1" w:styleId="max-w-15ch">
    <w:name w:val="max-w-[15ch]"/>
    <w:basedOn w:val="a0"/>
    <w:rsid w:val="006A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CTS.2013.6567202"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lider1987@yandex.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757B189-734F-4E2C-AD9B-366325D5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2485</Words>
  <Characters>14169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301</cp:revision>
  <cp:lastPrinted>2023-12-26T18:03:00Z</cp:lastPrinted>
  <dcterms:created xsi:type="dcterms:W3CDTF">2024-07-17T07:39:00Z</dcterms:created>
  <dcterms:modified xsi:type="dcterms:W3CDTF">2026-01-08T11:37:00Z</dcterms:modified>
</cp:coreProperties>
</file>