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41B9" w14:textId="55417E4F" w:rsidR="00FE6DBA" w:rsidRPr="00D82DF0" w:rsidRDefault="001C39A2" w:rsidP="00FE6DBA">
      <w:pPr>
        <w:spacing w:before="1200" w:line="240" w:lineRule="auto"/>
        <w:jc w:val="center"/>
        <w:rPr>
          <w:rFonts w:ascii="Times New Roman" w:hAnsi="Times New Roman" w:cs="Times New Roman"/>
          <w:b/>
          <w:sz w:val="36"/>
          <w:szCs w:val="36"/>
          <w:lang w:val="en-US"/>
        </w:rPr>
      </w:pPr>
      <w:r w:rsidRPr="001C39A2">
        <w:rPr>
          <w:rFonts w:ascii="Times New Roman" w:hAnsi="Times New Roman" w:cs="Times New Roman"/>
          <w:b/>
          <w:sz w:val="36"/>
          <w:szCs w:val="36"/>
          <w:lang w:val="en-US"/>
        </w:rPr>
        <w:t>Environmental safety and toxicity indicators of gas</w:t>
      </w:r>
      <w:r w:rsidRPr="0079722E">
        <w:rPr>
          <w:b/>
          <w:sz w:val="36"/>
          <w:szCs w:val="36"/>
          <w:lang w:val="en-US"/>
        </w:rPr>
        <w:br/>
      </w:r>
      <w:r w:rsidRPr="001C39A2">
        <w:rPr>
          <w:rFonts w:ascii="Times New Roman" w:hAnsi="Times New Roman" w:cs="Times New Roman"/>
          <w:b/>
          <w:sz w:val="36"/>
          <w:szCs w:val="36"/>
          <w:lang w:val="en-US"/>
        </w:rPr>
        <w:t>and fuel oil boilers</w:t>
      </w:r>
    </w:p>
    <w:p w14:paraId="1E30C783" w14:textId="28DF3B86" w:rsidR="00C31627" w:rsidRPr="00E957B8" w:rsidRDefault="000C2A4E" w:rsidP="00071E5E">
      <w:pPr>
        <w:spacing w:before="240" w:line="240" w:lineRule="auto"/>
        <w:jc w:val="center"/>
        <w:rPr>
          <w:rFonts w:ascii="Times New Roman" w:hAnsi="Times New Roman" w:cs="Times New Roman"/>
          <w:iCs/>
          <w:sz w:val="28"/>
          <w:szCs w:val="36"/>
          <w:vertAlign w:val="superscript"/>
          <w:lang w:val="en-US"/>
        </w:rPr>
      </w:pPr>
      <w:r w:rsidRPr="00E957B8">
        <w:rPr>
          <w:rFonts w:ascii="Times New Roman" w:hAnsi="Times New Roman" w:cs="Times New Roman"/>
          <w:iCs/>
          <w:sz w:val="28"/>
          <w:szCs w:val="36"/>
          <w:lang w:val="en-US"/>
        </w:rPr>
        <w:t>Kuat</w:t>
      </w:r>
      <w:r w:rsidRPr="00E957B8">
        <w:rPr>
          <w:rFonts w:ascii="Times New Roman" w:hAnsi="Times New Roman" w:cs="Times New Roman"/>
          <w:iCs/>
          <w:sz w:val="28"/>
          <w:szCs w:val="36"/>
          <w:lang w:val="uz-Cyrl-UZ"/>
        </w:rPr>
        <w:t xml:space="preserve"> </w:t>
      </w:r>
      <w:r w:rsidRPr="00E957B8">
        <w:rPr>
          <w:rFonts w:ascii="Times New Roman" w:hAnsi="Times New Roman" w:cs="Times New Roman"/>
          <w:iCs/>
          <w:sz w:val="28"/>
          <w:szCs w:val="36"/>
          <w:lang w:val="en-US"/>
        </w:rPr>
        <w:t>Baubekov</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1</w:t>
      </w:r>
      <w:r w:rsidRP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lang w:val="en-US"/>
        </w:rPr>
        <w:t>Hasan Alimov</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r w:rsidR="001B360D" w:rsidRPr="00E957B8">
        <w:rPr>
          <w:rFonts w:ascii="Times New Roman" w:hAnsi="Times New Roman" w:cs="Times New Roman"/>
          <w:iCs/>
          <w:sz w:val="28"/>
          <w:szCs w:val="36"/>
          <w:lang w:val="en-US"/>
        </w:rPr>
        <w:t xml:space="preserve">, </w:t>
      </w:r>
      <w:r w:rsidRPr="00E957B8">
        <w:rPr>
          <w:rFonts w:ascii="Times New Roman" w:hAnsi="Times New Roman" w:cs="Times New Roman"/>
          <w:iCs/>
          <w:sz w:val="28"/>
          <w:szCs w:val="36"/>
          <w:lang w:val="en-US"/>
        </w:rPr>
        <w:t>Munira Azimova</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r w:rsidRPr="00E957B8">
        <w:rPr>
          <w:rFonts w:ascii="Times New Roman" w:hAnsi="Times New Roman" w:cs="Times New Roman"/>
          <w:iCs/>
          <w:sz w:val="28"/>
          <w:szCs w:val="36"/>
          <w:lang w:val="en-US"/>
        </w:rPr>
        <w:t xml:space="preserve">, </w:t>
      </w:r>
      <w:r w:rsidR="0047445E" w:rsidRPr="00E957B8">
        <w:rPr>
          <w:rFonts w:ascii="Times New Roman" w:hAnsi="Times New Roman" w:cs="Times New Roman"/>
          <w:iCs/>
          <w:sz w:val="28"/>
          <w:szCs w:val="36"/>
          <w:lang w:val="en-US"/>
        </w:rPr>
        <w:t>N</w:t>
      </w:r>
      <w:r w:rsidR="00A227AD" w:rsidRPr="00E957B8">
        <w:rPr>
          <w:rFonts w:ascii="Times New Roman" w:hAnsi="Times New Roman" w:cs="Times New Roman"/>
          <w:iCs/>
          <w:sz w:val="28"/>
          <w:szCs w:val="36"/>
          <w:lang w:val="en-US"/>
        </w:rPr>
        <w:t>a</w:t>
      </w:r>
      <w:r w:rsidR="0047445E" w:rsidRPr="00E957B8">
        <w:rPr>
          <w:rFonts w:ascii="Times New Roman" w:hAnsi="Times New Roman" w:cs="Times New Roman"/>
          <w:iCs/>
          <w:sz w:val="28"/>
          <w:szCs w:val="36"/>
          <w:lang w:val="en-US"/>
        </w:rPr>
        <w:t>rgiz</w:t>
      </w:r>
      <w:r w:rsidR="00A227AD" w:rsidRPr="00E957B8">
        <w:rPr>
          <w:rFonts w:ascii="Times New Roman" w:hAnsi="Times New Roman" w:cs="Times New Roman"/>
          <w:iCs/>
          <w:sz w:val="28"/>
          <w:szCs w:val="36"/>
          <w:lang w:val="en-US"/>
        </w:rPr>
        <w:t>a</w:t>
      </w:r>
      <w:r w:rsidR="0047445E" w:rsidRPr="00E957B8">
        <w:rPr>
          <w:rFonts w:ascii="Times New Roman" w:hAnsi="Times New Roman" w:cs="Times New Roman"/>
          <w:iCs/>
          <w:sz w:val="28"/>
          <w:szCs w:val="36"/>
          <w:lang w:val="en-US"/>
        </w:rPr>
        <w:t xml:space="preserve"> Kurb</w:t>
      </w:r>
      <w:r w:rsidR="00A227AD" w:rsidRPr="00E957B8">
        <w:rPr>
          <w:rFonts w:ascii="Times New Roman" w:hAnsi="Times New Roman" w:cs="Times New Roman"/>
          <w:iCs/>
          <w:sz w:val="28"/>
          <w:szCs w:val="36"/>
          <w:lang w:val="en-US"/>
        </w:rPr>
        <w:t>a</w:t>
      </w:r>
      <w:r w:rsidR="0047445E" w:rsidRPr="00E957B8">
        <w:rPr>
          <w:rFonts w:ascii="Times New Roman" w:hAnsi="Times New Roman" w:cs="Times New Roman"/>
          <w:iCs/>
          <w:sz w:val="28"/>
          <w:szCs w:val="36"/>
          <w:lang w:val="en-US"/>
        </w:rPr>
        <w:t>n</w:t>
      </w:r>
      <w:r w:rsidR="007F527B" w:rsidRPr="00E957B8">
        <w:rPr>
          <w:rFonts w:ascii="Times New Roman" w:hAnsi="Times New Roman" w:cs="Times New Roman"/>
          <w:iCs/>
          <w:sz w:val="28"/>
          <w:szCs w:val="36"/>
          <w:lang w:val="en-US"/>
        </w:rPr>
        <w:t>o</w:t>
      </w:r>
      <w:r w:rsidR="0047445E" w:rsidRPr="00E957B8">
        <w:rPr>
          <w:rFonts w:ascii="Times New Roman" w:hAnsi="Times New Roman" w:cs="Times New Roman"/>
          <w:iCs/>
          <w:sz w:val="28"/>
          <w:szCs w:val="36"/>
          <w:lang w:val="en-US"/>
        </w:rPr>
        <w:t>v</w:t>
      </w:r>
      <w:r w:rsidR="00A227AD" w:rsidRPr="00E957B8">
        <w:rPr>
          <w:rFonts w:ascii="Times New Roman" w:hAnsi="Times New Roman" w:cs="Times New Roman"/>
          <w:iCs/>
          <w:sz w:val="28"/>
          <w:szCs w:val="36"/>
          <w:lang w:val="en-US"/>
        </w:rPr>
        <w:t>a</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r w:rsidR="004945BC" w:rsidRPr="00E957B8">
        <w:rPr>
          <w:rFonts w:ascii="Times New Roman" w:hAnsi="Times New Roman" w:cs="Times New Roman"/>
          <w:iCs/>
          <w:sz w:val="28"/>
          <w:szCs w:val="36"/>
          <w:lang w:val="en-US"/>
        </w:rPr>
        <w:t xml:space="preserve">, </w:t>
      </w:r>
      <w:proofErr w:type="spellStart"/>
      <w:r w:rsidRPr="00E957B8">
        <w:rPr>
          <w:rFonts w:ascii="Times New Roman" w:hAnsi="Times New Roman" w:cs="Times New Roman"/>
          <w:iCs/>
          <w:sz w:val="28"/>
          <w:szCs w:val="36"/>
          <w:lang w:val="en-US"/>
        </w:rPr>
        <w:t>Raxmatillo</w:t>
      </w:r>
      <w:proofErr w:type="spellEnd"/>
      <w:r w:rsidRPr="00E957B8">
        <w:rPr>
          <w:rFonts w:ascii="Times New Roman" w:hAnsi="Times New Roman" w:cs="Times New Roman"/>
          <w:iCs/>
          <w:sz w:val="28"/>
          <w:szCs w:val="36"/>
          <w:lang w:val="en-US"/>
        </w:rPr>
        <w:t xml:space="preserve"> Karimov</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r w:rsidRPr="00E957B8">
        <w:rPr>
          <w:rFonts w:ascii="Times New Roman" w:hAnsi="Times New Roman" w:cs="Times New Roman"/>
          <w:iCs/>
          <w:sz w:val="28"/>
          <w:szCs w:val="36"/>
          <w:vertAlign w:val="superscript"/>
          <w:lang w:val="en-US"/>
        </w:rPr>
        <w:t>,</w:t>
      </w:r>
      <w:proofErr w:type="gramStart"/>
      <w:r w:rsidR="005A12CD" w:rsidRPr="00E957B8">
        <w:rPr>
          <w:rFonts w:ascii="Times New Roman" w:hAnsi="Times New Roman" w:cs="Times New Roman"/>
          <w:iCs/>
          <w:sz w:val="28"/>
          <w:szCs w:val="36"/>
          <w:vertAlign w:val="superscript"/>
          <w:lang w:val="en-US"/>
        </w:rPr>
        <w:t>3,</w:t>
      </w:r>
      <w:r w:rsidRPr="00E957B8">
        <w:rPr>
          <w:rFonts w:ascii="Times New Roman" w:hAnsi="Times New Roman" w:cs="Times New Roman"/>
          <w:iCs/>
          <w:sz w:val="28"/>
          <w:szCs w:val="36"/>
          <w:vertAlign w:val="superscript"/>
          <w:lang w:val="en-US"/>
        </w:rPr>
        <w:t>a</w:t>
      </w:r>
      <w:proofErr w:type="gramEnd"/>
      <w:r w:rsidRPr="00E957B8">
        <w:rPr>
          <w:rFonts w:ascii="Times New Roman" w:hAnsi="Times New Roman" w:cs="Times New Roman"/>
          <w:iCs/>
          <w:sz w:val="28"/>
          <w:szCs w:val="36"/>
          <w:vertAlign w:val="superscript"/>
          <w:lang w:val="en-US"/>
        </w:rPr>
        <w:t>)</w:t>
      </w:r>
      <w:r w:rsidRPr="00E957B8">
        <w:rPr>
          <w:rFonts w:ascii="Times New Roman" w:hAnsi="Times New Roman" w:cs="Times New Roman"/>
          <w:iCs/>
          <w:sz w:val="28"/>
          <w:szCs w:val="36"/>
          <w:lang w:val="en-US"/>
        </w:rPr>
        <w:t xml:space="preserve">, </w:t>
      </w:r>
      <w:proofErr w:type="spellStart"/>
      <w:r w:rsidRPr="00E957B8">
        <w:rPr>
          <w:rFonts w:ascii="Times New Roman" w:hAnsi="Times New Roman" w:cs="Times New Roman"/>
          <w:iCs/>
          <w:sz w:val="28"/>
          <w:szCs w:val="36"/>
          <w:lang w:val="en-US"/>
        </w:rPr>
        <w:t>Matlybaxon</w:t>
      </w:r>
      <w:proofErr w:type="spellEnd"/>
      <w:r w:rsidRPr="00E957B8">
        <w:rPr>
          <w:rFonts w:ascii="Times New Roman" w:hAnsi="Times New Roman" w:cs="Times New Roman"/>
          <w:iCs/>
          <w:sz w:val="28"/>
          <w:szCs w:val="36"/>
          <w:lang w:val="en-US"/>
        </w:rPr>
        <w:t xml:space="preserve"> </w:t>
      </w:r>
      <w:proofErr w:type="spellStart"/>
      <w:r w:rsidRPr="00E957B8">
        <w:rPr>
          <w:rFonts w:ascii="Times New Roman" w:hAnsi="Times New Roman" w:cs="Times New Roman"/>
          <w:iCs/>
          <w:sz w:val="28"/>
          <w:szCs w:val="36"/>
          <w:lang w:val="en-US"/>
        </w:rPr>
        <w:t>Xodjialimova</w:t>
      </w:r>
      <w:proofErr w:type="spellEnd"/>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r w:rsidR="004945BC" w:rsidRPr="00E957B8">
        <w:rPr>
          <w:rFonts w:ascii="Times New Roman" w:hAnsi="Times New Roman" w:cs="Times New Roman"/>
          <w:iCs/>
          <w:sz w:val="28"/>
          <w:szCs w:val="36"/>
          <w:lang w:val="en-US"/>
        </w:rPr>
        <w:t>,</w:t>
      </w:r>
      <w:r w:rsidR="00071E5E" w:rsidRPr="00E957B8">
        <w:rPr>
          <w:rFonts w:ascii="Times New Roman" w:hAnsi="Times New Roman" w:cs="Times New Roman"/>
          <w:iCs/>
          <w:sz w:val="28"/>
          <w:szCs w:val="36"/>
          <w:lang w:val="en-US"/>
        </w:rPr>
        <w:t xml:space="preserve"> </w:t>
      </w:r>
      <w:proofErr w:type="spellStart"/>
      <w:r w:rsidRPr="00E957B8">
        <w:rPr>
          <w:rFonts w:ascii="Times New Roman" w:hAnsi="Times New Roman" w:cs="Times New Roman"/>
          <w:iCs/>
          <w:sz w:val="28"/>
          <w:szCs w:val="36"/>
          <w:lang w:val="en-US"/>
        </w:rPr>
        <w:t>Husniddin</w:t>
      </w:r>
      <w:proofErr w:type="spellEnd"/>
      <w:r w:rsidRPr="00E957B8">
        <w:rPr>
          <w:rFonts w:ascii="Times New Roman" w:hAnsi="Times New Roman" w:cs="Times New Roman"/>
          <w:iCs/>
          <w:sz w:val="28"/>
          <w:szCs w:val="36"/>
          <w:lang w:val="en-US"/>
        </w:rPr>
        <w:t xml:space="preserve"> Abdikhalilov</w:t>
      </w:r>
      <w:r w:rsidR="00E957B8">
        <w:rPr>
          <w:rFonts w:ascii="Times New Roman" w:hAnsi="Times New Roman" w:cs="Times New Roman"/>
          <w:iCs/>
          <w:sz w:val="28"/>
          <w:szCs w:val="36"/>
          <w:lang w:val="en-US"/>
        </w:rPr>
        <w:t xml:space="preserve"> </w:t>
      </w:r>
      <w:r w:rsidR="001B360D" w:rsidRPr="00E957B8">
        <w:rPr>
          <w:rFonts w:ascii="Times New Roman" w:hAnsi="Times New Roman" w:cs="Times New Roman"/>
          <w:iCs/>
          <w:sz w:val="28"/>
          <w:szCs w:val="36"/>
          <w:vertAlign w:val="superscript"/>
          <w:lang w:val="en-US"/>
        </w:rPr>
        <w:t>2</w:t>
      </w:r>
    </w:p>
    <w:p w14:paraId="1E19CCEE" w14:textId="7413A022" w:rsidR="009B658D" w:rsidRDefault="000C2A4E" w:rsidP="001B360D">
      <w:pPr>
        <w:pStyle w:val="AuthorAffiliation"/>
        <w:spacing w:before="240"/>
      </w:pPr>
      <w:r w:rsidRPr="000C2A4E">
        <w:rPr>
          <w:i w:val="0"/>
          <w:vertAlign w:val="superscript"/>
        </w:rPr>
        <w:t>1</w:t>
      </w:r>
      <w:r w:rsidR="001B360D">
        <w:rPr>
          <w:i w:val="0"/>
          <w:vertAlign w:val="superscript"/>
        </w:rPr>
        <w:t xml:space="preserve"> </w:t>
      </w:r>
      <w:proofErr w:type="spellStart"/>
      <w:r w:rsidR="00B534B9" w:rsidRPr="00B534B9">
        <w:t>Seifullin</w:t>
      </w:r>
      <w:proofErr w:type="spellEnd"/>
      <w:r w:rsidR="00B534B9" w:rsidRPr="00B534B9">
        <w:t xml:space="preserve"> Kazakh Agrotechnical Research University, Astana, Kazakhstan</w:t>
      </w:r>
    </w:p>
    <w:p w14:paraId="4268B779" w14:textId="3A0AC3BB" w:rsidR="001B360D" w:rsidRDefault="001B360D" w:rsidP="009B658D">
      <w:pPr>
        <w:pStyle w:val="AuthorAffiliation"/>
      </w:pPr>
      <w:r>
        <w:rPr>
          <w:i w:val="0"/>
          <w:vertAlign w:val="superscript"/>
        </w:rPr>
        <w:t xml:space="preserve">2 </w:t>
      </w:r>
      <w:r w:rsidRPr="00071E5E">
        <w:t>Tashkent state technical university named after Islam Karimov, Tashkent, Uzbekistan</w:t>
      </w:r>
    </w:p>
    <w:p w14:paraId="09D64F3C" w14:textId="694DBF69" w:rsidR="001B360D" w:rsidRPr="00B534B9" w:rsidRDefault="001B360D" w:rsidP="009B658D">
      <w:pPr>
        <w:pStyle w:val="AuthorAffiliation"/>
      </w:pPr>
      <w:r>
        <w:rPr>
          <w:i w:val="0"/>
          <w:vertAlign w:val="superscript"/>
        </w:rPr>
        <w:t xml:space="preserve">3 </w:t>
      </w:r>
      <w:proofErr w:type="spellStart"/>
      <w:r w:rsidR="009D32A2" w:rsidRPr="009D32A2">
        <w:t>Almalyk</w:t>
      </w:r>
      <w:proofErr w:type="spellEnd"/>
      <w:r w:rsidR="009D32A2" w:rsidRPr="009D32A2">
        <w:t xml:space="preserve"> State Technical Institute, </w:t>
      </w:r>
      <w:proofErr w:type="spellStart"/>
      <w:r w:rsidR="009D32A2" w:rsidRPr="009D32A2">
        <w:t>Almalyk</w:t>
      </w:r>
      <w:proofErr w:type="spellEnd"/>
      <w:r w:rsidR="009D32A2" w:rsidRPr="009D32A2">
        <w:t>, Uzbekistan</w:t>
      </w:r>
    </w:p>
    <w:p w14:paraId="7380D3E3" w14:textId="16FB56A1" w:rsidR="00C31627" w:rsidRPr="00352575" w:rsidRDefault="00A227AD" w:rsidP="00FE6DBA">
      <w:pPr>
        <w:spacing w:before="200" w:line="240" w:lineRule="auto"/>
        <w:jc w:val="center"/>
        <w:rPr>
          <w:rFonts w:ascii="Times New Roman" w:hAnsi="Times New Roman" w:cs="Times New Roman"/>
          <w:i/>
          <w:sz w:val="20"/>
          <w:szCs w:val="20"/>
          <w:lang w:val="en-US"/>
        </w:rPr>
      </w:pPr>
      <w:r>
        <w:rPr>
          <w:rFonts w:ascii="Times New Roman" w:hAnsi="Times New Roman" w:cs="Times New Roman"/>
          <w:i/>
          <w:sz w:val="20"/>
          <w:szCs w:val="18"/>
          <w:vertAlign w:val="superscript"/>
          <w:lang w:val="en-US"/>
        </w:rPr>
        <w:t>a</w:t>
      </w:r>
      <w:r w:rsidR="00FE6DBA" w:rsidRPr="00D82DF0">
        <w:rPr>
          <w:rFonts w:ascii="Times New Roman" w:hAnsi="Times New Roman" w:cs="Times New Roman"/>
          <w:i/>
          <w:sz w:val="20"/>
          <w:szCs w:val="18"/>
          <w:vertAlign w:val="superscript"/>
          <w:lang w:val="en-US"/>
        </w:rPr>
        <w:t>)</w:t>
      </w:r>
      <w:r w:rsidR="00FE6DBA" w:rsidRPr="00D82DF0">
        <w:rPr>
          <w:rFonts w:ascii="Times New Roman" w:hAnsi="Times New Roman" w:cs="Times New Roman"/>
          <w:i/>
          <w:sz w:val="20"/>
          <w:szCs w:val="18"/>
          <w:lang w:val="en-US"/>
        </w:rPr>
        <w:t xml:space="preserve"> </w:t>
      </w:r>
      <w:r w:rsidR="00C67B06">
        <w:rPr>
          <w:rFonts w:ascii="Times New Roman" w:hAnsi="Times New Roman" w:cs="Times New Roman"/>
          <w:i/>
          <w:sz w:val="20"/>
          <w:szCs w:val="18"/>
          <w:lang w:val="en-US"/>
        </w:rPr>
        <w:t>C</w:t>
      </w:r>
      <w:r w:rsidR="007F527B">
        <w:rPr>
          <w:rFonts w:ascii="Times New Roman" w:hAnsi="Times New Roman" w:cs="Times New Roman"/>
          <w:i/>
          <w:sz w:val="20"/>
          <w:szCs w:val="18"/>
          <w:lang w:val="en-US"/>
        </w:rPr>
        <w:t>o</w:t>
      </w:r>
      <w:r w:rsidR="00C67B06" w:rsidRPr="00D82DF0">
        <w:rPr>
          <w:rFonts w:ascii="Times New Roman" w:hAnsi="Times New Roman" w:cs="Times New Roman"/>
          <w:i/>
          <w:sz w:val="20"/>
          <w:szCs w:val="18"/>
          <w:lang w:val="en-US"/>
        </w:rPr>
        <w:t>rr</w:t>
      </w:r>
      <w:r w:rsidR="0081156C">
        <w:rPr>
          <w:rFonts w:ascii="Times New Roman" w:hAnsi="Times New Roman" w:cs="Times New Roman"/>
          <w:i/>
          <w:sz w:val="20"/>
          <w:szCs w:val="18"/>
          <w:lang w:val="en-US"/>
        </w:rPr>
        <w:t>e</w:t>
      </w:r>
      <w:r w:rsidR="00C67B06" w:rsidRPr="00D82DF0">
        <w:rPr>
          <w:rFonts w:ascii="Times New Roman" w:hAnsi="Times New Roman" w:cs="Times New Roman"/>
          <w:i/>
          <w:sz w:val="20"/>
          <w:szCs w:val="18"/>
          <w:lang w:val="en-US"/>
        </w:rPr>
        <w:t>s</w:t>
      </w:r>
      <w:r w:rsidR="0081156C">
        <w:rPr>
          <w:rFonts w:ascii="Times New Roman" w:hAnsi="Times New Roman" w:cs="Times New Roman"/>
          <w:i/>
          <w:sz w:val="20"/>
          <w:szCs w:val="18"/>
          <w:lang w:val="en-US"/>
        </w:rPr>
        <w:t>p</w:t>
      </w:r>
      <w:r w:rsidR="007F527B">
        <w:rPr>
          <w:rFonts w:ascii="Times New Roman" w:hAnsi="Times New Roman" w:cs="Times New Roman"/>
          <w:i/>
          <w:sz w:val="20"/>
          <w:szCs w:val="18"/>
          <w:lang w:val="en-US"/>
        </w:rPr>
        <w:t>o</w:t>
      </w:r>
      <w:r w:rsidR="00C67B06" w:rsidRPr="00D82DF0">
        <w:rPr>
          <w:rFonts w:ascii="Times New Roman" w:hAnsi="Times New Roman" w:cs="Times New Roman"/>
          <w:i/>
          <w:sz w:val="20"/>
          <w:szCs w:val="18"/>
          <w:lang w:val="en-US"/>
        </w:rPr>
        <w:t>nding</w:t>
      </w:r>
      <w:r w:rsidR="00FE6DBA" w:rsidRPr="00D82DF0">
        <w:rPr>
          <w:rFonts w:ascii="Times New Roman" w:hAnsi="Times New Roman" w:cs="Times New Roman"/>
          <w:i/>
          <w:sz w:val="20"/>
          <w:szCs w:val="18"/>
          <w:lang w:val="en-US"/>
        </w:rPr>
        <w:t xml:space="preserve"> </w:t>
      </w:r>
      <w:r>
        <w:rPr>
          <w:rFonts w:ascii="Times New Roman" w:hAnsi="Times New Roman" w:cs="Times New Roman"/>
          <w:i/>
          <w:sz w:val="20"/>
          <w:szCs w:val="18"/>
          <w:lang w:val="en-US"/>
        </w:rPr>
        <w:t>a</w:t>
      </w:r>
      <w:r w:rsidR="00FE6DBA" w:rsidRPr="00D82DF0">
        <w:rPr>
          <w:rFonts w:ascii="Times New Roman" w:hAnsi="Times New Roman" w:cs="Times New Roman"/>
          <w:i/>
          <w:sz w:val="20"/>
          <w:szCs w:val="18"/>
          <w:lang w:val="en-US"/>
        </w:rPr>
        <w:t>uth</w:t>
      </w:r>
      <w:r w:rsidR="007F527B">
        <w:rPr>
          <w:rFonts w:ascii="Times New Roman" w:hAnsi="Times New Roman" w:cs="Times New Roman"/>
          <w:i/>
          <w:sz w:val="20"/>
          <w:szCs w:val="18"/>
          <w:lang w:val="en-US"/>
        </w:rPr>
        <w:t>o</w:t>
      </w:r>
      <w:r w:rsidR="00FE6DBA" w:rsidRPr="00D82DF0">
        <w:rPr>
          <w:rFonts w:ascii="Times New Roman" w:hAnsi="Times New Roman" w:cs="Times New Roman"/>
          <w:i/>
          <w:sz w:val="20"/>
          <w:szCs w:val="18"/>
          <w:lang w:val="en-US"/>
        </w:rPr>
        <w:t>r:</w:t>
      </w:r>
      <w:r w:rsidR="00E87349">
        <w:rPr>
          <w:rFonts w:ascii="Times New Roman" w:hAnsi="Times New Roman" w:cs="Times New Roman"/>
          <w:i/>
          <w:sz w:val="20"/>
          <w:szCs w:val="18"/>
          <w:lang w:val="en-US"/>
        </w:rPr>
        <w:t xml:space="preserve"> </w:t>
      </w:r>
      <w:hyperlink r:id="rId8" w:history="1">
        <w:r w:rsidR="00352575" w:rsidRPr="002A2C95">
          <w:rPr>
            <w:rStyle w:val="a3"/>
            <w:rFonts w:ascii="Times New Roman" w:hAnsi="Times New Roman" w:cs="Times New Roman"/>
            <w:i/>
            <w:sz w:val="20"/>
            <w:szCs w:val="20"/>
            <w:lang w:val="en-US"/>
          </w:rPr>
          <w:t>rahmatillo05.03.1982@gmail.com</w:t>
        </w:r>
      </w:hyperlink>
    </w:p>
    <w:p w14:paraId="304DA0CE" w14:textId="279AF0EC" w:rsidR="00C31627" w:rsidRPr="00D82DF0" w:rsidRDefault="00A227AD" w:rsidP="00071E5E">
      <w:pPr>
        <w:spacing w:before="360" w:after="360" w:line="240" w:lineRule="auto"/>
        <w:ind w:left="284" w:right="284"/>
        <w:jc w:val="both"/>
        <w:rPr>
          <w:rFonts w:ascii="Times New Roman" w:hAnsi="Times New Roman" w:cs="Times New Roman"/>
          <w:sz w:val="14"/>
          <w:szCs w:val="36"/>
          <w:lang w:val="en-US"/>
        </w:rPr>
      </w:pPr>
      <w:r>
        <w:rPr>
          <w:rFonts w:ascii="Times New Roman" w:hAnsi="Times New Roman" w:cs="Times New Roman"/>
          <w:b/>
          <w:sz w:val="18"/>
          <w:szCs w:val="36"/>
          <w:lang w:val="en-US"/>
        </w:rPr>
        <w:t>A</w:t>
      </w:r>
      <w:r w:rsidR="00C31627" w:rsidRPr="00D82DF0">
        <w:rPr>
          <w:rFonts w:ascii="Times New Roman" w:hAnsi="Times New Roman" w:cs="Times New Roman"/>
          <w:b/>
          <w:sz w:val="18"/>
          <w:szCs w:val="36"/>
          <w:lang w:val="en-US"/>
        </w:rPr>
        <w:t>bstr</w:t>
      </w:r>
      <w:r>
        <w:rPr>
          <w:rFonts w:ascii="Times New Roman" w:hAnsi="Times New Roman" w:cs="Times New Roman"/>
          <w:b/>
          <w:sz w:val="18"/>
          <w:szCs w:val="36"/>
          <w:lang w:val="en-US"/>
        </w:rPr>
        <w:t>ac</w:t>
      </w:r>
      <w:r w:rsidR="00C31627" w:rsidRPr="00D82DF0">
        <w:rPr>
          <w:rFonts w:ascii="Times New Roman" w:hAnsi="Times New Roman" w:cs="Times New Roman"/>
          <w:b/>
          <w:sz w:val="18"/>
          <w:szCs w:val="36"/>
          <w:lang w:val="en-US"/>
        </w:rPr>
        <w:t xml:space="preserve">t. </w:t>
      </w:r>
      <w:r w:rsidR="000C2A4E" w:rsidRPr="000C2A4E">
        <w:rPr>
          <w:rFonts w:ascii="Times New Roman" w:hAnsi="Times New Roman" w:cs="Times New Roman"/>
          <w:sz w:val="18"/>
          <w:lang w:val="en"/>
        </w:rPr>
        <w:t>This article presents the results of a study on the impact of secondary and tertiary air proportions and their ratios on the formation of nitrogen oxides and carcinogenic PAHs during the combustion of gas and fuel oil. Indicators of total and partial toxicity of combustion products under various conditions of conventional and staged combustion of gas and fuel oil were determined, and a comprehensive analysis was performed. The research showed that the total toxicity of gas combustion decreased by 51%, while the toxicity of nitrogen oxides alone was reduced by approximately 59%. At the same time, the toxicity of soot increased by 1.8 times, and that of benzo(a)pyrene by about 2 times (due to their low initial concentrations), which led to a 10% increase in overall toxicity. Thus, it was concluded that the tested three-stage gas combustion regime can be recommended for use</w:t>
      </w:r>
      <w:r w:rsidR="00DD5900" w:rsidRPr="00D82DF0">
        <w:rPr>
          <w:rFonts w:ascii="Times New Roman" w:hAnsi="Times New Roman" w:cs="Times New Roman"/>
          <w:sz w:val="18"/>
          <w:lang w:val="en"/>
        </w:rPr>
        <w:t>.</w:t>
      </w:r>
    </w:p>
    <w:p w14:paraId="2D1EC3B2" w14:textId="77777777" w:rsidR="00C31627" w:rsidRPr="00D82DF0" w:rsidRDefault="002D05A3" w:rsidP="002D05A3">
      <w:pPr>
        <w:spacing w:before="240" w:after="240" w:line="240" w:lineRule="auto"/>
        <w:jc w:val="center"/>
        <w:rPr>
          <w:rFonts w:ascii="Times New Roman" w:hAnsi="Times New Roman" w:cs="Times New Roman"/>
          <w:b/>
          <w:sz w:val="24"/>
          <w:szCs w:val="24"/>
          <w:lang w:val="en-US"/>
        </w:rPr>
      </w:pPr>
      <w:r w:rsidRPr="00D82DF0">
        <w:rPr>
          <w:rFonts w:ascii="Times New Roman" w:hAnsi="Times New Roman" w:cs="Times New Roman"/>
          <w:b/>
          <w:sz w:val="24"/>
          <w:szCs w:val="24"/>
          <w:lang w:val="en-US"/>
        </w:rPr>
        <w:t>INTR</w:t>
      </w:r>
      <w:r w:rsidR="007F527B">
        <w:rPr>
          <w:rFonts w:ascii="Times New Roman" w:hAnsi="Times New Roman" w:cs="Times New Roman"/>
          <w:b/>
          <w:sz w:val="24"/>
          <w:szCs w:val="24"/>
          <w:lang w:val="en-US"/>
        </w:rPr>
        <w:t>O</w:t>
      </w:r>
      <w:r w:rsidRPr="00D82DF0">
        <w:rPr>
          <w:rFonts w:ascii="Times New Roman" w:hAnsi="Times New Roman" w:cs="Times New Roman"/>
          <w:b/>
          <w:sz w:val="24"/>
          <w:szCs w:val="24"/>
          <w:lang w:val="en-US"/>
        </w:rPr>
        <w:t>DU</w:t>
      </w:r>
      <w:r w:rsidR="00A227AD">
        <w:rPr>
          <w:rFonts w:ascii="Times New Roman" w:hAnsi="Times New Roman" w:cs="Times New Roman"/>
          <w:b/>
          <w:sz w:val="24"/>
          <w:szCs w:val="24"/>
          <w:lang w:val="en-US"/>
        </w:rPr>
        <w:t>C</w:t>
      </w:r>
      <w:r w:rsidRPr="00D82DF0">
        <w:rPr>
          <w:rFonts w:ascii="Times New Roman" w:hAnsi="Times New Roman" w:cs="Times New Roman"/>
          <w:b/>
          <w:sz w:val="24"/>
          <w:szCs w:val="24"/>
          <w:lang w:val="en-US"/>
        </w:rPr>
        <w:t>TI</w:t>
      </w:r>
      <w:r w:rsidR="007F527B">
        <w:rPr>
          <w:rFonts w:ascii="Times New Roman" w:hAnsi="Times New Roman" w:cs="Times New Roman"/>
          <w:b/>
          <w:sz w:val="24"/>
          <w:szCs w:val="24"/>
          <w:lang w:val="en-US"/>
        </w:rPr>
        <w:t>O</w:t>
      </w:r>
      <w:r w:rsidRPr="00D82DF0">
        <w:rPr>
          <w:rFonts w:ascii="Times New Roman" w:hAnsi="Times New Roman" w:cs="Times New Roman"/>
          <w:b/>
          <w:sz w:val="24"/>
          <w:szCs w:val="24"/>
          <w:lang w:val="en-US"/>
        </w:rPr>
        <w:t>N</w:t>
      </w:r>
    </w:p>
    <w:p w14:paraId="7913D4CB" w14:textId="699494A6" w:rsidR="00B534B9" w:rsidRPr="0068159E" w:rsidRDefault="00B534B9" w:rsidP="00B534B9">
      <w:pPr>
        <w:spacing w:after="0" w:line="240" w:lineRule="auto"/>
        <w:ind w:firstLine="284"/>
        <w:jc w:val="both"/>
        <w:rPr>
          <w:rFonts w:ascii="Times New Roman" w:hAnsi="Times New Roman" w:cs="Times New Roman"/>
          <w:sz w:val="20"/>
          <w:szCs w:val="20"/>
          <w:lang w:val="en-US"/>
        </w:rPr>
      </w:pPr>
      <w:r w:rsidRPr="00B534B9">
        <w:rPr>
          <w:rFonts w:ascii="Times New Roman" w:hAnsi="Times New Roman" w:cs="Times New Roman"/>
          <w:sz w:val="20"/>
          <w:szCs w:val="20"/>
          <w:lang w:val="en-US"/>
        </w:rPr>
        <w:t xml:space="preserve">The development of scientific foundations for in-furnace methods to reduce the toxicity of combustion products of gas and fuel oil has been carried out without consideration of the actual condition of the boiler, without optimizing fuel combustion modes, or improving the efficiency of the main equipment. Moreover, these studies have often been one-sided, based on traditionally declared components of incomplete combustion (usually CO) and nitrogen oxides. Meanwhile, emissions of another unregulated group of carcinogenic substances and soot — which increase several times during fuel oil combustion, and especially during its co-combustion with gas — have been unfairly neglected. Furthermore, even traditional methods of gas and fuel oil combustion are not sufficiently studied, although their toxicity in operating boilers significantly depends </w:t>
      </w:r>
      <w:r w:rsidRPr="0068159E">
        <w:rPr>
          <w:rFonts w:ascii="Times New Roman" w:hAnsi="Times New Roman" w:cs="Times New Roman"/>
          <w:sz w:val="20"/>
          <w:szCs w:val="20"/>
          <w:lang w:val="en-US"/>
        </w:rPr>
        <w:t>not only on the main parameters .characteristics of fuel-air mixture, design and operating parameters, but also on the elemental condition and wear of the equipment, poor adjustment of combustion modes, which can also influence the ratio of incomplete combustion components to NOx. This explains the significant variation in the effectiveness of in-furnace methods for reducing combustion toxicity reported in the literature</w:t>
      </w:r>
      <w:r w:rsidR="00434629" w:rsidRPr="0068159E">
        <w:rPr>
          <w:rFonts w:ascii="Times New Roman" w:hAnsi="Times New Roman" w:cs="Times New Roman"/>
          <w:sz w:val="20"/>
          <w:szCs w:val="20"/>
          <w:lang w:val="en-US"/>
        </w:rPr>
        <w:t xml:space="preserve"> [1-5].</w:t>
      </w:r>
    </w:p>
    <w:p w14:paraId="08D77473" w14:textId="41DE3544" w:rsidR="00B534B9" w:rsidRPr="0068159E" w:rsidRDefault="00B534B9" w:rsidP="00B534B9">
      <w:pPr>
        <w:spacing w:after="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The developed boiler retrofit schemes [1</w:t>
      </w:r>
      <w:r w:rsidR="008565AD" w:rsidRPr="0068159E">
        <w:rPr>
          <w:rFonts w:ascii="Times New Roman" w:hAnsi="Times New Roman" w:cs="Times New Roman"/>
          <w:sz w:val="20"/>
          <w:szCs w:val="20"/>
          <w:lang w:val="en-US"/>
        </w:rPr>
        <w:t>-</w:t>
      </w:r>
      <w:r w:rsidRPr="0068159E">
        <w:rPr>
          <w:rFonts w:ascii="Times New Roman" w:hAnsi="Times New Roman" w:cs="Times New Roman"/>
          <w:sz w:val="20"/>
          <w:szCs w:val="20"/>
          <w:lang w:val="en-US"/>
        </w:rPr>
        <w:t>3] made it possible to separately study the influence of the proportion of secondary and tertiary air and their ratio on the formation of nitrogen oxides and carcinogenic PAHs during the combustion of gas and fuel oil. Consequently, this allowed for a deeper understanding of the mechanisms of interdependence in the formation of emissions from various harmful substance groups, the formation of which depends on the excess air ratio in the combustion zone and other operating conditions, often in mutually opposite ways [4-6].</w:t>
      </w:r>
    </w:p>
    <w:p w14:paraId="4C9B0744" w14:textId="7C612112" w:rsidR="00B534B9" w:rsidRPr="0068159E" w:rsidRDefault="00B534B9" w:rsidP="00B534B9">
      <w:pPr>
        <w:spacing w:after="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 xml:space="preserve">Boiler modernization projects for TGM-94 units at the </w:t>
      </w:r>
      <w:proofErr w:type="spellStart"/>
      <w:r w:rsidRPr="0068159E">
        <w:rPr>
          <w:rFonts w:ascii="Times New Roman" w:hAnsi="Times New Roman" w:cs="Times New Roman"/>
          <w:sz w:val="20"/>
          <w:szCs w:val="20"/>
          <w:lang w:val="en-US"/>
        </w:rPr>
        <w:t>Nevinnomysskaya</w:t>
      </w:r>
      <w:proofErr w:type="spellEnd"/>
      <w:r w:rsidRPr="0068159E">
        <w:rPr>
          <w:rFonts w:ascii="Times New Roman" w:hAnsi="Times New Roman" w:cs="Times New Roman"/>
          <w:sz w:val="20"/>
          <w:szCs w:val="20"/>
          <w:lang w:val="en-US"/>
        </w:rPr>
        <w:t xml:space="preserve"> GRES, the Krasnodar CHP plant, and TGM-104 boilers at the Mary GRES for staged combustion of gas and fuel oil were carried out by Kharkiv Central Design Bureau “</w:t>
      </w:r>
      <w:proofErr w:type="spellStart"/>
      <w:r w:rsidRPr="0068159E">
        <w:rPr>
          <w:rFonts w:ascii="Times New Roman" w:hAnsi="Times New Roman" w:cs="Times New Roman"/>
          <w:sz w:val="20"/>
          <w:szCs w:val="20"/>
          <w:lang w:val="en-US"/>
        </w:rPr>
        <w:t>Energoprogress</w:t>
      </w:r>
      <w:proofErr w:type="spellEnd"/>
      <w:r w:rsidRPr="0068159E">
        <w:rPr>
          <w:rFonts w:ascii="Times New Roman" w:hAnsi="Times New Roman" w:cs="Times New Roman"/>
          <w:sz w:val="20"/>
          <w:szCs w:val="20"/>
          <w:lang w:val="en-US"/>
        </w:rPr>
        <w:t>” of LLC “</w:t>
      </w:r>
      <w:proofErr w:type="spellStart"/>
      <w:r w:rsidRPr="0068159E">
        <w:rPr>
          <w:rFonts w:ascii="Times New Roman" w:hAnsi="Times New Roman" w:cs="Times New Roman"/>
          <w:sz w:val="20"/>
          <w:szCs w:val="20"/>
          <w:lang w:val="en-US"/>
        </w:rPr>
        <w:t>Kotloturboprom</w:t>
      </w:r>
      <w:proofErr w:type="spellEnd"/>
      <w:r w:rsidRPr="0068159E">
        <w:rPr>
          <w:rFonts w:ascii="Times New Roman" w:hAnsi="Times New Roman" w:cs="Times New Roman"/>
          <w:sz w:val="20"/>
          <w:szCs w:val="20"/>
          <w:lang w:val="en-US"/>
        </w:rPr>
        <w:t xml:space="preserve">” (Kharkiv, Ukraine) </w:t>
      </w:r>
      <w:r w:rsidR="00434629" w:rsidRPr="0068159E">
        <w:rPr>
          <w:rFonts w:ascii="Times New Roman" w:hAnsi="Times New Roman" w:cs="Times New Roman"/>
          <w:sz w:val="20"/>
          <w:szCs w:val="20"/>
          <w:lang w:val="en-US"/>
        </w:rPr>
        <w:t>[</w:t>
      </w:r>
      <w:r w:rsidR="0068159E" w:rsidRPr="0068159E">
        <w:rPr>
          <w:rFonts w:ascii="Times New Roman" w:hAnsi="Times New Roman" w:cs="Times New Roman"/>
          <w:sz w:val="20"/>
          <w:szCs w:val="20"/>
          <w:lang w:val="en-US"/>
        </w:rPr>
        <w:t xml:space="preserve">1-3, </w:t>
      </w:r>
      <w:r w:rsidR="00434629" w:rsidRPr="0068159E">
        <w:rPr>
          <w:rFonts w:ascii="Times New Roman" w:hAnsi="Times New Roman" w:cs="Times New Roman"/>
          <w:sz w:val="20"/>
          <w:szCs w:val="20"/>
          <w:lang w:val="en-US"/>
        </w:rPr>
        <w:t>7-11].</w:t>
      </w:r>
    </w:p>
    <w:p w14:paraId="72728AF9" w14:textId="353EB776" w:rsidR="00B534B9" w:rsidRPr="0068159E" w:rsidRDefault="00B534B9" w:rsidP="00C80B9B">
      <w:pPr>
        <w:spacing w:after="12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 xml:space="preserve">Various burner configurations for TGM-94 gas-fuel oil boilers were tested, allowing air to be supplied </w:t>
      </w:r>
      <w:r w:rsidRPr="00B534B9">
        <w:rPr>
          <w:rFonts w:ascii="Times New Roman" w:hAnsi="Times New Roman" w:cs="Times New Roman"/>
          <w:sz w:val="20"/>
          <w:szCs w:val="20"/>
          <w:lang w:val="en-US"/>
        </w:rPr>
        <w:t>in two-, three-, or four-stage modes (Fig</w:t>
      </w:r>
      <w:r w:rsidR="008E4070">
        <w:rPr>
          <w:rFonts w:ascii="Times New Roman" w:hAnsi="Times New Roman" w:cs="Times New Roman"/>
          <w:sz w:val="20"/>
          <w:szCs w:val="20"/>
          <w:lang w:val="en-US"/>
        </w:rPr>
        <w:t>.</w:t>
      </w:r>
      <w:r w:rsidRPr="00B534B9">
        <w:rPr>
          <w:rFonts w:ascii="Times New Roman" w:hAnsi="Times New Roman" w:cs="Times New Roman"/>
          <w:sz w:val="20"/>
          <w:szCs w:val="20"/>
          <w:lang w:val="en-US"/>
        </w:rPr>
        <w:t xml:space="preserve">1), which led to a significant improvement in environmental performance and compliance with emission limits for controlled pollutants, while maintaining the same levels of uncontrolled sulfur </w:t>
      </w:r>
      <w:r w:rsidRPr="00B534B9">
        <w:rPr>
          <w:rFonts w:ascii="Times New Roman" w:hAnsi="Times New Roman" w:cs="Times New Roman"/>
          <w:sz w:val="20"/>
          <w:szCs w:val="20"/>
          <w:lang w:val="en-US"/>
        </w:rPr>
        <w:lastRenderedPageBreak/>
        <w:t xml:space="preserve">oxide emissions. At the same time, high environmental, reliability, and techno-economic performance was ensured for the boiler </w:t>
      </w:r>
      <w:r w:rsidRPr="0068159E">
        <w:rPr>
          <w:rFonts w:ascii="Times New Roman" w:hAnsi="Times New Roman" w:cs="Times New Roman"/>
          <w:sz w:val="20"/>
          <w:szCs w:val="20"/>
          <w:lang w:val="en-US"/>
        </w:rPr>
        <w:t>during both separate and combined staged combustion of gas and fuel oil across the entire load range</w:t>
      </w:r>
      <w:r w:rsidR="00434629" w:rsidRPr="0068159E">
        <w:rPr>
          <w:rFonts w:ascii="Times New Roman" w:hAnsi="Times New Roman" w:cs="Times New Roman"/>
          <w:sz w:val="20"/>
          <w:szCs w:val="20"/>
          <w:lang w:val="en-US"/>
        </w:rPr>
        <w:t xml:space="preserve"> [</w:t>
      </w:r>
      <w:r w:rsidR="0068159E" w:rsidRPr="0068159E">
        <w:rPr>
          <w:rFonts w:ascii="Times New Roman" w:hAnsi="Times New Roman" w:cs="Times New Roman"/>
          <w:sz w:val="20"/>
          <w:szCs w:val="20"/>
          <w:lang w:val="en-US"/>
        </w:rPr>
        <w:t xml:space="preserve">5-7, </w:t>
      </w:r>
      <w:r w:rsidR="00434629" w:rsidRPr="0068159E">
        <w:rPr>
          <w:rFonts w:ascii="Times New Roman" w:hAnsi="Times New Roman" w:cs="Times New Roman"/>
          <w:sz w:val="20"/>
          <w:szCs w:val="20"/>
          <w:lang w:val="en-US"/>
        </w:rPr>
        <w:t>12-16].</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8E4070" w:rsidRPr="00BD252F" w14:paraId="22CE903B" w14:textId="77777777" w:rsidTr="006046C1">
        <w:tc>
          <w:tcPr>
            <w:tcW w:w="4680" w:type="dxa"/>
            <w:vAlign w:val="bottom"/>
          </w:tcPr>
          <w:p w14:paraId="5DACB8F2" w14:textId="0429B7C3" w:rsidR="008E4070" w:rsidRPr="001E7194" w:rsidRDefault="00006130" w:rsidP="006046C1">
            <w:pPr>
              <w:ind w:right="-138"/>
              <w:jc w:val="center"/>
              <w:rPr>
                <w:lang w:val="en"/>
              </w:rPr>
            </w:pPr>
            <w:r w:rsidRPr="001E7194">
              <w:rPr>
                <w:rFonts w:asciiTheme="minorHAnsi" w:eastAsiaTheme="minorHAnsi" w:hAnsiTheme="minorHAnsi" w:cstheme="minorBidi"/>
                <w:sz w:val="22"/>
                <w:szCs w:val="22"/>
                <w:lang w:eastAsia="en-US"/>
              </w:rPr>
              <w:object w:dxaOrig="7899" w:dyaOrig="7739" w14:anchorId="3DA90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95.95pt" o:ole="">
                  <v:imagedata r:id="rId9" o:title=""/>
                </v:shape>
                <o:OLEObject Type="Embed" ProgID="Visio.Drawing.11" ShapeID="_x0000_i1025" DrawAspect="Content" ObjectID="_1828287569" r:id="rId10"/>
              </w:object>
            </w:r>
          </w:p>
        </w:tc>
        <w:tc>
          <w:tcPr>
            <w:tcW w:w="4676" w:type="dxa"/>
            <w:vAlign w:val="bottom"/>
          </w:tcPr>
          <w:p w14:paraId="464010BA" w14:textId="3BCEA9A3" w:rsidR="008E4070" w:rsidRPr="001E7194" w:rsidRDefault="00F37FB6" w:rsidP="006046C1">
            <w:pPr>
              <w:ind w:left="-108" w:right="-138"/>
              <w:jc w:val="center"/>
              <w:rPr>
                <w:lang w:val="en"/>
              </w:rPr>
            </w:pPr>
            <w:r w:rsidRPr="001E7194">
              <w:rPr>
                <w:rFonts w:asciiTheme="minorHAnsi" w:eastAsiaTheme="minorHAnsi" w:hAnsiTheme="minorHAnsi" w:cstheme="minorBidi"/>
                <w:sz w:val="22"/>
                <w:szCs w:val="22"/>
                <w:lang w:eastAsia="en-US"/>
              </w:rPr>
              <w:object w:dxaOrig="9038" w:dyaOrig="8122" w14:anchorId="06C716EA">
                <v:shape id="_x0000_i1026" type="#_x0000_t75" style="width:219.75pt;height:197.2pt" o:ole="">
                  <v:imagedata r:id="rId11" o:title=""/>
                </v:shape>
                <o:OLEObject Type="Embed" ProgID="Visio.Drawing.11" ShapeID="_x0000_i1026" DrawAspect="Content" ObjectID="_1828287570" r:id="rId12"/>
              </w:object>
            </w:r>
          </w:p>
        </w:tc>
      </w:tr>
      <w:tr w:rsidR="008E4070" w:rsidRPr="00BD252F" w14:paraId="393B751A" w14:textId="77777777" w:rsidTr="006046C1">
        <w:tc>
          <w:tcPr>
            <w:tcW w:w="4680" w:type="dxa"/>
          </w:tcPr>
          <w:p w14:paraId="697FE70C" w14:textId="77777777" w:rsidR="008E4070" w:rsidRPr="001E7194" w:rsidRDefault="008E4070" w:rsidP="006046C1">
            <w:pPr>
              <w:ind w:left="-108" w:right="-138"/>
              <w:jc w:val="center"/>
              <w:rPr>
                <w:lang w:val="en"/>
              </w:rPr>
            </w:pPr>
            <w:r w:rsidRPr="001E7194">
              <w:t>a)</w:t>
            </w:r>
          </w:p>
        </w:tc>
        <w:tc>
          <w:tcPr>
            <w:tcW w:w="4676" w:type="dxa"/>
          </w:tcPr>
          <w:p w14:paraId="6ACF995D" w14:textId="77777777" w:rsidR="008E4070" w:rsidRPr="001E7194" w:rsidRDefault="008E4070" w:rsidP="006046C1">
            <w:pPr>
              <w:ind w:left="-108" w:right="-138"/>
              <w:jc w:val="center"/>
              <w:rPr>
                <w:lang w:val="en"/>
              </w:rPr>
            </w:pPr>
            <w:r w:rsidRPr="001E7194">
              <w:rPr>
                <w:lang w:val="en-US"/>
              </w:rPr>
              <w:t>b</w:t>
            </w:r>
            <w:r w:rsidRPr="001E7194">
              <w:t>)</w:t>
            </w:r>
          </w:p>
        </w:tc>
      </w:tr>
      <w:tr w:rsidR="008E4070" w:rsidRPr="00BD252F" w14:paraId="1FD77B73" w14:textId="77777777" w:rsidTr="006046C1">
        <w:tc>
          <w:tcPr>
            <w:tcW w:w="4680" w:type="dxa"/>
          </w:tcPr>
          <w:p w14:paraId="39084B13" w14:textId="77777777" w:rsidR="008E4070" w:rsidRPr="001E7194" w:rsidRDefault="008E4070" w:rsidP="006046C1">
            <w:pPr>
              <w:ind w:left="-108" w:right="-138"/>
              <w:jc w:val="center"/>
            </w:pPr>
          </w:p>
        </w:tc>
        <w:tc>
          <w:tcPr>
            <w:tcW w:w="4676" w:type="dxa"/>
          </w:tcPr>
          <w:p w14:paraId="0E34EF92" w14:textId="77777777" w:rsidR="008E4070" w:rsidRPr="001E7194" w:rsidRDefault="008E4070" w:rsidP="006046C1">
            <w:pPr>
              <w:ind w:left="-108" w:right="-138"/>
              <w:jc w:val="center"/>
              <w:rPr>
                <w:lang w:val="en-US"/>
              </w:rPr>
            </w:pPr>
          </w:p>
        </w:tc>
      </w:tr>
      <w:tr w:rsidR="008E4070" w:rsidRPr="00BD252F" w14:paraId="2D58B71E" w14:textId="77777777" w:rsidTr="006046C1">
        <w:tc>
          <w:tcPr>
            <w:tcW w:w="4680" w:type="dxa"/>
            <w:vAlign w:val="bottom"/>
          </w:tcPr>
          <w:p w14:paraId="28A7A23A" w14:textId="2FC39E13" w:rsidR="008E4070" w:rsidRPr="001E7194" w:rsidRDefault="0041109D" w:rsidP="006046C1">
            <w:pPr>
              <w:ind w:left="-108" w:right="-138"/>
              <w:jc w:val="center"/>
            </w:pPr>
            <w:r w:rsidRPr="001E7194">
              <w:rPr>
                <w:rFonts w:asciiTheme="minorHAnsi" w:eastAsiaTheme="minorHAnsi" w:hAnsiTheme="minorHAnsi" w:cstheme="minorBidi"/>
                <w:sz w:val="22"/>
                <w:szCs w:val="22"/>
                <w:lang w:eastAsia="en-US"/>
              </w:rPr>
              <w:object w:dxaOrig="8256" w:dyaOrig="7100" w14:anchorId="1C9787C4">
                <v:shape id="_x0000_i1027" type="#_x0000_t75" style="width:195.35pt;height:168.4pt" o:ole="">
                  <v:imagedata r:id="rId13" o:title=""/>
                </v:shape>
                <o:OLEObject Type="Embed" ProgID="Visio.Drawing.11" ShapeID="_x0000_i1027" DrawAspect="Content" ObjectID="_1828287571" r:id="rId14"/>
              </w:object>
            </w:r>
          </w:p>
        </w:tc>
        <w:tc>
          <w:tcPr>
            <w:tcW w:w="4676" w:type="dxa"/>
            <w:vAlign w:val="bottom"/>
          </w:tcPr>
          <w:p w14:paraId="42074E6E" w14:textId="5C59B19E" w:rsidR="008E4070" w:rsidRPr="001E7194" w:rsidRDefault="00B744D5" w:rsidP="006046C1">
            <w:pPr>
              <w:ind w:left="-108" w:right="-138"/>
              <w:jc w:val="center"/>
              <w:rPr>
                <w:lang w:val="en-US"/>
              </w:rPr>
            </w:pPr>
            <w:r w:rsidRPr="001E7194">
              <w:rPr>
                <w:rFonts w:asciiTheme="minorHAnsi" w:eastAsiaTheme="minorHAnsi" w:hAnsiTheme="minorHAnsi" w:cstheme="minorBidi"/>
                <w:sz w:val="22"/>
                <w:szCs w:val="22"/>
                <w:lang w:eastAsia="en-US"/>
              </w:rPr>
              <w:object w:dxaOrig="8968" w:dyaOrig="6821" w14:anchorId="4DD93B5B">
                <v:shape id="_x0000_i1028" type="#_x0000_t75" style="width:219.15pt;height:165.3pt" o:ole="">
                  <v:imagedata r:id="rId15" o:title=""/>
                </v:shape>
                <o:OLEObject Type="Embed" ProgID="Visio.Drawing.11" ShapeID="_x0000_i1028" DrawAspect="Content" ObjectID="_1828287572" r:id="rId16"/>
              </w:object>
            </w:r>
          </w:p>
        </w:tc>
      </w:tr>
      <w:tr w:rsidR="008E4070" w:rsidRPr="00BD252F" w14:paraId="271B0D39" w14:textId="77777777" w:rsidTr="006046C1">
        <w:tc>
          <w:tcPr>
            <w:tcW w:w="4680" w:type="dxa"/>
          </w:tcPr>
          <w:p w14:paraId="3F75B59E" w14:textId="77777777" w:rsidR="008E4070" w:rsidRPr="001E7194" w:rsidRDefault="008E4070" w:rsidP="006046C1">
            <w:pPr>
              <w:ind w:left="-108" w:right="-138"/>
              <w:jc w:val="center"/>
            </w:pPr>
            <w:r w:rsidRPr="001E7194">
              <w:rPr>
                <w:lang w:val="en-US"/>
              </w:rPr>
              <w:t>c</w:t>
            </w:r>
            <w:r w:rsidRPr="001E7194">
              <w:t>)</w:t>
            </w:r>
          </w:p>
        </w:tc>
        <w:tc>
          <w:tcPr>
            <w:tcW w:w="4676" w:type="dxa"/>
          </w:tcPr>
          <w:p w14:paraId="21C53F53" w14:textId="77777777" w:rsidR="008E4070" w:rsidRPr="001E7194" w:rsidRDefault="008E4070" w:rsidP="006046C1">
            <w:pPr>
              <w:ind w:left="-108" w:right="-138"/>
              <w:jc w:val="center"/>
              <w:rPr>
                <w:lang w:val="en-US"/>
              </w:rPr>
            </w:pPr>
            <w:r w:rsidRPr="001E7194">
              <w:rPr>
                <w:lang w:val="en-US"/>
              </w:rPr>
              <w:t>d</w:t>
            </w:r>
            <w:r w:rsidRPr="001E7194">
              <w:t>)</w:t>
            </w:r>
          </w:p>
        </w:tc>
      </w:tr>
      <w:tr w:rsidR="008E4070" w:rsidRPr="00E957B8" w14:paraId="7D4504A9" w14:textId="77777777" w:rsidTr="006046C1">
        <w:tc>
          <w:tcPr>
            <w:tcW w:w="9356" w:type="dxa"/>
            <w:gridSpan w:val="2"/>
          </w:tcPr>
          <w:p w14:paraId="53D714C7" w14:textId="77777777" w:rsidR="008E4070" w:rsidRPr="0065721C" w:rsidRDefault="008E4070" w:rsidP="006046C1">
            <w:pPr>
              <w:ind w:left="-108" w:right="-138"/>
              <w:jc w:val="center"/>
              <w:outlineLvl w:val="0"/>
              <w:rPr>
                <w:lang w:val="en-US"/>
              </w:rPr>
            </w:pPr>
            <w:r w:rsidRPr="0065721C">
              <w:rPr>
                <w:b/>
                <w:lang w:val="en"/>
              </w:rPr>
              <w:t>FIGUR</w:t>
            </w:r>
            <w:r w:rsidRPr="0065721C">
              <w:rPr>
                <w:b/>
                <w:lang w:val="en-US"/>
              </w:rPr>
              <w:t>E 1.</w:t>
            </w:r>
            <w:r w:rsidRPr="0065721C">
              <w:rPr>
                <w:lang w:val="en-US"/>
              </w:rPr>
              <w:t xml:space="preserve"> Modernization Schemes of TGM-94 Boilers: Unit </w:t>
            </w:r>
            <w:r w:rsidRPr="0065721C">
              <w:rPr>
                <w:lang w:val="uz-Cyrl-UZ"/>
              </w:rPr>
              <w:t>№</w:t>
            </w:r>
            <w:r w:rsidRPr="0065721C">
              <w:rPr>
                <w:lang w:val="en-US"/>
              </w:rPr>
              <w:t xml:space="preserve">6 at Tashkent TPP (a), Units </w:t>
            </w:r>
            <w:r w:rsidRPr="0065721C">
              <w:rPr>
                <w:lang w:val="uz-Cyrl-UZ"/>
              </w:rPr>
              <w:t>№</w:t>
            </w:r>
            <w:r w:rsidRPr="0065721C">
              <w:rPr>
                <w:lang w:val="en-US"/>
              </w:rPr>
              <w:t xml:space="preserve">8 and 11 at </w:t>
            </w:r>
            <w:proofErr w:type="spellStart"/>
            <w:r w:rsidRPr="0065721C">
              <w:rPr>
                <w:lang w:val="en-US"/>
              </w:rPr>
              <w:t>Nevinnomysskaya</w:t>
            </w:r>
            <w:proofErr w:type="spellEnd"/>
            <w:r w:rsidRPr="0065721C">
              <w:rPr>
                <w:lang w:val="en-US"/>
              </w:rPr>
              <w:t xml:space="preserve"> TPP (b), TGM-104 Unit </w:t>
            </w:r>
            <w:r w:rsidRPr="0065721C">
              <w:rPr>
                <w:lang w:val="uz-Cyrl-UZ"/>
              </w:rPr>
              <w:t>№</w:t>
            </w:r>
            <w:r w:rsidRPr="0065721C">
              <w:rPr>
                <w:lang w:val="en-US"/>
              </w:rPr>
              <w:t xml:space="preserve">3 at Mary GRES (c), and TGM-94 Unit </w:t>
            </w:r>
            <w:r w:rsidRPr="0065721C">
              <w:rPr>
                <w:lang w:val="uz-Cyrl-UZ"/>
              </w:rPr>
              <w:t>№</w:t>
            </w:r>
            <w:r w:rsidRPr="0065721C">
              <w:rPr>
                <w:lang w:val="en-US"/>
              </w:rPr>
              <w:t>9 at Krasnodar CHP (d)</w:t>
            </w:r>
          </w:p>
        </w:tc>
      </w:tr>
    </w:tbl>
    <w:p w14:paraId="2F4A7967" w14:textId="65D72660" w:rsidR="00B534B9" w:rsidRPr="0068159E" w:rsidRDefault="00B534B9" w:rsidP="00C80B9B">
      <w:pPr>
        <w:spacing w:before="240" w:after="0" w:line="240" w:lineRule="auto"/>
        <w:ind w:firstLine="284"/>
        <w:jc w:val="both"/>
        <w:rPr>
          <w:rFonts w:ascii="Times New Roman" w:hAnsi="Times New Roman" w:cs="Times New Roman"/>
          <w:sz w:val="20"/>
          <w:szCs w:val="20"/>
          <w:lang w:val="en-US"/>
        </w:rPr>
      </w:pPr>
      <w:r w:rsidRPr="00B534B9">
        <w:rPr>
          <w:rFonts w:ascii="Times New Roman" w:hAnsi="Times New Roman" w:cs="Times New Roman"/>
          <w:sz w:val="20"/>
          <w:szCs w:val="20"/>
          <w:lang w:val="en-US"/>
        </w:rPr>
        <w:t>The interrelation between the emissions of two antagonistic groups of harmful substances</w:t>
      </w:r>
      <w:r w:rsidR="00060754">
        <w:rPr>
          <w:rFonts w:ascii="Times New Roman" w:hAnsi="Times New Roman" w:cs="Times New Roman"/>
          <w:sz w:val="20"/>
          <w:szCs w:val="20"/>
          <w:lang w:val="en-US"/>
        </w:rPr>
        <w:t xml:space="preserve"> - </w:t>
      </w:r>
      <w:r w:rsidRPr="00B534B9">
        <w:rPr>
          <w:rFonts w:ascii="Times New Roman" w:hAnsi="Times New Roman" w:cs="Times New Roman"/>
          <w:sz w:val="20"/>
          <w:szCs w:val="20"/>
          <w:lang w:val="en-US"/>
        </w:rPr>
        <w:t>NOx concentration, soot, and benzo(a)pyrene</w:t>
      </w:r>
      <w:r w:rsidR="00060754">
        <w:rPr>
          <w:rFonts w:ascii="Times New Roman" w:hAnsi="Times New Roman" w:cs="Times New Roman"/>
          <w:sz w:val="20"/>
          <w:szCs w:val="20"/>
          <w:lang w:val="en-US"/>
        </w:rPr>
        <w:t xml:space="preserve"> - </w:t>
      </w:r>
      <w:r w:rsidRPr="00B534B9">
        <w:rPr>
          <w:rFonts w:ascii="Times New Roman" w:hAnsi="Times New Roman" w:cs="Times New Roman"/>
          <w:sz w:val="20"/>
          <w:szCs w:val="20"/>
          <w:lang w:val="en-US"/>
        </w:rPr>
        <w:t xml:space="preserve">was also traced using a unified </w:t>
      </w:r>
      <w:r w:rsidRPr="0068159E">
        <w:rPr>
          <w:rFonts w:ascii="Times New Roman" w:hAnsi="Times New Roman" w:cs="Times New Roman"/>
          <w:sz w:val="20"/>
          <w:szCs w:val="20"/>
          <w:lang w:val="en-US"/>
        </w:rPr>
        <w:t>methodology on operating boilers (for both conventional and unconventional methods), and a correlation between them was established</w:t>
      </w:r>
      <w:r w:rsidR="00434629" w:rsidRPr="0068159E">
        <w:rPr>
          <w:rFonts w:ascii="Times New Roman" w:hAnsi="Times New Roman" w:cs="Times New Roman"/>
          <w:sz w:val="20"/>
          <w:szCs w:val="20"/>
          <w:lang w:val="en-US"/>
        </w:rPr>
        <w:t xml:space="preserve"> [17-21].</w:t>
      </w:r>
    </w:p>
    <w:p w14:paraId="1EE269CB" w14:textId="77777777" w:rsidR="0068159E" w:rsidRDefault="00B534B9" w:rsidP="0068159E">
      <w:pPr>
        <w:spacing w:after="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These data, considered from the perspective of total and partial toxicity for each combustion mode, provide an objective environmental understanding of existing gas and fuel oil combustion regimes, and help guide the implementation of in-furnace measures. Indicators of total and partial toxicity of combustion products under various modes of conventional and staged combustion of gas and fuel oil were determined and comprehensively analyzed. The results of these studies are as follows (Table 1)</w:t>
      </w:r>
      <w:r w:rsidR="00434629" w:rsidRPr="0068159E">
        <w:rPr>
          <w:rFonts w:ascii="Times New Roman" w:hAnsi="Times New Roman" w:cs="Times New Roman"/>
          <w:sz w:val="20"/>
          <w:szCs w:val="20"/>
          <w:lang w:val="en-US"/>
        </w:rPr>
        <w:t xml:space="preserve"> [22-26]</w:t>
      </w:r>
      <w:r w:rsidRPr="0068159E">
        <w:rPr>
          <w:rFonts w:ascii="Times New Roman" w:hAnsi="Times New Roman" w:cs="Times New Roman"/>
          <w:sz w:val="20"/>
          <w:szCs w:val="20"/>
          <w:lang w:val="en-US"/>
        </w:rPr>
        <w:t>:</w:t>
      </w:r>
    </w:p>
    <w:p w14:paraId="43646F3E" w14:textId="77777777" w:rsidR="0068159E" w:rsidRDefault="0068159E" w:rsidP="0068159E">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B534B9" w:rsidRPr="0068159E">
        <w:rPr>
          <w:rFonts w:ascii="Times New Roman" w:hAnsi="Times New Roman" w:cs="Times New Roman"/>
          <w:sz w:val="20"/>
          <w:szCs w:val="20"/>
          <w:lang w:val="en-US"/>
        </w:rPr>
        <w:t xml:space="preserve">The toxicity of natural gas combustion products during conventional single-stage combustion is determined by nitrogen oxides toxicity by </w:t>
      </w:r>
      <w:r w:rsidR="00B534B9" w:rsidRPr="0068159E">
        <w:rPr>
          <w:rFonts w:ascii="Times New Roman" w:hAnsi="Times New Roman" w:cs="Times New Roman"/>
          <w:bCs/>
          <w:sz w:val="20"/>
          <w:szCs w:val="20"/>
          <w:lang w:val="en-US"/>
        </w:rPr>
        <w:t>95.6</w:t>
      </w:r>
      <w:r w:rsidR="00021691" w:rsidRPr="0068159E">
        <w:rPr>
          <w:rFonts w:ascii="Times New Roman" w:hAnsi="Times New Roman" w:cs="Times New Roman"/>
          <w:bCs/>
          <w:sz w:val="20"/>
          <w:szCs w:val="20"/>
          <w:lang w:val="en-US"/>
        </w:rPr>
        <w:t>-</w:t>
      </w:r>
      <w:r w:rsidR="00B534B9" w:rsidRPr="0068159E">
        <w:rPr>
          <w:rFonts w:ascii="Times New Roman" w:hAnsi="Times New Roman" w:cs="Times New Roman"/>
          <w:bCs/>
          <w:sz w:val="20"/>
          <w:szCs w:val="20"/>
          <w:lang w:val="en-US"/>
        </w:rPr>
        <w:t>99.25%</w:t>
      </w:r>
      <w:r w:rsidR="00B534B9" w:rsidRPr="0068159E">
        <w:rPr>
          <w:rFonts w:ascii="Times New Roman" w:hAnsi="Times New Roman" w:cs="Times New Roman"/>
          <w:sz w:val="20"/>
          <w:szCs w:val="20"/>
          <w:lang w:val="en-US"/>
        </w:rPr>
        <w:t xml:space="preserve">. The developed and tested </w:t>
      </w:r>
      <w:r w:rsidR="00B534B9" w:rsidRPr="0068159E">
        <w:rPr>
          <w:rFonts w:ascii="Times New Roman" w:hAnsi="Times New Roman" w:cs="Times New Roman"/>
          <w:bCs/>
          <w:sz w:val="20"/>
          <w:szCs w:val="20"/>
          <w:lang w:val="en-US"/>
        </w:rPr>
        <w:t>three-stage gas combustion mode</w:t>
      </w:r>
      <w:r w:rsidR="00B534B9" w:rsidRPr="0068159E">
        <w:rPr>
          <w:rFonts w:ascii="Times New Roman" w:hAnsi="Times New Roman" w:cs="Times New Roman"/>
          <w:sz w:val="20"/>
          <w:szCs w:val="20"/>
          <w:lang w:val="en-US"/>
        </w:rPr>
        <w:t xml:space="preserve"> was superior to an unoptimized combustion mode in all environmental parameters, including </w:t>
      </w:r>
      <w:r w:rsidR="00B534B9" w:rsidRPr="00B534B9">
        <w:rPr>
          <w:rFonts w:ascii="Times New Roman" w:hAnsi="Times New Roman" w:cs="Times New Roman"/>
          <w:sz w:val="20"/>
          <w:szCs w:val="20"/>
          <w:lang w:val="en-US"/>
        </w:rPr>
        <w:t xml:space="preserve">a </w:t>
      </w:r>
      <w:r w:rsidR="00B534B9" w:rsidRPr="00B534B9">
        <w:rPr>
          <w:rFonts w:ascii="Times New Roman" w:hAnsi="Times New Roman" w:cs="Times New Roman"/>
          <w:bCs/>
          <w:sz w:val="20"/>
          <w:szCs w:val="20"/>
          <w:lang w:val="en-US"/>
        </w:rPr>
        <w:t>28% reduction in total toxicity</w:t>
      </w:r>
      <w:r w:rsidR="00B534B9" w:rsidRPr="00B534B9">
        <w:rPr>
          <w:rFonts w:ascii="Times New Roman" w:hAnsi="Times New Roman" w:cs="Times New Roman"/>
          <w:sz w:val="20"/>
          <w:szCs w:val="20"/>
          <w:lang w:val="en-US"/>
        </w:rPr>
        <w:t xml:space="preserve">. Total toxicity decreased by </w:t>
      </w:r>
      <w:r w:rsidR="00B534B9" w:rsidRPr="00B534B9">
        <w:rPr>
          <w:rFonts w:ascii="Times New Roman" w:hAnsi="Times New Roman" w:cs="Times New Roman"/>
          <w:bCs/>
          <w:sz w:val="20"/>
          <w:szCs w:val="20"/>
          <w:lang w:val="en-US"/>
        </w:rPr>
        <w:t>51%</w:t>
      </w:r>
      <w:r w:rsidR="00B534B9" w:rsidRPr="00B534B9">
        <w:rPr>
          <w:rFonts w:ascii="Times New Roman" w:hAnsi="Times New Roman" w:cs="Times New Roman"/>
          <w:sz w:val="20"/>
          <w:szCs w:val="20"/>
          <w:lang w:val="en-US"/>
        </w:rPr>
        <w:t xml:space="preserve">, and the toxicity of nitrogen oxides alone was reduced by approximately </w:t>
      </w:r>
      <w:r w:rsidR="00B534B9" w:rsidRPr="00B534B9">
        <w:rPr>
          <w:rFonts w:ascii="Times New Roman" w:hAnsi="Times New Roman" w:cs="Times New Roman"/>
          <w:bCs/>
          <w:sz w:val="20"/>
          <w:szCs w:val="20"/>
          <w:lang w:val="en-US"/>
        </w:rPr>
        <w:t>59%</w:t>
      </w:r>
      <w:r w:rsidR="00B534B9" w:rsidRPr="00B534B9">
        <w:rPr>
          <w:rFonts w:ascii="Times New Roman" w:hAnsi="Times New Roman" w:cs="Times New Roman"/>
          <w:sz w:val="20"/>
          <w:szCs w:val="20"/>
          <w:lang w:val="en-US"/>
        </w:rPr>
        <w:t xml:space="preserve">. At the same time, the toxicity of soot increased </w:t>
      </w:r>
      <w:r w:rsidR="00B534B9" w:rsidRPr="00B534B9">
        <w:rPr>
          <w:rFonts w:ascii="Times New Roman" w:hAnsi="Times New Roman" w:cs="Times New Roman"/>
          <w:bCs/>
          <w:sz w:val="20"/>
          <w:szCs w:val="20"/>
          <w:lang w:val="en-US"/>
        </w:rPr>
        <w:t>1.8 times</w:t>
      </w:r>
      <w:r w:rsidR="00B534B9" w:rsidRPr="00B534B9">
        <w:rPr>
          <w:rFonts w:ascii="Times New Roman" w:hAnsi="Times New Roman" w:cs="Times New Roman"/>
          <w:sz w:val="20"/>
          <w:szCs w:val="20"/>
          <w:lang w:val="en-US"/>
        </w:rPr>
        <w:t xml:space="preserve">, and benzo(a)pyrene about </w:t>
      </w:r>
      <w:r w:rsidR="00B534B9" w:rsidRPr="00B534B9">
        <w:rPr>
          <w:rFonts w:ascii="Times New Roman" w:hAnsi="Times New Roman" w:cs="Times New Roman"/>
          <w:bCs/>
          <w:sz w:val="20"/>
          <w:szCs w:val="20"/>
          <w:lang w:val="en-US"/>
        </w:rPr>
        <w:t>2 times</w:t>
      </w:r>
      <w:r w:rsidR="00B534B9" w:rsidRPr="00B534B9">
        <w:rPr>
          <w:rFonts w:ascii="Times New Roman" w:hAnsi="Times New Roman" w:cs="Times New Roman"/>
          <w:sz w:val="20"/>
          <w:szCs w:val="20"/>
          <w:lang w:val="en-US"/>
        </w:rPr>
        <w:t xml:space="preserve"> (due to their initially low </w:t>
      </w:r>
      <w:r w:rsidR="00B534B9" w:rsidRPr="00B534B9">
        <w:rPr>
          <w:rFonts w:ascii="Times New Roman" w:hAnsi="Times New Roman" w:cs="Times New Roman"/>
          <w:sz w:val="20"/>
          <w:szCs w:val="20"/>
          <w:lang w:val="en-US"/>
        </w:rPr>
        <w:lastRenderedPageBreak/>
        <w:t xml:space="preserve">concentrations), which led to a </w:t>
      </w:r>
      <w:r w:rsidR="00B534B9" w:rsidRPr="00B534B9">
        <w:rPr>
          <w:rFonts w:ascii="Times New Roman" w:hAnsi="Times New Roman" w:cs="Times New Roman"/>
          <w:bCs/>
          <w:sz w:val="20"/>
          <w:szCs w:val="20"/>
          <w:lang w:val="en-US"/>
        </w:rPr>
        <w:t>10% increase</w:t>
      </w:r>
      <w:r w:rsidR="00B534B9" w:rsidRPr="00B534B9">
        <w:rPr>
          <w:rFonts w:ascii="Times New Roman" w:hAnsi="Times New Roman" w:cs="Times New Roman"/>
          <w:sz w:val="20"/>
          <w:szCs w:val="20"/>
          <w:lang w:val="en-US"/>
        </w:rPr>
        <w:t xml:space="preserve"> in total toxicity. Thus, the tested three-stage gas combustion mode can be recommended for practical use;</w:t>
      </w:r>
    </w:p>
    <w:p w14:paraId="4F0F6DAB" w14:textId="7DC0FAAD" w:rsidR="00106C2C" w:rsidRPr="00A227AD" w:rsidRDefault="00106C2C" w:rsidP="0068159E">
      <w:pPr>
        <w:spacing w:before="120" w:after="120" w:line="240" w:lineRule="auto"/>
        <w:ind w:left="924" w:hanging="924"/>
        <w:jc w:val="both"/>
        <w:rPr>
          <w:rFonts w:ascii="Times New Roman" w:hAnsi="Times New Roman" w:cs="Times New Roman"/>
          <w:sz w:val="20"/>
          <w:szCs w:val="20"/>
          <w:lang w:val="en-US"/>
        </w:rPr>
      </w:pPr>
      <w:r w:rsidRPr="00FA4D52">
        <w:rPr>
          <w:rFonts w:ascii="Times New Roman" w:hAnsi="Times New Roman" w:cs="Times New Roman"/>
          <w:b/>
          <w:sz w:val="20"/>
          <w:szCs w:val="20"/>
          <w:lang w:val="en"/>
        </w:rPr>
        <w:t>T</w:t>
      </w:r>
      <w:r w:rsidR="00A227AD" w:rsidRPr="00A227AD">
        <w:rPr>
          <w:rFonts w:ascii="Times New Roman" w:hAnsi="Times New Roman" w:cs="Times New Roman"/>
          <w:b/>
          <w:sz w:val="20"/>
          <w:szCs w:val="20"/>
          <w:lang w:val="en-US"/>
        </w:rPr>
        <w:t>A</w:t>
      </w:r>
      <w:r w:rsidRPr="00FA4D52">
        <w:rPr>
          <w:rFonts w:ascii="Times New Roman" w:hAnsi="Times New Roman" w:cs="Times New Roman"/>
          <w:b/>
          <w:sz w:val="20"/>
          <w:szCs w:val="20"/>
          <w:lang w:val="en"/>
        </w:rPr>
        <w:t>BL</w:t>
      </w:r>
      <w:r w:rsidR="0081156C">
        <w:rPr>
          <w:rFonts w:ascii="Times New Roman" w:hAnsi="Times New Roman" w:cs="Times New Roman"/>
          <w:b/>
          <w:sz w:val="20"/>
          <w:szCs w:val="20"/>
          <w:lang w:val="en-US"/>
        </w:rPr>
        <w:t>E</w:t>
      </w:r>
      <w:r w:rsidRPr="00A227AD">
        <w:rPr>
          <w:rFonts w:ascii="Times New Roman" w:hAnsi="Times New Roman" w:cs="Times New Roman"/>
          <w:b/>
          <w:sz w:val="20"/>
          <w:szCs w:val="20"/>
          <w:lang w:val="en-US"/>
        </w:rPr>
        <w:t xml:space="preserve"> 1</w:t>
      </w:r>
      <w:r w:rsidR="0068159E">
        <w:rPr>
          <w:rFonts w:ascii="Times New Roman" w:hAnsi="Times New Roman" w:cs="Times New Roman"/>
          <w:b/>
          <w:sz w:val="20"/>
          <w:szCs w:val="20"/>
          <w:lang w:val="en-US"/>
        </w:rPr>
        <w:t>.</w:t>
      </w:r>
      <w:r w:rsidRPr="00A227AD">
        <w:rPr>
          <w:rFonts w:ascii="Times New Roman" w:hAnsi="Times New Roman" w:cs="Times New Roman"/>
          <w:sz w:val="20"/>
          <w:szCs w:val="20"/>
          <w:lang w:val="en-US"/>
        </w:rPr>
        <w:t xml:space="preserve"> </w:t>
      </w:r>
      <w:r w:rsidR="00496B39" w:rsidRPr="00496B39">
        <w:rPr>
          <w:rFonts w:ascii="Times New Roman" w:hAnsi="Times New Roman" w:cs="Times New Roman"/>
          <w:sz w:val="20"/>
          <w:szCs w:val="20"/>
          <w:lang w:val="en-US"/>
        </w:rPr>
        <w:t>Environmental safety under various modes of gas and fuel oil combustion in TGM-94 boilers of different GRES, expressed through indicators of total and specific toxicity of combustion products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796"/>
        <w:gridCol w:w="1036"/>
        <w:gridCol w:w="553"/>
        <w:gridCol w:w="535"/>
        <w:gridCol w:w="789"/>
        <w:gridCol w:w="756"/>
        <w:gridCol w:w="807"/>
        <w:gridCol w:w="789"/>
        <w:gridCol w:w="753"/>
        <w:gridCol w:w="654"/>
      </w:tblGrid>
      <w:tr w:rsidR="00677821" w:rsidRPr="00B6553A" w14:paraId="76971E81" w14:textId="77777777" w:rsidTr="00B6553A">
        <w:trPr>
          <w:cantSplit/>
          <w:trHeight w:val="311"/>
          <w:jc w:val="center"/>
        </w:trPr>
        <w:tc>
          <w:tcPr>
            <w:tcW w:w="1907" w:type="dxa"/>
            <w:vMerge w:val="restart"/>
            <w:vAlign w:val="center"/>
          </w:tcPr>
          <w:p w14:paraId="2A6B2C79" w14:textId="0B0DDD66" w:rsidR="00677821" w:rsidRPr="00B6553A" w:rsidRDefault="00E422CB" w:rsidP="00011A20">
            <w:pPr>
              <w:spacing w:after="0" w:line="240" w:lineRule="auto"/>
              <w:ind w:left="-67" w:right="-65"/>
              <w:contextualSpacing/>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Object of study (boiler type, number of burners per stage), type and method of fuel combustion</w:t>
            </w:r>
          </w:p>
        </w:tc>
        <w:tc>
          <w:tcPr>
            <w:tcW w:w="6814" w:type="dxa"/>
            <w:gridSpan w:val="9"/>
            <w:vAlign w:val="center"/>
          </w:tcPr>
          <w:p w14:paraId="52D52C9D" w14:textId="6611CBC2" w:rsidR="00677821" w:rsidRPr="00B6553A" w:rsidRDefault="00E422CB" w:rsidP="006046C1">
            <w:pPr>
              <w:spacing w:after="0" w:line="240" w:lineRule="auto"/>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Main operational and environmental combustion parameters</w:t>
            </w:r>
          </w:p>
        </w:tc>
        <w:tc>
          <w:tcPr>
            <w:tcW w:w="654" w:type="dxa"/>
            <w:vMerge w:val="restart"/>
            <w:textDirection w:val="btLr"/>
            <w:vAlign w:val="center"/>
          </w:tcPr>
          <w:p w14:paraId="07710EC7" w14:textId="77777777" w:rsidR="00F33C88" w:rsidRPr="00B6553A" w:rsidRDefault="00011A20" w:rsidP="00F33C88">
            <w:pPr>
              <w:spacing w:after="0" w:line="240" w:lineRule="auto"/>
              <w:ind w:left="-64" w:right="-72"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Patents**</w:t>
            </w:r>
          </w:p>
          <w:p w14:paraId="571D6EDB" w14:textId="08977BB6" w:rsidR="00677821" w:rsidRPr="00B6553A" w:rsidRDefault="00011A20" w:rsidP="00F33C88">
            <w:pPr>
              <w:spacing w:after="0" w:line="240" w:lineRule="auto"/>
              <w:ind w:left="-64" w:right="-72"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w:t>
            </w:r>
          </w:p>
        </w:tc>
      </w:tr>
      <w:tr w:rsidR="009F2381" w:rsidRPr="00E957B8" w14:paraId="27A45F1F" w14:textId="77777777" w:rsidTr="00B6553A">
        <w:trPr>
          <w:cantSplit/>
          <w:trHeight w:val="311"/>
          <w:jc w:val="center"/>
        </w:trPr>
        <w:tc>
          <w:tcPr>
            <w:tcW w:w="1907" w:type="dxa"/>
            <w:vMerge/>
            <w:vAlign w:val="center"/>
          </w:tcPr>
          <w:p w14:paraId="4DA221C0" w14:textId="77777777" w:rsidR="00677821" w:rsidRPr="00B6553A" w:rsidRDefault="00677821" w:rsidP="00011A20">
            <w:pPr>
              <w:spacing w:after="0" w:line="240" w:lineRule="auto"/>
              <w:ind w:left="-67" w:right="-65"/>
              <w:contextualSpacing/>
              <w:rPr>
                <w:rFonts w:ascii="Times New Roman" w:hAnsi="Times New Roman" w:cs="Times New Roman"/>
                <w:sz w:val="18"/>
                <w:szCs w:val="16"/>
                <w:lang w:val="en-US"/>
              </w:rPr>
            </w:pPr>
          </w:p>
        </w:tc>
        <w:tc>
          <w:tcPr>
            <w:tcW w:w="796" w:type="dxa"/>
            <w:vMerge w:val="restart"/>
            <w:vAlign w:val="center"/>
          </w:tcPr>
          <w:p w14:paraId="5FF59000" w14:textId="31EE53E0" w:rsidR="00677821" w:rsidRPr="00B6553A" w:rsidRDefault="00000000" w:rsidP="00A853EB">
            <w:pPr>
              <w:spacing w:after="0" w:line="240" w:lineRule="auto"/>
              <w:ind w:left="-81" w:right="-60"/>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α</m:t>
                    </m:r>
                  </m:e>
                  <m:sub>
                    <m:r>
                      <w:rPr>
                        <w:rFonts w:ascii="Cambria Math" w:hAnsi="Cambria Math" w:cs="Times New Roman"/>
                        <w:sz w:val="18"/>
                        <w:szCs w:val="16"/>
                        <w:lang w:val="en-US"/>
                      </w:rPr>
                      <m:t>1</m:t>
                    </m:r>
                  </m:sub>
                </m:sSub>
              </m:oMath>
            </m:oMathPara>
          </w:p>
        </w:tc>
        <w:tc>
          <w:tcPr>
            <w:tcW w:w="1036" w:type="dxa"/>
            <w:vMerge w:val="restart"/>
            <w:vAlign w:val="center"/>
          </w:tcPr>
          <w:p w14:paraId="6AA23440" w14:textId="7341C570" w:rsidR="00677821" w:rsidRPr="00B6553A" w:rsidRDefault="00000000" w:rsidP="00F33C88">
            <w:pPr>
              <w:spacing w:after="0" w:line="240" w:lineRule="auto"/>
              <w:ind w:left="-81" w:right="-60"/>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δ</m:t>
                    </m:r>
                  </m:e>
                  <m:sub>
                    <m:r>
                      <w:rPr>
                        <w:rFonts w:ascii="Cambria Math" w:hAnsi="Cambria Math" w:cs="Times New Roman"/>
                        <w:sz w:val="18"/>
                        <w:szCs w:val="16"/>
                        <w:lang w:val="en-US"/>
                      </w:rPr>
                      <m:t>gen.</m:t>
                    </m:r>
                  </m:sub>
                </m:sSub>
                <m:r>
                  <w:rPr>
                    <w:rFonts w:ascii="Cambria Math" w:hAnsi="Cambria Math" w:cs="Times New Roman"/>
                    <w:sz w:val="18"/>
                    <w:szCs w:val="16"/>
                    <w:lang w:val="en-US"/>
                  </w:rPr>
                  <m:t>≅</m:t>
                </m:r>
                <m:sSub>
                  <m:sSubPr>
                    <m:ctrlPr>
                      <w:rPr>
                        <w:rFonts w:ascii="Cambria Math" w:hAnsi="Cambria Math" w:cs="Times New Roman"/>
                        <w:i/>
                        <w:sz w:val="18"/>
                        <w:szCs w:val="16"/>
                        <w:lang w:val="en-US"/>
                      </w:rPr>
                    </m:ctrlPr>
                  </m:sSubPr>
                  <m:e>
                    <m:r>
                      <w:rPr>
                        <w:rFonts w:ascii="Cambria Math" w:hAnsi="Cambria Math" w:cs="Times New Roman"/>
                        <w:sz w:val="18"/>
                        <w:szCs w:val="16"/>
                        <w:lang w:val="en-US"/>
                      </w:rPr>
                      <m:t>δ</m:t>
                    </m:r>
                  </m:e>
                  <m:sub>
                    <m:r>
                      <w:rPr>
                        <w:rFonts w:ascii="Cambria Math" w:hAnsi="Cambria Math" w:cs="Times New Roman"/>
                        <w:sz w:val="18"/>
                        <w:szCs w:val="16"/>
                        <w:lang w:val="en-US"/>
                      </w:rPr>
                      <m:t>1</m:t>
                    </m:r>
                  </m:sub>
                </m:sSub>
                <m:r>
                  <w:rPr>
                    <w:rFonts w:ascii="Cambria Math" w:hAnsi="Cambria Math" w:cs="Times New Roman"/>
                    <w:sz w:val="18"/>
                    <w:szCs w:val="16"/>
                    <w:lang w:val="en-US"/>
                  </w:rPr>
                  <m:t>+</m:t>
                </m:r>
                <m:sSub>
                  <m:sSubPr>
                    <m:ctrlPr>
                      <w:rPr>
                        <w:rFonts w:ascii="Cambria Math" w:hAnsi="Cambria Math" w:cs="Times New Roman"/>
                        <w:i/>
                        <w:sz w:val="18"/>
                        <w:szCs w:val="16"/>
                        <w:lang w:val="en-US"/>
                      </w:rPr>
                    </m:ctrlPr>
                  </m:sSubPr>
                  <m:e>
                    <m:r>
                      <w:rPr>
                        <w:rFonts w:ascii="Cambria Math" w:hAnsi="Cambria Math" w:cs="Times New Roman"/>
                        <w:sz w:val="18"/>
                        <w:szCs w:val="16"/>
                        <w:lang w:val="en-US"/>
                      </w:rPr>
                      <m:t>δ</m:t>
                    </m:r>
                  </m:e>
                  <m:sub>
                    <m:r>
                      <w:rPr>
                        <w:rFonts w:ascii="Cambria Math" w:hAnsi="Cambria Math" w:cs="Times New Roman"/>
                        <w:sz w:val="18"/>
                        <w:szCs w:val="16"/>
                        <w:lang w:val="en-US"/>
                      </w:rPr>
                      <m:t>2</m:t>
                    </m:r>
                  </m:sub>
                </m:sSub>
              </m:oMath>
            </m:oMathPara>
          </w:p>
        </w:tc>
        <w:tc>
          <w:tcPr>
            <w:tcW w:w="553" w:type="dxa"/>
            <w:vMerge w:val="restart"/>
            <w:vAlign w:val="center"/>
          </w:tcPr>
          <w:p w14:paraId="6BBB7CCC" w14:textId="4D817AA9" w:rsidR="00677821" w:rsidRPr="00B6553A" w:rsidRDefault="00000000" w:rsidP="00F33C88">
            <w:pPr>
              <w:spacing w:after="0" w:line="240" w:lineRule="auto"/>
              <w:ind w:left="-81" w:right="-60"/>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α</m:t>
                    </m:r>
                  </m:e>
                  <m:sub>
                    <m:r>
                      <w:rPr>
                        <w:rFonts w:ascii="Cambria Math" w:hAnsi="Cambria Math" w:cs="Times New Roman"/>
                        <w:sz w:val="18"/>
                        <w:szCs w:val="16"/>
                        <w:lang w:val="en-US"/>
                      </w:rPr>
                      <m:t>yx</m:t>
                    </m:r>
                  </m:sub>
                </m:sSub>
              </m:oMath>
            </m:oMathPara>
          </w:p>
        </w:tc>
        <w:tc>
          <w:tcPr>
            <w:tcW w:w="535" w:type="dxa"/>
            <w:vMerge w:val="restart"/>
            <w:vAlign w:val="center"/>
          </w:tcPr>
          <w:p w14:paraId="42ADFD23" w14:textId="77777777" w:rsidR="00677821" w:rsidRPr="00B6553A" w:rsidRDefault="00000000" w:rsidP="00F33C88">
            <w:pPr>
              <w:spacing w:after="0" w:line="240" w:lineRule="auto"/>
              <w:ind w:left="-81" w:right="-60"/>
              <w:jc w:val="center"/>
              <w:rPr>
                <w:rFonts w:ascii="Times New Roman" w:eastAsiaTheme="minorEastAsia" w:hAnsi="Times New Roman" w:cs="Times New Roman"/>
                <w:sz w:val="18"/>
                <w:szCs w:val="16"/>
                <w:lang w:val="en-US"/>
              </w:rPr>
            </w:pPr>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NO</m:t>
                  </m:r>
                </m:e>
                <m:sub>
                  <m:r>
                    <w:rPr>
                      <w:rFonts w:ascii="Cambria Math" w:hAnsi="Cambria Math" w:cs="Times New Roman"/>
                      <w:sz w:val="18"/>
                      <w:szCs w:val="16"/>
                      <w:lang w:val="en-US"/>
                    </w:rPr>
                    <m:t>x</m:t>
                  </m:r>
                </m:sub>
              </m:sSub>
            </m:oMath>
            <w:r w:rsidR="00F33C88" w:rsidRPr="00B6553A">
              <w:rPr>
                <w:rFonts w:ascii="Times New Roman" w:eastAsiaTheme="minorEastAsia" w:hAnsi="Times New Roman" w:cs="Times New Roman"/>
                <w:sz w:val="18"/>
                <w:szCs w:val="16"/>
                <w:lang w:val="en-US"/>
              </w:rPr>
              <w:t>,</w:t>
            </w:r>
          </w:p>
          <w:p w14:paraId="12AFA07D" w14:textId="2F036294" w:rsidR="00F33C88" w:rsidRPr="00B6553A" w:rsidRDefault="00000000" w:rsidP="00F33C88">
            <w:pPr>
              <w:spacing w:after="0" w:line="240" w:lineRule="auto"/>
              <w:ind w:left="-81" w:right="-60"/>
              <w:jc w:val="center"/>
              <w:rPr>
                <w:rFonts w:ascii="Times New Roman" w:hAnsi="Times New Roman" w:cs="Times New Roman"/>
                <w:sz w:val="18"/>
                <w:szCs w:val="16"/>
                <w:lang w:val="en-US"/>
              </w:rPr>
            </w:pPr>
            <m:oMathPara>
              <m:oMath>
                <m:f>
                  <m:fPr>
                    <m:ctrlPr>
                      <w:rPr>
                        <w:rFonts w:ascii="Cambria Math" w:hAnsi="Cambria Math" w:cs="Times New Roman"/>
                        <w:i/>
                        <w:sz w:val="18"/>
                        <w:szCs w:val="16"/>
                        <w:lang w:val="en-US"/>
                      </w:rPr>
                    </m:ctrlPr>
                  </m:fPr>
                  <m:num>
                    <m:acc>
                      <m:accPr>
                        <m:chr m:val="̀"/>
                        <m:ctrlPr>
                          <w:rPr>
                            <w:rFonts w:ascii="Cambria Math" w:hAnsi="Cambria Math" w:cs="Times New Roman"/>
                            <w:i/>
                            <w:sz w:val="18"/>
                            <w:szCs w:val="16"/>
                            <w:lang w:val="en-US"/>
                          </w:rPr>
                        </m:ctrlPr>
                      </m:accPr>
                      <m:e>
                        <m:r>
                          <w:rPr>
                            <w:rFonts w:ascii="Cambria Math" w:hAnsi="Cambria Math" w:cs="Times New Roman"/>
                            <w:sz w:val="18"/>
                            <w:szCs w:val="16"/>
                            <w:lang w:val="en-US"/>
                          </w:rPr>
                          <m:t>i</m:t>
                        </m:r>
                      </m:e>
                    </m:acc>
                    <m:acc>
                      <m:accPr>
                        <m:chr m:val="̃"/>
                        <m:ctrlPr>
                          <w:rPr>
                            <w:rFonts w:ascii="Cambria Math" w:hAnsi="Cambria Math" w:cs="Times New Roman"/>
                            <w:i/>
                            <w:sz w:val="18"/>
                            <w:szCs w:val="16"/>
                            <w:lang w:val="en-US"/>
                          </w:rPr>
                        </m:ctrlPr>
                      </m:accPr>
                      <m:e>
                        <m:r>
                          <w:rPr>
                            <w:rFonts w:ascii="Cambria Math" w:hAnsi="Cambria Math" w:cs="Times New Roman"/>
                            <w:sz w:val="18"/>
                            <w:szCs w:val="16"/>
                            <w:lang w:val="en-US"/>
                          </w:rPr>
                          <m:t>a</m:t>
                        </m:r>
                      </m:e>
                    </m:acc>
                  </m:num>
                  <m:den>
                    <m:sSup>
                      <m:sSupPr>
                        <m:ctrlPr>
                          <w:rPr>
                            <w:rFonts w:ascii="Cambria Math" w:hAnsi="Cambria Math" w:cs="Times New Roman"/>
                            <w:i/>
                            <w:sz w:val="18"/>
                            <w:szCs w:val="16"/>
                            <w:lang w:val="en-US"/>
                          </w:rPr>
                        </m:ctrlPr>
                      </m:sSupPr>
                      <m:e>
                        <m:acc>
                          <m:accPr>
                            <m:chr m:val="̀"/>
                            <m:ctrlPr>
                              <w:rPr>
                                <w:rFonts w:ascii="Cambria Math" w:hAnsi="Cambria Math" w:cs="Times New Roman"/>
                                <w:i/>
                                <w:sz w:val="18"/>
                                <w:szCs w:val="16"/>
                                <w:lang w:val="en-US"/>
                              </w:rPr>
                            </m:ctrlPr>
                          </m:accPr>
                          <m:e>
                            <m:r>
                              <w:rPr>
                                <w:rFonts w:ascii="Cambria Math" w:hAnsi="Cambria Math" w:cs="Times New Roman"/>
                                <w:sz w:val="18"/>
                                <w:szCs w:val="16"/>
                                <w:lang w:val="en-US"/>
                              </w:rPr>
                              <m:t>i</m:t>
                            </m:r>
                          </m:e>
                        </m:acc>
                      </m:e>
                      <m:sup>
                        <m:r>
                          <w:rPr>
                            <w:rFonts w:ascii="Cambria Math" w:hAnsi="Cambria Math" w:cs="Times New Roman"/>
                            <w:sz w:val="18"/>
                            <w:szCs w:val="16"/>
                            <w:lang w:val="en-US"/>
                          </w:rPr>
                          <m:t>3</m:t>
                        </m:r>
                      </m:sup>
                    </m:sSup>
                  </m:den>
                </m:f>
              </m:oMath>
            </m:oMathPara>
          </w:p>
        </w:tc>
        <w:tc>
          <w:tcPr>
            <w:tcW w:w="3894" w:type="dxa"/>
            <w:gridSpan w:val="5"/>
            <w:vAlign w:val="center"/>
          </w:tcPr>
          <w:p w14:paraId="1CB6AD24" w14:textId="01222804" w:rsidR="00677821" w:rsidRPr="00B6553A" w:rsidRDefault="00E422CB" w:rsidP="006046C1">
            <w:pPr>
              <w:spacing w:after="0" w:line="240" w:lineRule="auto"/>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Indicators of total and specific toxicity (in %)</w:t>
            </w:r>
          </w:p>
        </w:tc>
        <w:tc>
          <w:tcPr>
            <w:tcW w:w="654" w:type="dxa"/>
            <w:vMerge/>
            <w:vAlign w:val="center"/>
          </w:tcPr>
          <w:p w14:paraId="271CF9F3"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r>
      <w:tr w:rsidR="009F2381" w:rsidRPr="00B6553A" w14:paraId="105EB753" w14:textId="77777777" w:rsidTr="00B6553A">
        <w:trPr>
          <w:cantSplit/>
          <w:trHeight w:val="52"/>
          <w:jc w:val="center"/>
        </w:trPr>
        <w:tc>
          <w:tcPr>
            <w:tcW w:w="1907" w:type="dxa"/>
            <w:vMerge/>
            <w:vAlign w:val="center"/>
          </w:tcPr>
          <w:p w14:paraId="70A9B52D" w14:textId="27D51197" w:rsidR="00677821" w:rsidRPr="00B6553A" w:rsidRDefault="00677821" w:rsidP="00011A20">
            <w:pPr>
              <w:spacing w:after="0" w:line="240" w:lineRule="auto"/>
              <w:ind w:left="-67" w:right="-65"/>
              <w:contextualSpacing/>
              <w:rPr>
                <w:rFonts w:ascii="Times New Roman" w:hAnsi="Times New Roman" w:cs="Times New Roman"/>
                <w:sz w:val="18"/>
                <w:szCs w:val="16"/>
                <w:lang w:val="en-US"/>
              </w:rPr>
            </w:pPr>
          </w:p>
        </w:tc>
        <w:tc>
          <w:tcPr>
            <w:tcW w:w="796" w:type="dxa"/>
            <w:vMerge/>
            <w:vAlign w:val="center"/>
          </w:tcPr>
          <w:p w14:paraId="39987822"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c>
          <w:tcPr>
            <w:tcW w:w="1036" w:type="dxa"/>
            <w:vMerge/>
            <w:vAlign w:val="center"/>
          </w:tcPr>
          <w:p w14:paraId="294582B3"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c>
          <w:tcPr>
            <w:tcW w:w="553" w:type="dxa"/>
            <w:vMerge/>
            <w:vAlign w:val="center"/>
          </w:tcPr>
          <w:p w14:paraId="6AB3D867"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c>
          <w:tcPr>
            <w:tcW w:w="535" w:type="dxa"/>
            <w:vMerge/>
            <w:vAlign w:val="center"/>
          </w:tcPr>
          <w:p w14:paraId="1081DD49"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c>
          <w:tcPr>
            <w:tcW w:w="789" w:type="dxa"/>
            <w:vAlign w:val="center"/>
          </w:tcPr>
          <w:p w14:paraId="6112E247" w14:textId="46754DFD" w:rsidR="00677821" w:rsidRPr="00B6553A" w:rsidRDefault="00000000" w:rsidP="00D9697D">
            <w:pPr>
              <w:spacing w:after="0" w:line="240" w:lineRule="auto"/>
              <w:ind w:left="-67" w:right="-73"/>
              <w:jc w:val="center"/>
              <w:rPr>
                <w:rFonts w:ascii="Times New Roman" w:hAnsi="Times New Roman" w:cs="Times New Roman"/>
                <w:sz w:val="18"/>
                <w:szCs w:val="16"/>
                <w:lang w:val="en-US"/>
              </w:rPr>
            </w:pPr>
            <m:oMathPara>
              <m:oMath>
                <m:sSup>
                  <m:sSupPr>
                    <m:ctrlPr>
                      <w:rPr>
                        <w:rFonts w:ascii="Cambria Math" w:hAnsi="Cambria Math" w:cs="Times New Roman"/>
                        <w:i/>
                        <w:sz w:val="18"/>
                        <w:szCs w:val="16"/>
                        <w:lang w:val="en-US"/>
                      </w:rPr>
                    </m:ctrlPr>
                  </m:sSupPr>
                  <m:e>
                    <m:r>
                      <w:rPr>
                        <w:rFonts w:ascii="Cambria Math" w:hAnsi="Cambria Math" w:cs="Times New Roman"/>
                        <w:sz w:val="18"/>
                        <w:szCs w:val="16"/>
                        <w:lang w:val="en-US"/>
                      </w:rPr>
                      <m:t>T</m:t>
                    </m:r>
                  </m:e>
                  <m:sup>
                    <m:r>
                      <w:rPr>
                        <w:rFonts w:ascii="Cambria Math" w:hAnsi="Cambria Math" w:cs="Times New Roman"/>
                        <w:sz w:val="18"/>
                        <w:szCs w:val="16"/>
                        <w:lang w:val="en-US"/>
                      </w:rPr>
                      <m:t>∑</m:t>
                    </m:r>
                  </m:sup>
                </m:sSup>
              </m:oMath>
            </m:oMathPara>
          </w:p>
        </w:tc>
        <w:tc>
          <w:tcPr>
            <w:tcW w:w="756" w:type="dxa"/>
            <w:vAlign w:val="center"/>
          </w:tcPr>
          <w:p w14:paraId="2C7FB6CE" w14:textId="4D8086AB" w:rsidR="00677821" w:rsidRPr="00B6553A" w:rsidRDefault="00000000" w:rsidP="00F33C88">
            <w:pPr>
              <w:spacing w:after="0" w:line="240" w:lineRule="auto"/>
              <w:ind w:left="-67" w:right="-73"/>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T</m:t>
                    </m:r>
                  </m:e>
                  <m:sub>
                    <m:sSub>
                      <m:sSubPr>
                        <m:ctrlPr>
                          <w:rPr>
                            <w:rFonts w:ascii="Cambria Math" w:hAnsi="Cambria Math" w:cs="Times New Roman"/>
                            <w:i/>
                            <w:sz w:val="18"/>
                            <w:szCs w:val="16"/>
                            <w:lang w:val="en-US"/>
                          </w:rPr>
                        </m:ctrlPr>
                      </m:sSubPr>
                      <m:e>
                        <m:r>
                          <w:rPr>
                            <w:rFonts w:ascii="Cambria Math" w:hAnsi="Cambria Math" w:cs="Times New Roman"/>
                            <w:sz w:val="18"/>
                            <w:szCs w:val="16"/>
                            <w:lang w:val="en-US"/>
                          </w:rPr>
                          <m:t>SO</m:t>
                        </m:r>
                      </m:e>
                      <m:sub>
                        <m:r>
                          <w:rPr>
                            <w:rFonts w:ascii="Cambria Math" w:hAnsi="Cambria Math" w:cs="Times New Roman"/>
                            <w:sz w:val="18"/>
                            <w:szCs w:val="16"/>
                            <w:lang w:val="en-US"/>
                          </w:rPr>
                          <m:t>2</m:t>
                        </m:r>
                      </m:sub>
                    </m:sSub>
                  </m:sub>
                </m:sSub>
              </m:oMath>
            </m:oMathPara>
          </w:p>
        </w:tc>
        <w:tc>
          <w:tcPr>
            <w:tcW w:w="807" w:type="dxa"/>
            <w:vAlign w:val="center"/>
          </w:tcPr>
          <w:p w14:paraId="3A94BDB9" w14:textId="6D4C186F" w:rsidR="00677821" w:rsidRPr="00B6553A" w:rsidRDefault="00000000" w:rsidP="00F33C88">
            <w:pPr>
              <w:spacing w:after="0" w:line="240" w:lineRule="auto"/>
              <w:ind w:left="-67" w:right="-73"/>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T</m:t>
                    </m:r>
                  </m:e>
                  <m:sub>
                    <m:sSub>
                      <m:sSubPr>
                        <m:ctrlPr>
                          <w:rPr>
                            <w:rFonts w:ascii="Cambria Math" w:hAnsi="Cambria Math" w:cs="Times New Roman"/>
                            <w:i/>
                            <w:sz w:val="18"/>
                            <w:szCs w:val="16"/>
                            <w:lang w:val="en-US"/>
                          </w:rPr>
                        </m:ctrlPr>
                      </m:sSubPr>
                      <m:e>
                        <m:r>
                          <w:rPr>
                            <w:rFonts w:ascii="Cambria Math" w:hAnsi="Cambria Math" w:cs="Times New Roman"/>
                            <w:sz w:val="18"/>
                            <w:szCs w:val="16"/>
                            <w:lang w:val="en-US"/>
                          </w:rPr>
                          <m:t>NO</m:t>
                        </m:r>
                      </m:e>
                      <m:sub>
                        <m:r>
                          <w:rPr>
                            <w:rFonts w:ascii="Cambria Math" w:hAnsi="Cambria Math" w:cs="Times New Roman"/>
                            <w:sz w:val="18"/>
                            <w:szCs w:val="16"/>
                            <w:lang w:val="en-US"/>
                          </w:rPr>
                          <m:t>2</m:t>
                        </m:r>
                      </m:sub>
                    </m:sSub>
                  </m:sub>
                </m:sSub>
              </m:oMath>
            </m:oMathPara>
          </w:p>
        </w:tc>
        <w:tc>
          <w:tcPr>
            <w:tcW w:w="789" w:type="dxa"/>
            <w:vAlign w:val="center"/>
          </w:tcPr>
          <w:p w14:paraId="773F4795" w14:textId="461195ED" w:rsidR="00677821" w:rsidRPr="00B6553A" w:rsidRDefault="00000000" w:rsidP="00F33C88">
            <w:pPr>
              <w:spacing w:after="0" w:line="240" w:lineRule="auto"/>
              <w:ind w:left="-67" w:right="-73"/>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T</m:t>
                    </m:r>
                  </m:e>
                  <m:sub>
                    <m:r>
                      <w:rPr>
                        <w:rFonts w:ascii="Cambria Math" w:hAnsi="Cambria Math" w:cs="Times New Roman"/>
                        <w:sz w:val="18"/>
                        <w:szCs w:val="16"/>
                        <w:lang w:val="en-US"/>
                      </w:rPr>
                      <m:t>C</m:t>
                    </m:r>
                  </m:sub>
                </m:sSub>
              </m:oMath>
            </m:oMathPara>
          </w:p>
        </w:tc>
        <w:tc>
          <w:tcPr>
            <w:tcW w:w="753" w:type="dxa"/>
            <w:vAlign w:val="center"/>
          </w:tcPr>
          <w:p w14:paraId="51AA161D" w14:textId="5E745B92" w:rsidR="00677821" w:rsidRPr="00B6553A" w:rsidRDefault="00000000" w:rsidP="00F33C88">
            <w:pPr>
              <w:spacing w:after="0" w:line="240" w:lineRule="auto"/>
              <w:ind w:left="-67" w:right="-73"/>
              <w:jc w:val="center"/>
              <w:rPr>
                <w:rFonts w:ascii="Times New Roman" w:hAnsi="Times New Roman" w:cs="Times New Roman"/>
                <w:sz w:val="18"/>
                <w:szCs w:val="16"/>
                <w:lang w:val="en-US"/>
              </w:rPr>
            </w:pPr>
            <m:oMathPara>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T</m:t>
                    </m:r>
                  </m:e>
                  <m:sub>
                    <m:sSub>
                      <m:sSubPr>
                        <m:ctrlPr>
                          <w:rPr>
                            <w:rFonts w:ascii="Cambria Math" w:hAnsi="Cambria Math" w:cs="Times New Roman"/>
                            <w:i/>
                            <w:sz w:val="18"/>
                            <w:szCs w:val="16"/>
                            <w:lang w:val="en-US"/>
                          </w:rPr>
                        </m:ctrlPr>
                      </m:sSubPr>
                      <m:e>
                        <m:sSub>
                          <m:sSubPr>
                            <m:ctrlPr>
                              <w:rPr>
                                <w:rFonts w:ascii="Cambria Math" w:hAnsi="Cambria Math" w:cs="Times New Roman"/>
                                <w:i/>
                                <w:sz w:val="18"/>
                                <w:szCs w:val="16"/>
                                <w:lang w:val="en-US"/>
                              </w:rPr>
                            </m:ctrlPr>
                          </m:sSubPr>
                          <m:e>
                            <m:r>
                              <w:rPr>
                                <w:rFonts w:ascii="Cambria Math" w:hAnsi="Cambria Math" w:cs="Times New Roman"/>
                                <w:sz w:val="18"/>
                                <w:szCs w:val="16"/>
                                <w:lang w:val="en-US"/>
                              </w:rPr>
                              <m:t>C</m:t>
                            </m:r>
                          </m:e>
                          <m:sub>
                            <m:r>
                              <w:rPr>
                                <w:rFonts w:ascii="Cambria Math" w:hAnsi="Cambria Math" w:cs="Times New Roman"/>
                                <w:sz w:val="18"/>
                                <w:szCs w:val="16"/>
                                <w:lang w:val="en-US"/>
                              </w:rPr>
                              <m:t>20</m:t>
                            </m:r>
                          </m:sub>
                        </m:sSub>
                        <m:r>
                          <w:rPr>
                            <w:rFonts w:ascii="Cambria Math" w:hAnsi="Cambria Math" w:cs="Times New Roman"/>
                            <w:sz w:val="18"/>
                            <w:szCs w:val="16"/>
                            <w:lang w:val="en-US"/>
                          </w:rPr>
                          <m:t>H</m:t>
                        </m:r>
                      </m:e>
                      <m:sub>
                        <m:r>
                          <w:rPr>
                            <w:rFonts w:ascii="Cambria Math" w:hAnsi="Cambria Math" w:cs="Times New Roman"/>
                            <w:sz w:val="18"/>
                            <w:szCs w:val="16"/>
                            <w:lang w:val="en-US"/>
                          </w:rPr>
                          <m:t>12</m:t>
                        </m:r>
                      </m:sub>
                    </m:sSub>
                  </m:sub>
                </m:sSub>
              </m:oMath>
            </m:oMathPara>
          </w:p>
        </w:tc>
        <w:tc>
          <w:tcPr>
            <w:tcW w:w="654" w:type="dxa"/>
            <w:vMerge/>
            <w:vAlign w:val="center"/>
          </w:tcPr>
          <w:p w14:paraId="051F4176" w14:textId="77777777" w:rsidR="00677821" w:rsidRPr="00B6553A" w:rsidRDefault="00677821" w:rsidP="006046C1">
            <w:pPr>
              <w:spacing w:after="0" w:line="240" w:lineRule="auto"/>
              <w:jc w:val="center"/>
              <w:rPr>
                <w:rFonts w:ascii="Times New Roman" w:hAnsi="Times New Roman" w:cs="Times New Roman"/>
                <w:sz w:val="18"/>
                <w:szCs w:val="16"/>
                <w:lang w:val="en-US"/>
              </w:rPr>
            </w:pPr>
          </w:p>
        </w:tc>
      </w:tr>
      <w:tr w:rsidR="00F33C88" w:rsidRPr="00B6553A" w14:paraId="563E48F1" w14:textId="77777777" w:rsidTr="00B6553A">
        <w:trPr>
          <w:cantSplit/>
          <w:trHeight w:val="227"/>
          <w:jc w:val="center"/>
        </w:trPr>
        <w:tc>
          <w:tcPr>
            <w:tcW w:w="8721" w:type="dxa"/>
            <w:gridSpan w:val="10"/>
            <w:vAlign w:val="center"/>
          </w:tcPr>
          <w:p w14:paraId="30006976" w14:textId="51565D31" w:rsidR="00F33C88" w:rsidRPr="00B6553A" w:rsidRDefault="00571607" w:rsidP="00011A20">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 xml:space="preserve">1. </w:t>
            </w:r>
            <w:r w:rsidR="00F33C88" w:rsidRPr="00B6553A">
              <w:rPr>
                <w:rFonts w:ascii="Times New Roman" w:hAnsi="Times New Roman" w:cs="Times New Roman"/>
                <w:sz w:val="18"/>
                <w:szCs w:val="16"/>
                <w:lang w:val="en-US"/>
              </w:rPr>
              <w:t>Navoi GRES (TGM-94, 21 TKZ burners on 3 stages), hydrogen sulfide-containing natural gas (</w:t>
            </w:r>
            <m:oMath>
              <m:sSub>
                <m:sSubPr>
                  <m:ctrlPr>
                    <w:rPr>
                      <w:rFonts w:ascii="Cambria Math" w:hAnsi="Cambria Math" w:cs="Times New Roman"/>
                      <w:i/>
                      <w:sz w:val="18"/>
                      <w:szCs w:val="16"/>
                      <w:lang w:val="en-US"/>
                    </w:rPr>
                  </m:ctrlPr>
                </m:sSubPr>
                <m:e>
                  <m:r>
                    <w:rPr>
                      <w:rFonts w:ascii="Cambria Math" w:hAnsi="Cambria Math" w:cs="Times New Roman"/>
                      <w:sz w:val="18"/>
                      <w:szCs w:val="16"/>
                      <w:lang w:val="en-US"/>
                    </w:rPr>
                    <m:t>H</m:t>
                  </m:r>
                </m:e>
                <m:sub>
                  <m:r>
                    <w:rPr>
                      <w:rFonts w:ascii="Cambria Math" w:hAnsi="Cambria Math" w:cs="Times New Roman"/>
                      <w:sz w:val="18"/>
                      <w:szCs w:val="16"/>
                      <w:lang w:val="en-US"/>
                    </w:rPr>
                    <m:t>2</m:t>
                  </m:r>
                </m:sub>
              </m:sSub>
              <m:r>
                <w:rPr>
                  <w:rFonts w:ascii="Cambria Math" w:hAnsi="Cambria Math" w:cs="Times New Roman"/>
                  <w:sz w:val="18"/>
                  <w:szCs w:val="16"/>
                  <w:lang w:val="en-US"/>
                </w:rPr>
                <m:t>S=0.08%</m:t>
              </m:r>
            </m:oMath>
            <w:r w:rsidR="00F33C88" w:rsidRPr="00B6553A">
              <w:rPr>
                <w:rFonts w:ascii="Times New Roman" w:hAnsi="Times New Roman" w:cs="Times New Roman"/>
                <w:sz w:val="18"/>
                <w:szCs w:val="16"/>
                <w:lang w:val="en-US"/>
              </w:rPr>
              <w:t>):</w:t>
            </w:r>
          </w:p>
        </w:tc>
        <w:tc>
          <w:tcPr>
            <w:tcW w:w="654" w:type="dxa"/>
            <w:vMerge w:val="restart"/>
            <w:textDirection w:val="btLr"/>
            <w:vAlign w:val="center"/>
          </w:tcPr>
          <w:p w14:paraId="1ADA8F96" w14:textId="6C515685" w:rsidR="00F33C88" w:rsidRPr="00B6553A" w:rsidRDefault="00F33C88"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1208412</w:t>
            </w:r>
          </w:p>
        </w:tc>
      </w:tr>
      <w:tr w:rsidR="002666F3" w:rsidRPr="00B6553A" w14:paraId="07E46223" w14:textId="77777777" w:rsidTr="00B6553A">
        <w:trPr>
          <w:cantSplit/>
          <w:trHeight w:val="52"/>
          <w:jc w:val="center"/>
        </w:trPr>
        <w:tc>
          <w:tcPr>
            <w:tcW w:w="1907" w:type="dxa"/>
            <w:vAlign w:val="center"/>
          </w:tcPr>
          <w:p w14:paraId="7F590871" w14:textId="6F094C19" w:rsidR="002666F3" w:rsidRPr="00B6553A" w:rsidRDefault="002666F3" w:rsidP="002666F3">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Single-</w:t>
            </w:r>
            <w:proofErr w:type="spellStart"/>
            <w:r w:rsidRPr="00B6553A">
              <w:rPr>
                <w:rFonts w:ascii="Times New Roman" w:hAnsi="Times New Roman" w:cs="Times New Roman"/>
                <w:sz w:val="18"/>
                <w:szCs w:val="18"/>
              </w:rPr>
              <w:t>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15A5E053" w14:textId="52B94747"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1036" w:type="dxa"/>
            <w:vAlign w:val="center"/>
          </w:tcPr>
          <w:p w14:paraId="179B7AA4" w14:textId="28F053B9"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42BC98AE" w14:textId="26C8AD63"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583A2067" w14:textId="7BB065E2"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510</w:t>
            </w:r>
          </w:p>
        </w:tc>
        <w:tc>
          <w:tcPr>
            <w:tcW w:w="789" w:type="dxa"/>
            <w:vAlign w:val="center"/>
          </w:tcPr>
          <w:p w14:paraId="0129B137"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6276</w:t>
            </w:r>
          </w:p>
          <w:p w14:paraId="48F9FD6A" w14:textId="07D8D130"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4FE1154D"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220</w:t>
            </w:r>
          </w:p>
          <w:p w14:paraId="397B97DC" w14:textId="75DEED71"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(3,51%)</w:t>
            </w:r>
          </w:p>
        </w:tc>
        <w:tc>
          <w:tcPr>
            <w:tcW w:w="807" w:type="dxa"/>
            <w:vAlign w:val="center"/>
          </w:tcPr>
          <w:p w14:paraId="41C0428D"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6000</w:t>
            </w:r>
          </w:p>
          <w:p w14:paraId="557DB048" w14:textId="39AE55A1"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(95,6%)</w:t>
            </w:r>
          </w:p>
        </w:tc>
        <w:tc>
          <w:tcPr>
            <w:tcW w:w="789" w:type="dxa"/>
            <w:vAlign w:val="center"/>
          </w:tcPr>
          <w:p w14:paraId="6273DD3F"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15</w:t>
            </w:r>
            <w:r w:rsidRPr="00B6553A">
              <w:rPr>
                <w:rFonts w:ascii="Times New Roman" w:hAnsi="Times New Roman" w:cs="Times New Roman"/>
                <w:sz w:val="18"/>
                <w:szCs w:val="18"/>
                <w:vertAlign w:val="superscript"/>
              </w:rPr>
              <w:t>*</w:t>
            </w:r>
          </w:p>
          <w:p w14:paraId="51E0A06F" w14:textId="11FBB78B"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(0,24%)</w:t>
            </w:r>
          </w:p>
        </w:tc>
        <w:tc>
          <w:tcPr>
            <w:tcW w:w="753" w:type="dxa"/>
            <w:vAlign w:val="center"/>
          </w:tcPr>
          <w:p w14:paraId="16D7E991" w14:textId="4056D222"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41</w:t>
            </w:r>
          </w:p>
          <w:p w14:paraId="317799D7" w14:textId="5DC83E96"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(0,65%)</w:t>
            </w:r>
          </w:p>
        </w:tc>
        <w:tc>
          <w:tcPr>
            <w:tcW w:w="654" w:type="dxa"/>
            <w:vMerge/>
            <w:vAlign w:val="center"/>
          </w:tcPr>
          <w:p w14:paraId="5455ACF0" w14:textId="77777777" w:rsidR="002666F3" w:rsidRPr="00B6553A" w:rsidRDefault="002666F3" w:rsidP="002666F3">
            <w:pPr>
              <w:spacing w:after="0" w:line="240" w:lineRule="auto"/>
              <w:ind w:left="-67" w:right="-65"/>
              <w:jc w:val="center"/>
              <w:rPr>
                <w:rFonts w:ascii="Times New Roman" w:hAnsi="Times New Roman" w:cs="Times New Roman"/>
                <w:sz w:val="18"/>
                <w:szCs w:val="16"/>
                <w:lang w:val="en-US"/>
              </w:rPr>
            </w:pPr>
          </w:p>
        </w:tc>
      </w:tr>
      <w:tr w:rsidR="002666F3" w:rsidRPr="00B6553A" w14:paraId="7E13FF67" w14:textId="77777777" w:rsidTr="00B6553A">
        <w:trPr>
          <w:cantSplit/>
          <w:trHeight w:val="52"/>
          <w:jc w:val="center"/>
        </w:trPr>
        <w:tc>
          <w:tcPr>
            <w:tcW w:w="1907" w:type="dxa"/>
            <w:vAlign w:val="center"/>
          </w:tcPr>
          <w:p w14:paraId="68C78A29" w14:textId="5E77FC62" w:rsidR="002666F3" w:rsidRPr="00B6553A" w:rsidRDefault="002666F3" w:rsidP="002666F3">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Two-stage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4A0C357D" w14:textId="3C1A3224"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0,82-0,89</w:t>
            </w:r>
          </w:p>
        </w:tc>
        <w:tc>
          <w:tcPr>
            <w:tcW w:w="1036" w:type="dxa"/>
            <w:vAlign w:val="center"/>
          </w:tcPr>
          <w:p w14:paraId="516CDA25" w14:textId="54025031"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0,22-0,36</w:t>
            </w:r>
          </w:p>
        </w:tc>
        <w:tc>
          <w:tcPr>
            <w:tcW w:w="553" w:type="dxa"/>
            <w:vAlign w:val="center"/>
          </w:tcPr>
          <w:p w14:paraId="57F9A032" w14:textId="77CB3BB8"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1E838771" w14:textId="4ABEEC77"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255</w:t>
            </w:r>
          </w:p>
        </w:tc>
        <w:tc>
          <w:tcPr>
            <w:tcW w:w="789" w:type="dxa"/>
            <w:vAlign w:val="center"/>
          </w:tcPr>
          <w:p w14:paraId="23DDC94C"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3295</w:t>
            </w:r>
          </w:p>
          <w:p w14:paraId="36EFB565" w14:textId="56171DDA"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0447FDD8"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220</w:t>
            </w:r>
          </w:p>
          <w:p w14:paraId="250EB823" w14:textId="412BA0AF"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(6,7%)</w:t>
            </w:r>
          </w:p>
        </w:tc>
        <w:tc>
          <w:tcPr>
            <w:tcW w:w="807" w:type="dxa"/>
            <w:vAlign w:val="center"/>
          </w:tcPr>
          <w:p w14:paraId="7017DEC5"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3000</w:t>
            </w:r>
          </w:p>
          <w:p w14:paraId="40BAE564" w14:textId="5247D251" w:rsidR="002666F3" w:rsidRPr="00B6553A" w:rsidRDefault="00F30915"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(91,</w:t>
            </w:r>
            <w:r w:rsidR="002666F3" w:rsidRPr="00B6553A">
              <w:rPr>
                <w:rFonts w:ascii="Times New Roman" w:hAnsi="Times New Roman" w:cs="Times New Roman"/>
                <w:sz w:val="18"/>
                <w:szCs w:val="18"/>
              </w:rPr>
              <w:t>0%)</w:t>
            </w:r>
          </w:p>
        </w:tc>
        <w:tc>
          <w:tcPr>
            <w:tcW w:w="789" w:type="dxa"/>
            <w:vAlign w:val="center"/>
          </w:tcPr>
          <w:p w14:paraId="00BD1A6E"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19</w:t>
            </w:r>
            <w:r w:rsidRPr="00B6553A">
              <w:rPr>
                <w:rFonts w:ascii="Times New Roman" w:hAnsi="Times New Roman" w:cs="Times New Roman"/>
                <w:sz w:val="18"/>
                <w:szCs w:val="18"/>
                <w:vertAlign w:val="superscript"/>
              </w:rPr>
              <w:t>*</w:t>
            </w:r>
          </w:p>
          <w:p w14:paraId="5CFEFC87" w14:textId="2BB9ED78"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(0,58%)</w:t>
            </w:r>
          </w:p>
        </w:tc>
        <w:tc>
          <w:tcPr>
            <w:tcW w:w="753" w:type="dxa"/>
            <w:vAlign w:val="center"/>
          </w:tcPr>
          <w:p w14:paraId="72D838D8" w14:textId="77777777" w:rsidR="002666F3" w:rsidRPr="00B6553A" w:rsidRDefault="002666F3" w:rsidP="002666F3">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56</w:t>
            </w:r>
          </w:p>
          <w:p w14:paraId="3D2AA0A8" w14:textId="23060773" w:rsidR="002666F3" w:rsidRPr="00B6553A" w:rsidRDefault="002666F3" w:rsidP="002666F3">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(1,7%)</w:t>
            </w:r>
          </w:p>
        </w:tc>
        <w:tc>
          <w:tcPr>
            <w:tcW w:w="654" w:type="dxa"/>
            <w:vMerge/>
            <w:vAlign w:val="center"/>
          </w:tcPr>
          <w:p w14:paraId="2762302A" w14:textId="77777777" w:rsidR="002666F3" w:rsidRPr="00B6553A" w:rsidRDefault="002666F3" w:rsidP="002666F3">
            <w:pPr>
              <w:spacing w:after="0" w:line="240" w:lineRule="auto"/>
              <w:ind w:left="-67" w:right="-65"/>
              <w:jc w:val="center"/>
              <w:rPr>
                <w:rFonts w:ascii="Times New Roman" w:hAnsi="Times New Roman" w:cs="Times New Roman"/>
                <w:sz w:val="18"/>
                <w:szCs w:val="16"/>
                <w:lang w:val="en-US"/>
              </w:rPr>
            </w:pPr>
          </w:p>
        </w:tc>
      </w:tr>
      <w:tr w:rsidR="00571607" w:rsidRPr="00B6553A" w14:paraId="12C2724A" w14:textId="77777777" w:rsidTr="00B6553A">
        <w:trPr>
          <w:cantSplit/>
          <w:trHeight w:val="241"/>
          <w:jc w:val="center"/>
        </w:trPr>
        <w:tc>
          <w:tcPr>
            <w:tcW w:w="8721" w:type="dxa"/>
            <w:gridSpan w:val="10"/>
            <w:vAlign w:val="center"/>
          </w:tcPr>
          <w:p w14:paraId="248998B1" w14:textId="5ED2A024" w:rsidR="00571607" w:rsidRPr="00B6553A" w:rsidRDefault="00571607" w:rsidP="00011A20">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2. Tashkent GRES (TGM-94, 21 TKZ burners on 3 stages), natural gas:</w:t>
            </w:r>
          </w:p>
        </w:tc>
        <w:tc>
          <w:tcPr>
            <w:tcW w:w="654" w:type="dxa"/>
            <w:vMerge w:val="restart"/>
            <w:textDirection w:val="btLr"/>
            <w:vAlign w:val="center"/>
          </w:tcPr>
          <w:p w14:paraId="4DB386E8" w14:textId="5726A5FD" w:rsidR="00571607" w:rsidRPr="00B6553A" w:rsidRDefault="00571607"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1346907</w:t>
            </w:r>
          </w:p>
        </w:tc>
      </w:tr>
      <w:tr w:rsidR="00571607" w:rsidRPr="00B6553A" w14:paraId="202535AD" w14:textId="77777777" w:rsidTr="00B6553A">
        <w:trPr>
          <w:cantSplit/>
          <w:trHeight w:val="52"/>
          <w:jc w:val="center"/>
        </w:trPr>
        <w:tc>
          <w:tcPr>
            <w:tcW w:w="1907" w:type="dxa"/>
            <w:vAlign w:val="center"/>
          </w:tcPr>
          <w:p w14:paraId="0F331D2D" w14:textId="189BB151" w:rsidR="00571607" w:rsidRPr="00B6553A" w:rsidRDefault="00571607" w:rsidP="00571607">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Single-</w:t>
            </w:r>
            <w:proofErr w:type="spellStart"/>
            <w:r w:rsidRPr="00B6553A">
              <w:rPr>
                <w:rFonts w:ascii="Times New Roman" w:hAnsi="Times New Roman" w:cs="Times New Roman"/>
                <w:sz w:val="18"/>
                <w:szCs w:val="18"/>
              </w:rPr>
              <w:t>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36F30BFC" w14:textId="27EE3DD4"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1036" w:type="dxa"/>
            <w:vAlign w:val="center"/>
          </w:tcPr>
          <w:p w14:paraId="251F84B6" w14:textId="79C6B9D7"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4532FC81" w14:textId="57D4666A"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500DB827" w14:textId="0A69CD59"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608</w:t>
            </w:r>
          </w:p>
        </w:tc>
        <w:tc>
          <w:tcPr>
            <w:tcW w:w="789" w:type="dxa"/>
            <w:vAlign w:val="center"/>
          </w:tcPr>
          <w:p w14:paraId="65967C34"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7207</w:t>
            </w:r>
          </w:p>
          <w:p w14:paraId="395EA176" w14:textId="08AFD998"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7E64F7EA" w14:textId="0DAFAD62"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807" w:type="dxa"/>
            <w:vAlign w:val="center"/>
          </w:tcPr>
          <w:p w14:paraId="110C20B5"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7153</w:t>
            </w:r>
          </w:p>
          <w:p w14:paraId="0287DA3A" w14:textId="194F79FA"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(99,25%)</w:t>
            </w:r>
          </w:p>
        </w:tc>
        <w:tc>
          <w:tcPr>
            <w:tcW w:w="789" w:type="dxa"/>
            <w:vAlign w:val="center"/>
          </w:tcPr>
          <w:p w14:paraId="54682F39"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12</w:t>
            </w:r>
            <w:r w:rsidRPr="00B6553A">
              <w:rPr>
                <w:rFonts w:ascii="Times New Roman" w:hAnsi="Times New Roman" w:cs="Times New Roman"/>
                <w:sz w:val="18"/>
                <w:szCs w:val="18"/>
                <w:vertAlign w:val="superscript"/>
              </w:rPr>
              <w:t>*</w:t>
            </w:r>
          </w:p>
          <w:p w14:paraId="30CB8D42" w14:textId="5EF47667"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(0,17%)</w:t>
            </w:r>
          </w:p>
        </w:tc>
        <w:tc>
          <w:tcPr>
            <w:tcW w:w="753" w:type="dxa"/>
            <w:vAlign w:val="center"/>
          </w:tcPr>
          <w:p w14:paraId="00BAAD69"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42</w:t>
            </w:r>
            <w:r w:rsidRPr="00B6553A">
              <w:rPr>
                <w:rFonts w:ascii="Times New Roman" w:hAnsi="Times New Roman" w:cs="Times New Roman"/>
                <w:sz w:val="18"/>
                <w:szCs w:val="18"/>
                <w:vertAlign w:val="superscript"/>
              </w:rPr>
              <w:t>*</w:t>
            </w:r>
          </w:p>
          <w:p w14:paraId="0BF6DA93" w14:textId="2429AE58"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(0,58%)</w:t>
            </w:r>
          </w:p>
        </w:tc>
        <w:tc>
          <w:tcPr>
            <w:tcW w:w="654" w:type="dxa"/>
            <w:vMerge/>
            <w:vAlign w:val="center"/>
          </w:tcPr>
          <w:p w14:paraId="182BE95C" w14:textId="0DA57741" w:rsidR="00571607" w:rsidRPr="00B6553A" w:rsidRDefault="00571607" w:rsidP="002666F3">
            <w:pPr>
              <w:spacing w:after="0" w:line="240" w:lineRule="auto"/>
              <w:ind w:left="-67" w:right="-65"/>
              <w:jc w:val="center"/>
              <w:rPr>
                <w:rFonts w:ascii="Times New Roman" w:hAnsi="Times New Roman" w:cs="Times New Roman"/>
                <w:sz w:val="18"/>
                <w:szCs w:val="16"/>
                <w:lang w:val="en-US"/>
              </w:rPr>
            </w:pPr>
          </w:p>
        </w:tc>
      </w:tr>
      <w:tr w:rsidR="00571607" w:rsidRPr="00B6553A" w14:paraId="75190931" w14:textId="77777777" w:rsidTr="00B6553A">
        <w:trPr>
          <w:cantSplit/>
          <w:trHeight w:val="58"/>
          <w:jc w:val="center"/>
        </w:trPr>
        <w:tc>
          <w:tcPr>
            <w:tcW w:w="1907" w:type="dxa"/>
            <w:vAlign w:val="center"/>
          </w:tcPr>
          <w:p w14:paraId="7597AF0B" w14:textId="6C0B211D" w:rsidR="00571607" w:rsidRPr="00B6553A" w:rsidRDefault="00571607" w:rsidP="00571607">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Two-stage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vertical</w:t>
            </w:r>
            <w:proofErr w:type="spellEnd"/>
            <w:r w:rsidRPr="00B6553A">
              <w:rPr>
                <w:rFonts w:ascii="Times New Roman" w:hAnsi="Times New Roman" w:cs="Times New Roman"/>
                <w:sz w:val="18"/>
                <w:szCs w:val="18"/>
              </w:rPr>
              <w:t>")</w:t>
            </w:r>
          </w:p>
        </w:tc>
        <w:tc>
          <w:tcPr>
            <w:tcW w:w="796" w:type="dxa"/>
            <w:vAlign w:val="center"/>
          </w:tcPr>
          <w:p w14:paraId="572334B4" w14:textId="020242A3"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0,75</w:t>
            </w:r>
          </w:p>
        </w:tc>
        <w:tc>
          <w:tcPr>
            <w:tcW w:w="1036" w:type="dxa"/>
            <w:vAlign w:val="center"/>
          </w:tcPr>
          <w:p w14:paraId="7CA9B308" w14:textId="2BC30650"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0,25</w:t>
            </w:r>
          </w:p>
        </w:tc>
        <w:tc>
          <w:tcPr>
            <w:tcW w:w="553" w:type="dxa"/>
            <w:vAlign w:val="center"/>
          </w:tcPr>
          <w:p w14:paraId="15462B5A" w14:textId="73D5ED26"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3FF9CF79" w14:textId="70F7C396"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225</w:t>
            </w:r>
          </w:p>
        </w:tc>
        <w:tc>
          <w:tcPr>
            <w:tcW w:w="789" w:type="dxa"/>
            <w:vAlign w:val="center"/>
          </w:tcPr>
          <w:p w14:paraId="6606A153"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3087</w:t>
            </w:r>
          </w:p>
          <w:p w14:paraId="6D991C23" w14:textId="54638345"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25D959FC" w14:textId="54867858"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807" w:type="dxa"/>
            <w:vAlign w:val="center"/>
          </w:tcPr>
          <w:p w14:paraId="19072478"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3000</w:t>
            </w:r>
          </w:p>
          <w:p w14:paraId="1E5DE859" w14:textId="420ECF5C"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(97,2 %)</w:t>
            </w:r>
          </w:p>
        </w:tc>
        <w:tc>
          <w:tcPr>
            <w:tcW w:w="789" w:type="dxa"/>
            <w:vAlign w:val="center"/>
          </w:tcPr>
          <w:p w14:paraId="148DD3C0"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20</w:t>
            </w:r>
            <w:r w:rsidRPr="00B6553A">
              <w:rPr>
                <w:rFonts w:ascii="Times New Roman" w:hAnsi="Times New Roman" w:cs="Times New Roman"/>
                <w:sz w:val="18"/>
                <w:szCs w:val="18"/>
                <w:vertAlign w:val="superscript"/>
              </w:rPr>
              <w:t>*</w:t>
            </w:r>
          </w:p>
          <w:p w14:paraId="13A762F8" w14:textId="6909E28A"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(0,63%)</w:t>
            </w:r>
          </w:p>
        </w:tc>
        <w:tc>
          <w:tcPr>
            <w:tcW w:w="753" w:type="dxa"/>
            <w:vAlign w:val="center"/>
          </w:tcPr>
          <w:p w14:paraId="6E121AFA"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67</w:t>
            </w:r>
            <w:r w:rsidRPr="00B6553A">
              <w:rPr>
                <w:rFonts w:ascii="Times New Roman" w:hAnsi="Times New Roman" w:cs="Times New Roman"/>
                <w:sz w:val="18"/>
                <w:szCs w:val="18"/>
                <w:vertAlign w:val="superscript"/>
              </w:rPr>
              <w:t>*</w:t>
            </w:r>
          </w:p>
          <w:p w14:paraId="178C8642" w14:textId="29852C1B"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(2,17%)</w:t>
            </w:r>
          </w:p>
        </w:tc>
        <w:tc>
          <w:tcPr>
            <w:tcW w:w="654" w:type="dxa"/>
            <w:vMerge/>
            <w:vAlign w:val="center"/>
          </w:tcPr>
          <w:p w14:paraId="0507545E" w14:textId="046850C3" w:rsidR="00571607" w:rsidRPr="00B6553A" w:rsidRDefault="00571607" w:rsidP="002666F3">
            <w:pPr>
              <w:spacing w:after="0" w:line="240" w:lineRule="auto"/>
              <w:ind w:left="-67" w:right="-65"/>
              <w:jc w:val="center"/>
              <w:rPr>
                <w:rFonts w:ascii="Times New Roman" w:hAnsi="Times New Roman" w:cs="Times New Roman"/>
                <w:sz w:val="18"/>
                <w:szCs w:val="16"/>
                <w:lang w:val="en-US"/>
              </w:rPr>
            </w:pPr>
          </w:p>
        </w:tc>
      </w:tr>
      <w:tr w:rsidR="00571607" w:rsidRPr="00B6553A" w14:paraId="78ECD8CA" w14:textId="77777777" w:rsidTr="00B6553A">
        <w:trPr>
          <w:cantSplit/>
          <w:trHeight w:val="78"/>
          <w:jc w:val="center"/>
        </w:trPr>
        <w:tc>
          <w:tcPr>
            <w:tcW w:w="1907" w:type="dxa"/>
            <w:vAlign w:val="center"/>
          </w:tcPr>
          <w:p w14:paraId="17BD18E9" w14:textId="09E853CD" w:rsidR="00571607" w:rsidRPr="00B6553A" w:rsidRDefault="00571607" w:rsidP="00571607">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Two-stage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horizontally</w:t>
            </w:r>
            <w:proofErr w:type="spellEnd"/>
            <w:r w:rsidRPr="00B6553A">
              <w:rPr>
                <w:rFonts w:ascii="Times New Roman" w:hAnsi="Times New Roman" w:cs="Times New Roman"/>
                <w:sz w:val="18"/>
                <w:szCs w:val="18"/>
              </w:rPr>
              <w:t>”)</w:t>
            </w:r>
          </w:p>
        </w:tc>
        <w:tc>
          <w:tcPr>
            <w:tcW w:w="796" w:type="dxa"/>
            <w:vAlign w:val="center"/>
          </w:tcPr>
          <w:p w14:paraId="4C7153A6" w14:textId="30E38D54"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0,85</w:t>
            </w:r>
          </w:p>
        </w:tc>
        <w:tc>
          <w:tcPr>
            <w:tcW w:w="1036" w:type="dxa"/>
            <w:vAlign w:val="center"/>
          </w:tcPr>
          <w:p w14:paraId="32A2D934" w14:textId="24B1AFA7"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0,15</w:t>
            </w:r>
          </w:p>
        </w:tc>
        <w:tc>
          <w:tcPr>
            <w:tcW w:w="553" w:type="dxa"/>
            <w:vAlign w:val="center"/>
          </w:tcPr>
          <w:p w14:paraId="2C7367D3" w14:textId="4FAC4EDE"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6262CB83" w14:textId="205A7324"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735</w:t>
            </w:r>
          </w:p>
        </w:tc>
        <w:tc>
          <w:tcPr>
            <w:tcW w:w="789" w:type="dxa"/>
            <w:vAlign w:val="center"/>
          </w:tcPr>
          <w:p w14:paraId="5D3B426E"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8707</w:t>
            </w:r>
          </w:p>
          <w:p w14:paraId="032653D5" w14:textId="045B52FD"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706AD3CA" w14:textId="1E29D9FD"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807" w:type="dxa"/>
            <w:vAlign w:val="center"/>
          </w:tcPr>
          <w:p w14:paraId="4D35C600"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8647</w:t>
            </w:r>
          </w:p>
          <w:p w14:paraId="4D4BDC2D" w14:textId="22F9D614"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(99,3 %)</w:t>
            </w:r>
          </w:p>
        </w:tc>
        <w:tc>
          <w:tcPr>
            <w:tcW w:w="789" w:type="dxa"/>
            <w:vAlign w:val="center"/>
          </w:tcPr>
          <w:p w14:paraId="7BA951FD"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13</w:t>
            </w:r>
            <w:r w:rsidRPr="00B6553A">
              <w:rPr>
                <w:rFonts w:ascii="Times New Roman" w:hAnsi="Times New Roman" w:cs="Times New Roman"/>
                <w:sz w:val="18"/>
                <w:szCs w:val="18"/>
                <w:vertAlign w:val="superscript"/>
              </w:rPr>
              <w:t>*</w:t>
            </w:r>
          </w:p>
          <w:p w14:paraId="724A9B90" w14:textId="6F28F356"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(0,15%)</w:t>
            </w:r>
          </w:p>
        </w:tc>
        <w:tc>
          <w:tcPr>
            <w:tcW w:w="753" w:type="dxa"/>
            <w:vAlign w:val="center"/>
          </w:tcPr>
          <w:p w14:paraId="74F9C70C"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43</w:t>
            </w:r>
            <w:r w:rsidRPr="00B6553A">
              <w:rPr>
                <w:rFonts w:ascii="Times New Roman" w:hAnsi="Times New Roman" w:cs="Times New Roman"/>
                <w:sz w:val="18"/>
                <w:szCs w:val="18"/>
                <w:vertAlign w:val="superscript"/>
              </w:rPr>
              <w:t>*</w:t>
            </w:r>
          </w:p>
          <w:p w14:paraId="333ECEC3" w14:textId="56D36F19"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(0,55%)</w:t>
            </w:r>
          </w:p>
        </w:tc>
        <w:tc>
          <w:tcPr>
            <w:tcW w:w="654" w:type="dxa"/>
            <w:vMerge/>
            <w:vAlign w:val="center"/>
          </w:tcPr>
          <w:p w14:paraId="0B8ED49A" w14:textId="27490D5E" w:rsidR="00571607" w:rsidRPr="00B6553A" w:rsidRDefault="00571607" w:rsidP="002666F3">
            <w:pPr>
              <w:spacing w:after="0" w:line="240" w:lineRule="auto"/>
              <w:ind w:left="-67" w:right="-65"/>
              <w:jc w:val="center"/>
              <w:rPr>
                <w:rFonts w:ascii="Times New Roman" w:hAnsi="Times New Roman" w:cs="Times New Roman"/>
                <w:sz w:val="18"/>
                <w:szCs w:val="16"/>
                <w:lang w:val="en-US"/>
              </w:rPr>
            </w:pPr>
          </w:p>
        </w:tc>
      </w:tr>
      <w:tr w:rsidR="00571607" w:rsidRPr="00B6553A" w14:paraId="27469B08" w14:textId="77777777" w:rsidTr="00B6553A">
        <w:trPr>
          <w:cantSplit/>
          <w:trHeight w:val="72"/>
          <w:jc w:val="center"/>
        </w:trPr>
        <w:tc>
          <w:tcPr>
            <w:tcW w:w="1907" w:type="dxa"/>
            <w:vAlign w:val="center"/>
          </w:tcPr>
          <w:p w14:paraId="5BFCDB66" w14:textId="4CC975AC" w:rsidR="00571607" w:rsidRPr="00B6553A" w:rsidRDefault="00571607" w:rsidP="00571607">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Three-stage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0E79C740" w14:textId="67B4260B"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0,67-0,73</w:t>
            </w:r>
          </w:p>
        </w:tc>
        <w:tc>
          <w:tcPr>
            <w:tcW w:w="1036" w:type="dxa"/>
            <w:vAlign w:val="center"/>
          </w:tcPr>
          <w:p w14:paraId="70DDAB01" w14:textId="052456AE"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0,27-0,33</w:t>
            </w:r>
          </w:p>
        </w:tc>
        <w:tc>
          <w:tcPr>
            <w:tcW w:w="553" w:type="dxa"/>
            <w:vAlign w:val="center"/>
          </w:tcPr>
          <w:p w14:paraId="02F62D85" w14:textId="5E1E0D27"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393CE703" w14:textId="41EB76FF"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266</w:t>
            </w:r>
          </w:p>
        </w:tc>
        <w:tc>
          <w:tcPr>
            <w:tcW w:w="789" w:type="dxa"/>
            <w:vAlign w:val="center"/>
          </w:tcPr>
          <w:p w14:paraId="5359A85B"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3193</w:t>
            </w:r>
          </w:p>
          <w:p w14:paraId="7077318F" w14:textId="5D13582E"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27B53921" w14:textId="322C39F4"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807" w:type="dxa"/>
            <w:vAlign w:val="center"/>
          </w:tcPr>
          <w:p w14:paraId="4A2AD532"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3129</w:t>
            </w:r>
          </w:p>
          <w:p w14:paraId="6E5D7C54" w14:textId="3CD627DD"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(98%)</w:t>
            </w:r>
          </w:p>
        </w:tc>
        <w:tc>
          <w:tcPr>
            <w:tcW w:w="789" w:type="dxa"/>
            <w:vAlign w:val="center"/>
          </w:tcPr>
          <w:p w14:paraId="7EC41748"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17</w:t>
            </w:r>
            <w:r w:rsidRPr="00B6553A">
              <w:rPr>
                <w:rFonts w:ascii="Times New Roman" w:hAnsi="Times New Roman" w:cs="Times New Roman"/>
                <w:sz w:val="18"/>
                <w:szCs w:val="18"/>
                <w:vertAlign w:val="superscript"/>
              </w:rPr>
              <w:t>*</w:t>
            </w:r>
          </w:p>
          <w:p w14:paraId="13779E73" w14:textId="712D6645"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(0,5%)</w:t>
            </w:r>
          </w:p>
        </w:tc>
        <w:tc>
          <w:tcPr>
            <w:tcW w:w="753" w:type="dxa"/>
            <w:vAlign w:val="center"/>
          </w:tcPr>
          <w:p w14:paraId="7F1B131D" w14:textId="77777777" w:rsidR="00571607" w:rsidRPr="00B6553A" w:rsidRDefault="00571607" w:rsidP="00571607">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47</w:t>
            </w:r>
            <w:r w:rsidRPr="00B6553A">
              <w:rPr>
                <w:rFonts w:ascii="Times New Roman" w:hAnsi="Times New Roman" w:cs="Times New Roman"/>
                <w:sz w:val="18"/>
                <w:szCs w:val="18"/>
                <w:vertAlign w:val="superscript"/>
              </w:rPr>
              <w:t>*</w:t>
            </w:r>
          </w:p>
          <w:p w14:paraId="6F066609" w14:textId="4CB94C1A" w:rsidR="00571607" w:rsidRPr="00B6553A" w:rsidRDefault="00571607" w:rsidP="00571607">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(1,5%)</w:t>
            </w:r>
          </w:p>
        </w:tc>
        <w:tc>
          <w:tcPr>
            <w:tcW w:w="654" w:type="dxa"/>
            <w:vMerge/>
            <w:vAlign w:val="center"/>
          </w:tcPr>
          <w:p w14:paraId="63855350" w14:textId="6C3A7004" w:rsidR="00571607" w:rsidRPr="00B6553A" w:rsidRDefault="00571607" w:rsidP="002666F3">
            <w:pPr>
              <w:spacing w:after="0" w:line="240" w:lineRule="auto"/>
              <w:ind w:left="-67" w:right="-65"/>
              <w:jc w:val="center"/>
              <w:rPr>
                <w:rFonts w:ascii="Times New Roman" w:hAnsi="Times New Roman" w:cs="Times New Roman"/>
                <w:sz w:val="18"/>
                <w:szCs w:val="16"/>
                <w:lang w:val="en-US"/>
              </w:rPr>
            </w:pPr>
          </w:p>
        </w:tc>
      </w:tr>
      <w:tr w:rsidR="00F71289" w:rsidRPr="00B6553A" w14:paraId="31FF254A" w14:textId="77777777" w:rsidTr="00B6553A">
        <w:trPr>
          <w:cantSplit/>
          <w:trHeight w:val="268"/>
          <w:jc w:val="center"/>
        </w:trPr>
        <w:tc>
          <w:tcPr>
            <w:tcW w:w="8721" w:type="dxa"/>
            <w:gridSpan w:val="10"/>
            <w:vAlign w:val="center"/>
          </w:tcPr>
          <w:p w14:paraId="4E3EFF08" w14:textId="643F15C6" w:rsidR="00F71289" w:rsidRPr="00B6553A" w:rsidRDefault="00F71289" w:rsidP="00011A20">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 xml:space="preserve">3. </w:t>
            </w:r>
            <w:proofErr w:type="spellStart"/>
            <w:r w:rsidRPr="00B6553A">
              <w:rPr>
                <w:rFonts w:ascii="Times New Roman" w:hAnsi="Times New Roman" w:cs="Times New Roman"/>
                <w:sz w:val="18"/>
                <w:szCs w:val="16"/>
                <w:lang w:val="en-US"/>
              </w:rPr>
              <w:t>Nevinnomysskaya</w:t>
            </w:r>
            <w:proofErr w:type="spellEnd"/>
            <w:r w:rsidRPr="00B6553A">
              <w:rPr>
                <w:rFonts w:ascii="Times New Roman" w:hAnsi="Times New Roman" w:cs="Times New Roman"/>
                <w:sz w:val="18"/>
                <w:szCs w:val="16"/>
                <w:lang w:val="en-US"/>
              </w:rPr>
              <w:t xml:space="preserve"> GRES (TGM-94, 6 HFTs burners in 2 tiers), Stavropol natural gas:</w:t>
            </w:r>
          </w:p>
        </w:tc>
        <w:tc>
          <w:tcPr>
            <w:tcW w:w="654" w:type="dxa"/>
            <w:vMerge w:val="restart"/>
            <w:textDirection w:val="btLr"/>
            <w:vAlign w:val="center"/>
          </w:tcPr>
          <w:p w14:paraId="61CAAB53" w14:textId="6AF2C85C" w:rsidR="00F71289" w:rsidRPr="00B6553A" w:rsidRDefault="00427561"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1346907</w:t>
            </w:r>
          </w:p>
        </w:tc>
      </w:tr>
      <w:tr w:rsidR="00F71289" w:rsidRPr="00B6553A" w14:paraId="005AC6CF" w14:textId="77777777" w:rsidTr="00B6553A">
        <w:trPr>
          <w:cantSplit/>
          <w:trHeight w:val="223"/>
          <w:jc w:val="center"/>
        </w:trPr>
        <w:tc>
          <w:tcPr>
            <w:tcW w:w="1907" w:type="dxa"/>
            <w:vAlign w:val="center"/>
          </w:tcPr>
          <w:p w14:paraId="779AEDE8" w14:textId="28AC4FB4" w:rsidR="00F71289" w:rsidRPr="00B6553A" w:rsidRDefault="00F71289" w:rsidP="00F71289">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6"/>
              </w:rPr>
              <w:t>Single-</w:t>
            </w:r>
            <w:proofErr w:type="spellStart"/>
            <w:r w:rsidRPr="00B6553A">
              <w:rPr>
                <w:rFonts w:ascii="Times New Roman" w:hAnsi="Times New Roman" w:cs="Times New Roman"/>
                <w:sz w:val="18"/>
                <w:szCs w:val="16"/>
              </w:rPr>
              <w:t>stage</w:t>
            </w:r>
            <w:proofErr w:type="spellEnd"/>
            <w:r w:rsidRPr="00B6553A">
              <w:rPr>
                <w:rFonts w:ascii="Times New Roman" w:hAnsi="Times New Roman" w:cs="Times New Roman"/>
                <w:sz w:val="18"/>
                <w:szCs w:val="16"/>
              </w:rPr>
              <w:t xml:space="preserve"> </w:t>
            </w:r>
            <w:proofErr w:type="spellStart"/>
            <w:r w:rsidRPr="00B6553A">
              <w:rPr>
                <w:rFonts w:ascii="Times New Roman" w:hAnsi="Times New Roman" w:cs="Times New Roman"/>
                <w:sz w:val="18"/>
                <w:szCs w:val="16"/>
              </w:rPr>
              <w:t>combustion</w:t>
            </w:r>
            <w:proofErr w:type="spellEnd"/>
          </w:p>
        </w:tc>
        <w:tc>
          <w:tcPr>
            <w:tcW w:w="796" w:type="dxa"/>
            <w:vAlign w:val="center"/>
          </w:tcPr>
          <w:p w14:paraId="0DA5D8FE" w14:textId="757A6628"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1,0</w:t>
            </w:r>
          </w:p>
        </w:tc>
        <w:tc>
          <w:tcPr>
            <w:tcW w:w="1036" w:type="dxa"/>
            <w:vAlign w:val="center"/>
          </w:tcPr>
          <w:p w14:paraId="2E82378E" w14:textId="73AE0E74"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0</w:t>
            </w:r>
          </w:p>
        </w:tc>
        <w:tc>
          <w:tcPr>
            <w:tcW w:w="553" w:type="dxa"/>
            <w:vAlign w:val="center"/>
          </w:tcPr>
          <w:p w14:paraId="549A0DAA" w14:textId="776D76FE"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1,4</w:t>
            </w:r>
          </w:p>
        </w:tc>
        <w:tc>
          <w:tcPr>
            <w:tcW w:w="535" w:type="dxa"/>
            <w:vAlign w:val="center"/>
          </w:tcPr>
          <w:p w14:paraId="350B0CBF" w14:textId="3D7ADC0B"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364</w:t>
            </w:r>
          </w:p>
        </w:tc>
        <w:tc>
          <w:tcPr>
            <w:tcW w:w="789" w:type="dxa"/>
            <w:vAlign w:val="center"/>
          </w:tcPr>
          <w:p w14:paraId="605B2F2D"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4510</w:t>
            </w:r>
          </w:p>
          <w:p w14:paraId="03F4DB00" w14:textId="6873EF69"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(100%)</w:t>
            </w:r>
          </w:p>
        </w:tc>
        <w:tc>
          <w:tcPr>
            <w:tcW w:w="756" w:type="dxa"/>
            <w:vAlign w:val="center"/>
          </w:tcPr>
          <w:p w14:paraId="638239C8" w14:textId="34C8FB6E"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w:t>
            </w:r>
          </w:p>
        </w:tc>
        <w:tc>
          <w:tcPr>
            <w:tcW w:w="807" w:type="dxa"/>
            <w:vAlign w:val="center"/>
          </w:tcPr>
          <w:p w14:paraId="7A23CE5B"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4282</w:t>
            </w:r>
          </w:p>
          <w:p w14:paraId="15EFA2FF" w14:textId="70FD5BEE"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(95,0%)</w:t>
            </w:r>
          </w:p>
        </w:tc>
        <w:tc>
          <w:tcPr>
            <w:tcW w:w="789" w:type="dxa"/>
            <w:vAlign w:val="center"/>
          </w:tcPr>
          <w:p w14:paraId="75C5DE1D"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18</w:t>
            </w:r>
          </w:p>
          <w:p w14:paraId="254CD559" w14:textId="2EE7B6F3"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(0,34%)</w:t>
            </w:r>
          </w:p>
        </w:tc>
        <w:tc>
          <w:tcPr>
            <w:tcW w:w="753" w:type="dxa"/>
            <w:vAlign w:val="center"/>
          </w:tcPr>
          <w:p w14:paraId="2DBECF87"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210</w:t>
            </w:r>
          </w:p>
          <w:p w14:paraId="0FA18077" w14:textId="1602E67D"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(4,66%)</w:t>
            </w:r>
          </w:p>
        </w:tc>
        <w:tc>
          <w:tcPr>
            <w:tcW w:w="654" w:type="dxa"/>
            <w:vMerge/>
            <w:vAlign w:val="center"/>
          </w:tcPr>
          <w:p w14:paraId="41CA137F" w14:textId="77777777" w:rsidR="00F71289" w:rsidRPr="00B6553A" w:rsidRDefault="00F71289" w:rsidP="002666F3">
            <w:pPr>
              <w:spacing w:after="0" w:line="240" w:lineRule="auto"/>
              <w:ind w:left="-67" w:right="-65"/>
              <w:jc w:val="center"/>
              <w:rPr>
                <w:rFonts w:ascii="Times New Roman" w:hAnsi="Times New Roman" w:cs="Times New Roman"/>
                <w:sz w:val="18"/>
                <w:szCs w:val="16"/>
                <w:lang w:val="en-US"/>
              </w:rPr>
            </w:pPr>
          </w:p>
        </w:tc>
      </w:tr>
      <w:tr w:rsidR="00F71289" w:rsidRPr="00B6553A" w14:paraId="50CE7F94" w14:textId="77777777" w:rsidTr="00B6553A">
        <w:trPr>
          <w:cantSplit/>
          <w:trHeight w:val="223"/>
          <w:jc w:val="center"/>
        </w:trPr>
        <w:tc>
          <w:tcPr>
            <w:tcW w:w="1907" w:type="dxa"/>
            <w:vAlign w:val="center"/>
          </w:tcPr>
          <w:p w14:paraId="5B506709" w14:textId="2E6F0F12" w:rsidR="00F71289" w:rsidRPr="00B6553A" w:rsidRDefault="00F71289" w:rsidP="00F71289">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6"/>
              </w:rPr>
              <w:t xml:space="preserve">The </w:t>
            </w:r>
            <w:proofErr w:type="spellStart"/>
            <w:r w:rsidRPr="00B6553A">
              <w:rPr>
                <w:rFonts w:ascii="Times New Roman" w:hAnsi="Times New Roman" w:cs="Times New Roman"/>
                <w:sz w:val="18"/>
                <w:szCs w:val="16"/>
              </w:rPr>
              <w:t>same</w:t>
            </w:r>
            <w:proofErr w:type="spellEnd"/>
            <w:r w:rsidRPr="00B6553A">
              <w:rPr>
                <w:rFonts w:ascii="Times New Roman" w:hAnsi="Times New Roman" w:cs="Times New Roman"/>
                <w:sz w:val="18"/>
                <w:szCs w:val="16"/>
              </w:rPr>
              <w:t xml:space="preserve">, </w:t>
            </w:r>
            <w:proofErr w:type="spellStart"/>
            <w:r w:rsidRPr="00B6553A">
              <w:rPr>
                <w:rFonts w:ascii="Times New Roman" w:hAnsi="Times New Roman" w:cs="Times New Roman"/>
                <w:sz w:val="18"/>
                <w:szCs w:val="16"/>
              </w:rPr>
              <w:t>unadjusted</w:t>
            </w:r>
            <w:proofErr w:type="spellEnd"/>
            <w:r w:rsidRPr="00B6553A">
              <w:rPr>
                <w:rFonts w:ascii="Times New Roman" w:hAnsi="Times New Roman" w:cs="Times New Roman"/>
                <w:sz w:val="18"/>
                <w:szCs w:val="16"/>
              </w:rPr>
              <w:t xml:space="preserve"> </w:t>
            </w:r>
            <w:proofErr w:type="spellStart"/>
            <w:r w:rsidRPr="00B6553A">
              <w:rPr>
                <w:rFonts w:ascii="Times New Roman" w:hAnsi="Times New Roman" w:cs="Times New Roman"/>
                <w:sz w:val="18"/>
                <w:szCs w:val="16"/>
              </w:rPr>
              <w:t>mode</w:t>
            </w:r>
            <w:proofErr w:type="spellEnd"/>
          </w:p>
        </w:tc>
        <w:tc>
          <w:tcPr>
            <w:tcW w:w="796" w:type="dxa"/>
            <w:vAlign w:val="center"/>
          </w:tcPr>
          <w:p w14:paraId="368DA471" w14:textId="75A1F87B"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1,0</w:t>
            </w:r>
          </w:p>
        </w:tc>
        <w:tc>
          <w:tcPr>
            <w:tcW w:w="1036" w:type="dxa"/>
            <w:vAlign w:val="center"/>
          </w:tcPr>
          <w:p w14:paraId="72EA4EF3" w14:textId="61C689CE"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0</w:t>
            </w:r>
          </w:p>
        </w:tc>
        <w:tc>
          <w:tcPr>
            <w:tcW w:w="553" w:type="dxa"/>
            <w:vAlign w:val="center"/>
          </w:tcPr>
          <w:p w14:paraId="21E3C08F" w14:textId="18A19F18"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1,4</w:t>
            </w:r>
          </w:p>
        </w:tc>
        <w:tc>
          <w:tcPr>
            <w:tcW w:w="535" w:type="dxa"/>
            <w:vAlign w:val="center"/>
          </w:tcPr>
          <w:p w14:paraId="395EE03A" w14:textId="0B612DD8"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210</w:t>
            </w:r>
          </w:p>
        </w:tc>
        <w:tc>
          <w:tcPr>
            <w:tcW w:w="789" w:type="dxa"/>
            <w:vAlign w:val="center"/>
          </w:tcPr>
          <w:p w14:paraId="42B48AB4"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3078</w:t>
            </w:r>
          </w:p>
          <w:p w14:paraId="07CCE658" w14:textId="7EC7298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(100%)</w:t>
            </w:r>
          </w:p>
        </w:tc>
        <w:tc>
          <w:tcPr>
            <w:tcW w:w="756" w:type="dxa"/>
            <w:vAlign w:val="center"/>
          </w:tcPr>
          <w:p w14:paraId="5AAD6634" w14:textId="6C0E9269"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w:t>
            </w:r>
          </w:p>
        </w:tc>
        <w:tc>
          <w:tcPr>
            <w:tcW w:w="807" w:type="dxa"/>
            <w:vAlign w:val="center"/>
          </w:tcPr>
          <w:p w14:paraId="42BCA5A8"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2471</w:t>
            </w:r>
          </w:p>
          <w:p w14:paraId="4936C77C" w14:textId="657A648B"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(80,3%)</w:t>
            </w:r>
          </w:p>
        </w:tc>
        <w:tc>
          <w:tcPr>
            <w:tcW w:w="789" w:type="dxa"/>
            <w:vAlign w:val="center"/>
          </w:tcPr>
          <w:p w14:paraId="0A6263FE"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57</w:t>
            </w:r>
          </w:p>
          <w:p w14:paraId="558FBDC8" w14:textId="2EC613B2"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(1,8%)</w:t>
            </w:r>
          </w:p>
        </w:tc>
        <w:tc>
          <w:tcPr>
            <w:tcW w:w="753" w:type="dxa"/>
            <w:vAlign w:val="center"/>
          </w:tcPr>
          <w:p w14:paraId="067AA422"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550</w:t>
            </w:r>
          </w:p>
          <w:p w14:paraId="0670846A" w14:textId="10948BAB"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(17,9%)</w:t>
            </w:r>
          </w:p>
        </w:tc>
        <w:tc>
          <w:tcPr>
            <w:tcW w:w="654" w:type="dxa"/>
            <w:vMerge/>
            <w:vAlign w:val="center"/>
          </w:tcPr>
          <w:p w14:paraId="2594996C" w14:textId="77777777" w:rsidR="00F71289" w:rsidRPr="00B6553A" w:rsidRDefault="00F71289" w:rsidP="002666F3">
            <w:pPr>
              <w:spacing w:after="0" w:line="240" w:lineRule="auto"/>
              <w:ind w:left="-67" w:right="-65"/>
              <w:jc w:val="center"/>
              <w:rPr>
                <w:rFonts w:ascii="Times New Roman" w:hAnsi="Times New Roman" w:cs="Times New Roman"/>
                <w:sz w:val="18"/>
                <w:szCs w:val="16"/>
                <w:lang w:val="en-US"/>
              </w:rPr>
            </w:pPr>
          </w:p>
        </w:tc>
      </w:tr>
      <w:tr w:rsidR="00F71289" w:rsidRPr="00B6553A" w14:paraId="5C5C703E" w14:textId="77777777" w:rsidTr="00B6553A">
        <w:trPr>
          <w:cantSplit/>
          <w:trHeight w:val="223"/>
          <w:jc w:val="center"/>
        </w:trPr>
        <w:tc>
          <w:tcPr>
            <w:tcW w:w="1907" w:type="dxa"/>
            <w:vAlign w:val="center"/>
          </w:tcPr>
          <w:p w14:paraId="62463883" w14:textId="740D8D30" w:rsidR="00F71289" w:rsidRPr="00B6553A" w:rsidRDefault="00F71289" w:rsidP="00F71289">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6"/>
              </w:rPr>
              <w:t>Three-stage</w:t>
            </w:r>
            <w:proofErr w:type="spellEnd"/>
            <w:r w:rsidRPr="00B6553A">
              <w:rPr>
                <w:rFonts w:ascii="Times New Roman" w:hAnsi="Times New Roman" w:cs="Times New Roman"/>
                <w:sz w:val="18"/>
                <w:szCs w:val="16"/>
              </w:rPr>
              <w:t xml:space="preserve"> </w:t>
            </w:r>
            <w:proofErr w:type="spellStart"/>
            <w:r w:rsidRPr="00B6553A">
              <w:rPr>
                <w:rFonts w:ascii="Times New Roman" w:hAnsi="Times New Roman" w:cs="Times New Roman"/>
                <w:sz w:val="18"/>
                <w:szCs w:val="16"/>
              </w:rPr>
              <w:t>combustion</w:t>
            </w:r>
            <w:proofErr w:type="spellEnd"/>
          </w:p>
        </w:tc>
        <w:tc>
          <w:tcPr>
            <w:tcW w:w="796" w:type="dxa"/>
            <w:vAlign w:val="center"/>
          </w:tcPr>
          <w:p w14:paraId="3AF2E32A" w14:textId="46EE7042"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0,69</w:t>
            </w:r>
          </w:p>
        </w:tc>
        <w:tc>
          <w:tcPr>
            <w:tcW w:w="1036" w:type="dxa"/>
            <w:vAlign w:val="center"/>
          </w:tcPr>
          <w:p w14:paraId="1301997A" w14:textId="44557D8D"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0,31</w:t>
            </w:r>
          </w:p>
        </w:tc>
        <w:tc>
          <w:tcPr>
            <w:tcW w:w="553" w:type="dxa"/>
            <w:vAlign w:val="center"/>
          </w:tcPr>
          <w:p w14:paraId="3F69A148" w14:textId="1EBE6171"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1,4</w:t>
            </w:r>
          </w:p>
        </w:tc>
        <w:tc>
          <w:tcPr>
            <w:tcW w:w="535" w:type="dxa"/>
            <w:vAlign w:val="center"/>
          </w:tcPr>
          <w:p w14:paraId="525D1754" w14:textId="08ACF004"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150</w:t>
            </w:r>
          </w:p>
        </w:tc>
        <w:tc>
          <w:tcPr>
            <w:tcW w:w="789" w:type="dxa"/>
            <w:vAlign w:val="center"/>
          </w:tcPr>
          <w:p w14:paraId="399123C5"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2208</w:t>
            </w:r>
          </w:p>
          <w:p w14:paraId="5854D8FE" w14:textId="3683D233"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(100%)</w:t>
            </w:r>
          </w:p>
        </w:tc>
        <w:tc>
          <w:tcPr>
            <w:tcW w:w="756" w:type="dxa"/>
            <w:vAlign w:val="center"/>
          </w:tcPr>
          <w:p w14:paraId="4A155C31" w14:textId="73D2B8D0"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w:t>
            </w:r>
          </w:p>
        </w:tc>
        <w:tc>
          <w:tcPr>
            <w:tcW w:w="807" w:type="dxa"/>
            <w:vAlign w:val="center"/>
          </w:tcPr>
          <w:p w14:paraId="237005C9"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1765</w:t>
            </w:r>
          </w:p>
          <w:p w14:paraId="307EAE6D" w14:textId="687F46A4"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(79,9%)</w:t>
            </w:r>
          </w:p>
        </w:tc>
        <w:tc>
          <w:tcPr>
            <w:tcW w:w="789" w:type="dxa"/>
            <w:vAlign w:val="center"/>
          </w:tcPr>
          <w:p w14:paraId="7FEE6B40"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33</w:t>
            </w:r>
          </w:p>
          <w:p w14:paraId="06F65149" w14:textId="1ADF5B71"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(1,5%)</w:t>
            </w:r>
          </w:p>
        </w:tc>
        <w:tc>
          <w:tcPr>
            <w:tcW w:w="753" w:type="dxa"/>
            <w:vAlign w:val="center"/>
          </w:tcPr>
          <w:p w14:paraId="05C3C11E" w14:textId="77777777"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410</w:t>
            </w:r>
          </w:p>
          <w:p w14:paraId="32990E26" w14:textId="582B55E0" w:rsidR="00F71289" w:rsidRPr="00B6553A" w:rsidRDefault="00F71289" w:rsidP="00F71289">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rPr>
              <w:t>(18,6%)</w:t>
            </w:r>
          </w:p>
        </w:tc>
        <w:tc>
          <w:tcPr>
            <w:tcW w:w="654" w:type="dxa"/>
            <w:vMerge/>
            <w:vAlign w:val="center"/>
          </w:tcPr>
          <w:p w14:paraId="34C09D39" w14:textId="77777777" w:rsidR="00F71289" w:rsidRPr="00B6553A" w:rsidRDefault="00F71289" w:rsidP="002666F3">
            <w:pPr>
              <w:spacing w:after="0" w:line="240" w:lineRule="auto"/>
              <w:ind w:left="-67" w:right="-65"/>
              <w:jc w:val="center"/>
              <w:rPr>
                <w:rFonts w:ascii="Times New Roman" w:hAnsi="Times New Roman" w:cs="Times New Roman"/>
                <w:sz w:val="18"/>
                <w:szCs w:val="16"/>
                <w:lang w:val="en-US"/>
              </w:rPr>
            </w:pPr>
          </w:p>
        </w:tc>
      </w:tr>
      <w:tr w:rsidR="002A3CF6" w:rsidRPr="00B6553A" w14:paraId="3CB9AB27" w14:textId="77777777" w:rsidTr="00B6553A">
        <w:trPr>
          <w:cantSplit/>
          <w:trHeight w:val="283"/>
          <w:jc w:val="center"/>
        </w:trPr>
        <w:tc>
          <w:tcPr>
            <w:tcW w:w="8721" w:type="dxa"/>
            <w:gridSpan w:val="10"/>
            <w:vAlign w:val="center"/>
          </w:tcPr>
          <w:p w14:paraId="11F914C8" w14:textId="1BC3D114" w:rsidR="002A3CF6" w:rsidRPr="00B6553A" w:rsidRDefault="002A3CF6" w:rsidP="007527C0">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 xml:space="preserve">4. </w:t>
            </w:r>
            <w:proofErr w:type="spellStart"/>
            <w:r w:rsidRPr="00B6553A">
              <w:rPr>
                <w:rFonts w:ascii="Times New Roman" w:hAnsi="Times New Roman" w:cs="Times New Roman"/>
                <w:sz w:val="18"/>
                <w:szCs w:val="16"/>
                <w:lang w:val="en-US"/>
              </w:rPr>
              <w:t>Nevinnomysskaya</w:t>
            </w:r>
            <w:proofErr w:type="spellEnd"/>
            <w:r w:rsidRPr="00B6553A">
              <w:rPr>
                <w:rFonts w:ascii="Times New Roman" w:hAnsi="Times New Roman" w:cs="Times New Roman"/>
                <w:sz w:val="18"/>
                <w:szCs w:val="16"/>
                <w:lang w:val="en-US"/>
              </w:rPr>
              <w:t xml:space="preserve"> GRES (TGM-94, 6 HFT burners in 2 tiers), high-sulfur fuel oil (</w:t>
            </w:r>
            <m:oMath>
              <m:sSup>
                <m:sSupPr>
                  <m:ctrlPr>
                    <w:rPr>
                      <w:rFonts w:ascii="Cambria Math" w:hAnsi="Cambria Math" w:cs="Times New Roman"/>
                      <w:i/>
                      <w:sz w:val="18"/>
                      <w:szCs w:val="16"/>
                      <w:lang w:val="en-US"/>
                    </w:rPr>
                  </m:ctrlPr>
                </m:sSupPr>
                <m:e>
                  <m:r>
                    <w:rPr>
                      <w:rFonts w:ascii="Cambria Math" w:hAnsi="Cambria Math" w:cs="Times New Roman"/>
                      <w:sz w:val="18"/>
                      <w:szCs w:val="16"/>
                      <w:lang w:val="en-US"/>
                    </w:rPr>
                    <m:t>S</m:t>
                  </m:r>
                </m:e>
                <m:sup>
                  <m:r>
                    <w:rPr>
                      <w:rFonts w:ascii="Cambria Math" w:hAnsi="Cambria Math" w:cs="Times New Roman"/>
                      <w:sz w:val="18"/>
                      <w:szCs w:val="16"/>
                      <w:lang w:val="en-US"/>
                    </w:rPr>
                    <m:t>p</m:t>
                  </m:r>
                </m:sup>
              </m:sSup>
              <m:r>
                <w:rPr>
                  <w:rFonts w:ascii="Cambria Math" w:hAnsi="Cambria Math" w:cs="Times New Roman"/>
                  <w:sz w:val="18"/>
                  <w:szCs w:val="16"/>
                  <w:lang w:val="en-US"/>
                </w:rPr>
                <m:t>=3.5%</m:t>
              </m:r>
            </m:oMath>
            <w:r w:rsidRPr="00B6553A">
              <w:rPr>
                <w:rFonts w:ascii="Times New Roman" w:hAnsi="Times New Roman" w:cs="Times New Roman"/>
                <w:sz w:val="18"/>
                <w:szCs w:val="16"/>
                <w:lang w:val="en-US"/>
              </w:rPr>
              <w:t>):</w:t>
            </w:r>
          </w:p>
        </w:tc>
        <w:tc>
          <w:tcPr>
            <w:tcW w:w="654" w:type="dxa"/>
            <w:vMerge w:val="restart"/>
            <w:textDirection w:val="btLr"/>
            <w:vAlign w:val="center"/>
          </w:tcPr>
          <w:p w14:paraId="1B9EF8C0" w14:textId="649126EC" w:rsidR="002A3CF6" w:rsidRPr="00B6553A" w:rsidRDefault="00F4020B"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1398553</w:t>
            </w:r>
          </w:p>
        </w:tc>
      </w:tr>
      <w:tr w:rsidR="002A3CF6" w:rsidRPr="00B6553A" w14:paraId="1646F66F" w14:textId="77777777" w:rsidTr="00B6553A">
        <w:trPr>
          <w:cantSplit/>
          <w:trHeight w:val="223"/>
          <w:jc w:val="center"/>
        </w:trPr>
        <w:tc>
          <w:tcPr>
            <w:tcW w:w="1907" w:type="dxa"/>
            <w:vAlign w:val="center"/>
          </w:tcPr>
          <w:p w14:paraId="366DF197" w14:textId="64F511CA" w:rsidR="002A3CF6" w:rsidRPr="00B6553A" w:rsidRDefault="002A3CF6" w:rsidP="002A3CF6">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Single-</w:t>
            </w:r>
            <w:proofErr w:type="spellStart"/>
            <w:r w:rsidRPr="00B6553A">
              <w:rPr>
                <w:rFonts w:ascii="Times New Roman" w:hAnsi="Times New Roman" w:cs="Times New Roman"/>
                <w:sz w:val="18"/>
                <w:szCs w:val="18"/>
              </w:rPr>
              <w:t>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32D9F8B6" w14:textId="28B85391"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w:t>
            </w:r>
          </w:p>
        </w:tc>
        <w:tc>
          <w:tcPr>
            <w:tcW w:w="1036" w:type="dxa"/>
            <w:vAlign w:val="center"/>
          </w:tcPr>
          <w:p w14:paraId="6F272333" w14:textId="426AABB5"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4B7E4780" w14:textId="114A03EA"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4689C999" w14:textId="5F84F495"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412</w:t>
            </w:r>
          </w:p>
        </w:tc>
        <w:tc>
          <w:tcPr>
            <w:tcW w:w="789" w:type="dxa"/>
            <w:vAlign w:val="center"/>
          </w:tcPr>
          <w:p w14:paraId="7BF6BBFF"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lang w:val="en-US"/>
              </w:rPr>
              <w:t>14501</w:t>
            </w:r>
          </w:p>
          <w:p w14:paraId="2F07D317" w14:textId="185FBD2F"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2B93E718"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8740</w:t>
            </w:r>
          </w:p>
          <w:p w14:paraId="5A39F165" w14:textId="201546C2"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(60,3%)</w:t>
            </w:r>
          </w:p>
        </w:tc>
        <w:tc>
          <w:tcPr>
            <w:tcW w:w="807" w:type="dxa"/>
            <w:vAlign w:val="center"/>
          </w:tcPr>
          <w:p w14:paraId="2D459F16"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5304</w:t>
            </w:r>
          </w:p>
          <w:p w14:paraId="7BEE99F0" w14:textId="677871DA"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(36,6%)</w:t>
            </w:r>
          </w:p>
        </w:tc>
        <w:tc>
          <w:tcPr>
            <w:tcW w:w="789" w:type="dxa"/>
            <w:vAlign w:val="center"/>
          </w:tcPr>
          <w:p w14:paraId="1FA50C79"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327</w:t>
            </w:r>
          </w:p>
          <w:p w14:paraId="0B947BC2" w14:textId="32FBF77C"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(2,26%)</w:t>
            </w:r>
          </w:p>
        </w:tc>
        <w:tc>
          <w:tcPr>
            <w:tcW w:w="753" w:type="dxa"/>
            <w:vAlign w:val="center"/>
          </w:tcPr>
          <w:p w14:paraId="1C535D9D" w14:textId="77777777" w:rsidR="00F4020B"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130</w:t>
            </w:r>
          </w:p>
          <w:p w14:paraId="5A5C86C9" w14:textId="076C79F4" w:rsidR="002A3CF6" w:rsidRPr="00B6553A" w:rsidRDefault="002A3CF6" w:rsidP="00F4020B">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(0,84%)</w:t>
            </w:r>
          </w:p>
        </w:tc>
        <w:tc>
          <w:tcPr>
            <w:tcW w:w="654" w:type="dxa"/>
            <w:vMerge/>
            <w:vAlign w:val="center"/>
          </w:tcPr>
          <w:p w14:paraId="2AABA789" w14:textId="77777777" w:rsidR="002A3CF6" w:rsidRPr="00B6553A" w:rsidRDefault="002A3CF6" w:rsidP="002666F3">
            <w:pPr>
              <w:spacing w:after="0" w:line="240" w:lineRule="auto"/>
              <w:ind w:left="-67" w:right="-65"/>
              <w:jc w:val="center"/>
              <w:rPr>
                <w:rFonts w:ascii="Times New Roman" w:hAnsi="Times New Roman" w:cs="Times New Roman"/>
                <w:sz w:val="18"/>
                <w:szCs w:val="16"/>
                <w:lang w:val="en-US"/>
              </w:rPr>
            </w:pPr>
          </w:p>
        </w:tc>
      </w:tr>
      <w:tr w:rsidR="002A3CF6" w:rsidRPr="00B6553A" w14:paraId="6CF15865" w14:textId="77777777" w:rsidTr="00B6553A">
        <w:trPr>
          <w:cantSplit/>
          <w:trHeight w:val="223"/>
          <w:jc w:val="center"/>
        </w:trPr>
        <w:tc>
          <w:tcPr>
            <w:tcW w:w="1907" w:type="dxa"/>
            <w:vAlign w:val="center"/>
          </w:tcPr>
          <w:p w14:paraId="6C24E2CD" w14:textId="59B4AB19" w:rsidR="002A3CF6" w:rsidRPr="00B6553A" w:rsidRDefault="002A3CF6" w:rsidP="002A3CF6">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 xml:space="preserve">The </w:t>
            </w:r>
            <w:proofErr w:type="spellStart"/>
            <w:r w:rsidRPr="00B6553A">
              <w:rPr>
                <w:rFonts w:ascii="Times New Roman" w:hAnsi="Times New Roman" w:cs="Times New Roman"/>
                <w:sz w:val="18"/>
                <w:szCs w:val="18"/>
              </w:rPr>
              <w:t>same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unoptimized</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mode</w:t>
            </w:r>
            <w:proofErr w:type="spellEnd"/>
          </w:p>
        </w:tc>
        <w:tc>
          <w:tcPr>
            <w:tcW w:w="796" w:type="dxa"/>
            <w:vAlign w:val="center"/>
          </w:tcPr>
          <w:p w14:paraId="5E1DC809" w14:textId="0314BBD2"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w:t>
            </w:r>
          </w:p>
        </w:tc>
        <w:tc>
          <w:tcPr>
            <w:tcW w:w="1036" w:type="dxa"/>
            <w:vAlign w:val="center"/>
          </w:tcPr>
          <w:p w14:paraId="378FDAF6" w14:textId="4D7623AE"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24CFD31B" w14:textId="4843B37D"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53E26E13" w14:textId="684994C1"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315</w:t>
            </w:r>
          </w:p>
        </w:tc>
        <w:tc>
          <w:tcPr>
            <w:tcW w:w="789" w:type="dxa"/>
            <w:vAlign w:val="center"/>
          </w:tcPr>
          <w:p w14:paraId="2BE96B86"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14263</w:t>
            </w:r>
          </w:p>
          <w:p w14:paraId="30A5C2BE" w14:textId="7950DFC8"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6B4834A0"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8740</w:t>
            </w:r>
          </w:p>
          <w:p w14:paraId="622CC5D1" w14:textId="4766348B"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(61,3%)</w:t>
            </w:r>
          </w:p>
        </w:tc>
        <w:tc>
          <w:tcPr>
            <w:tcW w:w="807" w:type="dxa"/>
            <w:vAlign w:val="center"/>
          </w:tcPr>
          <w:p w14:paraId="12B4A9F1"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3706</w:t>
            </w:r>
          </w:p>
          <w:p w14:paraId="6AADD81D" w14:textId="60E0CE0F"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(26,0%)</w:t>
            </w:r>
          </w:p>
        </w:tc>
        <w:tc>
          <w:tcPr>
            <w:tcW w:w="789" w:type="dxa"/>
            <w:vAlign w:val="center"/>
          </w:tcPr>
          <w:p w14:paraId="075216EF"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1467</w:t>
            </w:r>
          </w:p>
          <w:p w14:paraId="2A48ADAC" w14:textId="73467BDA"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(10,3%)</w:t>
            </w:r>
          </w:p>
        </w:tc>
        <w:tc>
          <w:tcPr>
            <w:tcW w:w="753" w:type="dxa"/>
            <w:vAlign w:val="center"/>
          </w:tcPr>
          <w:p w14:paraId="678F3CC9" w14:textId="77777777" w:rsidR="00F4020B"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350</w:t>
            </w:r>
          </w:p>
          <w:p w14:paraId="413B70DB" w14:textId="314FD012" w:rsidR="002A3CF6" w:rsidRPr="00B6553A" w:rsidRDefault="002A3CF6" w:rsidP="00F4020B">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(2,4%)</w:t>
            </w:r>
          </w:p>
        </w:tc>
        <w:tc>
          <w:tcPr>
            <w:tcW w:w="654" w:type="dxa"/>
            <w:vMerge/>
            <w:vAlign w:val="center"/>
          </w:tcPr>
          <w:p w14:paraId="20656571" w14:textId="77777777" w:rsidR="002A3CF6" w:rsidRPr="00B6553A" w:rsidRDefault="002A3CF6" w:rsidP="002666F3">
            <w:pPr>
              <w:spacing w:after="0" w:line="240" w:lineRule="auto"/>
              <w:ind w:left="-67" w:right="-65"/>
              <w:jc w:val="center"/>
              <w:rPr>
                <w:rFonts w:ascii="Times New Roman" w:hAnsi="Times New Roman" w:cs="Times New Roman"/>
                <w:sz w:val="18"/>
                <w:szCs w:val="16"/>
                <w:lang w:val="en-US"/>
              </w:rPr>
            </w:pPr>
          </w:p>
        </w:tc>
      </w:tr>
      <w:tr w:rsidR="002A3CF6" w:rsidRPr="00B6553A" w14:paraId="3844FF75" w14:textId="77777777" w:rsidTr="00B6553A">
        <w:trPr>
          <w:cantSplit/>
          <w:trHeight w:val="223"/>
          <w:jc w:val="center"/>
        </w:trPr>
        <w:tc>
          <w:tcPr>
            <w:tcW w:w="1907" w:type="dxa"/>
            <w:vAlign w:val="center"/>
          </w:tcPr>
          <w:p w14:paraId="5462B08E" w14:textId="431C3B0D" w:rsidR="002A3CF6" w:rsidRPr="00B6553A" w:rsidRDefault="002A3CF6" w:rsidP="002A3CF6">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Three-stage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691C0CC7" w14:textId="2D123259"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0,78</w:t>
            </w:r>
          </w:p>
        </w:tc>
        <w:tc>
          <w:tcPr>
            <w:tcW w:w="1036" w:type="dxa"/>
            <w:vAlign w:val="center"/>
          </w:tcPr>
          <w:p w14:paraId="74231C49" w14:textId="2E2244E5"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0,22</w:t>
            </w:r>
          </w:p>
        </w:tc>
        <w:tc>
          <w:tcPr>
            <w:tcW w:w="553" w:type="dxa"/>
            <w:vAlign w:val="center"/>
          </w:tcPr>
          <w:p w14:paraId="02010F3D" w14:textId="73B9C062"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7DB24E3B" w14:textId="38165C79"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231</w:t>
            </w:r>
          </w:p>
        </w:tc>
        <w:tc>
          <w:tcPr>
            <w:tcW w:w="789" w:type="dxa"/>
            <w:vAlign w:val="center"/>
          </w:tcPr>
          <w:p w14:paraId="2EA6041A"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12365</w:t>
            </w:r>
          </w:p>
          <w:p w14:paraId="3C701AAF" w14:textId="18811874"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36FA9110"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8740</w:t>
            </w:r>
          </w:p>
          <w:p w14:paraId="33BC6F89" w14:textId="1B9E91A1"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(70,7%)</w:t>
            </w:r>
          </w:p>
        </w:tc>
        <w:tc>
          <w:tcPr>
            <w:tcW w:w="807" w:type="dxa"/>
            <w:vAlign w:val="center"/>
          </w:tcPr>
          <w:p w14:paraId="2B4E0E76"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2718</w:t>
            </w:r>
          </w:p>
          <w:p w14:paraId="5F0FAAF1" w14:textId="0C51227F"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(22,0%)</w:t>
            </w:r>
          </w:p>
        </w:tc>
        <w:tc>
          <w:tcPr>
            <w:tcW w:w="789" w:type="dxa"/>
            <w:vAlign w:val="center"/>
          </w:tcPr>
          <w:p w14:paraId="720A60C4" w14:textId="77777777" w:rsidR="002A3CF6"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727</w:t>
            </w:r>
          </w:p>
          <w:p w14:paraId="771DC706" w14:textId="122DFDBF" w:rsidR="002A3CF6" w:rsidRPr="00B6553A" w:rsidRDefault="002A3CF6" w:rsidP="002A3CF6">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(5,9%)</w:t>
            </w:r>
          </w:p>
        </w:tc>
        <w:tc>
          <w:tcPr>
            <w:tcW w:w="753" w:type="dxa"/>
            <w:vAlign w:val="center"/>
          </w:tcPr>
          <w:p w14:paraId="5DEE231F" w14:textId="77777777" w:rsidR="00F4020B" w:rsidRPr="00B6553A" w:rsidRDefault="002A3CF6" w:rsidP="002A3CF6">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180</w:t>
            </w:r>
          </w:p>
          <w:p w14:paraId="4C692B76" w14:textId="36DCAC32" w:rsidR="002A3CF6" w:rsidRPr="00B6553A" w:rsidRDefault="002A3CF6" w:rsidP="00F4020B">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654" w:type="dxa"/>
            <w:vMerge/>
            <w:vAlign w:val="center"/>
          </w:tcPr>
          <w:p w14:paraId="79B5387D" w14:textId="77777777" w:rsidR="002A3CF6" w:rsidRPr="00B6553A" w:rsidRDefault="002A3CF6" w:rsidP="002666F3">
            <w:pPr>
              <w:spacing w:after="0" w:line="240" w:lineRule="auto"/>
              <w:ind w:left="-67" w:right="-65"/>
              <w:jc w:val="center"/>
              <w:rPr>
                <w:rFonts w:ascii="Times New Roman" w:hAnsi="Times New Roman" w:cs="Times New Roman"/>
                <w:sz w:val="18"/>
                <w:szCs w:val="16"/>
                <w:lang w:val="en-US"/>
              </w:rPr>
            </w:pPr>
          </w:p>
        </w:tc>
      </w:tr>
      <w:tr w:rsidR="00A0277E" w:rsidRPr="00B6553A" w14:paraId="588A10BE" w14:textId="77777777" w:rsidTr="00B6553A">
        <w:trPr>
          <w:cantSplit/>
          <w:trHeight w:val="284"/>
          <w:jc w:val="center"/>
        </w:trPr>
        <w:tc>
          <w:tcPr>
            <w:tcW w:w="8721" w:type="dxa"/>
            <w:gridSpan w:val="10"/>
            <w:vAlign w:val="center"/>
          </w:tcPr>
          <w:p w14:paraId="669F91AF" w14:textId="267DC099" w:rsidR="00A0277E" w:rsidRPr="00B6553A" w:rsidRDefault="00A0277E" w:rsidP="00011A20">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 xml:space="preserve">5. </w:t>
            </w:r>
            <w:proofErr w:type="spellStart"/>
            <w:r w:rsidRPr="00B6553A">
              <w:rPr>
                <w:rFonts w:ascii="Times New Roman" w:hAnsi="Times New Roman" w:cs="Times New Roman"/>
                <w:sz w:val="18"/>
                <w:szCs w:val="16"/>
                <w:lang w:val="en-US"/>
              </w:rPr>
              <w:t>Nevinnomysskaya</w:t>
            </w:r>
            <w:proofErr w:type="spellEnd"/>
            <w:r w:rsidRPr="00B6553A">
              <w:rPr>
                <w:rFonts w:ascii="Times New Roman" w:hAnsi="Times New Roman" w:cs="Times New Roman"/>
                <w:sz w:val="18"/>
                <w:szCs w:val="16"/>
                <w:lang w:val="en-US"/>
              </w:rPr>
              <w:t xml:space="preserve"> GRES (TGM-94, 6 HFT burners in 2 tiers), co-combustion of gas and high-sulfur fuel oil</w:t>
            </w:r>
          </w:p>
        </w:tc>
        <w:tc>
          <w:tcPr>
            <w:tcW w:w="654" w:type="dxa"/>
            <w:vMerge w:val="restart"/>
            <w:textDirection w:val="btLr"/>
            <w:vAlign w:val="center"/>
          </w:tcPr>
          <w:p w14:paraId="12A4D4F2" w14:textId="63FD785B" w:rsidR="00A0277E" w:rsidRPr="00B6553A" w:rsidRDefault="00395101"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1346907, 1398553</w:t>
            </w:r>
          </w:p>
        </w:tc>
      </w:tr>
      <w:tr w:rsidR="00A0277E" w:rsidRPr="00B6553A" w14:paraId="487D319B" w14:textId="77777777" w:rsidTr="00B6553A">
        <w:trPr>
          <w:cantSplit/>
          <w:trHeight w:val="223"/>
          <w:jc w:val="center"/>
        </w:trPr>
        <w:tc>
          <w:tcPr>
            <w:tcW w:w="1907" w:type="dxa"/>
            <w:vAlign w:val="center"/>
          </w:tcPr>
          <w:p w14:paraId="4BB0C0CC" w14:textId="13791FC5" w:rsidR="00A0277E" w:rsidRPr="00B6553A" w:rsidRDefault="00A0277E" w:rsidP="00A0277E">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Single-</w:t>
            </w:r>
            <w:proofErr w:type="spellStart"/>
            <w:r w:rsidRPr="00B6553A">
              <w:rPr>
                <w:rFonts w:ascii="Times New Roman" w:hAnsi="Times New Roman" w:cs="Times New Roman"/>
                <w:sz w:val="18"/>
                <w:szCs w:val="18"/>
              </w:rPr>
              <w:t>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56E134DD" w14:textId="28C48722"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w:t>
            </w:r>
          </w:p>
        </w:tc>
        <w:tc>
          <w:tcPr>
            <w:tcW w:w="1036" w:type="dxa"/>
            <w:vAlign w:val="center"/>
          </w:tcPr>
          <w:p w14:paraId="18B5EB90" w14:textId="1680F088"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161AAEA9" w14:textId="6B984854"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18AB377A" w14:textId="4C1B9DD3"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350</w:t>
            </w:r>
          </w:p>
        </w:tc>
        <w:tc>
          <w:tcPr>
            <w:tcW w:w="789" w:type="dxa"/>
            <w:vAlign w:val="center"/>
          </w:tcPr>
          <w:p w14:paraId="2D28D6D6"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8875</w:t>
            </w:r>
          </w:p>
          <w:p w14:paraId="7B7C11FE" w14:textId="670351BA"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21443864"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4370</w:t>
            </w:r>
          </w:p>
          <w:p w14:paraId="61CB32D6" w14:textId="561344E0"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(49,2%)</w:t>
            </w:r>
          </w:p>
        </w:tc>
        <w:tc>
          <w:tcPr>
            <w:tcW w:w="807" w:type="dxa"/>
            <w:vAlign w:val="center"/>
          </w:tcPr>
          <w:p w14:paraId="54C9B4A5"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4118</w:t>
            </w:r>
          </w:p>
          <w:p w14:paraId="4B6A156E" w14:textId="562D0B13"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(46,4%)</w:t>
            </w:r>
          </w:p>
        </w:tc>
        <w:tc>
          <w:tcPr>
            <w:tcW w:w="789" w:type="dxa"/>
            <w:vAlign w:val="center"/>
          </w:tcPr>
          <w:p w14:paraId="6A5736AA"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107</w:t>
            </w:r>
          </w:p>
          <w:p w14:paraId="3FC5070F" w14:textId="48C17678"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(1,25%)</w:t>
            </w:r>
          </w:p>
        </w:tc>
        <w:tc>
          <w:tcPr>
            <w:tcW w:w="753" w:type="dxa"/>
            <w:vAlign w:val="center"/>
          </w:tcPr>
          <w:p w14:paraId="1AD7E825"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280</w:t>
            </w:r>
          </w:p>
          <w:p w14:paraId="04ACAC16" w14:textId="2B730CC2"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(3,15%)</w:t>
            </w:r>
          </w:p>
        </w:tc>
        <w:tc>
          <w:tcPr>
            <w:tcW w:w="654" w:type="dxa"/>
            <w:vMerge/>
            <w:vAlign w:val="center"/>
          </w:tcPr>
          <w:p w14:paraId="6F526F1A" w14:textId="77777777" w:rsidR="00A0277E" w:rsidRPr="00B6553A" w:rsidRDefault="00A0277E" w:rsidP="002666F3">
            <w:pPr>
              <w:spacing w:after="0" w:line="240" w:lineRule="auto"/>
              <w:ind w:left="-67" w:right="-65"/>
              <w:jc w:val="center"/>
              <w:rPr>
                <w:rFonts w:ascii="Times New Roman" w:hAnsi="Times New Roman" w:cs="Times New Roman"/>
                <w:sz w:val="18"/>
                <w:szCs w:val="16"/>
                <w:lang w:val="en-US"/>
              </w:rPr>
            </w:pPr>
          </w:p>
        </w:tc>
      </w:tr>
      <w:tr w:rsidR="00A0277E" w:rsidRPr="00B6553A" w14:paraId="1859FEB3" w14:textId="77777777" w:rsidTr="00B6553A">
        <w:trPr>
          <w:cantSplit/>
          <w:trHeight w:val="223"/>
          <w:jc w:val="center"/>
        </w:trPr>
        <w:tc>
          <w:tcPr>
            <w:tcW w:w="1907" w:type="dxa"/>
            <w:vAlign w:val="center"/>
          </w:tcPr>
          <w:p w14:paraId="2F48A9FA" w14:textId="4A80A469" w:rsidR="00A0277E" w:rsidRPr="00B6553A" w:rsidRDefault="00A0277E" w:rsidP="00A0277E">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 xml:space="preserve">The </w:t>
            </w:r>
            <w:proofErr w:type="spellStart"/>
            <w:r w:rsidRPr="00B6553A">
              <w:rPr>
                <w:rFonts w:ascii="Times New Roman" w:hAnsi="Times New Roman" w:cs="Times New Roman"/>
                <w:sz w:val="18"/>
                <w:szCs w:val="18"/>
              </w:rPr>
              <w:t>same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unadjusted</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mode</w:t>
            </w:r>
            <w:proofErr w:type="spellEnd"/>
          </w:p>
        </w:tc>
        <w:tc>
          <w:tcPr>
            <w:tcW w:w="796" w:type="dxa"/>
            <w:vAlign w:val="center"/>
          </w:tcPr>
          <w:p w14:paraId="11ADA57A" w14:textId="44302843"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w:t>
            </w:r>
          </w:p>
        </w:tc>
        <w:tc>
          <w:tcPr>
            <w:tcW w:w="1036" w:type="dxa"/>
            <w:vAlign w:val="center"/>
          </w:tcPr>
          <w:p w14:paraId="4DB20200" w14:textId="06855D32"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41039B2F" w14:textId="45550C3F"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4265241B" w14:textId="6AC3B8DB"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262</w:t>
            </w:r>
          </w:p>
        </w:tc>
        <w:tc>
          <w:tcPr>
            <w:tcW w:w="789" w:type="dxa"/>
            <w:vAlign w:val="center"/>
          </w:tcPr>
          <w:p w14:paraId="056332C7"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11815</w:t>
            </w:r>
          </w:p>
          <w:p w14:paraId="3D26E4F8" w14:textId="0CC27A4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3C46267C"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4370</w:t>
            </w:r>
          </w:p>
          <w:p w14:paraId="182ACAAC" w14:textId="13A5C974"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(37,0%)</w:t>
            </w:r>
          </w:p>
        </w:tc>
        <w:tc>
          <w:tcPr>
            <w:tcW w:w="807" w:type="dxa"/>
            <w:vAlign w:val="center"/>
          </w:tcPr>
          <w:p w14:paraId="190EB8B6"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3082</w:t>
            </w:r>
          </w:p>
          <w:p w14:paraId="3CADF463" w14:textId="3DEDD8E3"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(26,1%)</w:t>
            </w:r>
          </w:p>
        </w:tc>
        <w:tc>
          <w:tcPr>
            <w:tcW w:w="789" w:type="dxa"/>
            <w:vAlign w:val="center"/>
          </w:tcPr>
          <w:p w14:paraId="54BC009D"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2333</w:t>
            </w:r>
          </w:p>
          <w:p w14:paraId="788553E0" w14:textId="3318ADD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(19,7%)</w:t>
            </w:r>
          </w:p>
        </w:tc>
        <w:tc>
          <w:tcPr>
            <w:tcW w:w="753" w:type="dxa"/>
            <w:vAlign w:val="center"/>
          </w:tcPr>
          <w:p w14:paraId="3B94ABB8"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2030</w:t>
            </w:r>
          </w:p>
          <w:p w14:paraId="2DEFB761" w14:textId="17DA6A1F"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(17,2%)</w:t>
            </w:r>
          </w:p>
        </w:tc>
        <w:tc>
          <w:tcPr>
            <w:tcW w:w="654" w:type="dxa"/>
            <w:vMerge/>
            <w:vAlign w:val="center"/>
          </w:tcPr>
          <w:p w14:paraId="605AD994" w14:textId="77777777" w:rsidR="00A0277E" w:rsidRPr="00B6553A" w:rsidRDefault="00A0277E" w:rsidP="002666F3">
            <w:pPr>
              <w:spacing w:after="0" w:line="240" w:lineRule="auto"/>
              <w:ind w:left="-67" w:right="-65"/>
              <w:jc w:val="center"/>
              <w:rPr>
                <w:rFonts w:ascii="Times New Roman" w:hAnsi="Times New Roman" w:cs="Times New Roman"/>
                <w:sz w:val="18"/>
                <w:szCs w:val="16"/>
                <w:lang w:val="en-US"/>
              </w:rPr>
            </w:pPr>
          </w:p>
        </w:tc>
      </w:tr>
      <w:tr w:rsidR="00A0277E" w:rsidRPr="00B6553A" w14:paraId="6363F4FB" w14:textId="77777777" w:rsidTr="00B6553A">
        <w:trPr>
          <w:cantSplit/>
          <w:trHeight w:val="223"/>
          <w:jc w:val="center"/>
        </w:trPr>
        <w:tc>
          <w:tcPr>
            <w:tcW w:w="1907" w:type="dxa"/>
            <w:vAlign w:val="center"/>
          </w:tcPr>
          <w:p w14:paraId="7FC79404" w14:textId="43F165FE" w:rsidR="00A0277E" w:rsidRPr="00B6553A" w:rsidRDefault="00A0277E" w:rsidP="00A0277E">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Two-stage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vertically</w:t>
            </w:r>
            <w:proofErr w:type="spellEnd"/>
            <w:r w:rsidRPr="00B6553A">
              <w:rPr>
                <w:rFonts w:ascii="Times New Roman" w:hAnsi="Times New Roman" w:cs="Times New Roman"/>
                <w:sz w:val="18"/>
                <w:szCs w:val="18"/>
              </w:rPr>
              <w:t>”)</w:t>
            </w:r>
          </w:p>
        </w:tc>
        <w:tc>
          <w:tcPr>
            <w:tcW w:w="796" w:type="dxa"/>
            <w:vAlign w:val="center"/>
          </w:tcPr>
          <w:p w14:paraId="26865FC1" w14:textId="1EE28F6D"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0,69</w:t>
            </w:r>
          </w:p>
        </w:tc>
        <w:tc>
          <w:tcPr>
            <w:tcW w:w="1036" w:type="dxa"/>
            <w:vAlign w:val="center"/>
          </w:tcPr>
          <w:p w14:paraId="0C144429" w14:textId="74A50D61"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0,31</w:t>
            </w:r>
          </w:p>
        </w:tc>
        <w:tc>
          <w:tcPr>
            <w:tcW w:w="553" w:type="dxa"/>
            <w:vAlign w:val="center"/>
          </w:tcPr>
          <w:p w14:paraId="00879298" w14:textId="7AFF38B2"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6C0F7F72" w14:textId="2C2F0B9D"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190</w:t>
            </w:r>
          </w:p>
        </w:tc>
        <w:tc>
          <w:tcPr>
            <w:tcW w:w="789" w:type="dxa"/>
            <w:vAlign w:val="center"/>
          </w:tcPr>
          <w:p w14:paraId="1BD9B51C"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8162</w:t>
            </w:r>
          </w:p>
          <w:p w14:paraId="29993B64" w14:textId="18A2BFC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5A2E3357"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4370</w:t>
            </w:r>
          </w:p>
          <w:p w14:paraId="76883DD2" w14:textId="465498D9"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(53,5%)</w:t>
            </w:r>
          </w:p>
        </w:tc>
        <w:tc>
          <w:tcPr>
            <w:tcW w:w="807" w:type="dxa"/>
            <w:vAlign w:val="center"/>
          </w:tcPr>
          <w:p w14:paraId="68A6472B"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2235</w:t>
            </w:r>
          </w:p>
          <w:p w14:paraId="63B8A0F7" w14:textId="34C85834"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(27,4%)</w:t>
            </w:r>
          </w:p>
        </w:tc>
        <w:tc>
          <w:tcPr>
            <w:tcW w:w="789" w:type="dxa"/>
            <w:vAlign w:val="center"/>
          </w:tcPr>
          <w:p w14:paraId="54D1D2D1"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107</w:t>
            </w:r>
          </w:p>
          <w:p w14:paraId="3D04115A" w14:textId="39177E1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(1,3%)</w:t>
            </w:r>
          </w:p>
        </w:tc>
        <w:tc>
          <w:tcPr>
            <w:tcW w:w="753" w:type="dxa"/>
            <w:vAlign w:val="center"/>
          </w:tcPr>
          <w:p w14:paraId="3125D62B"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1450</w:t>
            </w:r>
          </w:p>
          <w:p w14:paraId="601A7991" w14:textId="7C4698EF"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(17,8%)</w:t>
            </w:r>
          </w:p>
        </w:tc>
        <w:tc>
          <w:tcPr>
            <w:tcW w:w="654" w:type="dxa"/>
            <w:vMerge/>
            <w:vAlign w:val="center"/>
          </w:tcPr>
          <w:p w14:paraId="72B6A1A4" w14:textId="77777777" w:rsidR="00A0277E" w:rsidRPr="00B6553A" w:rsidRDefault="00A0277E" w:rsidP="002666F3">
            <w:pPr>
              <w:spacing w:after="0" w:line="240" w:lineRule="auto"/>
              <w:ind w:left="-67" w:right="-65"/>
              <w:jc w:val="center"/>
              <w:rPr>
                <w:rFonts w:ascii="Times New Roman" w:hAnsi="Times New Roman" w:cs="Times New Roman"/>
                <w:sz w:val="18"/>
                <w:szCs w:val="16"/>
                <w:lang w:val="en-US"/>
              </w:rPr>
            </w:pPr>
          </w:p>
        </w:tc>
      </w:tr>
      <w:tr w:rsidR="00A0277E" w:rsidRPr="00B6553A" w14:paraId="23F70180" w14:textId="77777777" w:rsidTr="00B6553A">
        <w:trPr>
          <w:cantSplit/>
          <w:trHeight w:val="223"/>
          <w:jc w:val="center"/>
        </w:trPr>
        <w:tc>
          <w:tcPr>
            <w:tcW w:w="1907" w:type="dxa"/>
            <w:vAlign w:val="center"/>
          </w:tcPr>
          <w:p w14:paraId="114A2428" w14:textId="1BAFFC7F" w:rsidR="00A0277E" w:rsidRPr="00B6553A" w:rsidRDefault="00A0277E" w:rsidP="00A0277E">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Three-stage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6459DD4F" w14:textId="49765AF2"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0,69</w:t>
            </w:r>
          </w:p>
        </w:tc>
        <w:tc>
          <w:tcPr>
            <w:tcW w:w="1036" w:type="dxa"/>
            <w:vAlign w:val="center"/>
          </w:tcPr>
          <w:p w14:paraId="668C1B2E" w14:textId="5C8BC25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0,31</w:t>
            </w:r>
          </w:p>
        </w:tc>
        <w:tc>
          <w:tcPr>
            <w:tcW w:w="553" w:type="dxa"/>
            <w:vAlign w:val="center"/>
          </w:tcPr>
          <w:p w14:paraId="27FB9ABD" w14:textId="78AB67EE"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7A6C1521" w14:textId="62BF1DFA"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196</w:t>
            </w:r>
          </w:p>
        </w:tc>
        <w:tc>
          <w:tcPr>
            <w:tcW w:w="789" w:type="dxa"/>
            <w:vAlign w:val="center"/>
          </w:tcPr>
          <w:p w14:paraId="36A3F1FC"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7906</w:t>
            </w:r>
          </w:p>
          <w:p w14:paraId="1F739657" w14:textId="3F2FA11A"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3678939A"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4370</w:t>
            </w:r>
          </w:p>
          <w:p w14:paraId="305B4B1E" w14:textId="3ECCE067"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(55,3%)</w:t>
            </w:r>
          </w:p>
        </w:tc>
        <w:tc>
          <w:tcPr>
            <w:tcW w:w="807" w:type="dxa"/>
            <w:vAlign w:val="center"/>
          </w:tcPr>
          <w:p w14:paraId="04EC922B"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2306</w:t>
            </w:r>
          </w:p>
          <w:p w14:paraId="395D8AA0" w14:textId="3D0E581D"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(29,2%)</w:t>
            </w:r>
          </w:p>
        </w:tc>
        <w:tc>
          <w:tcPr>
            <w:tcW w:w="789" w:type="dxa"/>
            <w:vAlign w:val="center"/>
          </w:tcPr>
          <w:p w14:paraId="554D0109"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200</w:t>
            </w:r>
          </w:p>
          <w:p w14:paraId="549BF5F7" w14:textId="1E18072C"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(2,5%)</w:t>
            </w:r>
          </w:p>
        </w:tc>
        <w:tc>
          <w:tcPr>
            <w:tcW w:w="753" w:type="dxa"/>
            <w:vAlign w:val="center"/>
          </w:tcPr>
          <w:p w14:paraId="3B660CEC" w14:textId="77777777" w:rsidR="00A0277E" w:rsidRPr="00B6553A" w:rsidRDefault="00A0277E" w:rsidP="00A0277E">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1030</w:t>
            </w:r>
          </w:p>
          <w:p w14:paraId="7E37D666" w14:textId="1325308F" w:rsidR="00A0277E" w:rsidRPr="00B6553A" w:rsidRDefault="00A0277E" w:rsidP="00A0277E">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(13,0%)</w:t>
            </w:r>
          </w:p>
        </w:tc>
        <w:tc>
          <w:tcPr>
            <w:tcW w:w="654" w:type="dxa"/>
            <w:vMerge/>
            <w:vAlign w:val="center"/>
          </w:tcPr>
          <w:p w14:paraId="3F2906CF" w14:textId="77777777" w:rsidR="00A0277E" w:rsidRPr="00B6553A" w:rsidRDefault="00A0277E" w:rsidP="002666F3">
            <w:pPr>
              <w:spacing w:after="0" w:line="240" w:lineRule="auto"/>
              <w:ind w:left="-67" w:right="-65"/>
              <w:jc w:val="center"/>
              <w:rPr>
                <w:rFonts w:ascii="Times New Roman" w:hAnsi="Times New Roman" w:cs="Times New Roman"/>
                <w:sz w:val="18"/>
                <w:szCs w:val="16"/>
                <w:lang w:val="en-US"/>
              </w:rPr>
            </w:pPr>
          </w:p>
        </w:tc>
      </w:tr>
      <w:tr w:rsidR="00395101" w:rsidRPr="00B6553A" w14:paraId="0AB58316" w14:textId="77777777" w:rsidTr="00B6553A">
        <w:trPr>
          <w:cantSplit/>
          <w:trHeight w:val="269"/>
          <w:jc w:val="center"/>
        </w:trPr>
        <w:tc>
          <w:tcPr>
            <w:tcW w:w="8721" w:type="dxa"/>
            <w:gridSpan w:val="10"/>
            <w:vAlign w:val="center"/>
          </w:tcPr>
          <w:p w14:paraId="12F51458" w14:textId="1BCD3993" w:rsidR="00395101" w:rsidRPr="00B6553A" w:rsidRDefault="00395101" w:rsidP="007B4754">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6. Tashkent GRES (TGM-94, 21 TKZ burners on 3 tiers), sulfur-containing fuel oil (</w:t>
            </w:r>
            <m:oMath>
              <m:sSup>
                <m:sSupPr>
                  <m:ctrlPr>
                    <w:rPr>
                      <w:rFonts w:ascii="Cambria Math" w:hAnsi="Cambria Math" w:cs="Times New Roman"/>
                      <w:i/>
                      <w:sz w:val="18"/>
                      <w:szCs w:val="16"/>
                      <w:lang w:val="en-US"/>
                    </w:rPr>
                  </m:ctrlPr>
                </m:sSupPr>
                <m:e>
                  <m:r>
                    <w:rPr>
                      <w:rFonts w:ascii="Cambria Math" w:hAnsi="Cambria Math" w:cs="Times New Roman"/>
                      <w:sz w:val="18"/>
                      <w:szCs w:val="16"/>
                      <w:lang w:val="en-US"/>
                    </w:rPr>
                    <m:t>S</m:t>
                  </m:r>
                </m:e>
                <m:sup>
                  <m:r>
                    <w:rPr>
                      <w:rFonts w:ascii="Cambria Math" w:hAnsi="Cambria Math" w:cs="Times New Roman"/>
                      <w:sz w:val="18"/>
                      <w:szCs w:val="16"/>
                      <w:lang w:val="en-US"/>
                    </w:rPr>
                    <m:t>p</m:t>
                  </m:r>
                </m:sup>
              </m:sSup>
              <m:r>
                <w:rPr>
                  <w:rFonts w:ascii="Cambria Math" w:hAnsi="Cambria Math" w:cs="Times New Roman"/>
                  <w:sz w:val="18"/>
                  <w:szCs w:val="16"/>
                  <w:lang w:val="en-US"/>
                </w:rPr>
                <m:t>=2.0%</m:t>
              </m:r>
            </m:oMath>
            <w:r w:rsidRPr="00B6553A">
              <w:rPr>
                <w:rFonts w:ascii="Times New Roman" w:hAnsi="Times New Roman" w:cs="Times New Roman"/>
                <w:sz w:val="18"/>
                <w:szCs w:val="16"/>
                <w:lang w:val="en-US"/>
              </w:rPr>
              <w:t>):</w:t>
            </w:r>
          </w:p>
        </w:tc>
        <w:tc>
          <w:tcPr>
            <w:tcW w:w="654" w:type="dxa"/>
            <w:vMerge w:val="restart"/>
            <w:textDirection w:val="btLr"/>
            <w:vAlign w:val="center"/>
          </w:tcPr>
          <w:p w14:paraId="5F1A3022" w14:textId="21954A61" w:rsidR="00395101" w:rsidRPr="00B6553A" w:rsidRDefault="00395101" w:rsidP="002666F3">
            <w:pPr>
              <w:spacing w:after="0" w:line="240" w:lineRule="auto"/>
              <w:ind w:left="-67" w:right="-65"/>
              <w:jc w:val="center"/>
              <w:rPr>
                <w:rFonts w:ascii="Times New Roman" w:hAnsi="Times New Roman" w:cs="Times New Roman"/>
                <w:sz w:val="18"/>
                <w:szCs w:val="16"/>
                <w:lang w:val="en-US"/>
              </w:rPr>
            </w:pPr>
            <w:r w:rsidRPr="00B6553A">
              <w:rPr>
                <w:rFonts w:ascii="Times New Roman" w:hAnsi="Times New Roman" w:cs="Times New Roman"/>
                <w:sz w:val="18"/>
                <w:szCs w:val="16"/>
                <w:lang w:val="en-US"/>
              </w:rPr>
              <w:t>1346907, 1398553</w:t>
            </w:r>
          </w:p>
        </w:tc>
      </w:tr>
      <w:tr w:rsidR="00395101" w:rsidRPr="00B6553A" w14:paraId="3DAEB3B1" w14:textId="77777777" w:rsidTr="00B6553A">
        <w:trPr>
          <w:cantSplit/>
          <w:trHeight w:val="223"/>
          <w:jc w:val="center"/>
        </w:trPr>
        <w:tc>
          <w:tcPr>
            <w:tcW w:w="1907" w:type="dxa"/>
            <w:vAlign w:val="center"/>
          </w:tcPr>
          <w:p w14:paraId="095E6DD2" w14:textId="5C081FBB" w:rsidR="00395101" w:rsidRPr="00B6553A" w:rsidRDefault="00395101" w:rsidP="00395101">
            <w:pPr>
              <w:spacing w:after="0" w:line="240" w:lineRule="auto"/>
              <w:ind w:left="-67" w:right="-65"/>
              <w:contextualSpacing/>
              <w:rPr>
                <w:rFonts w:ascii="Times New Roman" w:hAnsi="Times New Roman" w:cs="Times New Roman"/>
                <w:sz w:val="18"/>
                <w:szCs w:val="16"/>
                <w:lang w:val="en-US"/>
              </w:rPr>
            </w:pPr>
            <w:r w:rsidRPr="00B6553A">
              <w:rPr>
                <w:rFonts w:ascii="Times New Roman" w:hAnsi="Times New Roman" w:cs="Times New Roman"/>
                <w:sz w:val="18"/>
                <w:szCs w:val="18"/>
              </w:rPr>
              <w:t>Single-</w:t>
            </w:r>
            <w:proofErr w:type="spellStart"/>
            <w:r w:rsidRPr="00B6553A">
              <w:rPr>
                <w:rFonts w:ascii="Times New Roman" w:hAnsi="Times New Roman" w:cs="Times New Roman"/>
                <w:sz w:val="18"/>
                <w:szCs w:val="18"/>
              </w:rPr>
              <w:t>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06A7BD47" w14:textId="3EB6264B"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w:t>
            </w:r>
          </w:p>
        </w:tc>
        <w:tc>
          <w:tcPr>
            <w:tcW w:w="1036" w:type="dxa"/>
            <w:vAlign w:val="center"/>
          </w:tcPr>
          <w:p w14:paraId="6C14F1CE" w14:textId="6CE7F185"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0</w:t>
            </w:r>
          </w:p>
        </w:tc>
        <w:tc>
          <w:tcPr>
            <w:tcW w:w="553" w:type="dxa"/>
            <w:vAlign w:val="center"/>
          </w:tcPr>
          <w:p w14:paraId="7A8D61B2" w14:textId="19297933"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1,4</w:t>
            </w:r>
          </w:p>
        </w:tc>
        <w:tc>
          <w:tcPr>
            <w:tcW w:w="535" w:type="dxa"/>
            <w:vAlign w:val="center"/>
          </w:tcPr>
          <w:p w14:paraId="1CE9DF3B" w14:textId="671B52FF"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505</w:t>
            </w:r>
          </w:p>
        </w:tc>
        <w:tc>
          <w:tcPr>
            <w:tcW w:w="789" w:type="dxa"/>
            <w:vAlign w:val="center"/>
          </w:tcPr>
          <w:p w14:paraId="0BBDCE29" w14:textId="77777777" w:rsidR="00395101" w:rsidRPr="00B6553A" w:rsidRDefault="00395101" w:rsidP="00395101">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11824</w:t>
            </w:r>
          </w:p>
          <w:p w14:paraId="53258DC2" w14:textId="48F21ABE"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(100%)</w:t>
            </w:r>
          </w:p>
        </w:tc>
        <w:tc>
          <w:tcPr>
            <w:tcW w:w="756" w:type="dxa"/>
            <w:vAlign w:val="center"/>
          </w:tcPr>
          <w:p w14:paraId="7C583B1F" w14:textId="77777777" w:rsidR="00395101" w:rsidRPr="00B6553A" w:rsidRDefault="00395101" w:rsidP="00395101">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5400</w:t>
            </w:r>
          </w:p>
          <w:p w14:paraId="62BC3593" w14:textId="57681B96"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(45,7%)</w:t>
            </w:r>
          </w:p>
        </w:tc>
        <w:tc>
          <w:tcPr>
            <w:tcW w:w="807" w:type="dxa"/>
            <w:vAlign w:val="center"/>
          </w:tcPr>
          <w:p w14:paraId="11A55E41" w14:textId="77777777" w:rsidR="00395101" w:rsidRPr="00B6553A" w:rsidRDefault="00395101" w:rsidP="00395101">
            <w:pPr>
              <w:spacing w:after="0" w:line="240" w:lineRule="auto"/>
              <w:ind w:left="-81" w:right="-74" w:hanging="14"/>
              <w:jc w:val="center"/>
              <w:rPr>
                <w:rFonts w:ascii="Times New Roman" w:hAnsi="Times New Roman" w:cs="Times New Roman"/>
                <w:sz w:val="18"/>
                <w:szCs w:val="18"/>
                <w:lang w:val="en-US"/>
              </w:rPr>
            </w:pPr>
            <w:r w:rsidRPr="00B6553A">
              <w:rPr>
                <w:rFonts w:ascii="Times New Roman" w:hAnsi="Times New Roman" w:cs="Times New Roman"/>
                <w:sz w:val="18"/>
                <w:szCs w:val="18"/>
              </w:rPr>
              <w:t>5941</w:t>
            </w:r>
          </w:p>
          <w:p w14:paraId="69602A08" w14:textId="59CCE3F1"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(50,2%)</w:t>
            </w:r>
          </w:p>
        </w:tc>
        <w:tc>
          <w:tcPr>
            <w:tcW w:w="789" w:type="dxa"/>
            <w:vAlign w:val="center"/>
          </w:tcPr>
          <w:p w14:paraId="4D29CADA" w14:textId="77777777" w:rsidR="00395101" w:rsidRPr="00B6553A" w:rsidRDefault="00395101" w:rsidP="00395101">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333</w:t>
            </w:r>
            <w:r w:rsidRPr="00B6553A">
              <w:rPr>
                <w:rFonts w:ascii="Times New Roman" w:hAnsi="Times New Roman" w:cs="Times New Roman"/>
                <w:sz w:val="18"/>
                <w:szCs w:val="18"/>
                <w:vertAlign w:val="superscript"/>
              </w:rPr>
              <w:t>*</w:t>
            </w:r>
          </w:p>
          <w:p w14:paraId="293968BF" w14:textId="642A0036"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(2,82%)</w:t>
            </w:r>
          </w:p>
        </w:tc>
        <w:tc>
          <w:tcPr>
            <w:tcW w:w="753" w:type="dxa"/>
            <w:vAlign w:val="center"/>
          </w:tcPr>
          <w:p w14:paraId="1BA15C9F" w14:textId="77777777" w:rsidR="00395101" w:rsidRPr="00B6553A" w:rsidRDefault="00395101" w:rsidP="00395101">
            <w:pPr>
              <w:spacing w:after="0" w:line="240" w:lineRule="auto"/>
              <w:ind w:left="-81" w:right="-74" w:hanging="14"/>
              <w:jc w:val="center"/>
              <w:rPr>
                <w:rFonts w:ascii="Times New Roman" w:hAnsi="Times New Roman" w:cs="Times New Roman"/>
                <w:sz w:val="18"/>
                <w:szCs w:val="18"/>
                <w:vertAlign w:val="superscript"/>
                <w:lang w:val="en-US"/>
              </w:rPr>
            </w:pPr>
            <w:r w:rsidRPr="00B6553A">
              <w:rPr>
                <w:rFonts w:ascii="Times New Roman" w:hAnsi="Times New Roman" w:cs="Times New Roman"/>
                <w:sz w:val="18"/>
                <w:szCs w:val="18"/>
              </w:rPr>
              <w:t>150</w:t>
            </w:r>
            <w:r w:rsidRPr="00B6553A">
              <w:rPr>
                <w:rFonts w:ascii="Times New Roman" w:hAnsi="Times New Roman" w:cs="Times New Roman"/>
                <w:sz w:val="18"/>
                <w:szCs w:val="18"/>
                <w:vertAlign w:val="superscript"/>
              </w:rPr>
              <w:t>*</w:t>
            </w:r>
          </w:p>
          <w:p w14:paraId="1A743A2F" w14:textId="5C3B6339"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18"/>
              </w:rPr>
              <w:t>(1,28%)</w:t>
            </w:r>
          </w:p>
        </w:tc>
        <w:tc>
          <w:tcPr>
            <w:tcW w:w="654" w:type="dxa"/>
            <w:vMerge/>
            <w:vAlign w:val="center"/>
          </w:tcPr>
          <w:p w14:paraId="77E8EBE5" w14:textId="77777777" w:rsidR="00395101" w:rsidRPr="00B6553A" w:rsidRDefault="00395101" w:rsidP="002666F3">
            <w:pPr>
              <w:spacing w:after="0" w:line="240" w:lineRule="auto"/>
              <w:ind w:left="-67" w:right="-65"/>
              <w:jc w:val="center"/>
              <w:rPr>
                <w:rFonts w:ascii="Times New Roman" w:hAnsi="Times New Roman" w:cs="Times New Roman"/>
                <w:sz w:val="18"/>
                <w:szCs w:val="16"/>
                <w:lang w:val="en-US"/>
              </w:rPr>
            </w:pPr>
          </w:p>
        </w:tc>
      </w:tr>
      <w:tr w:rsidR="00395101" w:rsidRPr="00B6553A" w14:paraId="71EF68F2" w14:textId="77777777" w:rsidTr="00B6553A">
        <w:trPr>
          <w:cantSplit/>
          <w:trHeight w:val="223"/>
          <w:jc w:val="center"/>
        </w:trPr>
        <w:tc>
          <w:tcPr>
            <w:tcW w:w="1907" w:type="dxa"/>
            <w:vAlign w:val="center"/>
          </w:tcPr>
          <w:p w14:paraId="02FB6478" w14:textId="300F69B3" w:rsidR="00395101" w:rsidRPr="00B6553A" w:rsidRDefault="00395101" w:rsidP="00395101">
            <w:pPr>
              <w:spacing w:after="0" w:line="240" w:lineRule="auto"/>
              <w:ind w:left="-67" w:right="-65"/>
              <w:contextualSpacing/>
              <w:rPr>
                <w:rFonts w:ascii="Times New Roman" w:hAnsi="Times New Roman" w:cs="Times New Roman"/>
                <w:sz w:val="18"/>
                <w:szCs w:val="16"/>
                <w:lang w:val="en-US"/>
              </w:rPr>
            </w:pPr>
            <w:proofErr w:type="spellStart"/>
            <w:r w:rsidRPr="00B6553A">
              <w:rPr>
                <w:rFonts w:ascii="Times New Roman" w:hAnsi="Times New Roman" w:cs="Times New Roman"/>
                <w:sz w:val="18"/>
                <w:szCs w:val="18"/>
              </w:rPr>
              <w:t>Three-stage</w:t>
            </w:r>
            <w:proofErr w:type="spellEnd"/>
            <w:r w:rsidRPr="00B6553A">
              <w:rPr>
                <w:rFonts w:ascii="Times New Roman" w:hAnsi="Times New Roman" w:cs="Times New Roman"/>
                <w:sz w:val="18"/>
                <w:szCs w:val="18"/>
              </w:rPr>
              <w:t xml:space="preserve"> </w:t>
            </w:r>
            <w:proofErr w:type="spellStart"/>
            <w:r w:rsidRPr="00B6553A">
              <w:rPr>
                <w:rFonts w:ascii="Times New Roman" w:hAnsi="Times New Roman" w:cs="Times New Roman"/>
                <w:sz w:val="18"/>
                <w:szCs w:val="18"/>
              </w:rPr>
              <w:t>combustion</w:t>
            </w:r>
            <w:proofErr w:type="spellEnd"/>
          </w:p>
        </w:tc>
        <w:tc>
          <w:tcPr>
            <w:tcW w:w="796" w:type="dxa"/>
            <w:vAlign w:val="center"/>
          </w:tcPr>
          <w:p w14:paraId="014A0F5D" w14:textId="5A56D756"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0,87-0,89</w:t>
            </w:r>
          </w:p>
        </w:tc>
        <w:tc>
          <w:tcPr>
            <w:tcW w:w="1036" w:type="dxa"/>
            <w:vAlign w:val="center"/>
          </w:tcPr>
          <w:p w14:paraId="113C0602" w14:textId="508FD9E1"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0,13</w:t>
            </w:r>
          </w:p>
        </w:tc>
        <w:tc>
          <w:tcPr>
            <w:tcW w:w="553" w:type="dxa"/>
            <w:vAlign w:val="center"/>
          </w:tcPr>
          <w:p w14:paraId="46BF2D13" w14:textId="39A66C33"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1,4</w:t>
            </w:r>
          </w:p>
        </w:tc>
        <w:tc>
          <w:tcPr>
            <w:tcW w:w="535" w:type="dxa"/>
            <w:vAlign w:val="center"/>
          </w:tcPr>
          <w:p w14:paraId="2F30FB04" w14:textId="4091A3BD"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260</w:t>
            </w:r>
          </w:p>
        </w:tc>
        <w:tc>
          <w:tcPr>
            <w:tcW w:w="789" w:type="dxa"/>
            <w:vAlign w:val="center"/>
          </w:tcPr>
          <w:p w14:paraId="0AF8CA7C" w14:textId="77777777" w:rsidR="00395101" w:rsidRPr="00B6553A" w:rsidRDefault="00395101" w:rsidP="00395101">
            <w:pPr>
              <w:spacing w:after="0" w:line="240" w:lineRule="auto"/>
              <w:ind w:left="-81" w:right="-74" w:hanging="14"/>
              <w:jc w:val="center"/>
              <w:rPr>
                <w:rFonts w:ascii="Times New Roman" w:hAnsi="Times New Roman" w:cs="Times New Roman"/>
                <w:sz w:val="18"/>
                <w:szCs w:val="20"/>
                <w:lang w:val="en-US"/>
              </w:rPr>
            </w:pPr>
            <w:r w:rsidRPr="00B6553A">
              <w:rPr>
                <w:rFonts w:ascii="Times New Roman" w:hAnsi="Times New Roman" w:cs="Times New Roman"/>
                <w:sz w:val="18"/>
                <w:szCs w:val="20"/>
              </w:rPr>
              <w:t>10310</w:t>
            </w:r>
          </w:p>
          <w:p w14:paraId="051A8E97" w14:textId="1D024D32"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(100%)</w:t>
            </w:r>
          </w:p>
        </w:tc>
        <w:tc>
          <w:tcPr>
            <w:tcW w:w="756" w:type="dxa"/>
            <w:vAlign w:val="center"/>
          </w:tcPr>
          <w:p w14:paraId="4FF71D69" w14:textId="77777777" w:rsidR="00395101" w:rsidRPr="00B6553A" w:rsidRDefault="00395101" w:rsidP="00395101">
            <w:pPr>
              <w:spacing w:after="0" w:line="240" w:lineRule="auto"/>
              <w:ind w:left="-81" w:right="-74" w:hanging="14"/>
              <w:jc w:val="center"/>
              <w:rPr>
                <w:rFonts w:ascii="Times New Roman" w:hAnsi="Times New Roman" w:cs="Times New Roman"/>
                <w:sz w:val="18"/>
                <w:szCs w:val="20"/>
                <w:lang w:val="en-US"/>
              </w:rPr>
            </w:pPr>
            <w:r w:rsidRPr="00B6553A">
              <w:rPr>
                <w:rFonts w:ascii="Times New Roman" w:hAnsi="Times New Roman" w:cs="Times New Roman"/>
                <w:sz w:val="18"/>
                <w:szCs w:val="20"/>
              </w:rPr>
              <w:t>5400</w:t>
            </w:r>
          </w:p>
          <w:p w14:paraId="66DCEAEE" w14:textId="56302FC4"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(57,5%)</w:t>
            </w:r>
          </w:p>
        </w:tc>
        <w:tc>
          <w:tcPr>
            <w:tcW w:w="807" w:type="dxa"/>
            <w:vAlign w:val="center"/>
          </w:tcPr>
          <w:p w14:paraId="24517117" w14:textId="77777777" w:rsidR="00395101" w:rsidRPr="00B6553A" w:rsidRDefault="00395101" w:rsidP="00395101">
            <w:pPr>
              <w:spacing w:after="0" w:line="240" w:lineRule="auto"/>
              <w:ind w:left="-81" w:right="-74" w:hanging="14"/>
              <w:jc w:val="center"/>
              <w:rPr>
                <w:rFonts w:ascii="Times New Roman" w:hAnsi="Times New Roman" w:cs="Times New Roman"/>
                <w:sz w:val="18"/>
                <w:szCs w:val="20"/>
                <w:lang w:val="en-US"/>
              </w:rPr>
            </w:pPr>
            <w:r w:rsidRPr="00B6553A">
              <w:rPr>
                <w:rFonts w:ascii="Times New Roman" w:hAnsi="Times New Roman" w:cs="Times New Roman"/>
                <w:sz w:val="18"/>
                <w:szCs w:val="20"/>
              </w:rPr>
              <w:t>3060</w:t>
            </w:r>
          </w:p>
          <w:p w14:paraId="442D8F84" w14:textId="4AC6F174"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(32,6%)</w:t>
            </w:r>
          </w:p>
        </w:tc>
        <w:tc>
          <w:tcPr>
            <w:tcW w:w="789" w:type="dxa"/>
            <w:vAlign w:val="center"/>
          </w:tcPr>
          <w:p w14:paraId="3A571593" w14:textId="77777777" w:rsidR="00395101" w:rsidRPr="00B6553A" w:rsidRDefault="00395101" w:rsidP="00395101">
            <w:pPr>
              <w:spacing w:after="0" w:line="240" w:lineRule="auto"/>
              <w:ind w:left="-81" w:right="-74" w:hanging="14"/>
              <w:jc w:val="center"/>
              <w:rPr>
                <w:rFonts w:ascii="Times New Roman" w:hAnsi="Times New Roman" w:cs="Times New Roman"/>
                <w:sz w:val="18"/>
                <w:szCs w:val="20"/>
                <w:vertAlign w:val="superscript"/>
                <w:lang w:val="en-US"/>
              </w:rPr>
            </w:pPr>
            <w:r w:rsidRPr="00B6553A">
              <w:rPr>
                <w:rFonts w:ascii="Times New Roman" w:hAnsi="Times New Roman" w:cs="Times New Roman"/>
                <w:sz w:val="18"/>
                <w:szCs w:val="20"/>
              </w:rPr>
              <w:t>733</w:t>
            </w:r>
            <w:r w:rsidRPr="00B6553A">
              <w:rPr>
                <w:rFonts w:ascii="Times New Roman" w:hAnsi="Times New Roman" w:cs="Times New Roman"/>
                <w:sz w:val="18"/>
                <w:szCs w:val="20"/>
                <w:vertAlign w:val="superscript"/>
              </w:rPr>
              <w:t>*</w:t>
            </w:r>
          </w:p>
          <w:p w14:paraId="22E799BD" w14:textId="6439E209"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(7,8%)</w:t>
            </w:r>
          </w:p>
        </w:tc>
        <w:tc>
          <w:tcPr>
            <w:tcW w:w="753" w:type="dxa"/>
            <w:vAlign w:val="center"/>
          </w:tcPr>
          <w:p w14:paraId="6D5A771E" w14:textId="77777777" w:rsidR="00395101" w:rsidRPr="00B6553A" w:rsidRDefault="00395101" w:rsidP="00395101">
            <w:pPr>
              <w:spacing w:after="0" w:line="240" w:lineRule="auto"/>
              <w:ind w:left="-81" w:right="-74" w:hanging="14"/>
              <w:jc w:val="center"/>
              <w:rPr>
                <w:rFonts w:ascii="Times New Roman" w:hAnsi="Times New Roman" w:cs="Times New Roman"/>
                <w:sz w:val="18"/>
                <w:szCs w:val="20"/>
                <w:vertAlign w:val="superscript"/>
                <w:lang w:val="en-US"/>
              </w:rPr>
            </w:pPr>
            <w:r w:rsidRPr="00B6553A">
              <w:rPr>
                <w:rFonts w:ascii="Times New Roman" w:hAnsi="Times New Roman" w:cs="Times New Roman"/>
                <w:sz w:val="18"/>
                <w:szCs w:val="20"/>
              </w:rPr>
              <w:t>200</w:t>
            </w:r>
            <w:r w:rsidRPr="00B6553A">
              <w:rPr>
                <w:rFonts w:ascii="Times New Roman" w:hAnsi="Times New Roman" w:cs="Times New Roman"/>
                <w:sz w:val="18"/>
                <w:szCs w:val="20"/>
                <w:vertAlign w:val="superscript"/>
              </w:rPr>
              <w:t>*</w:t>
            </w:r>
          </w:p>
          <w:p w14:paraId="2A01B8E2" w14:textId="7609018F" w:rsidR="00395101" w:rsidRPr="00B6553A" w:rsidRDefault="00395101" w:rsidP="00395101">
            <w:pPr>
              <w:spacing w:after="0" w:line="240" w:lineRule="auto"/>
              <w:ind w:left="-81" w:right="-74" w:hanging="14"/>
              <w:jc w:val="center"/>
              <w:rPr>
                <w:rFonts w:ascii="Times New Roman" w:hAnsi="Times New Roman" w:cs="Times New Roman"/>
                <w:sz w:val="18"/>
                <w:szCs w:val="16"/>
                <w:lang w:val="en-US"/>
              </w:rPr>
            </w:pPr>
            <w:r w:rsidRPr="00B6553A">
              <w:rPr>
                <w:rFonts w:ascii="Times New Roman" w:hAnsi="Times New Roman" w:cs="Times New Roman"/>
                <w:sz w:val="18"/>
                <w:szCs w:val="20"/>
              </w:rPr>
              <w:t>(2,1%)</w:t>
            </w:r>
          </w:p>
        </w:tc>
        <w:tc>
          <w:tcPr>
            <w:tcW w:w="654" w:type="dxa"/>
            <w:vMerge/>
            <w:vAlign w:val="center"/>
          </w:tcPr>
          <w:p w14:paraId="1F1E8C0C" w14:textId="77777777" w:rsidR="00395101" w:rsidRPr="00B6553A" w:rsidRDefault="00395101" w:rsidP="002666F3">
            <w:pPr>
              <w:spacing w:after="0" w:line="240" w:lineRule="auto"/>
              <w:ind w:left="-67" w:right="-65"/>
              <w:jc w:val="center"/>
              <w:rPr>
                <w:rFonts w:ascii="Times New Roman" w:hAnsi="Times New Roman" w:cs="Times New Roman"/>
                <w:sz w:val="18"/>
                <w:szCs w:val="16"/>
                <w:lang w:val="en-US"/>
              </w:rPr>
            </w:pPr>
          </w:p>
        </w:tc>
      </w:tr>
    </w:tbl>
    <w:p w14:paraId="01D4B845" w14:textId="77777777" w:rsidR="0045437A" w:rsidRDefault="0045437A" w:rsidP="0045437A">
      <w:pPr>
        <w:spacing w:after="0" w:line="240" w:lineRule="auto"/>
        <w:ind w:firstLine="284"/>
        <w:jc w:val="both"/>
        <w:rPr>
          <w:rFonts w:ascii="Times New Roman" w:hAnsi="Times New Roman" w:cs="Times New Roman"/>
          <w:sz w:val="20"/>
          <w:szCs w:val="20"/>
          <w:lang w:val="en-US"/>
        </w:rPr>
      </w:pPr>
    </w:p>
    <w:p w14:paraId="2107C673" w14:textId="674FF772" w:rsidR="0045437A" w:rsidRDefault="0045437A" w:rsidP="0045437A">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B534B9">
        <w:rPr>
          <w:rFonts w:ascii="Times New Roman" w:hAnsi="Times New Roman" w:cs="Times New Roman"/>
          <w:sz w:val="20"/>
          <w:szCs w:val="20"/>
          <w:lang w:val="en-US"/>
        </w:rPr>
        <w:t xml:space="preserve">The </w:t>
      </w:r>
      <w:r w:rsidRPr="00B534B9">
        <w:rPr>
          <w:rFonts w:ascii="Times New Roman" w:hAnsi="Times New Roman" w:cs="Times New Roman"/>
          <w:bCs/>
          <w:sz w:val="20"/>
          <w:szCs w:val="20"/>
          <w:lang w:val="en-US"/>
        </w:rPr>
        <w:t>total toxicity of combustion products from high-sulfur fuel oil</w:t>
      </w:r>
      <w:r w:rsidRPr="00B534B9">
        <w:rPr>
          <w:rFonts w:ascii="Times New Roman" w:hAnsi="Times New Roman" w:cs="Times New Roman"/>
          <w:sz w:val="20"/>
          <w:szCs w:val="20"/>
          <w:lang w:val="en-US"/>
        </w:rPr>
        <w:t xml:space="preserve"> is about </w:t>
      </w:r>
      <w:r w:rsidRPr="00B534B9">
        <w:rPr>
          <w:rFonts w:ascii="Times New Roman" w:hAnsi="Times New Roman" w:cs="Times New Roman"/>
          <w:bCs/>
          <w:sz w:val="20"/>
          <w:szCs w:val="20"/>
          <w:lang w:val="en-US"/>
        </w:rPr>
        <w:t>2.0</w:t>
      </w:r>
      <w:r>
        <w:rPr>
          <w:rFonts w:ascii="Times New Roman" w:hAnsi="Times New Roman" w:cs="Times New Roman"/>
          <w:bCs/>
          <w:sz w:val="20"/>
          <w:szCs w:val="20"/>
          <w:lang w:val="en-US"/>
        </w:rPr>
        <w:t>-</w:t>
      </w:r>
      <w:r w:rsidRPr="00B534B9">
        <w:rPr>
          <w:rFonts w:ascii="Times New Roman" w:hAnsi="Times New Roman" w:cs="Times New Roman"/>
          <w:bCs/>
          <w:sz w:val="20"/>
          <w:szCs w:val="20"/>
          <w:lang w:val="en-US"/>
        </w:rPr>
        <w:t>3.2 times higher</w:t>
      </w:r>
      <w:r w:rsidRPr="00B534B9">
        <w:rPr>
          <w:rFonts w:ascii="Times New Roman" w:hAnsi="Times New Roman" w:cs="Times New Roman"/>
          <w:sz w:val="20"/>
          <w:szCs w:val="20"/>
          <w:lang w:val="en-US"/>
        </w:rPr>
        <w:t xml:space="preserve"> than that of gas. The toxicity is distributed as follows: nitrogen oxides — </w:t>
      </w:r>
      <w:r w:rsidRPr="00B534B9">
        <w:rPr>
          <w:rFonts w:ascii="Times New Roman" w:hAnsi="Times New Roman" w:cs="Times New Roman"/>
          <w:bCs/>
          <w:sz w:val="20"/>
          <w:szCs w:val="20"/>
          <w:lang w:val="en-US"/>
        </w:rPr>
        <w:t>36.6%</w:t>
      </w:r>
      <w:r w:rsidRPr="00B534B9">
        <w:rPr>
          <w:rFonts w:ascii="Times New Roman" w:hAnsi="Times New Roman" w:cs="Times New Roman"/>
          <w:sz w:val="20"/>
          <w:szCs w:val="20"/>
          <w:lang w:val="en-US"/>
        </w:rPr>
        <w:t xml:space="preserve">, sulfur oxides — </w:t>
      </w:r>
      <w:r w:rsidRPr="00B534B9">
        <w:rPr>
          <w:rFonts w:ascii="Times New Roman" w:hAnsi="Times New Roman" w:cs="Times New Roman"/>
          <w:bCs/>
          <w:sz w:val="20"/>
          <w:szCs w:val="20"/>
          <w:lang w:val="en-US"/>
        </w:rPr>
        <w:t>60.3%</w:t>
      </w:r>
      <w:r w:rsidRPr="00B534B9">
        <w:rPr>
          <w:rFonts w:ascii="Times New Roman" w:hAnsi="Times New Roman" w:cs="Times New Roman"/>
          <w:sz w:val="20"/>
          <w:szCs w:val="20"/>
          <w:lang w:val="en-US"/>
        </w:rPr>
        <w:t xml:space="preserve">, soot — </w:t>
      </w:r>
      <w:r w:rsidRPr="00B534B9">
        <w:rPr>
          <w:rFonts w:ascii="Times New Roman" w:hAnsi="Times New Roman" w:cs="Times New Roman"/>
          <w:bCs/>
          <w:sz w:val="20"/>
          <w:szCs w:val="20"/>
          <w:lang w:val="en-US"/>
        </w:rPr>
        <w:t>2.26%</w:t>
      </w:r>
      <w:r w:rsidRPr="00B534B9">
        <w:rPr>
          <w:rFonts w:ascii="Times New Roman" w:hAnsi="Times New Roman" w:cs="Times New Roman"/>
          <w:sz w:val="20"/>
          <w:szCs w:val="20"/>
          <w:lang w:val="en-US"/>
        </w:rPr>
        <w:t xml:space="preserve">, benzo(a)pyrene — </w:t>
      </w:r>
      <w:r w:rsidRPr="00B534B9">
        <w:rPr>
          <w:rFonts w:ascii="Times New Roman" w:hAnsi="Times New Roman" w:cs="Times New Roman"/>
          <w:bCs/>
          <w:sz w:val="20"/>
          <w:szCs w:val="20"/>
          <w:lang w:val="en-US"/>
        </w:rPr>
        <w:t>0.84%</w:t>
      </w:r>
      <w:r w:rsidRPr="00B534B9">
        <w:rPr>
          <w:rFonts w:ascii="Times New Roman" w:hAnsi="Times New Roman" w:cs="Times New Roman"/>
          <w:sz w:val="20"/>
          <w:szCs w:val="20"/>
          <w:lang w:val="en-US"/>
        </w:rPr>
        <w:t xml:space="preserve">. Under unoptimized combustion conditions, the total toxicity remains at about the same level (within ~1%). However, the redistribution of toxicity changes as follows: a </w:t>
      </w:r>
      <w:r w:rsidRPr="00B534B9">
        <w:rPr>
          <w:rFonts w:ascii="Times New Roman" w:hAnsi="Times New Roman" w:cs="Times New Roman"/>
          <w:bCs/>
          <w:sz w:val="20"/>
          <w:szCs w:val="20"/>
          <w:lang w:val="en-US"/>
        </w:rPr>
        <w:t>30% reduction</w:t>
      </w:r>
      <w:r w:rsidRPr="00B534B9">
        <w:rPr>
          <w:rFonts w:ascii="Times New Roman" w:hAnsi="Times New Roman" w:cs="Times New Roman"/>
          <w:sz w:val="20"/>
          <w:szCs w:val="20"/>
          <w:lang w:val="en-US"/>
        </w:rPr>
        <w:t xml:space="preserve"> due to incomplete </w:t>
      </w:r>
      <w:r w:rsidRPr="00B534B9">
        <w:rPr>
          <w:rFonts w:ascii="Times New Roman" w:hAnsi="Times New Roman" w:cs="Times New Roman"/>
          <w:sz w:val="20"/>
          <w:szCs w:val="20"/>
          <w:lang w:val="en-US"/>
        </w:rPr>
        <w:lastRenderedPageBreak/>
        <w:t xml:space="preserve">combustion is fully offset by an </w:t>
      </w:r>
      <w:r w:rsidRPr="00B534B9">
        <w:rPr>
          <w:rFonts w:ascii="Times New Roman" w:hAnsi="Times New Roman" w:cs="Times New Roman"/>
          <w:bCs/>
          <w:sz w:val="20"/>
          <w:szCs w:val="20"/>
          <w:lang w:val="en-US"/>
        </w:rPr>
        <w:t>increase in soot toxicity by 4.5 times</w:t>
      </w:r>
      <w:r w:rsidRPr="00B534B9">
        <w:rPr>
          <w:rFonts w:ascii="Times New Roman" w:hAnsi="Times New Roman" w:cs="Times New Roman"/>
          <w:sz w:val="20"/>
          <w:szCs w:val="20"/>
          <w:lang w:val="en-US"/>
        </w:rPr>
        <w:t xml:space="preserve"> and </w:t>
      </w:r>
      <w:r w:rsidRPr="00B534B9">
        <w:rPr>
          <w:rFonts w:ascii="Times New Roman" w:hAnsi="Times New Roman" w:cs="Times New Roman"/>
          <w:bCs/>
          <w:sz w:val="20"/>
          <w:szCs w:val="20"/>
          <w:lang w:val="en-US"/>
        </w:rPr>
        <w:t>benzo(a)pyrene by ~3 times</w:t>
      </w:r>
      <w:r w:rsidRPr="00B534B9">
        <w:rPr>
          <w:rFonts w:ascii="Times New Roman" w:hAnsi="Times New Roman" w:cs="Times New Roman"/>
          <w:sz w:val="20"/>
          <w:szCs w:val="20"/>
          <w:lang w:val="en-US"/>
        </w:rPr>
        <w:t xml:space="preserve">, while the toxicity of uncontrolled sulfur oxides remains unchanged. Despite the impressive </w:t>
      </w:r>
      <w:r w:rsidRPr="00B534B9">
        <w:rPr>
          <w:rFonts w:ascii="Times New Roman" w:hAnsi="Times New Roman" w:cs="Times New Roman"/>
          <w:bCs/>
          <w:sz w:val="20"/>
          <w:szCs w:val="20"/>
          <w:lang w:val="en-US"/>
        </w:rPr>
        <w:t>~49% reduction</w:t>
      </w:r>
      <w:r w:rsidRPr="00B534B9">
        <w:rPr>
          <w:rFonts w:ascii="Times New Roman" w:hAnsi="Times New Roman" w:cs="Times New Roman"/>
          <w:sz w:val="20"/>
          <w:szCs w:val="20"/>
          <w:lang w:val="en-US"/>
        </w:rPr>
        <w:t xml:space="preserve"> in the partial toxicity of nitrogen oxides and the achievement of emission limit values (ELVs) through </w:t>
      </w:r>
      <w:r w:rsidRPr="00B534B9">
        <w:rPr>
          <w:rFonts w:ascii="Times New Roman" w:hAnsi="Times New Roman" w:cs="Times New Roman"/>
          <w:bCs/>
          <w:sz w:val="20"/>
          <w:szCs w:val="20"/>
          <w:lang w:val="en-US"/>
        </w:rPr>
        <w:t>three-stage fuel oil combustion</w:t>
      </w:r>
      <w:r w:rsidRPr="00B534B9">
        <w:rPr>
          <w:rFonts w:ascii="Times New Roman" w:hAnsi="Times New Roman" w:cs="Times New Roman"/>
          <w:sz w:val="20"/>
          <w:szCs w:val="20"/>
          <w:lang w:val="en-US"/>
        </w:rPr>
        <w:t xml:space="preserve">, the total toxicity compared to the optimized conventional combustion mode was reduced by only </w:t>
      </w:r>
      <w:r w:rsidRPr="00B534B9">
        <w:rPr>
          <w:rFonts w:ascii="Times New Roman" w:hAnsi="Times New Roman" w:cs="Times New Roman"/>
          <w:bCs/>
          <w:sz w:val="20"/>
          <w:szCs w:val="20"/>
          <w:lang w:val="en-US"/>
        </w:rPr>
        <w:t>~15%</w:t>
      </w:r>
      <w:r w:rsidRPr="00B534B9">
        <w:rPr>
          <w:rFonts w:ascii="Times New Roman" w:hAnsi="Times New Roman" w:cs="Times New Roman"/>
          <w:sz w:val="20"/>
          <w:szCs w:val="20"/>
          <w:lang w:val="en-US"/>
        </w:rPr>
        <w:t>;</w:t>
      </w:r>
    </w:p>
    <w:p w14:paraId="4254E6EB" w14:textId="77777777" w:rsidR="0045437A" w:rsidRPr="00C80B9B" w:rsidRDefault="0045437A" w:rsidP="0045437A">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C80B9B">
        <w:rPr>
          <w:rFonts w:ascii="Times New Roman" w:hAnsi="Times New Roman" w:cs="Times New Roman"/>
          <w:sz w:val="20"/>
          <w:szCs w:val="20"/>
          <w:lang w:val="en-US"/>
        </w:rPr>
        <w:t xml:space="preserve">The </w:t>
      </w:r>
      <w:r w:rsidRPr="00C80B9B">
        <w:rPr>
          <w:rFonts w:ascii="Times New Roman" w:hAnsi="Times New Roman" w:cs="Times New Roman"/>
          <w:bCs/>
          <w:sz w:val="20"/>
          <w:szCs w:val="20"/>
          <w:lang w:val="en-US"/>
        </w:rPr>
        <w:t>worst-case scenario</w:t>
      </w:r>
      <w:r w:rsidRPr="00C80B9B">
        <w:rPr>
          <w:rFonts w:ascii="Times New Roman" w:hAnsi="Times New Roman" w:cs="Times New Roman"/>
          <w:sz w:val="20"/>
          <w:szCs w:val="20"/>
          <w:lang w:val="en-US"/>
        </w:rPr>
        <w:t xml:space="preserve"> occurs during </w:t>
      </w:r>
      <w:r w:rsidRPr="00C80B9B">
        <w:rPr>
          <w:rFonts w:ascii="Times New Roman" w:hAnsi="Times New Roman" w:cs="Times New Roman"/>
          <w:bCs/>
          <w:sz w:val="20"/>
          <w:szCs w:val="20"/>
          <w:lang w:val="en-US"/>
        </w:rPr>
        <w:t>co-combustion of gas and high-sulfur fuel oil</w:t>
      </w:r>
      <w:r w:rsidRPr="00C80B9B">
        <w:rPr>
          <w:rFonts w:ascii="Times New Roman" w:hAnsi="Times New Roman" w:cs="Times New Roman"/>
          <w:sz w:val="20"/>
          <w:szCs w:val="20"/>
          <w:lang w:val="en-US"/>
        </w:rPr>
        <w:t xml:space="preserve">: under optimized combustion modes with conventional single-stage combustion, the toxicity distribution is as follows: nitrogen oxides — </w:t>
      </w:r>
      <w:r w:rsidRPr="00C80B9B">
        <w:rPr>
          <w:rFonts w:ascii="Times New Roman" w:hAnsi="Times New Roman" w:cs="Times New Roman"/>
          <w:bCs/>
          <w:sz w:val="20"/>
          <w:szCs w:val="20"/>
          <w:lang w:val="en-US"/>
        </w:rPr>
        <w:t>46.4%</w:t>
      </w:r>
      <w:r w:rsidRPr="00C80B9B">
        <w:rPr>
          <w:rFonts w:ascii="Times New Roman" w:hAnsi="Times New Roman" w:cs="Times New Roman"/>
          <w:sz w:val="20"/>
          <w:szCs w:val="20"/>
          <w:lang w:val="en-US"/>
        </w:rPr>
        <w:t xml:space="preserve">, sulfur oxides — </w:t>
      </w:r>
      <w:r w:rsidRPr="00C80B9B">
        <w:rPr>
          <w:rFonts w:ascii="Times New Roman" w:hAnsi="Times New Roman" w:cs="Times New Roman"/>
          <w:bCs/>
          <w:sz w:val="20"/>
          <w:szCs w:val="20"/>
          <w:lang w:val="en-US"/>
        </w:rPr>
        <w:t>49.2%</w:t>
      </w:r>
      <w:r w:rsidRPr="00C80B9B">
        <w:rPr>
          <w:rFonts w:ascii="Times New Roman" w:hAnsi="Times New Roman" w:cs="Times New Roman"/>
          <w:sz w:val="20"/>
          <w:szCs w:val="20"/>
          <w:lang w:val="en-US"/>
        </w:rPr>
        <w:t xml:space="preserve">, soot — </w:t>
      </w:r>
      <w:r w:rsidRPr="00C80B9B">
        <w:rPr>
          <w:rFonts w:ascii="Times New Roman" w:hAnsi="Times New Roman" w:cs="Times New Roman"/>
          <w:bCs/>
          <w:sz w:val="20"/>
          <w:szCs w:val="20"/>
          <w:lang w:val="en-US"/>
        </w:rPr>
        <w:t>1.25%</w:t>
      </w:r>
      <w:r w:rsidRPr="00C80B9B">
        <w:rPr>
          <w:rFonts w:ascii="Times New Roman" w:hAnsi="Times New Roman" w:cs="Times New Roman"/>
          <w:sz w:val="20"/>
          <w:szCs w:val="20"/>
          <w:lang w:val="en-US"/>
        </w:rPr>
        <w:t xml:space="preserve">, benzo(a)pyrene — </w:t>
      </w:r>
      <w:r w:rsidRPr="00C80B9B">
        <w:rPr>
          <w:rFonts w:ascii="Times New Roman" w:hAnsi="Times New Roman" w:cs="Times New Roman"/>
          <w:bCs/>
          <w:sz w:val="20"/>
          <w:szCs w:val="20"/>
          <w:lang w:val="en-US"/>
        </w:rPr>
        <w:t>3.15%</w:t>
      </w:r>
      <w:r w:rsidRPr="00C80B9B">
        <w:rPr>
          <w:rFonts w:ascii="Times New Roman" w:hAnsi="Times New Roman" w:cs="Times New Roman"/>
          <w:sz w:val="20"/>
          <w:szCs w:val="20"/>
          <w:lang w:val="en-US"/>
        </w:rPr>
        <w:t xml:space="preserve">. Under unoptimized conditions with excess air coefficients of </w:t>
      </w:r>
      <w:r w:rsidRPr="00C80B9B">
        <w:rPr>
          <w:rFonts w:ascii="Times New Roman" w:hAnsi="Times New Roman" w:cs="Times New Roman"/>
          <w:bCs/>
          <w:sz w:val="20"/>
          <w:szCs w:val="20"/>
          <w:lang w:val="en-US"/>
        </w:rPr>
        <w:t>1.06</w:t>
      </w:r>
      <w:r>
        <w:rPr>
          <w:rFonts w:ascii="Times New Roman" w:hAnsi="Times New Roman" w:cs="Times New Roman"/>
          <w:bCs/>
          <w:sz w:val="20"/>
          <w:szCs w:val="20"/>
          <w:lang w:val="en-US"/>
        </w:rPr>
        <w:t>-</w:t>
      </w:r>
      <w:r w:rsidRPr="00C80B9B">
        <w:rPr>
          <w:rFonts w:ascii="Times New Roman" w:hAnsi="Times New Roman" w:cs="Times New Roman"/>
          <w:bCs/>
          <w:sz w:val="20"/>
          <w:szCs w:val="20"/>
          <w:lang w:val="en-US"/>
        </w:rPr>
        <w:t>1.08</w:t>
      </w:r>
      <w:r w:rsidRPr="00C80B9B">
        <w:rPr>
          <w:rFonts w:ascii="Times New Roman" w:hAnsi="Times New Roman" w:cs="Times New Roman"/>
          <w:sz w:val="20"/>
          <w:szCs w:val="20"/>
          <w:lang w:val="en-US"/>
        </w:rPr>
        <w:t xml:space="preserve">, total combustion toxicity </w:t>
      </w:r>
      <w:r w:rsidRPr="00C80B9B">
        <w:rPr>
          <w:rFonts w:ascii="Times New Roman" w:hAnsi="Times New Roman" w:cs="Times New Roman"/>
          <w:bCs/>
          <w:sz w:val="20"/>
          <w:szCs w:val="20"/>
          <w:lang w:val="en-US"/>
        </w:rPr>
        <w:t>increases by 33%</w:t>
      </w:r>
      <w:r w:rsidRPr="00C80B9B">
        <w:rPr>
          <w:rFonts w:ascii="Times New Roman" w:hAnsi="Times New Roman" w:cs="Times New Roman"/>
          <w:sz w:val="20"/>
          <w:szCs w:val="20"/>
          <w:lang w:val="en-US"/>
        </w:rPr>
        <w:t xml:space="preserve">. Here, a </w:t>
      </w:r>
      <w:r w:rsidRPr="00C80B9B">
        <w:rPr>
          <w:rFonts w:ascii="Times New Roman" w:hAnsi="Times New Roman" w:cs="Times New Roman"/>
          <w:bCs/>
          <w:sz w:val="20"/>
          <w:szCs w:val="20"/>
          <w:lang w:val="en-US"/>
        </w:rPr>
        <w:t>25% reduction</w:t>
      </w:r>
      <w:r w:rsidRPr="00C80B9B">
        <w:rPr>
          <w:rFonts w:ascii="Times New Roman" w:hAnsi="Times New Roman" w:cs="Times New Roman"/>
          <w:sz w:val="20"/>
          <w:szCs w:val="20"/>
          <w:lang w:val="en-US"/>
        </w:rPr>
        <w:t xml:space="preserve"> in toxicity due to incomplete combustion is more than offset (</w:t>
      </w:r>
      <w:r w:rsidRPr="00C80B9B">
        <w:rPr>
          <w:rFonts w:ascii="Times New Roman" w:hAnsi="Times New Roman" w:cs="Times New Roman"/>
          <w:bCs/>
          <w:sz w:val="20"/>
          <w:szCs w:val="20"/>
          <w:lang w:val="en-US"/>
        </w:rPr>
        <w:t>by 8%</w:t>
      </w:r>
      <w:r w:rsidRPr="00C80B9B">
        <w:rPr>
          <w:rFonts w:ascii="Times New Roman" w:hAnsi="Times New Roman" w:cs="Times New Roman"/>
          <w:sz w:val="20"/>
          <w:szCs w:val="20"/>
          <w:lang w:val="en-US"/>
        </w:rPr>
        <w:t xml:space="preserve">) by a </w:t>
      </w:r>
      <w:r w:rsidRPr="00C80B9B">
        <w:rPr>
          <w:rFonts w:ascii="Times New Roman" w:hAnsi="Times New Roman" w:cs="Times New Roman"/>
          <w:bCs/>
          <w:sz w:val="20"/>
          <w:szCs w:val="20"/>
          <w:lang w:val="en-US"/>
        </w:rPr>
        <w:t>22-fold increase in soot toxicity</w:t>
      </w:r>
      <w:r w:rsidRPr="00C80B9B">
        <w:rPr>
          <w:rFonts w:ascii="Times New Roman" w:hAnsi="Times New Roman" w:cs="Times New Roman"/>
          <w:sz w:val="20"/>
          <w:szCs w:val="20"/>
          <w:lang w:val="en-US"/>
        </w:rPr>
        <w:t xml:space="preserve"> and a </w:t>
      </w:r>
      <w:r w:rsidRPr="00C80B9B">
        <w:rPr>
          <w:rFonts w:ascii="Times New Roman" w:hAnsi="Times New Roman" w:cs="Times New Roman"/>
          <w:bCs/>
          <w:sz w:val="20"/>
          <w:szCs w:val="20"/>
          <w:lang w:val="en-US"/>
        </w:rPr>
        <w:t>~7-fold increase in benzo(a)pyrene</w:t>
      </w:r>
      <w:r w:rsidRPr="00C80B9B">
        <w:rPr>
          <w:rFonts w:ascii="Times New Roman" w:hAnsi="Times New Roman" w:cs="Times New Roman"/>
          <w:sz w:val="20"/>
          <w:szCs w:val="20"/>
          <w:lang w:val="en-US"/>
        </w:rPr>
        <w:t xml:space="preserve">, while the toxicity of uncontrolled sulfur oxides remains unchanged. The </w:t>
      </w:r>
      <w:r w:rsidRPr="00C80B9B">
        <w:rPr>
          <w:rFonts w:ascii="Times New Roman" w:hAnsi="Times New Roman" w:cs="Times New Roman"/>
          <w:bCs/>
          <w:sz w:val="20"/>
          <w:szCs w:val="20"/>
          <w:lang w:val="en-US"/>
        </w:rPr>
        <w:t>three-stage gas and fuel oil combustion mode</w:t>
      </w:r>
      <w:r w:rsidRPr="00C80B9B">
        <w:rPr>
          <w:rFonts w:ascii="Times New Roman" w:hAnsi="Times New Roman" w:cs="Times New Roman"/>
          <w:sz w:val="20"/>
          <w:szCs w:val="20"/>
          <w:lang w:val="en-US"/>
        </w:rPr>
        <w:t xml:space="preserve"> was superior to the unoptimized mode in all environmental parameters, including a </w:t>
      </w:r>
      <w:r w:rsidRPr="00C80B9B">
        <w:rPr>
          <w:rFonts w:ascii="Times New Roman" w:hAnsi="Times New Roman" w:cs="Times New Roman"/>
          <w:bCs/>
          <w:sz w:val="20"/>
          <w:szCs w:val="20"/>
          <w:lang w:val="en-US"/>
        </w:rPr>
        <w:t>33.1% reduction in total toxicity</w:t>
      </w:r>
      <w:r w:rsidRPr="00C80B9B">
        <w:rPr>
          <w:rFonts w:ascii="Times New Roman" w:hAnsi="Times New Roman" w:cs="Times New Roman"/>
          <w:sz w:val="20"/>
          <w:szCs w:val="20"/>
          <w:lang w:val="en-US"/>
        </w:rPr>
        <w:t xml:space="preserve">, a </w:t>
      </w:r>
      <w:r w:rsidRPr="00C80B9B">
        <w:rPr>
          <w:rFonts w:ascii="Times New Roman" w:hAnsi="Times New Roman" w:cs="Times New Roman"/>
          <w:bCs/>
          <w:sz w:val="20"/>
          <w:szCs w:val="20"/>
          <w:lang w:val="en-US"/>
        </w:rPr>
        <w:t>49.3% decrease in benzo(a)pyrene toxicity</w:t>
      </w:r>
      <w:r w:rsidRPr="00C80B9B">
        <w:rPr>
          <w:rFonts w:ascii="Times New Roman" w:hAnsi="Times New Roman" w:cs="Times New Roman"/>
          <w:sz w:val="20"/>
          <w:szCs w:val="20"/>
          <w:lang w:val="en-US"/>
        </w:rPr>
        <w:t xml:space="preserve">, and an </w:t>
      </w:r>
      <w:r w:rsidRPr="00C80B9B">
        <w:rPr>
          <w:rFonts w:ascii="Times New Roman" w:hAnsi="Times New Roman" w:cs="Times New Roman"/>
          <w:bCs/>
          <w:sz w:val="20"/>
          <w:szCs w:val="20"/>
          <w:lang w:val="en-US"/>
        </w:rPr>
        <w:t>87% reduction in soot toxicity</w:t>
      </w:r>
      <w:r w:rsidRPr="00C80B9B">
        <w:rPr>
          <w:rFonts w:ascii="Times New Roman" w:hAnsi="Times New Roman" w:cs="Times New Roman"/>
          <w:sz w:val="20"/>
          <w:szCs w:val="20"/>
          <w:lang w:val="en-US"/>
        </w:rPr>
        <w:t xml:space="preserve">. However, compared to the optimized conventional fuel oil combustion mode, the total toxicity was reduced by only </w:t>
      </w:r>
      <w:r w:rsidRPr="00C80B9B">
        <w:rPr>
          <w:rFonts w:ascii="Times New Roman" w:hAnsi="Times New Roman" w:cs="Times New Roman"/>
          <w:bCs/>
          <w:sz w:val="20"/>
          <w:szCs w:val="20"/>
          <w:lang w:val="en-US"/>
        </w:rPr>
        <w:t>~11%</w:t>
      </w:r>
      <w:r w:rsidRPr="00C80B9B">
        <w:rPr>
          <w:rFonts w:ascii="Times New Roman" w:hAnsi="Times New Roman" w:cs="Times New Roman"/>
          <w:sz w:val="20"/>
          <w:szCs w:val="20"/>
          <w:lang w:val="en-US"/>
        </w:rPr>
        <w:t xml:space="preserve">, although the partial toxicity of nitrogen oxides decreased by </w:t>
      </w:r>
      <w:r w:rsidRPr="00C80B9B">
        <w:rPr>
          <w:rFonts w:ascii="Times New Roman" w:hAnsi="Times New Roman" w:cs="Times New Roman"/>
          <w:bCs/>
          <w:sz w:val="20"/>
          <w:szCs w:val="20"/>
          <w:lang w:val="en-US"/>
        </w:rPr>
        <w:t>~44%</w:t>
      </w:r>
      <w:r w:rsidRPr="00C80B9B">
        <w:rPr>
          <w:rFonts w:ascii="Times New Roman" w:hAnsi="Times New Roman" w:cs="Times New Roman"/>
          <w:sz w:val="20"/>
          <w:szCs w:val="20"/>
          <w:lang w:val="en-US"/>
        </w:rPr>
        <w:t xml:space="preserve">. Still, an increase in soot toxicity by </w:t>
      </w:r>
      <w:r w:rsidRPr="00C80B9B">
        <w:rPr>
          <w:rFonts w:ascii="Times New Roman" w:hAnsi="Times New Roman" w:cs="Times New Roman"/>
          <w:bCs/>
          <w:sz w:val="20"/>
          <w:szCs w:val="20"/>
          <w:lang w:val="en-US"/>
        </w:rPr>
        <w:t>1.87 times</w:t>
      </w:r>
      <w:r w:rsidRPr="00C80B9B">
        <w:rPr>
          <w:rFonts w:ascii="Times New Roman" w:hAnsi="Times New Roman" w:cs="Times New Roman"/>
          <w:sz w:val="20"/>
          <w:szCs w:val="20"/>
          <w:lang w:val="en-US"/>
        </w:rPr>
        <w:t xml:space="preserve"> and benzo(a)pyrene by </w:t>
      </w:r>
      <w:r w:rsidRPr="00C80B9B">
        <w:rPr>
          <w:rFonts w:ascii="Times New Roman" w:hAnsi="Times New Roman" w:cs="Times New Roman"/>
          <w:bCs/>
          <w:sz w:val="20"/>
          <w:szCs w:val="20"/>
          <w:lang w:val="en-US"/>
        </w:rPr>
        <w:t>~3.68 times</w:t>
      </w:r>
      <w:r w:rsidRPr="00C80B9B">
        <w:rPr>
          <w:rFonts w:ascii="Times New Roman" w:hAnsi="Times New Roman" w:cs="Times New Roman"/>
          <w:sz w:val="20"/>
          <w:szCs w:val="20"/>
          <w:lang w:val="en-US"/>
        </w:rPr>
        <w:t xml:space="preserve"> led to an increase in total toxicity by </w:t>
      </w:r>
      <w:r w:rsidRPr="00C80B9B">
        <w:rPr>
          <w:rFonts w:ascii="Times New Roman" w:hAnsi="Times New Roman" w:cs="Times New Roman"/>
          <w:bCs/>
          <w:sz w:val="20"/>
          <w:szCs w:val="20"/>
          <w:lang w:val="en-US"/>
        </w:rPr>
        <w:t>13.9%</w:t>
      </w:r>
      <w:r w:rsidRPr="00C80B9B">
        <w:rPr>
          <w:rFonts w:ascii="Times New Roman" w:hAnsi="Times New Roman" w:cs="Times New Roman"/>
          <w:sz w:val="20"/>
          <w:szCs w:val="20"/>
          <w:lang w:val="en-US"/>
        </w:rPr>
        <w:t>.</w:t>
      </w:r>
    </w:p>
    <w:p w14:paraId="287A5CC7" w14:textId="78E7995E" w:rsidR="00C80B9B" w:rsidRPr="0068159E" w:rsidRDefault="00C80B9B" w:rsidP="0045437A">
      <w:pPr>
        <w:spacing w:after="0" w:line="240" w:lineRule="auto"/>
        <w:ind w:firstLine="284"/>
        <w:jc w:val="both"/>
        <w:rPr>
          <w:rFonts w:ascii="Times New Roman" w:hAnsi="Times New Roman" w:cs="Times New Roman"/>
          <w:sz w:val="20"/>
          <w:szCs w:val="20"/>
          <w:lang w:val="en-US"/>
        </w:rPr>
      </w:pPr>
      <w:r w:rsidRPr="00B534B9">
        <w:rPr>
          <w:rFonts w:ascii="Times New Roman" w:hAnsi="Times New Roman" w:cs="Times New Roman"/>
          <w:sz w:val="20"/>
          <w:szCs w:val="20"/>
          <w:lang w:val="en-US"/>
        </w:rPr>
        <w:t xml:space="preserve">The obtained </w:t>
      </w:r>
      <w:r w:rsidRPr="0068159E">
        <w:rPr>
          <w:rFonts w:ascii="Times New Roman" w:hAnsi="Times New Roman" w:cs="Times New Roman"/>
          <w:sz w:val="20"/>
          <w:szCs w:val="20"/>
          <w:lang w:val="en-US"/>
        </w:rPr>
        <w:t xml:space="preserve">experimental data allow for the application of </w:t>
      </w:r>
      <w:r w:rsidRPr="0068159E">
        <w:rPr>
          <w:rFonts w:ascii="Times New Roman" w:hAnsi="Times New Roman" w:cs="Times New Roman"/>
          <w:bCs/>
          <w:sz w:val="20"/>
          <w:szCs w:val="20"/>
          <w:lang w:val="en-US"/>
        </w:rPr>
        <w:t>correlation dependencies</w:t>
      </w:r>
      <w:r w:rsidRPr="0068159E">
        <w:rPr>
          <w:rFonts w:ascii="Times New Roman" w:hAnsi="Times New Roman" w:cs="Times New Roman"/>
          <w:sz w:val="20"/>
          <w:szCs w:val="20"/>
          <w:lang w:val="en-US"/>
        </w:rPr>
        <w:t xml:space="preserve"> to other fuels and thermal power stations as well</w:t>
      </w:r>
      <w:r w:rsidR="00434629" w:rsidRPr="0068159E">
        <w:rPr>
          <w:rFonts w:ascii="Times New Roman" w:hAnsi="Times New Roman" w:cs="Times New Roman"/>
          <w:sz w:val="20"/>
          <w:szCs w:val="20"/>
          <w:lang w:val="en-US"/>
        </w:rPr>
        <w:t xml:space="preserve"> [27-3</w:t>
      </w:r>
      <w:r w:rsidR="0068159E" w:rsidRPr="0068159E">
        <w:rPr>
          <w:rFonts w:ascii="Times New Roman" w:hAnsi="Times New Roman" w:cs="Times New Roman"/>
          <w:sz w:val="20"/>
          <w:szCs w:val="20"/>
          <w:lang w:val="en-US"/>
        </w:rPr>
        <w:t>6</w:t>
      </w:r>
      <w:r w:rsidR="00434629" w:rsidRPr="0068159E">
        <w:rPr>
          <w:rFonts w:ascii="Times New Roman" w:hAnsi="Times New Roman" w:cs="Times New Roman"/>
          <w:sz w:val="20"/>
          <w:szCs w:val="20"/>
          <w:lang w:val="en-US"/>
        </w:rPr>
        <w:t>].</w:t>
      </w:r>
    </w:p>
    <w:p w14:paraId="7945FBA8" w14:textId="1955C624" w:rsidR="00C80B9B" w:rsidRPr="0068159E" w:rsidRDefault="00C80B9B" w:rsidP="0045437A">
      <w:pPr>
        <w:spacing w:after="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Of course, it is not possible to establish a correlation between the concentrations of antagonistic groups of toxic substances for the full range of equipment wear states and their associated unoptimized combustion modes of gas and fuel oil. However, the data obtained in this study are reliable within the limits of the achieved measurement accuracy</w:t>
      </w:r>
      <w:r w:rsidR="00434629" w:rsidRPr="0068159E">
        <w:rPr>
          <w:rFonts w:ascii="Times New Roman" w:hAnsi="Times New Roman" w:cs="Times New Roman"/>
          <w:sz w:val="20"/>
          <w:szCs w:val="20"/>
          <w:lang w:val="en-US"/>
        </w:rPr>
        <w:t xml:space="preserve"> [3</w:t>
      </w:r>
      <w:r w:rsidR="0068159E" w:rsidRPr="0068159E">
        <w:rPr>
          <w:rFonts w:ascii="Times New Roman" w:hAnsi="Times New Roman" w:cs="Times New Roman"/>
          <w:sz w:val="20"/>
          <w:szCs w:val="20"/>
          <w:lang w:val="en-US"/>
        </w:rPr>
        <w:t>7</w:t>
      </w:r>
      <w:r w:rsidR="00434629" w:rsidRPr="0068159E">
        <w:rPr>
          <w:rFonts w:ascii="Times New Roman" w:hAnsi="Times New Roman" w:cs="Times New Roman"/>
          <w:sz w:val="20"/>
          <w:szCs w:val="20"/>
          <w:lang w:val="en-US"/>
        </w:rPr>
        <w:t>-</w:t>
      </w:r>
      <w:r w:rsidR="0068159E" w:rsidRPr="0068159E">
        <w:rPr>
          <w:rFonts w:ascii="Times New Roman" w:hAnsi="Times New Roman" w:cs="Times New Roman"/>
          <w:sz w:val="20"/>
          <w:szCs w:val="20"/>
          <w:lang w:val="en-US"/>
        </w:rPr>
        <w:t>43</w:t>
      </w:r>
      <w:r w:rsidR="00434629" w:rsidRPr="0068159E">
        <w:rPr>
          <w:rFonts w:ascii="Times New Roman" w:hAnsi="Times New Roman" w:cs="Times New Roman"/>
          <w:sz w:val="20"/>
          <w:szCs w:val="20"/>
          <w:lang w:val="en-US"/>
        </w:rPr>
        <w:t>].</w:t>
      </w:r>
    </w:p>
    <w:p w14:paraId="0CD4532C" w14:textId="06396268" w:rsidR="00C80B9B" w:rsidRPr="0068159E" w:rsidRDefault="00C80B9B" w:rsidP="0045437A">
      <w:pPr>
        <w:spacing w:after="0" w:line="240" w:lineRule="auto"/>
        <w:ind w:firstLine="284"/>
        <w:jc w:val="both"/>
        <w:rPr>
          <w:rFonts w:ascii="Times New Roman" w:hAnsi="Times New Roman" w:cs="Times New Roman"/>
          <w:sz w:val="20"/>
          <w:szCs w:val="20"/>
          <w:lang w:val="en-US"/>
        </w:rPr>
      </w:pPr>
      <w:r w:rsidRPr="0068159E">
        <w:rPr>
          <w:rFonts w:ascii="Times New Roman" w:hAnsi="Times New Roman" w:cs="Times New Roman"/>
          <w:sz w:val="20"/>
          <w:szCs w:val="20"/>
          <w:lang w:val="en-US"/>
        </w:rPr>
        <w:t xml:space="preserve">In </w:t>
      </w:r>
      <w:r w:rsidRPr="0068159E">
        <w:rPr>
          <w:rFonts w:ascii="Times New Roman" w:hAnsi="Times New Roman" w:cs="Times New Roman"/>
          <w:bCs/>
          <w:sz w:val="20"/>
          <w:szCs w:val="20"/>
          <w:lang w:val="en-US"/>
        </w:rPr>
        <w:t>Kazakhstan</w:t>
      </w:r>
      <w:r w:rsidRPr="0068159E">
        <w:rPr>
          <w:rFonts w:ascii="Times New Roman" w:hAnsi="Times New Roman" w:cs="Times New Roman"/>
          <w:sz w:val="20"/>
          <w:szCs w:val="20"/>
          <w:lang w:val="en-US"/>
        </w:rPr>
        <w:t xml:space="preserve">, since </w:t>
      </w:r>
      <w:r w:rsidRPr="0068159E">
        <w:rPr>
          <w:rFonts w:ascii="Times New Roman" w:hAnsi="Times New Roman" w:cs="Times New Roman"/>
          <w:bCs/>
          <w:sz w:val="20"/>
          <w:szCs w:val="20"/>
          <w:lang w:val="en-US"/>
        </w:rPr>
        <w:t>July 1, 2008</w:t>
      </w:r>
      <w:r w:rsidRPr="0068159E">
        <w:rPr>
          <w:rFonts w:ascii="Times New Roman" w:hAnsi="Times New Roman" w:cs="Times New Roman"/>
          <w:sz w:val="20"/>
          <w:szCs w:val="20"/>
          <w:lang w:val="en-US"/>
        </w:rPr>
        <w:t xml:space="preserve">, newly constructed and reconstructed enterprises are subject to fairly strict </w:t>
      </w:r>
      <w:r w:rsidRPr="0068159E">
        <w:rPr>
          <w:rFonts w:ascii="Times New Roman" w:hAnsi="Times New Roman" w:cs="Times New Roman"/>
          <w:bCs/>
          <w:sz w:val="20"/>
          <w:szCs w:val="20"/>
          <w:lang w:val="en-US"/>
        </w:rPr>
        <w:t>specific emission standards for nitrogen oxides</w:t>
      </w:r>
      <w:r w:rsidRPr="0068159E">
        <w:rPr>
          <w:rFonts w:ascii="Times New Roman" w:hAnsi="Times New Roman" w:cs="Times New Roman"/>
          <w:sz w:val="20"/>
          <w:szCs w:val="20"/>
          <w:lang w:val="en-US"/>
        </w:rPr>
        <w:t xml:space="preserve"> into the atmosphere. As shown by the studies conducted, it will be difficult to meet these standards using only in-furnace methods — even when burning an environmentally clean fuel like </w:t>
      </w:r>
      <w:r w:rsidRPr="0068159E">
        <w:rPr>
          <w:rFonts w:ascii="Times New Roman" w:hAnsi="Times New Roman" w:cs="Times New Roman"/>
          <w:bCs/>
          <w:sz w:val="20"/>
          <w:szCs w:val="20"/>
          <w:lang w:val="en-US"/>
        </w:rPr>
        <w:t>natural gas</w:t>
      </w:r>
      <w:r w:rsidRPr="0068159E">
        <w:rPr>
          <w:rFonts w:ascii="Times New Roman" w:hAnsi="Times New Roman" w:cs="Times New Roman"/>
          <w:sz w:val="20"/>
          <w:szCs w:val="20"/>
          <w:lang w:val="en-US"/>
        </w:rPr>
        <w:t xml:space="preserve"> — without the development of </w:t>
      </w:r>
      <w:r w:rsidRPr="0068159E">
        <w:rPr>
          <w:rFonts w:ascii="Times New Roman" w:hAnsi="Times New Roman" w:cs="Times New Roman"/>
          <w:bCs/>
          <w:sz w:val="20"/>
          <w:szCs w:val="20"/>
          <w:lang w:val="en-US"/>
        </w:rPr>
        <w:t>a new generation of boilers</w:t>
      </w:r>
      <w:r w:rsidRPr="0068159E">
        <w:rPr>
          <w:rFonts w:ascii="Times New Roman" w:hAnsi="Times New Roman" w:cs="Times New Roman"/>
          <w:sz w:val="20"/>
          <w:szCs w:val="20"/>
          <w:lang w:val="en-US"/>
        </w:rPr>
        <w:t xml:space="preserve">. However, in practice, we are still unable to obtain the necessary </w:t>
      </w:r>
      <w:r w:rsidRPr="0068159E">
        <w:rPr>
          <w:rFonts w:ascii="Times New Roman" w:hAnsi="Times New Roman" w:cs="Times New Roman"/>
          <w:bCs/>
          <w:sz w:val="20"/>
          <w:szCs w:val="20"/>
          <w:lang w:val="en-US"/>
        </w:rPr>
        <w:t>funding to continue this line of work</w:t>
      </w:r>
      <w:r w:rsidRPr="0068159E">
        <w:rPr>
          <w:rFonts w:ascii="Times New Roman" w:hAnsi="Times New Roman" w:cs="Times New Roman"/>
          <w:sz w:val="20"/>
          <w:szCs w:val="20"/>
          <w:lang w:val="en-US"/>
        </w:rPr>
        <w:t xml:space="preserve"> [</w:t>
      </w:r>
      <w:r w:rsidR="0068159E" w:rsidRPr="0068159E">
        <w:rPr>
          <w:rFonts w:ascii="Times New Roman" w:hAnsi="Times New Roman" w:cs="Times New Roman"/>
          <w:sz w:val="20"/>
          <w:szCs w:val="20"/>
          <w:lang w:val="en-US"/>
        </w:rPr>
        <w:t>41</w:t>
      </w:r>
      <w:r w:rsidR="00434629" w:rsidRPr="0068159E">
        <w:rPr>
          <w:rFonts w:ascii="Times New Roman" w:hAnsi="Times New Roman" w:cs="Times New Roman"/>
          <w:sz w:val="20"/>
          <w:szCs w:val="20"/>
          <w:lang w:val="en-US"/>
        </w:rPr>
        <w:t>-</w:t>
      </w:r>
      <w:r w:rsidR="0068159E" w:rsidRPr="0068159E">
        <w:rPr>
          <w:rFonts w:ascii="Times New Roman" w:hAnsi="Times New Roman" w:cs="Times New Roman"/>
          <w:sz w:val="20"/>
          <w:szCs w:val="20"/>
          <w:lang w:val="en-US"/>
        </w:rPr>
        <w:t>4</w:t>
      </w:r>
      <w:r w:rsidR="00434629" w:rsidRPr="0068159E">
        <w:rPr>
          <w:rFonts w:ascii="Times New Roman" w:hAnsi="Times New Roman" w:cs="Times New Roman"/>
          <w:sz w:val="20"/>
          <w:szCs w:val="20"/>
          <w:lang w:val="en-US"/>
        </w:rPr>
        <w:t>5</w:t>
      </w:r>
      <w:r w:rsidRPr="0068159E">
        <w:rPr>
          <w:rFonts w:ascii="Times New Roman" w:hAnsi="Times New Roman" w:cs="Times New Roman"/>
          <w:sz w:val="20"/>
          <w:szCs w:val="20"/>
          <w:lang w:val="en-US"/>
        </w:rPr>
        <w:t>].</w:t>
      </w:r>
    </w:p>
    <w:p w14:paraId="6ADE06B3" w14:textId="77777777" w:rsidR="00EE5CFA" w:rsidRPr="00071E5E" w:rsidRDefault="00A227AD"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071E5E">
        <w:rPr>
          <w:rFonts w:ascii="Times New Roman" w:hAnsi="Times New Roman" w:cs="Times New Roman"/>
          <w:b/>
          <w:sz w:val="24"/>
          <w:szCs w:val="24"/>
          <w:lang w:val="en-US"/>
        </w:rPr>
        <w:t>C</w:t>
      </w:r>
      <w:r w:rsidR="007F527B" w:rsidRPr="00071E5E">
        <w:rPr>
          <w:rFonts w:ascii="Times New Roman" w:hAnsi="Times New Roman" w:cs="Times New Roman"/>
          <w:b/>
          <w:sz w:val="24"/>
          <w:szCs w:val="24"/>
          <w:lang w:val="en-US"/>
        </w:rPr>
        <w:t>O</w:t>
      </w:r>
      <w:r w:rsidR="00216874" w:rsidRPr="00071E5E">
        <w:rPr>
          <w:rFonts w:ascii="Times New Roman" w:hAnsi="Times New Roman" w:cs="Times New Roman"/>
          <w:b/>
          <w:sz w:val="24"/>
          <w:szCs w:val="24"/>
          <w:lang w:val="en-US"/>
        </w:rPr>
        <w:t>N</w:t>
      </w:r>
      <w:r w:rsidRPr="00071E5E">
        <w:rPr>
          <w:rFonts w:ascii="Times New Roman" w:hAnsi="Times New Roman" w:cs="Times New Roman"/>
          <w:b/>
          <w:sz w:val="24"/>
          <w:szCs w:val="24"/>
          <w:lang w:val="en-US"/>
        </w:rPr>
        <w:t>C</w:t>
      </w:r>
      <w:r w:rsidR="00216874" w:rsidRPr="00071E5E">
        <w:rPr>
          <w:rFonts w:ascii="Times New Roman" w:hAnsi="Times New Roman" w:cs="Times New Roman"/>
          <w:b/>
          <w:sz w:val="24"/>
          <w:szCs w:val="24"/>
          <w:lang w:val="en-US"/>
        </w:rPr>
        <w:t>LUSI</w:t>
      </w:r>
      <w:r w:rsidR="007F527B" w:rsidRPr="00071E5E">
        <w:rPr>
          <w:rFonts w:ascii="Times New Roman" w:hAnsi="Times New Roman" w:cs="Times New Roman"/>
          <w:b/>
          <w:sz w:val="24"/>
          <w:szCs w:val="24"/>
          <w:lang w:val="en-US"/>
        </w:rPr>
        <w:t>O</w:t>
      </w:r>
      <w:r w:rsidR="00216874" w:rsidRPr="00071E5E">
        <w:rPr>
          <w:rFonts w:ascii="Times New Roman" w:hAnsi="Times New Roman" w:cs="Times New Roman"/>
          <w:b/>
          <w:sz w:val="24"/>
          <w:szCs w:val="24"/>
          <w:lang w:val="en-US"/>
        </w:rPr>
        <w:t>N</w:t>
      </w:r>
    </w:p>
    <w:p w14:paraId="62B3F8FC" w14:textId="43C9B810" w:rsidR="006967C6" w:rsidRPr="00A227AD" w:rsidRDefault="00301659" w:rsidP="009735B4">
      <w:pPr>
        <w:widowControl w:val="0"/>
        <w:spacing w:after="0" w:line="240" w:lineRule="auto"/>
        <w:ind w:firstLine="284"/>
        <w:jc w:val="both"/>
        <w:rPr>
          <w:rFonts w:ascii="Times New Roman" w:eastAsia="Times New Roman" w:hAnsi="Times New Roman" w:cs="Times New Roman"/>
          <w:sz w:val="20"/>
          <w:szCs w:val="20"/>
          <w:lang w:val="en-US" w:eastAsia="ru-RU"/>
        </w:rPr>
      </w:pPr>
      <w:r w:rsidRPr="00301659">
        <w:rPr>
          <w:rFonts w:ascii="Times New Roman" w:hAnsi="Times New Roman" w:cs="Times New Roman"/>
          <w:sz w:val="20"/>
          <w:szCs w:val="20"/>
          <w:lang w:val="en"/>
        </w:rPr>
        <w:t>The developed boiler modernization schemes made it possible to separately study the influence of the proportion of secondary and tertiary air, as well as their ratio, on the formation of nitrogen oxides and carcinogenic PAHs during the combustion of gas and fuel oil. This, in turn, enabled a more comprehensive understanding of the mechanisms linking the formation of the experimental data obtained make it possible to apply correlation dependencies at thermal power plants (TPPs).</w:t>
      </w:r>
    </w:p>
    <w:p w14:paraId="2D63D468" w14:textId="77777777" w:rsidR="00227AA6" w:rsidRPr="001738C7"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D82DF0">
        <w:rPr>
          <w:rFonts w:ascii="Times New Roman" w:hAnsi="Times New Roman" w:cs="Times New Roman"/>
          <w:b/>
          <w:sz w:val="24"/>
          <w:szCs w:val="24"/>
          <w:lang w:val="en-US"/>
        </w:rPr>
        <w:t>R</w:t>
      </w:r>
      <w:r w:rsidR="0081156C">
        <w:rPr>
          <w:rFonts w:ascii="Times New Roman" w:hAnsi="Times New Roman" w:cs="Times New Roman"/>
          <w:b/>
          <w:sz w:val="24"/>
          <w:szCs w:val="24"/>
          <w:lang w:val="en-US"/>
        </w:rPr>
        <w:t>E</w:t>
      </w:r>
      <w:r w:rsidRPr="00D82DF0">
        <w:rPr>
          <w:rFonts w:ascii="Times New Roman" w:hAnsi="Times New Roman" w:cs="Times New Roman"/>
          <w:b/>
          <w:sz w:val="24"/>
          <w:szCs w:val="24"/>
          <w:lang w:val="en-US"/>
        </w:rPr>
        <w:t>F</w:t>
      </w:r>
      <w:r w:rsidR="0081156C">
        <w:rPr>
          <w:rFonts w:ascii="Times New Roman" w:hAnsi="Times New Roman" w:cs="Times New Roman"/>
          <w:b/>
          <w:sz w:val="24"/>
          <w:szCs w:val="24"/>
          <w:lang w:val="en-US"/>
        </w:rPr>
        <w:t>E</w:t>
      </w:r>
      <w:r w:rsidRPr="00D82DF0">
        <w:rPr>
          <w:rFonts w:ascii="Times New Roman" w:hAnsi="Times New Roman" w:cs="Times New Roman"/>
          <w:b/>
          <w:sz w:val="24"/>
          <w:szCs w:val="24"/>
          <w:lang w:val="en-US"/>
        </w:rPr>
        <w:t>R</w:t>
      </w:r>
      <w:r w:rsidR="0081156C">
        <w:rPr>
          <w:rFonts w:ascii="Times New Roman" w:hAnsi="Times New Roman" w:cs="Times New Roman"/>
          <w:b/>
          <w:sz w:val="24"/>
          <w:szCs w:val="24"/>
          <w:lang w:val="en-US"/>
        </w:rPr>
        <w:t>E</w:t>
      </w:r>
      <w:r w:rsidRPr="00D82DF0">
        <w:rPr>
          <w:rFonts w:ascii="Times New Roman" w:hAnsi="Times New Roman" w:cs="Times New Roman"/>
          <w:b/>
          <w:sz w:val="24"/>
          <w:szCs w:val="24"/>
          <w:lang w:val="en-US"/>
        </w:rPr>
        <w:t>N</w:t>
      </w:r>
      <w:r w:rsidR="00A227AD" w:rsidRPr="00A227AD">
        <w:rPr>
          <w:rFonts w:ascii="Times New Roman" w:hAnsi="Times New Roman" w:cs="Times New Roman"/>
          <w:b/>
          <w:sz w:val="24"/>
          <w:szCs w:val="24"/>
          <w:lang w:val="en-US"/>
        </w:rPr>
        <w:t>C</w:t>
      </w:r>
      <w:r w:rsidR="0081156C">
        <w:rPr>
          <w:rFonts w:ascii="Times New Roman" w:hAnsi="Times New Roman" w:cs="Times New Roman"/>
          <w:b/>
          <w:sz w:val="24"/>
          <w:szCs w:val="24"/>
          <w:lang w:val="en-US"/>
        </w:rPr>
        <w:t>E</w:t>
      </w:r>
      <w:r w:rsidRPr="00D82DF0">
        <w:rPr>
          <w:rFonts w:ascii="Times New Roman" w:hAnsi="Times New Roman" w:cs="Times New Roman"/>
          <w:b/>
          <w:sz w:val="24"/>
          <w:szCs w:val="24"/>
          <w:lang w:val="en-US"/>
        </w:rPr>
        <w:t>S</w:t>
      </w:r>
    </w:p>
    <w:p w14:paraId="6718C8B7" w14:textId="2C6D15EB" w:rsidR="003577E5" w:rsidRDefault="003577E5" w:rsidP="003577E5">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proofErr w:type="gramStart"/>
      <w:r w:rsidRPr="003577E5">
        <w:rPr>
          <w:rFonts w:ascii="Times New Roman" w:hAnsi="Times New Roman" w:cs="Times New Roman"/>
          <w:sz w:val="20"/>
          <w:szCs w:val="20"/>
          <w:lang w:val="en-US"/>
        </w:rPr>
        <w:t>R.Yusupaliyev</w:t>
      </w:r>
      <w:proofErr w:type="spellEnd"/>
      <w:proofErr w:type="gramEnd"/>
      <w:r w:rsidRPr="003577E5">
        <w:rPr>
          <w:rFonts w:ascii="Times New Roman" w:hAnsi="Times New Roman" w:cs="Times New Roman"/>
          <w:sz w:val="20"/>
          <w:szCs w:val="20"/>
          <w:lang w:val="en-US"/>
        </w:rPr>
        <w:t xml:space="preserve">, </w:t>
      </w:r>
      <w:proofErr w:type="spellStart"/>
      <w:proofErr w:type="gramStart"/>
      <w:r w:rsidRPr="003577E5">
        <w:rPr>
          <w:rFonts w:ascii="Times New Roman" w:hAnsi="Times New Roman" w:cs="Times New Roman"/>
          <w:sz w:val="20"/>
          <w:szCs w:val="20"/>
          <w:lang w:val="en-US"/>
        </w:rPr>
        <w:t>N.Musashayxova</w:t>
      </w:r>
      <w:proofErr w:type="spellEnd"/>
      <w:proofErr w:type="gramEnd"/>
      <w:r w:rsidRPr="003577E5">
        <w:rPr>
          <w:rFonts w:ascii="Times New Roman" w:hAnsi="Times New Roman" w:cs="Times New Roman"/>
          <w:sz w:val="20"/>
          <w:szCs w:val="20"/>
          <w:lang w:val="en-US"/>
        </w:rPr>
        <w:t xml:space="preserve">, </w:t>
      </w:r>
      <w:proofErr w:type="spellStart"/>
      <w:proofErr w:type="gramStart"/>
      <w:r w:rsidRPr="003577E5">
        <w:rPr>
          <w:rFonts w:ascii="Times New Roman" w:hAnsi="Times New Roman" w:cs="Times New Roman"/>
          <w:sz w:val="20"/>
          <w:szCs w:val="20"/>
          <w:lang w:val="en-US"/>
        </w:rPr>
        <w:t>A.Kuchkarov</w:t>
      </w:r>
      <w:proofErr w:type="spellEnd"/>
      <w:proofErr w:type="gramEnd"/>
      <w:r>
        <w:rPr>
          <w:rFonts w:ascii="Times New Roman" w:hAnsi="Times New Roman" w:cs="Times New Roman"/>
          <w:sz w:val="20"/>
          <w:szCs w:val="20"/>
          <w:lang w:val="en-US"/>
        </w:rPr>
        <w:t>.</w:t>
      </w:r>
      <w:r w:rsidRPr="003577E5">
        <w:rPr>
          <w:rFonts w:ascii="Times New Roman" w:hAnsi="Times New Roman" w:cs="Times New Roman"/>
          <w:sz w:val="20"/>
          <w:szCs w:val="20"/>
          <w:lang w:val="en-US"/>
        </w:rPr>
        <w:t xml:space="preserve"> </w:t>
      </w:r>
      <w:r w:rsidRPr="003577E5">
        <w:rPr>
          <w:rFonts w:ascii="Times New Roman" w:hAnsi="Times New Roman" w:cs="Times New Roman"/>
          <w:i/>
          <w:sz w:val="20"/>
          <w:szCs w:val="20"/>
          <w:lang w:val="en-US"/>
        </w:rPr>
        <w:t>Methods of Purification of Polluted Water from Ammonia Compounds at Nitrogen Fertilizer Plants</w:t>
      </w:r>
      <w:r>
        <w:rPr>
          <w:rFonts w:ascii="Times New Roman" w:hAnsi="Times New Roman" w:cs="Times New Roman"/>
          <w:sz w:val="20"/>
          <w:szCs w:val="20"/>
          <w:lang w:val="en-US"/>
        </w:rPr>
        <w:t xml:space="preserve">. </w:t>
      </w:r>
      <w:r w:rsidRPr="003577E5">
        <w:rPr>
          <w:rFonts w:ascii="Times New Roman" w:hAnsi="Times New Roman" w:cs="Times New Roman"/>
          <w:sz w:val="20"/>
          <w:szCs w:val="20"/>
          <w:lang w:val="en-US"/>
        </w:rPr>
        <w:t xml:space="preserve">E3S Web of Conferences, 563, </w:t>
      </w:r>
      <w:r w:rsidRPr="00A27986">
        <w:rPr>
          <w:rFonts w:ascii="Times New Roman" w:hAnsi="Times New Roman" w:cs="Times New Roman"/>
          <w:b/>
          <w:sz w:val="20"/>
          <w:szCs w:val="20"/>
          <w:lang w:val="en-US"/>
        </w:rPr>
        <w:t>03085</w:t>
      </w:r>
      <w:r>
        <w:rPr>
          <w:rFonts w:ascii="Times New Roman" w:hAnsi="Times New Roman" w:cs="Times New Roman"/>
          <w:sz w:val="20"/>
          <w:szCs w:val="20"/>
          <w:lang w:val="en-US"/>
        </w:rPr>
        <w:t>, (</w:t>
      </w:r>
      <w:r w:rsidRPr="003577E5">
        <w:rPr>
          <w:rFonts w:ascii="Times New Roman" w:hAnsi="Times New Roman" w:cs="Times New Roman"/>
          <w:sz w:val="20"/>
          <w:szCs w:val="20"/>
          <w:lang w:val="en-US"/>
        </w:rPr>
        <w:t>2024</w:t>
      </w:r>
      <w:r>
        <w:rPr>
          <w:rFonts w:ascii="Times New Roman" w:hAnsi="Times New Roman" w:cs="Times New Roman"/>
          <w:sz w:val="20"/>
          <w:szCs w:val="20"/>
          <w:lang w:val="en-US"/>
        </w:rPr>
        <w:t xml:space="preserve">). </w:t>
      </w:r>
      <w:hyperlink r:id="rId17" w:history="1">
        <w:r w:rsidR="00A27986" w:rsidRPr="00E36678">
          <w:rPr>
            <w:rStyle w:val="a3"/>
            <w:rFonts w:ascii="Times New Roman" w:hAnsi="Times New Roman" w:cs="Times New Roman"/>
            <w:sz w:val="20"/>
            <w:szCs w:val="20"/>
            <w:lang w:val="en-US"/>
          </w:rPr>
          <w:t>https://doi.org/10.1051/e3sconf/202456303085</w:t>
        </w:r>
      </w:hyperlink>
      <w:r w:rsidR="00A27986">
        <w:rPr>
          <w:rFonts w:ascii="Times New Roman" w:hAnsi="Times New Roman" w:cs="Times New Roman"/>
          <w:sz w:val="20"/>
          <w:szCs w:val="20"/>
          <w:lang w:val="en-US"/>
        </w:rPr>
        <w:t xml:space="preserve"> </w:t>
      </w:r>
    </w:p>
    <w:p w14:paraId="6C3AA7A6" w14:textId="73C356B4" w:rsidR="003577E5" w:rsidRPr="00A5702D" w:rsidRDefault="003577E5" w:rsidP="003577E5">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3577E5">
        <w:rPr>
          <w:rFonts w:ascii="Times New Roman" w:hAnsi="Times New Roman" w:cs="Times New Roman"/>
          <w:sz w:val="20"/>
          <w:szCs w:val="20"/>
          <w:lang w:val="en-US"/>
        </w:rPr>
        <w:t xml:space="preserve">. </w:t>
      </w:r>
      <w:proofErr w:type="spellStart"/>
      <w:proofErr w:type="gramStart"/>
      <w:r w:rsidRPr="003577E5">
        <w:rPr>
          <w:rFonts w:ascii="Times New Roman" w:hAnsi="Times New Roman" w:cs="Times New Roman"/>
          <w:sz w:val="20"/>
          <w:szCs w:val="20"/>
          <w:lang w:val="en-US"/>
        </w:rPr>
        <w:t>R.Yusupaliev</w:t>
      </w:r>
      <w:proofErr w:type="spellEnd"/>
      <w:proofErr w:type="gramEnd"/>
      <w:r w:rsidRPr="006E1095">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N.</w:t>
      </w:r>
      <w:r w:rsidRPr="006E1095">
        <w:rPr>
          <w:rFonts w:ascii="Times New Roman" w:hAnsi="Times New Roman" w:cs="Times New Roman"/>
          <w:sz w:val="20"/>
          <w:szCs w:val="20"/>
          <w:lang w:val="en-US"/>
        </w:rPr>
        <w:t>Kurbanova</w:t>
      </w:r>
      <w:proofErr w:type="spellEnd"/>
      <w:proofErr w:type="gramEnd"/>
      <w:r w:rsidRPr="006E1095">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M.</w:t>
      </w:r>
      <w:r w:rsidRPr="006E1095">
        <w:rPr>
          <w:rFonts w:ascii="Times New Roman" w:hAnsi="Times New Roman" w:cs="Times New Roman"/>
          <w:sz w:val="20"/>
          <w:szCs w:val="20"/>
          <w:lang w:val="en-US"/>
        </w:rPr>
        <w:t>Azimova</w:t>
      </w:r>
      <w:proofErr w:type="spellEnd"/>
      <w:proofErr w:type="gramEnd"/>
      <w:r w:rsidRPr="006E1095">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N.</w:t>
      </w:r>
      <w:r w:rsidRPr="006E1095">
        <w:rPr>
          <w:rFonts w:ascii="Times New Roman" w:hAnsi="Times New Roman" w:cs="Times New Roman"/>
          <w:sz w:val="20"/>
          <w:szCs w:val="20"/>
          <w:lang w:val="en-US"/>
        </w:rPr>
        <w:t>Musashaikhova</w:t>
      </w:r>
      <w:proofErr w:type="spellEnd"/>
      <w:proofErr w:type="gramEnd"/>
      <w:r w:rsidRPr="006E1095">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A.</w:t>
      </w:r>
      <w:r w:rsidRPr="006E1095">
        <w:rPr>
          <w:rFonts w:ascii="Times New Roman" w:hAnsi="Times New Roman" w:cs="Times New Roman"/>
          <w:sz w:val="20"/>
          <w:szCs w:val="20"/>
          <w:lang w:val="en-US"/>
        </w:rPr>
        <w:t>Kuchkarov</w:t>
      </w:r>
      <w:proofErr w:type="spellEnd"/>
      <w:proofErr w:type="gramEnd"/>
      <w:r>
        <w:rPr>
          <w:rFonts w:ascii="Times New Roman" w:hAnsi="Times New Roman" w:cs="Times New Roman"/>
          <w:sz w:val="20"/>
          <w:szCs w:val="20"/>
          <w:lang w:val="en-US"/>
        </w:rPr>
        <w:t xml:space="preserve">. </w:t>
      </w:r>
      <w:r w:rsidRPr="006E1095">
        <w:rPr>
          <w:rFonts w:ascii="Times New Roman" w:hAnsi="Times New Roman" w:cs="Times New Roman"/>
          <w:i/>
          <w:sz w:val="20"/>
          <w:szCs w:val="20"/>
          <w:lang w:val="en-US"/>
        </w:rPr>
        <w:t>Establishing a Water-chemical Regime and Increasing the Efficiency of Combustion of a Mixture of Fuel Oil and Gas in a DE 25-14 GM Boiler: A Case Study of the Kokand Distillery</w:t>
      </w:r>
      <w:r>
        <w:rPr>
          <w:rFonts w:ascii="Times New Roman" w:hAnsi="Times New Roman" w:cs="Times New Roman"/>
          <w:sz w:val="20"/>
          <w:szCs w:val="20"/>
          <w:lang w:val="en-US"/>
        </w:rPr>
        <w:t xml:space="preserve">. </w:t>
      </w:r>
      <w:r w:rsidRPr="008E2C86">
        <w:rPr>
          <w:rFonts w:ascii="Times New Roman" w:hAnsi="Times New Roman" w:cs="Times New Roman"/>
          <w:sz w:val="20"/>
          <w:szCs w:val="20"/>
          <w:lang w:val="uz-Cyrl-UZ"/>
        </w:rPr>
        <w:t>AI</w:t>
      </w:r>
      <w:r>
        <w:rPr>
          <w:rFonts w:ascii="Times New Roman" w:hAnsi="Times New Roman" w:cs="Times New Roman"/>
          <w:sz w:val="20"/>
          <w:szCs w:val="20"/>
          <w:lang w:val="uz-Cyrl-UZ"/>
        </w:rPr>
        <w:t>P</w:t>
      </w:r>
      <w:r w:rsidRPr="008E2C86">
        <w:rPr>
          <w:rFonts w:ascii="Times New Roman" w:hAnsi="Times New Roman" w:cs="Times New Roman"/>
          <w:sz w:val="20"/>
          <w:szCs w:val="20"/>
          <w:lang w:val="uz-Cyrl-UZ"/>
        </w:rPr>
        <w:t xml:space="preserve"> Conf</w:t>
      </w:r>
      <w:r>
        <w:rPr>
          <w:rFonts w:ascii="Times New Roman" w:hAnsi="Times New Roman" w:cs="Times New Roman"/>
          <w:sz w:val="20"/>
          <w:szCs w:val="20"/>
          <w:lang w:val="uz-Cyrl-UZ"/>
        </w:rPr>
        <w:t>e</w:t>
      </w:r>
      <w:r w:rsidRPr="008E2C86">
        <w:rPr>
          <w:rFonts w:ascii="Times New Roman" w:hAnsi="Times New Roman" w:cs="Times New Roman"/>
          <w:sz w:val="20"/>
          <w:szCs w:val="20"/>
          <w:lang w:val="uz-Cyrl-UZ"/>
        </w:rPr>
        <w:t>r</w:t>
      </w:r>
      <w:r>
        <w:rPr>
          <w:rFonts w:ascii="Times New Roman" w:hAnsi="Times New Roman" w:cs="Times New Roman"/>
          <w:sz w:val="20"/>
          <w:szCs w:val="20"/>
          <w:lang w:val="uz-Cyrl-UZ"/>
        </w:rPr>
        <w:t>e</w:t>
      </w:r>
      <w:r w:rsidRPr="008E2C86">
        <w:rPr>
          <w:rFonts w:ascii="Times New Roman" w:hAnsi="Times New Roman" w:cs="Times New Roman"/>
          <w:sz w:val="20"/>
          <w:szCs w:val="20"/>
          <w:lang w:val="uz-Cyrl-UZ"/>
        </w:rPr>
        <w:t>nc</w:t>
      </w:r>
      <w:r>
        <w:rPr>
          <w:rFonts w:ascii="Times New Roman" w:hAnsi="Times New Roman" w:cs="Times New Roman"/>
          <w:sz w:val="20"/>
          <w:szCs w:val="20"/>
          <w:lang w:val="uz-Cyrl-UZ"/>
        </w:rPr>
        <w:t>e</w:t>
      </w:r>
      <w:r w:rsidRPr="008E2C86">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P</w:t>
      </w:r>
      <w:r w:rsidRPr="008E2C86">
        <w:rPr>
          <w:rFonts w:ascii="Times New Roman" w:hAnsi="Times New Roman" w:cs="Times New Roman"/>
          <w:sz w:val="20"/>
          <w:szCs w:val="20"/>
          <w:lang w:val="uz-Cyrl-UZ"/>
        </w:rPr>
        <w:t>roc</w:t>
      </w:r>
      <w:r>
        <w:rPr>
          <w:rFonts w:ascii="Times New Roman" w:hAnsi="Times New Roman" w:cs="Times New Roman"/>
          <w:sz w:val="20"/>
          <w:szCs w:val="20"/>
          <w:lang w:val="uz-Cyrl-UZ"/>
        </w:rPr>
        <w:t>ee</w:t>
      </w:r>
      <w:r w:rsidRPr="008E2C86">
        <w:rPr>
          <w:rFonts w:ascii="Times New Roman" w:hAnsi="Times New Roman" w:cs="Times New Roman"/>
          <w:sz w:val="20"/>
          <w:szCs w:val="20"/>
          <w:lang w:val="uz-Cyrl-UZ"/>
        </w:rPr>
        <w:t xml:space="preserve">dings, </w:t>
      </w:r>
      <w:r>
        <w:rPr>
          <w:rFonts w:ascii="Times New Roman" w:hAnsi="Times New Roman" w:cs="Times New Roman"/>
          <w:sz w:val="20"/>
          <w:szCs w:val="20"/>
          <w:lang w:val="en-US"/>
        </w:rPr>
        <w:t>2552</w:t>
      </w:r>
      <w:r w:rsidRPr="007A0A6D">
        <w:rPr>
          <w:rFonts w:ascii="Times New Roman" w:hAnsi="Times New Roman" w:cs="Times New Roman"/>
          <w:sz w:val="20"/>
          <w:szCs w:val="20"/>
          <w:lang w:val="uz-Cyrl-UZ"/>
        </w:rPr>
        <w:t xml:space="preserve">, </w:t>
      </w:r>
      <w:r w:rsidRPr="007A0A6D">
        <w:rPr>
          <w:rFonts w:ascii="Times New Roman" w:hAnsi="Times New Roman" w:cs="Times New Roman"/>
          <w:b/>
          <w:sz w:val="20"/>
          <w:szCs w:val="20"/>
          <w:lang w:val="uz-Cyrl-UZ"/>
        </w:rPr>
        <w:t>0</w:t>
      </w:r>
      <w:r>
        <w:rPr>
          <w:rFonts w:ascii="Times New Roman" w:hAnsi="Times New Roman" w:cs="Times New Roman"/>
          <w:b/>
          <w:sz w:val="20"/>
          <w:szCs w:val="20"/>
          <w:lang w:val="en-US"/>
        </w:rPr>
        <w:t>30026</w:t>
      </w:r>
      <w:r w:rsidRPr="007A0A6D">
        <w:rPr>
          <w:rFonts w:ascii="Times New Roman" w:hAnsi="Times New Roman" w:cs="Times New Roman"/>
          <w:sz w:val="20"/>
          <w:szCs w:val="20"/>
          <w:lang w:val="uz-Cyrl-UZ"/>
        </w:rPr>
        <w:t xml:space="preserve">, </w:t>
      </w:r>
      <w:r w:rsidRPr="008E2C86">
        <w:rPr>
          <w:rFonts w:ascii="Times New Roman" w:hAnsi="Times New Roman" w:cs="Times New Roman"/>
          <w:sz w:val="20"/>
          <w:szCs w:val="20"/>
          <w:lang w:val="en-US"/>
        </w:rPr>
        <w:t>(</w:t>
      </w:r>
      <w:r w:rsidRPr="008E2C86">
        <w:rPr>
          <w:rFonts w:ascii="Times New Roman" w:hAnsi="Times New Roman" w:cs="Times New Roman"/>
          <w:sz w:val="20"/>
          <w:szCs w:val="20"/>
          <w:lang w:val="uz-Cyrl-UZ"/>
        </w:rPr>
        <w:t>202</w:t>
      </w:r>
      <w:r>
        <w:rPr>
          <w:rFonts w:ascii="Times New Roman" w:hAnsi="Times New Roman" w:cs="Times New Roman"/>
          <w:sz w:val="20"/>
          <w:szCs w:val="20"/>
          <w:lang w:val="en-US"/>
        </w:rPr>
        <w:t>2</w:t>
      </w:r>
      <w:r w:rsidRPr="008E2C86">
        <w:rPr>
          <w:rFonts w:ascii="Times New Roman" w:hAnsi="Times New Roman" w:cs="Times New Roman"/>
          <w:sz w:val="20"/>
          <w:szCs w:val="20"/>
          <w:lang w:val="uz-Cyrl-UZ"/>
        </w:rPr>
        <w:t>),</w:t>
      </w:r>
      <w:r w:rsidRPr="008E2C86">
        <w:rPr>
          <w:rFonts w:ascii="Times New Roman" w:hAnsi="Times New Roman" w:cs="Times New Roman"/>
          <w:sz w:val="20"/>
          <w:szCs w:val="20"/>
          <w:lang w:val="en-US"/>
        </w:rPr>
        <w:t xml:space="preserve"> </w:t>
      </w:r>
      <w:hyperlink r:id="rId18" w:history="1">
        <w:r w:rsidRPr="0045512F">
          <w:rPr>
            <w:rStyle w:val="a3"/>
            <w:rFonts w:ascii="Times New Roman" w:hAnsi="Times New Roman" w:cs="Times New Roman"/>
            <w:sz w:val="20"/>
            <w:szCs w:val="20"/>
            <w:lang w:val="en-US"/>
          </w:rPr>
          <w:t>https://doi.org/10.1063/5.0130471</w:t>
        </w:r>
      </w:hyperlink>
      <w:r>
        <w:rPr>
          <w:rStyle w:val="a3"/>
          <w:rFonts w:ascii="Times New Roman" w:hAnsi="Times New Roman" w:cs="Times New Roman"/>
          <w:sz w:val="20"/>
          <w:szCs w:val="20"/>
          <w:lang w:val="en-US"/>
        </w:rPr>
        <w:t xml:space="preserve"> </w:t>
      </w:r>
    </w:p>
    <w:p w14:paraId="6FB55DD2" w14:textId="121DB0D6" w:rsidR="003577E5" w:rsidRDefault="003577E5" w:rsidP="003577E5">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proofErr w:type="gramStart"/>
      <w:r w:rsidRPr="003577E5">
        <w:rPr>
          <w:rFonts w:ascii="Times New Roman" w:hAnsi="Times New Roman" w:cs="Times New Roman"/>
          <w:sz w:val="20"/>
          <w:szCs w:val="20"/>
          <w:lang w:val="en-US"/>
        </w:rPr>
        <w:t>R.Yusupaliev</w:t>
      </w:r>
      <w:proofErr w:type="spellEnd"/>
      <w:proofErr w:type="gramEnd"/>
      <w:r>
        <w:rPr>
          <w:rFonts w:ascii="Times New Roman" w:hAnsi="Times New Roman" w:cs="Times New Roman"/>
          <w:sz w:val="20"/>
          <w:szCs w:val="20"/>
          <w:lang w:val="en-US"/>
        </w:rPr>
        <w:t>,</w:t>
      </w:r>
      <w:r w:rsidRPr="001C5C75">
        <w:rPr>
          <w:rFonts w:ascii="Times New Roman" w:hAnsi="Times New Roman" w:cs="Times New Roman"/>
          <w:sz w:val="20"/>
          <w:szCs w:val="20"/>
          <w:lang w:val="en-US"/>
        </w:rPr>
        <w:t xml:space="preserve"> </w:t>
      </w:r>
      <w:proofErr w:type="spellStart"/>
      <w:proofErr w:type="gramStart"/>
      <w:r w:rsidRPr="001C5C75">
        <w:rPr>
          <w:rFonts w:ascii="Times New Roman" w:hAnsi="Times New Roman" w:cs="Times New Roman"/>
          <w:sz w:val="20"/>
          <w:szCs w:val="20"/>
          <w:lang w:val="en-US"/>
        </w:rPr>
        <w:t>B.Yunusov</w:t>
      </w:r>
      <w:proofErr w:type="spellEnd"/>
      <w:proofErr w:type="gramEnd"/>
      <w:r w:rsidRPr="001C5C75">
        <w:rPr>
          <w:rFonts w:ascii="Times New Roman" w:hAnsi="Times New Roman" w:cs="Times New Roman"/>
          <w:sz w:val="20"/>
          <w:szCs w:val="20"/>
          <w:lang w:val="en-US"/>
        </w:rPr>
        <w:t xml:space="preserve">, </w:t>
      </w:r>
      <w:proofErr w:type="spellStart"/>
      <w:proofErr w:type="gramStart"/>
      <w:r w:rsidRPr="001C5C75">
        <w:rPr>
          <w:rFonts w:ascii="Times New Roman" w:hAnsi="Times New Roman" w:cs="Times New Roman"/>
          <w:sz w:val="20"/>
          <w:szCs w:val="20"/>
          <w:lang w:val="en-US"/>
        </w:rPr>
        <w:t>M.Azimova</w:t>
      </w:r>
      <w:proofErr w:type="spellEnd"/>
      <w:proofErr w:type="gramEnd"/>
      <w:r w:rsidRPr="001C5C7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1C5C75">
        <w:rPr>
          <w:rFonts w:ascii="Times New Roman" w:hAnsi="Times New Roman" w:cs="Times New Roman"/>
          <w:i/>
          <w:sz w:val="20"/>
          <w:szCs w:val="20"/>
          <w:lang w:val="en-US"/>
        </w:rPr>
        <w:t>The composition of natural waters of some source rivers of the republic of Uzbekistan, used in the thermal power engineering and the results of the experimental researches at preliminary and ion exchange treatment of water</w:t>
      </w:r>
      <w:r>
        <w:rPr>
          <w:rFonts w:ascii="Times New Roman" w:hAnsi="Times New Roman" w:cs="Times New Roman"/>
          <w:sz w:val="20"/>
          <w:szCs w:val="20"/>
          <w:lang w:val="en-US"/>
        </w:rPr>
        <w:t xml:space="preserve">. </w:t>
      </w:r>
      <w:r w:rsidRPr="004516EB">
        <w:rPr>
          <w:rFonts w:ascii="Times New Roman" w:hAnsi="Times New Roman" w:cs="Times New Roman"/>
          <w:sz w:val="20"/>
          <w:szCs w:val="20"/>
          <w:lang w:val="uz-Cyrl-UZ"/>
        </w:rPr>
        <w:t>E3S Web of Conferences</w:t>
      </w:r>
      <w:r w:rsidRPr="008E2C86">
        <w:rPr>
          <w:rFonts w:ascii="Times New Roman" w:hAnsi="Times New Roman" w:cs="Times New Roman"/>
          <w:sz w:val="20"/>
          <w:szCs w:val="20"/>
          <w:lang w:val="uz-Cyrl-UZ"/>
        </w:rPr>
        <w:t xml:space="preserve">, </w:t>
      </w:r>
      <w:r w:rsidRPr="004516EB">
        <w:rPr>
          <w:rFonts w:ascii="Times New Roman" w:hAnsi="Times New Roman" w:cs="Times New Roman"/>
          <w:sz w:val="20"/>
          <w:szCs w:val="20"/>
          <w:lang w:val="en-US"/>
        </w:rPr>
        <w:t>139</w:t>
      </w:r>
      <w:r w:rsidRPr="004516EB">
        <w:rPr>
          <w:rFonts w:ascii="Times New Roman" w:hAnsi="Times New Roman" w:cs="Times New Roman"/>
          <w:sz w:val="20"/>
          <w:szCs w:val="20"/>
          <w:lang w:val="uz-Cyrl-UZ"/>
        </w:rPr>
        <w:t xml:space="preserve">, </w:t>
      </w:r>
      <w:r w:rsidRPr="004516EB">
        <w:rPr>
          <w:rFonts w:ascii="Times New Roman" w:hAnsi="Times New Roman" w:cs="Times New Roman"/>
          <w:b/>
          <w:sz w:val="20"/>
          <w:szCs w:val="20"/>
          <w:lang w:val="uz-Cyrl-UZ"/>
        </w:rPr>
        <w:t>0</w:t>
      </w:r>
      <w:r w:rsidRPr="004516EB">
        <w:rPr>
          <w:rFonts w:ascii="Times New Roman" w:hAnsi="Times New Roman" w:cs="Times New Roman"/>
          <w:b/>
          <w:sz w:val="20"/>
          <w:szCs w:val="20"/>
          <w:lang w:val="en-US"/>
        </w:rPr>
        <w:t>1083</w:t>
      </w:r>
      <w:r w:rsidRPr="004516EB">
        <w:rPr>
          <w:rFonts w:ascii="Times New Roman" w:hAnsi="Times New Roman" w:cs="Times New Roman"/>
          <w:sz w:val="20"/>
          <w:szCs w:val="20"/>
          <w:lang w:val="uz-Cyrl-UZ"/>
        </w:rPr>
        <w:t xml:space="preserve">, </w:t>
      </w:r>
      <w:r w:rsidRPr="008E2C86">
        <w:rPr>
          <w:rFonts w:ascii="Times New Roman" w:hAnsi="Times New Roman" w:cs="Times New Roman"/>
          <w:sz w:val="20"/>
          <w:szCs w:val="20"/>
          <w:lang w:val="en-US"/>
        </w:rPr>
        <w:t>(</w:t>
      </w:r>
      <w:r w:rsidRPr="008E2C86">
        <w:rPr>
          <w:rFonts w:ascii="Times New Roman" w:hAnsi="Times New Roman" w:cs="Times New Roman"/>
          <w:sz w:val="20"/>
          <w:szCs w:val="20"/>
          <w:lang w:val="uz-Cyrl-UZ"/>
        </w:rPr>
        <w:t>20</w:t>
      </w:r>
      <w:r>
        <w:rPr>
          <w:rFonts w:ascii="Times New Roman" w:hAnsi="Times New Roman" w:cs="Times New Roman"/>
          <w:sz w:val="20"/>
          <w:szCs w:val="20"/>
          <w:lang w:val="en-US"/>
        </w:rPr>
        <w:t>19</w:t>
      </w:r>
      <w:r w:rsidRPr="008E2C86">
        <w:rPr>
          <w:rFonts w:ascii="Times New Roman" w:hAnsi="Times New Roman" w:cs="Times New Roman"/>
          <w:sz w:val="20"/>
          <w:szCs w:val="20"/>
          <w:lang w:val="uz-Cyrl-UZ"/>
        </w:rPr>
        <w:t>),</w:t>
      </w:r>
      <w:r w:rsidRPr="008E2C86">
        <w:rPr>
          <w:rFonts w:ascii="Times New Roman" w:hAnsi="Times New Roman" w:cs="Times New Roman"/>
          <w:sz w:val="20"/>
          <w:szCs w:val="20"/>
          <w:lang w:val="en-US"/>
        </w:rPr>
        <w:t xml:space="preserve"> </w:t>
      </w:r>
      <w:hyperlink r:id="rId19" w:history="1">
        <w:r w:rsidRPr="0045512F">
          <w:rPr>
            <w:rStyle w:val="a3"/>
            <w:rFonts w:ascii="Times New Roman" w:hAnsi="Times New Roman" w:cs="Times New Roman"/>
            <w:sz w:val="20"/>
            <w:szCs w:val="20"/>
            <w:lang w:val="en-US"/>
          </w:rPr>
          <w:t>https://doi.org/10.1051/e3sconf/201913901083</w:t>
        </w:r>
      </w:hyperlink>
      <w:r>
        <w:rPr>
          <w:rFonts w:ascii="Times New Roman" w:hAnsi="Times New Roman" w:cs="Times New Roman"/>
          <w:color w:val="0000FF"/>
          <w:sz w:val="20"/>
          <w:szCs w:val="20"/>
          <w:lang w:val="en-US"/>
        </w:rPr>
        <w:t xml:space="preserve"> </w:t>
      </w:r>
    </w:p>
    <w:p w14:paraId="26513227" w14:textId="5852660A" w:rsidR="00F94D8B" w:rsidRDefault="00F94D8B" w:rsidP="00F94D8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roofErr w:type="spellStart"/>
      <w:r w:rsidR="006D46D9" w:rsidRPr="00060403">
        <w:rPr>
          <w:rFonts w:ascii="Times New Roman" w:hAnsi="Times New Roman" w:cs="Times New Roman"/>
          <w:sz w:val="20"/>
          <w:szCs w:val="20"/>
          <w:lang w:val="en-US"/>
        </w:rPr>
        <w:t>S.</w:t>
      </w:r>
      <w:proofErr w:type="gramStart"/>
      <w:r w:rsidR="006D46D9" w:rsidRPr="00060403">
        <w:rPr>
          <w:rFonts w:ascii="Times New Roman" w:hAnsi="Times New Roman" w:cs="Times New Roman"/>
          <w:sz w:val="20"/>
          <w:szCs w:val="20"/>
          <w:lang w:val="en-US"/>
        </w:rPr>
        <w:t>M.Turabdzhanov</w:t>
      </w:r>
      <w:proofErr w:type="spellEnd"/>
      <w:proofErr w:type="gramEnd"/>
      <w:r w:rsidR="006D46D9" w:rsidRPr="00060403">
        <w:rPr>
          <w:rFonts w:ascii="Times New Roman" w:hAnsi="Times New Roman" w:cs="Times New Roman"/>
          <w:sz w:val="20"/>
          <w:szCs w:val="20"/>
          <w:lang w:val="en-US"/>
        </w:rPr>
        <w:t xml:space="preserve">, </w:t>
      </w:r>
      <w:proofErr w:type="spellStart"/>
      <w:r w:rsidR="006D46D9" w:rsidRPr="00060403">
        <w:rPr>
          <w:rFonts w:ascii="Times New Roman" w:hAnsi="Times New Roman" w:cs="Times New Roman"/>
          <w:sz w:val="20"/>
          <w:szCs w:val="20"/>
          <w:lang w:val="en-US"/>
        </w:rPr>
        <w:t>J.</w:t>
      </w:r>
      <w:proofErr w:type="gramStart"/>
      <w:r w:rsidR="006D46D9" w:rsidRPr="00060403">
        <w:rPr>
          <w:rFonts w:ascii="Times New Roman" w:hAnsi="Times New Roman" w:cs="Times New Roman"/>
          <w:sz w:val="20"/>
          <w:szCs w:val="20"/>
          <w:lang w:val="en-US"/>
        </w:rPr>
        <w:t>M.Tangirov</w:t>
      </w:r>
      <w:proofErr w:type="spellEnd"/>
      <w:proofErr w:type="gramEnd"/>
      <w:r w:rsidR="006D46D9" w:rsidRPr="00060403">
        <w:rPr>
          <w:rFonts w:ascii="Times New Roman" w:hAnsi="Times New Roman" w:cs="Times New Roman"/>
          <w:sz w:val="20"/>
          <w:szCs w:val="20"/>
          <w:lang w:val="en-US"/>
        </w:rPr>
        <w:t xml:space="preserve">, </w:t>
      </w:r>
      <w:proofErr w:type="spellStart"/>
      <w:r w:rsidR="006D46D9" w:rsidRPr="00060403">
        <w:rPr>
          <w:rFonts w:ascii="Times New Roman" w:hAnsi="Times New Roman" w:cs="Times New Roman"/>
          <w:sz w:val="20"/>
          <w:szCs w:val="20"/>
          <w:lang w:val="en-US"/>
        </w:rPr>
        <w:t>P.</w:t>
      </w:r>
      <w:proofErr w:type="gramStart"/>
      <w:r w:rsidR="006D46D9" w:rsidRPr="00060403">
        <w:rPr>
          <w:rFonts w:ascii="Times New Roman" w:hAnsi="Times New Roman" w:cs="Times New Roman"/>
          <w:sz w:val="20"/>
          <w:szCs w:val="20"/>
          <w:lang w:val="en-US"/>
        </w:rPr>
        <w:t>M.Matyakubova</w:t>
      </w:r>
      <w:proofErr w:type="spellEnd"/>
      <w:proofErr w:type="gramEnd"/>
      <w:r w:rsidR="006D46D9" w:rsidRPr="00060403">
        <w:rPr>
          <w:rFonts w:ascii="Times New Roman" w:hAnsi="Times New Roman" w:cs="Times New Roman"/>
          <w:sz w:val="20"/>
          <w:szCs w:val="20"/>
          <w:lang w:val="en-US"/>
        </w:rPr>
        <w:t xml:space="preserve">, </w:t>
      </w:r>
      <w:proofErr w:type="spellStart"/>
      <w:r w:rsidR="006D46D9" w:rsidRPr="00060403">
        <w:rPr>
          <w:rFonts w:ascii="Times New Roman" w:hAnsi="Times New Roman" w:cs="Times New Roman"/>
          <w:sz w:val="20"/>
          <w:szCs w:val="20"/>
          <w:lang w:val="en-US"/>
        </w:rPr>
        <w:t>N.</w:t>
      </w:r>
      <w:proofErr w:type="gramStart"/>
      <w:r w:rsidR="006D46D9" w:rsidRPr="00060403">
        <w:rPr>
          <w:rFonts w:ascii="Times New Roman" w:hAnsi="Times New Roman" w:cs="Times New Roman"/>
          <w:sz w:val="20"/>
          <w:szCs w:val="20"/>
          <w:lang w:val="en-US"/>
        </w:rPr>
        <w:t>S.Amirkhulov</w:t>
      </w:r>
      <w:proofErr w:type="spellEnd"/>
      <w:proofErr w:type="gramEnd"/>
      <w:r w:rsidR="006D46D9" w:rsidRPr="00060403">
        <w:rPr>
          <w:rFonts w:ascii="Times New Roman" w:hAnsi="Times New Roman" w:cs="Times New Roman"/>
          <w:sz w:val="20"/>
          <w:szCs w:val="20"/>
          <w:lang w:val="en-US"/>
        </w:rPr>
        <w:t xml:space="preserve">, </w:t>
      </w:r>
      <w:proofErr w:type="spellStart"/>
      <w:r w:rsidR="006D46D9" w:rsidRPr="00060403">
        <w:rPr>
          <w:rFonts w:ascii="Times New Roman" w:hAnsi="Times New Roman" w:cs="Times New Roman"/>
          <w:sz w:val="20"/>
          <w:szCs w:val="20"/>
          <w:lang w:val="en-US"/>
        </w:rPr>
        <w:t>S.</w:t>
      </w:r>
      <w:proofErr w:type="gramStart"/>
      <w:r w:rsidR="006D46D9" w:rsidRPr="00060403">
        <w:rPr>
          <w:rFonts w:ascii="Times New Roman" w:hAnsi="Times New Roman" w:cs="Times New Roman"/>
          <w:sz w:val="20"/>
          <w:szCs w:val="20"/>
          <w:lang w:val="en-US"/>
        </w:rPr>
        <w:t>S.Khabibullaev</w:t>
      </w:r>
      <w:proofErr w:type="spellEnd"/>
      <w:proofErr w:type="gramEnd"/>
      <w:r w:rsidR="006D46D9">
        <w:rPr>
          <w:rFonts w:ascii="Times New Roman" w:hAnsi="Times New Roman" w:cs="Times New Roman"/>
          <w:sz w:val="20"/>
          <w:szCs w:val="20"/>
          <w:lang w:val="en-US"/>
        </w:rPr>
        <w:t>.</w:t>
      </w:r>
      <w:r w:rsidR="006D46D9" w:rsidRPr="00060403">
        <w:rPr>
          <w:rFonts w:ascii="Times New Roman" w:hAnsi="Times New Roman" w:cs="Times New Roman"/>
          <w:sz w:val="20"/>
          <w:szCs w:val="20"/>
          <w:lang w:val="en-US"/>
        </w:rPr>
        <w:t xml:space="preserve"> </w:t>
      </w:r>
      <w:r w:rsidR="006D46D9" w:rsidRPr="00060403">
        <w:rPr>
          <w:rFonts w:ascii="Times New Roman" w:hAnsi="Times New Roman" w:cs="Times New Roman"/>
          <w:i/>
          <w:sz w:val="20"/>
          <w:szCs w:val="20"/>
          <w:lang w:val="en-US"/>
        </w:rPr>
        <w:t xml:space="preserve">Methods of providing metrological supply when pumping water into wells in oil fields. </w:t>
      </w:r>
      <w:r w:rsidR="006D46D9" w:rsidRPr="00060403">
        <w:rPr>
          <w:rFonts w:ascii="Times New Roman" w:hAnsi="Times New Roman" w:cs="Times New Roman"/>
          <w:sz w:val="20"/>
          <w:szCs w:val="20"/>
          <w:lang w:val="en-US"/>
        </w:rPr>
        <w:t xml:space="preserve">AIP Conference Proceedings, 3045(1), </w:t>
      </w:r>
      <w:r w:rsidR="006D46D9" w:rsidRPr="00A10EE5">
        <w:rPr>
          <w:rFonts w:ascii="Times New Roman" w:hAnsi="Times New Roman" w:cs="Times New Roman"/>
          <w:b/>
          <w:sz w:val="20"/>
          <w:szCs w:val="20"/>
          <w:lang w:val="en-US"/>
        </w:rPr>
        <w:t>030073</w:t>
      </w:r>
      <w:r w:rsidR="006D46D9">
        <w:rPr>
          <w:rFonts w:ascii="Times New Roman" w:hAnsi="Times New Roman" w:cs="Times New Roman"/>
          <w:sz w:val="20"/>
          <w:szCs w:val="20"/>
          <w:lang w:val="en-US"/>
        </w:rPr>
        <w:t>, (</w:t>
      </w:r>
      <w:r w:rsidR="006D46D9" w:rsidRPr="00060403">
        <w:rPr>
          <w:rFonts w:ascii="Times New Roman" w:hAnsi="Times New Roman" w:cs="Times New Roman"/>
          <w:sz w:val="20"/>
          <w:szCs w:val="20"/>
          <w:lang w:val="en-US"/>
        </w:rPr>
        <w:t>2024</w:t>
      </w:r>
      <w:r w:rsidR="006D46D9">
        <w:rPr>
          <w:rFonts w:ascii="Times New Roman" w:hAnsi="Times New Roman" w:cs="Times New Roman"/>
          <w:sz w:val="20"/>
          <w:szCs w:val="20"/>
          <w:lang w:val="en-US"/>
        </w:rPr>
        <w:t>)</w:t>
      </w:r>
      <w:r w:rsidR="006D46D9" w:rsidRPr="00060403">
        <w:rPr>
          <w:rFonts w:ascii="Times New Roman" w:hAnsi="Times New Roman" w:cs="Times New Roman"/>
          <w:sz w:val="20"/>
          <w:szCs w:val="20"/>
          <w:lang w:val="en-US"/>
        </w:rPr>
        <w:t>,</w:t>
      </w:r>
      <w:r w:rsidR="006D46D9">
        <w:rPr>
          <w:rFonts w:ascii="Times New Roman" w:hAnsi="Times New Roman" w:cs="Times New Roman"/>
          <w:sz w:val="20"/>
          <w:szCs w:val="20"/>
          <w:lang w:val="en-US"/>
        </w:rPr>
        <w:t xml:space="preserve"> </w:t>
      </w:r>
      <w:hyperlink r:id="rId20" w:history="1">
        <w:r w:rsidR="006D46D9" w:rsidRPr="00ED51BF">
          <w:rPr>
            <w:rStyle w:val="a3"/>
            <w:rFonts w:ascii="Times New Roman" w:hAnsi="Times New Roman" w:cs="Times New Roman"/>
            <w:sz w:val="20"/>
            <w:szCs w:val="20"/>
            <w:lang w:val="en-US"/>
          </w:rPr>
          <w:t>https://doi.org/10.1063/5.0197355</w:t>
        </w:r>
      </w:hyperlink>
      <w:r>
        <w:rPr>
          <w:rFonts w:ascii="Times New Roman" w:hAnsi="Times New Roman" w:cs="Times New Roman"/>
          <w:sz w:val="20"/>
          <w:szCs w:val="20"/>
          <w:lang w:val="en-US"/>
        </w:rPr>
        <w:t xml:space="preserve"> </w:t>
      </w:r>
    </w:p>
    <w:p w14:paraId="0BDD0A52" w14:textId="3450F827" w:rsidR="002C0F64" w:rsidRPr="00160DF4" w:rsidRDefault="001717E9" w:rsidP="00736D2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2C0F64">
        <w:rPr>
          <w:rFonts w:ascii="Times New Roman" w:hAnsi="Times New Roman" w:cs="Times New Roman"/>
          <w:sz w:val="20"/>
          <w:szCs w:val="20"/>
          <w:lang w:val="en-US"/>
        </w:rPr>
        <w:t xml:space="preserve">. </w:t>
      </w:r>
      <w:proofErr w:type="spellStart"/>
      <w:proofErr w:type="gramStart"/>
      <w:r w:rsidR="002C0F64">
        <w:rPr>
          <w:rFonts w:ascii="Times New Roman" w:hAnsi="Times New Roman" w:cs="Times New Roman"/>
          <w:sz w:val="20"/>
          <w:szCs w:val="20"/>
          <w:lang w:val="en-US"/>
        </w:rPr>
        <w:t>M.</w:t>
      </w:r>
      <w:r w:rsidR="002C0F64" w:rsidRPr="00160DF4">
        <w:rPr>
          <w:rFonts w:ascii="Times New Roman" w:hAnsi="Times New Roman" w:cs="Times New Roman"/>
          <w:sz w:val="20"/>
          <w:szCs w:val="20"/>
          <w:lang w:val="en-US"/>
        </w:rPr>
        <w:t>Azimova</w:t>
      </w:r>
      <w:proofErr w:type="spellEnd"/>
      <w:proofErr w:type="gramEnd"/>
      <w:r w:rsidR="002C0F64" w:rsidRPr="00160DF4">
        <w:rPr>
          <w:rFonts w:ascii="Times New Roman" w:hAnsi="Times New Roman" w:cs="Times New Roman"/>
          <w:sz w:val="20"/>
          <w:szCs w:val="20"/>
          <w:lang w:val="en-US"/>
        </w:rPr>
        <w:t xml:space="preserve">, </w:t>
      </w:r>
      <w:proofErr w:type="spellStart"/>
      <w:proofErr w:type="gramStart"/>
      <w:r w:rsidR="002C0F64">
        <w:rPr>
          <w:rFonts w:ascii="Times New Roman" w:hAnsi="Times New Roman" w:cs="Times New Roman"/>
          <w:sz w:val="20"/>
          <w:szCs w:val="20"/>
          <w:lang w:val="en-US"/>
        </w:rPr>
        <w:t>N.K</w:t>
      </w:r>
      <w:r w:rsidR="002C0F64" w:rsidRPr="00160DF4">
        <w:rPr>
          <w:rFonts w:ascii="Times New Roman" w:hAnsi="Times New Roman" w:cs="Times New Roman"/>
          <w:sz w:val="20"/>
          <w:szCs w:val="20"/>
          <w:lang w:val="en-US"/>
        </w:rPr>
        <w:t>urbanova</w:t>
      </w:r>
      <w:proofErr w:type="spellEnd"/>
      <w:proofErr w:type="gramEnd"/>
      <w:r w:rsidR="002C0F64" w:rsidRPr="00160DF4">
        <w:rPr>
          <w:rFonts w:ascii="Times New Roman" w:hAnsi="Times New Roman" w:cs="Times New Roman"/>
          <w:sz w:val="20"/>
          <w:szCs w:val="20"/>
          <w:lang w:val="en-US"/>
        </w:rPr>
        <w:t xml:space="preserve">, </w:t>
      </w:r>
      <w:proofErr w:type="spellStart"/>
      <w:proofErr w:type="gramStart"/>
      <w:r w:rsidR="002C0F64">
        <w:rPr>
          <w:rFonts w:ascii="Times New Roman" w:hAnsi="Times New Roman" w:cs="Times New Roman"/>
          <w:sz w:val="20"/>
          <w:szCs w:val="20"/>
          <w:lang w:val="en-US"/>
        </w:rPr>
        <w:t>D.</w:t>
      </w:r>
      <w:r w:rsidR="002C0F64" w:rsidRPr="00160DF4">
        <w:rPr>
          <w:rFonts w:ascii="Times New Roman" w:hAnsi="Times New Roman" w:cs="Times New Roman"/>
          <w:sz w:val="20"/>
          <w:szCs w:val="20"/>
          <w:lang w:val="en-US"/>
        </w:rPr>
        <w:t>Rakhmatov</w:t>
      </w:r>
      <w:proofErr w:type="spellEnd"/>
      <w:proofErr w:type="gramEnd"/>
      <w:r w:rsidR="002C0F64">
        <w:rPr>
          <w:rFonts w:ascii="Times New Roman" w:hAnsi="Times New Roman" w:cs="Times New Roman"/>
          <w:sz w:val="20"/>
          <w:szCs w:val="20"/>
          <w:lang w:val="en-US"/>
        </w:rPr>
        <w:t xml:space="preserve">. </w:t>
      </w:r>
      <w:r w:rsidR="002C0F64" w:rsidRPr="00160DF4">
        <w:rPr>
          <w:rFonts w:ascii="Times New Roman" w:hAnsi="Times New Roman" w:cs="Times New Roman"/>
          <w:i/>
          <w:sz w:val="20"/>
          <w:szCs w:val="20"/>
          <w:lang w:val="en-US"/>
        </w:rPr>
        <w:t>Large-scale environmental benefits of biogas technology</w:t>
      </w:r>
      <w:r w:rsidR="002C0F64">
        <w:rPr>
          <w:rFonts w:ascii="Times New Roman" w:hAnsi="Times New Roman" w:cs="Times New Roman"/>
          <w:sz w:val="20"/>
          <w:szCs w:val="20"/>
          <w:lang w:val="en-US"/>
        </w:rPr>
        <w:t xml:space="preserve">. </w:t>
      </w:r>
      <w:r w:rsidR="002C0F64" w:rsidRPr="008E2C86">
        <w:rPr>
          <w:rFonts w:ascii="Times New Roman" w:hAnsi="Times New Roman" w:cs="Times New Roman"/>
          <w:sz w:val="20"/>
          <w:szCs w:val="20"/>
          <w:lang w:val="uz-Cyrl-UZ"/>
        </w:rPr>
        <w:t>AI</w:t>
      </w:r>
      <w:r w:rsidR="002C0F64">
        <w:rPr>
          <w:rFonts w:ascii="Times New Roman" w:hAnsi="Times New Roman" w:cs="Times New Roman"/>
          <w:sz w:val="20"/>
          <w:szCs w:val="20"/>
          <w:lang w:val="uz-Cyrl-UZ"/>
        </w:rPr>
        <w:t>P</w:t>
      </w:r>
      <w:r w:rsidR="002C0F64" w:rsidRPr="008E2C86">
        <w:rPr>
          <w:rFonts w:ascii="Times New Roman" w:hAnsi="Times New Roman" w:cs="Times New Roman"/>
          <w:sz w:val="20"/>
          <w:szCs w:val="20"/>
          <w:lang w:val="uz-Cyrl-UZ"/>
        </w:rPr>
        <w:t xml:space="preserve"> Conf</w:t>
      </w:r>
      <w:r w:rsidR="002C0F64">
        <w:rPr>
          <w:rFonts w:ascii="Times New Roman" w:hAnsi="Times New Roman" w:cs="Times New Roman"/>
          <w:sz w:val="20"/>
          <w:szCs w:val="20"/>
          <w:lang w:val="uz-Cyrl-UZ"/>
        </w:rPr>
        <w:t>e</w:t>
      </w:r>
      <w:r w:rsidR="002C0F64" w:rsidRPr="008E2C86">
        <w:rPr>
          <w:rFonts w:ascii="Times New Roman" w:hAnsi="Times New Roman" w:cs="Times New Roman"/>
          <w:sz w:val="20"/>
          <w:szCs w:val="20"/>
          <w:lang w:val="uz-Cyrl-UZ"/>
        </w:rPr>
        <w:t>r</w:t>
      </w:r>
      <w:r w:rsidR="002C0F64">
        <w:rPr>
          <w:rFonts w:ascii="Times New Roman" w:hAnsi="Times New Roman" w:cs="Times New Roman"/>
          <w:sz w:val="20"/>
          <w:szCs w:val="20"/>
          <w:lang w:val="uz-Cyrl-UZ"/>
        </w:rPr>
        <w:t>e</w:t>
      </w:r>
      <w:r w:rsidR="002C0F64" w:rsidRPr="008E2C86">
        <w:rPr>
          <w:rFonts w:ascii="Times New Roman" w:hAnsi="Times New Roman" w:cs="Times New Roman"/>
          <w:sz w:val="20"/>
          <w:szCs w:val="20"/>
          <w:lang w:val="uz-Cyrl-UZ"/>
        </w:rPr>
        <w:t>nc</w:t>
      </w:r>
      <w:r w:rsidR="002C0F64">
        <w:rPr>
          <w:rFonts w:ascii="Times New Roman" w:hAnsi="Times New Roman" w:cs="Times New Roman"/>
          <w:sz w:val="20"/>
          <w:szCs w:val="20"/>
          <w:lang w:val="uz-Cyrl-UZ"/>
        </w:rPr>
        <w:t>e</w:t>
      </w:r>
      <w:r w:rsidR="002C0F64" w:rsidRPr="008E2C86">
        <w:rPr>
          <w:rFonts w:ascii="Times New Roman" w:hAnsi="Times New Roman" w:cs="Times New Roman"/>
          <w:sz w:val="20"/>
          <w:szCs w:val="20"/>
          <w:lang w:val="uz-Cyrl-UZ"/>
        </w:rPr>
        <w:t xml:space="preserve"> </w:t>
      </w:r>
      <w:r w:rsidR="002C0F64">
        <w:rPr>
          <w:rFonts w:ascii="Times New Roman" w:hAnsi="Times New Roman" w:cs="Times New Roman"/>
          <w:sz w:val="20"/>
          <w:szCs w:val="20"/>
          <w:lang w:val="uz-Cyrl-UZ"/>
        </w:rPr>
        <w:t>P</w:t>
      </w:r>
      <w:r w:rsidR="002C0F64" w:rsidRPr="008E2C86">
        <w:rPr>
          <w:rFonts w:ascii="Times New Roman" w:hAnsi="Times New Roman" w:cs="Times New Roman"/>
          <w:sz w:val="20"/>
          <w:szCs w:val="20"/>
          <w:lang w:val="uz-Cyrl-UZ"/>
        </w:rPr>
        <w:t>roc</w:t>
      </w:r>
      <w:r w:rsidR="002C0F64">
        <w:rPr>
          <w:rFonts w:ascii="Times New Roman" w:hAnsi="Times New Roman" w:cs="Times New Roman"/>
          <w:sz w:val="20"/>
          <w:szCs w:val="20"/>
          <w:lang w:val="uz-Cyrl-UZ"/>
        </w:rPr>
        <w:t>ee</w:t>
      </w:r>
      <w:r w:rsidR="002C0F64" w:rsidRPr="008E2C86">
        <w:rPr>
          <w:rFonts w:ascii="Times New Roman" w:hAnsi="Times New Roman" w:cs="Times New Roman"/>
          <w:sz w:val="20"/>
          <w:szCs w:val="20"/>
          <w:lang w:val="uz-Cyrl-UZ"/>
        </w:rPr>
        <w:t xml:space="preserve">dings, </w:t>
      </w:r>
      <w:r w:rsidR="002C0F64" w:rsidRPr="007A0A6D">
        <w:rPr>
          <w:rFonts w:ascii="Times New Roman" w:hAnsi="Times New Roman" w:cs="Times New Roman"/>
          <w:sz w:val="20"/>
          <w:szCs w:val="20"/>
          <w:lang w:val="uz-Cyrl-UZ"/>
        </w:rPr>
        <w:t xml:space="preserve">3152(1), </w:t>
      </w:r>
      <w:r w:rsidR="002C0F64" w:rsidRPr="007A0A6D">
        <w:rPr>
          <w:rFonts w:ascii="Times New Roman" w:hAnsi="Times New Roman" w:cs="Times New Roman"/>
          <w:b/>
          <w:sz w:val="20"/>
          <w:szCs w:val="20"/>
          <w:lang w:val="uz-Cyrl-UZ"/>
        </w:rPr>
        <w:t>0</w:t>
      </w:r>
      <w:r w:rsidR="002C0F64">
        <w:rPr>
          <w:rFonts w:ascii="Times New Roman" w:hAnsi="Times New Roman" w:cs="Times New Roman"/>
          <w:b/>
          <w:sz w:val="20"/>
          <w:szCs w:val="20"/>
          <w:lang w:val="en-US"/>
        </w:rPr>
        <w:t>6</w:t>
      </w:r>
      <w:r w:rsidR="002C0F64" w:rsidRPr="007A0A6D">
        <w:rPr>
          <w:rFonts w:ascii="Times New Roman" w:hAnsi="Times New Roman" w:cs="Times New Roman"/>
          <w:b/>
          <w:sz w:val="20"/>
          <w:szCs w:val="20"/>
          <w:lang w:val="en-US"/>
        </w:rPr>
        <w:t>00</w:t>
      </w:r>
      <w:r w:rsidR="002C0F64">
        <w:rPr>
          <w:rFonts w:ascii="Times New Roman" w:hAnsi="Times New Roman" w:cs="Times New Roman"/>
          <w:b/>
          <w:sz w:val="20"/>
          <w:szCs w:val="20"/>
          <w:lang w:val="en-US"/>
        </w:rPr>
        <w:t>07</w:t>
      </w:r>
      <w:r w:rsidR="002C0F64" w:rsidRPr="007A0A6D">
        <w:rPr>
          <w:rFonts w:ascii="Times New Roman" w:hAnsi="Times New Roman" w:cs="Times New Roman"/>
          <w:sz w:val="20"/>
          <w:szCs w:val="20"/>
          <w:lang w:val="uz-Cyrl-UZ"/>
        </w:rPr>
        <w:t xml:space="preserve">, </w:t>
      </w:r>
      <w:r w:rsidR="002C0F64" w:rsidRPr="008E2C86">
        <w:rPr>
          <w:rFonts w:ascii="Times New Roman" w:hAnsi="Times New Roman" w:cs="Times New Roman"/>
          <w:sz w:val="20"/>
          <w:szCs w:val="20"/>
          <w:lang w:val="en-US"/>
        </w:rPr>
        <w:t>(</w:t>
      </w:r>
      <w:r w:rsidR="002C0F64" w:rsidRPr="008E2C86">
        <w:rPr>
          <w:rFonts w:ascii="Times New Roman" w:hAnsi="Times New Roman" w:cs="Times New Roman"/>
          <w:sz w:val="20"/>
          <w:szCs w:val="20"/>
          <w:lang w:val="uz-Cyrl-UZ"/>
        </w:rPr>
        <w:t>202</w:t>
      </w:r>
      <w:r w:rsidR="002C0F64">
        <w:rPr>
          <w:rFonts w:ascii="Times New Roman" w:hAnsi="Times New Roman" w:cs="Times New Roman"/>
          <w:sz w:val="20"/>
          <w:szCs w:val="20"/>
          <w:lang w:val="en-US"/>
        </w:rPr>
        <w:t>4</w:t>
      </w:r>
      <w:r w:rsidR="002C0F64" w:rsidRPr="008E2C86">
        <w:rPr>
          <w:rFonts w:ascii="Times New Roman" w:hAnsi="Times New Roman" w:cs="Times New Roman"/>
          <w:sz w:val="20"/>
          <w:szCs w:val="20"/>
          <w:lang w:val="uz-Cyrl-UZ"/>
        </w:rPr>
        <w:t>),</w:t>
      </w:r>
      <w:r w:rsidR="002C0F64" w:rsidRPr="008E2C86">
        <w:rPr>
          <w:rFonts w:ascii="Times New Roman" w:hAnsi="Times New Roman" w:cs="Times New Roman"/>
          <w:sz w:val="20"/>
          <w:szCs w:val="20"/>
          <w:lang w:val="en-US"/>
        </w:rPr>
        <w:t xml:space="preserve"> </w:t>
      </w:r>
      <w:hyperlink r:id="rId21" w:history="1">
        <w:r w:rsidR="002C0F64" w:rsidRPr="0045512F">
          <w:rPr>
            <w:rStyle w:val="a3"/>
            <w:rFonts w:ascii="Times New Roman" w:hAnsi="Times New Roman" w:cs="Times New Roman"/>
            <w:sz w:val="20"/>
            <w:szCs w:val="20"/>
            <w:lang w:val="en-US"/>
          </w:rPr>
          <w:t>https://doi.org/10.1063/5.0218937</w:t>
        </w:r>
      </w:hyperlink>
      <w:r w:rsidR="002C0F64">
        <w:rPr>
          <w:rStyle w:val="a3"/>
          <w:rFonts w:ascii="Times New Roman" w:hAnsi="Times New Roman" w:cs="Times New Roman"/>
          <w:sz w:val="20"/>
          <w:szCs w:val="20"/>
          <w:lang w:val="en-US"/>
        </w:rPr>
        <w:t xml:space="preserve"> </w:t>
      </w:r>
    </w:p>
    <w:p w14:paraId="6544655B" w14:textId="5DE08ED2" w:rsidR="001C5C75" w:rsidRDefault="007D2CFC" w:rsidP="00736D2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6</w:t>
      </w:r>
      <w:r w:rsidR="00AF67A6">
        <w:rPr>
          <w:rFonts w:ascii="Times New Roman" w:hAnsi="Times New Roman" w:cs="Times New Roman"/>
          <w:sz w:val="20"/>
          <w:szCs w:val="20"/>
          <w:lang w:val="en-US"/>
        </w:rPr>
        <w:t xml:space="preserve">. </w:t>
      </w:r>
      <w:proofErr w:type="spellStart"/>
      <w:proofErr w:type="gramStart"/>
      <w:r w:rsidR="00AF67A6" w:rsidRPr="00AF67A6">
        <w:rPr>
          <w:rFonts w:ascii="Times New Roman" w:hAnsi="Times New Roman" w:cs="Times New Roman"/>
          <w:sz w:val="20"/>
          <w:szCs w:val="20"/>
          <w:lang w:val="en-US"/>
        </w:rPr>
        <w:t>M.Jalilov</w:t>
      </w:r>
      <w:proofErr w:type="spellEnd"/>
      <w:proofErr w:type="gramEnd"/>
      <w:r w:rsidR="00AF67A6" w:rsidRPr="00AF67A6">
        <w:rPr>
          <w:rFonts w:ascii="Times New Roman" w:hAnsi="Times New Roman" w:cs="Times New Roman"/>
          <w:sz w:val="20"/>
          <w:szCs w:val="20"/>
          <w:lang w:val="en-US"/>
        </w:rPr>
        <w:t xml:space="preserve">, </w:t>
      </w:r>
      <w:proofErr w:type="spellStart"/>
      <w:proofErr w:type="gramStart"/>
      <w:r w:rsidR="00AF67A6" w:rsidRPr="00AF67A6">
        <w:rPr>
          <w:rFonts w:ascii="Times New Roman" w:hAnsi="Times New Roman" w:cs="Times New Roman"/>
          <w:sz w:val="20"/>
          <w:szCs w:val="20"/>
          <w:lang w:val="en-US"/>
        </w:rPr>
        <w:t>M.Azimova</w:t>
      </w:r>
      <w:proofErr w:type="spellEnd"/>
      <w:proofErr w:type="gramEnd"/>
      <w:r w:rsidR="00AF67A6" w:rsidRPr="00AF67A6">
        <w:rPr>
          <w:rFonts w:ascii="Times New Roman" w:hAnsi="Times New Roman" w:cs="Times New Roman"/>
          <w:sz w:val="20"/>
          <w:szCs w:val="20"/>
          <w:lang w:val="en-US"/>
        </w:rPr>
        <w:t xml:space="preserve">, </w:t>
      </w:r>
      <w:proofErr w:type="spellStart"/>
      <w:proofErr w:type="gramStart"/>
      <w:r w:rsidR="00AF67A6" w:rsidRPr="00AF67A6">
        <w:rPr>
          <w:rFonts w:ascii="Times New Roman" w:hAnsi="Times New Roman" w:cs="Times New Roman"/>
          <w:sz w:val="20"/>
          <w:szCs w:val="20"/>
          <w:lang w:val="en-US"/>
        </w:rPr>
        <w:t>A.Jalilova</w:t>
      </w:r>
      <w:proofErr w:type="spellEnd"/>
      <w:proofErr w:type="gramEnd"/>
      <w:r w:rsidR="00AF67A6" w:rsidRPr="00AF67A6">
        <w:rPr>
          <w:rFonts w:ascii="Times New Roman" w:hAnsi="Times New Roman" w:cs="Times New Roman"/>
          <w:sz w:val="20"/>
          <w:szCs w:val="20"/>
          <w:lang w:val="en-US"/>
        </w:rPr>
        <w:t>.</w:t>
      </w:r>
      <w:r w:rsidR="00AF67A6">
        <w:rPr>
          <w:rFonts w:ascii="Times New Roman" w:hAnsi="Times New Roman" w:cs="Times New Roman"/>
          <w:sz w:val="20"/>
          <w:szCs w:val="20"/>
          <w:lang w:val="en-US"/>
        </w:rPr>
        <w:t xml:space="preserve"> </w:t>
      </w:r>
      <w:r w:rsidR="00AF67A6" w:rsidRPr="00AF67A6">
        <w:rPr>
          <w:rFonts w:ascii="Times New Roman" w:hAnsi="Times New Roman" w:cs="Times New Roman"/>
          <w:i/>
          <w:sz w:val="20"/>
          <w:szCs w:val="20"/>
          <w:lang w:val="en-US"/>
        </w:rPr>
        <w:t>On a new technology of preparation of hot drinking water</w:t>
      </w:r>
      <w:r w:rsidR="00AF67A6">
        <w:rPr>
          <w:rFonts w:ascii="Times New Roman" w:hAnsi="Times New Roman" w:cs="Times New Roman"/>
          <w:sz w:val="20"/>
          <w:szCs w:val="20"/>
          <w:lang w:val="en-US"/>
        </w:rPr>
        <w:t xml:space="preserve">. </w:t>
      </w:r>
      <w:proofErr w:type="spellStart"/>
      <w:r w:rsidR="00AF67A6" w:rsidRPr="00AF67A6">
        <w:rPr>
          <w:rFonts w:ascii="Times New Roman" w:hAnsi="Times New Roman" w:cs="Times New Roman"/>
          <w:sz w:val="20"/>
          <w:szCs w:val="20"/>
          <w:lang w:val="en-US"/>
        </w:rPr>
        <w:t>Energetika</w:t>
      </w:r>
      <w:proofErr w:type="spellEnd"/>
      <w:r w:rsidR="00AF67A6" w:rsidRPr="00AF67A6">
        <w:rPr>
          <w:rFonts w:ascii="Times New Roman" w:hAnsi="Times New Roman" w:cs="Times New Roman"/>
          <w:sz w:val="20"/>
          <w:szCs w:val="20"/>
          <w:lang w:val="en-US"/>
        </w:rPr>
        <w:t xml:space="preserve"> Proceedings of Cis Higher Education Institutions and Power Engineering Associations, </w:t>
      </w:r>
      <w:r w:rsidR="00AF67A6" w:rsidRPr="00AF67A6">
        <w:rPr>
          <w:rFonts w:ascii="Times New Roman" w:hAnsi="Times New Roman" w:cs="Times New Roman"/>
          <w:b/>
          <w:sz w:val="20"/>
          <w:szCs w:val="20"/>
          <w:lang w:val="en-US"/>
        </w:rPr>
        <w:t>60(5)</w:t>
      </w:r>
      <w:r w:rsidR="00AF67A6" w:rsidRPr="00AF67A6">
        <w:rPr>
          <w:rFonts w:ascii="Times New Roman" w:hAnsi="Times New Roman" w:cs="Times New Roman"/>
          <w:sz w:val="20"/>
          <w:szCs w:val="20"/>
          <w:lang w:val="en-US"/>
        </w:rPr>
        <w:t>,</w:t>
      </w:r>
      <w:r w:rsidR="00AF67A6">
        <w:rPr>
          <w:rFonts w:ascii="Times New Roman" w:hAnsi="Times New Roman" w:cs="Times New Roman"/>
          <w:sz w:val="20"/>
          <w:szCs w:val="20"/>
          <w:lang w:val="en-US"/>
        </w:rPr>
        <w:t xml:space="preserve"> (2017),</w:t>
      </w:r>
      <w:r w:rsidR="00AF67A6" w:rsidRPr="00AF67A6">
        <w:rPr>
          <w:rFonts w:ascii="Times New Roman" w:hAnsi="Times New Roman" w:cs="Times New Roman"/>
          <w:sz w:val="20"/>
          <w:szCs w:val="20"/>
          <w:lang w:val="en-US"/>
        </w:rPr>
        <w:t xml:space="preserve"> </w:t>
      </w:r>
      <w:r w:rsidR="00AF67A6">
        <w:rPr>
          <w:rFonts w:ascii="Times New Roman" w:hAnsi="Times New Roman" w:cs="Times New Roman"/>
          <w:sz w:val="20"/>
          <w:szCs w:val="20"/>
          <w:lang w:val="en-US"/>
        </w:rPr>
        <w:t>pp.</w:t>
      </w:r>
      <w:r w:rsidR="00AF67A6" w:rsidRPr="00AF67A6">
        <w:rPr>
          <w:rFonts w:ascii="Times New Roman" w:hAnsi="Times New Roman" w:cs="Times New Roman"/>
          <w:sz w:val="20"/>
          <w:szCs w:val="20"/>
          <w:lang w:val="en-US"/>
        </w:rPr>
        <w:t>484</w:t>
      </w:r>
      <w:r w:rsidR="00AF67A6">
        <w:rPr>
          <w:rFonts w:ascii="Times New Roman" w:hAnsi="Times New Roman" w:cs="Times New Roman"/>
          <w:sz w:val="20"/>
          <w:szCs w:val="20"/>
          <w:lang w:val="en-US"/>
        </w:rPr>
        <w:t>-</w:t>
      </w:r>
      <w:r w:rsidR="00AF67A6" w:rsidRPr="00AF67A6">
        <w:rPr>
          <w:rFonts w:ascii="Times New Roman" w:hAnsi="Times New Roman" w:cs="Times New Roman"/>
          <w:sz w:val="20"/>
          <w:szCs w:val="20"/>
          <w:lang w:val="en-US"/>
        </w:rPr>
        <w:t>492</w:t>
      </w:r>
      <w:r w:rsidR="00AF67A6">
        <w:rPr>
          <w:rFonts w:ascii="Times New Roman" w:hAnsi="Times New Roman" w:cs="Times New Roman"/>
          <w:sz w:val="20"/>
          <w:szCs w:val="20"/>
          <w:lang w:val="en-US"/>
        </w:rPr>
        <w:t xml:space="preserve">. </w:t>
      </w:r>
      <w:hyperlink r:id="rId22" w:history="1">
        <w:r w:rsidR="000E2B15" w:rsidRPr="0045512F">
          <w:rPr>
            <w:rStyle w:val="a3"/>
            <w:rFonts w:ascii="Times New Roman" w:hAnsi="Times New Roman" w:cs="Times New Roman"/>
            <w:sz w:val="20"/>
            <w:szCs w:val="20"/>
            <w:lang w:val="en-US"/>
          </w:rPr>
          <w:t>https://doi.org/10.21122/1029-7448-2017-60-5-484-492</w:t>
        </w:r>
      </w:hyperlink>
      <w:r w:rsidR="000E2B15">
        <w:rPr>
          <w:rFonts w:ascii="Times New Roman" w:hAnsi="Times New Roman" w:cs="Times New Roman"/>
          <w:color w:val="0000FF"/>
          <w:sz w:val="20"/>
          <w:szCs w:val="20"/>
          <w:lang w:val="en-US"/>
        </w:rPr>
        <w:t xml:space="preserve"> </w:t>
      </w:r>
    </w:p>
    <w:p w14:paraId="4344CC06" w14:textId="77777777" w:rsidR="006046C1" w:rsidRDefault="00022631"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proofErr w:type="spellStart"/>
      <w:proofErr w:type="gramStart"/>
      <w:r w:rsidR="006046C1" w:rsidRPr="0088296D">
        <w:rPr>
          <w:rFonts w:ascii="Times New Roman" w:hAnsi="Times New Roman" w:cs="Times New Roman"/>
          <w:sz w:val="20"/>
          <w:szCs w:val="20"/>
          <w:lang w:val="en-US"/>
        </w:rPr>
        <w:t>M.Sadullaev</w:t>
      </w:r>
      <w:proofErr w:type="spellEnd"/>
      <w:proofErr w:type="gramEnd"/>
      <w:r w:rsidR="006046C1" w:rsidRPr="0088296D">
        <w:rPr>
          <w:rFonts w:ascii="Times New Roman" w:hAnsi="Times New Roman" w:cs="Times New Roman"/>
          <w:sz w:val="20"/>
          <w:szCs w:val="20"/>
          <w:lang w:val="en-US"/>
        </w:rPr>
        <w:t xml:space="preserve">, </w:t>
      </w:r>
      <w:proofErr w:type="spellStart"/>
      <w:proofErr w:type="gramStart"/>
      <w:r w:rsidR="006046C1" w:rsidRPr="0088296D">
        <w:rPr>
          <w:rFonts w:ascii="Times New Roman" w:hAnsi="Times New Roman" w:cs="Times New Roman"/>
          <w:sz w:val="20"/>
          <w:szCs w:val="20"/>
          <w:lang w:val="en-US"/>
        </w:rPr>
        <w:t>E.Usmanov</w:t>
      </w:r>
      <w:proofErr w:type="spellEnd"/>
      <w:proofErr w:type="gramEnd"/>
      <w:r w:rsidR="006046C1" w:rsidRPr="0088296D">
        <w:rPr>
          <w:rFonts w:ascii="Times New Roman" w:hAnsi="Times New Roman" w:cs="Times New Roman"/>
          <w:sz w:val="20"/>
          <w:szCs w:val="20"/>
          <w:lang w:val="en-US"/>
        </w:rPr>
        <w:t xml:space="preserve">, </w:t>
      </w:r>
      <w:proofErr w:type="spellStart"/>
      <w:proofErr w:type="gramStart"/>
      <w:r w:rsidR="006046C1" w:rsidRPr="00E34197">
        <w:rPr>
          <w:rFonts w:ascii="Times New Roman" w:hAnsi="Times New Roman" w:cs="Times New Roman"/>
          <w:sz w:val="20"/>
          <w:szCs w:val="20"/>
          <w:lang w:val="en-US"/>
        </w:rPr>
        <w:t>R.Karimov</w:t>
      </w:r>
      <w:proofErr w:type="spellEnd"/>
      <w:proofErr w:type="gramEnd"/>
      <w:r w:rsidR="006046C1" w:rsidRPr="0088296D">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Xushvaktov</w:t>
      </w:r>
      <w:proofErr w:type="spellEnd"/>
      <w:proofErr w:type="gramEnd"/>
      <w:r w:rsidR="006046C1" w:rsidRPr="00B33D98">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Xalmanov</w:t>
      </w:r>
      <w:proofErr w:type="spellEnd"/>
      <w:proofErr w:type="gramEnd"/>
      <w:r w:rsidR="006046C1">
        <w:rPr>
          <w:rFonts w:ascii="Times New Roman" w:hAnsi="Times New Roman" w:cs="Times New Roman"/>
          <w:sz w:val="20"/>
          <w:szCs w:val="20"/>
          <w:lang w:val="en-US"/>
        </w:rPr>
        <w:t xml:space="preserve">, </w:t>
      </w:r>
      <w:proofErr w:type="spellStart"/>
      <w:proofErr w:type="gramStart"/>
      <w:r w:rsidR="006046C1" w:rsidRPr="0088296D">
        <w:rPr>
          <w:rFonts w:ascii="Times New Roman" w:hAnsi="Times New Roman" w:cs="Times New Roman"/>
          <w:sz w:val="20"/>
          <w:szCs w:val="20"/>
          <w:lang w:val="en-US"/>
        </w:rPr>
        <w:t>Y.Shoyimov</w:t>
      </w:r>
      <w:proofErr w:type="spellEnd"/>
      <w:proofErr w:type="gramEnd"/>
      <w:r w:rsidR="006046C1" w:rsidRPr="0088296D">
        <w:rPr>
          <w:rFonts w:ascii="Times New Roman" w:hAnsi="Times New Roman" w:cs="Times New Roman"/>
          <w:sz w:val="20"/>
          <w:szCs w:val="20"/>
          <w:lang w:val="en-US"/>
        </w:rPr>
        <w:t xml:space="preserve">, </w:t>
      </w:r>
      <w:proofErr w:type="spellStart"/>
      <w:proofErr w:type="gramStart"/>
      <w:r w:rsidR="006046C1" w:rsidRPr="0088296D">
        <w:rPr>
          <w:rFonts w:ascii="Times New Roman" w:hAnsi="Times New Roman" w:cs="Times New Roman"/>
          <w:sz w:val="20"/>
          <w:szCs w:val="20"/>
          <w:lang w:val="en-US"/>
        </w:rPr>
        <w:t>D.Khimmataliev</w:t>
      </w:r>
      <w:proofErr w:type="spellEnd"/>
      <w:proofErr w:type="gramEnd"/>
      <w:r w:rsidR="006046C1">
        <w:rPr>
          <w:rFonts w:ascii="Times New Roman" w:hAnsi="Times New Roman" w:cs="Times New Roman"/>
          <w:sz w:val="20"/>
          <w:szCs w:val="20"/>
          <w:lang w:val="en-US"/>
        </w:rPr>
        <w:t xml:space="preserve">. </w:t>
      </w:r>
      <w:r w:rsidR="006046C1" w:rsidRPr="0088296D">
        <w:rPr>
          <w:rFonts w:ascii="Times New Roman" w:hAnsi="Times New Roman" w:cs="Times New Roman"/>
          <w:i/>
          <w:sz w:val="20"/>
          <w:szCs w:val="20"/>
          <w:lang w:val="en-US"/>
        </w:rPr>
        <w:t>Mathematical Models and Calculation of Elements of Developed Schemes of Contactless Devices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43</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23" w:history="1">
        <w:r w:rsidR="006046C1" w:rsidRPr="00E36678">
          <w:rPr>
            <w:rStyle w:val="a3"/>
            <w:rFonts w:ascii="Times New Roman" w:hAnsi="Times New Roman" w:cs="Times New Roman"/>
            <w:sz w:val="20"/>
            <w:szCs w:val="20"/>
            <w:lang w:val="en-US"/>
          </w:rPr>
          <w:t>https://doi.org/10.1063/5.0305748</w:t>
        </w:r>
      </w:hyperlink>
      <w:r w:rsidR="006046C1">
        <w:rPr>
          <w:rFonts w:ascii="Times New Roman" w:hAnsi="Times New Roman" w:cs="Times New Roman"/>
          <w:sz w:val="20"/>
          <w:szCs w:val="20"/>
          <w:lang w:val="en-US"/>
        </w:rPr>
        <w:t xml:space="preserve"> </w:t>
      </w:r>
    </w:p>
    <w:p w14:paraId="3F85D21D" w14:textId="77777777" w:rsidR="006046C1" w:rsidRDefault="006046C1"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w:t>
      </w:r>
      <w:proofErr w:type="spellStart"/>
      <w:proofErr w:type="gramStart"/>
      <w:r w:rsidRPr="00E34197">
        <w:rPr>
          <w:rFonts w:ascii="Times New Roman" w:hAnsi="Times New Roman" w:cs="Times New Roman"/>
          <w:sz w:val="20"/>
          <w:szCs w:val="20"/>
          <w:lang w:val="en-US"/>
        </w:rPr>
        <w:t>E.Yuldashev</w:t>
      </w:r>
      <w:proofErr w:type="spellEnd"/>
      <w:proofErr w:type="gramEnd"/>
      <w:r w:rsidRPr="00E34197">
        <w:rPr>
          <w:rFonts w:ascii="Times New Roman" w:hAnsi="Times New Roman" w:cs="Times New Roman"/>
          <w:sz w:val="20"/>
          <w:szCs w:val="20"/>
          <w:lang w:val="en-US"/>
        </w:rPr>
        <w:t xml:space="preserve">, </w:t>
      </w:r>
      <w:proofErr w:type="spellStart"/>
      <w:proofErr w:type="gramStart"/>
      <w:r w:rsidRPr="00E34197">
        <w:rPr>
          <w:rFonts w:ascii="Times New Roman" w:hAnsi="Times New Roman" w:cs="Times New Roman"/>
          <w:sz w:val="20"/>
          <w:szCs w:val="20"/>
          <w:lang w:val="en-US"/>
        </w:rPr>
        <w:t>M.Yuldasheva</w:t>
      </w:r>
      <w:proofErr w:type="spellEnd"/>
      <w:proofErr w:type="gramEnd"/>
      <w:r w:rsidRPr="00E34197">
        <w:rPr>
          <w:rFonts w:ascii="Times New Roman" w:hAnsi="Times New Roman" w:cs="Times New Roman"/>
          <w:sz w:val="20"/>
          <w:szCs w:val="20"/>
          <w:lang w:val="en-US"/>
        </w:rPr>
        <w:t xml:space="preserve">, </w:t>
      </w:r>
      <w:proofErr w:type="spellStart"/>
      <w:proofErr w:type="gramStart"/>
      <w:r w:rsidRPr="00E34197">
        <w:rPr>
          <w:rFonts w:ascii="Times New Roman" w:hAnsi="Times New Roman" w:cs="Times New Roman"/>
          <w:sz w:val="20"/>
          <w:szCs w:val="20"/>
          <w:lang w:val="en-US"/>
        </w:rPr>
        <w:t>A.Togayev</w:t>
      </w:r>
      <w:proofErr w:type="spellEnd"/>
      <w:proofErr w:type="gramEnd"/>
      <w:r w:rsidRPr="00E34197">
        <w:rPr>
          <w:rFonts w:ascii="Times New Roman" w:hAnsi="Times New Roman" w:cs="Times New Roman"/>
          <w:sz w:val="20"/>
          <w:szCs w:val="20"/>
          <w:lang w:val="en-US"/>
        </w:rPr>
        <w:t xml:space="preserve">, </w:t>
      </w:r>
      <w:proofErr w:type="spellStart"/>
      <w:proofErr w:type="gramStart"/>
      <w:r w:rsidRPr="00E34197">
        <w:rPr>
          <w:rFonts w:ascii="Times New Roman" w:hAnsi="Times New Roman" w:cs="Times New Roman"/>
          <w:sz w:val="20"/>
          <w:szCs w:val="20"/>
          <w:lang w:val="en-US"/>
        </w:rPr>
        <w:t>J.Abdullayev</w:t>
      </w:r>
      <w:proofErr w:type="spellEnd"/>
      <w:proofErr w:type="gramEnd"/>
      <w:r w:rsidRPr="00E34197">
        <w:rPr>
          <w:rFonts w:ascii="Times New Roman" w:hAnsi="Times New Roman" w:cs="Times New Roman"/>
          <w:sz w:val="20"/>
          <w:szCs w:val="20"/>
          <w:lang w:val="en-US"/>
        </w:rPr>
        <w:t xml:space="preserve">, </w:t>
      </w:r>
      <w:proofErr w:type="spellStart"/>
      <w:proofErr w:type="gramStart"/>
      <w:r w:rsidRPr="00E34197">
        <w:rPr>
          <w:rFonts w:ascii="Times New Roman" w:hAnsi="Times New Roman" w:cs="Times New Roman"/>
          <w:sz w:val="20"/>
          <w:szCs w:val="20"/>
          <w:lang w:val="en-US"/>
        </w:rPr>
        <w:t>R.Karimov</w:t>
      </w:r>
      <w:proofErr w:type="spellEnd"/>
      <w:proofErr w:type="gram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4" w:history="1">
        <w:r w:rsidRPr="00E36678">
          <w:rPr>
            <w:rStyle w:val="a3"/>
            <w:rFonts w:ascii="Times New Roman" w:hAnsi="Times New Roman" w:cs="Times New Roman"/>
            <w:sz w:val="20"/>
            <w:szCs w:val="20"/>
            <w:lang w:val="en-US"/>
          </w:rPr>
          <w:t>https://doi.org/10.1063/5.0305742</w:t>
        </w:r>
      </w:hyperlink>
      <w:r>
        <w:rPr>
          <w:rFonts w:ascii="Times New Roman" w:hAnsi="Times New Roman" w:cs="Times New Roman"/>
          <w:sz w:val="20"/>
          <w:szCs w:val="20"/>
          <w:lang w:val="en-US"/>
        </w:rPr>
        <w:t xml:space="preserve"> </w:t>
      </w:r>
    </w:p>
    <w:p w14:paraId="0E04146C" w14:textId="77777777" w:rsidR="00CD7060" w:rsidRDefault="006046C1"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w:t>
      </w:r>
      <w:proofErr w:type="spellStart"/>
      <w:proofErr w:type="gramStart"/>
      <w:r w:rsidRPr="00DB6056">
        <w:rPr>
          <w:rFonts w:ascii="Times New Roman" w:hAnsi="Times New Roman" w:cs="Times New Roman"/>
          <w:sz w:val="20"/>
          <w:szCs w:val="20"/>
          <w:lang w:val="en-US"/>
        </w:rPr>
        <w:t>A.Nuraliyev</w:t>
      </w:r>
      <w:proofErr w:type="spellEnd"/>
      <w:proofErr w:type="gramEnd"/>
      <w:r w:rsidRPr="00DB6056">
        <w:rPr>
          <w:rFonts w:ascii="Times New Roman" w:hAnsi="Times New Roman" w:cs="Times New Roman"/>
          <w:sz w:val="20"/>
          <w:szCs w:val="20"/>
          <w:lang w:val="en-US"/>
        </w:rPr>
        <w:t xml:space="preserve">, </w:t>
      </w:r>
      <w:proofErr w:type="spellStart"/>
      <w:proofErr w:type="gramStart"/>
      <w:r w:rsidRPr="00DB6056">
        <w:rPr>
          <w:rFonts w:ascii="Times New Roman" w:hAnsi="Times New Roman" w:cs="Times New Roman"/>
          <w:sz w:val="20"/>
          <w:szCs w:val="20"/>
          <w:lang w:val="en-US"/>
        </w:rPr>
        <w:t>I.Jalolov</w:t>
      </w:r>
      <w:proofErr w:type="spellEnd"/>
      <w:proofErr w:type="gramEnd"/>
      <w:r w:rsidRPr="00DB6056">
        <w:rPr>
          <w:rFonts w:ascii="Times New Roman" w:hAnsi="Times New Roman" w:cs="Times New Roman"/>
          <w:sz w:val="20"/>
          <w:szCs w:val="20"/>
          <w:lang w:val="en-US"/>
        </w:rPr>
        <w:t xml:space="preserve">, </w:t>
      </w:r>
      <w:proofErr w:type="spellStart"/>
      <w:proofErr w:type="gramStart"/>
      <w:r w:rsidRPr="00DB6056">
        <w:rPr>
          <w:rFonts w:ascii="Times New Roman" w:hAnsi="Times New Roman" w:cs="Times New Roman"/>
          <w:sz w:val="20"/>
          <w:szCs w:val="20"/>
          <w:lang w:val="en-US"/>
        </w:rPr>
        <w:t>M.Peysenov</w:t>
      </w:r>
      <w:proofErr w:type="spellEnd"/>
      <w:proofErr w:type="gramEnd"/>
      <w:r w:rsidRPr="00DB6056">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A.Adxamov</w:t>
      </w:r>
      <w:proofErr w:type="spellEnd"/>
      <w:proofErr w:type="gramEnd"/>
      <w:r>
        <w:rPr>
          <w:rFonts w:ascii="Times New Roman" w:hAnsi="Times New Roman" w:cs="Times New Roman"/>
          <w:sz w:val="20"/>
          <w:szCs w:val="20"/>
          <w:lang w:val="en-US"/>
        </w:rPr>
        <w:t xml:space="preserve">, </w:t>
      </w:r>
      <w:proofErr w:type="spellStart"/>
      <w:proofErr w:type="gramStart"/>
      <w:r w:rsidRPr="00DB6056">
        <w:rPr>
          <w:rFonts w:ascii="Times New Roman" w:hAnsi="Times New Roman" w:cs="Times New Roman"/>
          <w:sz w:val="20"/>
          <w:szCs w:val="20"/>
          <w:lang w:val="en-US"/>
        </w:rPr>
        <w:t>S.Rismukhamedov</w:t>
      </w:r>
      <w:proofErr w:type="spellEnd"/>
      <w:proofErr w:type="gramEnd"/>
      <w:r w:rsidRPr="00DB6056">
        <w:rPr>
          <w:rFonts w:ascii="Times New Roman" w:hAnsi="Times New Roman" w:cs="Times New Roman"/>
          <w:sz w:val="20"/>
          <w:szCs w:val="20"/>
          <w:lang w:val="en-US"/>
        </w:rPr>
        <w:t xml:space="preserve">, </w:t>
      </w:r>
      <w:proofErr w:type="spellStart"/>
      <w:proofErr w:type="gramStart"/>
      <w:r w:rsidRPr="00E34197">
        <w:rPr>
          <w:rFonts w:ascii="Times New Roman" w:hAnsi="Times New Roman" w:cs="Times New Roman"/>
          <w:sz w:val="20"/>
          <w:szCs w:val="20"/>
          <w:lang w:val="en-US"/>
        </w:rPr>
        <w:t>R.Karimov</w:t>
      </w:r>
      <w:proofErr w:type="spellEnd"/>
      <w:proofErr w:type="gramEnd"/>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B6056">
        <w:rPr>
          <w:rFonts w:ascii="Times New Roman" w:hAnsi="Times New Roman" w:cs="Times New Roman"/>
          <w:i/>
          <w:sz w:val="20"/>
          <w:szCs w:val="20"/>
          <w:lang w:val="en-US"/>
        </w:rPr>
        <w:t>Improving and Increasing the Efficiency of the Industrial Gas Waste Cleaning Electrical Filter Device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w:t>
      </w:r>
      <w:r w:rsidRPr="00DB6056">
        <w:rPr>
          <w:rFonts w:ascii="Times New Roman" w:hAnsi="Times New Roman" w:cs="Times New Roman"/>
          <w:b/>
          <w:sz w:val="20"/>
          <w:szCs w:val="20"/>
          <w:lang w:val="en-US"/>
        </w:rPr>
        <w:t>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5" w:history="1">
        <w:r w:rsidRPr="00E36678">
          <w:rPr>
            <w:rStyle w:val="a3"/>
            <w:rFonts w:ascii="Times New Roman" w:hAnsi="Times New Roman" w:cs="Times New Roman"/>
            <w:sz w:val="20"/>
            <w:szCs w:val="20"/>
            <w:lang w:val="en-US"/>
          </w:rPr>
          <w:t>https://doi.org/10.1063/5.0305751</w:t>
        </w:r>
      </w:hyperlink>
      <w:r>
        <w:rPr>
          <w:rFonts w:ascii="Times New Roman" w:hAnsi="Times New Roman" w:cs="Times New Roman"/>
          <w:sz w:val="20"/>
          <w:szCs w:val="20"/>
          <w:lang w:val="en-US"/>
        </w:rPr>
        <w:t xml:space="preserve"> </w:t>
      </w:r>
    </w:p>
    <w:p w14:paraId="3A0CB509"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006046C1">
        <w:rPr>
          <w:rFonts w:ascii="Times New Roman" w:hAnsi="Times New Roman" w:cs="Times New Roman"/>
          <w:sz w:val="20"/>
          <w:szCs w:val="20"/>
          <w:lang w:val="en-US"/>
        </w:rPr>
        <w:t xml:space="preserve">. </w:t>
      </w:r>
      <w:proofErr w:type="spellStart"/>
      <w:proofErr w:type="gramStart"/>
      <w:r w:rsidR="006046C1" w:rsidRPr="006A7FF2">
        <w:rPr>
          <w:rFonts w:ascii="Times New Roman" w:hAnsi="Times New Roman" w:cs="Times New Roman"/>
          <w:sz w:val="20"/>
          <w:szCs w:val="20"/>
          <w:lang w:val="en-US"/>
        </w:rPr>
        <w:t>M.Sadullaev</w:t>
      </w:r>
      <w:proofErr w:type="spellEnd"/>
      <w:proofErr w:type="gramEnd"/>
      <w:r w:rsidR="006046C1" w:rsidRPr="006A7FF2">
        <w:rPr>
          <w:rFonts w:ascii="Times New Roman" w:hAnsi="Times New Roman" w:cs="Times New Roman"/>
          <w:sz w:val="20"/>
          <w:szCs w:val="20"/>
          <w:lang w:val="en-US"/>
        </w:rPr>
        <w:t xml:space="preserve">, </w:t>
      </w:r>
      <w:proofErr w:type="spellStart"/>
      <w:proofErr w:type="gramStart"/>
      <w:r w:rsidR="006046C1" w:rsidRPr="006A7FF2">
        <w:rPr>
          <w:rFonts w:ascii="Times New Roman" w:hAnsi="Times New Roman" w:cs="Times New Roman"/>
          <w:sz w:val="20"/>
          <w:szCs w:val="20"/>
          <w:lang w:val="en-US"/>
        </w:rPr>
        <w:t>E.Usmanov</w:t>
      </w:r>
      <w:proofErr w:type="spellEnd"/>
      <w:proofErr w:type="gramEnd"/>
      <w:r w:rsidR="006046C1" w:rsidRPr="006A7FF2">
        <w:rPr>
          <w:rFonts w:ascii="Times New Roman" w:hAnsi="Times New Roman" w:cs="Times New Roman"/>
          <w:sz w:val="20"/>
          <w:szCs w:val="20"/>
          <w:lang w:val="en-US"/>
        </w:rPr>
        <w:t xml:space="preserve">, </w:t>
      </w:r>
      <w:proofErr w:type="spellStart"/>
      <w:proofErr w:type="gramStart"/>
      <w:r w:rsidR="006046C1" w:rsidRPr="006A7FF2">
        <w:rPr>
          <w:rFonts w:ascii="Times New Roman" w:hAnsi="Times New Roman" w:cs="Times New Roman"/>
          <w:sz w:val="20"/>
          <w:szCs w:val="20"/>
          <w:lang w:val="en-US"/>
        </w:rPr>
        <w:t>R.Karimov</w:t>
      </w:r>
      <w:proofErr w:type="spellEnd"/>
      <w:proofErr w:type="gramEnd"/>
      <w:r w:rsidR="006046C1" w:rsidRPr="006A7FF2">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Xushvaktov</w:t>
      </w:r>
      <w:proofErr w:type="spellEnd"/>
      <w:proofErr w:type="gramEnd"/>
      <w:r w:rsidR="006046C1" w:rsidRPr="00B33D98">
        <w:rPr>
          <w:rFonts w:ascii="Times New Roman" w:hAnsi="Times New Roman" w:cs="Times New Roman"/>
          <w:sz w:val="20"/>
          <w:szCs w:val="20"/>
          <w:lang w:val="en-US"/>
        </w:rPr>
        <w:t>,</w:t>
      </w:r>
      <w:r w:rsidR="006046C1" w:rsidRPr="006A7FF2">
        <w:rPr>
          <w:rFonts w:ascii="Times New Roman" w:hAnsi="Times New Roman" w:cs="Times New Roman"/>
          <w:sz w:val="20"/>
          <w:szCs w:val="20"/>
          <w:lang w:val="en-US"/>
        </w:rPr>
        <w:t xml:space="preserve"> </w:t>
      </w:r>
      <w:proofErr w:type="spellStart"/>
      <w:proofErr w:type="gramStart"/>
      <w:r w:rsidR="006046C1" w:rsidRPr="006A7FF2">
        <w:rPr>
          <w:rFonts w:ascii="Times New Roman" w:hAnsi="Times New Roman" w:cs="Times New Roman"/>
          <w:sz w:val="20"/>
          <w:szCs w:val="20"/>
          <w:lang w:val="en-US"/>
        </w:rPr>
        <w:t>N.Tairova</w:t>
      </w:r>
      <w:proofErr w:type="spellEnd"/>
      <w:proofErr w:type="gramEnd"/>
      <w:r w:rsidR="006046C1" w:rsidRPr="006A7FF2">
        <w:rPr>
          <w:rFonts w:ascii="Times New Roman" w:hAnsi="Times New Roman" w:cs="Times New Roman"/>
          <w:sz w:val="20"/>
          <w:szCs w:val="20"/>
          <w:lang w:val="en-US"/>
        </w:rPr>
        <w:t xml:space="preserve">, </w:t>
      </w:r>
      <w:proofErr w:type="spellStart"/>
      <w:proofErr w:type="gramStart"/>
      <w:r w:rsidR="006046C1" w:rsidRPr="006A7FF2">
        <w:rPr>
          <w:rFonts w:ascii="Times New Roman" w:hAnsi="Times New Roman" w:cs="Times New Roman"/>
          <w:sz w:val="20"/>
          <w:szCs w:val="20"/>
          <w:lang w:val="en-US"/>
        </w:rPr>
        <w:t>A.Yusubaliev</w:t>
      </w:r>
      <w:proofErr w:type="spellEnd"/>
      <w:proofErr w:type="gramEnd"/>
      <w:r w:rsidR="006046C1">
        <w:rPr>
          <w:rFonts w:ascii="Times New Roman" w:hAnsi="Times New Roman" w:cs="Times New Roman"/>
          <w:sz w:val="20"/>
          <w:szCs w:val="20"/>
          <w:lang w:val="en-US"/>
        </w:rPr>
        <w:t xml:space="preserve">. </w:t>
      </w:r>
      <w:r w:rsidR="006046C1" w:rsidRPr="006A7FF2">
        <w:rPr>
          <w:rFonts w:ascii="Times New Roman" w:hAnsi="Times New Roman" w:cs="Times New Roman"/>
          <w:i/>
          <w:sz w:val="20"/>
          <w:szCs w:val="20"/>
          <w:lang w:val="en-US"/>
        </w:rPr>
        <w:t>Development of Contactless Device Schemes for Automatic Control of the Power of a Capacitor Battery</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42</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26" w:history="1">
        <w:r w:rsidR="006046C1" w:rsidRPr="00E36678">
          <w:rPr>
            <w:rStyle w:val="a3"/>
            <w:rFonts w:ascii="Times New Roman" w:hAnsi="Times New Roman" w:cs="Times New Roman"/>
            <w:sz w:val="20"/>
            <w:szCs w:val="20"/>
            <w:lang w:val="en-US"/>
          </w:rPr>
          <w:t>https://doi.org/10.1063/5.0305879</w:t>
        </w:r>
      </w:hyperlink>
      <w:r w:rsidR="006046C1">
        <w:rPr>
          <w:rFonts w:ascii="Times New Roman" w:hAnsi="Times New Roman" w:cs="Times New Roman"/>
          <w:sz w:val="20"/>
          <w:szCs w:val="20"/>
          <w:lang w:val="en-US"/>
        </w:rPr>
        <w:t xml:space="preserve"> </w:t>
      </w:r>
    </w:p>
    <w:p w14:paraId="6CCC8822"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11</w:t>
      </w:r>
      <w:r w:rsidR="006046C1">
        <w:rPr>
          <w:rFonts w:ascii="Times New Roman" w:hAnsi="Times New Roman" w:cs="Times New Roman"/>
          <w:sz w:val="20"/>
          <w:szCs w:val="20"/>
          <w:lang w:val="en-US"/>
        </w:rPr>
        <w:t xml:space="preserve">. </w:t>
      </w:r>
      <w:proofErr w:type="spellStart"/>
      <w:proofErr w:type="gramStart"/>
      <w:r w:rsidR="006046C1" w:rsidRPr="00620612">
        <w:rPr>
          <w:rFonts w:ascii="Times New Roman" w:hAnsi="Times New Roman" w:cs="Times New Roman"/>
          <w:sz w:val="20"/>
          <w:szCs w:val="20"/>
          <w:lang w:val="en-US"/>
        </w:rPr>
        <w:t>M.Sadullaev</w:t>
      </w:r>
      <w:proofErr w:type="spellEnd"/>
      <w:proofErr w:type="gramEnd"/>
      <w:r w:rsidR="006046C1" w:rsidRPr="00620612">
        <w:rPr>
          <w:rFonts w:ascii="Times New Roman" w:hAnsi="Times New Roman" w:cs="Times New Roman"/>
          <w:sz w:val="20"/>
          <w:szCs w:val="20"/>
          <w:lang w:val="en-US"/>
        </w:rPr>
        <w:t xml:space="preserve">, </w:t>
      </w:r>
      <w:proofErr w:type="spellStart"/>
      <w:proofErr w:type="gramStart"/>
      <w:r w:rsidR="006046C1" w:rsidRPr="00620612">
        <w:rPr>
          <w:rFonts w:ascii="Times New Roman" w:hAnsi="Times New Roman" w:cs="Times New Roman"/>
          <w:sz w:val="20"/>
          <w:szCs w:val="20"/>
          <w:lang w:val="en-US"/>
        </w:rPr>
        <w:t>E.Usmanov</w:t>
      </w:r>
      <w:proofErr w:type="spellEnd"/>
      <w:proofErr w:type="gramEnd"/>
      <w:r w:rsidR="006046C1" w:rsidRPr="00620612">
        <w:rPr>
          <w:rFonts w:ascii="Times New Roman" w:hAnsi="Times New Roman" w:cs="Times New Roman"/>
          <w:sz w:val="20"/>
          <w:szCs w:val="20"/>
          <w:lang w:val="en-US"/>
        </w:rPr>
        <w:t xml:space="preserve">, </w:t>
      </w:r>
      <w:proofErr w:type="spellStart"/>
      <w:proofErr w:type="gramStart"/>
      <w:r w:rsidR="006046C1" w:rsidRPr="00620612">
        <w:rPr>
          <w:rFonts w:ascii="Times New Roman" w:hAnsi="Times New Roman" w:cs="Times New Roman"/>
          <w:sz w:val="20"/>
          <w:szCs w:val="20"/>
          <w:lang w:val="en-US"/>
        </w:rPr>
        <w:t>R.Karimov</w:t>
      </w:r>
      <w:proofErr w:type="spellEnd"/>
      <w:proofErr w:type="gramEnd"/>
      <w:r w:rsidR="006046C1" w:rsidRPr="00620612">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Xushvaktov</w:t>
      </w:r>
      <w:proofErr w:type="spellEnd"/>
      <w:proofErr w:type="gramEnd"/>
      <w:r w:rsidR="006046C1" w:rsidRPr="00B33D98">
        <w:rPr>
          <w:rFonts w:ascii="Times New Roman" w:hAnsi="Times New Roman" w:cs="Times New Roman"/>
          <w:sz w:val="20"/>
          <w:szCs w:val="20"/>
          <w:lang w:val="en-US"/>
        </w:rPr>
        <w:t>,</w:t>
      </w:r>
      <w:r w:rsidR="006046C1" w:rsidRPr="006A7FF2">
        <w:rPr>
          <w:rFonts w:ascii="Times New Roman" w:hAnsi="Times New Roman" w:cs="Times New Roman"/>
          <w:sz w:val="20"/>
          <w:szCs w:val="20"/>
          <w:lang w:val="en-US"/>
        </w:rPr>
        <w:t xml:space="preserve"> </w:t>
      </w:r>
      <w:proofErr w:type="spellStart"/>
      <w:proofErr w:type="gramStart"/>
      <w:r w:rsidR="006046C1" w:rsidRPr="00620612">
        <w:rPr>
          <w:rFonts w:ascii="Times New Roman" w:hAnsi="Times New Roman" w:cs="Times New Roman"/>
          <w:sz w:val="20"/>
          <w:szCs w:val="20"/>
          <w:lang w:val="en-US"/>
        </w:rPr>
        <w:t>N.Tairova</w:t>
      </w:r>
      <w:proofErr w:type="spellEnd"/>
      <w:proofErr w:type="gramEnd"/>
      <w:r w:rsidR="006046C1" w:rsidRPr="00620612">
        <w:rPr>
          <w:rFonts w:ascii="Times New Roman" w:hAnsi="Times New Roman" w:cs="Times New Roman"/>
          <w:sz w:val="20"/>
          <w:szCs w:val="20"/>
          <w:lang w:val="en-US"/>
        </w:rPr>
        <w:t xml:space="preserve">, </w:t>
      </w:r>
      <w:proofErr w:type="spellStart"/>
      <w:proofErr w:type="gramStart"/>
      <w:r w:rsidR="006046C1" w:rsidRPr="00620612">
        <w:rPr>
          <w:rFonts w:ascii="Times New Roman" w:hAnsi="Times New Roman" w:cs="Times New Roman"/>
          <w:sz w:val="20"/>
          <w:szCs w:val="20"/>
          <w:lang w:val="en-US"/>
        </w:rPr>
        <w:t>A.Yusubaliev</w:t>
      </w:r>
      <w:proofErr w:type="spellEnd"/>
      <w:proofErr w:type="gramEnd"/>
      <w:r w:rsidR="006046C1">
        <w:rPr>
          <w:rFonts w:ascii="Times New Roman" w:hAnsi="Times New Roman" w:cs="Times New Roman"/>
          <w:sz w:val="20"/>
          <w:szCs w:val="20"/>
          <w:lang w:val="en-US"/>
        </w:rPr>
        <w:t xml:space="preserve">. </w:t>
      </w:r>
      <w:r w:rsidR="006046C1" w:rsidRPr="00620612">
        <w:rPr>
          <w:rFonts w:ascii="Times New Roman" w:hAnsi="Times New Roman" w:cs="Times New Roman"/>
          <w:i/>
          <w:sz w:val="20"/>
          <w:szCs w:val="20"/>
          <w:lang w:val="en-US"/>
        </w:rPr>
        <w:t>Review of Literature Sources and Internet Materials on Contactless Devices for Reactive Power Compensation</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41</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27" w:history="1">
        <w:r w:rsidR="006046C1" w:rsidRPr="00E36678">
          <w:rPr>
            <w:rStyle w:val="a3"/>
            <w:rFonts w:ascii="Times New Roman" w:hAnsi="Times New Roman" w:cs="Times New Roman"/>
            <w:sz w:val="20"/>
            <w:szCs w:val="20"/>
            <w:lang w:val="en-US"/>
          </w:rPr>
          <w:t>https://doi.org/10.1063/5.0305878</w:t>
        </w:r>
      </w:hyperlink>
      <w:r w:rsidR="006046C1">
        <w:rPr>
          <w:rFonts w:ascii="Times New Roman" w:hAnsi="Times New Roman" w:cs="Times New Roman"/>
          <w:sz w:val="20"/>
          <w:szCs w:val="20"/>
          <w:lang w:val="en-US"/>
        </w:rPr>
        <w:t xml:space="preserve"> </w:t>
      </w:r>
    </w:p>
    <w:p w14:paraId="084237CA"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12</w:t>
      </w:r>
      <w:r w:rsidR="006046C1">
        <w:rPr>
          <w:rFonts w:ascii="Times New Roman" w:hAnsi="Times New Roman" w:cs="Times New Roman"/>
          <w:sz w:val="20"/>
          <w:szCs w:val="20"/>
          <w:lang w:val="en-US"/>
        </w:rPr>
        <w:t xml:space="preserve">. </w:t>
      </w:r>
      <w:proofErr w:type="spellStart"/>
      <w:proofErr w:type="gramStart"/>
      <w:r w:rsidR="006046C1" w:rsidRPr="00627C6D">
        <w:rPr>
          <w:rFonts w:ascii="Times New Roman" w:hAnsi="Times New Roman" w:cs="Times New Roman"/>
          <w:sz w:val="20"/>
          <w:szCs w:val="20"/>
          <w:lang w:val="en-US"/>
        </w:rPr>
        <w:t>M.Sadullaev</w:t>
      </w:r>
      <w:proofErr w:type="spellEnd"/>
      <w:proofErr w:type="gramEnd"/>
      <w:r w:rsidR="006046C1" w:rsidRPr="00627C6D">
        <w:rPr>
          <w:rFonts w:ascii="Times New Roman" w:hAnsi="Times New Roman" w:cs="Times New Roman"/>
          <w:sz w:val="20"/>
          <w:szCs w:val="20"/>
          <w:lang w:val="en-US"/>
        </w:rPr>
        <w:t xml:space="preserve">, </w:t>
      </w:r>
      <w:proofErr w:type="spellStart"/>
      <w:proofErr w:type="gramStart"/>
      <w:r w:rsidR="006046C1" w:rsidRPr="00627C6D">
        <w:rPr>
          <w:rFonts w:ascii="Times New Roman" w:hAnsi="Times New Roman" w:cs="Times New Roman"/>
          <w:sz w:val="20"/>
          <w:szCs w:val="20"/>
          <w:lang w:val="en-US"/>
        </w:rPr>
        <w:t>M.Bobojanov</w:t>
      </w:r>
      <w:proofErr w:type="spellEnd"/>
      <w:proofErr w:type="gramEnd"/>
      <w:r w:rsidR="006046C1" w:rsidRPr="00627C6D">
        <w:rPr>
          <w:rFonts w:ascii="Times New Roman" w:hAnsi="Times New Roman" w:cs="Times New Roman"/>
          <w:sz w:val="20"/>
          <w:szCs w:val="20"/>
          <w:lang w:val="en-US"/>
        </w:rPr>
        <w:t xml:space="preserve">, </w:t>
      </w:r>
      <w:proofErr w:type="spellStart"/>
      <w:proofErr w:type="gramStart"/>
      <w:r w:rsidR="006046C1" w:rsidRPr="00627C6D">
        <w:rPr>
          <w:rFonts w:ascii="Times New Roman" w:hAnsi="Times New Roman" w:cs="Times New Roman"/>
          <w:sz w:val="20"/>
          <w:szCs w:val="20"/>
          <w:lang w:val="en-US"/>
        </w:rPr>
        <w:t>R.Karimov</w:t>
      </w:r>
      <w:proofErr w:type="spellEnd"/>
      <w:proofErr w:type="gramEnd"/>
      <w:r w:rsidR="006046C1" w:rsidRPr="00627C6D">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Xushvaktov</w:t>
      </w:r>
      <w:proofErr w:type="spellEnd"/>
      <w:proofErr w:type="gramEnd"/>
      <w:r w:rsidR="006046C1" w:rsidRPr="00B33D98">
        <w:rPr>
          <w:rFonts w:ascii="Times New Roman" w:hAnsi="Times New Roman" w:cs="Times New Roman"/>
          <w:sz w:val="20"/>
          <w:szCs w:val="20"/>
          <w:lang w:val="en-US"/>
        </w:rPr>
        <w:t>,</w:t>
      </w:r>
      <w:r w:rsidR="006046C1" w:rsidRPr="006A7FF2">
        <w:rPr>
          <w:rFonts w:ascii="Times New Roman" w:hAnsi="Times New Roman" w:cs="Times New Roman"/>
          <w:sz w:val="20"/>
          <w:szCs w:val="20"/>
          <w:lang w:val="en-US"/>
        </w:rPr>
        <w:t xml:space="preserve"> </w:t>
      </w:r>
      <w:proofErr w:type="spellStart"/>
      <w:proofErr w:type="gramStart"/>
      <w:r w:rsidR="006046C1" w:rsidRPr="00627C6D">
        <w:rPr>
          <w:rFonts w:ascii="Times New Roman" w:hAnsi="Times New Roman" w:cs="Times New Roman"/>
          <w:sz w:val="20"/>
          <w:szCs w:val="20"/>
          <w:lang w:val="en-US"/>
        </w:rPr>
        <w:t>Y.Shoyimov</w:t>
      </w:r>
      <w:proofErr w:type="spellEnd"/>
      <w:proofErr w:type="gramEnd"/>
      <w:r w:rsidR="006046C1" w:rsidRPr="00627C6D">
        <w:rPr>
          <w:rFonts w:ascii="Times New Roman" w:hAnsi="Times New Roman" w:cs="Times New Roman"/>
          <w:sz w:val="20"/>
          <w:szCs w:val="20"/>
          <w:lang w:val="en-US"/>
        </w:rPr>
        <w:t xml:space="preserve">, </w:t>
      </w:r>
      <w:proofErr w:type="spellStart"/>
      <w:proofErr w:type="gramStart"/>
      <w:r w:rsidR="006046C1" w:rsidRPr="00627C6D">
        <w:rPr>
          <w:rFonts w:ascii="Times New Roman" w:hAnsi="Times New Roman" w:cs="Times New Roman"/>
          <w:sz w:val="20"/>
          <w:szCs w:val="20"/>
          <w:lang w:val="en-US"/>
        </w:rPr>
        <w:t>H.Achilov</w:t>
      </w:r>
      <w:proofErr w:type="spellEnd"/>
      <w:proofErr w:type="gramEnd"/>
      <w:r w:rsidR="006046C1">
        <w:rPr>
          <w:rFonts w:ascii="Times New Roman" w:hAnsi="Times New Roman" w:cs="Times New Roman"/>
          <w:sz w:val="20"/>
          <w:szCs w:val="20"/>
          <w:lang w:val="en-US"/>
        </w:rPr>
        <w:t>.</w:t>
      </w:r>
      <w:r w:rsidR="006046C1" w:rsidRPr="00627C6D">
        <w:rPr>
          <w:rFonts w:ascii="Times New Roman" w:hAnsi="Times New Roman" w:cs="Times New Roman"/>
          <w:sz w:val="20"/>
          <w:szCs w:val="20"/>
          <w:lang w:val="en-US"/>
        </w:rPr>
        <w:t xml:space="preserve"> </w:t>
      </w:r>
      <w:r w:rsidR="006046C1" w:rsidRPr="00627C6D">
        <w:rPr>
          <w:rFonts w:ascii="Times New Roman" w:hAnsi="Times New Roman" w:cs="Times New Roman"/>
          <w:i/>
          <w:sz w:val="20"/>
          <w:szCs w:val="20"/>
          <w:lang w:val="en-US"/>
        </w:rPr>
        <w:t>Experimental Studies of Contactless Devices for Controlling the Power of Capacitor Batteries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44</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28" w:history="1">
        <w:r w:rsidR="006046C1" w:rsidRPr="00E36678">
          <w:rPr>
            <w:rStyle w:val="a3"/>
            <w:rFonts w:ascii="Times New Roman" w:hAnsi="Times New Roman" w:cs="Times New Roman"/>
            <w:sz w:val="20"/>
            <w:szCs w:val="20"/>
            <w:lang w:val="en-US"/>
          </w:rPr>
          <w:t>https://doi.org/10.1063/5.0307195</w:t>
        </w:r>
      </w:hyperlink>
      <w:r w:rsidR="006046C1">
        <w:rPr>
          <w:rFonts w:ascii="Times New Roman" w:hAnsi="Times New Roman" w:cs="Times New Roman"/>
          <w:sz w:val="20"/>
          <w:szCs w:val="20"/>
          <w:lang w:val="en-US"/>
        </w:rPr>
        <w:t xml:space="preserve"> </w:t>
      </w:r>
    </w:p>
    <w:p w14:paraId="333B601D"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13</w:t>
      </w:r>
      <w:r w:rsidR="006046C1">
        <w:rPr>
          <w:rFonts w:ascii="Times New Roman" w:hAnsi="Times New Roman" w:cs="Times New Roman"/>
          <w:sz w:val="20"/>
          <w:szCs w:val="20"/>
          <w:lang w:val="en-US"/>
        </w:rPr>
        <w:t xml:space="preserve">. </w:t>
      </w:r>
      <w:proofErr w:type="spellStart"/>
      <w:proofErr w:type="gramStart"/>
      <w:r w:rsidR="006046C1" w:rsidRPr="009459AF">
        <w:rPr>
          <w:rFonts w:ascii="Times New Roman" w:hAnsi="Times New Roman" w:cs="Times New Roman"/>
          <w:sz w:val="20"/>
          <w:szCs w:val="20"/>
          <w:lang w:val="en-US"/>
        </w:rPr>
        <w:t>E.Usmanov</w:t>
      </w:r>
      <w:proofErr w:type="spellEnd"/>
      <w:proofErr w:type="gramEnd"/>
      <w:r w:rsidR="006046C1" w:rsidRPr="009459AF">
        <w:rPr>
          <w:rFonts w:ascii="Times New Roman" w:hAnsi="Times New Roman" w:cs="Times New Roman"/>
          <w:sz w:val="20"/>
          <w:szCs w:val="20"/>
          <w:lang w:val="en-US"/>
        </w:rPr>
        <w:t xml:space="preserve">, </w:t>
      </w:r>
      <w:proofErr w:type="spellStart"/>
      <w:proofErr w:type="gramStart"/>
      <w:r w:rsidR="006046C1" w:rsidRPr="009459AF">
        <w:rPr>
          <w:rFonts w:ascii="Times New Roman" w:hAnsi="Times New Roman" w:cs="Times New Roman"/>
          <w:sz w:val="20"/>
          <w:szCs w:val="20"/>
          <w:lang w:val="en-US"/>
        </w:rPr>
        <w:t>M.Bobojanov</w:t>
      </w:r>
      <w:proofErr w:type="spellEnd"/>
      <w:proofErr w:type="gramEnd"/>
      <w:r w:rsidR="006046C1" w:rsidRPr="009459AF">
        <w:rPr>
          <w:rFonts w:ascii="Times New Roman" w:hAnsi="Times New Roman" w:cs="Times New Roman"/>
          <w:sz w:val="20"/>
          <w:szCs w:val="20"/>
          <w:lang w:val="en-US"/>
        </w:rPr>
        <w:t xml:space="preserve">, </w:t>
      </w:r>
      <w:proofErr w:type="spellStart"/>
      <w:proofErr w:type="gramStart"/>
      <w:r w:rsidR="006046C1" w:rsidRPr="009459AF">
        <w:rPr>
          <w:rFonts w:ascii="Times New Roman" w:hAnsi="Times New Roman" w:cs="Times New Roman"/>
          <w:sz w:val="20"/>
          <w:szCs w:val="20"/>
          <w:lang w:val="en-US"/>
        </w:rPr>
        <w:t>R.Karimov</w:t>
      </w:r>
      <w:proofErr w:type="spellEnd"/>
      <w:proofErr w:type="gramEnd"/>
      <w:r w:rsidR="006046C1" w:rsidRPr="009459AF">
        <w:rPr>
          <w:rFonts w:ascii="Times New Roman" w:hAnsi="Times New Roman" w:cs="Times New Roman"/>
          <w:sz w:val="20"/>
          <w:szCs w:val="20"/>
          <w:lang w:val="en-US"/>
        </w:rPr>
        <w:t xml:space="preserve">, </w:t>
      </w:r>
      <w:proofErr w:type="spellStart"/>
      <w:proofErr w:type="gramStart"/>
      <w:r w:rsidR="006046C1" w:rsidRPr="00B33D98">
        <w:rPr>
          <w:rFonts w:ascii="Times New Roman" w:hAnsi="Times New Roman" w:cs="Times New Roman"/>
          <w:sz w:val="20"/>
          <w:szCs w:val="20"/>
          <w:lang w:val="en-US"/>
        </w:rPr>
        <w:t>D</w:t>
      </w:r>
      <w:r w:rsidR="006046C1">
        <w:rPr>
          <w:rFonts w:ascii="Times New Roman" w:hAnsi="Times New Roman" w:cs="Times New Roman"/>
          <w:sz w:val="20"/>
          <w:szCs w:val="20"/>
          <w:lang w:val="en-US"/>
        </w:rPr>
        <w:t>.</w:t>
      </w:r>
      <w:r w:rsidR="006046C1" w:rsidRPr="00B33D98">
        <w:rPr>
          <w:rFonts w:ascii="Times New Roman" w:hAnsi="Times New Roman" w:cs="Times New Roman"/>
          <w:sz w:val="20"/>
          <w:szCs w:val="20"/>
          <w:lang w:val="en-US"/>
        </w:rPr>
        <w:t>Xalmanov</w:t>
      </w:r>
      <w:proofErr w:type="spellEnd"/>
      <w:proofErr w:type="gramEnd"/>
      <w:r w:rsidR="006046C1">
        <w:rPr>
          <w:rFonts w:ascii="Times New Roman" w:hAnsi="Times New Roman" w:cs="Times New Roman"/>
          <w:sz w:val="20"/>
          <w:szCs w:val="20"/>
          <w:lang w:val="en-US"/>
        </w:rPr>
        <w:t>,</w:t>
      </w:r>
      <w:r w:rsidR="006046C1" w:rsidRPr="009459AF">
        <w:rPr>
          <w:rFonts w:ascii="Times New Roman" w:hAnsi="Times New Roman" w:cs="Times New Roman"/>
          <w:sz w:val="20"/>
          <w:szCs w:val="20"/>
          <w:lang w:val="en-US"/>
        </w:rPr>
        <w:t xml:space="preserve"> </w:t>
      </w:r>
      <w:proofErr w:type="spellStart"/>
      <w:proofErr w:type="gramStart"/>
      <w:r w:rsidR="006046C1" w:rsidRPr="009459AF">
        <w:rPr>
          <w:rFonts w:ascii="Times New Roman" w:hAnsi="Times New Roman" w:cs="Times New Roman"/>
          <w:sz w:val="20"/>
          <w:szCs w:val="20"/>
          <w:lang w:val="en-US"/>
        </w:rPr>
        <w:t>N.Tairova</w:t>
      </w:r>
      <w:proofErr w:type="spellEnd"/>
      <w:proofErr w:type="gramEnd"/>
      <w:r w:rsidR="006046C1" w:rsidRPr="009459AF">
        <w:rPr>
          <w:rFonts w:ascii="Times New Roman" w:hAnsi="Times New Roman" w:cs="Times New Roman"/>
          <w:sz w:val="20"/>
          <w:szCs w:val="20"/>
          <w:lang w:val="en-US"/>
        </w:rPr>
        <w:t xml:space="preserve">, </w:t>
      </w:r>
      <w:proofErr w:type="spellStart"/>
      <w:proofErr w:type="gramStart"/>
      <w:r w:rsidR="006046C1" w:rsidRPr="009459AF">
        <w:rPr>
          <w:rFonts w:ascii="Times New Roman" w:hAnsi="Times New Roman" w:cs="Times New Roman"/>
          <w:sz w:val="20"/>
          <w:szCs w:val="20"/>
          <w:lang w:val="en-US"/>
        </w:rPr>
        <w:t>S.Torayev</w:t>
      </w:r>
      <w:proofErr w:type="spellEnd"/>
      <w:proofErr w:type="gramEnd"/>
      <w:r w:rsidR="006046C1">
        <w:rPr>
          <w:rFonts w:ascii="Times New Roman" w:hAnsi="Times New Roman" w:cs="Times New Roman"/>
          <w:sz w:val="20"/>
          <w:szCs w:val="20"/>
          <w:lang w:val="en-US"/>
        </w:rPr>
        <w:t xml:space="preserve">. </w:t>
      </w:r>
      <w:r w:rsidR="006046C1" w:rsidRPr="009459AF">
        <w:rPr>
          <w:rFonts w:ascii="Times New Roman" w:hAnsi="Times New Roman" w:cs="Times New Roman"/>
          <w:i/>
          <w:sz w:val="20"/>
          <w:szCs w:val="20"/>
          <w:lang w:val="en-US"/>
        </w:rPr>
        <w:t>Contactless Switching Devices Using Nonlinear Circuits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31</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29" w:history="1">
        <w:r w:rsidR="006046C1" w:rsidRPr="00E36678">
          <w:rPr>
            <w:rStyle w:val="a3"/>
            <w:rFonts w:ascii="Times New Roman" w:hAnsi="Times New Roman" w:cs="Times New Roman"/>
            <w:sz w:val="20"/>
            <w:szCs w:val="20"/>
            <w:lang w:val="en-US"/>
          </w:rPr>
          <w:t>https://doi.org/10.1063/5.0305744</w:t>
        </w:r>
      </w:hyperlink>
      <w:r w:rsidR="006046C1">
        <w:rPr>
          <w:rFonts w:ascii="Times New Roman" w:hAnsi="Times New Roman" w:cs="Times New Roman"/>
          <w:sz w:val="20"/>
          <w:szCs w:val="20"/>
          <w:lang w:val="en-US"/>
        </w:rPr>
        <w:t xml:space="preserve"> </w:t>
      </w:r>
    </w:p>
    <w:p w14:paraId="418D1476" w14:textId="77777777" w:rsidR="00CD7060" w:rsidRDefault="006046C1"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D7060">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proofErr w:type="spellStart"/>
      <w:proofErr w:type="gramStart"/>
      <w:r w:rsidRPr="00D063C4">
        <w:rPr>
          <w:rFonts w:ascii="Times New Roman" w:hAnsi="Times New Roman" w:cs="Times New Roman"/>
          <w:sz w:val="20"/>
          <w:szCs w:val="20"/>
          <w:lang w:val="en-US"/>
        </w:rPr>
        <w:t>K.Abidov</w:t>
      </w:r>
      <w:proofErr w:type="spellEnd"/>
      <w:proofErr w:type="gramEnd"/>
      <w:r w:rsidRPr="00D063C4">
        <w:rPr>
          <w:rFonts w:ascii="Times New Roman" w:hAnsi="Times New Roman" w:cs="Times New Roman"/>
          <w:sz w:val="20"/>
          <w:szCs w:val="20"/>
          <w:lang w:val="en-US"/>
        </w:rPr>
        <w:t xml:space="preserve">, </w:t>
      </w:r>
      <w:proofErr w:type="spellStart"/>
      <w:proofErr w:type="gramStart"/>
      <w:r w:rsidRPr="00D063C4">
        <w:rPr>
          <w:rFonts w:ascii="Times New Roman" w:hAnsi="Times New Roman" w:cs="Times New Roman"/>
          <w:sz w:val="20"/>
          <w:szCs w:val="20"/>
          <w:lang w:val="en-US"/>
        </w:rPr>
        <w:t>A.Alimov</w:t>
      </w:r>
      <w:proofErr w:type="spellEnd"/>
      <w:proofErr w:type="gramEnd"/>
      <w:r w:rsidRPr="00D063C4">
        <w:rPr>
          <w:rFonts w:ascii="Times New Roman" w:hAnsi="Times New Roman" w:cs="Times New Roman"/>
          <w:sz w:val="20"/>
          <w:szCs w:val="20"/>
          <w:lang w:val="en-US"/>
        </w:rPr>
        <w:t xml:space="preserve">, </w:t>
      </w:r>
      <w:proofErr w:type="spellStart"/>
      <w:proofErr w:type="gramStart"/>
      <w:r w:rsidRPr="00D063C4">
        <w:rPr>
          <w:rFonts w:ascii="Times New Roman" w:hAnsi="Times New Roman" w:cs="Times New Roman"/>
          <w:sz w:val="20"/>
          <w:szCs w:val="20"/>
          <w:lang w:val="en-US"/>
        </w:rPr>
        <w:t>M.Gafurova</w:t>
      </w:r>
      <w:proofErr w:type="spellEnd"/>
      <w:proofErr w:type="gramEnd"/>
      <w:r>
        <w:rPr>
          <w:rFonts w:ascii="Times New Roman" w:hAnsi="Times New Roman" w:cs="Times New Roman"/>
          <w:sz w:val="20"/>
          <w:szCs w:val="20"/>
          <w:lang w:val="uz-Cyrl-UZ"/>
        </w:rPr>
        <w:t>.</w:t>
      </w:r>
      <w:r w:rsidRPr="007C1F36">
        <w:rPr>
          <w:rFonts w:ascii="Times New Roman" w:hAnsi="Times New Roman" w:cs="Times New Roman"/>
          <w:i/>
          <w:sz w:val="20"/>
          <w:szCs w:val="20"/>
          <w:lang w:val="en-US"/>
        </w:rPr>
        <w:t xml:space="preserve"> Transients in Devices of Control Systems </w:t>
      </w:r>
      <w:proofErr w:type="gramStart"/>
      <w:r w:rsidRPr="007C1F36">
        <w:rPr>
          <w:rFonts w:ascii="Times New Roman" w:hAnsi="Times New Roman" w:cs="Times New Roman"/>
          <w:i/>
          <w:sz w:val="20"/>
          <w:szCs w:val="20"/>
          <w:lang w:val="en-US"/>
        </w:rPr>
        <w:t>With</w:t>
      </w:r>
      <w:proofErr w:type="gramEnd"/>
      <w:r w:rsidRPr="007C1F36">
        <w:rPr>
          <w:rFonts w:ascii="Times New Roman" w:hAnsi="Times New Roman" w:cs="Times New Roman"/>
          <w:i/>
          <w:sz w:val="20"/>
          <w:szCs w:val="20"/>
          <w:lang w:val="en-US"/>
        </w:rPr>
        <w:t xml:space="preserve"> Excitation Winding</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30" w:history="1">
        <w:r w:rsidRPr="00E36678">
          <w:rPr>
            <w:rStyle w:val="a3"/>
            <w:rFonts w:ascii="Times New Roman" w:hAnsi="Times New Roman" w:cs="Times New Roman"/>
            <w:sz w:val="20"/>
            <w:szCs w:val="20"/>
            <w:lang w:val="en-US"/>
          </w:rPr>
          <w:t>https://doi.org/10.1063/5.0305756</w:t>
        </w:r>
      </w:hyperlink>
      <w:r>
        <w:rPr>
          <w:rFonts w:ascii="Times New Roman" w:hAnsi="Times New Roman" w:cs="Times New Roman"/>
          <w:sz w:val="20"/>
          <w:szCs w:val="20"/>
          <w:lang w:val="en-US"/>
        </w:rPr>
        <w:t xml:space="preserve"> </w:t>
      </w:r>
    </w:p>
    <w:p w14:paraId="05647E0C"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15</w:t>
      </w:r>
      <w:r w:rsidR="006046C1">
        <w:rPr>
          <w:rFonts w:ascii="Times New Roman" w:hAnsi="Times New Roman" w:cs="Times New Roman"/>
          <w:sz w:val="20"/>
          <w:szCs w:val="20"/>
          <w:lang w:val="en-US"/>
        </w:rPr>
        <w:t xml:space="preserve">. </w:t>
      </w:r>
      <w:proofErr w:type="spellStart"/>
      <w:proofErr w:type="gramStart"/>
      <w:r w:rsidR="006046C1" w:rsidRPr="005452CA">
        <w:rPr>
          <w:rFonts w:ascii="Times New Roman" w:hAnsi="Times New Roman" w:cs="Times New Roman"/>
          <w:sz w:val="20"/>
          <w:szCs w:val="20"/>
          <w:lang w:val="en-US"/>
        </w:rPr>
        <w:t>K.Abidov</w:t>
      </w:r>
      <w:proofErr w:type="spellEnd"/>
      <w:proofErr w:type="gramEnd"/>
      <w:r w:rsidR="006046C1" w:rsidRPr="005452CA">
        <w:rPr>
          <w:rFonts w:ascii="Times New Roman" w:hAnsi="Times New Roman" w:cs="Times New Roman"/>
          <w:sz w:val="20"/>
          <w:szCs w:val="20"/>
          <w:lang w:val="en-US"/>
        </w:rPr>
        <w:t xml:space="preserve">, </w:t>
      </w:r>
      <w:proofErr w:type="spellStart"/>
      <w:proofErr w:type="gramStart"/>
      <w:r w:rsidR="006046C1" w:rsidRPr="005452CA">
        <w:rPr>
          <w:rFonts w:ascii="Times New Roman" w:hAnsi="Times New Roman" w:cs="Times New Roman"/>
          <w:sz w:val="20"/>
          <w:szCs w:val="20"/>
          <w:lang w:val="en-US"/>
        </w:rPr>
        <w:t>E.Abduraimov</w:t>
      </w:r>
      <w:proofErr w:type="spellEnd"/>
      <w:proofErr w:type="gramEnd"/>
      <w:r w:rsidR="006046C1" w:rsidRPr="005452CA">
        <w:rPr>
          <w:rFonts w:ascii="Times New Roman" w:hAnsi="Times New Roman" w:cs="Times New Roman"/>
          <w:sz w:val="20"/>
          <w:szCs w:val="20"/>
          <w:lang w:val="en-US"/>
        </w:rPr>
        <w:t xml:space="preserve">, </w:t>
      </w:r>
      <w:proofErr w:type="spellStart"/>
      <w:proofErr w:type="gramStart"/>
      <w:r w:rsidR="006046C1" w:rsidRPr="005452CA">
        <w:rPr>
          <w:rFonts w:ascii="Times New Roman" w:hAnsi="Times New Roman" w:cs="Times New Roman"/>
          <w:sz w:val="20"/>
          <w:szCs w:val="20"/>
          <w:lang w:val="en-US"/>
        </w:rPr>
        <w:t>M.Gafurova</w:t>
      </w:r>
      <w:proofErr w:type="spellEnd"/>
      <w:proofErr w:type="gramEnd"/>
      <w:r w:rsidR="006046C1">
        <w:rPr>
          <w:rFonts w:ascii="Times New Roman" w:hAnsi="Times New Roman" w:cs="Times New Roman"/>
          <w:sz w:val="20"/>
          <w:szCs w:val="20"/>
          <w:lang w:val="en-US"/>
        </w:rPr>
        <w:t>.</w:t>
      </w:r>
      <w:r w:rsidR="006046C1" w:rsidRPr="005452CA">
        <w:rPr>
          <w:rFonts w:ascii="Times New Roman" w:hAnsi="Times New Roman" w:cs="Times New Roman"/>
          <w:sz w:val="20"/>
          <w:szCs w:val="20"/>
          <w:lang w:val="en-US"/>
        </w:rPr>
        <w:t xml:space="preserve"> </w:t>
      </w:r>
      <w:r w:rsidR="006046C1" w:rsidRPr="005452CA">
        <w:rPr>
          <w:rFonts w:ascii="Times New Roman" w:hAnsi="Times New Roman" w:cs="Times New Roman"/>
          <w:i/>
          <w:sz w:val="20"/>
          <w:szCs w:val="20"/>
          <w:lang w:val="en-US"/>
        </w:rPr>
        <w:t>Possibility of Applying Methods of Analysis and Synthesis of Linear Electrical Circuits to Some Nonlinear Circuits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34</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31" w:history="1">
        <w:r w:rsidR="006046C1" w:rsidRPr="00E36678">
          <w:rPr>
            <w:rStyle w:val="a3"/>
            <w:rFonts w:ascii="Times New Roman" w:hAnsi="Times New Roman" w:cs="Times New Roman"/>
            <w:sz w:val="20"/>
            <w:szCs w:val="20"/>
            <w:lang w:val="en-US"/>
          </w:rPr>
          <w:t>https://doi.org/10.1063/5.0305757</w:t>
        </w:r>
      </w:hyperlink>
      <w:r w:rsidR="006046C1">
        <w:rPr>
          <w:rFonts w:ascii="Times New Roman" w:hAnsi="Times New Roman" w:cs="Times New Roman"/>
          <w:sz w:val="20"/>
          <w:szCs w:val="20"/>
          <w:lang w:val="en-US"/>
        </w:rPr>
        <w:t xml:space="preserve"> </w:t>
      </w:r>
    </w:p>
    <w:p w14:paraId="1F8DA115"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16</w:t>
      </w:r>
      <w:r w:rsidR="006046C1">
        <w:rPr>
          <w:rFonts w:ascii="Times New Roman" w:hAnsi="Times New Roman" w:cs="Times New Roman"/>
          <w:sz w:val="20"/>
          <w:szCs w:val="20"/>
          <w:lang w:val="en-US"/>
        </w:rPr>
        <w:t xml:space="preserve">. </w:t>
      </w:r>
      <w:proofErr w:type="spellStart"/>
      <w:proofErr w:type="gramStart"/>
      <w:r w:rsidR="006046C1" w:rsidRPr="00160F0C">
        <w:rPr>
          <w:rFonts w:ascii="Times New Roman" w:hAnsi="Times New Roman" w:cs="Times New Roman"/>
          <w:sz w:val="20"/>
          <w:szCs w:val="20"/>
          <w:lang w:val="en-US"/>
        </w:rPr>
        <w:t>O.Ishnazarov</w:t>
      </w:r>
      <w:proofErr w:type="spellEnd"/>
      <w:proofErr w:type="gramEnd"/>
      <w:r w:rsidR="006046C1" w:rsidRPr="00160F0C">
        <w:rPr>
          <w:rFonts w:ascii="Times New Roman" w:hAnsi="Times New Roman" w:cs="Times New Roman"/>
          <w:sz w:val="20"/>
          <w:szCs w:val="20"/>
          <w:lang w:val="en-US"/>
        </w:rPr>
        <w:t xml:space="preserve">, </w:t>
      </w:r>
      <w:proofErr w:type="spellStart"/>
      <w:proofErr w:type="gramStart"/>
      <w:r w:rsidR="006046C1" w:rsidRPr="00160F0C">
        <w:rPr>
          <w:rFonts w:ascii="Times New Roman" w:hAnsi="Times New Roman" w:cs="Times New Roman"/>
          <w:sz w:val="20"/>
          <w:szCs w:val="20"/>
          <w:lang w:val="en-US"/>
        </w:rPr>
        <w:t>N.Khamudkhanova</w:t>
      </w:r>
      <w:proofErr w:type="spellEnd"/>
      <w:proofErr w:type="gramEnd"/>
      <w:r w:rsidR="006046C1" w:rsidRPr="00160F0C">
        <w:rPr>
          <w:rFonts w:ascii="Times New Roman" w:hAnsi="Times New Roman" w:cs="Times New Roman"/>
          <w:sz w:val="20"/>
          <w:szCs w:val="20"/>
          <w:lang w:val="en-US"/>
        </w:rPr>
        <w:t xml:space="preserve">, </w:t>
      </w:r>
      <w:proofErr w:type="spellStart"/>
      <w:proofErr w:type="gramStart"/>
      <w:r w:rsidR="006046C1" w:rsidRPr="00160F0C">
        <w:rPr>
          <w:rFonts w:ascii="Times New Roman" w:hAnsi="Times New Roman" w:cs="Times New Roman"/>
          <w:sz w:val="20"/>
          <w:szCs w:val="20"/>
          <w:lang w:val="en-US"/>
        </w:rPr>
        <w:t>K.Kholbutayeva</w:t>
      </w:r>
      <w:proofErr w:type="spellEnd"/>
      <w:proofErr w:type="gramEnd"/>
      <w:r w:rsidR="006046C1" w:rsidRPr="00160F0C">
        <w:rPr>
          <w:rFonts w:ascii="Times New Roman" w:hAnsi="Times New Roman" w:cs="Times New Roman"/>
          <w:sz w:val="20"/>
          <w:szCs w:val="20"/>
          <w:lang w:val="en-US"/>
        </w:rPr>
        <w:t xml:space="preserve">, </w:t>
      </w:r>
      <w:proofErr w:type="spellStart"/>
      <w:proofErr w:type="gramStart"/>
      <w:r w:rsidR="006046C1" w:rsidRPr="00160F0C">
        <w:rPr>
          <w:rFonts w:ascii="Times New Roman" w:hAnsi="Times New Roman" w:cs="Times New Roman"/>
          <w:sz w:val="20"/>
          <w:szCs w:val="20"/>
          <w:lang w:val="en-US"/>
        </w:rPr>
        <w:t>K.Abidov</w:t>
      </w:r>
      <w:proofErr w:type="spellEnd"/>
      <w:proofErr w:type="gramEnd"/>
      <w:r w:rsidR="006046C1">
        <w:rPr>
          <w:rFonts w:ascii="Times New Roman" w:hAnsi="Times New Roman" w:cs="Times New Roman"/>
          <w:sz w:val="20"/>
          <w:szCs w:val="20"/>
          <w:lang w:val="en-US"/>
        </w:rPr>
        <w:t>.</w:t>
      </w:r>
      <w:r w:rsidR="006046C1" w:rsidRPr="00160F0C">
        <w:rPr>
          <w:rFonts w:ascii="Times New Roman" w:hAnsi="Times New Roman" w:cs="Times New Roman"/>
          <w:sz w:val="20"/>
          <w:szCs w:val="20"/>
          <w:lang w:val="en-US"/>
        </w:rPr>
        <w:t xml:space="preserve"> </w:t>
      </w:r>
      <w:r w:rsidR="006046C1" w:rsidRPr="00160F0C">
        <w:rPr>
          <w:rFonts w:ascii="Times New Roman" w:hAnsi="Times New Roman" w:cs="Times New Roman"/>
          <w:i/>
          <w:sz w:val="20"/>
          <w:szCs w:val="20"/>
          <w:lang w:val="en-US"/>
        </w:rPr>
        <w:t>Energy Efficiency Optimization in Irrigation Pump Installations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AIP Conference 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36</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32" w:history="1">
        <w:r w:rsidR="006046C1" w:rsidRPr="00E36678">
          <w:rPr>
            <w:rStyle w:val="a3"/>
            <w:rFonts w:ascii="Times New Roman" w:hAnsi="Times New Roman" w:cs="Times New Roman"/>
            <w:sz w:val="20"/>
            <w:szCs w:val="20"/>
            <w:lang w:val="en-US"/>
          </w:rPr>
          <w:t>https://doi.org/10.1063/5.0305844</w:t>
        </w:r>
      </w:hyperlink>
      <w:r w:rsidR="006046C1">
        <w:rPr>
          <w:rFonts w:ascii="Times New Roman" w:hAnsi="Times New Roman" w:cs="Times New Roman"/>
          <w:sz w:val="20"/>
          <w:szCs w:val="20"/>
          <w:lang w:val="en-US"/>
        </w:rPr>
        <w:t xml:space="preserve"> </w:t>
      </w:r>
    </w:p>
    <w:p w14:paraId="2ABFCFFC"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17</w:t>
      </w:r>
      <w:r w:rsidR="006046C1">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K.Abidov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A.Alimov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N.Khamudkhanova</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M.Gafurova</w:t>
      </w:r>
      <w:proofErr w:type="spellEnd"/>
      <w:proofErr w:type="gramEnd"/>
      <w:r w:rsidR="006046C1">
        <w:rPr>
          <w:rFonts w:ascii="Times New Roman" w:hAnsi="Times New Roman" w:cs="Times New Roman"/>
          <w:sz w:val="20"/>
          <w:szCs w:val="20"/>
          <w:lang w:val="en-US"/>
        </w:rPr>
        <w:t>.</w:t>
      </w:r>
      <w:r w:rsidR="006046C1" w:rsidRPr="00A03FDC">
        <w:rPr>
          <w:rFonts w:ascii="Times New Roman" w:hAnsi="Times New Roman" w:cs="Times New Roman"/>
          <w:sz w:val="20"/>
          <w:szCs w:val="20"/>
          <w:lang w:val="en-US"/>
        </w:rPr>
        <w:t xml:space="preserve"> </w:t>
      </w:r>
      <w:r w:rsidR="006046C1" w:rsidRPr="00A03FDC">
        <w:rPr>
          <w:rFonts w:ascii="Times New Roman" w:hAnsi="Times New Roman" w:cs="Times New Roman"/>
          <w:i/>
          <w:sz w:val="20"/>
          <w:szCs w:val="20"/>
          <w:lang w:val="en-US"/>
        </w:rPr>
        <w:t xml:space="preserve">Determination of the Permissible Number of Pumping Units Supplied </w:t>
      </w:r>
      <w:proofErr w:type="gramStart"/>
      <w:r w:rsidR="006046C1" w:rsidRPr="00A03FDC">
        <w:rPr>
          <w:rFonts w:ascii="Times New Roman" w:hAnsi="Times New Roman" w:cs="Times New Roman"/>
          <w:i/>
          <w:sz w:val="20"/>
          <w:szCs w:val="20"/>
          <w:lang w:val="en-US"/>
        </w:rPr>
        <w:t>From</w:t>
      </w:r>
      <w:proofErr w:type="gramEnd"/>
      <w:r w:rsidR="006046C1" w:rsidRPr="00A03FDC">
        <w:rPr>
          <w:rFonts w:ascii="Times New Roman" w:hAnsi="Times New Roman" w:cs="Times New Roman"/>
          <w:i/>
          <w:sz w:val="20"/>
          <w:szCs w:val="20"/>
          <w:lang w:val="en-US"/>
        </w:rPr>
        <w:t xml:space="preserve"> the Transformer of the Amu-Zang-I Substation, Selection of the Power of Static Capacitors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AIP Conference</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Proceedings, 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29</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33" w:history="1">
        <w:r w:rsidR="006046C1" w:rsidRPr="00E36678">
          <w:rPr>
            <w:rStyle w:val="a3"/>
            <w:rFonts w:ascii="Times New Roman" w:hAnsi="Times New Roman" w:cs="Times New Roman"/>
            <w:sz w:val="20"/>
            <w:szCs w:val="20"/>
            <w:lang w:val="en-US"/>
          </w:rPr>
          <w:t>https://doi.org/10.1063/5.0305754</w:t>
        </w:r>
      </w:hyperlink>
      <w:r w:rsidR="006046C1">
        <w:rPr>
          <w:rFonts w:ascii="Times New Roman" w:hAnsi="Times New Roman" w:cs="Times New Roman"/>
          <w:sz w:val="20"/>
          <w:szCs w:val="20"/>
          <w:lang w:val="en-US"/>
        </w:rPr>
        <w:t xml:space="preserve"> </w:t>
      </w:r>
    </w:p>
    <w:p w14:paraId="41D1D8FE" w14:textId="77777777" w:rsidR="00CD7060" w:rsidRDefault="006046C1"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D7060">
        <w:rPr>
          <w:rFonts w:ascii="Times New Roman" w:hAnsi="Times New Roman" w:cs="Times New Roman"/>
          <w:sz w:val="20"/>
          <w:szCs w:val="20"/>
          <w:lang w:val="en-US"/>
        </w:rPr>
        <w:t>8</w:t>
      </w:r>
      <w:r>
        <w:rPr>
          <w:rFonts w:ascii="Times New Roman" w:hAnsi="Times New Roman" w:cs="Times New Roman"/>
          <w:sz w:val="20"/>
          <w:szCs w:val="20"/>
          <w:lang w:val="en-US"/>
        </w:rPr>
        <w:t xml:space="preserve">. </w:t>
      </w:r>
      <w:proofErr w:type="spellStart"/>
      <w:proofErr w:type="gramStart"/>
      <w:r w:rsidRPr="006B3D72">
        <w:rPr>
          <w:rFonts w:ascii="Times New Roman" w:hAnsi="Times New Roman" w:cs="Times New Roman"/>
          <w:sz w:val="20"/>
          <w:szCs w:val="20"/>
          <w:lang w:val="en-US"/>
        </w:rPr>
        <w:t>F.Akbarov</w:t>
      </w:r>
      <w:proofErr w:type="spellEnd"/>
      <w:proofErr w:type="gramEnd"/>
      <w:r w:rsidRPr="006B3D72">
        <w:rPr>
          <w:rFonts w:ascii="Times New Roman" w:hAnsi="Times New Roman" w:cs="Times New Roman"/>
          <w:sz w:val="20"/>
          <w:szCs w:val="20"/>
          <w:lang w:val="en-US"/>
        </w:rPr>
        <w:t xml:space="preserve">, </w:t>
      </w:r>
      <w:proofErr w:type="spellStart"/>
      <w:proofErr w:type="gramStart"/>
      <w:r w:rsidRPr="006B3D72">
        <w:rPr>
          <w:rFonts w:ascii="Times New Roman" w:hAnsi="Times New Roman" w:cs="Times New Roman"/>
          <w:sz w:val="20"/>
          <w:szCs w:val="20"/>
          <w:lang w:val="en-US"/>
        </w:rPr>
        <w:t>R.Kabulov</w:t>
      </w:r>
      <w:proofErr w:type="spellEnd"/>
      <w:proofErr w:type="gramEnd"/>
      <w:r w:rsidRPr="006B3D72">
        <w:rPr>
          <w:rFonts w:ascii="Times New Roman" w:hAnsi="Times New Roman" w:cs="Times New Roman"/>
          <w:sz w:val="20"/>
          <w:szCs w:val="20"/>
          <w:lang w:val="en-US"/>
        </w:rPr>
        <w:t xml:space="preserve">, </w:t>
      </w:r>
      <w:proofErr w:type="spellStart"/>
      <w:proofErr w:type="gramStart"/>
      <w:r w:rsidRPr="006B3D72">
        <w:rPr>
          <w:rFonts w:ascii="Times New Roman" w:hAnsi="Times New Roman" w:cs="Times New Roman"/>
          <w:sz w:val="20"/>
          <w:szCs w:val="20"/>
          <w:lang w:val="en-US"/>
        </w:rPr>
        <w:t>A.Alimov</w:t>
      </w:r>
      <w:proofErr w:type="spellEnd"/>
      <w:proofErr w:type="gramEnd"/>
      <w:r w:rsidRPr="006B3D72">
        <w:rPr>
          <w:rFonts w:ascii="Times New Roman" w:hAnsi="Times New Roman" w:cs="Times New Roman"/>
          <w:sz w:val="20"/>
          <w:szCs w:val="20"/>
          <w:lang w:val="en-US"/>
        </w:rPr>
        <w:t xml:space="preserve">, </w:t>
      </w:r>
      <w:proofErr w:type="spellStart"/>
      <w:proofErr w:type="gramStart"/>
      <w:r w:rsidRPr="006B3D72">
        <w:rPr>
          <w:rFonts w:ascii="Times New Roman" w:hAnsi="Times New Roman" w:cs="Times New Roman"/>
          <w:sz w:val="20"/>
          <w:szCs w:val="20"/>
          <w:lang w:val="en-US"/>
        </w:rPr>
        <w:t>E.Abduraimov</w:t>
      </w:r>
      <w:proofErr w:type="spellEnd"/>
      <w:proofErr w:type="gramEnd"/>
      <w:r w:rsidRPr="006B3D72">
        <w:rPr>
          <w:rFonts w:ascii="Times New Roman" w:hAnsi="Times New Roman" w:cs="Times New Roman"/>
          <w:sz w:val="20"/>
          <w:szCs w:val="20"/>
          <w:lang w:val="en-US"/>
        </w:rPr>
        <w:t xml:space="preserve">, </w:t>
      </w:r>
      <w:proofErr w:type="spellStart"/>
      <w:proofErr w:type="gramStart"/>
      <w:r w:rsidRPr="006B3D72">
        <w:rPr>
          <w:rFonts w:ascii="Times New Roman" w:hAnsi="Times New Roman" w:cs="Times New Roman"/>
          <w:sz w:val="20"/>
          <w:szCs w:val="20"/>
          <w:lang w:val="en-US"/>
        </w:rPr>
        <w:t>D.Nasirova</w:t>
      </w:r>
      <w:proofErr w:type="spellEnd"/>
      <w:proofErr w:type="gramEnd"/>
      <w:r>
        <w:rPr>
          <w:rFonts w:ascii="Times New Roman" w:hAnsi="Times New Roman" w:cs="Times New Roman"/>
          <w:sz w:val="20"/>
          <w:szCs w:val="20"/>
          <w:lang w:val="en-US"/>
        </w:rPr>
        <w:t>.</w:t>
      </w:r>
      <w:r w:rsidRPr="006B3D72">
        <w:rPr>
          <w:rFonts w:ascii="Times New Roman" w:hAnsi="Times New Roman" w:cs="Times New Roman"/>
          <w:sz w:val="20"/>
          <w:szCs w:val="20"/>
          <w:lang w:val="en-US"/>
        </w:rPr>
        <w:t xml:space="preserve"> </w:t>
      </w:r>
      <w:r w:rsidRPr="006B3D72">
        <w:rPr>
          <w:rFonts w:ascii="Times New Roman" w:hAnsi="Times New Roman" w:cs="Times New Roman"/>
          <w:i/>
          <w:sz w:val="20"/>
          <w:szCs w:val="20"/>
          <w:lang w:val="en-US"/>
        </w:rPr>
        <w:t>Dependence of Output Parameters of Photovoltaic Module Based on CIGS Solar Cells on External Temperatures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AA5A1B">
        <w:rPr>
          <w:rFonts w:ascii="Times New Roman" w:hAnsi="Times New Roman" w:cs="Times New Roman"/>
          <w:sz w:val="20"/>
          <w:szCs w:val="20"/>
          <w:lang w:val="en-US"/>
        </w:rPr>
        <w:t>Parameters</w:t>
      </w:r>
      <w:r>
        <w:rPr>
          <w:rFonts w:ascii="Times New Roman" w:hAnsi="Times New Roman" w:cs="Times New Roman"/>
          <w:sz w:val="20"/>
          <w:szCs w:val="20"/>
          <w:lang w:val="en-US"/>
        </w:rPr>
        <w:t>,</w:t>
      </w:r>
      <w:r w:rsidRPr="00AA5A1B">
        <w:rPr>
          <w:rFonts w:ascii="Times New Roman" w:hAnsi="Times New Roman" w:cs="Times New Roman"/>
          <w:sz w:val="20"/>
          <w:szCs w:val="20"/>
          <w:lang w:val="en-US"/>
        </w:rPr>
        <w:t xml:space="preserve"> 3331(1), </w:t>
      </w:r>
      <w:r w:rsidRPr="00AA5A1B">
        <w:rPr>
          <w:rFonts w:ascii="Times New Roman" w:hAnsi="Times New Roman" w:cs="Times New Roman"/>
          <w:b/>
          <w:sz w:val="20"/>
          <w:szCs w:val="20"/>
          <w:lang w:val="en-US"/>
        </w:rPr>
        <w:t>040046</w:t>
      </w:r>
      <w:r w:rsidRPr="00AA5A1B">
        <w:rPr>
          <w:rFonts w:ascii="Times New Roman" w:hAnsi="Times New Roman" w:cs="Times New Roman"/>
          <w:sz w:val="20"/>
          <w:szCs w:val="20"/>
          <w:lang w:val="en-US"/>
        </w:rPr>
        <w:t xml:space="preserve">, (2025), </w:t>
      </w:r>
      <w:hyperlink r:id="rId34" w:history="1">
        <w:r w:rsidRPr="00E36678">
          <w:rPr>
            <w:rStyle w:val="a3"/>
            <w:rFonts w:ascii="Times New Roman" w:hAnsi="Times New Roman" w:cs="Times New Roman"/>
            <w:sz w:val="20"/>
            <w:szCs w:val="20"/>
            <w:lang w:val="en-US"/>
          </w:rPr>
          <w:t>https://doi.org/10.1063/5.0305885</w:t>
        </w:r>
      </w:hyperlink>
      <w:r>
        <w:rPr>
          <w:rFonts w:ascii="Times New Roman" w:hAnsi="Times New Roman" w:cs="Times New Roman"/>
          <w:sz w:val="20"/>
          <w:szCs w:val="20"/>
          <w:lang w:val="en-US"/>
        </w:rPr>
        <w:t xml:space="preserve"> </w:t>
      </w:r>
    </w:p>
    <w:p w14:paraId="36B3A5E4"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19</w:t>
      </w:r>
      <w:r w:rsidR="006046C1">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A.Alimov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K.Abidov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E.Abduraimov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F.Akbarov</w:t>
      </w:r>
      <w:proofErr w:type="spellEnd"/>
      <w:proofErr w:type="gramEnd"/>
      <w:r w:rsidR="006046C1" w:rsidRPr="00A03FDC">
        <w:rPr>
          <w:rFonts w:ascii="Times New Roman" w:hAnsi="Times New Roman" w:cs="Times New Roman"/>
          <w:sz w:val="20"/>
          <w:szCs w:val="20"/>
          <w:lang w:val="en-US"/>
        </w:rPr>
        <w:t xml:space="preserve">, </w:t>
      </w:r>
      <w:proofErr w:type="spellStart"/>
      <w:proofErr w:type="gramStart"/>
      <w:r w:rsidR="006046C1" w:rsidRPr="00A03FDC">
        <w:rPr>
          <w:rFonts w:ascii="Times New Roman" w:hAnsi="Times New Roman" w:cs="Times New Roman"/>
          <w:sz w:val="20"/>
          <w:szCs w:val="20"/>
          <w:lang w:val="en-US"/>
        </w:rPr>
        <w:t>H.Muminov</w:t>
      </w:r>
      <w:proofErr w:type="spellEnd"/>
      <w:proofErr w:type="gramEnd"/>
      <w:r w:rsidR="006046C1">
        <w:rPr>
          <w:rFonts w:ascii="Times New Roman" w:hAnsi="Times New Roman" w:cs="Times New Roman"/>
          <w:sz w:val="20"/>
          <w:szCs w:val="20"/>
          <w:lang w:val="en-US"/>
        </w:rPr>
        <w:t>.</w:t>
      </w:r>
      <w:r w:rsidR="006046C1" w:rsidRPr="00A03FDC">
        <w:rPr>
          <w:rFonts w:ascii="Times New Roman" w:hAnsi="Times New Roman" w:cs="Times New Roman"/>
          <w:sz w:val="20"/>
          <w:szCs w:val="20"/>
          <w:lang w:val="en-US"/>
        </w:rPr>
        <w:t xml:space="preserve"> </w:t>
      </w:r>
      <w:r w:rsidR="006046C1" w:rsidRPr="00A03FDC">
        <w:rPr>
          <w:rFonts w:ascii="Times New Roman" w:hAnsi="Times New Roman" w:cs="Times New Roman"/>
          <w:i/>
          <w:sz w:val="20"/>
          <w:szCs w:val="20"/>
          <w:lang w:val="en-US"/>
        </w:rPr>
        <w:t>Generalized Model of Nonlinear Inductance and its</w:t>
      </w:r>
      <w:r w:rsidR="006046C1">
        <w:rPr>
          <w:rFonts w:ascii="Times New Roman" w:hAnsi="Times New Roman" w:cs="Times New Roman"/>
          <w:i/>
          <w:sz w:val="20"/>
          <w:szCs w:val="20"/>
          <w:lang w:val="en-US"/>
        </w:rPr>
        <w:t>.</w:t>
      </w:r>
      <w:r w:rsidR="006046C1" w:rsidRPr="00A03FDC">
        <w:rPr>
          <w:rFonts w:ascii="Times New Roman" w:hAnsi="Times New Roman" w:cs="Times New Roman"/>
          <w:i/>
          <w:sz w:val="20"/>
          <w:szCs w:val="20"/>
          <w:lang w:val="en-US"/>
        </w:rPr>
        <w:t xml:space="preserve"> </w:t>
      </w:r>
      <w:r w:rsidR="006046C1" w:rsidRPr="00DB6056">
        <w:rPr>
          <w:rFonts w:ascii="Times New Roman" w:hAnsi="Times New Roman" w:cs="Times New Roman"/>
          <w:sz w:val="20"/>
          <w:szCs w:val="20"/>
          <w:lang w:val="en-US"/>
        </w:rPr>
        <w:t xml:space="preserve">AIP Conference </w:t>
      </w:r>
      <w:r w:rsidR="006046C1" w:rsidRPr="00A03FDC">
        <w:rPr>
          <w:rFonts w:ascii="Times New Roman" w:hAnsi="Times New Roman" w:cs="Times New Roman"/>
          <w:i/>
          <w:sz w:val="20"/>
          <w:szCs w:val="20"/>
          <w:lang w:val="en-US"/>
        </w:rPr>
        <w:t>Parameters</w:t>
      </w:r>
      <w:r w:rsidR="006046C1">
        <w:rPr>
          <w:rFonts w:ascii="Times New Roman" w:hAnsi="Times New Roman" w:cs="Times New Roman"/>
          <w:sz w:val="20"/>
          <w:szCs w:val="20"/>
          <w:lang w:val="en-US"/>
        </w:rPr>
        <w:t xml:space="preserve">, </w:t>
      </w:r>
      <w:r w:rsidR="006046C1" w:rsidRPr="00DB6056">
        <w:rPr>
          <w:rFonts w:ascii="Times New Roman" w:hAnsi="Times New Roman" w:cs="Times New Roman"/>
          <w:sz w:val="20"/>
          <w:szCs w:val="20"/>
          <w:lang w:val="en-US"/>
        </w:rPr>
        <w:t xml:space="preserve">3331(1), </w:t>
      </w:r>
      <w:r w:rsidR="006046C1" w:rsidRPr="00DB6056">
        <w:rPr>
          <w:rFonts w:ascii="Times New Roman" w:hAnsi="Times New Roman" w:cs="Times New Roman"/>
          <w:b/>
          <w:sz w:val="20"/>
          <w:szCs w:val="20"/>
          <w:lang w:val="en-US"/>
        </w:rPr>
        <w:t>0400</w:t>
      </w:r>
      <w:r w:rsidR="006046C1">
        <w:rPr>
          <w:rFonts w:ascii="Times New Roman" w:hAnsi="Times New Roman" w:cs="Times New Roman"/>
          <w:b/>
          <w:sz w:val="20"/>
          <w:szCs w:val="20"/>
          <w:lang w:val="en-US"/>
        </w:rPr>
        <w:t>35</w:t>
      </w:r>
      <w:r w:rsidR="006046C1">
        <w:rPr>
          <w:rFonts w:ascii="Times New Roman" w:hAnsi="Times New Roman" w:cs="Times New Roman"/>
          <w:sz w:val="20"/>
          <w:szCs w:val="20"/>
          <w:lang w:val="en-US"/>
        </w:rPr>
        <w:t>, (</w:t>
      </w:r>
      <w:r w:rsidR="006046C1" w:rsidRPr="00DB6056">
        <w:rPr>
          <w:rFonts w:ascii="Times New Roman" w:hAnsi="Times New Roman" w:cs="Times New Roman"/>
          <w:sz w:val="20"/>
          <w:szCs w:val="20"/>
          <w:lang w:val="en-US"/>
        </w:rPr>
        <w:t>2025</w:t>
      </w:r>
      <w:r w:rsidR="006046C1">
        <w:rPr>
          <w:rFonts w:ascii="Times New Roman" w:hAnsi="Times New Roman" w:cs="Times New Roman"/>
          <w:sz w:val="20"/>
          <w:szCs w:val="20"/>
          <w:lang w:val="en-US"/>
        </w:rPr>
        <w:t>)</w:t>
      </w:r>
      <w:r w:rsidR="006046C1" w:rsidRPr="00DB6056">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hyperlink r:id="rId35" w:history="1">
        <w:r w:rsidR="006046C1" w:rsidRPr="00E36678">
          <w:rPr>
            <w:rStyle w:val="a3"/>
            <w:rFonts w:ascii="Times New Roman" w:hAnsi="Times New Roman" w:cs="Times New Roman"/>
            <w:sz w:val="20"/>
            <w:szCs w:val="20"/>
            <w:lang w:val="en-US"/>
          </w:rPr>
          <w:t>https://doi.org/10.1063/5.0305883</w:t>
        </w:r>
      </w:hyperlink>
      <w:r w:rsidR="006046C1">
        <w:rPr>
          <w:rFonts w:ascii="Times New Roman" w:hAnsi="Times New Roman" w:cs="Times New Roman"/>
          <w:sz w:val="20"/>
          <w:szCs w:val="20"/>
          <w:lang w:val="en-US"/>
        </w:rPr>
        <w:t xml:space="preserve"> </w:t>
      </w:r>
    </w:p>
    <w:p w14:paraId="14891C8B"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006046C1">
        <w:rPr>
          <w:rFonts w:ascii="Times New Roman" w:hAnsi="Times New Roman" w:cs="Times New Roman"/>
          <w:sz w:val="20"/>
          <w:szCs w:val="20"/>
          <w:lang w:val="en-US"/>
        </w:rPr>
        <w:t xml:space="preserve">. </w:t>
      </w:r>
      <w:proofErr w:type="spellStart"/>
      <w:proofErr w:type="gramStart"/>
      <w:r w:rsidR="006046C1" w:rsidRPr="00DA37F9">
        <w:rPr>
          <w:rFonts w:ascii="Times New Roman" w:hAnsi="Times New Roman" w:cs="Times New Roman"/>
          <w:sz w:val="20"/>
          <w:szCs w:val="20"/>
          <w:lang w:val="en-US"/>
        </w:rPr>
        <w:t>E.Abduraimov</w:t>
      </w:r>
      <w:proofErr w:type="spellEnd"/>
      <w:proofErr w:type="gramEnd"/>
      <w:r w:rsidR="006046C1" w:rsidRPr="00DA37F9">
        <w:rPr>
          <w:rFonts w:ascii="Times New Roman" w:hAnsi="Times New Roman" w:cs="Times New Roman"/>
          <w:sz w:val="20"/>
          <w:szCs w:val="20"/>
          <w:lang w:val="en-US"/>
        </w:rPr>
        <w:t xml:space="preserve">, </w:t>
      </w:r>
      <w:proofErr w:type="spellStart"/>
      <w:proofErr w:type="gramStart"/>
      <w:r w:rsidR="006046C1" w:rsidRPr="00DA37F9">
        <w:rPr>
          <w:rFonts w:ascii="Times New Roman" w:hAnsi="Times New Roman" w:cs="Times New Roman"/>
          <w:sz w:val="20"/>
          <w:szCs w:val="20"/>
          <w:lang w:val="en-US"/>
        </w:rPr>
        <w:t>M.Peysenov</w:t>
      </w:r>
      <w:proofErr w:type="spellEnd"/>
      <w:proofErr w:type="gramEnd"/>
      <w:r w:rsidR="006046C1" w:rsidRPr="00DA37F9">
        <w:rPr>
          <w:rFonts w:ascii="Times New Roman" w:hAnsi="Times New Roman" w:cs="Times New Roman"/>
          <w:sz w:val="20"/>
          <w:szCs w:val="20"/>
          <w:lang w:val="en-US"/>
        </w:rPr>
        <w:t xml:space="preserve">, </w:t>
      </w:r>
      <w:proofErr w:type="spellStart"/>
      <w:proofErr w:type="gramStart"/>
      <w:r w:rsidR="006046C1" w:rsidRPr="00DA37F9">
        <w:rPr>
          <w:rFonts w:ascii="Times New Roman" w:hAnsi="Times New Roman" w:cs="Times New Roman"/>
          <w:sz w:val="20"/>
          <w:szCs w:val="20"/>
          <w:lang w:val="en-US"/>
        </w:rPr>
        <w:t>N.Tairova</w:t>
      </w:r>
      <w:proofErr w:type="spellEnd"/>
      <w:proofErr w:type="gramEnd"/>
      <w:r w:rsidR="006046C1">
        <w:rPr>
          <w:rFonts w:ascii="Times New Roman" w:hAnsi="Times New Roman" w:cs="Times New Roman"/>
          <w:sz w:val="20"/>
          <w:szCs w:val="20"/>
          <w:lang w:val="en-US"/>
        </w:rPr>
        <w:t>.</w:t>
      </w:r>
      <w:r w:rsidR="006046C1" w:rsidRPr="00DA37F9">
        <w:rPr>
          <w:rFonts w:ascii="Times New Roman" w:hAnsi="Times New Roman" w:cs="Times New Roman"/>
          <w:sz w:val="20"/>
          <w:szCs w:val="20"/>
          <w:lang w:val="en-US"/>
        </w:rPr>
        <w:t xml:space="preserve"> </w:t>
      </w:r>
      <w:r w:rsidR="006046C1" w:rsidRPr="00DA37F9">
        <w:rPr>
          <w:rFonts w:ascii="Times New Roman" w:hAnsi="Times New Roman" w:cs="Times New Roman"/>
          <w:i/>
          <w:sz w:val="20"/>
          <w:szCs w:val="20"/>
          <w:lang w:val="en-US"/>
        </w:rPr>
        <w:t>Development of Contactless Device for Maintaining the Rated Voltage of Power Supply Systems</w:t>
      </w:r>
      <w:r w:rsidR="006046C1">
        <w:rPr>
          <w:rFonts w:ascii="Times New Roman" w:hAnsi="Times New Roman" w:cs="Times New Roman"/>
          <w:sz w:val="20"/>
          <w:szCs w:val="20"/>
          <w:lang w:val="en-US"/>
        </w:rPr>
        <w:t xml:space="preserve">. </w:t>
      </w:r>
      <w:r w:rsidR="006046C1" w:rsidRPr="00DA37F9">
        <w:rPr>
          <w:rFonts w:ascii="Times New Roman" w:hAnsi="Times New Roman" w:cs="Times New Roman"/>
          <w:sz w:val="20"/>
          <w:szCs w:val="20"/>
          <w:lang w:val="en-US"/>
        </w:rPr>
        <w:t>AIP Conference Proceedings</w:t>
      </w:r>
      <w:r w:rsidR="006046C1">
        <w:rPr>
          <w:rFonts w:ascii="Times New Roman" w:hAnsi="Times New Roman" w:cs="Times New Roman"/>
          <w:sz w:val="20"/>
          <w:szCs w:val="20"/>
          <w:lang w:val="en-US"/>
        </w:rPr>
        <w:t>,</w:t>
      </w:r>
      <w:r w:rsidR="006046C1" w:rsidRPr="00DA37F9">
        <w:rPr>
          <w:rFonts w:ascii="Times New Roman" w:hAnsi="Times New Roman" w:cs="Times New Roman"/>
          <w:sz w:val="20"/>
          <w:szCs w:val="20"/>
          <w:lang w:val="en-US"/>
        </w:rPr>
        <w:t xml:space="preserve"> 2552, </w:t>
      </w:r>
      <w:r w:rsidR="006046C1" w:rsidRPr="00DA37F9">
        <w:rPr>
          <w:rFonts w:ascii="Times New Roman" w:hAnsi="Times New Roman" w:cs="Times New Roman"/>
          <w:b/>
          <w:sz w:val="20"/>
          <w:szCs w:val="20"/>
          <w:lang w:val="en-US"/>
        </w:rPr>
        <w:t>040012</w:t>
      </w:r>
      <w:r w:rsidR="006046C1">
        <w:rPr>
          <w:rFonts w:ascii="Times New Roman" w:hAnsi="Times New Roman" w:cs="Times New Roman"/>
          <w:sz w:val="20"/>
          <w:szCs w:val="20"/>
          <w:lang w:val="en-US"/>
        </w:rPr>
        <w:t>, (</w:t>
      </w:r>
      <w:r w:rsidR="006046C1" w:rsidRPr="00DA37F9">
        <w:rPr>
          <w:rFonts w:ascii="Times New Roman" w:hAnsi="Times New Roman" w:cs="Times New Roman"/>
          <w:sz w:val="20"/>
          <w:szCs w:val="20"/>
          <w:lang w:val="en-US"/>
        </w:rPr>
        <w:t>2022</w:t>
      </w:r>
      <w:r w:rsidR="006046C1">
        <w:rPr>
          <w:rFonts w:ascii="Times New Roman" w:hAnsi="Times New Roman" w:cs="Times New Roman"/>
          <w:sz w:val="20"/>
          <w:szCs w:val="20"/>
          <w:lang w:val="en-US"/>
        </w:rPr>
        <w:t xml:space="preserve">). </w:t>
      </w:r>
      <w:hyperlink r:id="rId36" w:history="1">
        <w:r w:rsidR="006046C1" w:rsidRPr="00E36678">
          <w:rPr>
            <w:rStyle w:val="a3"/>
            <w:rFonts w:ascii="Times New Roman" w:hAnsi="Times New Roman" w:cs="Times New Roman"/>
            <w:sz w:val="20"/>
            <w:szCs w:val="20"/>
            <w:lang w:val="en-US"/>
          </w:rPr>
          <w:t>https://doi.org/10.1063/5.0116235</w:t>
        </w:r>
      </w:hyperlink>
      <w:r w:rsidR="006046C1">
        <w:rPr>
          <w:rFonts w:ascii="Times New Roman" w:hAnsi="Times New Roman" w:cs="Times New Roman"/>
          <w:sz w:val="20"/>
          <w:szCs w:val="20"/>
          <w:lang w:val="en-US"/>
        </w:rPr>
        <w:t xml:space="preserve"> </w:t>
      </w:r>
    </w:p>
    <w:p w14:paraId="5ACB7E6F" w14:textId="77777777" w:rsidR="00CD7060" w:rsidRDefault="006046C1" w:rsidP="00CD7060">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w:t>
      </w:r>
      <w:r w:rsidR="00CD7060">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proofErr w:type="spellStart"/>
      <w:proofErr w:type="gramStart"/>
      <w:r w:rsidRPr="003E0558">
        <w:rPr>
          <w:rFonts w:ascii="Times New Roman" w:hAnsi="Times New Roman" w:cs="Times New Roman"/>
          <w:sz w:val="20"/>
          <w:szCs w:val="20"/>
          <w:lang w:val="en-US"/>
        </w:rPr>
        <w:t>E.Abduraimov</w:t>
      </w:r>
      <w:proofErr w:type="spellEnd"/>
      <w:proofErr w:type="gramEnd"/>
      <w:r>
        <w:rPr>
          <w:rFonts w:ascii="Times New Roman" w:hAnsi="Times New Roman" w:cs="Times New Roman"/>
          <w:sz w:val="20"/>
          <w:szCs w:val="20"/>
          <w:lang w:val="en-US"/>
        </w:rPr>
        <w:t>.</w:t>
      </w:r>
      <w:r w:rsidRPr="003E0558">
        <w:rPr>
          <w:rFonts w:ascii="Times New Roman" w:hAnsi="Times New Roman" w:cs="Times New Roman"/>
          <w:sz w:val="20"/>
          <w:szCs w:val="20"/>
          <w:lang w:val="en-US"/>
        </w:rPr>
        <w:t xml:space="preserve"> </w:t>
      </w:r>
      <w:r w:rsidRPr="003E0558">
        <w:rPr>
          <w:rFonts w:ascii="Times New Roman" w:hAnsi="Times New Roman" w:cs="Times New Roman"/>
          <w:i/>
          <w:sz w:val="20"/>
          <w:szCs w:val="20"/>
          <w:lang w:val="en-US"/>
        </w:rPr>
        <w:t xml:space="preserve">Automatic control of reactive power compensation using a </w:t>
      </w:r>
      <w:proofErr w:type="gramStart"/>
      <w:r w:rsidRPr="003E0558">
        <w:rPr>
          <w:rFonts w:ascii="Times New Roman" w:hAnsi="Times New Roman" w:cs="Times New Roman"/>
          <w:i/>
          <w:sz w:val="20"/>
          <w:szCs w:val="20"/>
          <w:lang w:val="en-US"/>
        </w:rPr>
        <w:t>solid state</w:t>
      </w:r>
      <w:proofErr w:type="gramEnd"/>
      <w:r w:rsidRPr="003E0558">
        <w:rPr>
          <w:rFonts w:ascii="Times New Roman" w:hAnsi="Times New Roman" w:cs="Times New Roman"/>
          <w:i/>
          <w:sz w:val="20"/>
          <w:szCs w:val="20"/>
          <w:lang w:val="en-US"/>
        </w:rPr>
        <w:t xml:space="preserve"> voltage relays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Journal of Physics Conference Series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 xml:space="preserve">2373(7), </w:t>
      </w:r>
      <w:r w:rsidRPr="00351FAC">
        <w:rPr>
          <w:rFonts w:ascii="Times New Roman" w:hAnsi="Times New Roman" w:cs="Times New Roman"/>
          <w:b/>
          <w:sz w:val="20"/>
          <w:szCs w:val="20"/>
          <w:lang w:val="en-US"/>
        </w:rPr>
        <w:t>072009</w:t>
      </w:r>
      <w:r>
        <w:rPr>
          <w:rFonts w:ascii="Times New Roman" w:hAnsi="Times New Roman" w:cs="Times New Roman"/>
          <w:sz w:val="20"/>
          <w:szCs w:val="20"/>
          <w:lang w:val="en-US"/>
        </w:rPr>
        <w:t>, (</w:t>
      </w:r>
      <w:r w:rsidRPr="003E0558">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10.1088/1742-6596/2373/7/072009</w:t>
      </w:r>
    </w:p>
    <w:p w14:paraId="11C6AA8F" w14:textId="77777777" w:rsidR="00CD7060" w:rsidRDefault="00CD7060" w:rsidP="00CD7060">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22</w:t>
      </w:r>
      <w:r w:rsidR="006046C1">
        <w:rPr>
          <w:rFonts w:ascii="Times New Roman" w:hAnsi="Times New Roman" w:cs="Times New Roman"/>
          <w:sz w:val="20"/>
          <w:szCs w:val="20"/>
          <w:lang w:val="en-US"/>
        </w:rPr>
        <w:t xml:space="preserve">. </w:t>
      </w:r>
      <w:proofErr w:type="spellStart"/>
      <w:proofErr w:type="gramStart"/>
      <w:r w:rsidR="006046C1" w:rsidRPr="00CE0533">
        <w:rPr>
          <w:rFonts w:ascii="Times New Roman" w:hAnsi="Times New Roman" w:cs="Times New Roman"/>
          <w:sz w:val="20"/>
          <w:szCs w:val="20"/>
          <w:lang w:val="en-US"/>
        </w:rPr>
        <w:t>E.Abduraimov</w:t>
      </w:r>
      <w:proofErr w:type="spellEnd"/>
      <w:proofErr w:type="gramEnd"/>
      <w:r w:rsidR="006046C1" w:rsidRPr="00CE0533">
        <w:rPr>
          <w:rFonts w:ascii="Times New Roman" w:hAnsi="Times New Roman" w:cs="Times New Roman"/>
          <w:sz w:val="20"/>
          <w:szCs w:val="20"/>
          <w:lang w:val="en-US"/>
        </w:rPr>
        <w:t xml:space="preserve">, </w:t>
      </w:r>
      <w:proofErr w:type="spellStart"/>
      <w:proofErr w:type="gramStart"/>
      <w:r w:rsidR="006046C1" w:rsidRPr="00CE0533">
        <w:rPr>
          <w:rFonts w:ascii="Times New Roman" w:hAnsi="Times New Roman" w:cs="Times New Roman"/>
          <w:sz w:val="20"/>
          <w:szCs w:val="20"/>
          <w:lang w:val="en-US"/>
        </w:rPr>
        <w:t>D.Khalmanov</w:t>
      </w:r>
      <w:proofErr w:type="spellEnd"/>
      <w:proofErr w:type="gramEnd"/>
      <w:r w:rsidR="006046C1" w:rsidRPr="00CE0533">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r w:rsidR="006046C1" w:rsidRPr="00CE0533">
        <w:rPr>
          <w:rFonts w:ascii="Times New Roman" w:hAnsi="Times New Roman" w:cs="Times New Roman"/>
          <w:i/>
          <w:sz w:val="20"/>
          <w:szCs w:val="20"/>
          <w:lang w:val="en-US"/>
        </w:rPr>
        <w:t>Invention of a contactless voltage relay with an adjustable reset ratio</w:t>
      </w:r>
      <w:r w:rsidR="006046C1">
        <w:rPr>
          <w:rFonts w:ascii="Times New Roman" w:hAnsi="Times New Roman" w:cs="Times New Roman"/>
          <w:sz w:val="20"/>
          <w:szCs w:val="20"/>
          <w:lang w:val="en-US"/>
        </w:rPr>
        <w:t xml:space="preserve">. </w:t>
      </w:r>
      <w:r w:rsidR="006046C1" w:rsidRPr="00CE0533">
        <w:rPr>
          <w:rFonts w:ascii="Times New Roman" w:hAnsi="Times New Roman" w:cs="Times New Roman"/>
          <w:sz w:val="20"/>
          <w:szCs w:val="20"/>
          <w:lang w:val="en-US"/>
        </w:rPr>
        <w:t xml:space="preserve">Journal of Physics Conference Series, 2373(7), </w:t>
      </w:r>
      <w:r w:rsidR="006046C1" w:rsidRPr="00351FAC">
        <w:rPr>
          <w:rFonts w:ascii="Times New Roman" w:hAnsi="Times New Roman" w:cs="Times New Roman"/>
          <w:b/>
          <w:sz w:val="20"/>
          <w:szCs w:val="20"/>
          <w:lang w:val="en-US"/>
        </w:rPr>
        <w:t>072010</w:t>
      </w:r>
      <w:r w:rsidR="006046C1">
        <w:rPr>
          <w:rFonts w:ascii="Times New Roman" w:hAnsi="Times New Roman" w:cs="Times New Roman"/>
          <w:sz w:val="20"/>
          <w:szCs w:val="20"/>
          <w:lang w:val="en-US"/>
        </w:rPr>
        <w:t>, (</w:t>
      </w:r>
      <w:r w:rsidR="006046C1" w:rsidRPr="00CE0533">
        <w:rPr>
          <w:rFonts w:ascii="Times New Roman" w:hAnsi="Times New Roman" w:cs="Times New Roman"/>
          <w:sz w:val="20"/>
          <w:szCs w:val="20"/>
          <w:lang w:val="en-US"/>
        </w:rPr>
        <w:t>2022</w:t>
      </w:r>
      <w:r w:rsidR="006046C1">
        <w:rPr>
          <w:rFonts w:ascii="Times New Roman" w:hAnsi="Times New Roman" w:cs="Times New Roman"/>
          <w:sz w:val="20"/>
          <w:szCs w:val="20"/>
          <w:lang w:val="en-US"/>
        </w:rPr>
        <w:t xml:space="preserve">). </w:t>
      </w:r>
      <w:r w:rsidR="006046C1" w:rsidRPr="00F73A38">
        <w:rPr>
          <w:rFonts w:ascii="Times New Roman" w:hAnsi="Times New Roman" w:cs="Times New Roman"/>
          <w:color w:val="0000FF"/>
          <w:sz w:val="20"/>
          <w:szCs w:val="20"/>
          <w:u w:val="single"/>
          <w:lang w:val="en-US"/>
        </w:rPr>
        <w:t>DOI 10.1088/1742-6596/2373/7/072010</w:t>
      </w:r>
    </w:p>
    <w:p w14:paraId="47AFE9DE" w14:textId="77777777" w:rsidR="00CD7060" w:rsidRDefault="00CD7060" w:rsidP="00CD7060">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23</w:t>
      </w:r>
      <w:r w:rsidR="006046C1">
        <w:rPr>
          <w:rFonts w:ascii="Times New Roman" w:hAnsi="Times New Roman" w:cs="Times New Roman"/>
          <w:sz w:val="20"/>
          <w:szCs w:val="20"/>
          <w:lang w:val="en-US"/>
        </w:rPr>
        <w:t xml:space="preserve">. </w:t>
      </w:r>
      <w:proofErr w:type="spellStart"/>
      <w:proofErr w:type="gramStart"/>
      <w:r w:rsidR="006046C1" w:rsidRPr="00C30643">
        <w:rPr>
          <w:rFonts w:ascii="Times New Roman" w:hAnsi="Times New Roman" w:cs="Times New Roman"/>
          <w:sz w:val="20"/>
          <w:szCs w:val="20"/>
          <w:lang w:val="en-US"/>
        </w:rPr>
        <w:t>E.Abduraimov</w:t>
      </w:r>
      <w:proofErr w:type="spellEnd"/>
      <w:proofErr w:type="gramEnd"/>
      <w:r w:rsidR="006046C1" w:rsidRPr="00C30643">
        <w:rPr>
          <w:rFonts w:ascii="Times New Roman" w:hAnsi="Times New Roman" w:cs="Times New Roman"/>
          <w:sz w:val="20"/>
          <w:szCs w:val="20"/>
          <w:lang w:val="en-US"/>
        </w:rPr>
        <w:t xml:space="preserve">, </w:t>
      </w:r>
      <w:proofErr w:type="spellStart"/>
      <w:proofErr w:type="gramStart"/>
      <w:r w:rsidR="006046C1" w:rsidRPr="00C30643">
        <w:rPr>
          <w:rFonts w:ascii="Times New Roman" w:hAnsi="Times New Roman" w:cs="Times New Roman"/>
          <w:sz w:val="20"/>
          <w:szCs w:val="20"/>
          <w:lang w:val="en-US"/>
        </w:rPr>
        <w:t>D.Khalmanov</w:t>
      </w:r>
      <w:proofErr w:type="spellEnd"/>
      <w:proofErr w:type="gramEnd"/>
      <w:r w:rsidR="006046C1" w:rsidRPr="00C30643">
        <w:rPr>
          <w:rFonts w:ascii="Times New Roman" w:hAnsi="Times New Roman" w:cs="Times New Roman"/>
          <w:sz w:val="20"/>
          <w:szCs w:val="20"/>
          <w:lang w:val="en-US"/>
        </w:rPr>
        <w:t xml:space="preserve">, </w:t>
      </w:r>
      <w:proofErr w:type="spellStart"/>
      <w:proofErr w:type="gramStart"/>
      <w:r w:rsidR="006046C1" w:rsidRPr="00C30643">
        <w:rPr>
          <w:rFonts w:ascii="Times New Roman" w:hAnsi="Times New Roman" w:cs="Times New Roman"/>
          <w:sz w:val="20"/>
          <w:szCs w:val="20"/>
          <w:lang w:val="en-US"/>
        </w:rPr>
        <w:t>B.Nurmatov</w:t>
      </w:r>
      <w:proofErr w:type="spellEnd"/>
      <w:proofErr w:type="gramEnd"/>
      <w:r w:rsidR="006046C1" w:rsidRPr="00C30643">
        <w:rPr>
          <w:rFonts w:ascii="Times New Roman" w:hAnsi="Times New Roman" w:cs="Times New Roman"/>
          <w:sz w:val="20"/>
          <w:szCs w:val="20"/>
          <w:lang w:val="en-US"/>
        </w:rPr>
        <w:t xml:space="preserve">, </w:t>
      </w:r>
      <w:proofErr w:type="spellStart"/>
      <w:proofErr w:type="gramStart"/>
      <w:r w:rsidR="006046C1" w:rsidRPr="00C30643">
        <w:rPr>
          <w:rFonts w:ascii="Times New Roman" w:hAnsi="Times New Roman" w:cs="Times New Roman"/>
          <w:sz w:val="20"/>
          <w:szCs w:val="20"/>
          <w:lang w:val="en-US"/>
        </w:rPr>
        <w:t>M.Peysenov</w:t>
      </w:r>
      <w:proofErr w:type="spellEnd"/>
      <w:proofErr w:type="gramEnd"/>
      <w:r w:rsidR="006046C1" w:rsidRPr="00C30643">
        <w:rPr>
          <w:rFonts w:ascii="Times New Roman" w:hAnsi="Times New Roman" w:cs="Times New Roman"/>
          <w:sz w:val="20"/>
          <w:szCs w:val="20"/>
          <w:lang w:val="en-US"/>
        </w:rPr>
        <w:t xml:space="preserve">, </w:t>
      </w:r>
      <w:proofErr w:type="spellStart"/>
      <w:proofErr w:type="gramStart"/>
      <w:r w:rsidR="006046C1" w:rsidRPr="00C30643">
        <w:rPr>
          <w:rFonts w:ascii="Times New Roman" w:hAnsi="Times New Roman" w:cs="Times New Roman"/>
          <w:sz w:val="20"/>
          <w:szCs w:val="20"/>
          <w:lang w:val="en-US"/>
        </w:rPr>
        <w:t>N.Toirova</w:t>
      </w:r>
      <w:proofErr w:type="spellEnd"/>
      <w:proofErr w:type="gramEnd"/>
      <w:r w:rsidR="006046C1" w:rsidRPr="00C30643">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r w:rsidR="006046C1" w:rsidRPr="00C30643">
        <w:rPr>
          <w:rFonts w:ascii="Times New Roman" w:hAnsi="Times New Roman" w:cs="Times New Roman"/>
          <w:i/>
          <w:sz w:val="20"/>
          <w:szCs w:val="20"/>
          <w:lang w:val="en-US"/>
        </w:rPr>
        <w:t>Analysis of dynamic circuits of contactless switching devices</w:t>
      </w:r>
      <w:r w:rsidR="006046C1">
        <w:rPr>
          <w:rFonts w:ascii="Times New Roman" w:hAnsi="Times New Roman" w:cs="Times New Roman"/>
          <w:sz w:val="20"/>
          <w:szCs w:val="20"/>
          <w:lang w:val="en-US"/>
        </w:rPr>
        <w:t xml:space="preserve">. </w:t>
      </w:r>
      <w:r w:rsidR="006046C1" w:rsidRPr="00C30643">
        <w:rPr>
          <w:rFonts w:ascii="Times New Roman" w:hAnsi="Times New Roman" w:cs="Times New Roman"/>
          <w:sz w:val="20"/>
          <w:szCs w:val="20"/>
          <w:lang w:val="en-US"/>
        </w:rPr>
        <w:t xml:space="preserve">Journal of Physics Conference Series, 2094(2), </w:t>
      </w:r>
      <w:r w:rsidR="006046C1" w:rsidRPr="00351FAC">
        <w:rPr>
          <w:rFonts w:ascii="Times New Roman" w:hAnsi="Times New Roman" w:cs="Times New Roman"/>
          <w:b/>
          <w:sz w:val="20"/>
          <w:szCs w:val="20"/>
          <w:lang w:val="en-US"/>
        </w:rPr>
        <w:t>022072</w:t>
      </w:r>
      <w:r w:rsidR="006046C1">
        <w:rPr>
          <w:rFonts w:ascii="Times New Roman" w:hAnsi="Times New Roman" w:cs="Times New Roman"/>
          <w:sz w:val="20"/>
          <w:szCs w:val="20"/>
          <w:lang w:val="en-US"/>
        </w:rPr>
        <w:t>, (</w:t>
      </w:r>
      <w:r w:rsidR="006046C1" w:rsidRPr="00C30643">
        <w:rPr>
          <w:rFonts w:ascii="Times New Roman" w:hAnsi="Times New Roman" w:cs="Times New Roman"/>
          <w:sz w:val="20"/>
          <w:szCs w:val="20"/>
          <w:lang w:val="en-US"/>
        </w:rPr>
        <w:t>2021</w:t>
      </w:r>
      <w:r w:rsidR="006046C1">
        <w:rPr>
          <w:rFonts w:ascii="Times New Roman" w:hAnsi="Times New Roman" w:cs="Times New Roman"/>
          <w:sz w:val="20"/>
          <w:szCs w:val="20"/>
          <w:lang w:val="en-US"/>
        </w:rPr>
        <w:t xml:space="preserve">). </w:t>
      </w:r>
      <w:r w:rsidR="006046C1" w:rsidRPr="00F73A38">
        <w:rPr>
          <w:rFonts w:ascii="Times New Roman" w:hAnsi="Times New Roman" w:cs="Times New Roman"/>
          <w:color w:val="0000FF"/>
          <w:sz w:val="20"/>
          <w:szCs w:val="20"/>
          <w:u w:val="single"/>
          <w:lang w:val="en-US"/>
        </w:rPr>
        <w:t>DOI 10.1088/1742-6596/2094/2/022072</w:t>
      </w:r>
    </w:p>
    <w:p w14:paraId="39195125"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24</w:t>
      </w:r>
      <w:r w:rsidR="006046C1">
        <w:rPr>
          <w:rFonts w:ascii="Times New Roman" w:hAnsi="Times New Roman" w:cs="Times New Roman"/>
          <w:sz w:val="20"/>
          <w:szCs w:val="20"/>
          <w:lang w:val="en-US"/>
        </w:rPr>
        <w:t xml:space="preserve">. </w:t>
      </w:r>
      <w:proofErr w:type="spellStart"/>
      <w:proofErr w:type="gramStart"/>
      <w:r w:rsidR="006046C1" w:rsidRPr="005452EA">
        <w:rPr>
          <w:rFonts w:ascii="Times New Roman" w:hAnsi="Times New Roman" w:cs="Times New Roman"/>
          <w:sz w:val="20"/>
          <w:szCs w:val="20"/>
          <w:lang w:val="en-US"/>
        </w:rPr>
        <w:t>Y.Adilov</w:t>
      </w:r>
      <w:proofErr w:type="spellEnd"/>
      <w:proofErr w:type="gramEnd"/>
      <w:r w:rsidR="006046C1" w:rsidRPr="005452EA">
        <w:rPr>
          <w:rFonts w:ascii="Times New Roman" w:hAnsi="Times New Roman" w:cs="Times New Roman"/>
          <w:sz w:val="20"/>
          <w:szCs w:val="20"/>
          <w:lang w:val="en-US"/>
        </w:rPr>
        <w:t xml:space="preserve">, </w:t>
      </w:r>
      <w:proofErr w:type="spellStart"/>
      <w:proofErr w:type="gramStart"/>
      <w:r w:rsidR="006046C1" w:rsidRPr="005452EA">
        <w:rPr>
          <w:rFonts w:ascii="Times New Roman" w:hAnsi="Times New Roman" w:cs="Times New Roman"/>
          <w:sz w:val="20"/>
          <w:szCs w:val="20"/>
          <w:lang w:val="en-US"/>
        </w:rPr>
        <w:t>A.Nuraliyev</w:t>
      </w:r>
      <w:proofErr w:type="spellEnd"/>
      <w:proofErr w:type="gramEnd"/>
      <w:r w:rsidR="006046C1" w:rsidRPr="005452EA">
        <w:rPr>
          <w:rFonts w:ascii="Times New Roman" w:hAnsi="Times New Roman" w:cs="Times New Roman"/>
          <w:sz w:val="20"/>
          <w:szCs w:val="20"/>
          <w:lang w:val="en-US"/>
        </w:rPr>
        <w:t xml:space="preserve">, </w:t>
      </w:r>
      <w:proofErr w:type="spellStart"/>
      <w:proofErr w:type="gramStart"/>
      <w:r w:rsidR="006046C1" w:rsidRPr="005452EA">
        <w:rPr>
          <w:rFonts w:ascii="Times New Roman" w:hAnsi="Times New Roman" w:cs="Times New Roman"/>
          <w:sz w:val="20"/>
          <w:szCs w:val="20"/>
          <w:lang w:val="en-US"/>
        </w:rPr>
        <w:t>M.Abdullayev</w:t>
      </w:r>
      <w:proofErr w:type="spellEnd"/>
      <w:proofErr w:type="gramEnd"/>
      <w:r w:rsidR="006046C1" w:rsidRPr="005452EA">
        <w:rPr>
          <w:rFonts w:ascii="Times New Roman" w:hAnsi="Times New Roman" w:cs="Times New Roman"/>
          <w:sz w:val="20"/>
          <w:szCs w:val="20"/>
          <w:lang w:val="en-US"/>
        </w:rPr>
        <w:t xml:space="preserve">, </w:t>
      </w:r>
      <w:proofErr w:type="spellStart"/>
      <w:proofErr w:type="gramStart"/>
      <w:r w:rsidR="006046C1" w:rsidRPr="005452EA">
        <w:rPr>
          <w:rFonts w:ascii="Times New Roman" w:hAnsi="Times New Roman" w:cs="Times New Roman"/>
          <w:sz w:val="20"/>
          <w:szCs w:val="20"/>
          <w:lang w:val="en-US"/>
        </w:rPr>
        <w:t>S.Matkarimov</w:t>
      </w:r>
      <w:proofErr w:type="spellEnd"/>
      <w:proofErr w:type="gramEnd"/>
      <w:r w:rsidR="006046C1">
        <w:rPr>
          <w:rFonts w:ascii="Times New Roman" w:hAnsi="Times New Roman" w:cs="Times New Roman"/>
          <w:sz w:val="20"/>
          <w:szCs w:val="20"/>
          <w:lang w:val="en-US"/>
        </w:rPr>
        <w:t>.</w:t>
      </w:r>
      <w:r w:rsidR="006046C1" w:rsidRPr="005452EA">
        <w:rPr>
          <w:rFonts w:ascii="Times New Roman" w:hAnsi="Times New Roman" w:cs="Times New Roman"/>
          <w:sz w:val="20"/>
          <w:szCs w:val="20"/>
          <w:lang w:val="en-US"/>
        </w:rPr>
        <w:t xml:space="preserve"> </w:t>
      </w:r>
      <w:r w:rsidR="006046C1" w:rsidRPr="005452EA">
        <w:rPr>
          <w:rFonts w:ascii="Times New Roman" w:hAnsi="Times New Roman" w:cs="Times New Roman"/>
          <w:i/>
          <w:sz w:val="20"/>
          <w:szCs w:val="20"/>
          <w:lang w:val="en-US"/>
        </w:rPr>
        <w:t>Dynamic Performance Model of a Hybrid Power System</w:t>
      </w:r>
      <w:r w:rsidR="006046C1">
        <w:rPr>
          <w:rFonts w:ascii="Times New Roman" w:hAnsi="Times New Roman" w:cs="Times New Roman"/>
          <w:sz w:val="20"/>
          <w:szCs w:val="20"/>
          <w:lang w:val="en-US"/>
        </w:rPr>
        <w:t xml:space="preserve">. </w:t>
      </w:r>
      <w:r w:rsidR="006046C1" w:rsidRPr="005452EA">
        <w:rPr>
          <w:rFonts w:ascii="Times New Roman" w:hAnsi="Times New Roman" w:cs="Times New Roman"/>
          <w:sz w:val="20"/>
          <w:szCs w:val="20"/>
          <w:lang w:val="en-US"/>
        </w:rPr>
        <w:t xml:space="preserve">AIP Conference Proceedings, 3331(1), </w:t>
      </w:r>
      <w:r w:rsidR="006046C1" w:rsidRPr="00351FAC">
        <w:rPr>
          <w:rFonts w:ascii="Times New Roman" w:hAnsi="Times New Roman" w:cs="Times New Roman"/>
          <w:b/>
          <w:sz w:val="20"/>
          <w:szCs w:val="20"/>
          <w:lang w:val="en-US"/>
        </w:rPr>
        <w:t>040038</w:t>
      </w:r>
      <w:r w:rsidR="006046C1">
        <w:rPr>
          <w:rFonts w:ascii="Times New Roman" w:hAnsi="Times New Roman" w:cs="Times New Roman"/>
          <w:sz w:val="20"/>
          <w:szCs w:val="20"/>
          <w:lang w:val="en-US"/>
        </w:rPr>
        <w:t>, (</w:t>
      </w:r>
      <w:r w:rsidR="006046C1" w:rsidRPr="005452EA">
        <w:rPr>
          <w:rFonts w:ascii="Times New Roman" w:hAnsi="Times New Roman" w:cs="Times New Roman"/>
          <w:sz w:val="20"/>
          <w:szCs w:val="20"/>
          <w:lang w:val="en-US"/>
        </w:rPr>
        <w:t>2025</w:t>
      </w:r>
      <w:r w:rsidR="006046C1">
        <w:rPr>
          <w:rFonts w:ascii="Times New Roman" w:hAnsi="Times New Roman" w:cs="Times New Roman"/>
          <w:sz w:val="20"/>
          <w:szCs w:val="20"/>
          <w:lang w:val="en-US"/>
        </w:rPr>
        <w:t xml:space="preserve">). </w:t>
      </w:r>
      <w:hyperlink r:id="rId37" w:history="1">
        <w:r w:rsidR="006046C1" w:rsidRPr="00E36678">
          <w:rPr>
            <w:rStyle w:val="a3"/>
            <w:rFonts w:ascii="Times New Roman" w:hAnsi="Times New Roman" w:cs="Times New Roman"/>
            <w:sz w:val="20"/>
            <w:szCs w:val="20"/>
            <w:lang w:val="en-US"/>
          </w:rPr>
          <w:t>https://doi.org/10.1063/5.0305909</w:t>
        </w:r>
      </w:hyperlink>
      <w:r w:rsidR="006046C1">
        <w:rPr>
          <w:rFonts w:ascii="Times New Roman" w:hAnsi="Times New Roman" w:cs="Times New Roman"/>
          <w:sz w:val="20"/>
          <w:szCs w:val="20"/>
          <w:lang w:val="en-US"/>
        </w:rPr>
        <w:t xml:space="preserve"> </w:t>
      </w:r>
    </w:p>
    <w:p w14:paraId="11902282" w14:textId="77777777" w:rsidR="00CD7060" w:rsidRDefault="006046C1" w:rsidP="006046C1">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2</w:t>
      </w:r>
      <w:r w:rsidR="00CD7060">
        <w:rPr>
          <w:rFonts w:ascii="Times New Roman" w:hAnsi="Times New Roman" w:cs="Times New Roman"/>
          <w:sz w:val="20"/>
          <w:szCs w:val="20"/>
          <w:lang w:val="en-US"/>
        </w:rPr>
        <w:t>5</w:t>
      </w:r>
      <w:r>
        <w:rPr>
          <w:rFonts w:ascii="Times New Roman" w:hAnsi="Times New Roman" w:cs="Times New Roman"/>
          <w:sz w:val="20"/>
          <w:szCs w:val="20"/>
          <w:lang w:val="en-US"/>
        </w:rPr>
        <w:t xml:space="preserve">. </w:t>
      </w:r>
      <w:proofErr w:type="spellStart"/>
      <w:proofErr w:type="gramStart"/>
      <w:r w:rsidRPr="005E0C07">
        <w:rPr>
          <w:rFonts w:ascii="Times New Roman" w:hAnsi="Times New Roman" w:cs="Times New Roman"/>
          <w:sz w:val="20"/>
          <w:szCs w:val="20"/>
          <w:lang w:val="en-US"/>
        </w:rPr>
        <w:t>Y.Adilov</w:t>
      </w:r>
      <w:proofErr w:type="spellEnd"/>
      <w:proofErr w:type="gramEnd"/>
      <w:r w:rsidRPr="005E0C07">
        <w:rPr>
          <w:rFonts w:ascii="Times New Roman" w:hAnsi="Times New Roman" w:cs="Times New Roman"/>
          <w:sz w:val="20"/>
          <w:szCs w:val="20"/>
          <w:lang w:val="en-US"/>
        </w:rPr>
        <w:t xml:space="preserve">, </w:t>
      </w:r>
      <w:proofErr w:type="spellStart"/>
      <w:proofErr w:type="gramStart"/>
      <w:r w:rsidRPr="005E0C07">
        <w:rPr>
          <w:rFonts w:ascii="Times New Roman" w:hAnsi="Times New Roman" w:cs="Times New Roman"/>
          <w:sz w:val="20"/>
          <w:szCs w:val="20"/>
          <w:lang w:val="en-US"/>
        </w:rPr>
        <w:t>M.Khabibullaev</w:t>
      </w:r>
      <w:proofErr w:type="spellEnd"/>
      <w:proofErr w:type="gramEnd"/>
      <w:r w:rsidRPr="005E0C0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E0C07">
        <w:rPr>
          <w:rFonts w:ascii="Times New Roman" w:hAnsi="Times New Roman" w:cs="Times New Roman"/>
          <w:i/>
          <w:sz w:val="20"/>
          <w:szCs w:val="20"/>
          <w:lang w:val="en-US"/>
        </w:rPr>
        <w:t>Application of fiber-optic measuring current transformer in control and relay protection systems of belt conveyor drives</w:t>
      </w:r>
      <w:r>
        <w:rPr>
          <w:rFonts w:ascii="Times New Roman" w:hAnsi="Times New Roman" w:cs="Times New Roman"/>
          <w:sz w:val="20"/>
          <w:szCs w:val="20"/>
          <w:lang w:val="en-US"/>
        </w:rPr>
        <w:t xml:space="preserve">. </w:t>
      </w:r>
      <w:r w:rsidRPr="005E0C07">
        <w:rPr>
          <w:rFonts w:ascii="Times New Roman" w:hAnsi="Times New Roman" w:cs="Times New Roman"/>
          <w:sz w:val="20"/>
          <w:szCs w:val="20"/>
          <w:lang w:val="en-US"/>
        </w:rPr>
        <w:t xml:space="preserve">IOP Conference Series Earth and Environmental Science, 614(1), </w:t>
      </w:r>
      <w:r w:rsidRPr="005E0C07">
        <w:rPr>
          <w:rFonts w:ascii="Times New Roman" w:hAnsi="Times New Roman" w:cs="Times New Roman"/>
          <w:b/>
          <w:sz w:val="20"/>
          <w:szCs w:val="20"/>
          <w:lang w:val="en-US"/>
        </w:rPr>
        <w:t>012022</w:t>
      </w:r>
      <w:r>
        <w:rPr>
          <w:rFonts w:ascii="Times New Roman" w:hAnsi="Times New Roman" w:cs="Times New Roman"/>
          <w:sz w:val="20"/>
          <w:szCs w:val="20"/>
          <w:lang w:val="en-US"/>
        </w:rPr>
        <w:t>, (</w:t>
      </w:r>
      <w:r w:rsidRPr="005E0C07">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047BAC">
        <w:rPr>
          <w:rFonts w:ascii="Times New Roman" w:hAnsi="Times New Roman" w:cs="Times New Roman"/>
          <w:color w:val="0000FF"/>
          <w:sz w:val="20"/>
          <w:szCs w:val="20"/>
          <w:u w:val="single"/>
          <w:lang w:val="en-US"/>
        </w:rPr>
        <w:t>doi:</w:t>
      </w:r>
      <w:r w:rsidRPr="004151BD">
        <w:rPr>
          <w:rFonts w:ascii="Times New Roman" w:hAnsi="Times New Roman" w:cs="Times New Roman"/>
          <w:color w:val="0000FF"/>
          <w:sz w:val="20"/>
          <w:szCs w:val="20"/>
          <w:u w:val="single"/>
          <w:lang w:val="en-US"/>
        </w:rPr>
        <w:t>10.1088/1755-1315/614/1/012022</w:t>
      </w:r>
    </w:p>
    <w:p w14:paraId="0FB4EE9E" w14:textId="6188A014" w:rsidR="006046C1" w:rsidRPr="00C85333"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26</w:t>
      </w:r>
      <w:r w:rsidR="006046C1">
        <w:rPr>
          <w:rFonts w:ascii="Times New Roman" w:hAnsi="Times New Roman" w:cs="Times New Roman"/>
          <w:sz w:val="20"/>
          <w:szCs w:val="20"/>
          <w:lang w:val="en-US"/>
        </w:rPr>
        <w:t xml:space="preserve">. </w:t>
      </w:r>
      <w:proofErr w:type="spellStart"/>
      <w:proofErr w:type="gramStart"/>
      <w:r w:rsidR="006046C1" w:rsidRPr="00C85333">
        <w:rPr>
          <w:rFonts w:ascii="Times New Roman" w:hAnsi="Times New Roman" w:cs="Times New Roman"/>
          <w:sz w:val="20"/>
          <w:szCs w:val="20"/>
          <w:lang w:val="en-US"/>
        </w:rPr>
        <w:t>S.Amirov</w:t>
      </w:r>
      <w:proofErr w:type="spellEnd"/>
      <w:proofErr w:type="gramEnd"/>
      <w:r w:rsidR="006046C1" w:rsidRPr="00C85333">
        <w:rPr>
          <w:rFonts w:ascii="Times New Roman" w:hAnsi="Times New Roman" w:cs="Times New Roman"/>
          <w:sz w:val="20"/>
          <w:szCs w:val="20"/>
          <w:lang w:val="en-US"/>
        </w:rPr>
        <w:t xml:space="preserve">, </w:t>
      </w:r>
      <w:proofErr w:type="spellStart"/>
      <w:proofErr w:type="gramStart"/>
      <w:r w:rsidR="006046C1" w:rsidRPr="00C85333">
        <w:rPr>
          <w:rFonts w:ascii="Times New Roman" w:hAnsi="Times New Roman" w:cs="Times New Roman"/>
          <w:sz w:val="20"/>
          <w:szCs w:val="20"/>
          <w:lang w:val="en-US"/>
        </w:rPr>
        <w:t>A.Sulliev</w:t>
      </w:r>
      <w:proofErr w:type="spellEnd"/>
      <w:proofErr w:type="gramEnd"/>
      <w:r w:rsidR="006046C1" w:rsidRPr="00C85333">
        <w:rPr>
          <w:rFonts w:ascii="Times New Roman" w:hAnsi="Times New Roman" w:cs="Times New Roman"/>
          <w:sz w:val="20"/>
          <w:szCs w:val="20"/>
          <w:lang w:val="en-US"/>
        </w:rPr>
        <w:t xml:space="preserve">, </w:t>
      </w:r>
      <w:proofErr w:type="spellStart"/>
      <w:proofErr w:type="gramStart"/>
      <w:r w:rsidR="006046C1" w:rsidRPr="00C85333">
        <w:rPr>
          <w:rFonts w:ascii="Times New Roman" w:hAnsi="Times New Roman" w:cs="Times New Roman"/>
          <w:sz w:val="20"/>
          <w:szCs w:val="20"/>
          <w:lang w:val="en-US"/>
        </w:rPr>
        <w:t>U.Mukhtorov</w:t>
      </w:r>
      <w:proofErr w:type="spellEnd"/>
      <w:proofErr w:type="gramEnd"/>
      <w:r w:rsidR="006046C1">
        <w:rPr>
          <w:rFonts w:ascii="Times New Roman" w:hAnsi="Times New Roman" w:cs="Times New Roman"/>
          <w:sz w:val="20"/>
          <w:szCs w:val="20"/>
          <w:lang w:val="en-US"/>
        </w:rPr>
        <w:t>.</w:t>
      </w:r>
      <w:r w:rsidR="006046C1" w:rsidRPr="00C85333">
        <w:rPr>
          <w:rFonts w:ascii="Times New Roman" w:hAnsi="Times New Roman" w:cs="Times New Roman"/>
          <w:sz w:val="20"/>
          <w:szCs w:val="20"/>
          <w:lang w:val="en-US"/>
        </w:rPr>
        <w:t xml:space="preserve"> </w:t>
      </w:r>
      <w:r w:rsidR="006046C1" w:rsidRPr="00C85333">
        <w:rPr>
          <w:rFonts w:ascii="Times New Roman" w:hAnsi="Times New Roman" w:cs="Times New Roman"/>
          <w:i/>
          <w:sz w:val="20"/>
          <w:szCs w:val="20"/>
          <w:lang w:val="en-US"/>
        </w:rPr>
        <w:t>Resonance sensors of motion parameters</w:t>
      </w:r>
      <w:r w:rsidR="006046C1">
        <w:rPr>
          <w:rFonts w:ascii="Times New Roman" w:hAnsi="Times New Roman" w:cs="Times New Roman"/>
          <w:sz w:val="20"/>
          <w:szCs w:val="20"/>
          <w:lang w:val="en-US"/>
        </w:rPr>
        <w:t xml:space="preserve">. </w:t>
      </w:r>
      <w:r w:rsidR="006046C1" w:rsidRPr="00C85333">
        <w:rPr>
          <w:rFonts w:ascii="Times New Roman" w:hAnsi="Times New Roman" w:cs="Times New Roman"/>
          <w:sz w:val="20"/>
          <w:szCs w:val="20"/>
          <w:lang w:val="en-US"/>
        </w:rPr>
        <w:t>AIP Conference Proceedings, 3256(1), 050028</w:t>
      </w:r>
      <w:r w:rsidR="006046C1">
        <w:rPr>
          <w:rFonts w:ascii="Times New Roman" w:hAnsi="Times New Roman" w:cs="Times New Roman"/>
          <w:sz w:val="20"/>
          <w:szCs w:val="20"/>
          <w:lang w:val="en-US"/>
        </w:rPr>
        <w:t>, (</w:t>
      </w:r>
      <w:r w:rsidR="006046C1" w:rsidRPr="00C85333">
        <w:rPr>
          <w:rFonts w:ascii="Times New Roman" w:hAnsi="Times New Roman" w:cs="Times New Roman"/>
          <w:sz w:val="20"/>
          <w:szCs w:val="20"/>
          <w:lang w:val="en-US"/>
        </w:rPr>
        <w:t>2025</w:t>
      </w:r>
      <w:r w:rsidR="006046C1">
        <w:rPr>
          <w:rFonts w:ascii="Times New Roman" w:hAnsi="Times New Roman" w:cs="Times New Roman"/>
          <w:sz w:val="20"/>
          <w:szCs w:val="20"/>
          <w:lang w:val="en-US"/>
        </w:rPr>
        <w:t xml:space="preserve">). </w:t>
      </w:r>
      <w:hyperlink r:id="rId38" w:history="1">
        <w:r w:rsidR="006046C1" w:rsidRPr="00E36678">
          <w:rPr>
            <w:rStyle w:val="a3"/>
            <w:rFonts w:ascii="Times New Roman" w:hAnsi="Times New Roman" w:cs="Times New Roman"/>
            <w:sz w:val="20"/>
            <w:szCs w:val="20"/>
            <w:lang w:val="en-US"/>
          </w:rPr>
          <w:t>https://doi.org/10.1063/5.0267548</w:t>
        </w:r>
      </w:hyperlink>
      <w:r w:rsidR="006046C1">
        <w:rPr>
          <w:rFonts w:ascii="Times New Roman" w:hAnsi="Times New Roman" w:cs="Times New Roman"/>
          <w:sz w:val="20"/>
          <w:szCs w:val="20"/>
          <w:lang w:val="en-US"/>
        </w:rPr>
        <w:t xml:space="preserve"> </w:t>
      </w:r>
    </w:p>
    <w:p w14:paraId="2B32E6E9" w14:textId="682BA652" w:rsidR="006046C1" w:rsidRPr="00047BAC" w:rsidRDefault="006046C1"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00CD7060">
        <w:rPr>
          <w:rFonts w:ascii="Times New Roman" w:hAnsi="Times New Roman" w:cs="Times New Roman"/>
          <w:sz w:val="20"/>
          <w:szCs w:val="20"/>
          <w:lang w:val="en-US"/>
        </w:rPr>
        <w:t>7</w:t>
      </w:r>
      <w:r w:rsidRPr="00047BAC">
        <w:rPr>
          <w:rFonts w:ascii="Times New Roman" w:hAnsi="Times New Roman" w:cs="Times New Roman"/>
          <w:sz w:val="20"/>
          <w:szCs w:val="20"/>
          <w:lang w:val="en-US"/>
        </w:rPr>
        <w:t xml:space="preserve">. </w:t>
      </w:r>
      <w:proofErr w:type="spellStart"/>
      <w:proofErr w:type="gramStart"/>
      <w:r w:rsidRPr="00047BAC">
        <w:rPr>
          <w:rFonts w:ascii="Times New Roman" w:hAnsi="Times New Roman" w:cs="Times New Roman"/>
          <w:sz w:val="20"/>
          <w:szCs w:val="20"/>
          <w:lang w:val="en-US"/>
        </w:rPr>
        <w:t>K.Turdibekov</w:t>
      </w:r>
      <w:proofErr w:type="spellEnd"/>
      <w:proofErr w:type="gramEnd"/>
      <w:r w:rsidRPr="00047BAC">
        <w:rPr>
          <w:rFonts w:ascii="Times New Roman" w:hAnsi="Times New Roman" w:cs="Times New Roman"/>
          <w:sz w:val="20"/>
          <w:szCs w:val="20"/>
          <w:lang w:val="en-US"/>
        </w:rPr>
        <w:t xml:space="preserve">, </w:t>
      </w:r>
      <w:proofErr w:type="spellStart"/>
      <w:proofErr w:type="gramStart"/>
      <w:r w:rsidRPr="00047BAC">
        <w:rPr>
          <w:rFonts w:ascii="Times New Roman" w:hAnsi="Times New Roman" w:cs="Times New Roman"/>
          <w:sz w:val="20"/>
          <w:szCs w:val="20"/>
          <w:lang w:val="en-US"/>
        </w:rPr>
        <w:t>A.Sulliev</w:t>
      </w:r>
      <w:proofErr w:type="spellEnd"/>
      <w:proofErr w:type="gramEnd"/>
      <w:r w:rsidRPr="00047BAC">
        <w:rPr>
          <w:rFonts w:ascii="Times New Roman" w:hAnsi="Times New Roman" w:cs="Times New Roman"/>
          <w:sz w:val="20"/>
          <w:szCs w:val="20"/>
          <w:lang w:val="en-US"/>
        </w:rPr>
        <w:t xml:space="preserve">, </w:t>
      </w:r>
      <w:proofErr w:type="spellStart"/>
      <w:proofErr w:type="gramStart"/>
      <w:r w:rsidRPr="00047BAC">
        <w:rPr>
          <w:rFonts w:ascii="Times New Roman" w:hAnsi="Times New Roman" w:cs="Times New Roman"/>
          <w:sz w:val="20"/>
          <w:szCs w:val="20"/>
          <w:lang w:val="en-US"/>
        </w:rPr>
        <w:t>O.Iskandarova</w:t>
      </w:r>
      <w:proofErr w:type="spellEnd"/>
      <w:proofErr w:type="gramEnd"/>
      <w:r w:rsidRPr="00047BAC">
        <w:rPr>
          <w:rFonts w:ascii="Times New Roman" w:hAnsi="Times New Roman" w:cs="Times New Roman"/>
          <w:sz w:val="20"/>
          <w:szCs w:val="20"/>
          <w:lang w:val="en-US"/>
        </w:rPr>
        <w:t xml:space="preserve">, </w:t>
      </w:r>
      <w:proofErr w:type="spellStart"/>
      <w:proofErr w:type="gramStart"/>
      <w:r w:rsidRPr="00047BAC">
        <w:rPr>
          <w:rFonts w:ascii="Times New Roman" w:hAnsi="Times New Roman" w:cs="Times New Roman"/>
          <w:sz w:val="20"/>
          <w:szCs w:val="20"/>
          <w:lang w:val="en-US"/>
        </w:rPr>
        <w:t>J.Boboqulov</w:t>
      </w:r>
      <w:proofErr w:type="spellEnd"/>
      <w:proofErr w:type="gram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Experimental and statistical methods for studying the modes of electric power systems under conditions of uncertainty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452, </w:t>
      </w:r>
      <w:r w:rsidRPr="00047BAC">
        <w:rPr>
          <w:rFonts w:ascii="Times New Roman" w:hAnsi="Times New Roman" w:cs="Times New Roman"/>
          <w:b/>
          <w:sz w:val="20"/>
          <w:szCs w:val="20"/>
          <w:lang w:val="en-US"/>
        </w:rPr>
        <w:t>04002</w:t>
      </w:r>
      <w:r w:rsidRPr="00047BAC">
        <w:rPr>
          <w:rFonts w:ascii="Times New Roman" w:hAnsi="Times New Roman" w:cs="Times New Roman"/>
          <w:sz w:val="20"/>
          <w:szCs w:val="20"/>
          <w:lang w:val="en-US"/>
        </w:rPr>
        <w:t xml:space="preserve">, (2023), </w:t>
      </w:r>
      <w:hyperlink r:id="rId39" w:history="1">
        <w:r w:rsidRPr="00047BAC">
          <w:rPr>
            <w:rStyle w:val="a3"/>
            <w:rFonts w:ascii="Times New Roman" w:hAnsi="Times New Roman" w:cs="Times New Roman"/>
            <w:sz w:val="20"/>
            <w:szCs w:val="20"/>
            <w:lang w:val="en-US"/>
          </w:rPr>
          <w:t>https://doi.org/10.1051/e3sconf/202345204002</w:t>
        </w:r>
      </w:hyperlink>
      <w:r w:rsidRPr="00047BAC">
        <w:rPr>
          <w:rFonts w:ascii="Times New Roman" w:hAnsi="Times New Roman" w:cs="Times New Roman"/>
          <w:sz w:val="20"/>
          <w:szCs w:val="20"/>
          <w:lang w:val="en-US"/>
        </w:rPr>
        <w:t xml:space="preserve"> </w:t>
      </w:r>
    </w:p>
    <w:p w14:paraId="5AD1455F" w14:textId="1F11D417"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28</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S.Kasimov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A.Eshkabilov</w:t>
      </w:r>
      <w:proofErr w:type="spellEnd"/>
      <w:proofErr w:type="gramEnd"/>
      <w:r w:rsidR="006046C1" w:rsidRPr="00047BAC">
        <w:rPr>
          <w:rFonts w:ascii="Times New Roman" w:hAnsi="Times New Roman" w:cs="Times New Roman"/>
          <w:sz w:val="20"/>
          <w:szCs w:val="20"/>
          <w:lang w:val="en-US"/>
        </w:rPr>
        <w:t xml:space="preserve">. </w:t>
      </w:r>
      <w:proofErr w:type="spellStart"/>
      <w:r w:rsidR="006046C1" w:rsidRPr="00047BAC">
        <w:rPr>
          <w:rFonts w:ascii="Times New Roman" w:hAnsi="Times New Roman" w:cs="Times New Roman"/>
          <w:i/>
          <w:sz w:val="20"/>
          <w:szCs w:val="20"/>
          <w:lang w:val="en-US"/>
        </w:rPr>
        <w:t>Optimising</w:t>
      </w:r>
      <w:proofErr w:type="spellEnd"/>
      <w:r w:rsidR="006046C1" w:rsidRPr="00047BAC">
        <w:rPr>
          <w:rFonts w:ascii="Times New Roman" w:hAnsi="Times New Roman" w:cs="Times New Roman"/>
          <w:i/>
          <w:sz w:val="20"/>
          <w:szCs w:val="20"/>
          <w:lang w:val="en-US"/>
        </w:rPr>
        <w:t xml:space="preserve"> Pulse Combustion Systems for Enhanced Efficiency and Sustainability in Thermal Power Engineering</w:t>
      </w:r>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sz w:val="20"/>
          <w:szCs w:val="20"/>
          <w:lang w:val="uz-Cyrl-UZ"/>
        </w:rPr>
        <w:t>E3S Web of Conferences</w:t>
      </w:r>
      <w:r w:rsidR="006046C1" w:rsidRPr="00047BAC">
        <w:rPr>
          <w:rFonts w:ascii="Times New Roman" w:hAnsi="Times New Roman" w:cs="Times New Roman"/>
          <w:sz w:val="20"/>
          <w:szCs w:val="20"/>
          <w:lang w:val="en-US"/>
        </w:rPr>
        <w:t xml:space="preserve">, 449, </w:t>
      </w:r>
      <w:r w:rsidR="006046C1" w:rsidRPr="00047BAC">
        <w:rPr>
          <w:rFonts w:ascii="Times New Roman" w:hAnsi="Times New Roman" w:cs="Times New Roman"/>
          <w:b/>
          <w:sz w:val="20"/>
          <w:szCs w:val="20"/>
          <w:lang w:val="en-US"/>
        </w:rPr>
        <w:t>06006</w:t>
      </w:r>
      <w:r w:rsidR="006046C1" w:rsidRPr="00047BAC">
        <w:rPr>
          <w:rFonts w:ascii="Times New Roman" w:hAnsi="Times New Roman" w:cs="Times New Roman"/>
          <w:sz w:val="20"/>
          <w:szCs w:val="20"/>
          <w:lang w:val="en-US"/>
        </w:rPr>
        <w:t xml:space="preserve">, (2023), </w:t>
      </w:r>
      <w:hyperlink r:id="rId40" w:history="1">
        <w:r w:rsidR="006046C1" w:rsidRPr="00047BAC">
          <w:rPr>
            <w:rStyle w:val="a3"/>
            <w:rFonts w:ascii="Times New Roman" w:hAnsi="Times New Roman" w:cs="Times New Roman"/>
            <w:sz w:val="20"/>
            <w:szCs w:val="20"/>
            <w:lang w:val="en-US"/>
          </w:rPr>
          <w:t>https://doi.org/10.1051/e3sconf/202344906006</w:t>
        </w:r>
      </w:hyperlink>
      <w:r w:rsidR="006046C1" w:rsidRPr="00047BAC">
        <w:rPr>
          <w:rFonts w:ascii="Times New Roman" w:hAnsi="Times New Roman" w:cs="Times New Roman"/>
          <w:sz w:val="20"/>
          <w:szCs w:val="20"/>
          <w:lang w:val="en-US"/>
        </w:rPr>
        <w:t xml:space="preserve"> </w:t>
      </w:r>
    </w:p>
    <w:p w14:paraId="295F275A" w14:textId="1452D0C8"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29</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S.Amirov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S.Sharapov</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Study on differential transformer displacement sensors</w:t>
      </w:r>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sz w:val="20"/>
          <w:szCs w:val="20"/>
          <w:lang w:val="uz-Cyrl-UZ"/>
        </w:rPr>
        <w:t>E3S Web of Conferences</w:t>
      </w:r>
      <w:r w:rsidR="006046C1" w:rsidRPr="00047BAC">
        <w:rPr>
          <w:rFonts w:ascii="Times New Roman" w:hAnsi="Times New Roman" w:cs="Times New Roman"/>
          <w:sz w:val="20"/>
          <w:szCs w:val="20"/>
          <w:lang w:val="en-US"/>
        </w:rPr>
        <w:t xml:space="preserve">, 434, </w:t>
      </w:r>
      <w:r w:rsidR="006046C1" w:rsidRPr="00047BAC">
        <w:rPr>
          <w:rFonts w:ascii="Times New Roman" w:hAnsi="Times New Roman" w:cs="Times New Roman"/>
          <w:b/>
          <w:sz w:val="20"/>
          <w:szCs w:val="20"/>
          <w:lang w:val="en-US"/>
        </w:rPr>
        <w:t>02011</w:t>
      </w:r>
      <w:r w:rsidR="006046C1" w:rsidRPr="00047BAC">
        <w:rPr>
          <w:rFonts w:ascii="Times New Roman" w:hAnsi="Times New Roman" w:cs="Times New Roman"/>
          <w:sz w:val="20"/>
          <w:szCs w:val="20"/>
          <w:lang w:val="en-US"/>
        </w:rPr>
        <w:t xml:space="preserve">, (2023), </w:t>
      </w:r>
      <w:hyperlink r:id="rId41" w:history="1">
        <w:r w:rsidR="006046C1" w:rsidRPr="00047BAC">
          <w:rPr>
            <w:rStyle w:val="a3"/>
            <w:rFonts w:ascii="Times New Roman" w:hAnsi="Times New Roman" w:cs="Times New Roman"/>
            <w:sz w:val="20"/>
            <w:szCs w:val="20"/>
            <w:lang w:val="en-US"/>
          </w:rPr>
          <w:t>https://doi.org/10.1051/e3sconf/202343402011</w:t>
        </w:r>
      </w:hyperlink>
      <w:r w:rsidR="006046C1" w:rsidRPr="00047BAC">
        <w:rPr>
          <w:rFonts w:ascii="Times New Roman" w:hAnsi="Times New Roman" w:cs="Times New Roman"/>
          <w:sz w:val="20"/>
          <w:szCs w:val="20"/>
          <w:lang w:val="en-US"/>
        </w:rPr>
        <w:t xml:space="preserve"> </w:t>
      </w:r>
    </w:p>
    <w:p w14:paraId="4275795E" w14:textId="1808D204"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30</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S.Amirov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K.Turdibekov</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 xml:space="preserve">Investigation of </w:t>
      </w:r>
      <w:proofErr w:type="spellStart"/>
      <w:r w:rsidR="006046C1" w:rsidRPr="00047BAC">
        <w:rPr>
          <w:rFonts w:ascii="Times New Roman" w:hAnsi="Times New Roman" w:cs="Times New Roman"/>
          <w:i/>
          <w:sz w:val="20"/>
          <w:szCs w:val="20"/>
          <w:lang w:val="en-US"/>
        </w:rPr>
        <w:t>biparametric</w:t>
      </w:r>
      <w:proofErr w:type="spellEnd"/>
      <w:r w:rsidR="006046C1" w:rsidRPr="00047BAC">
        <w:rPr>
          <w:rFonts w:ascii="Times New Roman" w:hAnsi="Times New Roman" w:cs="Times New Roman"/>
          <w:i/>
          <w:sz w:val="20"/>
          <w:szCs w:val="20"/>
          <w:lang w:val="en-US"/>
        </w:rPr>
        <w:t xml:space="preserve"> resonance sensors with distributed parameters</w:t>
      </w:r>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sz w:val="20"/>
          <w:szCs w:val="20"/>
          <w:lang w:val="uz-Cyrl-UZ"/>
        </w:rPr>
        <w:t>E3S Web of Conferences</w:t>
      </w:r>
      <w:r w:rsidR="006046C1" w:rsidRPr="00047BAC">
        <w:rPr>
          <w:rFonts w:ascii="Times New Roman" w:hAnsi="Times New Roman" w:cs="Times New Roman"/>
          <w:sz w:val="20"/>
          <w:szCs w:val="20"/>
          <w:lang w:val="en-US"/>
        </w:rPr>
        <w:t xml:space="preserve">, 377, </w:t>
      </w:r>
      <w:r w:rsidR="006046C1" w:rsidRPr="00047BAC">
        <w:rPr>
          <w:rFonts w:ascii="Times New Roman" w:hAnsi="Times New Roman" w:cs="Times New Roman"/>
          <w:b/>
          <w:sz w:val="20"/>
          <w:szCs w:val="20"/>
          <w:lang w:val="en-US"/>
        </w:rPr>
        <w:t>01002</w:t>
      </w:r>
      <w:r w:rsidR="006046C1" w:rsidRPr="00047BAC">
        <w:rPr>
          <w:rFonts w:ascii="Times New Roman" w:hAnsi="Times New Roman" w:cs="Times New Roman"/>
          <w:sz w:val="20"/>
          <w:szCs w:val="20"/>
          <w:lang w:val="en-US"/>
        </w:rPr>
        <w:t xml:space="preserve">, (2023), </w:t>
      </w:r>
      <w:hyperlink r:id="rId42" w:history="1">
        <w:r w:rsidR="006046C1" w:rsidRPr="00047BAC">
          <w:rPr>
            <w:rStyle w:val="a3"/>
            <w:rFonts w:ascii="Times New Roman" w:hAnsi="Times New Roman" w:cs="Times New Roman"/>
            <w:sz w:val="20"/>
            <w:szCs w:val="20"/>
            <w:lang w:val="en-US"/>
          </w:rPr>
          <w:t>https://doi.org/10.1051/e3sconf/202337701002</w:t>
        </w:r>
      </w:hyperlink>
      <w:r w:rsidR="006046C1" w:rsidRPr="00047BAC">
        <w:rPr>
          <w:rFonts w:ascii="Times New Roman" w:hAnsi="Times New Roman" w:cs="Times New Roman"/>
          <w:sz w:val="20"/>
          <w:szCs w:val="20"/>
          <w:lang w:val="en-US"/>
        </w:rPr>
        <w:t xml:space="preserve"> </w:t>
      </w:r>
    </w:p>
    <w:p w14:paraId="2FBDE48A" w14:textId="7C0CAE8C"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31</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M.Yakubov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A.Sanbetova</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006046C1" w:rsidRPr="00047BAC">
        <w:rPr>
          <w:rFonts w:ascii="Times New Roman" w:hAnsi="Times New Roman" w:cs="Times New Roman"/>
          <w:sz w:val="20"/>
          <w:szCs w:val="20"/>
          <w:lang w:val="en-US"/>
        </w:rPr>
        <w:t xml:space="preserve">. IOP Conference Series Earth and Environmental Science, 1142(1), </w:t>
      </w:r>
      <w:r w:rsidR="006046C1" w:rsidRPr="00047BAC">
        <w:rPr>
          <w:rFonts w:ascii="Times New Roman" w:hAnsi="Times New Roman" w:cs="Times New Roman"/>
          <w:b/>
          <w:sz w:val="20"/>
          <w:szCs w:val="20"/>
          <w:lang w:val="en-US"/>
        </w:rPr>
        <w:t>012010</w:t>
      </w:r>
      <w:r w:rsidR="006046C1" w:rsidRPr="00047BAC">
        <w:rPr>
          <w:rFonts w:ascii="Times New Roman" w:hAnsi="Times New Roman" w:cs="Times New Roman"/>
          <w:sz w:val="20"/>
          <w:szCs w:val="20"/>
          <w:lang w:val="en-US"/>
        </w:rPr>
        <w:t xml:space="preserve">, (2023), </w:t>
      </w:r>
      <w:r w:rsidR="006046C1" w:rsidRPr="00047BAC">
        <w:rPr>
          <w:rFonts w:ascii="Times New Roman" w:hAnsi="Times New Roman" w:cs="Times New Roman"/>
          <w:color w:val="0000FF"/>
          <w:sz w:val="20"/>
          <w:szCs w:val="20"/>
          <w:u w:val="single"/>
          <w:lang w:val="en-US"/>
        </w:rPr>
        <w:t xml:space="preserve">doi:10.1088/1755-1315/1142/1/012010 </w:t>
      </w:r>
    </w:p>
    <w:p w14:paraId="22F5505C" w14:textId="14DAB295"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32</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K.Turdibekov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I.Qurbanov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S.Samatov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A.Sanbetova</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 xml:space="preserve">Voltage </w:t>
      </w:r>
      <w:proofErr w:type="spellStart"/>
      <w:r w:rsidR="006046C1" w:rsidRPr="00047BAC">
        <w:rPr>
          <w:rFonts w:ascii="Times New Roman" w:hAnsi="Times New Roman" w:cs="Times New Roman"/>
          <w:i/>
          <w:sz w:val="20"/>
          <w:szCs w:val="20"/>
          <w:lang w:val="en-US"/>
        </w:rPr>
        <w:t>Symmetration</w:t>
      </w:r>
      <w:proofErr w:type="spellEnd"/>
      <w:r w:rsidR="006046C1" w:rsidRPr="00047BAC">
        <w:rPr>
          <w:rFonts w:ascii="Times New Roman" w:hAnsi="Times New Roman" w:cs="Times New Roman"/>
          <w:i/>
          <w:sz w:val="20"/>
          <w:szCs w:val="20"/>
          <w:lang w:val="en-US"/>
        </w:rPr>
        <w:t xml:space="preserve"> in </w:t>
      </w:r>
      <w:proofErr w:type="gramStart"/>
      <w:r w:rsidR="006046C1" w:rsidRPr="00047BAC">
        <w:rPr>
          <w:rFonts w:ascii="Times New Roman" w:hAnsi="Times New Roman" w:cs="Times New Roman"/>
          <w:i/>
          <w:sz w:val="20"/>
          <w:szCs w:val="20"/>
          <w:lang w:val="en-US"/>
        </w:rPr>
        <w:t>High Speed</w:t>
      </w:r>
      <w:proofErr w:type="gramEnd"/>
      <w:r w:rsidR="006046C1" w:rsidRPr="00047BAC">
        <w:rPr>
          <w:rFonts w:ascii="Times New Roman" w:hAnsi="Times New Roman" w:cs="Times New Roman"/>
          <w:i/>
          <w:sz w:val="20"/>
          <w:szCs w:val="20"/>
          <w:lang w:val="en-US"/>
        </w:rPr>
        <w:t xml:space="preserve"> Transport Power Supply Systems</w:t>
      </w:r>
      <w:r w:rsidR="006046C1" w:rsidRPr="00047BAC">
        <w:rPr>
          <w:rFonts w:ascii="Times New Roman" w:hAnsi="Times New Roman" w:cs="Times New Roman"/>
          <w:sz w:val="20"/>
          <w:szCs w:val="20"/>
          <w:lang w:val="en-US"/>
        </w:rPr>
        <w:t xml:space="preserve">. AIP Conference Proceedings, 2432, </w:t>
      </w:r>
      <w:r w:rsidR="006046C1" w:rsidRPr="00047BAC">
        <w:rPr>
          <w:rFonts w:ascii="Times New Roman" w:hAnsi="Times New Roman" w:cs="Times New Roman"/>
          <w:b/>
          <w:sz w:val="20"/>
          <w:szCs w:val="20"/>
          <w:lang w:val="en-US"/>
        </w:rPr>
        <w:t>030084</w:t>
      </w:r>
      <w:r w:rsidR="006046C1" w:rsidRPr="00047BAC">
        <w:rPr>
          <w:rFonts w:ascii="Times New Roman" w:hAnsi="Times New Roman" w:cs="Times New Roman"/>
          <w:sz w:val="20"/>
          <w:szCs w:val="20"/>
          <w:lang w:val="en-US"/>
        </w:rPr>
        <w:t xml:space="preserve">, (2022), </w:t>
      </w:r>
      <w:hyperlink r:id="rId43" w:history="1">
        <w:r w:rsidR="006046C1" w:rsidRPr="00047BAC">
          <w:rPr>
            <w:rStyle w:val="a3"/>
            <w:rFonts w:ascii="Times New Roman" w:hAnsi="Times New Roman" w:cs="Times New Roman"/>
            <w:sz w:val="20"/>
            <w:szCs w:val="20"/>
            <w:lang w:val="en-US"/>
          </w:rPr>
          <w:t>https://doi.org/10.1063/5.0089958</w:t>
        </w:r>
      </w:hyperlink>
      <w:r w:rsidR="006046C1" w:rsidRPr="00047BAC">
        <w:rPr>
          <w:rFonts w:ascii="Times New Roman" w:hAnsi="Times New Roman" w:cs="Times New Roman"/>
          <w:sz w:val="20"/>
          <w:szCs w:val="20"/>
          <w:lang w:val="en-US"/>
        </w:rPr>
        <w:t xml:space="preserve"> </w:t>
      </w:r>
    </w:p>
    <w:p w14:paraId="3818A52D" w14:textId="51098ACF" w:rsidR="006046C1" w:rsidRPr="00047BAC" w:rsidRDefault="00CD7060" w:rsidP="006046C1">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33</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K.Turdibekov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M.Yakubov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A.Sulliev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A.Sanbetova</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Mathematical Models of Asymmetric Modes in High-Speed Traffic</w:t>
      </w:r>
      <w:r w:rsidR="006046C1" w:rsidRPr="00047BAC">
        <w:rPr>
          <w:rFonts w:ascii="Times New Roman" w:hAnsi="Times New Roman" w:cs="Times New Roman"/>
          <w:sz w:val="20"/>
          <w:szCs w:val="20"/>
          <w:lang w:val="en-US"/>
        </w:rPr>
        <w:t xml:space="preserve">. Lecture Notes in Networks and Systems, </w:t>
      </w:r>
      <w:r w:rsidR="006046C1" w:rsidRPr="00047BAC">
        <w:rPr>
          <w:rFonts w:ascii="Times New Roman" w:hAnsi="Times New Roman" w:cs="Times New Roman"/>
          <w:b/>
          <w:sz w:val="20"/>
          <w:szCs w:val="20"/>
          <w:lang w:val="en-US"/>
        </w:rPr>
        <w:t>247</w:t>
      </w:r>
      <w:r w:rsidR="006046C1" w:rsidRPr="00047BAC">
        <w:rPr>
          <w:rFonts w:ascii="Times New Roman" w:hAnsi="Times New Roman" w:cs="Times New Roman"/>
          <w:sz w:val="20"/>
          <w:szCs w:val="20"/>
          <w:lang w:val="en-US"/>
        </w:rPr>
        <w:t xml:space="preserve">, (2022), pp.1051-1058. </w:t>
      </w:r>
      <w:r w:rsidR="006046C1" w:rsidRPr="00047BAC">
        <w:rPr>
          <w:rFonts w:ascii="Times New Roman" w:hAnsi="Times New Roman" w:cs="Times New Roman"/>
          <w:color w:val="0000FF"/>
          <w:sz w:val="20"/>
          <w:szCs w:val="20"/>
          <w:u w:val="single"/>
          <w:lang w:val="en-US"/>
        </w:rPr>
        <w:t xml:space="preserve">DOI:10.1007/978-3-030-80946-1_95 </w:t>
      </w:r>
    </w:p>
    <w:p w14:paraId="24857B54" w14:textId="2223A404" w:rsidR="006046C1" w:rsidRPr="00047BAC" w:rsidRDefault="00CD7060" w:rsidP="006046C1">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34</w:t>
      </w:r>
      <w:r w:rsidR="006046C1">
        <w:rPr>
          <w:rFonts w:ascii="Times New Roman" w:hAnsi="Times New Roman" w:cs="Times New Roman"/>
          <w:sz w:val="20"/>
          <w:szCs w:val="20"/>
          <w:lang w:val="en-US"/>
        </w:rPr>
        <w:t>.</w:t>
      </w:r>
      <w:r w:rsidR="006046C1" w:rsidRPr="00047BAC">
        <w:rPr>
          <w:rFonts w:ascii="Times New Roman" w:hAnsi="Times New Roman" w:cs="Times New Roman"/>
          <w:sz w:val="20"/>
          <w:szCs w:val="20"/>
          <w:lang w:val="en-US"/>
        </w:rPr>
        <w:t xml:space="preserve"> </w:t>
      </w:r>
      <w:proofErr w:type="spellStart"/>
      <w:r w:rsidR="006046C1" w:rsidRPr="00047BAC">
        <w:rPr>
          <w:rFonts w:ascii="Times New Roman" w:hAnsi="Times New Roman" w:cs="Times New Roman"/>
          <w:sz w:val="20"/>
          <w:szCs w:val="20"/>
          <w:lang w:val="en-US"/>
        </w:rPr>
        <w:t>S.</w:t>
      </w:r>
      <w:proofErr w:type="gramStart"/>
      <w:r w:rsidR="006046C1" w:rsidRPr="00047BAC">
        <w:rPr>
          <w:rFonts w:ascii="Times New Roman" w:hAnsi="Times New Roman" w:cs="Times New Roman"/>
          <w:sz w:val="20"/>
          <w:szCs w:val="20"/>
          <w:lang w:val="en-US"/>
        </w:rPr>
        <w:t>K.Shah</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L.Safarov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A.Sanbetova</w:t>
      </w:r>
      <w:proofErr w:type="spellEnd"/>
      <w:proofErr w:type="gramEnd"/>
      <w:r w:rsidR="006046C1" w:rsidRPr="00047BAC">
        <w:rPr>
          <w:rFonts w:ascii="Times New Roman" w:hAnsi="Times New Roman" w:cs="Times New Roman"/>
          <w:sz w:val="20"/>
          <w:szCs w:val="20"/>
          <w:lang w:val="en-US"/>
        </w:rPr>
        <w:t xml:space="preserve">, </w:t>
      </w:r>
      <w:r w:rsidR="006046C1" w:rsidRPr="00695A34">
        <w:rPr>
          <w:rFonts w:ascii="Times New Roman" w:hAnsi="Times New Roman" w:cs="Times New Roman"/>
          <w:sz w:val="20"/>
          <w:szCs w:val="20"/>
          <w:lang w:val="en-US"/>
        </w:rPr>
        <w:t xml:space="preserve">and etc. </w:t>
      </w:r>
      <w:r w:rsidR="006046C1" w:rsidRPr="00047BAC">
        <w:rPr>
          <w:rFonts w:ascii="Times New Roman" w:hAnsi="Times New Roman" w:cs="Times New Roman"/>
          <w:i/>
          <w:sz w:val="20"/>
          <w:szCs w:val="20"/>
          <w:lang w:val="en-US"/>
        </w:rPr>
        <w:t>Investigation on composite phase change materials for energy-saving buildings</w:t>
      </w:r>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sz w:val="20"/>
          <w:szCs w:val="20"/>
          <w:lang w:val="uz-Cyrl-UZ"/>
        </w:rPr>
        <w:t>E3S Web of Conferences</w:t>
      </w:r>
      <w:r w:rsidR="006046C1" w:rsidRPr="00047BAC">
        <w:rPr>
          <w:rFonts w:ascii="Times New Roman" w:hAnsi="Times New Roman" w:cs="Times New Roman"/>
          <w:sz w:val="20"/>
          <w:szCs w:val="20"/>
          <w:lang w:val="en-US"/>
        </w:rPr>
        <w:t xml:space="preserve">, 563, </w:t>
      </w:r>
      <w:r w:rsidR="006046C1" w:rsidRPr="00047BAC">
        <w:rPr>
          <w:rFonts w:ascii="Times New Roman" w:hAnsi="Times New Roman" w:cs="Times New Roman"/>
          <w:b/>
          <w:sz w:val="20"/>
          <w:szCs w:val="20"/>
          <w:lang w:val="en-US"/>
        </w:rPr>
        <w:t>01003</w:t>
      </w:r>
      <w:r w:rsidR="006046C1" w:rsidRPr="00047BAC">
        <w:rPr>
          <w:rFonts w:ascii="Times New Roman" w:hAnsi="Times New Roman" w:cs="Times New Roman"/>
          <w:sz w:val="20"/>
          <w:szCs w:val="20"/>
          <w:lang w:val="en-US"/>
        </w:rPr>
        <w:t xml:space="preserve">, (2024), </w:t>
      </w:r>
      <w:hyperlink r:id="rId44" w:history="1">
        <w:r w:rsidR="006046C1" w:rsidRPr="00047BAC">
          <w:rPr>
            <w:rStyle w:val="a3"/>
            <w:rFonts w:ascii="Times New Roman" w:hAnsi="Times New Roman" w:cs="Times New Roman"/>
            <w:sz w:val="20"/>
            <w:szCs w:val="20"/>
            <w:lang w:val="en-US"/>
          </w:rPr>
          <w:t>https://doi.org/10.1051/e3sconf/202456301003</w:t>
        </w:r>
      </w:hyperlink>
      <w:r w:rsidR="006046C1" w:rsidRPr="00047BAC">
        <w:rPr>
          <w:rFonts w:ascii="Times New Roman" w:hAnsi="Times New Roman" w:cs="Times New Roman"/>
          <w:sz w:val="20"/>
          <w:szCs w:val="20"/>
          <w:lang w:val="en-US"/>
        </w:rPr>
        <w:t xml:space="preserve"> </w:t>
      </w:r>
    </w:p>
    <w:p w14:paraId="60F92CD9"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35</w:t>
      </w:r>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A.Sanbetova</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A.Mukhammadiev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A.Rakhmatov</w:t>
      </w:r>
      <w:proofErr w:type="spellEnd"/>
      <w:proofErr w:type="gramEnd"/>
      <w:r w:rsidR="006046C1" w:rsidRPr="00047BAC">
        <w:rPr>
          <w:rFonts w:ascii="Times New Roman" w:hAnsi="Times New Roman" w:cs="Times New Roman"/>
          <w:sz w:val="20"/>
          <w:szCs w:val="20"/>
          <w:lang w:val="en-US"/>
        </w:rPr>
        <w:t xml:space="preserve">, </w:t>
      </w:r>
      <w:proofErr w:type="spellStart"/>
      <w:proofErr w:type="gramStart"/>
      <w:r w:rsidR="006046C1" w:rsidRPr="00047BAC">
        <w:rPr>
          <w:rFonts w:ascii="Times New Roman" w:hAnsi="Times New Roman" w:cs="Times New Roman"/>
          <w:sz w:val="20"/>
          <w:szCs w:val="20"/>
          <w:lang w:val="en-US"/>
        </w:rPr>
        <w:t>Z.Beknazarova</w:t>
      </w:r>
      <w:proofErr w:type="spellEnd"/>
      <w:proofErr w:type="gramEnd"/>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i/>
          <w:sz w:val="20"/>
          <w:szCs w:val="20"/>
          <w:lang w:val="en-US"/>
        </w:rPr>
        <w:t>Study on cultivation of environmentally friendly seed potatoes based on electrical technology</w:t>
      </w:r>
      <w:r w:rsidR="006046C1" w:rsidRPr="00047BAC">
        <w:rPr>
          <w:rFonts w:ascii="Times New Roman" w:hAnsi="Times New Roman" w:cs="Times New Roman"/>
          <w:sz w:val="20"/>
          <w:szCs w:val="20"/>
          <w:lang w:val="en-US"/>
        </w:rPr>
        <w:t xml:space="preserve">. </w:t>
      </w:r>
      <w:r w:rsidR="006046C1" w:rsidRPr="00047BAC">
        <w:rPr>
          <w:rFonts w:ascii="Times New Roman" w:hAnsi="Times New Roman" w:cs="Times New Roman"/>
          <w:sz w:val="20"/>
          <w:szCs w:val="20"/>
          <w:lang w:val="uz-Cyrl-UZ"/>
        </w:rPr>
        <w:t>E3S Web of Conferences</w:t>
      </w:r>
      <w:r w:rsidR="006046C1" w:rsidRPr="00047BAC">
        <w:rPr>
          <w:rFonts w:ascii="Times New Roman" w:hAnsi="Times New Roman" w:cs="Times New Roman"/>
          <w:sz w:val="20"/>
          <w:szCs w:val="20"/>
          <w:lang w:val="en-US"/>
        </w:rPr>
        <w:t xml:space="preserve">, 377, </w:t>
      </w:r>
      <w:r w:rsidR="006046C1" w:rsidRPr="00047BAC">
        <w:rPr>
          <w:rFonts w:ascii="Times New Roman" w:hAnsi="Times New Roman" w:cs="Times New Roman"/>
          <w:b/>
          <w:sz w:val="20"/>
          <w:szCs w:val="20"/>
          <w:lang w:val="en-US"/>
        </w:rPr>
        <w:t>03001</w:t>
      </w:r>
      <w:r w:rsidR="006046C1" w:rsidRPr="00047BAC">
        <w:rPr>
          <w:rFonts w:ascii="Times New Roman" w:hAnsi="Times New Roman" w:cs="Times New Roman"/>
          <w:sz w:val="20"/>
          <w:szCs w:val="20"/>
          <w:lang w:val="en-US"/>
        </w:rPr>
        <w:t xml:space="preserve">, (2023), </w:t>
      </w:r>
      <w:hyperlink r:id="rId45" w:history="1">
        <w:r w:rsidR="006046C1" w:rsidRPr="00FC4C35">
          <w:rPr>
            <w:rStyle w:val="a3"/>
            <w:rFonts w:ascii="Times New Roman" w:hAnsi="Times New Roman" w:cs="Times New Roman"/>
            <w:sz w:val="20"/>
            <w:szCs w:val="20"/>
            <w:lang w:val="en-US"/>
          </w:rPr>
          <w:t>https://doi.org/10.1051/e3sconf/202337703001</w:t>
        </w:r>
      </w:hyperlink>
      <w:r w:rsidR="006046C1">
        <w:rPr>
          <w:rFonts w:ascii="Times New Roman" w:hAnsi="Times New Roman" w:cs="Times New Roman"/>
          <w:sz w:val="20"/>
          <w:szCs w:val="20"/>
          <w:lang w:val="en-US"/>
        </w:rPr>
        <w:t xml:space="preserve"> </w:t>
      </w:r>
    </w:p>
    <w:p w14:paraId="064E1123"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36</w:t>
      </w:r>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J.Safarov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A.Khujakulov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Sh.Sultanova</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U.Khujakulov</w:t>
      </w:r>
      <w:proofErr w:type="spellEnd"/>
      <w:proofErr w:type="gramEnd"/>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S</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Verma</w:t>
      </w:r>
      <w:proofErr w:type="spellEnd"/>
      <w:proofErr w:type="gramEnd"/>
      <w:r w:rsidR="006046C1" w:rsidRPr="00CE1F21">
        <w:rPr>
          <w:rFonts w:ascii="Times New Roman" w:hAnsi="Times New Roman" w:cs="Times New Roman"/>
          <w:sz w:val="20"/>
          <w:szCs w:val="20"/>
          <w:lang w:val="en-US"/>
        </w:rPr>
        <w:t>.</w:t>
      </w:r>
      <w:r w:rsidR="006046C1" w:rsidRPr="00CE1F21">
        <w:rPr>
          <w:rFonts w:ascii="Times New Roman" w:hAnsi="Times New Roman" w:cs="Times New Roman"/>
          <w:i/>
          <w:sz w:val="20"/>
          <w:szCs w:val="20"/>
          <w:lang w:val="en-US"/>
        </w:rPr>
        <w:t xml:space="preserve"> Research on energy efficient kinetics of drying raw material</w:t>
      </w:r>
      <w:r w:rsidR="006046C1" w:rsidRPr="00CE1F21">
        <w:rPr>
          <w:rFonts w:ascii="Times New Roman" w:hAnsi="Times New Roman" w:cs="Times New Roman"/>
          <w:sz w:val="20"/>
          <w:szCs w:val="20"/>
          <w:lang w:val="en-US"/>
        </w:rPr>
        <w:t>. E3S Web of Conferences</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r w:rsidR="006046C1" w:rsidRPr="00CE2FC5">
        <w:rPr>
          <w:rFonts w:ascii="Times New Roman" w:hAnsi="Times New Roman" w:cs="Times New Roman"/>
          <w:sz w:val="20"/>
          <w:szCs w:val="20"/>
          <w:lang w:val="en-US"/>
        </w:rPr>
        <w:t xml:space="preserve">216, </w:t>
      </w:r>
      <w:r w:rsidR="006046C1" w:rsidRPr="00CE2FC5">
        <w:rPr>
          <w:rFonts w:ascii="Times New Roman" w:hAnsi="Times New Roman" w:cs="Times New Roman"/>
          <w:b/>
          <w:sz w:val="20"/>
          <w:szCs w:val="20"/>
          <w:lang w:val="en-US"/>
        </w:rPr>
        <w:t>01093</w:t>
      </w:r>
      <w:r w:rsidR="006046C1">
        <w:rPr>
          <w:rFonts w:ascii="Times New Roman" w:hAnsi="Times New Roman" w:cs="Times New Roman"/>
          <w:sz w:val="20"/>
          <w:szCs w:val="20"/>
          <w:lang w:val="en-US"/>
        </w:rPr>
        <w:t>, (</w:t>
      </w:r>
      <w:r w:rsidR="006046C1" w:rsidRPr="00CE2FC5">
        <w:rPr>
          <w:rFonts w:ascii="Times New Roman" w:hAnsi="Times New Roman" w:cs="Times New Roman"/>
          <w:sz w:val="20"/>
          <w:szCs w:val="20"/>
          <w:lang w:val="en-US"/>
        </w:rPr>
        <w:t>2020</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hyperlink r:id="rId46" w:history="1">
        <w:r w:rsidR="006046C1" w:rsidRPr="00E36678">
          <w:rPr>
            <w:rStyle w:val="a3"/>
            <w:rFonts w:ascii="Times New Roman" w:hAnsi="Times New Roman" w:cs="Times New Roman"/>
            <w:sz w:val="20"/>
            <w:szCs w:val="20"/>
            <w:lang w:val="en-US"/>
          </w:rPr>
          <w:t>https://doi.org/10.1051/e3sconf/202021601093</w:t>
        </w:r>
      </w:hyperlink>
      <w:r w:rsidR="006046C1">
        <w:rPr>
          <w:rFonts w:ascii="Times New Roman" w:hAnsi="Times New Roman" w:cs="Times New Roman"/>
          <w:sz w:val="20"/>
          <w:szCs w:val="20"/>
          <w:lang w:val="en-US"/>
        </w:rPr>
        <w:t xml:space="preserve"> </w:t>
      </w:r>
    </w:p>
    <w:p w14:paraId="6EBE3E51"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37</w:t>
      </w:r>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J.Safarov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Sh.Sultanova</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G.Dadayev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Sh.Zulponov</w:t>
      </w:r>
      <w:proofErr w:type="spellEnd"/>
      <w:proofErr w:type="gramEnd"/>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r w:rsidR="006046C1" w:rsidRPr="00D072C7">
        <w:rPr>
          <w:rFonts w:ascii="Times New Roman" w:hAnsi="Times New Roman" w:cs="Times New Roman"/>
          <w:i/>
          <w:sz w:val="20"/>
          <w:szCs w:val="20"/>
          <w:lang w:val="en-US"/>
        </w:rPr>
        <w:t>Influence of the structure of coolant flows on the temperature profile by phases in a water heating dryer</w:t>
      </w:r>
      <w:r w:rsidR="006046C1" w:rsidRPr="00CE1F21">
        <w:rPr>
          <w:rFonts w:ascii="Times New Roman" w:hAnsi="Times New Roman" w:cs="Times New Roman"/>
          <w:sz w:val="20"/>
          <w:szCs w:val="20"/>
          <w:lang w:val="en-US"/>
        </w:rPr>
        <w:t>. IOP Conf. Series: Materials Science and Engineering</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1029</w:t>
      </w:r>
      <w:r w:rsidR="006046C1">
        <w:rPr>
          <w:rFonts w:ascii="Times New Roman" w:hAnsi="Times New Roman" w:cs="Times New Roman"/>
          <w:sz w:val="20"/>
          <w:szCs w:val="20"/>
          <w:lang w:val="en-US"/>
        </w:rPr>
        <w:t>(1)</w:t>
      </w:r>
      <w:r w:rsidR="006046C1" w:rsidRPr="00CE1F21">
        <w:rPr>
          <w:rFonts w:ascii="Times New Roman" w:hAnsi="Times New Roman" w:cs="Times New Roman"/>
          <w:sz w:val="20"/>
          <w:szCs w:val="20"/>
          <w:lang w:val="en-US"/>
        </w:rPr>
        <w:t xml:space="preserve">, </w:t>
      </w:r>
      <w:r w:rsidR="006046C1" w:rsidRPr="00D072C7">
        <w:rPr>
          <w:rFonts w:ascii="Times New Roman" w:hAnsi="Times New Roman" w:cs="Times New Roman"/>
          <w:b/>
          <w:sz w:val="20"/>
          <w:szCs w:val="20"/>
          <w:lang w:val="en-US"/>
        </w:rPr>
        <w:t>012019</w:t>
      </w:r>
      <w:r w:rsidR="006046C1">
        <w:rPr>
          <w:rFonts w:ascii="Times New Roman" w:hAnsi="Times New Roman" w:cs="Times New Roman"/>
          <w:sz w:val="20"/>
          <w:szCs w:val="20"/>
          <w:lang w:val="en-US"/>
        </w:rPr>
        <w:t>, (</w:t>
      </w:r>
      <w:r w:rsidR="006046C1" w:rsidRPr="00CE1F21">
        <w:rPr>
          <w:rFonts w:ascii="Times New Roman" w:hAnsi="Times New Roman" w:cs="Times New Roman"/>
          <w:sz w:val="20"/>
          <w:szCs w:val="20"/>
          <w:lang w:val="en-US"/>
        </w:rPr>
        <w:t>2021</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r w:rsidR="006046C1" w:rsidRPr="003B68AA">
        <w:rPr>
          <w:rFonts w:ascii="Times New Roman" w:hAnsi="Times New Roman" w:cs="Times New Roman"/>
          <w:color w:val="0000FF"/>
          <w:sz w:val="20"/>
          <w:szCs w:val="20"/>
          <w:u w:val="single"/>
          <w:lang w:val="en-US"/>
        </w:rPr>
        <w:t>doi:10.1088/1757-899X/1029/1/012019</w:t>
      </w:r>
      <w:r w:rsidR="006046C1">
        <w:rPr>
          <w:rFonts w:ascii="Times New Roman" w:hAnsi="Times New Roman" w:cs="Times New Roman"/>
          <w:sz w:val="20"/>
          <w:szCs w:val="20"/>
          <w:lang w:val="en-US"/>
        </w:rPr>
        <w:t xml:space="preserve"> </w:t>
      </w:r>
    </w:p>
    <w:p w14:paraId="0BF2D711" w14:textId="77777777" w:rsidR="00CD7060" w:rsidRDefault="006046C1" w:rsidP="00CD7060">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CE1F21">
        <w:rPr>
          <w:rFonts w:ascii="Times New Roman" w:hAnsi="Times New Roman" w:cs="Times New Roman"/>
          <w:sz w:val="20"/>
          <w:szCs w:val="20"/>
          <w:lang w:val="en-US"/>
        </w:rPr>
        <w:t>3</w:t>
      </w:r>
      <w:r w:rsidR="00CD7060">
        <w:rPr>
          <w:rFonts w:ascii="Times New Roman" w:hAnsi="Times New Roman" w:cs="Times New Roman"/>
          <w:sz w:val="20"/>
          <w:szCs w:val="20"/>
          <w:lang w:val="en-US"/>
        </w:rPr>
        <w:t>8</w:t>
      </w:r>
      <w:r w:rsidRPr="00CE1F21">
        <w:rPr>
          <w:rFonts w:ascii="Times New Roman" w:hAnsi="Times New Roman" w:cs="Times New Roman"/>
          <w:sz w:val="20"/>
          <w:szCs w:val="20"/>
          <w:lang w:val="en-US"/>
        </w:rPr>
        <w:t xml:space="preserve">. </w:t>
      </w:r>
      <w:proofErr w:type="spellStart"/>
      <w:proofErr w:type="gramStart"/>
      <w:r w:rsidRPr="00CE1F21">
        <w:rPr>
          <w:rFonts w:ascii="Times New Roman" w:hAnsi="Times New Roman" w:cs="Times New Roman"/>
          <w:sz w:val="20"/>
          <w:szCs w:val="20"/>
          <w:lang w:val="en-US"/>
        </w:rPr>
        <w:t>Sh.Sultanova</w:t>
      </w:r>
      <w:proofErr w:type="spellEnd"/>
      <w:proofErr w:type="gramEnd"/>
      <w:r w:rsidRPr="00CE1F21">
        <w:rPr>
          <w:rFonts w:ascii="Times New Roman" w:hAnsi="Times New Roman" w:cs="Times New Roman"/>
          <w:sz w:val="20"/>
          <w:szCs w:val="20"/>
          <w:lang w:val="en-US"/>
        </w:rPr>
        <w:t xml:space="preserve">, </w:t>
      </w:r>
      <w:proofErr w:type="spellStart"/>
      <w:proofErr w:type="gramStart"/>
      <w:r w:rsidRPr="00CE1F21">
        <w:rPr>
          <w:rFonts w:ascii="Times New Roman" w:hAnsi="Times New Roman" w:cs="Times New Roman"/>
          <w:sz w:val="20"/>
          <w:szCs w:val="20"/>
          <w:lang w:val="en-US"/>
        </w:rPr>
        <w:t>A.Artikov</w:t>
      </w:r>
      <w:proofErr w:type="spellEnd"/>
      <w:proofErr w:type="gramEnd"/>
      <w:r w:rsidRPr="00CE1F21">
        <w:rPr>
          <w:rFonts w:ascii="Times New Roman" w:hAnsi="Times New Roman" w:cs="Times New Roman"/>
          <w:sz w:val="20"/>
          <w:szCs w:val="20"/>
          <w:lang w:val="en-US"/>
        </w:rPr>
        <w:t xml:space="preserve">, </w:t>
      </w:r>
      <w:proofErr w:type="spellStart"/>
      <w:proofErr w:type="gramStart"/>
      <w:r w:rsidRPr="00CE1F21">
        <w:rPr>
          <w:rFonts w:ascii="Times New Roman" w:hAnsi="Times New Roman" w:cs="Times New Roman"/>
          <w:sz w:val="20"/>
          <w:szCs w:val="20"/>
          <w:lang w:val="en-US"/>
        </w:rPr>
        <w:t>Z.Masharipova</w:t>
      </w:r>
      <w:proofErr w:type="spellEnd"/>
      <w:proofErr w:type="gramEnd"/>
      <w:r w:rsidRPr="00CE1F21">
        <w:rPr>
          <w:rFonts w:ascii="Times New Roman" w:hAnsi="Times New Roman" w:cs="Times New Roman"/>
          <w:sz w:val="20"/>
          <w:szCs w:val="20"/>
          <w:lang w:val="en-US"/>
        </w:rPr>
        <w:t xml:space="preserve">, </w:t>
      </w:r>
      <w:proofErr w:type="spellStart"/>
      <w:proofErr w:type="gramStart"/>
      <w:r w:rsidRPr="00CE1F21">
        <w:rPr>
          <w:rFonts w:ascii="Times New Roman" w:hAnsi="Times New Roman" w:cs="Times New Roman"/>
          <w:sz w:val="20"/>
          <w:szCs w:val="20"/>
          <w:lang w:val="en-US"/>
        </w:rPr>
        <w:t>A</w:t>
      </w:r>
      <w:r>
        <w:rPr>
          <w:rFonts w:ascii="Times New Roman" w:hAnsi="Times New Roman" w:cs="Times New Roman"/>
          <w:sz w:val="20"/>
          <w:szCs w:val="20"/>
          <w:lang w:val="en-US"/>
        </w:rPr>
        <w:t>.</w:t>
      </w:r>
      <w:r w:rsidRPr="00CE1F21">
        <w:rPr>
          <w:rFonts w:ascii="Times New Roman" w:hAnsi="Times New Roman" w:cs="Times New Roman"/>
          <w:sz w:val="20"/>
          <w:szCs w:val="20"/>
          <w:lang w:val="en-US"/>
        </w:rPr>
        <w:t>Tarawade</w:t>
      </w:r>
      <w:proofErr w:type="spellEnd"/>
      <w:proofErr w:type="gramEnd"/>
      <w:r w:rsidRPr="00CE1F21">
        <w:rPr>
          <w:rFonts w:ascii="Times New Roman" w:hAnsi="Times New Roman" w:cs="Times New Roman"/>
          <w:sz w:val="20"/>
          <w:szCs w:val="20"/>
          <w:lang w:val="en-US"/>
        </w:rPr>
        <w:t xml:space="preserve">, </w:t>
      </w:r>
      <w:proofErr w:type="spellStart"/>
      <w:proofErr w:type="gramStart"/>
      <w:r w:rsidRPr="00CE1F21">
        <w:rPr>
          <w:rFonts w:ascii="Times New Roman" w:hAnsi="Times New Roman" w:cs="Times New Roman"/>
          <w:sz w:val="20"/>
          <w:szCs w:val="20"/>
          <w:lang w:val="en-US"/>
        </w:rPr>
        <w:t>J.Safarov</w:t>
      </w:r>
      <w:proofErr w:type="spellEnd"/>
      <w:proofErr w:type="gramEnd"/>
      <w:r w:rsidRPr="00CE1F21">
        <w:rPr>
          <w:rFonts w:ascii="Times New Roman" w:hAnsi="Times New Roman" w:cs="Times New Roman"/>
          <w:sz w:val="20"/>
          <w:szCs w:val="20"/>
          <w:lang w:val="en-US"/>
        </w:rPr>
        <w:t xml:space="preserve">. </w:t>
      </w:r>
      <w:r w:rsidRPr="0022167B">
        <w:rPr>
          <w:rFonts w:ascii="Times New Roman" w:hAnsi="Times New Roman" w:cs="Times New Roman"/>
          <w:i/>
          <w:sz w:val="20"/>
          <w:szCs w:val="20"/>
          <w:lang w:val="en-US"/>
        </w:rPr>
        <w:t xml:space="preserve">Results of experiments conducted in a </w:t>
      </w:r>
      <w:proofErr w:type="spellStart"/>
      <w:r w:rsidRPr="0022167B">
        <w:rPr>
          <w:rFonts w:ascii="Times New Roman" w:hAnsi="Times New Roman" w:cs="Times New Roman"/>
          <w:i/>
          <w:sz w:val="20"/>
          <w:szCs w:val="20"/>
          <w:lang w:val="en-US"/>
        </w:rPr>
        <w:t>helio</w:t>
      </w:r>
      <w:proofErr w:type="spellEnd"/>
      <w:r w:rsidRPr="0022167B">
        <w:rPr>
          <w:rFonts w:ascii="Times New Roman" w:hAnsi="Times New Roman" w:cs="Times New Roman"/>
          <w:i/>
          <w:sz w:val="20"/>
          <w:szCs w:val="20"/>
          <w:lang w:val="en-US"/>
        </w:rPr>
        <w:t xml:space="preserve"> water heating convective drying plant</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868</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22167B">
        <w:rPr>
          <w:rFonts w:ascii="Times New Roman" w:hAnsi="Times New Roman" w:cs="Times New Roman"/>
          <w:b/>
          <w:sz w:val="20"/>
          <w:szCs w:val="20"/>
          <w:lang w:val="en-US"/>
        </w:rPr>
        <w:t>012045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(2021). </w:t>
      </w:r>
      <w:r w:rsidRPr="003B68AA">
        <w:rPr>
          <w:rFonts w:ascii="Times New Roman" w:hAnsi="Times New Roman" w:cs="Times New Roman"/>
          <w:color w:val="0000FF"/>
          <w:sz w:val="20"/>
          <w:szCs w:val="20"/>
          <w:u w:val="single"/>
          <w:lang w:val="en-US"/>
        </w:rPr>
        <w:t xml:space="preserve">doi:10.1088/1755-1315/868/1/012045 </w:t>
      </w:r>
    </w:p>
    <w:p w14:paraId="049E04F2" w14:textId="77777777"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39</w:t>
      </w:r>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Sh.Sultanova</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J.Safarov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A.Usenov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D.Samandarov</w:t>
      </w:r>
      <w:proofErr w:type="spellEnd"/>
      <w:proofErr w:type="gramEnd"/>
      <w:r w:rsidR="006046C1" w:rsidRPr="00CE1F21">
        <w:rPr>
          <w:rFonts w:ascii="Times New Roman" w:hAnsi="Times New Roman" w:cs="Times New Roman"/>
          <w:sz w:val="20"/>
          <w:szCs w:val="20"/>
          <w:lang w:val="en-US"/>
        </w:rPr>
        <w:t xml:space="preserve">, </w:t>
      </w:r>
      <w:proofErr w:type="spellStart"/>
      <w:proofErr w:type="gramStart"/>
      <w:r w:rsidR="006046C1" w:rsidRPr="00CE1F21">
        <w:rPr>
          <w:rFonts w:ascii="Times New Roman" w:hAnsi="Times New Roman" w:cs="Times New Roman"/>
          <w:sz w:val="20"/>
          <w:szCs w:val="20"/>
          <w:lang w:val="en-US"/>
        </w:rPr>
        <w:t>T.Azimov</w:t>
      </w:r>
      <w:proofErr w:type="spellEnd"/>
      <w:proofErr w:type="gramEnd"/>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r w:rsidR="006046C1" w:rsidRPr="00E70F8F">
        <w:rPr>
          <w:rFonts w:ascii="Times New Roman" w:hAnsi="Times New Roman" w:cs="Times New Roman"/>
          <w:i/>
          <w:sz w:val="20"/>
          <w:szCs w:val="20"/>
          <w:lang w:val="en-US"/>
        </w:rPr>
        <w:t>Ultrasonic extraction and determination of flavonoids</w:t>
      </w:r>
      <w:r w:rsidR="006046C1" w:rsidRPr="00CE1F21">
        <w:rPr>
          <w:rFonts w:ascii="Times New Roman" w:hAnsi="Times New Roman" w:cs="Times New Roman"/>
          <w:sz w:val="20"/>
          <w:szCs w:val="20"/>
          <w:lang w:val="en-US"/>
        </w:rPr>
        <w:t>. AIP Conference Proceedings</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2507, </w:t>
      </w:r>
      <w:r w:rsidR="006046C1" w:rsidRPr="00E70F8F">
        <w:rPr>
          <w:rFonts w:ascii="Times New Roman" w:hAnsi="Times New Roman" w:cs="Times New Roman"/>
          <w:b/>
          <w:sz w:val="20"/>
          <w:szCs w:val="20"/>
          <w:lang w:val="en-US"/>
        </w:rPr>
        <w:t>050005</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2023</w:t>
      </w:r>
      <w:r w:rsidR="006046C1">
        <w:rPr>
          <w:rFonts w:ascii="Times New Roman" w:hAnsi="Times New Roman" w:cs="Times New Roman"/>
          <w:sz w:val="20"/>
          <w:szCs w:val="20"/>
          <w:lang w:val="en-US"/>
        </w:rPr>
        <w:t>)</w:t>
      </w:r>
      <w:r w:rsidR="006046C1" w:rsidRPr="00CE1F21">
        <w:rPr>
          <w:rFonts w:ascii="Times New Roman" w:hAnsi="Times New Roman" w:cs="Times New Roman"/>
          <w:sz w:val="20"/>
          <w:szCs w:val="20"/>
          <w:lang w:val="en-US"/>
        </w:rPr>
        <w:t xml:space="preserve">. </w:t>
      </w:r>
      <w:hyperlink r:id="rId47" w:history="1">
        <w:r w:rsidR="006046C1" w:rsidRPr="00E36678">
          <w:rPr>
            <w:rStyle w:val="a3"/>
            <w:rFonts w:ascii="Times New Roman" w:hAnsi="Times New Roman" w:cs="Times New Roman"/>
            <w:sz w:val="20"/>
            <w:szCs w:val="20"/>
            <w:lang w:val="en-US"/>
          </w:rPr>
          <w:t>https://doi.org/10.1063/5.0110524</w:t>
        </w:r>
      </w:hyperlink>
      <w:r w:rsidR="006046C1">
        <w:rPr>
          <w:rFonts w:ascii="Times New Roman" w:hAnsi="Times New Roman" w:cs="Times New Roman"/>
          <w:sz w:val="20"/>
          <w:szCs w:val="20"/>
          <w:lang w:val="en-US"/>
        </w:rPr>
        <w:t xml:space="preserve"> </w:t>
      </w:r>
    </w:p>
    <w:p w14:paraId="42F34632" w14:textId="7D5AD70C" w:rsidR="00CD7060" w:rsidRDefault="00CD7060" w:rsidP="00CD7060">
      <w:pPr>
        <w:tabs>
          <w:tab w:val="left" w:pos="0"/>
          <w:tab w:val="left" w:pos="567"/>
        </w:tabs>
        <w:spacing w:after="0" w:line="240" w:lineRule="auto"/>
        <w:ind w:firstLine="284"/>
        <w:jc w:val="both"/>
        <w:rPr>
          <w:rFonts w:ascii="Times New Roman" w:hAnsi="Times New Roman" w:cs="Times New Roman"/>
          <w:color w:val="0000FF"/>
          <w:sz w:val="20"/>
          <w:szCs w:val="20"/>
          <w:lang w:val="en-US"/>
        </w:rPr>
      </w:pPr>
      <w:r>
        <w:rPr>
          <w:rFonts w:ascii="Times New Roman" w:hAnsi="Times New Roman" w:cs="Times New Roman"/>
          <w:sz w:val="20"/>
          <w:szCs w:val="20"/>
          <w:lang w:val="en-US"/>
        </w:rPr>
        <w:t>40</w:t>
      </w:r>
      <w:r w:rsidR="006046C1" w:rsidRPr="00CE1F21">
        <w:rPr>
          <w:rFonts w:ascii="Times New Roman" w:hAnsi="Times New Roman" w:cs="Times New Roman"/>
          <w:sz w:val="20"/>
          <w:szCs w:val="20"/>
          <w:lang w:val="en-US"/>
        </w:rPr>
        <w:t xml:space="preserve">. </w:t>
      </w:r>
      <w:proofErr w:type="spellStart"/>
      <w:proofErr w:type="gramStart"/>
      <w:r w:rsidR="006046C1" w:rsidRPr="007A4BFC">
        <w:rPr>
          <w:rFonts w:ascii="Times New Roman" w:hAnsi="Times New Roman" w:cs="Times New Roman"/>
          <w:sz w:val="20"/>
          <w:szCs w:val="20"/>
          <w:lang w:val="en-US"/>
        </w:rPr>
        <w:t>M.Mirsadov</w:t>
      </w:r>
      <w:proofErr w:type="spellEnd"/>
      <w:proofErr w:type="gramEnd"/>
      <w:r w:rsidR="006046C1" w:rsidRPr="007A4BFC">
        <w:rPr>
          <w:rFonts w:ascii="Times New Roman" w:hAnsi="Times New Roman" w:cs="Times New Roman"/>
          <w:sz w:val="20"/>
          <w:szCs w:val="20"/>
          <w:lang w:val="en-US"/>
        </w:rPr>
        <w:t xml:space="preserve">, </w:t>
      </w:r>
      <w:proofErr w:type="spellStart"/>
      <w:proofErr w:type="gramStart"/>
      <w:r w:rsidR="006046C1" w:rsidRPr="007A4BFC">
        <w:rPr>
          <w:rFonts w:ascii="Times New Roman" w:hAnsi="Times New Roman" w:cs="Times New Roman"/>
          <w:sz w:val="20"/>
          <w:szCs w:val="20"/>
          <w:lang w:val="en-US"/>
        </w:rPr>
        <w:t>B.Fayzullayev</w:t>
      </w:r>
      <w:proofErr w:type="spellEnd"/>
      <w:proofErr w:type="gramEnd"/>
      <w:r w:rsidR="006046C1" w:rsidRPr="007A4BFC">
        <w:rPr>
          <w:rFonts w:ascii="Times New Roman" w:hAnsi="Times New Roman" w:cs="Times New Roman"/>
          <w:sz w:val="20"/>
          <w:szCs w:val="20"/>
          <w:lang w:val="en-US"/>
        </w:rPr>
        <w:t xml:space="preserve">, </w:t>
      </w:r>
      <w:proofErr w:type="spellStart"/>
      <w:proofErr w:type="gramStart"/>
      <w:r w:rsidR="006046C1" w:rsidRPr="007A4BFC">
        <w:rPr>
          <w:rFonts w:ascii="Times New Roman" w:hAnsi="Times New Roman" w:cs="Times New Roman"/>
          <w:sz w:val="20"/>
          <w:szCs w:val="20"/>
          <w:lang w:val="en-US"/>
        </w:rPr>
        <w:t>I.Abdullabekov</w:t>
      </w:r>
      <w:proofErr w:type="spellEnd"/>
      <w:proofErr w:type="gramEnd"/>
      <w:r w:rsidR="006046C1" w:rsidRPr="007A4BFC">
        <w:rPr>
          <w:rFonts w:ascii="Times New Roman" w:hAnsi="Times New Roman" w:cs="Times New Roman"/>
          <w:sz w:val="20"/>
          <w:szCs w:val="20"/>
          <w:lang w:val="en-US"/>
        </w:rPr>
        <w:t xml:space="preserve">, </w:t>
      </w:r>
      <w:proofErr w:type="spellStart"/>
      <w:proofErr w:type="gramStart"/>
      <w:r w:rsidR="006046C1" w:rsidRPr="00B64838">
        <w:rPr>
          <w:rFonts w:ascii="Times New Roman" w:hAnsi="Times New Roman" w:cs="Times New Roman"/>
          <w:sz w:val="20"/>
          <w:szCs w:val="20"/>
          <w:lang w:val="en-US"/>
        </w:rPr>
        <w:t>A.Kupriyanova</w:t>
      </w:r>
      <w:proofErr w:type="spellEnd"/>
      <w:proofErr w:type="gramEnd"/>
      <w:r w:rsidR="006046C1">
        <w:rPr>
          <w:rFonts w:ascii="Times New Roman" w:hAnsi="Times New Roman" w:cs="Times New Roman"/>
          <w:sz w:val="20"/>
          <w:szCs w:val="20"/>
          <w:lang w:val="en-US"/>
        </w:rPr>
        <w:t>,</w:t>
      </w:r>
      <w:r w:rsidR="006046C1" w:rsidRPr="00B64838">
        <w:rPr>
          <w:rFonts w:ascii="Times New Roman" w:hAnsi="Times New Roman" w:cs="Times New Roman"/>
          <w:sz w:val="20"/>
          <w:szCs w:val="20"/>
          <w:lang w:val="en-US"/>
        </w:rPr>
        <w:t xml:space="preserve"> </w:t>
      </w:r>
      <w:proofErr w:type="spellStart"/>
      <w:proofErr w:type="gramStart"/>
      <w:r w:rsidR="006046C1" w:rsidRPr="007A4BFC">
        <w:rPr>
          <w:rFonts w:ascii="Times New Roman" w:hAnsi="Times New Roman" w:cs="Times New Roman"/>
          <w:sz w:val="20"/>
          <w:szCs w:val="20"/>
          <w:lang w:val="en-US"/>
        </w:rPr>
        <w:t>D.Kurbanbayeva</w:t>
      </w:r>
      <w:proofErr w:type="spellEnd"/>
      <w:proofErr w:type="gramEnd"/>
      <w:r w:rsidR="006046C1" w:rsidRPr="007A4BFC">
        <w:rPr>
          <w:rFonts w:ascii="Times New Roman" w:hAnsi="Times New Roman" w:cs="Times New Roman"/>
          <w:sz w:val="20"/>
          <w:szCs w:val="20"/>
          <w:lang w:val="en-US"/>
        </w:rPr>
        <w:t xml:space="preserve">, </w:t>
      </w:r>
      <w:proofErr w:type="spellStart"/>
      <w:proofErr w:type="gramStart"/>
      <w:r w:rsidR="006046C1" w:rsidRPr="007A4BFC">
        <w:rPr>
          <w:rFonts w:ascii="Times New Roman" w:hAnsi="Times New Roman" w:cs="Times New Roman"/>
          <w:sz w:val="20"/>
          <w:szCs w:val="20"/>
          <w:lang w:val="en-US"/>
        </w:rPr>
        <w:t>U.Boqijonov</w:t>
      </w:r>
      <w:proofErr w:type="spellEnd"/>
      <w:proofErr w:type="gramEnd"/>
      <w:r w:rsidR="006046C1" w:rsidRPr="007A4BFC">
        <w:rPr>
          <w:rFonts w:ascii="Times New Roman" w:hAnsi="Times New Roman" w:cs="Times New Roman"/>
          <w:sz w:val="20"/>
          <w:szCs w:val="20"/>
          <w:lang w:val="en-US"/>
        </w:rPr>
        <w:t>.</w:t>
      </w:r>
      <w:r w:rsidR="006046C1">
        <w:rPr>
          <w:rFonts w:ascii="Times New Roman" w:hAnsi="Times New Roman" w:cs="Times New Roman"/>
          <w:sz w:val="20"/>
          <w:szCs w:val="20"/>
          <w:lang w:val="en-US"/>
        </w:rPr>
        <w:t xml:space="preserve"> </w:t>
      </w:r>
      <w:r w:rsidR="006046C1" w:rsidRPr="007A4BFC">
        <w:rPr>
          <w:rFonts w:ascii="Times New Roman" w:hAnsi="Times New Roman" w:cs="Times New Roman"/>
          <w:i/>
          <w:sz w:val="20"/>
          <w:szCs w:val="20"/>
          <w:lang w:val="en-US"/>
        </w:rPr>
        <w:t>The mutual influence of electromagnetic and mechanical processes in dynamic modes of inertial vibrating electric drives</w:t>
      </w:r>
      <w:r w:rsidR="006046C1">
        <w:rPr>
          <w:rFonts w:ascii="Times New Roman" w:hAnsi="Times New Roman" w:cs="Times New Roman"/>
          <w:sz w:val="20"/>
          <w:szCs w:val="20"/>
          <w:lang w:val="en-US"/>
        </w:rPr>
        <w:t xml:space="preserve">. </w:t>
      </w:r>
      <w:r w:rsidR="006046C1" w:rsidRPr="007A4BFC">
        <w:rPr>
          <w:rFonts w:ascii="Times New Roman" w:hAnsi="Times New Roman" w:cs="Times New Roman"/>
          <w:sz w:val="20"/>
          <w:szCs w:val="20"/>
          <w:lang w:val="en-US"/>
        </w:rPr>
        <w:t>IOP Conference Series Materials Science and Engineering</w:t>
      </w:r>
      <w:r w:rsidR="006046C1">
        <w:rPr>
          <w:rFonts w:ascii="Times New Roman" w:hAnsi="Times New Roman" w:cs="Times New Roman"/>
          <w:sz w:val="20"/>
          <w:szCs w:val="20"/>
          <w:lang w:val="en-US"/>
        </w:rPr>
        <w:t>,</w:t>
      </w:r>
      <w:r w:rsidR="006046C1" w:rsidRPr="007A4BFC">
        <w:rPr>
          <w:rFonts w:ascii="Times New Roman" w:hAnsi="Times New Roman" w:cs="Times New Roman"/>
          <w:sz w:val="20"/>
          <w:szCs w:val="20"/>
          <w:lang w:val="en-US"/>
        </w:rPr>
        <w:t xml:space="preserve"> 862(6), </w:t>
      </w:r>
      <w:r w:rsidR="006046C1" w:rsidRPr="00351FAC">
        <w:rPr>
          <w:rFonts w:ascii="Times New Roman" w:hAnsi="Times New Roman" w:cs="Times New Roman"/>
          <w:b/>
          <w:sz w:val="20"/>
          <w:szCs w:val="20"/>
          <w:lang w:val="en-US"/>
        </w:rPr>
        <w:t>062081</w:t>
      </w:r>
      <w:r w:rsidR="006046C1">
        <w:rPr>
          <w:rFonts w:ascii="Times New Roman" w:hAnsi="Times New Roman" w:cs="Times New Roman"/>
          <w:sz w:val="20"/>
          <w:szCs w:val="20"/>
          <w:lang w:val="en-US"/>
        </w:rPr>
        <w:t>, (</w:t>
      </w:r>
      <w:r w:rsidR="006046C1" w:rsidRPr="007A4BFC">
        <w:rPr>
          <w:rFonts w:ascii="Times New Roman" w:hAnsi="Times New Roman" w:cs="Times New Roman"/>
          <w:sz w:val="20"/>
          <w:szCs w:val="20"/>
          <w:lang w:val="en-US"/>
        </w:rPr>
        <w:t>2020</w:t>
      </w:r>
      <w:r w:rsidR="006046C1">
        <w:rPr>
          <w:rFonts w:ascii="Times New Roman" w:hAnsi="Times New Roman" w:cs="Times New Roman"/>
          <w:sz w:val="20"/>
          <w:szCs w:val="20"/>
          <w:lang w:val="en-US"/>
        </w:rPr>
        <w:t xml:space="preserve">). </w:t>
      </w:r>
      <w:r w:rsidR="006046C1" w:rsidRPr="00B64838">
        <w:rPr>
          <w:rFonts w:ascii="Times New Roman" w:hAnsi="Times New Roman" w:cs="Times New Roman"/>
          <w:color w:val="0000FF"/>
          <w:sz w:val="20"/>
          <w:szCs w:val="20"/>
          <w:u w:val="single"/>
          <w:lang w:val="en-US"/>
        </w:rPr>
        <w:t>doi:10.1088/1757-899X/862/6/062081</w:t>
      </w:r>
      <w:r w:rsidR="006046C1" w:rsidRPr="00B64838">
        <w:rPr>
          <w:rFonts w:ascii="Times New Roman" w:hAnsi="Times New Roman" w:cs="Times New Roman"/>
          <w:color w:val="0000FF"/>
          <w:sz w:val="20"/>
          <w:szCs w:val="20"/>
          <w:lang w:val="en-US"/>
        </w:rPr>
        <w:t xml:space="preserve"> </w:t>
      </w:r>
    </w:p>
    <w:p w14:paraId="41817D30" w14:textId="08FAA3ED"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41</w:t>
      </w:r>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I</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Abdullabekov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M</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Mirsaidov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F</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Tuychiev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R</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Dusmatov</w:t>
      </w:r>
      <w:proofErr w:type="spellEnd"/>
      <w:proofErr w:type="gramEnd"/>
      <w:r w:rsidR="006046C1" w:rsidRPr="00210D1C">
        <w:rPr>
          <w:rFonts w:ascii="Times New Roman" w:hAnsi="Times New Roman" w:cs="Times New Roman"/>
          <w:sz w:val="20"/>
          <w:szCs w:val="20"/>
          <w:lang w:val="en-US"/>
        </w:rPr>
        <w:t xml:space="preserve">. </w:t>
      </w:r>
      <w:r w:rsidR="006046C1" w:rsidRPr="00210D1C">
        <w:rPr>
          <w:rFonts w:ascii="Times New Roman" w:hAnsi="Times New Roman" w:cs="Times New Roman"/>
          <w:i/>
          <w:sz w:val="20"/>
          <w:szCs w:val="20"/>
          <w:lang w:val="en-US"/>
        </w:rPr>
        <w:t>Frequency converter – asynchronous motor – pump pressure piping system mechanical specifications</w:t>
      </w:r>
      <w:r w:rsidR="006046C1" w:rsidRPr="00210D1C">
        <w:rPr>
          <w:rFonts w:ascii="Times New Roman" w:hAnsi="Times New Roman" w:cs="Times New Roman"/>
          <w:sz w:val="20"/>
          <w:szCs w:val="20"/>
          <w:lang w:val="en-US"/>
        </w:rPr>
        <w:t xml:space="preserve">. AIP Conference Proceedings, 3152, </w:t>
      </w:r>
      <w:r w:rsidR="006046C1" w:rsidRPr="00210D1C">
        <w:rPr>
          <w:rFonts w:ascii="Times New Roman" w:hAnsi="Times New Roman" w:cs="Times New Roman"/>
          <w:b/>
          <w:sz w:val="20"/>
          <w:szCs w:val="20"/>
          <w:lang w:val="en-US"/>
        </w:rPr>
        <w:t>040007</w:t>
      </w:r>
      <w:r w:rsidR="006046C1" w:rsidRPr="00210D1C">
        <w:rPr>
          <w:rFonts w:ascii="Times New Roman" w:hAnsi="Times New Roman" w:cs="Times New Roman"/>
          <w:sz w:val="20"/>
          <w:szCs w:val="20"/>
          <w:lang w:val="en-US"/>
        </w:rPr>
        <w:t xml:space="preserve"> (2024)</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w:t>
      </w:r>
      <w:hyperlink r:id="rId48" w:history="1">
        <w:r w:rsidR="006046C1" w:rsidRPr="00E36678">
          <w:rPr>
            <w:rStyle w:val="a3"/>
            <w:rFonts w:ascii="Times New Roman" w:hAnsi="Times New Roman" w:cs="Times New Roman"/>
            <w:sz w:val="20"/>
            <w:szCs w:val="20"/>
            <w:lang w:val="en-US"/>
          </w:rPr>
          <w:t>https://doi.org/10.1063/5.0218880</w:t>
        </w:r>
      </w:hyperlink>
      <w:r w:rsidR="006046C1">
        <w:rPr>
          <w:rFonts w:ascii="Times New Roman" w:hAnsi="Times New Roman" w:cs="Times New Roman"/>
          <w:sz w:val="20"/>
          <w:szCs w:val="20"/>
          <w:lang w:val="en-US"/>
        </w:rPr>
        <w:t xml:space="preserve"> </w:t>
      </w:r>
    </w:p>
    <w:p w14:paraId="72F99D3A" w14:textId="58BDE5E4"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42</w:t>
      </w:r>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I</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Abdullabekov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M</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Mirsaidov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Sh</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Umarov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M</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Tulyaganov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S</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Oripov</w:t>
      </w:r>
      <w:proofErr w:type="spellEnd"/>
      <w:proofErr w:type="gramEnd"/>
      <w:r w:rsidR="006046C1" w:rsidRPr="00210D1C">
        <w:rPr>
          <w:rFonts w:ascii="Times New Roman" w:hAnsi="Times New Roman" w:cs="Times New Roman"/>
          <w:sz w:val="20"/>
          <w:szCs w:val="20"/>
          <w:lang w:val="en-US"/>
        </w:rPr>
        <w:t xml:space="preserve">. </w:t>
      </w:r>
      <w:r w:rsidR="006046C1" w:rsidRPr="00302DA3">
        <w:rPr>
          <w:rFonts w:ascii="Times New Roman" w:hAnsi="Times New Roman" w:cs="Times New Roman"/>
          <w:i/>
          <w:sz w:val="20"/>
          <w:szCs w:val="20"/>
          <w:lang w:val="en-US"/>
        </w:rPr>
        <w:t xml:space="preserve">Optimizing energy efficiency in water pumping stations: A case study of the </w:t>
      </w:r>
      <w:proofErr w:type="spellStart"/>
      <w:r w:rsidR="006046C1" w:rsidRPr="00302DA3">
        <w:rPr>
          <w:rFonts w:ascii="Times New Roman" w:hAnsi="Times New Roman" w:cs="Times New Roman"/>
          <w:i/>
          <w:sz w:val="20"/>
          <w:szCs w:val="20"/>
          <w:lang w:val="en-US"/>
        </w:rPr>
        <w:t>Chilonzor</w:t>
      </w:r>
      <w:proofErr w:type="spellEnd"/>
      <w:r w:rsidR="006046C1" w:rsidRPr="00302DA3">
        <w:rPr>
          <w:rFonts w:ascii="Times New Roman" w:hAnsi="Times New Roman" w:cs="Times New Roman"/>
          <w:i/>
          <w:sz w:val="20"/>
          <w:szCs w:val="20"/>
          <w:lang w:val="en-US"/>
        </w:rPr>
        <w:t xml:space="preserve"> water distribution facility</w:t>
      </w:r>
      <w:r w:rsidR="006046C1" w:rsidRPr="00210D1C">
        <w:rPr>
          <w:rFonts w:ascii="Times New Roman" w:hAnsi="Times New Roman" w:cs="Times New Roman"/>
          <w:sz w:val="20"/>
          <w:szCs w:val="20"/>
          <w:lang w:val="en-US"/>
        </w:rPr>
        <w:t xml:space="preserve">. AIP Conference Proceedings, 3331, </w:t>
      </w:r>
      <w:r w:rsidR="006046C1" w:rsidRPr="00302DA3">
        <w:rPr>
          <w:rFonts w:ascii="Times New Roman" w:hAnsi="Times New Roman" w:cs="Times New Roman"/>
          <w:b/>
          <w:sz w:val="20"/>
          <w:szCs w:val="20"/>
          <w:lang w:val="en-US"/>
        </w:rPr>
        <w:t>030107</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(2025)</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w:t>
      </w:r>
      <w:hyperlink r:id="rId49" w:history="1">
        <w:r w:rsidR="006046C1" w:rsidRPr="00E36678">
          <w:rPr>
            <w:rStyle w:val="a3"/>
            <w:rFonts w:ascii="Times New Roman" w:hAnsi="Times New Roman" w:cs="Times New Roman"/>
            <w:sz w:val="20"/>
            <w:szCs w:val="20"/>
            <w:lang w:val="en-US"/>
          </w:rPr>
          <w:t>https://doi.org/10.1063/5.0305780</w:t>
        </w:r>
      </w:hyperlink>
      <w:r w:rsidR="006046C1">
        <w:rPr>
          <w:rFonts w:ascii="Times New Roman" w:hAnsi="Times New Roman" w:cs="Times New Roman"/>
          <w:sz w:val="20"/>
          <w:szCs w:val="20"/>
          <w:lang w:val="en-US"/>
        </w:rPr>
        <w:t xml:space="preserve"> </w:t>
      </w:r>
    </w:p>
    <w:p w14:paraId="0F7DFEC5" w14:textId="32107ADE" w:rsidR="00CD7060" w:rsidRDefault="006046C1"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CD7060">
        <w:rPr>
          <w:rFonts w:ascii="Times New Roman" w:hAnsi="Times New Roman" w:cs="Times New Roman"/>
          <w:sz w:val="20"/>
          <w:szCs w:val="20"/>
          <w:lang w:val="en-US"/>
        </w:rPr>
        <w:t>3</w:t>
      </w:r>
      <w:r w:rsidRPr="00210D1C">
        <w:rPr>
          <w:rFonts w:ascii="Times New Roman" w:hAnsi="Times New Roman" w:cs="Times New Roman"/>
          <w:sz w:val="20"/>
          <w:szCs w:val="20"/>
          <w:lang w:val="en-US"/>
        </w:rPr>
        <w:t xml:space="preserve">. </w:t>
      </w:r>
      <w:proofErr w:type="spellStart"/>
      <w:proofErr w:type="gram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Bobojanov</w:t>
      </w:r>
      <w:proofErr w:type="spellEnd"/>
      <w:proofErr w:type="gramEnd"/>
      <w:r w:rsidRPr="00210D1C">
        <w:rPr>
          <w:rFonts w:ascii="Times New Roman" w:hAnsi="Times New Roman" w:cs="Times New Roman"/>
          <w:sz w:val="20"/>
          <w:szCs w:val="20"/>
          <w:lang w:val="en-US"/>
        </w:rPr>
        <w:t xml:space="preserve">, </w:t>
      </w:r>
      <w:proofErr w:type="spellStart"/>
      <w:proofErr w:type="gram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proofErr w:type="gramEnd"/>
      <w:r w:rsidRPr="00210D1C">
        <w:rPr>
          <w:rFonts w:ascii="Times New Roman" w:hAnsi="Times New Roman" w:cs="Times New Roman"/>
          <w:sz w:val="20"/>
          <w:szCs w:val="20"/>
          <w:lang w:val="en-US"/>
        </w:rPr>
        <w:t xml:space="preserve">, </w:t>
      </w:r>
      <w:proofErr w:type="spellStart"/>
      <w:proofErr w:type="gramStart"/>
      <w:r w:rsidRPr="00210D1C">
        <w:rPr>
          <w:rFonts w:ascii="Times New Roman" w:hAnsi="Times New Roman" w:cs="Times New Roman"/>
          <w:sz w:val="20"/>
          <w:szCs w:val="20"/>
          <w:lang w:val="en-US"/>
        </w:rPr>
        <w:t>N</w:t>
      </w:r>
      <w:r>
        <w:rPr>
          <w:rFonts w:ascii="Times New Roman" w:hAnsi="Times New Roman" w:cs="Times New Roman"/>
          <w:sz w:val="20"/>
          <w:szCs w:val="20"/>
          <w:lang w:val="en-US"/>
        </w:rPr>
        <w:t>.</w:t>
      </w:r>
      <w:r w:rsidRPr="00210D1C">
        <w:rPr>
          <w:rFonts w:ascii="Times New Roman" w:hAnsi="Times New Roman" w:cs="Times New Roman"/>
          <w:sz w:val="20"/>
          <w:szCs w:val="20"/>
          <w:lang w:val="en-US"/>
        </w:rPr>
        <w:t>Rashidov</w:t>
      </w:r>
      <w:proofErr w:type="spellEnd"/>
      <w:proofErr w:type="gramEnd"/>
      <w:r w:rsidRPr="00210D1C">
        <w:rPr>
          <w:rFonts w:ascii="Times New Roman" w:hAnsi="Times New Roman" w:cs="Times New Roman"/>
          <w:sz w:val="20"/>
          <w:szCs w:val="20"/>
          <w:lang w:val="en-US"/>
        </w:rPr>
        <w:t xml:space="preserve">, </w:t>
      </w:r>
      <w:proofErr w:type="spellStart"/>
      <w:proofErr w:type="gramStart"/>
      <w:r w:rsidRPr="00210D1C">
        <w:rPr>
          <w:rFonts w:ascii="Times New Roman" w:hAnsi="Times New Roman" w:cs="Times New Roman"/>
          <w:sz w:val="20"/>
          <w:szCs w:val="20"/>
          <w:lang w:val="en-US"/>
        </w:rPr>
        <w:t>A</w:t>
      </w:r>
      <w:r>
        <w:rPr>
          <w:rFonts w:ascii="Times New Roman" w:hAnsi="Times New Roman" w:cs="Times New Roman"/>
          <w:sz w:val="20"/>
          <w:szCs w:val="20"/>
          <w:lang w:val="en-US"/>
        </w:rPr>
        <w:t>.</w:t>
      </w:r>
      <w:r w:rsidRPr="00210D1C">
        <w:rPr>
          <w:rFonts w:ascii="Times New Roman" w:hAnsi="Times New Roman" w:cs="Times New Roman"/>
          <w:sz w:val="20"/>
          <w:szCs w:val="20"/>
          <w:lang w:val="en-US"/>
        </w:rPr>
        <w:t>Haqberdiyev</w:t>
      </w:r>
      <w:proofErr w:type="spellEnd"/>
      <w:proofErr w:type="gramEnd"/>
      <w:r w:rsidRPr="00210D1C">
        <w:rPr>
          <w:rFonts w:ascii="Times New Roman" w:hAnsi="Times New Roman" w:cs="Times New Roman"/>
          <w:sz w:val="20"/>
          <w:szCs w:val="20"/>
          <w:lang w:val="en-US"/>
        </w:rPr>
        <w:t xml:space="preserve">, </w:t>
      </w:r>
      <w:proofErr w:type="spellStart"/>
      <w:proofErr w:type="gram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proofErr w:type="gram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 xml:space="preserve">Dynamic simulation of a three-phase induction motor using </w:t>
      </w:r>
      <w:proofErr w:type="spellStart"/>
      <w:r w:rsidRPr="00302DA3">
        <w:rPr>
          <w:rFonts w:ascii="Times New Roman" w:hAnsi="Times New Roman" w:cs="Times New Roman"/>
          <w:i/>
          <w:sz w:val="20"/>
          <w:szCs w:val="20"/>
          <w:lang w:val="en-US"/>
        </w:rPr>
        <w:t>Matlab</w:t>
      </w:r>
      <w:proofErr w:type="spellEnd"/>
      <w:r w:rsidRPr="00302DA3">
        <w:rPr>
          <w:rFonts w:ascii="Times New Roman" w:hAnsi="Times New Roman" w:cs="Times New Roman"/>
          <w:i/>
          <w:sz w:val="20"/>
          <w:szCs w:val="20"/>
          <w:lang w:val="en-US"/>
        </w:rPr>
        <w:t xml:space="preserve"> Simulink</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040012</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50" w:history="1">
        <w:r w:rsidRPr="00E36678">
          <w:rPr>
            <w:rStyle w:val="a3"/>
            <w:rFonts w:ascii="Times New Roman" w:hAnsi="Times New Roman" w:cs="Times New Roman"/>
            <w:sz w:val="20"/>
            <w:szCs w:val="20"/>
            <w:lang w:val="en-US"/>
          </w:rPr>
          <w:t>https://doi.org/10.1063/5.0305750</w:t>
        </w:r>
      </w:hyperlink>
      <w:r>
        <w:rPr>
          <w:rFonts w:ascii="Times New Roman" w:hAnsi="Times New Roman" w:cs="Times New Roman"/>
          <w:sz w:val="20"/>
          <w:szCs w:val="20"/>
          <w:lang w:val="en-US"/>
        </w:rPr>
        <w:t xml:space="preserve"> </w:t>
      </w:r>
    </w:p>
    <w:p w14:paraId="473E5565" w14:textId="52FFD573" w:rsidR="00CD7060"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44</w:t>
      </w:r>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M</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Tulyaganov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Sh</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Umarov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I</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Abdullabekov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Sh</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Adilova</w:t>
      </w:r>
      <w:proofErr w:type="spellEnd"/>
      <w:proofErr w:type="gramEnd"/>
      <w:r w:rsidR="006046C1" w:rsidRPr="00210D1C">
        <w:rPr>
          <w:rFonts w:ascii="Times New Roman" w:hAnsi="Times New Roman" w:cs="Times New Roman"/>
          <w:sz w:val="20"/>
          <w:szCs w:val="20"/>
          <w:lang w:val="en-US"/>
        </w:rPr>
        <w:t xml:space="preserve">. </w:t>
      </w:r>
      <w:r w:rsidR="006046C1" w:rsidRPr="00302DA3">
        <w:rPr>
          <w:rFonts w:ascii="Times New Roman" w:hAnsi="Times New Roman" w:cs="Times New Roman"/>
          <w:i/>
          <w:sz w:val="20"/>
          <w:szCs w:val="20"/>
          <w:lang w:val="en-US"/>
        </w:rPr>
        <w:t>Optimization of modes of an asynchronous electric drive taken into account thermal transient processes</w:t>
      </w:r>
      <w:r w:rsidR="006046C1" w:rsidRPr="00210D1C">
        <w:rPr>
          <w:rFonts w:ascii="Times New Roman" w:hAnsi="Times New Roman" w:cs="Times New Roman"/>
          <w:sz w:val="20"/>
          <w:szCs w:val="20"/>
          <w:lang w:val="en-US"/>
        </w:rPr>
        <w:t xml:space="preserve">. AIP Conference Proceedings, 3331, </w:t>
      </w:r>
      <w:r w:rsidR="006046C1" w:rsidRPr="00302DA3">
        <w:rPr>
          <w:rFonts w:ascii="Times New Roman" w:hAnsi="Times New Roman" w:cs="Times New Roman"/>
          <w:b/>
          <w:sz w:val="20"/>
          <w:szCs w:val="20"/>
          <w:lang w:val="en-US"/>
        </w:rPr>
        <w:t>030084</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(2025)</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w:t>
      </w:r>
      <w:hyperlink r:id="rId51" w:history="1">
        <w:r w:rsidR="006046C1" w:rsidRPr="00E36678">
          <w:rPr>
            <w:rStyle w:val="a3"/>
            <w:rFonts w:ascii="Times New Roman" w:hAnsi="Times New Roman" w:cs="Times New Roman"/>
            <w:sz w:val="20"/>
            <w:szCs w:val="20"/>
            <w:lang w:val="en-US"/>
          </w:rPr>
          <w:t>https://doi.org/10.1063/5.0305786</w:t>
        </w:r>
      </w:hyperlink>
      <w:r w:rsidR="006046C1">
        <w:rPr>
          <w:rFonts w:ascii="Times New Roman" w:hAnsi="Times New Roman" w:cs="Times New Roman"/>
          <w:sz w:val="20"/>
          <w:szCs w:val="20"/>
          <w:lang w:val="en-US"/>
        </w:rPr>
        <w:t xml:space="preserve"> </w:t>
      </w:r>
    </w:p>
    <w:p w14:paraId="3540F3B0" w14:textId="660C9201" w:rsidR="006046C1" w:rsidRPr="00210D1C" w:rsidRDefault="00CD7060" w:rsidP="00CD7060">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45</w:t>
      </w:r>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Sh</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Umarov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Kh</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Sapaev</w:t>
      </w:r>
      <w:proofErr w:type="spellEnd"/>
      <w:proofErr w:type="gramEnd"/>
      <w:r w:rsidR="006046C1" w:rsidRPr="00210D1C">
        <w:rPr>
          <w:rFonts w:ascii="Times New Roman" w:hAnsi="Times New Roman" w:cs="Times New Roman"/>
          <w:sz w:val="20"/>
          <w:szCs w:val="20"/>
          <w:lang w:val="en-US"/>
        </w:rPr>
        <w:t xml:space="preserve">, </w:t>
      </w:r>
      <w:proofErr w:type="spellStart"/>
      <w:proofErr w:type="gramStart"/>
      <w:r w:rsidR="006046C1" w:rsidRPr="00210D1C">
        <w:rPr>
          <w:rFonts w:ascii="Times New Roman" w:hAnsi="Times New Roman" w:cs="Times New Roman"/>
          <w:sz w:val="20"/>
          <w:szCs w:val="20"/>
          <w:lang w:val="en-US"/>
        </w:rPr>
        <w:t>I</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Abdullabekov</w:t>
      </w:r>
      <w:proofErr w:type="spellEnd"/>
      <w:proofErr w:type="gramEnd"/>
      <w:r w:rsidR="006046C1" w:rsidRPr="00210D1C">
        <w:rPr>
          <w:rFonts w:ascii="Times New Roman" w:hAnsi="Times New Roman" w:cs="Times New Roman"/>
          <w:sz w:val="20"/>
          <w:szCs w:val="20"/>
          <w:lang w:val="en-US"/>
        </w:rPr>
        <w:t xml:space="preserve">. </w:t>
      </w:r>
      <w:r w:rsidR="006046C1" w:rsidRPr="00302DA3">
        <w:rPr>
          <w:rFonts w:ascii="Times New Roman" w:hAnsi="Times New Roman" w:cs="Times New Roman"/>
          <w:i/>
          <w:sz w:val="20"/>
          <w:szCs w:val="20"/>
          <w:lang w:val="en-US"/>
        </w:rPr>
        <w:t>The Implicit Formulas of Numerical Integration Digital Models of Nonlinear Transformers</w:t>
      </w:r>
      <w:r w:rsidR="006046C1" w:rsidRPr="00210D1C">
        <w:rPr>
          <w:rFonts w:ascii="Times New Roman" w:hAnsi="Times New Roman" w:cs="Times New Roman"/>
          <w:sz w:val="20"/>
          <w:szCs w:val="20"/>
          <w:lang w:val="en-US"/>
        </w:rPr>
        <w:t xml:space="preserve">. AIP Conference Proceedings, 3331, </w:t>
      </w:r>
      <w:r w:rsidR="006046C1" w:rsidRPr="00B64838">
        <w:rPr>
          <w:rFonts w:ascii="Times New Roman" w:hAnsi="Times New Roman" w:cs="Times New Roman"/>
          <w:b/>
          <w:sz w:val="20"/>
          <w:szCs w:val="20"/>
          <w:lang w:val="en-US"/>
        </w:rPr>
        <w:t>030105</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(2025)</w:t>
      </w:r>
      <w:r w:rsidR="006046C1">
        <w:rPr>
          <w:rFonts w:ascii="Times New Roman" w:hAnsi="Times New Roman" w:cs="Times New Roman"/>
          <w:sz w:val="20"/>
          <w:szCs w:val="20"/>
          <w:lang w:val="en-US"/>
        </w:rPr>
        <w:t>,</w:t>
      </w:r>
      <w:r w:rsidR="006046C1" w:rsidRPr="00210D1C">
        <w:rPr>
          <w:rFonts w:ascii="Times New Roman" w:hAnsi="Times New Roman" w:cs="Times New Roman"/>
          <w:sz w:val="20"/>
          <w:szCs w:val="20"/>
          <w:lang w:val="en-US"/>
        </w:rPr>
        <w:t xml:space="preserve"> </w:t>
      </w:r>
      <w:hyperlink r:id="rId52" w:history="1">
        <w:r w:rsidR="006046C1" w:rsidRPr="00E36678">
          <w:rPr>
            <w:rStyle w:val="a3"/>
            <w:rFonts w:ascii="Times New Roman" w:hAnsi="Times New Roman" w:cs="Times New Roman"/>
            <w:sz w:val="20"/>
            <w:szCs w:val="20"/>
            <w:lang w:val="en-US"/>
          </w:rPr>
          <w:t>https://doi.org/10.1063/5.0305793</w:t>
        </w:r>
      </w:hyperlink>
      <w:r w:rsidR="006046C1">
        <w:rPr>
          <w:rFonts w:ascii="Times New Roman" w:hAnsi="Times New Roman" w:cs="Times New Roman"/>
          <w:sz w:val="20"/>
          <w:szCs w:val="20"/>
          <w:lang w:val="en-US"/>
        </w:rPr>
        <w:t xml:space="preserve"> </w:t>
      </w:r>
    </w:p>
    <w:p w14:paraId="5CD30BE3" w14:textId="77777777" w:rsidR="00734537" w:rsidRPr="00AD5297" w:rsidRDefault="00734537" w:rsidP="006046C1">
      <w:pPr>
        <w:tabs>
          <w:tab w:val="left" w:pos="0"/>
          <w:tab w:val="left" w:pos="567"/>
        </w:tabs>
        <w:spacing w:after="0" w:line="240" w:lineRule="auto"/>
        <w:ind w:firstLine="284"/>
        <w:jc w:val="both"/>
        <w:rPr>
          <w:rFonts w:ascii="Times New Roman" w:hAnsi="Times New Roman" w:cs="Times New Roman"/>
          <w:sz w:val="20"/>
          <w:szCs w:val="20"/>
          <w:lang w:val="uz-Cyrl-UZ"/>
        </w:rPr>
      </w:pPr>
    </w:p>
    <w:sectPr w:rsidR="00734537" w:rsidRPr="00AD5297" w:rsidSect="0034050E">
      <w:pgSz w:w="12240" w:h="15840" w:code="1"/>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6F2F" w14:textId="77777777" w:rsidR="007D73A4" w:rsidRDefault="007D73A4" w:rsidP="00571607">
      <w:pPr>
        <w:spacing w:after="0" w:line="240" w:lineRule="auto"/>
      </w:pPr>
      <w:r>
        <w:separator/>
      </w:r>
    </w:p>
  </w:endnote>
  <w:endnote w:type="continuationSeparator" w:id="0">
    <w:p w14:paraId="14A3FFFF" w14:textId="77777777" w:rsidR="007D73A4" w:rsidRDefault="007D73A4" w:rsidP="0057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9CD4" w14:textId="77777777" w:rsidR="007D73A4" w:rsidRDefault="007D73A4" w:rsidP="00571607">
      <w:pPr>
        <w:spacing w:after="0" w:line="240" w:lineRule="auto"/>
      </w:pPr>
      <w:r>
        <w:separator/>
      </w:r>
    </w:p>
  </w:footnote>
  <w:footnote w:type="continuationSeparator" w:id="0">
    <w:p w14:paraId="722D164C" w14:textId="77777777" w:rsidR="007D73A4" w:rsidRDefault="007D73A4" w:rsidP="00571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89038BB"/>
    <w:multiLevelType w:val="multilevel"/>
    <w:tmpl w:val="324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09103476">
    <w:abstractNumId w:val="4"/>
  </w:num>
  <w:num w:numId="2" w16cid:durableId="102002376">
    <w:abstractNumId w:val="2"/>
  </w:num>
  <w:num w:numId="3" w16cid:durableId="183978142">
    <w:abstractNumId w:val="0"/>
  </w:num>
  <w:num w:numId="4" w16cid:durableId="1002202269">
    <w:abstractNumId w:val="3"/>
  </w:num>
  <w:num w:numId="5" w16cid:durableId="1982885572">
    <w:abstractNumId w:val="1"/>
  </w:num>
  <w:num w:numId="6" w16cid:durableId="1041981367">
    <w:abstractNumId w:val="6"/>
  </w:num>
  <w:num w:numId="7" w16cid:durableId="1711880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06130"/>
    <w:rsid w:val="00011A20"/>
    <w:rsid w:val="00021691"/>
    <w:rsid w:val="00022631"/>
    <w:rsid w:val="00060754"/>
    <w:rsid w:val="00071E5E"/>
    <w:rsid w:val="00073E44"/>
    <w:rsid w:val="0009347C"/>
    <w:rsid w:val="00097D31"/>
    <w:rsid w:val="000C2A4E"/>
    <w:rsid w:val="000E2B15"/>
    <w:rsid w:val="000F38DF"/>
    <w:rsid w:val="000F3A03"/>
    <w:rsid w:val="00106C2C"/>
    <w:rsid w:val="00130043"/>
    <w:rsid w:val="00137431"/>
    <w:rsid w:val="00142F7F"/>
    <w:rsid w:val="00145DB9"/>
    <w:rsid w:val="00160DF4"/>
    <w:rsid w:val="001702DF"/>
    <w:rsid w:val="001717E9"/>
    <w:rsid w:val="001738C7"/>
    <w:rsid w:val="00175CD5"/>
    <w:rsid w:val="001B360D"/>
    <w:rsid w:val="001C39A2"/>
    <w:rsid w:val="001C5C75"/>
    <w:rsid w:val="001E4657"/>
    <w:rsid w:val="001E7194"/>
    <w:rsid w:val="001F218A"/>
    <w:rsid w:val="00216874"/>
    <w:rsid w:val="00222F99"/>
    <w:rsid w:val="00227AA6"/>
    <w:rsid w:val="00230964"/>
    <w:rsid w:val="00262FA8"/>
    <w:rsid w:val="002666F3"/>
    <w:rsid w:val="00270254"/>
    <w:rsid w:val="0028699F"/>
    <w:rsid w:val="002A024F"/>
    <w:rsid w:val="002A1894"/>
    <w:rsid w:val="002A2C95"/>
    <w:rsid w:val="002A3CF6"/>
    <w:rsid w:val="002A759E"/>
    <w:rsid w:val="002B1ECB"/>
    <w:rsid w:val="002C0F64"/>
    <w:rsid w:val="002D05A3"/>
    <w:rsid w:val="002E036F"/>
    <w:rsid w:val="002E7D55"/>
    <w:rsid w:val="00301659"/>
    <w:rsid w:val="0033720A"/>
    <w:rsid w:val="0034050E"/>
    <w:rsid w:val="00352575"/>
    <w:rsid w:val="0035420C"/>
    <w:rsid w:val="0035499A"/>
    <w:rsid w:val="003577E5"/>
    <w:rsid w:val="00361EB0"/>
    <w:rsid w:val="00367E9C"/>
    <w:rsid w:val="00392AFB"/>
    <w:rsid w:val="00395101"/>
    <w:rsid w:val="003C6338"/>
    <w:rsid w:val="0041109D"/>
    <w:rsid w:val="004111E7"/>
    <w:rsid w:val="00427561"/>
    <w:rsid w:val="00434629"/>
    <w:rsid w:val="00434DDF"/>
    <w:rsid w:val="0045120D"/>
    <w:rsid w:val="004516EB"/>
    <w:rsid w:val="0045437A"/>
    <w:rsid w:val="004565B4"/>
    <w:rsid w:val="004610F4"/>
    <w:rsid w:val="00470928"/>
    <w:rsid w:val="0047445E"/>
    <w:rsid w:val="00477516"/>
    <w:rsid w:val="004945BC"/>
    <w:rsid w:val="0049679A"/>
    <w:rsid w:val="00496B39"/>
    <w:rsid w:val="004A0267"/>
    <w:rsid w:val="004A3709"/>
    <w:rsid w:val="004F6DAC"/>
    <w:rsid w:val="004F78CA"/>
    <w:rsid w:val="00506DFA"/>
    <w:rsid w:val="005227AE"/>
    <w:rsid w:val="00551CCB"/>
    <w:rsid w:val="005653D5"/>
    <w:rsid w:val="0057065F"/>
    <w:rsid w:val="00571607"/>
    <w:rsid w:val="00574C5F"/>
    <w:rsid w:val="00577F84"/>
    <w:rsid w:val="00585CD8"/>
    <w:rsid w:val="005936EF"/>
    <w:rsid w:val="00596AEB"/>
    <w:rsid w:val="00597E12"/>
    <w:rsid w:val="005A12CD"/>
    <w:rsid w:val="005C0699"/>
    <w:rsid w:val="005C0F90"/>
    <w:rsid w:val="005D45A6"/>
    <w:rsid w:val="005F2156"/>
    <w:rsid w:val="00600061"/>
    <w:rsid w:val="006046C1"/>
    <w:rsid w:val="00641263"/>
    <w:rsid w:val="0065721C"/>
    <w:rsid w:val="00677821"/>
    <w:rsid w:val="0068159E"/>
    <w:rsid w:val="006967C6"/>
    <w:rsid w:val="006A04C7"/>
    <w:rsid w:val="006D46D9"/>
    <w:rsid w:val="006E1095"/>
    <w:rsid w:val="006F2BC3"/>
    <w:rsid w:val="006F641D"/>
    <w:rsid w:val="007054C8"/>
    <w:rsid w:val="00734537"/>
    <w:rsid w:val="00736D21"/>
    <w:rsid w:val="00737D47"/>
    <w:rsid w:val="00741197"/>
    <w:rsid w:val="007527C0"/>
    <w:rsid w:val="00760379"/>
    <w:rsid w:val="00765C33"/>
    <w:rsid w:val="007703EE"/>
    <w:rsid w:val="00783B98"/>
    <w:rsid w:val="007A08FC"/>
    <w:rsid w:val="007A0A6D"/>
    <w:rsid w:val="007B4754"/>
    <w:rsid w:val="007D2CFC"/>
    <w:rsid w:val="007D3C47"/>
    <w:rsid w:val="007D73A4"/>
    <w:rsid w:val="007E1735"/>
    <w:rsid w:val="007F527B"/>
    <w:rsid w:val="0080653C"/>
    <w:rsid w:val="008105E0"/>
    <w:rsid w:val="0081156C"/>
    <w:rsid w:val="00811A8A"/>
    <w:rsid w:val="00826C8C"/>
    <w:rsid w:val="00835A6C"/>
    <w:rsid w:val="008565AD"/>
    <w:rsid w:val="00866354"/>
    <w:rsid w:val="008821A8"/>
    <w:rsid w:val="00884DC6"/>
    <w:rsid w:val="008A2809"/>
    <w:rsid w:val="008B32AE"/>
    <w:rsid w:val="008B5EA3"/>
    <w:rsid w:val="008C337B"/>
    <w:rsid w:val="008C3D1E"/>
    <w:rsid w:val="008E3709"/>
    <w:rsid w:val="008E4070"/>
    <w:rsid w:val="008F03B8"/>
    <w:rsid w:val="009210B0"/>
    <w:rsid w:val="0094713F"/>
    <w:rsid w:val="00963171"/>
    <w:rsid w:val="009735B4"/>
    <w:rsid w:val="0097524F"/>
    <w:rsid w:val="009A60DF"/>
    <w:rsid w:val="009B658D"/>
    <w:rsid w:val="009D1CAB"/>
    <w:rsid w:val="009D32A2"/>
    <w:rsid w:val="009F0CA3"/>
    <w:rsid w:val="009F2381"/>
    <w:rsid w:val="00A0277E"/>
    <w:rsid w:val="00A12B29"/>
    <w:rsid w:val="00A13385"/>
    <w:rsid w:val="00A22299"/>
    <w:rsid w:val="00A227AD"/>
    <w:rsid w:val="00A25789"/>
    <w:rsid w:val="00A27986"/>
    <w:rsid w:val="00A41EB7"/>
    <w:rsid w:val="00A50882"/>
    <w:rsid w:val="00A51CCC"/>
    <w:rsid w:val="00A5702D"/>
    <w:rsid w:val="00A747B2"/>
    <w:rsid w:val="00A81776"/>
    <w:rsid w:val="00A853EB"/>
    <w:rsid w:val="00A912DF"/>
    <w:rsid w:val="00AA4096"/>
    <w:rsid w:val="00AA4769"/>
    <w:rsid w:val="00AE115F"/>
    <w:rsid w:val="00AE3E46"/>
    <w:rsid w:val="00AF67A6"/>
    <w:rsid w:val="00B02B13"/>
    <w:rsid w:val="00B04B7C"/>
    <w:rsid w:val="00B165AB"/>
    <w:rsid w:val="00B2005B"/>
    <w:rsid w:val="00B203C8"/>
    <w:rsid w:val="00B34223"/>
    <w:rsid w:val="00B534B9"/>
    <w:rsid w:val="00B6553A"/>
    <w:rsid w:val="00B744D5"/>
    <w:rsid w:val="00B83995"/>
    <w:rsid w:val="00B912CB"/>
    <w:rsid w:val="00B95BA3"/>
    <w:rsid w:val="00BA0CA8"/>
    <w:rsid w:val="00BD252F"/>
    <w:rsid w:val="00BD5A35"/>
    <w:rsid w:val="00BE21CF"/>
    <w:rsid w:val="00BE5220"/>
    <w:rsid w:val="00C1395B"/>
    <w:rsid w:val="00C30E40"/>
    <w:rsid w:val="00C31627"/>
    <w:rsid w:val="00C60358"/>
    <w:rsid w:val="00C63375"/>
    <w:rsid w:val="00C67B06"/>
    <w:rsid w:val="00C716DC"/>
    <w:rsid w:val="00C73A06"/>
    <w:rsid w:val="00C75C6F"/>
    <w:rsid w:val="00C80B9B"/>
    <w:rsid w:val="00C9358F"/>
    <w:rsid w:val="00CC0D58"/>
    <w:rsid w:val="00CC6745"/>
    <w:rsid w:val="00CD7060"/>
    <w:rsid w:val="00CE70F8"/>
    <w:rsid w:val="00CE7237"/>
    <w:rsid w:val="00CF2850"/>
    <w:rsid w:val="00D04FA6"/>
    <w:rsid w:val="00D16F63"/>
    <w:rsid w:val="00D3322A"/>
    <w:rsid w:val="00D506E2"/>
    <w:rsid w:val="00D67C9B"/>
    <w:rsid w:val="00D67D9C"/>
    <w:rsid w:val="00D82DF0"/>
    <w:rsid w:val="00D9697D"/>
    <w:rsid w:val="00DC0290"/>
    <w:rsid w:val="00DD5900"/>
    <w:rsid w:val="00DE505D"/>
    <w:rsid w:val="00DE7659"/>
    <w:rsid w:val="00E02631"/>
    <w:rsid w:val="00E05BA5"/>
    <w:rsid w:val="00E10FED"/>
    <w:rsid w:val="00E169E6"/>
    <w:rsid w:val="00E226C7"/>
    <w:rsid w:val="00E32028"/>
    <w:rsid w:val="00E422CB"/>
    <w:rsid w:val="00E87349"/>
    <w:rsid w:val="00E873EA"/>
    <w:rsid w:val="00E94420"/>
    <w:rsid w:val="00E952A3"/>
    <w:rsid w:val="00E957B8"/>
    <w:rsid w:val="00E95A95"/>
    <w:rsid w:val="00EA0CC4"/>
    <w:rsid w:val="00ED0E59"/>
    <w:rsid w:val="00EE2B96"/>
    <w:rsid w:val="00EE5CFA"/>
    <w:rsid w:val="00EE649B"/>
    <w:rsid w:val="00F04AB5"/>
    <w:rsid w:val="00F04E41"/>
    <w:rsid w:val="00F30915"/>
    <w:rsid w:val="00F33C88"/>
    <w:rsid w:val="00F37A03"/>
    <w:rsid w:val="00F37FB6"/>
    <w:rsid w:val="00F4020B"/>
    <w:rsid w:val="00F71289"/>
    <w:rsid w:val="00F728B5"/>
    <w:rsid w:val="00F82360"/>
    <w:rsid w:val="00F84800"/>
    <w:rsid w:val="00F94D8B"/>
    <w:rsid w:val="00FA43E9"/>
    <w:rsid w:val="00FA4D52"/>
    <w:rsid w:val="00FA7AEA"/>
    <w:rsid w:val="00FD67A6"/>
    <w:rsid w:val="00FE6DBA"/>
    <w:rsid w:val="00FF1110"/>
    <w:rsid w:val="00FF4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9FD1"/>
  <w15:docId w15:val="{DCCBD398-128B-4819-95FC-642335DB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rsid w:val="009D1C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FF1110"/>
    <w:pPr>
      <w:spacing w:after="0" w:line="240" w:lineRule="auto"/>
    </w:pPr>
    <w:rPr>
      <w:rFonts w:ascii="Calibri" w:eastAsia="Times New Roman" w:hAnsi="Calibri" w:cs="Times New Roman"/>
    </w:rPr>
  </w:style>
  <w:style w:type="character" w:customStyle="1" w:styleId="shorttext">
    <w:name w:val="short_text"/>
    <w:basedOn w:val="a0"/>
    <w:rsid w:val="0035420C"/>
  </w:style>
  <w:style w:type="paragraph" w:styleId="a9">
    <w:name w:val="Normal (Web)"/>
    <w:basedOn w:val="a"/>
    <w:rsid w:val="00E952A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iPriority w:val="99"/>
    <w:rsid w:val="001738C7"/>
    <w:pPr>
      <w:widowControl w:val="0"/>
      <w:autoSpaceDE w:val="0"/>
      <w:autoSpaceDN w:val="0"/>
      <w:spacing w:after="0" w:line="240" w:lineRule="auto"/>
    </w:pPr>
    <w:rPr>
      <w:rFonts w:ascii="Times New Roman" w:eastAsia="Batang" w:hAnsi="Times New Roman" w:cs="Times New Roman"/>
      <w:sz w:val="24"/>
      <w:szCs w:val="24"/>
      <w:lang w:eastAsia="ru-RU"/>
    </w:rPr>
  </w:style>
  <w:style w:type="character" w:customStyle="1" w:styleId="ab">
    <w:name w:val="Основной текст Знак"/>
    <w:basedOn w:val="a0"/>
    <w:link w:val="aa"/>
    <w:uiPriority w:val="99"/>
    <w:rsid w:val="001738C7"/>
    <w:rPr>
      <w:rFonts w:ascii="Times New Roman" w:eastAsia="Batang" w:hAnsi="Times New Roman" w:cs="Times New Roman"/>
      <w:sz w:val="24"/>
      <w:szCs w:val="24"/>
      <w:lang w:eastAsia="ru-RU"/>
    </w:rPr>
  </w:style>
  <w:style w:type="character" w:styleId="ac">
    <w:name w:val="Placeholder Text"/>
    <w:basedOn w:val="a0"/>
    <w:uiPriority w:val="99"/>
    <w:semiHidden/>
    <w:rsid w:val="00A853EB"/>
    <w:rPr>
      <w:color w:val="808080"/>
    </w:rPr>
  </w:style>
  <w:style w:type="paragraph" w:styleId="ad">
    <w:name w:val="header"/>
    <w:basedOn w:val="a"/>
    <w:link w:val="ae"/>
    <w:uiPriority w:val="99"/>
    <w:unhideWhenUsed/>
    <w:rsid w:val="005716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71607"/>
  </w:style>
  <w:style w:type="paragraph" w:styleId="af">
    <w:name w:val="footer"/>
    <w:basedOn w:val="a"/>
    <w:link w:val="af0"/>
    <w:uiPriority w:val="99"/>
    <w:unhideWhenUsed/>
    <w:rsid w:val="0057160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7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063/5.0130471" TargetMode="External"/><Relationship Id="rId26" Type="http://schemas.openxmlformats.org/officeDocument/2006/relationships/hyperlink" Target="https://doi.org/10.1063/5.0305879" TargetMode="External"/><Relationship Id="rId39" Type="http://schemas.openxmlformats.org/officeDocument/2006/relationships/hyperlink" Target="https://doi.org/10.1051/e3sconf/202345204002" TargetMode="External"/><Relationship Id="rId21" Type="http://schemas.openxmlformats.org/officeDocument/2006/relationships/hyperlink" Target="https://doi.org/10.1063/5.0218937" TargetMode="External"/><Relationship Id="rId34" Type="http://schemas.openxmlformats.org/officeDocument/2006/relationships/hyperlink" Target="https://doi.org/10.1063/5.0305885" TargetMode="External"/><Relationship Id="rId42" Type="http://schemas.openxmlformats.org/officeDocument/2006/relationships/hyperlink" Target="https://doi.org/10.1051/e3sconf/202337701002" TargetMode="External"/><Relationship Id="rId47" Type="http://schemas.openxmlformats.org/officeDocument/2006/relationships/hyperlink" Target="https://doi.org/10.1063/5.0110524" TargetMode="External"/><Relationship Id="rId50" Type="http://schemas.openxmlformats.org/officeDocument/2006/relationships/hyperlink" Target="https://doi.org/10.1063/5.03057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3.vsd"/><Relationship Id="rId29" Type="http://schemas.openxmlformats.org/officeDocument/2006/relationships/hyperlink" Target="https://doi.org/10.1063/5.0305744" TargetMode="External"/><Relationship Id="rId11" Type="http://schemas.openxmlformats.org/officeDocument/2006/relationships/image" Target="media/image2.emf"/><Relationship Id="rId24" Type="http://schemas.openxmlformats.org/officeDocument/2006/relationships/hyperlink" Target="https://doi.org/10.1063/5.0305742" TargetMode="External"/><Relationship Id="rId32" Type="http://schemas.openxmlformats.org/officeDocument/2006/relationships/hyperlink" Target="https://doi.org/10.1063/5.0305844" TargetMode="External"/><Relationship Id="rId37" Type="http://schemas.openxmlformats.org/officeDocument/2006/relationships/hyperlink" Target="https://doi.org/10.1063/5.0305909" TargetMode="External"/><Relationship Id="rId40" Type="http://schemas.openxmlformats.org/officeDocument/2006/relationships/hyperlink" Target="https://doi.org/10.1051/e3sconf/202344906006" TargetMode="External"/><Relationship Id="rId45" Type="http://schemas.openxmlformats.org/officeDocument/2006/relationships/hyperlink" Target="https://doi.org/10.1051/e3sconf/20233770300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19" Type="http://schemas.openxmlformats.org/officeDocument/2006/relationships/hyperlink" Target="https://doi.org/10.1051/e3sconf/201913901083" TargetMode="External"/><Relationship Id="rId31" Type="http://schemas.openxmlformats.org/officeDocument/2006/relationships/hyperlink" Target="https://doi.org/10.1063/5.0305757" TargetMode="External"/><Relationship Id="rId44" Type="http://schemas.openxmlformats.org/officeDocument/2006/relationships/hyperlink" Target="https://doi.org/10.1051/e3sconf/202456301003" TargetMode="External"/><Relationship Id="rId52" Type="http://schemas.openxmlformats.org/officeDocument/2006/relationships/hyperlink" Target="https://doi.org/10.1063/5.030579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hyperlink" Target="https://doi.org/10.21122/1029-7448-2017-60-5-484-492" TargetMode="External"/><Relationship Id="rId27" Type="http://schemas.openxmlformats.org/officeDocument/2006/relationships/hyperlink" Target="https://doi.org/10.1063/5.0305878" TargetMode="External"/><Relationship Id="rId30" Type="http://schemas.openxmlformats.org/officeDocument/2006/relationships/hyperlink" Target="https://doi.org/10.1063/5.0305756" TargetMode="External"/><Relationship Id="rId35" Type="http://schemas.openxmlformats.org/officeDocument/2006/relationships/hyperlink" Target="https://doi.org/10.1063/5.0305883" TargetMode="External"/><Relationship Id="rId43" Type="http://schemas.openxmlformats.org/officeDocument/2006/relationships/hyperlink" Target="https://doi.org/10.1063/5.0089958" TargetMode="External"/><Relationship Id="rId48" Type="http://schemas.openxmlformats.org/officeDocument/2006/relationships/hyperlink" Target="https://doi.org/10.1063/5.0218880" TargetMode="External"/><Relationship Id="rId8" Type="http://schemas.openxmlformats.org/officeDocument/2006/relationships/hyperlink" Target="mailto:rahmatillo05.03.1982@gmail.com" TargetMode="External"/><Relationship Id="rId51" Type="http://schemas.openxmlformats.org/officeDocument/2006/relationships/hyperlink" Target="https://doi.org/10.1063/5.0305786" TargetMode="External"/><Relationship Id="rId3" Type="http://schemas.openxmlformats.org/officeDocument/2006/relationships/styles" Target="styles.xml"/><Relationship Id="rId12" Type="http://schemas.openxmlformats.org/officeDocument/2006/relationships/oleObject" Target="embeddings/Microsoft_Visio_2003-2010_Drawing1.vsd"/><Relationship Id="rId17" Type="http://schemas.openxmlformats.org/officeDocument/2006/relationships/hyperlink" Target="https://doi.org/10.1051/e3sconf/202456303085" TargetMode="External"/><Relationship Id="rId25" Type="http://schemas.openxmlformats.org/officeDocument/2006/relationships/hyperlink" Target="https://doi.org/10.1063/5.0305751" TargetMode="External"/><Relationship Id="rId33" Type="http://schemas.openxmlformats.org/officeDocument/2006/relationships/hyperlink" Target="https://doi.org/10.1063/5.0305754" TargetMode="External"/><Relationship Id="rId38" Type="http://schemas.openxmlformats.org/officeDocument/2006/relationships/hyperlink" Target="https://doi.org/10.1063/5.0267548" TargetMode="External"/><Relationship Id="rId46" Type="http://schemas.openxmlformats.org/officeDocument/2006/relationships/hyperlink" Target="https://doi.org/10.1051/e3sconf/202021601093" TargetMode="External"/><Relationship Id="rId20" Type="http://schemas.openxmlformats.org/officeDocument/2006/relationships/hyperlink" Target="https://doi.org/10.1063/5.0197355" TargetMode="External"/><Relationship Id="rId41" Type="http://schemas.openxmlformats.org/officeDocument/2006/relationships/hyperlink" Target="https://doi.org/10.1051/e3sconf/2023434020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doi.org/10.1063/5.0305748" TargetMode="External"/><Relationship Id="rId28" Type="http://schemas.openxmlformats.org/officeDocument/2006/relationships/hyperlink" Target="https://doi.org/10.1063/5.0307195" TargetMode="External"/><Relationship Id="rId36" Type="http://schemas.openxmlformats.org/officeDocument/2006/relationships/hyperlink" Target="https://doi.org/10.1063/5.0116235" TargetMode="External"/><Relationship Id="rId49" Type="http://schemas.openxmlformats.org/officeDocument/2006/relationships/hyperlink" Target="https://doi.org/10.1063/5.030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FF34-CEC6-4DE6-9468-1E19C5F8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6</Pages>
  <Words>3805</Words>
  <Characters>21690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242</cp:revision>
  <cp:lastPrinted>2021-11-05T14:33:00Z</cp:lastPrinted>
  <dcterms:created xsi:type="dcterms:W3CDTF">2021-11-02T03:32:00Z</dcterms:created>
  <dcterms:modified xsi:type="dcterms:W3CDTF">2025-12-26T15:53:00Z</dcterms:modified>
</cp:coreProperties>
</file>