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767C16E" w:rsidR="001E129E" w:rsidRPr="00287E0A" w:rsidRDefault="003C3037" w:rsidP="00AA0519">
      <w:pPr>
        <w:spacing w:before="1200" w:after="200" w:line="240" w:lineRule="auto"/>
        <w:jc w:val="center"/>
        <w:rPr>
          <w:rFonts w:ascii="Times New Roman" w:hAnsi="Times New Roman" w:cs="Times New Roman"/>
          <w:b/>
          <w:sz w:val="36"/>
          <w:szCs w:val="36"/>
        </w:rPr>
      </w:pPr>
      <w:r w:rsidRPr="003C3037">
        <w:rPr>
          <w:rFonts w:ascii="Times New Roman" w:hAnsi="Times New Roman" w:cs="Times New Roman"/>
          <w:b/>
          <w:sz w:val="36"/>
          <w:szCs w:val="36"/>
        </w:rPr>
        <w:t>Simulation Modeling and Analysis of Electrical Distribution Networks</w:t>
      </w:r>
    </w:p>
    <w:p w14:paraId="1F5E1B4F" w14:textId="7B217CC6" w:rsidR="00CA398A" w:rsidRPr="001970E3" w:rsidRDefault="00B31426" w:rsidP="008745D5">
      <w:pPr>
        <w:pStyle w:val="AuthorName"/>
        <w:spacing w:before="240" w:after="200"/>
        <w:rPr>
          <w:sz w:val="20"/>
          <w:lang w:val="uz-Cyrl-UZ" w:eastAsia="en-GB"/>
        </w:rPr>
      </w:pPr>
      <w:proofErr w:type="spellStart"/>
      <w:r>
        <w:t>Eldar</w:t>
      </w:r>
      <w:proofErr w:type="spellEnd"/>
      <w:r w:rsidRPr="00B31426">
        <w:t xml:space="preserve"> </w:t>
      </w:r>
      <w:r>
        <w:t>Usmanov</w:t>
      </w:r>
      <w:r w:rsidRPr="00B31426">
        <w:rPr>
          <w:vertAlign w:val="superscript"/>
        </w:rPr>
        <w:t>1</w:t>
      </w:r>
      <w:r w:rsidRPr="00B31426">
        <w:t xml:space="preserve">, </w:t>
      </w:r>
      <w:proofErr w:type="spellStart"/>
      <w:r w:rsidR="00676CD3">
        <w:t>Bakhtiyor</w:t>
      </w:r>
      <w:proofErr w:type="spellEnd"/>
      <w:r w:rsidR="000C106A" w:rsidRPr="00287E0A">
        <w:t xml:space="preserve"> </w:t>
      </w:r>
      <w:proofErr w:type="spellStart"/>
      <w:r>
        <w:t>Kh</w:t>
      </w:r>
      <w:r w:rsidR="00676CD3">
        <w:t>usanov</w:t>
      </w:r>
      <w:proofErr w:type="spellEnd"/>
      <w:r w:rsidR="001970E3" w:rsidRPr="001970E3">
        <w:rPr>
          <w:vertAlign w:val="superscript"/>
          <w:lang w:val="uz-Cyrl-UZ"/>
        </w:rPr>
        <w:t>1</w:t>
      </w:r>
      <w:r w:rsidR="001970E3">
        <w:rPr>
          <w:szCs w:val="36"/>
          <w:vertAlign w:val="superscript"/>
          <w:lang w:val="uz-Cyrl-UZ"/>
        </w:rPr>
        <w:t>,</w:t>
      </w:r>
      <w:r w:rsidR="00AA0519">
        <w:rPr>
          <w:szCs w:val="36"/>
          <w:vertAlign w:val="superscript"/>
        </w:rPr>
        <w:t xml:space="preserve"> </w:t>
      </w:r>
      <w:r w:rsidR="008745D5">
        <w:rPr>
          <w:szCs w:val="36"/>
          <w:vertAlign w:val="superscript"/>
        </w:rPr>
        <w:t>a)</w:t>
      </w:r>
      <w:r w:rsidR="000C106A" w:rsidRPr="00287E0A">
        <w:t xml:space="preserve">, </w:t>
      </w:r>
      <w:proofErr w:type="spellStart"/>
      <w:r w:rsidR="00AA0519" w:rsidRPr="00AA0519">
        <w:t>Farxod</w:t>
      </w:r>
      <w:proofErr w:type="spellEnd"/>
      <w:r w:rsidR="00AA0519" w:rsidRPr="00AA0519">
        <w:t xml:space="preserve"> </w:t>
      </w:r>
      <w:proofErr w:type="spellStart"/>
      <w:r w:rsidR="00AA0519" w:rsidRPr="00AA0519">
        <w:t>Shakarov</w:t>
      </w:r>
      <w:proofErr w:type="spellEnd"/>
      <w:r w:rsidR="00AA0519" w:rsidRPr="00AA0519">
        <w:t xml:space="preserve"> </w:t>
      </w:r>
      <w:r w:rsidR="00AA0519" w:rsidRPr="00B31426">
        <w:rPr>
          <w:vertAlign w:val="superscript"/>
        </w:rPr>
        <w:t>1</w:t>
      </w:r>
      <w:r w:rsidR="00AA0519" w:rsidRPr="00B31426">
        <w:t>,</w:t>
      </w:r>
      <w:r w:rsidR="005C3599">
        <w:t xml:space="preserve"> </w:t>
      </w:r>
      <w:proofErr w:type="spellStart"/>
      <w:r w:rsidR="005C3599">
        <w:t>Munisa</w:t>
      </w:r>
      <w:proofErr w:type="spellEnd"/>
      <w:r w:rsidR="005C3599">
        <w:t xml:space="preserve"> Sobirova</w:t>
      </w:r>
      <w:r w:rsidR="005C3599">
        <w:rPr>
          <w:lang w:val="uz-Cyrl-UZ"/>
        </w:rPr>
        <w:t xml:space="preserve"> </w:t>
      </w:r>
      <w:bookmarkStart w:id="0" w:name="_GoBack"/>
      <w:bookmarkEnd w:id="0"/>
      <w:r w:rsidR="00AA0519">
        <w:rPr>
          <w:vertAlign w:val="superscript"/>
        </w:rPr>
        <w:t>2</w:t>
      </w:r>
    </w:p>
    <w:p w14:paraId="4709ED4E" w14:textId="2C85C64D" w:rsidR="008745D5" w:rsidRDefault="001970E3" w:rsidP="00A4691D">
      <w:pPr>
        <w:pStyle w:val="AuthorAffiliation"/>
      </w:pPr>
      <w:r w:rsidRPr="001970E3">
        <w:rPr>
          <w:vertAlign w:val="superscript"/>
          <w:lang w:val="uz-Cyrl-UZ"/>
        </w:rPr>
        <w:t>1</w:t>
      </w:r>
      <w:r w:rsidR="002F4CD9">
        <w:rPr>
          <w:vertAlign w:val="superscript"/>
        </w:rPr>
        <w:t xml:space="preserve"> </w:t>
      </w:r>
      <w:bookmarkStart w:id="1" w:name="_Hlk212275463"/>
      <w:r w:rsidR="00CA398A" w:rsidRPr="00287E0A">
        <w:t xml:space="preserve">Tashkent state technical university named after Islam </w:t>
      </w:r>
      <w:proofErr w:type="spellStart"/>
      <w:r w:rsidR="00CA398A" w:rsidRPr="00287E0A">
        <w:t>Karimov</w:t>
      </w:r>
      <w:proofErr w:type="spellEnd"/>
      <w:r w:rsidR="00CA398A" w:rsidRPr="00287E0A">
        <w:t>,</w:t>
      </w:r>
      <w:r w:rsidR="004622A3">
        <w:t xml:space="preserve"> Tashkent,</w:t>
      </w:r>
      <w:r w:rsidR="00CA398A" w:rsidRPr="00287E0A">
        <w:t xml:space="preserve"> Uzbekistan</w:t>
      </w:r>
      <w:bookmarkEnd w:id="1"/>
    </w:p>
    <w:p w14:paraId="046EE48C" w14:textId="46C90E21" w:rsidR="00AA0519" w:rsidRPr="00AA0519" w:rsidRDefault="00AA0519" w:rsidP="00A4691D">
      <w:pPr>
        <w:pStyle w:val="AuthorAffiliation"/>
      </w:pPr>
      <w:r>
        <w:rPr>
          <w:vertAlign w:val="superscript"/>
        </w:rPr>
        <w:t xml:space="preserve">2 </w:t>
      </w:r>
      <w:proofErr w:type="spellStart"/>
      <w:r w:rsidRPr="00AA0519">
        <w:t>Karshi</w:t>
      </w:r>
      <w:proofErr w:type="spellEnd"/>
      <w:r w:rsidRPr="00AA0519">
        <w:t xml:space="preserve"> state technical university</w:t>
      </w:r>
      <w:r>
        <w:t xml:space="preserve">, </w:t>
      </w:r>
      <w:proofErr w:type="spellStart"/>
      <w:r w:rsidRPr="00AA0519">
        <w:t>Karshi</w:t>
      </w:r>
      <w:proofErr w:type="spellEnd"/>
      <w:r>
        <w:t xml:space="preserve">, </w:t>
      </w:r>
      <w:r w:rsidRPr="00287E0A">
        <w:t>Uzbekistan</w:t>
      </w:r>
    </w:p>
    <w:p w14:paraId="1397C91D" w14:textId="34C20B8E"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76CD3" w:rsidRPr="00B142E5">
          <w:rPr>
            <w:rStyle w:val="a6"/>
          </w:rPr>
          <w:t>husanovbaxtiyor7@gmail.com</w:t>
        </w:r>
      </w:hyperlink>
    </w:p>
    <w:p w14:paraId="410B173B" w14:textId="322F9E31"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151C8" w:rsidRPr="00C151C8">
        <w:rPr>
          <w:rFonts w:ascii="Times New Roman" w:hAnsi="Times New Roman" w:cs="Times New Roman"/>
          <w:iCs/>
          <w:sz w:val="18"/>
          <w:szCs w:val="18"/>
          <w:lang w:val="uz-Cyrl-UZ"/>
        </w:rPr>
        <w:t>In this article, a simulation model of a low-voltage electrical distribution network is developed using MATLAB Sim</w:t>
      </w:r>
      <w:r w:rsidR="00AA0519">
        <w:rPr>
          <w:rFonts w:ascii="Times New Roman" w:hAnsi="Times New Roman" w:cs="Times New Roman"/>
          <w:iCs/>
          <w:sz w:val="18"/>
          <w:szCs w:val="18"/>
        </w:rPr>
        <w:t xml:space="preserve"> </w:t>
      </w:r>
      <w:r w:rsidR="00C151C8" w:rsidRPr="00C151C8">
        <w:rPr>
          <w:rFonts w:ascii="Times New Roman" w:hAnsi="Times New Roman" w:cs="Times New Roman"/>
          <w:iCs/>
          <w:sz w:val="18"/>
          <w:szCs w:val="18"/>
          <w:lang w:val="uz-Cyrl-UZ"/>
        </w:rPr>
        <w:t>Power</w:t>
      </w:r>
      <w:r w:rsidR="00AA0519">
        <w:rPr>
          <w:rFonts w:ascii="Times New Roman" w:hAnsi="Times New Roman" w:cs="Times New Roman"/>
          <w:iCs/>
          <w:sz w:val="18"/>
          <w:szCs w:val="18"/>
        </w:rPr>
        <w:t xml:space="preserve"> </w:t>
      </w:r>
      <w:r w:rsidR="00C151C8" w:rsidRPr="00C151C8">
        <w:rPr>
          <w:rFonts w:ascii="Times New Roman" w:hAnsi="Times New Roman" w:cs="Times New Roman"/>
          <w:iCs/>
          <w:sz w:val="18"/>
          <w:szCs w:val="18"/>
          <w:lang w:val="uz-Cyrl-UZ"/>
        </w:rPr>
        <w:t>Systems. The study analyzes the effects of uneven single-phase loads on voltage unbalance, neutral conductor current, and power losses. The results show that increasing load power leads to voltage asymmetry and additional losses, highlighting the usefulness of simulation methods for improving power quality and reducing energy losses</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75516E71" w:rsidR="006820B6" w:rsidRDefault="00742AE8" w:rsidP="00DE4111">
      <w:pPr>
        <w:spacing w:after="0" w:line="240" w:lineRule="auto"/>
        <w:ind w:firstLine="284"/>
        <w:jc w:val="both"/>
        <w:rPr>
          <w:rFonts w:ascii="Times New Roman" w:hAnsi="Times New Roman" w:cs="Times New Roman"/>
          <w:color w:val="000000"/>
          <w:sz w:val="20"/>
          <w:lang w:val="uz-Cyrl-UZ"/>
        </w:rPr>
      </w:pPr>
      <w:r w:rsidRPr="00742AE8">
        <w:rPr>
          <w:rFonts w:ascii="Times New Roman" w:hAnsi="Times New Roman" w:cs="Times New Roman"/>
          <w:sz w:val="20"/>
          <w:lang w:val="uz-Cyrl-UZ"/>
        </w:rPr>
        <w:t xml:space="preserve">Electric distribution networks supply electrical energy to industrial, non-industrial, agricultural, and residential consumers. A characteristic feature of the operation of the electric distribution network complex within the power system is that the total length of distribution lines is significantly greater than that of transmission lines of higher voltage classes. The reliability of power supply and the quality of electrical energy delivered to consumers depend on the proper selection of distribution network configurations and parameters, as well as on the effectiveness of operating mode control </w:t>
      </w:r>
      <w:r w:rsidR="006820B6" w:rsidRPr="008B3251">
        <w:rPr>
          <w:rFonts w:ascii="Times New Roman" w:hAnsi="Times New Roman" w:cs="Times New Roman"/>
          <w:color w:val="000000"/>
          <w:sz w:val="20"/>
          <w:lang w:val="uz-Cyrl-UZ"/>
        </w:rPr>
        <w:t>[</w:t>
      </w:r>
      <w:r w:rsidR="006820B6" w:rsidRPr="008B3251">
        <w:rPr>
          <w:rFonts w:ascii="Times New Roman" w:hAnsi="Times New Roman" w:cs="Times New Roman"/>
          <w:sz w:val="20"/>
          <w:lang w:val="uz-Cyrl-UZ"/>
        </w:rPr>
        <w:t>1</w:t>
      </w:r>
      <w:r w:rsidR="006820B6" w:rsidRPr="008B3251">
        <w:rPr>
          <w:rFonts w:ascii="Times New Roman" w:hAnsi="Times New Roman" w:cs="Times New Roman"/>
          <w:color w:val="000000"/>
          <w:sz w:val="20"/>
          <w:lang w:val="uz-Cyrl-UZ"/>
        </w:rPr>
        <w:t xml:space="preserve">]. </w:t>
      </w:r>
    </w:p>
    <w:p w14:paraId="7B894D39" w14:textId="5ACCC1F3" w:rsidR="008B3251" w:rsidRDefault="00742AE8" w:rsidP="00DE4111">
      <w:pPr>
        <w:spacing w:after="0" w:line="240" w:lineRule="auto"/>
        <w:ind w:firstLine="284"/>
        <w:jc w:val="both"/>
        <w:rPr>
          <w:rFonts w:ascii="Times New Roman" w:hAnsi="Times New Roman" w:cs="Times New Roman"/>
          <w:color w:val="000000"/>
          <w:sz w:val="20"/>
          <w:lang w:val="uz-Cyrl-UZ"/>
        </w:rPr>
      </w:pPr>
      <w:r w:rsidRPr="00742AE8">
        <w:rPr>
          <w:rFonts w:ascii="Times New Roman" w:hAnsi="Times New Roman" w:cs="Times New Roman"/>
          <w:color w:val="000000"/>
          <w:sz w:val="20"/>
          <w:lang w:val="uz-Cyrl-UZ"/>
        </w:rPr>
        <w:t>For the analysis and standardization of losses, it is recommended to use an extended structure of electrical energy losses, in which losses are classified into components according to their physical nature and the specific features of the methods used to determine their quantitative values</w:t>
      </w:r>
      <w:r w:rsidR="008B3251" w:rsidRPr="008B3251">
        <w:rPr>
          <w:rFonts w:ascii="Times New Roman" w:hAnsi="Times New Roman" w:cs="Times New Roman"/>
          <w:color w:val="000000"/>
          <w:sz w:val="20"/>
          <w:lang w:val="uz-Cyrl-UZ"/>
        </w:rPr>
        <w:t>.</w:t>
      </w:r>
    </w:p>
    <w:p w14:paraId="019ED10F" w14:textId="6BEEDAD6" w:rsidR="00DE4111" w:rsidRPr="008B3251" w:rsidRDefault="00DE4111" w:rsidP="006820B6">
      <w:pPr>
        <w:widowControl w:val="0"/>
        <w:spacing w:after="0" w:line="240" w:lineRule="auto"/>
        <w:jc w:val="center"/>
        <w:rPr>
          <w:rFonts w:ascii="Times New Roman" w:eastAsia="Courier New" w:hAnsi="Times New Roman" w:cs="Courier New"/>
          <w:color w:val="00B050"/>
          <w:sz w:val="20"/>
          <w:szCs w:val="20"/>
          <w:lang w:val="uz-Cyrl-UZ"/>
        </w:rPr>
      </w:pPr>
    </w:p>
    <w:p w14:paraId="62A351E0" w14:textId="173DF401" w:rsidR="00DE4111" w:rsidRPr="008B3251" w:rsidRDefault="008B3251" w:rsidP="006820B6">
      <w:pPr>
        <w:widowControl w:val="0"/>
        <w:spacing w:after="0" w:line="240" w:lineRule="auto"/>
        <w:jc w:val="center"/>
        <w:rPr>
          <w:rFonts w:ascii="Times New Roman" w:eastAsia="Courier New" w:hAnsi="Times New Roman" w:cs="Courier New"/>
          <w:color w:val="00B050"/>
          <w:sz w:val="20"/>
          <w:szCs w:val="20"/>
          <w:lang w:val="uz-Cyrl-UZ"/>
        </w:rPr>
      </w:pPr>
      <w:r>
        <w:rPr>
          <w:rFonts w:ascii="Times New Roman" w:eastAsia="Courier New" w:hAnsi="Times New Roman" w:cs="Courier New"/>
          <w:noProof/>
          <w:color w:val="00B050"/>
          <w:sz w:val="20"/>
          <w:szCs w:val="20"/>
          <w:lang w:val="ru-RU" w:eastAsia="ru-RU"/>
        </w:rPr>
        <w:drawing>
          <wp:inline distT="0" distB="0" distL="0" distR="0" wp14:anchorId="61A94540" wp14:editId="2962E655">
            <wp:extent cx="4123121" cy="2124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7666" cy="2136720"/>
                    </a:xfrm>
                    <a:prstGeom prst="rect">
                      <a:avLst/>
                    </a:prstGeom>
                    <a:noFill/>
                  </pic:spPr>
                </pic:pic>
              </a:graphicData>
            </a:graphic>
          </wp:inline>
        </w:drawing>
      </w:r>
    </w:p>
    <w:p w14:paraId="3F15E745" w14:textId="4B933A38" w:rsidR="006820B6" w:rsidRPr="001970E3" w:rsidRDefault="006820B6" w:rsidP="00DE4111">
      <w:pPr>
        <w:widowControl w:val="0"/>
        <w:spacing w:before="120" w:after="0" w:line="240" w:lineRule="auto"/>
        <w:ind w:left="40" w:right="40" w:hanging="40"/>
        <w:jc w:val="center"/>
        <w:rPr>
          <w:rFonts w:ascii="Times New Roman" w:hAnsi="Times New Roman"/>
          <w:sz w:val="18"/>
          <w:szCs w:val="18"/>
          <w:lang w:val="uz-Cyrl-UZ"/>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w:t>
      </w:r>
      <w:r w:rsidR="008F274D" w:rsidRPr="008F274D">
        <w:rPr>
          <w:rFonts w:ascii="Times New Roman" w:hAnsi="Times New Roman"/>
          <w:sz w:val="18"/>
          <w:szCs w:val="18"/>
        </w:rPr>
        <w:t xml:space="preserve">Cartogram of the shares of components of technical electrical energy losses </w:t>
      </w:r>
    </w:p>
    <w:p w14:paraId="26E5E01F" w14:textId="77777777" w:rsidR="008745D5" w:rsidRDefault="008745D5" w:rsidP="00DE4111">
      <w:pPr>
        <w:pStyle w:val="Default"/>
        <w:ind w:firstLine="284"/>
        <w:jc w:val="both"/>
        <w:rPr>
          <w:b/>
          <w:bCs/>
          <w:i/>
          <w:iCs/>
          <w:sz w:val="20"/>
          <w:szCs w:val="20"/>
          <w:lang w:val="en-US"/>
        </w:rPr>
      </w:pPr>
    </w:p>
    <w:p w14:paraId="26092E1A" w14:textId="02F03C43" w:rsidR="00631443" w:rsidRDefault="00742AE8" w:rsidP="008F274D">
      <w:pPr>
        <w:pStyle w:val="Default"/>
        <w:ind w:firstLine="284"/>
        <w:jc w:val="both"/>
        <w:rPr>
          <w:lang w:val="en-US"/>
        </w:rPr>
      </w:pPr>
      <w:r w:rsidRPr="00742AE8">
        <w:rPr>
          <w:sz w:val="20"/>
          <w:szCs w:val="20"/>
          <w:lang w:val="en-US"/>
        </w:rPr>
        <w:t xml:space="preserve">Figure 1 presents a cartogram illustrating the percentage distribution of the components of technical electrical energy losses. The analysis shows that losses caused by load effects in electric transmission lines constitute a relatively </w:t>
      </w:r>
      <w:r w:rsidRPr="00742AE8">
        <w:rPr>
          <w:sz w:val="20"/>
          <w:szCs w:val="20"/>
          <w:lang w:val="en-US"/>
        </w:rPr>
        <w:lastRenderedPageBreak/>
        <w:t xml:space="preserve">large share of the total losses. This indicates that, for the given facility, conducting research aimed at reducing electrical energy losses can be considered technically justified and practically effective </w:t>
      </w:r>
      <w:r w:rsidR="006A4554" w:rsidRPr="008F274D">
        <w:rPr>
          <w:sz w:val="20"/>
          <w:lang w:val="en-US"/>
        </w:rPr>
        <w:t>[1-5]</w:t>
      </w:r>
      <w:r w:rsidR="00DE4111" w:rsidRPr="008F274D">
        <w:rPr>
          <w:sz w:val="20"/>
          <w:lang w:val="en-US"/>
        </w:rPr>
        <w:t>.</w:t>
      </w:r>
      <w:r w:rsidR="00DE4111" w:rsidRPr="008F274D">
        <w:rPr>
          <w:lang w:val="en-US"/>
        </w:rPr>
        <w:t xml:space="preserve"> </w:t>
      </w:r>
    </w:p>
    <w:p w14:paraId="4FBEBBCD" w14:textId="77777777" w:rsidR="00742AE8" w:rsidRDefault="00742AE8" w:rsidP="000764FF">
      <w:pPr>
        <w:pStyle w:val="Default"/>
        <w:ind w:firstLine="284"/>
        <w:jc w:val="both"/>
        <w:rPr>
          <w:sz w:val="20"/>
          <w:szCs w:val="20"/>
          <w:lang w:val="en-US"/>
        </w:rPr>
      </w:pPr>
      <w:r w:rsidRPr="00742AE8">
        <w:rPr>
          <w:sz w:val="20"/>
          <w:szCs w:val="20"/>
          <w:lang w:val="en-US"/>
        </w:rPr>
        <w:t xml:space="preserve">Simulation models of low-voltage distribution networks make it possible to carry out theoretical studies that are close to real operating experiments. Such studies include the stages of experiment planning, implementation of simulation experiments, and analysis of the obtained results followed by drawing conclusions. The main features of these theoretical investigations are as follows: </w:t>
      </w:r>
    </w:p>
    <w:p w14:paraId="667F282B" w14:textId="1B2A2A8A" w:rsidR="00742AE8" w:rsidRDefault="00742AE8" w:rsidP="000764FF">
      <w:pPr>
        <w:pStyle w:val="Default"/>
        <w:ind w:firstLine="284"/>
        <w:jc w:val="both"/>
        <w:rPr>
          <w:sz w:val="20"/>
          <w:szCs w:val="20"/>
          <w:lang w:val="en-US"/>
        </w:rPr>
      </w:pPr>
      <w:r>
        <w:rPr>
          <w:sz w:val="20"/>
          <w:szCs w:val="20"/>
          <w:lang w:val="en-US"/>
        </w:rPr>
        <w:t>-</w:t>
      </w:r>
      <w:r w:rsidRPr="00742AE8">
        <w:rPr>
          <w:sz w:val="20"/>
          <w:szCs w:val="20"/>
          <w:lang w:val="en-US"/>
        </w:rPr>
        <w:t>the use of virtual measuring devices to obtain information on the instantaneous parameters of circuit elements;</w:t>
      </w:r>
    </w:p>
    <w:p w14:paraId="033369ED" w14:textId="3BAEB332" w:rsidR="00742AE8" w:rsidRDefault="00742AE8" w:rsidP="000764FF">
      <w:pPr>
        <w:pStyle w:val="Default"/>
        <w:ind w:firstLine="284"/>
        <w:jc w:val="both"/>
        <w:rPr>
          <w:sz w:val="20"/>
          <w:szCs w:val="20"/>
          <w:lang w:val="en-US"/>
        </w:rPr>
      </w:pPr>
      <w:r>
        <w:rPr>
          <w:sz w:val="20"/>
          <w:szCs w:val="20"/>
          <w:lang w:val="en-US"/>
        </w:rPr>
        <w:t>-</w:t>
      </w:r>
      <w:r w:rsidRPr="00742AE8">
        <w:rPr>
          <w:sz w:val="20"/>
          <w:szCs w:val="20"/>
          <w:lang w:val="en-US"/>
        </w:rPr>
        <w:t xml:space="preserve"> presentation of simulation results in the form of </w:t>
      </w:r>
      <w:proofErr w:type="spellStart"/>
      <w:r w:rsidRPr="00742AE8">
        <w:rPr>
          <w:sz w:val="20"/>
          <w:szCs w:val="20"/>
          <w:lang w:val="en-US"/>
        </w:rPr>
        <w:t>oscillograms</w:t>
      </w:r>
      <w:proofErr w:type="spellEnd"/>
      <w:r w:rsidRPr="00742AE8">
        <w:rPr>
          <w:sz w:val="20"/>
          <w:szCs w:val="20"/>
          <w:lang w:val="en-US"/>
        </w:rPr>
        <w:t xml:space="preserve"> and time-domain characteristics, which improves the convenience of analysis; </w:t>
      </w:r>
    </w:p>
    <w:p w14:paraId="74EF4B56" w14:textId="381D4E72" w:rsidR="00742AE8" w:rsidRDefault="00742AE8" w:rsidP="000764FF">
      <w:pPr>
        <w:pStyle w:val="Default"/>
        <w:ind w:firstLine="284"/>
        <w:jc w:val="both"/>
        <w:rPr>
          <w:sz w:val="20"/>
          <w:szCs w:val="20"/>
          <w:lang w:val="en-US"/>
        </w:rPr>
      </w:pPr>
      <w:r>
        <w:rPr>
          <w:sz w:val="20"/>
          <w:szCs w:val="20"/>
          <w:lang w:val="en-US"/>
        </w:rPr>
        <w:t>-</w:t>
      </w:r>
      <w:r w:rsidRPr="00742AE8">
        <w:rPr>
          <w:sz w:val="20"/>
          <w:szCs w:val="20"/>
          <w:lang w:val="en-US"/>
        </w:rPr>
        <w:t xml:space="preserve">determination of electrical circuit parameters that are difficult to measure under actual operating conditions; </w:t>
      </w:r>
    </w:p>
    <w:p w14:paraId="79B4FF11" w14:textId="5757379D" w:rsidR="000764FF" w:rsidRPr="00742AE8" w:rsidRDefault="00742AE8" w:rsidP="000764FF">
      <w:pPr>
        <w:pStyle w:val="Default"/>
        <w:ind w:firstLine="284"/>
        <w:jc w:val="both"/>
        <w:rPr>
          <w:sz w:val="20"/>
          <w:szCs w:val="20"/>
          <w:lang w:val="en-US"/>
        </w:rPr>
      </w:pPr>
      <w:r>
        <w:rPr>
          <w:sz w:val="20"/>
          <w:szCs w:val="20"/>
          <w:lang w:val="en-US"/>
        </w:rPr>
        <w:t>-</w:t>
      </w:r>
      <w:r w:rsidRPr="00742AE8">
        <w:rPr>
          <w:sz w:val="20"/>
          <w:szCs w:val="20"/>
          <w:lang w:val="en-US"/>
        </w:rPr>
        <w:t xml:space="preserve">investigation of rapid variations in load and other dynamic processes that are difficult to reproduce in practice (for example, the response of electric motors); and the possibility of conducting studies under the influence of various interference factors </w:t>
      </w:r>
      <w:r w:rsidR="000764FF" w:rsidRPr="00742AE8">
        <w:rPr>
          <w:sz w:val="20"/>
          <w:szCs w:val="20"/>
          <w:lang w:val="en-US"/>
        </w:rPr>
        <w:t>[5].</w:t>
      </w:r>
    </w:p>
    <w:p w14:paraId="493A640D" w14:textId="237A955D" w:rsidR="008A22AB" w:rsidRPr="00AA0519"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w:t>
      </w:r>
      <w:r w:rsidR="007C2176" w:rsidRPr="00AA0519">
        <w:rPr>
          <w:rFonts w:ascii="Times New Roman" w:hAnsi="Times New Roman" w:cs="Times New Roman"/>
          <w:b/>
          <w:sz w:val="24"/>
          <w:szCs w:val="24"/>
        </w:rPr>
        <w:t xml:space="preserve"> </w:t>
      </w:r>
      <w:r w:rsidR="007C2176" w:rsidRPr="00287E0A">
        <w:rPr>
          <w:rFonts w:ascii="Times New Roman" w:hAnsi="Times New Roman" w:cs="Times New Roman"/>
          <w:b/>
          <w:sz w:val="24"/>
          <w:szCs w:val="24"/>
        </w:rPr>
        <w:t>RESEARCH</w:t>
      </w:r>
    </w:p>
    <w:p w14:paraId="601D2C70" w14:textId="0F62FC87" w:rsidR="008A22AB" w:rsidRPr="00742AE8" w:rsidRDefault="00742AE8" w:rsidP="00091839">
      <w:pPr>
        <w:spacing w:after="0" w:line="240" w:lineRule="auto"/>
        <w:ind w:firstLine="283"/>
        <w:jc w:val="both"/>
        <w:rPr>
          <w:rFonts w:ascii="Times New Roman" w:hAnsi="Times New Roman" w:cs="Times New Roman"/>
          <w:color w:val="000000"/>
          <w:sz w:val="20"/>
        </w:rPr>
      </w:pPr>
      <w:r w:rsidRPr="00742AE8">
        <w:rPr>
          <w:rFonts w:ascii="Times New Roman" w:hAnsi="Times New Roman" w:cs="Times New Roman"/>
          <w:sz w:val="20"/>
          <w:lang w:val="uz-Cyrl-UZ"/>
        </w:rPr>
        <w:t xml:space="preserve">At the present stage, computer technologies, mathematical software tools, and digital solutions that enable the execution of complex calculations and simulation processes are widely used for the analysis and modeling of distribution power networks operating under various load conditions </w:t>
      </w:r>
      <w:r w:rsidR="007C2176" w:rsidRPr="00742AE8">
        <w:rPr>
          <w:rFonts w:ascii="Times New Roman" w:hAnsi="Times New Roman" w:cs="Times New Roman"/>
          <w:color w:val="000000"/>
          <w:sz w:val="20"/>
        </w:rPr>
        <w:t>[</w:t>
      </w:r>
      <w:r w:rsidR="00D746C9" w:rsidRPr="00742AE8">
        <w:rPr>
          <w:rFonts w:ascii="Times New Roman" w:hAnsi="Times New Roman" w:cs="Times New Roman"/>
          <w:sz w:val="20"/>
        </w:rPr>
        <w:t>2</w:t>
      </w:r>
      <w:r w:rsidR="008E2F6D">
        <w:rPr>
          <w:rFonts w:ascii="Times New Roman" w:hAnsi="Times New Roman" w:cs="Times New Roman"/>
          <w:sz w:val="20"/>
        </w:rPr>
        <w:t>,14,16,33</w:t>
      </w:r>
      <w:r w:rsidR="007C2176" w:rsidRPr="00742AE8">
        <w:rPr>
          <w:rFonts w:ascii="Times New Roman" w:hAnsi="Times New Roman" w:cs="Times New Roman"/>
          <w:color w:val="000000"/>
          <w:sz w:val="20"/>
        </w:rPr>
        <w:t>].</w:t>
      </w:r>
    </w:p>
    <w:p w14:paraId="19F80D78" w14:textId="77777777" w:rsidR="00742AE8" w:rsidRPr="00742AE8" w:rsidRDefault="00742AE8" w:rsidP="00742AE8">
      <w:pPr>
        <w:spacing w:after="0" w:line="240" w:lineRule="auto"/>
        <w:ind w:firstLine="283"/>
        <w:jc w:val="both"/>
        <w:rPr>
          <w:rFonts w:ascii="Times New Roman" w:hAnsi="Times New Roman" w:cs="Times New Roman"/>
          <w:sz w:val="20"/>
          <w:lang w:val="uz-Cyrl-UZ"/>
        </w:rPr>
      </w:pPr>
      <w:r w:rsidRPr="00742AE8">
        <w:rPr>
          <w:rFonts w:ascii="Times New Roman" w:hAnsi="Times New Roman" w:cs="Times New Roman"/>
          <w:sz w:val="20"/>
          <w:lang w:val="uz-Cyrl-UZ"/>
        </w:rPr>
        <w:t>In the development of simulation models for low-voltage distribution networks, the MATLAB software environment and its SimPowerSystems computational package, which are widely applied in the field of electric power engineering, are utilized. This software environment provides the capability to model distribution networks with different types of loads. The block diagrams of distribution networks, transformers, and loads available in the SimPowerSystems library make it possible to solve complex differential equations and to analyze the dynamic processes occurring within the network.</w:t>
      </w:r>
    </w:p>
    <w:p w14:paraId="747F11A4" w14:textId="54426FC6" w:rsidR="006326DD" w:rsidRPr="00794C3C" w:rsidRDefault="00742AE8" w:rsidP="00742AE8">
      <w:pPr>
        <w:spacing w:after="0" w:line="240" w:lineRule="auto"/>
        <w:ind w:firstLine="283"/>
        <w:jc w:val="both"/>
        <w:rPr>
          <w:rFonts w:ascii="Times New Roman" w:eastAsia="Times New Roman" w:hAnsi="Times New Roman" w:cs="Times New Roman"/>
          <w:sz w:val="20"/>
          <w:szCs w:val="20"/>
          <w:lang w:val="uz-Cyrl-UZ" w:eastAsia="de-DE"/>
        </w:rPr>
      </w:pPr>
      <w:r w:rsidRPr="00742AE8">
        <w:rPr>
          <w:rFonts w:ascii="Times New Roman" w:hAnsi="Times New Roman" w:cs="Times New Roman"/>
          <w:sz w:val="20"/>
          <w:lang w:val="uz-Cyrl-UZ"/>
        </w:rPr>
        <w:t>When modeling an electrical network using the standard blocks of MATLAB, it is necessary to input parameter values calculated on the basis of the initial data of low-voltage network elements. Table 1 presents the parameters of the TM-630/10 transformer determined from its initial data in accordance with the calculation expressions given in the appendices. Similarly, the calculated parameters of overhead power transmission lines, obtained using the corresponding expressions provided in the appendices, are summarized in Table 2</w:t>
      </w:r>
      <w:r w:rsidRPr="00742AE8">
        <w:rPr>
          <w:rFonts w:ascii="Times New Roman" w:eastAsia="Times New Roman" w:hAnsi="Times New Roman" w:cs="Times New Roman"/>
          <w:sz w:val="20"/>
          <w:szCs w:val="20"/>
          <w:lang w:val="uz-Cyrl-UZ" w:eastAsia="de-DE"/>
        </w:rPr>
        <w:t xml:space="preserve"> </w:t>
      </w:r>
      <w:r w:rsidR="00794C3C" w:rsidRPr="007152B9">
        <w:rPr>
          <w:rFonts w:ascii="Times New Roman" w:eastAsia="Times New Roman" w:hAnsi="Times New Roman" w:cs="Times New Roman"/>
          <w:sz w:val="20"/>
          <w:szCs w:val="20"/>
          <w:lang w:val="uz-Cyrl-UZ" w:eastAsia="de-DE"/>
        </w:rPr>
        <w:t>[3</w:t>
      </w:r>
      <w:r w:rsidR="00147D01">
        <w:rPr>
          <w:rFonts w:ascii="Times New Roman" w:eastAsia="Times New Roman" w:hAnsi="Times New Roman" w:cs="Times New Roman"/>
          <w:sz w:val="20"/>
          <w:szCs w:val="20"/>
          <w:lang w:eastAsia="de-DE"/>
        </w:rPr>
        <w:t>,25,27</w:t>
      </w:r>
      <w:r w:rsidR="00794C3C" w:rsidRPr="007152B9">
        <w:rPr>
          <w:rFonts w:ascii="Times New Roman" w:eastAsia="Times New Roman" w:hAnsi="Times New Roman" w:cs="Times New Roman"/>
          <w:sz w:val="20"/>
          <w:szCs w:val="20"/>
          <w:lang w:val="uz-Cyrl-UZ" w:eastAsia="de-DE"/>
        </w:rPr>
        <w:t>]</w:t>
      </w:r>
      <w:r w:rsidR="00794C3C" w:rsidRPr="00794C3C">
        <w:rPr>
          <w:rFonts w:ascii="Times New Roman" w:eastAsia="Times New Roman" w:hAnsi="Times New Roman" w:cs="Times New Roman"/>
          <w:sz w:val="20"/>
          <w:szCs w:val="20"/>
          <w:lang w:val="uz-Cyrl-UZ" w:eastAsia="de-DE"/>
        </w:rPr>
        <w:t>.</w:t>
      </w:r>
    </w:p>
    <w:p w14:paraId="409ED4D0" w14:textId="77777777" w:rsidR="00794C3C" w:rsidRPr="00794C3C" w:rsidRDefault="00794C3C" w:rsidP="00794C3C">
      <w:pPr>
        <w:spacing w:after="0" w:line="240" w:lineRule="auto"/>
        <w:ind w:firstLine="283"/>
        <w:jc w:val="both"/>
        <w:rPr>
          <w:rFonts w:ascii="Times New Roman" w:hAnsi="Times New Roman" w:cs="Times New Roman"/>
          <w:sz w:val="20"/>
          <w:lang w:val="uz-Cyrl-UZ"/>
        </w:rPr>
      </w:pPr>
    </w:p>
    <w:p w14:paraId="3CD27295" w14:textId="3D0C3346" w:rsidR="007152B9" w:rsidRPr="007152B9" w:rsidRDefault="007152B9" w:rsidP="00715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lang w:val="uz-Cyrl-UZ"/>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00742AE8" w:rsidRPr="00742AE8">
        <w:rPr>
          <w:rFonts w:ascii="Times New Roman" w:hAnsi="Times New Roman" w:cs="Times New Roman"/>
          <w:sz w:val="20"/>
          <w:lang w:val="uz-Cyrl-UZ"/>
        </w:rPr>
        <w:t>Parameters of the TM-630/10 transformer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7"/>
        <w:gridCol w:w="567"/>
        <w:gridCol w:w="567"/>
        <w:gridCol w:w="567"/>
        <w:gridCol w:w="645"/>
        <w:gridCol w:w="783"/>
        <w:gridCol w:w="557"/>
        <w:gridCol w:w="567"/>
        <w:gridCol w:w="567"/>
        <w:gridCol w:w="567"/>
        <w:gridCol w:w="567"/>
        <w:gridCol w:w="567"/>
        <w:gridCol w:w="708"/>
        <w:gridCol w:w="567"/>
        <w:gridCol w:w="567"/>
      </w:tblGrid>
      <w:tr w:rsidR="007152B9" w:rsidRPr="00742AE8" w14:paraId="266763FE" w14:textId="77777777" w:rsidTr="00A15E8E">
        <w:trPr>
          <w:jc w:val="center"/>
        </w:trPr>
        <w:tc>
          <w:tcPr>
            <w:tcW w:w="997" w:type="dxa"/>
            <w:vMerge w:val="restart"/>
            <w:tcMar>
              <w:top w:w="48" w:type="dxa"/>
              <w:left w:w="96" w:type="dxa"/>
              <w:bottom w:w="48" w:type="dxa"/>
              <w:right w:w="96" w:type="dxa"/>
            </w:tcMar>
            <w:vAlign w:val="center"/>
            <w:hideMark/>
          </w:tcPr>
          <w:p w14:paraId="6EA72BAD" w14:textId="5E21980B" w:rsidR="007152B9" w:rsidRPr="00742AE8" w:rsidRDefault="00742AE8" w:rsidP="00A15E8E">
            <w:pPr>
              <w:spacing w:before="120" w:after="120" w:line="240" w:lineRule="auto"/>
              <w:jc w:val="center"/>
              <w:rPr>
                <w:rFonts w:ascii="Times New Roman" w:eastAsia="Times New Roman" w:hAnsi="Times New Roman" w:cs="Times New Roman"/>
                <w:color w:val="222222"/>
                <w:sz w:val="20"/>
                <w:szCs w:val="20"/>
                <w:lang w:eastAsia="ru-RU"/>
              </w:rPr>
            </w:pPr>
            <w:r w:rsidRPr="00742AE8">
              <w:rPr>
                <w:rFonts w:ascii="Times New Roman" w:eastAsia="Times New Roman" w:hAnsi="Times New Roman" w:cs="Times New Roman"/>
                <w:color w:val="222222"/>
                <w:sz w:val="20"/>
                <w:szCs w:val="20"/>
                <w:lang w:eastAsia="ru-RU"/>
              </w:rPr>
              <w:t>Rated apparent power, kVA</w:t>
            </w:r>
          </w:p>
        </w:tc>
        <w:tc>
          <w:tcPr>
            <w:tcW w:w="3686" w:type="dxa"/>
            <w:gridSpan w:val="6"/>
            <w:tcMar>
              <w:top w:w="48" w:type="dxa"/>
              <w:left w:w="96" w:type="dxa"/>
              <w:bottom w:w="48" w:type="dxa"/>
              <w:right w:w="96" w:type="dxa"/>
            </w:tcMar>
            <w:vAlign w:val="center"/>
            <w:hideMark/>
          </w:tcPr>
          <w:p w14:paraId="1E438516" w14:textId="27013F27" w:rsidR="007152B9" w:rsidRPr="00742AE8" w:rsidRDefault="00742AE8" w:rsidP="00A15E8E">
            <w:pPr>
              <w:spacing w:after="0" w:line="240" w:lineRule="auto"/>
              <w:jc w:val="center"/>
              <w:rPr>
                <w:rFonts w:ascii="Times New Roman" w:eastAsia="Times New Roman" w:hAnsi="Times New Roman" w:cs="Times New Roman"/>
                <w:b/>
                <w:bCs/>
                <w:color w:val="222222"/>
                <w:sz w:val="20"/>
                <w:szCs w:val="20"/>
                <w:lang w:eastAsia="ru-RU"/>
              </w:rPr>
            </w:pPr>
            <w:r w:rsidRPr="00742AE8">
              <w:rPr>
                <w:rFonts w:ascii="Times New Roman" w:eastAsia="Times New Roman" w:hAnsi="Times New Roman" w:cs="Times New Roman"/>
                <w:b/>
                <w:bCs/>
                <w:color w:val="222222"/>
                <w:sz w:val="20"/>
                <w:szCs w:val="20"/>
                <w:lang w:eastAsia="ru-RU"/>
              </w:rPr>
              <w:t>Catalog data</w:t>
            </w:r>
          </w:p>
        </w:tc>
        <w:tc>
          <w:tcPr>
            <w:tcW w:w="4677" w:type="dxa"/>
            <w:gridSpan w:val="8"/>
            <w:tcMar>
              <w:top w:w="48" w:type="dxa"/>
              <w:left w:w="96" w:type="dxa"/>
              <w:bottom w:w="48" w:type="dxa"/>
              <w:right w:w="96" w:type="dxa"/>
            </w:tcMar>
            <w:vAlign w:val="center"/>
            <w:hideMark/>
          </w:tcPr>
          <w:p w14:paraId="1F554C93" w14:textId="084FA59C" w:rsidR="007152B9" w:rsidRPr="00742AE8" w:rsidRDefault="00742AE8" w:rsidP="00A15E8E">
            <w:pPr>
              <w:spacing w:after="0" w:line="240" w:lineRule="auto"/>
              <w:jc w:val="center"/>
              <w:rPr>
                <w:rFonts w:ascii="Times New Roman" w:eastAsia="Times New Roman" w:hAnsi="Times New Roman" w:cs="Times New Roman"/>
                <w:b/>
                <w:bCs/>
                <w:color w:val="222222"/>
                <w:sz w:val="20"/>
                <w:szCs w:val="20"/>
                <w:lang w:eastAsia="ru-RU"/>
              </w:rPr>
            </w:pPr>
            <w:r w:rsidRPr="00742AE8">
              <w:rPr>
                <w:rFonts w:ascii="Times New Roman" w:eastAsia="Times New Roman" w:hAnsi="Times New Roman" w:cs="Times New Roman"/>
                <w:b/>
                <w:bCs/>
                <w:color w:val="222222"/>
                <w:sz w:val="20"/>
                <w:szCs w:val="20"/>
                <w:lang w:eastAsia="ru-RU"/>
              </w:rPr>
              <w:t>Calculated data</w:t>
            </w:r>
          </w:p>
        </w:tc>
      </w:tr>
      <w:tr w:rsidR="007152B9" w:rsidRPr="00742AE8" w14:paraId="243545E0" w14:textId="77777777" w:rsidTr="00A15E8E">
        <w:trPr>
          <w:jc w:val="center"/>
        </w:trPr>
        <w:tc>
          <w:tcPr>
            <w:tcW w:w="997" w:type="dxa"/>
            <w:vMerge/>
            <w:vAlign w:val="center"/>
            <w:hideMark/>
          </w:tcPr>
          <w:p w14:paraId="6773D0C7" w14:textId="77777777" w:rsidR="007152B9" w:rsidRPr="00742AE8" w:rsidRDefault="007152B9" w:rsidP="00A15E8E">
            <w:pPr>
              <w:spacing w:after="0" w:line="240" w:lineRule="auto"/>
              <w:jc w:val="center"/>
              <w:rPr>
                <w:rFonts w:ascii="Times New Roman" w:eastAsia="Times New Roman" w:hAnsi="Times New Roman" w:cs="Times New Roman"/>
                <w:b/>
                <w:bCs/>
                <w:color w:val="222222"/>
                <w:sz w:val="20"/>
                <w:szCs w:val="20"/>
                <w:lang w:val="ru-RU" w:eastAsia="ru-RU"/>
              </w:rPr>
            </w:pPr>
          </w:p>
        </w:tc>
        <w:tc>
          <w:tcPr>
            <w:tcW w:w="1134" w:type="dxa"/>
            <w:gridSpan w:val="2"/>
            <w:tcMar>
              <w:top w:w="48" w:type="dxa"/>
              <w:left w:w="96" w:type="dxa"/>
              <w:bottom w:w="48" w:type="dxa"/>
              <w:right w:w="96" w:type="dxa"/>
            </w:tcMar>
            <w:vAlign w:val="center"/>
            <w:hideMark/>
          </w:tcPr>
          <w:p w14:paraId="611D4366" w14:textId="16735ACA" w:rsidR="007152B9" w:rsidRPr="00742AE8" w:rsidRDefault="00742AE8"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eastAsia="Times New Roman" w:hAnsi="Times New Roman" w:cs="Times New Roman"/>
                <w:color w:val="222222"/>
                <w:sz w:val="20"/>
                <w:szCs w:val="20"/>
                <w:lang w:eastAsia="ru-RU"/>
              </w:rPr>
              <w:t>Rated voltage, kV</w:t>
            </w:r>
          </w:p>
        </w:tc>
        <w:tc>
          <w:tcPr>
            <w:tcW w:w="567" w:type="dxa"/>
            <w:vMerge w:val="restart"/>
            <w:tcMar>
              <w:top w:w="48" w:type="dxa"/>
              <w:left w:w="96" w:type="dxa"/>
              <w:bottom w:w="48" w:type="dxa"/>
              <w:right w:w="96" w:type="dxa"/>
            </w:tcMar>
            <w:vAlign w:val="center"/>
            <w:hideMark/>
          </w:tcPr>
          <w:p w14:paraId="3AAF897B" w14:textId="75E0EE4A"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proofErr w:type="spellStart"/>
            <w:r w:rsidRPr="00742AE8">
              <w:rPr>
                <w:rFonts w:ascii="Times New Roman" w:eastAsia="Times New Roman" w:hAnsi="Times New Roman" w:cs="Times New Roman"/>
                <w:color w:val="222222"/>
                <w:sz w:val="20"/>
                <w:szCs w:val="20"/>
                <w:lang w:eastAsia="ru-RU"/>
              </w:rPr>
              <w:t>U</w:t>
            </w:r>
            <w:r w:rsidR="00742AE8" w:rsidRPr="00742AE8">
              <w:rPr>
                <w:rFonts w:ascii="Times New Roman" w:eastAsia="Times New Roman" w:hAnsi="Times New Roman" w:cs="Times New Roman"/>
                <w:color w:val="222222"/>
                <w:sz w:val="20"/>
                <w:szCs w:val="20"/>
                <w:vertAlign w:val="subscript"/>
                <w:lang w:eastAsia="ru-RU"/>
              </w:rPr>
              <w:t>k</w:t>
            </w:r>
            <w:proofErr w:type="spellEnd"/>
            <w:r w:rsidRPr="00742AE8">
              <w:rPr>
                <w:rFonts w:ascii="Times New Roman" w:eastAsia="Times New Roman" w:hAnsi="Times New Roman" w:cs="Times New Roman"/>
                <w:color w:val="222222"/>
                <w:sz w:val="20"/>
                <w:szCs w:val="20"/>
                <w:lang w:val="ru-RU" w:eastAsia="ru-RU"/>
              </w:rPr>
              <w:t>, %</w:t>
            </w:r>
          </w:p>
        </w:tc>
        <w:tc>
          <w:tcPr>
            <w:tcW w:w="645" w:type="dxa"/>
            <w:vMerge w:val="restart"/>
            <w:tcMar>
              <w:top w:w="48" w:type="dxa"/>
              <w:left w:w="96" w:type="dxa"/>
              <w:bottom w:w="48" w:type="dxa"/>
              <w:right w:w="96" w:type="dxa"/>
            </w:tcMar>
            <w:vAlign w:val="center"/>
            <w:hideMark/>
          </w:tcPr>
          <w:p w14:paraId="7B39FCF6" w14:textId="428F53A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eastAsia="Times New Roman" w:hAnsi="Times New Roman" w:cs="Times New Roman"/>
                <w:color w:val="222222"/>
                <w:sz w:val="20"/>
                <w:szCs w:val="20"/>
                <w:lang w:val="ru-RU" w:eastAsia="ru-RU"/>
              </w:rPr>
              <w:t>ΔР</w:t>
            </w:r>
            <w:proofErr w:type="spellStart"/>
            <w:r w:rsidR="00742AE8" w:rsidRPr="00742AE8">
              <w:rPr>
                <w:rFonts w:ascii="Times New Roman" w:eastAsia="Times New Roman" w:hAnsi="Times New Roman" w:cs="Times New Roman"/>
                <w:color w:val="222222"/>
                <w:sz w:val="20"/>
                <w:szCs w:val="20"/>
                <w:vertAlign w:val="subscript"/>
                <w:lang w:eastAsia="ru-RU"/>
              </w:rPr>
              <w:t>kt</w:t>
            </w:r>
            <w:proofErr w:type="spellEnd"/>
            <w:r w:rsidRPr="00742AE8">
              <w:rPr>
                <w:rFonts w:ascii="Times New Roman" w:eastAsia="Times New Roman" w:hAnsi="Times New Roman" w:cs="Times New Roman"/>
                <w:color w:val="222222"/>
                <w:sz w:val="20"/>
                <w:szCs w:val="20"/>
                <w:lang w:val="ru-RU" w:eastAsia="ru-RU"/>
              </w:rPr>
              <w:t xml:space="preserve">, </w:t>
            </w:r>
            <w:proofErr w:type="spellStart"/>
            <w:r w:rsidRPr="00742AE8">
              <w:rPr>
                <w:rFonts w:ascii="Times New Roman" w:eastAsia="Times New Roman" w:hAnsi="Times New Roman" w:cs="Times New Roman"/>
                <w:color w:val="222222"/>
                <w:sz w:val="20"/>
                <w:szCs w:val="20"/>
                <w:lang w:eastAsia="ru-RU"/>
              </w:rPr>
              <w:t>к</w:t>
            </w:r>
            <w:r w:rsidR="00742AE8" w:rsidRPr="00742AE8">
              <w:rPr>
                <w:rFonts w:ascii="Times New Roman" w:eastAsia="Times New Roman" w:hAnsi="Times New Roman" w:cs="Times New Roman"/>
                <w:color w:val="222222"/>
                <w:sz w:val="20"/>
                <w:szCs w:val="20"/>
                <w:lang w:eastAsia="ru-RU"/>
              </w:rPr>
              <w:t>W</w:t>
            </w:r>
            <w:proofErr w:type="spellEnd"/>
          </w:p>
        </w:tc>
        <w:tc>
          <w:tcPr>
            <w:tcW w:w="783" w:type="dxa"/>
            <w:vMerge w:val="restart"/>
            <w:tcMar>
              <w:top w:w="48" w:type="dxa"/>
              <w:left w:w="96" w:type="dxa"/>
              <w:bottom w:w="48" w:type="dxa"/>
              <w:right w:w="96" w:type="dxa"/>
            </w:tcMar>
            <w:vAlign w:val="center"/>
            <w:hideMark/>
          </w:tcPr>
          <w:p w14:paraId="7AAA5BEE" w14:textId="1503D7E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eastAsia="ru-RU"/>
              </w:rPr>
            </w:pPr>
            <w:r w:rsidRPr="00742AE8">
              <w:rPr>
                <w:rFonts w:ascii="Times New Roman" w:eastAsia="Times New Roman" w:hAnsi="Times New Roman" w:cs="Times New Roman"/>
                <w:color w:val="222222"/>
                <w:sz w:val="20"/>
                <w:szCs w:val="20"/>
                <w:lang w:val="ru-RU" w:eastAsia="ru-RU"/>
              </w:rPr>
              <w:t>Р</w:t>
            </w:r>
            <w:r w:rsidR="00742AE8" w:rsidRPr="00742AE8">
              <w:rPr>
                <w:rFonts w:ascii="Times New Roman" w:eastAsia="Times New Roman" w:hAnsi="Times New Roman" w:cs="Times New Roman"/>
                <w:color w:val="222222"/>
                <w:sz w:val="20"/>
                <w:szCs w:val="20"/>
                <w:vertAlign w:val="subscript"/>
                <w:lang w:eastAsia="ru-RU"/>
              </w:rPr>
              <w:t>s</w:t>
            </w:r>
            <w:r w:rsidRPr="00742AE8">
              <w:rPr>
                <w:rFonts w:ascii="Times New Roman" w:eastAsia="Times New Roman" w:hAnsi="Times New Roman" w:cs="Times New Roman"/>
                <w:color w:val="222222"/>
                <w:sz w:val="20"/>
                <w:szCs w:val="20"/>
                <w:lang w:val="ru-RU" w:eastAsia="ru-RU"/>
              </w:rPr>
              <w:t xml:space="preserve">, </w:t>
            </w:r>
            <w:proofErr w:type="spellStart"/>
            <w:r w:rsidRPr="00742AE8">
              <w:rPr>
                <w:rFonts w:ascii="Times New Roman" w:eastAsia="Times New Roman" w:hAnsi="Times New Roman" w:cs="Times New Roman"/>
                <w:color w:val="222222"/>
                <w:sz w:val="20"/>
                <w:szCs w:val="20"/>
                <w:lang w:eastAsia="ru-RU"/>
              </w:rPr>
              <w:t>к</w:t>
            </w:r>
            <w:r w:rsidR="00742AE8" w:rsidRPr="00742AE8">
              <w:rPr>
                <w:rFonts w:ascii="Times New Roman" w:eastAsia="Times New Roman" w:hAnsi="Times New Roman" w:cs="Times New Roman"/>
                <w:color w:val="222222"/>
                <w:sz w:val="20"/>
                <w:szCs w:val="20"/>
                <w:lang w:eastAsia="ru-RU"/>
              </w:rPr>
              <w:t>W</w:t>
            </w:r>
            <w:proofErr w:type="spellEnd"/>
          </w:p>
        </w:tc>
        <w:tc>
          <w:tcPr>
            <w:tcW w:w="557" w:type="dxa"/>
            <w:vMerge w:val="restart"/>
            <w:tcMar>
              <w:top w:w="48" w:type="dxa"/>
              <w:left w:w="96" w:type="dxa"/>
              <w:bottom w:w="48" w:type="dxa"/>
              <w:right w:w="96" w:type="dxa"/>
            </w:tcMar>
            <w:vAlign w:val="center"/>
            <w:hideMark/>
          </w:tcPr>
          <w:p w14:paraId="7495AF52" w14:textId="1D7EADFA"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eastAsia="Times New Roman" w:hAnsi="Times New Roman" w:cs="Times New Roman"/>
                <w:color w:val="222222"/>
                <w:sz w:val="20"/>
                <w:szCs w:val="20"/>
                <w:lang w:eastAsia="ru-RU"/>
              </w:rPr>
              <w:t>I</w:t>
            </w:r>
            <w:r w:rsidR="00742AE8" w:rsidRPr="00742AE8">
              <w:rPr>
                <w:rFonts w:ascii="Times New Roman" w:eastAsia="Times New Roman" w:hAnsi="Times New Roman" w:cs="Times New Roman"/>
                <w:color w:val="222222"/>
                <w:sz w:val="20"/>
                <w:szCs w:val="20"/>
                <w:vertAlign w:val="subscript"/>
                <w:lang w:eastAsia="ru-RU"/>
              </w:rPr>
              <w:t>s</w:t>
            </w:r>
            <w:r w:rsidRPr="00742AE8">
              <w:rPr>
                <w:rFonts w:ascii="Times New Roman" w:eastAsia="Times New Roman" w:hAnsi="Times New Roman" w:cs="Times New Roman"/>
                <w:color w:val="222222"/>
                <w:sz w:val="20"/>
                <w:szCs w:val="20"/>
                <w:lang w:val="ru-RU" w:eastAsia="ru-RU"/>
              </w:rPr>
              <w:t>, %</w:t>
            </w:r>
          </w:p>
        </w:tc>
        <w:tc>
          <w:tcPr>
            <w:tcW w:w="567" w:type="dxa"/>
            <w:vMerge w:val="restart"/>
            <w:vAlign w:val="center"/>
            <w:hideMark/>
          </w:tcPr>
          <w:p w14:paraId="6E2DD28F" w14:textId="77777777" w:rsidR="00742AE8"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rPr>
              <w:t>R</w:t>
            </w:r>
            <w:r w:rsidRPr="00742AE8">
              <w:rPr>
                <w:rFonts w:ascii="Times New Roman" w:eastAsia="Times New Roman" w:hAnsi="Times New Roman" w:cs="Times New Roman"/>
                <w:sz w:val="20"/>
                <w:szCs w:val="20"/>
                <w:vertAlign w:val="subscript"/>
              </w:rPr>
              <w:t>Т1</w:t>
            </w:r>
            <w:r w:rsidRPr="00742AE8">
              <w:rPr>
                <w:rFonts w:ascii="Times New Roman" w:eastAsia="Times New Roman" w:hAnsi="Times New Roman" w:cs="Times New Roman"/>
                <w:sz w:val="20"/>
                <w:szCs w:val="20"/>
              </w:rPr>
              <w:t xml:space="preserve">, </w:t>
            </w:r>
          </w:p>
          <w:p w14:paraId="2D73D25A" w14:textId="39E0551B" w:rsidR="007152B9" w:rsidRPr="00742AE8" w:rsidRDefault="00742AE8" w:rsidP="00A15E8E">
            <w:pPr>
              <w:spacing w:after="0" w:line="240" w:lineRule="auto"/>
              <w:jc w:val="center"/>
              <w:rPr>
                <w:rFonts w:ascii="Times New Roman" w:eastAsia="Times New Roman" w:hAnsi="Times New Roman" w:cs="Times New Roman"/>
                <w:sz w:val="20"/>
                <w:szCs w:val="20"/>
              </w:rPr>
            </w:pPr>
            <w:r w:rsidRPr="00742AE8">
              <w:rPr>
                <w:rFonts w:ascii="Times New Roman" w:hAnsi="Times New Roman" w:cs="Times New Roman"/>
              </w:rPr>
              <w:t>Ω</w:t>
            </w:r>
          </w:p>
        </w:tc>
        <w:tc>
          <w:tcPr>
            <w:tcW w:w="567" w:type="dxa"/>
            <w:vMerge w:val="restart"/>
            <w:vAlign w:val="center"/>
            <w:hideMark/>
          </w:tcPr>
          <w:p w14:paraId="447AE642" w14:textId="77777777" w:rsidR="00742AE8"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rPr>
              <w:t>R</w:t>
            </w:r>
            <w:r w:rsidRPr="00742AE8">
              <w:rPr>
                <w:rFonts w:ascii="Times New Roman" w:eastAsia="Times New Roman" w:hAnsi="Times New Roman" w:cs="Times New Roman"/>
                <w:sz w:val="20"/>
                <w:szCs w:val="20"/>
                <w:vertAlign w:val="subscript"/>
              </w:rPr>
              <w:t>Т2</w:t>
            </w:r>
            <w:r w:rsidRPr="00742AE8">
              <w:rPr>
                <w:rFonts w:ascii="Times New Roman" w:eastAsia="Times New Roman" w:hAnsi="Times New Roman" w:cs="Times New Roman"/>
                <w:sz w:val="20"/>
                <w:szCs w:val="20"/>
              </w:rPr>
              <w:t xml:space="preserve">, </w:t>
            </w:r>
          </w:p>
          <w:p w14:paraId="4F59A062" w14:textId="7CEDA90A" w:rsidR="007152B9" w:rsidRPr="00742AE8" w:rsidRDefault="00742AE8" w:rsidP="00A15E8E">
            <w:pPr>
              <w:spacing w:after="0" w:line="240" w:lineRule="auto"/>
              <w:jc w:val="center"/>
              <w:rPr>
                <w:rFonts w:ascii="Times New Roman" w:eastAsia="Times New Roman" w:hAnsi="Times New Roman" w:cs="Times New Roman"/>
                <w:sz w:val="20"/>
                <w:szCs w:val="20"/>
              </w:rPr>
            </w:pPr>
            <w:r w:rsidRPr="00742AE8">
              <w:rPr>
                <w:rFonts w:ascii="Times New Roman" w:hAnsi="Times New Roman" w:cs="Times New Roman"/>
              </w:rPr>
              <w:t>Ω</w:t>
            </w:r>
          </w:p>
        </w:tc>
        <w:tc>
          <w:tcPr>
            <w:tcW w:w="567" w:type="dxa"/>
            <w:vMerge w:val="restart"/>
            <w:vAlign w:val="center"/>
          </w:tcPr>
          <w:p w14:paraId="4CB2A841" w14:textId="77777777" w:rsidR="00742AE8"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rPr>
              <w:t>Х</w:t>
            </w:r>
            <w:r w:rsidRPr="00742AE8">
              <w:rPr>
                <w:rFonts w:ascii="Times New Roman" w:eastAsia="Times New Roman" w:hAnsi="Times New Roman" w:cs="Times New Roman"/>
                <w:sz w:val="20"/>
                <w:szCs w:val="20"/>
                <w:vertAlign w:val="subscript"/>
              </w:rPr>
              <w:t>Т1</w:t>
            </w:r>
            <w:r w:rsidRPr="00742AE8">
              <w:rPr>
                <w:rFonts w:ascii="Times New Roman" w:eastAsia="Times New Roman" w:hAnsi="Times New Roman" w:cs="Times New Roman"/>
                <w:sz w:val="20"/>
                <w:szCs w:val="20"/>
              </w:rPr>
              <w:t>,</w:t>
            </w:r>
          </w:p>
          <w:p w14:paraId="3C6AB9B3" w14:textId="7DDE1AAF" w:rsidR="007152B9"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rPr>
              <w:t xml:space="preserve"> </w:t>
            </w:r>
            <w:r w:rsidR="00742AE8" w:rsidRPr="00742AE8">
              <w:rPr>
                <w:rFonts w:ascii="Times New Roman" w:hAnsi="Times New Roman" w:cs="Times New Roman"/>
              </w:rPr>
              <w:t>Ω</w:t>
            </w:r>
          </w:p>
        </w:tc>
        <w:tc>
          <w:tcPr>
            <w:tcW w:w="567" w:type="dxa"/>
            <w:vMerge w:val="restart"/>
            <w:vAlign w:val="center"/>
          </w:tcPr>
          <w:p w14:paraId="151FBE8E" w14:textId="77777777" w:rsidR="00742AE8"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rPr>
              <w:t>Х</w:t>
            </w:r>
            <w:r w:rsidRPr="00742AE8">
              <w:rPr>
                <w:rFonts w:ascii="Times New Roman" w:eastAsia="Times New Roman" w:hAnsi="Times New Roman" w:cs="Times New Roman"/>
                <w:sz w:val="20"/>
                <w:szCs w:val="20"/>
                <w:vertAlign w:val="subscript"/>
              </w:rPr>
              <w:t>Т2</w:t>
            </w:r>
            <w:r w:rsidRPr="00742AE8">
              <w:rPr>
                <w:rFonts w:ascii="Times New Roman" w:eastAsia="Times New Roman" w:hAnsi="Times New Roman" w:cs="Times New Roman"/>
                <w:sz w:val="20"/>
                <w:szCs w:val="20"/>
              </w:rPr>
              <w:t xml:space="preserve">, </w:t>
            </w:r>
          </w:p>
          <w:p w14:paraId="6562E9A8" w14:textId="1C5F7532" w:rsidR="007152B9" w:rsidRPr="00742AE8" w:rsidRDefault="00742AE8" w:rsidP="00A15E8E">
            <w:pPr>
              <w:spacing w:after="0" w:line="240" w:lineRule="auto"/>
              <w:jc w:val="center"/>
              <w:rPr>
                <w:rFonts w:ascii="Times New Roman" w:eastAsia="Times New Roman" w:hAnsi="Times New Roman" w:cs="Times New Roman"/>
                <w:sz w:val="20"/>
                <w:szCs w:val="20"/>
              </w:rPr>
            </w:pPr>
            <w:r w:rsidRPr="00742AE8">
              <w:rPr>
                <w:rFonts w:ascii="Times New Roman" w:hAnsi="Times New Roman" w:cs="Times New Roman"/>
              </w:rPr>
              <w:t>Ω</w:t>
            </w:r>
          </w:p>
        </w:tc>
        <w:tc>
          <w:tcPr>
            <w:tcW w:w="567" w:type="dxa"/>
            <w:vMerge w:val="restart"/>
          </w:tcPr>
          <w:p w14:paraId="7F5B7B3D" w14:textId="77777777" w:rsidR="0012769E"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lang w:eastAsia="ru-RU"/>
              </w:rPr>
              <w:t>L</w:t>
            </w:r>
            <w:r w:rsidRPr="00742AE8">
              <w:rPr>
                <w:rFonts w:ascii="Times New Roman" w:eastAsia="Times New Roman" w:hAnsi="Times New Roman" w:cs="Times New Roman"/>
                <w:sz w:val="20"/>
                <w:szCs w:val="20"/>
                <w:vertAlign w:val="subscript"/>
                <w:lang w:eastAsia="ru-RU"/>
              </w:rPr>
              <w:t>1</w:t>
            </w:r>
            <w:r w:rsidRPr="00742AE8">
              <w:rPr>
                <w:rFonts w:ascii="Times New Roman" w:eastAsia="Times New Roman" w:hAnsi="Times New Roman" w:cs="Times New Roman"/>
                <w:sz w:val="20"/>
                <w:szCs w:val="20"/>
                <w:lang w:eastAsia="ru-RU"/>
              </w:rPr>
              <w:t>,</w:t>
            </w:r>
            <w:r w:rsidRPr="00742AE8">
              <w:rPr>
                <w:rFonts w:ascii="Times New Roman" w:eastAsia="Times New Roman" w:hAnsi="Times New Roman" w:cs="Times New Roman"/>
                <w:sz w:val="20"/>
                <w:szCs w:val="20"/>
              </w:rPr>
              <w:t xml:space="preserve"> </w:t>
            </w:r>
          </w:p>
          <w:p w14:paraId="1EAAC5DF" w14:textId="19E6BECB" w:rsidR="007152B9" w:rsidRPr="00742AE8" w:rsidRDefault="00742AE8"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hAnsi="Times New Roman" w:cs="Times New Roman"/>
              </w:rPr>
              <w:t>H</w:t>
            </w:r>
          </w:p>
        </w:tc>
        <w:tc>
          <w:tcPr>
            <w:tcW w:w="708" w:type="dxa"/>
            <w:vMerge w:val="restart"/>
          </w:tcPr>
          <w:p w14:paraId="073A9E77" w14:textId="77777777" w:rsidR="0012769E"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lang w:eastAsia="ru-RU"/>
              </w:rPr>
              <w:t>L</w:t>
            </w:r>
            <w:r w:rsidRPr="00742AE8">
              <w:rPr>
                <w:rFonts w:ascii="Times New Roman" w:eastAsia="Times New Roman" w:hAnsi="Times New Roman" w:cs="Times New Roman"/>
                <w:sz w:val="20"/>
                <w:szCs w:val="20"/>
                <w:vertAlign w:val="subscript"/>
                <w:lang w:eastAsia="ru-RU"/>
              </w:rPr>
              <w:t>2</w:t>
            </w:r>
            <w:r w:rsidRPr="00742AE8">
              <w:rPr>
                <w:rFonts w:ascii="Times New Roman" w:eastAsia="Times New Roman" w:hAnsi="Times New Roman" w:cs="Times New Roman"/>
                <w:sz w:val="20"/>
                <w:szCs w:val="20"/>
                <w:lang w:eastAsia="ru-RU"/>
              </w:rPr>
              <w:t>,</w:t>
            </w:r>
            <w:r w:rsidRPr="00742AE8">
              <w:rPr>
                <w:rFonts w:ascii="Times New Roman" w:eastAsia="Times New Roman" w:hAnsi="Times New Roman" w:cs="Times New Roman"/>
                <w:sz w:val="20"/>
                <w:szCs w:val="20"/>
              </w:rPr>
              <w:t xml:space="preserve"> </w:t>
            </w:r>
          </w:p>
          <w:p w14:paraId="1875CECF" w14:textId="769C3B9D" w:rsidR="007152B9" w:rsidRPr="00742AE8" w:rsidRDefault="00742AE8"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hAnsi="Times New Roman" w:cs="Times New Roman"/>
              </w:rPr>
              <w:t>H</w:t>
            </w:r>
          </w:p>
        </w:tc>
        <w:tc>
          <w:tcPr>
            <w:tcW w:w="567" w:type="dxa"/>
            <w:vMerge w:val="restart"/>
            <w:vAlign w:val="center"/>
          </w:tcPr>
          <w:p w14:paraId="1C2D9951" w14:textId="77777777" w:rsidR="00742AE8" w:rsidRPr="00742AE8" w:rsidRDefault="007152B9" w:rsidP="00A15E8E">
            <w:pPr>
              <w:spacing w:after="0" w:line="240" w:lineRule="auto"/>
              <w:jc w:val="center"/>
              <w:rPr>
                <w:rFonts w:ascii="Times New Roman" w:eastAsia="Times New Roman" w:hAnsi="Times New Roman" w:cs="Times New Roman"/>
                <w:sz w:val="20"/>
                <w:szCs w:val="20"/>
              </w:rPr>
            </w:pPr>
            <w:r w:rsidRPr="00742AE8">
              <w:rPr>
                <w:rFonts w:ascii="Times New Roman" w:eastAsia="Times New Roman" w:hAnsi="Times New Roman" w:cs="Times New Roman"/>
                <w:sz w:val="20"/>
                <w:szCs w:val="20"/>
                <w:lang w:eastAsia="ru-RU"/>
              </w:rPr>
              <w:t>R</w:t>
            </w:r>
            <w:r w:rsidRPr="00742AE8">
              <w:rPr>
                <w:rFonts w:ascii="Times New Roman" w:eastAsia="Times New Roman" w:hAnsi="Times New Roman" w:cs="Times New Roman"/>
                <w:sz w:val="20"/>
                <w:szCs w:val="20"/>
                <w:vertAlign w:val="subscript"/>
                <w:lang w:eastAsia="ru-RU"/>
              </w:rPr>
              <w:t>µ</w:t>
            </w:r>
            <w:r w:rsidRPr="00742AE8">
              <w:rPr>
                <w:rFonts w:ascii="Times New Roman" w:eastAsia="Times New Roman" w:hAnsi="Times New Roman" w:cs="Times New Roman"/>
                <w:sz w:val="20"/>
                <w:szCs w:val="20"/>
                <w:lang w:eastAsia="ru-RU"/>
              </w:rPr>
              <w:t>,</w:t>
            </w:r>
            <w:r w:rsidRPr="00742AE8">
              <w:rPr>
                <w:rFonts w:ascii="Times New Roman" w:eastAsia="Times New Roman" w:hAnsi="Times New Roman" w:cs="Times New Roman"/>
                <w:sz w:val="20"/>
                <w:szCs w:val="20"/>
              </w:rPr>
              <w:t xml:space="preserve"> </w:t>
            </w:r>
          </w:p>
          <w:p w14:paraId="7A8BAA05" w14:textId="5F27FD4F" w:rsidR="007152B9" w:rsidRPr="00742AE8" w:rsidRDefault="00742AE8" w:rsidP="00A15E8E">
            <w:pPr>
              <w:spacing w:after="0" w:line="240" w:lineRule="auto"/>
              <w:jc w:val="center"/>
              <w:rPr>
                <w:rFonts w:ascii="Times New Roman" w:eastAsia="Times New Roman" w:hAnsi="Times New Roman" w:cs="Times New Roman"/>
                <w:sz w:val="20"/>
                <w:szCs w:val="20"/>
                <w:lang w:val="ru-RU" w:eastAsia="ru-RU"/>
              </w:rPr>
            </w:pPr>
            <w:r w:rsidRPr="00742AE8">
              <w:rPr>
                <w:rFonts w:ascii="Times New Roman" w:hAnsi="Times New Roman" w:cs="Times New Roman"/>
              </w:rPr>
              <w:t>Ω</w:t>
            </w:r>
          </w:p>
        </w:tc>
        <w:tc>
          <w:tcPr>
            <w:tcW w:w="567" w:type="dxa"/>
            <w:vMerge w:val="restart"/>
          </w:tcPr>
          <w:p w14:paraId="5606C5CD" w14:textId="77777777" w:rsidR="0012769E"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L</w:t>
            </w:r>
            <w:r w:rsidRPr="00742AE8">
              <w:rPr>
                <w:rFonts w:ascii="Times New Roman" w:eastAsia="Times New Roman" w:hAnsi="Times New Roman" w:cs="Times New Roman"/>
                <w:sz w:val="20"/>
                <w:szCs w:val="20"/>
                <w:vertAlign w:val="subscript"/>
                <w:lang w:eastAsia="ru-RU"/>
              </w:rPr>
              <w:t>µ</w:t>
            </w:r>
            <w:r w:rsidRPr="00742AE8">
              <w:rPr>
                <w:rFonts w:ascii="Times New Roman" w:eastAsia="Times New Roman" w:hAnsi="Times New Roman" w:cs="Times New Roman"/>
                <w:sz w:val="20"/>
                <w:szCs w:val="20"/>
                <w:lang w:eastAsia="ru-RU"/>
              </w:rPr>
              <w:t>,</w:t>
            </w:r>
          </w:p>
          <w:p w14:paraId="5B068550" w14:textId="290F531B" w:rsidR="007152B9" w:rsidRPr="00742AE8" w:rsidRDefault="00742AE8" w:rsidP="00A15E8E">
            <w:pPr>
              <w:spacing w:after="0" w:line="240" w:lineRule="auto"/>
              <w:jc w:val="center"/>
              <w:rPr>
                <w:rFonts w:ascii="Times New Roman" w:eastAsia="Times New Roman" w:hAnsi="Times New Roman" w:cs="Times New Roman"/>
                <w:sz w:val="20"/>
                <w:szCs w:val="20"/>
                <w:lang w:val="ru-RU" w:eastAsia="ru-RU"/>
              </w:rPr>
            </w:pPr>
            <w:r w:rsidRPr="00742AE8">
              <w:rPr>
                <w:rFonts w:ascii="Times New Roman" w:hAnsi="Times New Roman" w:cs="Times New Roman"/>
              </w:rPr>
              <w:t>H</w:t>
            </w:r>
          </w:p>
        </w:tc>
      </w:tr>
      <w:tr w:rsidR="007152B9" w:rsidRPr="00742AE8" w14:paraId="4EB38BC8" w14:textId="77777777" w:rsidTr="00A15E8E">
        <w:trPr>
          <w:jc w:val="center"/>
        </w:trPr>
        <w:tc>
          <w:tcPr>
            <w:tcW w:w="997" w:type="dxa"/>
            <w:vMerge/>
            <w:vAlign w:val="center"/>
            <w:hideMark/>
          </w:tcPr>
          <w:p w14:paraId="2AC666DC" w14:textId="77777777" w:rsidR="007152B9" w:rsidRPr="00742AE8" w:rsidRDefault="007152B9" w:rsidP="00A15E8E">
            <w:pPr>
              <w:spacing w:after="0" w:line="240" w:lineRule="auto"/>
              <w:jc w:val="center"/>
              <w:rPr>
                <w:rFonts w:ascii="Times New Roman" w:eastAsia="Times New Roman" w:hAnsi="Times New Roman" w:cs="Times New Roman"/>
                <w:b/>
                <w:bCs/>
                <w:color w:val="222222"/>
                <w:sz w:val="20"/>
                <w:szCs w:val="20"/>
                <w:lang w:val="ru-RU" w:eastAsia="ru-RU"/>
              </w:rPr>
            </w:pPr>
          </w:p>
        </w:tc>
        <w:tc>
          <w:tcPr>
            <w:tcW w:w="567" w:type="dxa"/>
            <w:hideMark/>
          </w:tcPr>
          <w:p w14:paraId="1864E083" w14:textId="32008980" w:rsidR="007152B9" w:rsidRPr="00742AE8" w:rsidRDefault="00E01C63" w:rsidP="00A15E8E">
            <w:pPr>
              <w:spacing w:after="0" w:line="240" w:lineRule="auto"/>
              <w:jc w:val="center"/>
              <w:rPr>
                <w:rFonts w:ascii="Times New Roman" w:eastAsia="Times New Roman" w:hAnsi="Times New Roman" w:cs="Times New Roman"/>
                <w:sz w:val="20"/>
                <w:szCs w:val="20"/>
                <w:lang w:val="ru-RU" w:eastAsia="ru-RU"/>
              </w:rPr>
            </w:pPr>
            <w:r>
              <w:rPr>
                <w:rFonts w:ascii="Times New Roman" w:hAnsi="Times New Roman" w:cs="Times New Roman"/>
                <w:sz w:val="20"/>
                <w:szCs w:val="20"/>
              </w:rPr>
              <w:t>HV</w:t>
            </w:r>
          </w:p>
        </w:tc>
        <w:tc>
          <w:tcPr>
            <w:tcW w:w="567" w:type="dxa"/>
            <w:hideMark/>
          </w:tcPr>
          <w:p w14:paraId="7105CC37" w14:textId="14470A8D" w:rsidR="007152B9" w:rsidRPr="00742AE8" w:rsidRDefault="00E01C63" w:rsidP="00A15E8E">
            <w:pPr>
              <w:spacing w:after="0" w:line="240" w:lineRule="auto"/>
              <w:jc w:val="center"/>
              <w:rPr>
                <w:rFonts w:ascii="Times New Roman" w:eastAsia="Times New Roman" w:hAnsi="Times New Roman" w:cs="Times New Roman"/>
                <w:sz w:val="20"/>
                <w:szCs w:val="20"/>
                <w:lang w:val="ru-RU" w:eastAsia="ru-RU"/>
              </w:rPr>
            </w:pPr>
            <w:r>
              <w:rPr>
                <w:rFonts w:ascii="Times New Roman" w:hAnsi="Times New Roman" w:cs="Times New Roman"/>
                <w:sz w:val="20"/>
                <w:szCs w:val="20"/>
              </w:rPr>
              <w:t>LV</w:t>
            </w:r>
          </w:p>
        </w:tc>
        <w:tc>
          <w:tcPr>
            <w:tcW w:w="567" w:type="dxa"/>
            <w:vMerge/>
            <w:vAlign w:val="center"/>
            <w:hideMark/>
          </w:tcPr>
          <w:p w14:paraId="067856E4"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p>
        </w:tc>
        <w:tc>
          <w:tcPr>
            <w:tcW w:w="645" w:type="dxa"/>
            <w:vMerge/>
            <w:vAlign w:val="center"/>
            <w:hideMark/>
          </w:tcPr>
          <w:p w14:paraId="51AA1483"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p>
        </w:tc>
        <w:tc>
          <w:tcPr>
            <w:tcW w:w="783" w:type="dxa"/>
            <w:vMerge/>
            <w:vAlign w:val="center"/>
            <w:hideMark/>
          </w:tcPr>
          <w:p w14:paraId="04E1BB76"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p>
        </w:tc>
        <w:tc>
          <w:tcPr>
            <w:tcW w:w="557" w:type="dxa"/>
            <w:vMerge/>
            <w:vAlign w:val="center"/>
            <w:hideMark/>
          </w:tcPr>
          <w:p w14:paraId="62E1577C"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p>
        </w:tc>
        <w:tc>
          <w:tcPr>
            <w:tcW w:w="567" w:type="dxa"/>
            <w:vMerge/>
            <w:vAlign w:val="center"/>
            <w:hideMark/>
          </w:tcPr>
          <w:p w14:paraId="79E62408"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567" w:type="dxa"/>
            <w:vMerge/>
            <w:vAlign w:val="center"/>
            <w:hideMark/>
          </w:tcPr>
          <w:p w14:paraId="0D014E01"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567" w:type="dxa"/>
            <w:vMerge/>
          </w:tcPr>
          <w:p w14:paraId="061A4306"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567" w:type="dxa"/>
            <w:vMerge/>
          </w:tcPr>
          <w:p w14:paraId="3889FBAC"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567" w:type="dxa"/>
            <w:vMerge/>
          </w:tcPr>
          <w:p w14:paraId="2088BBB2"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708" w:type="dxa"/>
            <w:vMerge/>
          </w:tcPr>
          <w:p w14:paraId="389556B5"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567" w:type="dxa"/>
            <w:vMerge/>
          </w:tcPr>
          <w:p w14:paraId="542C3CB0"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c>
          <w:tcPr>
            <w:tcW w:w="567" w:type="dxa"/>
            <w:vMerge/>
          </w:tcPr>
          <w:p w14:paraId="40210B19"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val="ru-RU" w:eastAsia="ru-RU"/>
              </w:rPr>
            </w:pPr>
          </w:p>
        </w:tc>
      </w:tr>
      <w:tr w:rsidR="007152B9" w:rsidRPr="00742AE8" w14:paraId="6F16D51C" w14:textId="77777777" w:rsidTr="00A15E8E">
        <w:trPr>
          <w:jc w:val="center"/>
        </w:trPr>
        <w:tc>
          <w:tcPr>
            <w:tcW w:w="997" w:type="dxa"/>
            <w:vAlign w:val="center"/>
          </w:tcPr>
          <w:p w14:paraId="59065F5B"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eastAsia="Times New Roman" w:hAnsi="Times New Roman" w:cs="Times New Roman"/>
                <w:color w:val="222222"/>
                <w:sz w:val="20"/>
                <w:szCs w:val="20"/>
                <w:lang w:eastAsia="ru-RU"/>
              </w:rPr>
              <w:t>630</w:t>
            </w:r>
          </w:p>
        </w:tc>
        <w:tc>
          <w:tcPr>
            <w:tcW w:w="567" w:type="dxa"/>
            <w:vAlign w:val="center"/>
          </w:tcPr>
          <w:p w14:paraId="64850EE2" w14:textId="77777777" w:rsidR="007152B9" w:rsidRPr="00742AE8" w:rsidRDefault="007152B9" w:rsidP="00A15E8E">
            <w:pPr>
              <w:spacing w:after="0" w:line="240" w:lineRule="auto"/>
              <w:jc w:val="center"/>
              <w:rPr>
                <w:rFonts w:ascii="Times New Roman" w:hAnsi="Times New Roman" w:cs="Times New Roman"/>
                <w:sz w:val="20"/>
                <w:szCs w:val="20"/>
              </w:rPr>
            </w:pPr>
            <w:r w:rsidRPr="00742AE8">
              <w:rPr>
                <w:rFonts w:ascii="Times New Roman" w:hAnsi="Times New Roman" w:cs="Times New Roman"/>
                <w:sz w:val="20"/>
                <w:szCs w:val="20"/>
              </w:rPr>
              <w:t>10</w:t>
            </w:r>
          </w:p>
        </w:tc>
        <w:tc>
          <w:tcPr>
            <w:tcW w:w="567" w:type="dxa"/>
            <w:vAlign w:val="center"/>
          </w:tcPr>
          <w:p w14:paraId="5F98D25C" w14:textId="77777777" w:rsidR="007152B9" w:rsidRPr="00742AE8" w:rsidRDefault="007152B9" w:rsidP="00A15E8E">
            <w:pPr>
              <w:spacing w:after="0" w:line="240" w:lineRule="auto"/>
              <w:jc w:val="center"/>
              <w:rPr>
                <w:rFonts w:ascii="Times New Roman" w:hAnsi="Times New Roman" w:cs="Times New Roman"/>
                <w:sz w:val="20"/>
                <w:szCs w:val="20"/>
              </w:rPr>
            </w:pPr>
            <w:r w:rsidRPr="00742AE8">
              <w:rPr>
                <w:rFonts w:ascii="Times New Roman" w:hAnsi="Times New Roman" w:cs="Times New Roman"/>
                <w:sz w:val="20"/>
                <w:szCs w:val="20"/>
              </w:rPr>
              <w:t>0,4</w:t>
            </w:r>
          </w:p>
        </w:tc>
        <w:tc>
          <w:tcPr>
            <w:tcW w:w="567" w:type="dxa"/>
            <w:vAlign w:val="center"/>
          </w:tcPr>
          <w:p w14:paraId="04CB0099"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hAnsi="Times New Roman" w:cs="Times New Roman"/>
                <w:color w:val="222222"/>
                <w:sz w:val="20"/>
                <w:szCs w:val="20"/>
              </w:rPr>
              <w:t>5,50</w:t>
            </w:r>
          </w:p>
        </w:tc>
        <w:tc>
          <w:tcPr>
            <w:tcW w:w="645" w:type="dxa"/>
            <w:vAlign w:val="center"/>
          </w:tcPr>
          <w:p w14:paraId="7AE293A4"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hAnsi="Times New Roman" w:cs="Times New Roman"/>
                <w:color w:val="222222"/>
                <w:sz w:val="20"/>
                <w:szCs w:val="20"/>
              </w:rPr>
              <w:t>7,10</w:t>
            </w:r>
          </w:p>
        </w:tc>
        <w:tc>
          <w:tcPr>
            <w:tcW w:w="783" w:type="dxa"/>
            <w:vAlign w:val="center"/>
          </w:tcPr>
          <w:p w14:paraId="61470545"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hAnsi="Times New Roman" w:cs="Times New Roman"/>
                <w:color w:val="222222"/>
                <w:sz w:val="20"/>
                <w:szCs w:val="20"/>
              </w:rPr>
              <w:t>1,47</w:t>
            </w:r>
          </w:p>
        </w:tc>
        <w:tc>
          <w:tcPr>
            <w:tcW w:w="557" w:type="dxa"/>
            <w:vAlign w:val="center"/>
          </w:tcPr>
          <w:p w14:paraId="7CA20A4B" w14:textId="77777777" w:rsidR="007152B9" w:rsidRPr="00742AE8" w:rsidRDefault="007152B9" w:rsidP="00A15E8E">
            <w:pPr>
              <w:spacing w:after="0" w:line="240" w:lineRule="auto"/>
              <w:jc w:val="center"/>
              <w:rPr>
                <w:rFonts w:ascii="Times New Roman" w:eastAsia="Times New Roman" w:hAnsi="Times New Roman" w:cs="Times New Roman"/>
                <w:color w:val="222222"/>
                <w:sz w:val="20"/>
                <w:szCs w:val="20"/>
                <w:lang w:val="ru-RU" w:eastAsia="ru-RU"/>
              </w:rPr>
            </w:pPr>
            <w:r w:rsidRPr="00742AE8">
              <w:rPr>
                <w:rFonts w:ascii="Times New Roman" w:hAnsi="Times New Roman" w:cs="Times New Roman"/>
                <w:color w:val="222222"/>
                <w:sz w:val="20"/>
                <w:szCs w:val="20"/>
              </w:rPr>
              <w:t>2,00</w:t>
            </w:r>
          </w:p>
        </w:tc>
        <w:tc>
          <w:tcPr>
            <w:tcW w:w="567" w:type="dxa"/>
            <w:vAlign w:val="center"/>
          </w:tcPr>
          <w:p w14:paraId="6F71E477"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1,79</w:t>
            </w:r>
          </w:p>
        </w:tc>
        <w:tc>
          <w:tcPr>
            <w:tcW w:w="567" w:type="dxa"/>
            <w:vAlign w:val="center"/>
          </w:tcPr>
          <w:p w14:paraId="7F56A7EE" w14:textId="5CDF25B5"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0</w:t>
            </w:r>
            <w:r w:rsidR="0012769E" w:rsidRPr="00742AE8">
              <w:rPr>
                <w:rFonts w:ascii="Times New Roman" w:eastAsia="Times New Roman" w:hAnsi="Times New Roman" w:cs="Times New Roman"/>
                <w:sz w:val="20"/>
                <w:szCs w:val="20"/>
                <w:lang w:eastAsia="ru-RU"/>
              </w:rPr>
              <w:t>,</w:t>
            </w:r>
            <w:r w:rsidRPr="00742AE8">
              <w:rPr>
                <w:rFonts w:ascii="Times New Roman" w:eastAsia="Times New Roman" w:hAnsi="Times New Roman" w:cs="Times New Roman"/>
                <w:sz w:val="20"/>
                <w:szCs w:val="20"/>
                <w:lang w:eastAsia="ru-RU"/>
              </w:rPr>
              <w:t>.003</w:t>
            </w:r>
          </w:p>
        </w:tc>
        <w:tc>
          <w:tcPr>
            <w:tcW w:w="567" w:type="dxa"/>
            <w:vAlign w:val="center"/>
          </w:tcPr>
          <w:p w14:paraId="3A755BA8"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8,73</w:t>
            </w:r>
          </w:p>
        </w:tc>
        <w:tc>
          <w:tcPr>
            <w:tcW w:w="567" w:type="dxa"/>
            <w:vAlign w:val="center"/>
          </w:tcPr>
          <w:p w14:paraId="434A2229" w14:textId="2F969330"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0</w:t>
            </w:r>
            <w:r w:rsidR="0012769E" w:rsidRPr="00742AE8">
              <w:rPr>
                <w:rFonts w:ascii="Times New Roman" w:eastAsia="Times New Roman" w:hAnsi="Times New Roman" w:cs="Times New Roman"/>
                <w:sz w:val="20"/>
                <w:szCs w:val="20"/>
                <w:lang w:eastAsia="ru-RU"/>
              </w:rPr>
              <w:t>,</w:t>
            </w:r>
            <w:r w:rsidRPr="00742AE8">
              <w:rPr>
                <w:rFonts w:ascii="Times New Roman" w:eastAsia="Times New Roman" w:hAnsi="Times New Roman" w:cs="Times New Roman"/>
                <w:sz w:val="20"/>
                <w:szCs w:val="20"/>
                <w:lang w:eastAsia="ru-RU"/>
              </w:rPr>
              <w:t>014</w:t>
            </w:r>
          </w:p>
        </w:tc>
        <w:tc>
          <w:tcPr>
            <w:tcW w:w="567" w:type="dxa"/>
            <w:vAlign w:val="center"/>
          </w:tcPr>
          <w:p w14:paraId="0E0D487A"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0,028</w:t>
            </w:r>
          </w:p>
        </w:tc>
        <w:tc>
          <w:tcPr>
            <w:tcW w:w="708" w:type="dxa"/>
            <w:vAlign w:val="center"/>
          </w:tcPr>
          <w:p w14:paraId="2EA23209"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0,00004</w:t>
            </w:r>
          </w:p>
        </w:tc>
        <w:tc>
          <w:tcPr>
            <w:tcW w:w="567" w:type="dxa"/>
            <w:vAlign w:val="center"/>
          </w:tcPr>
          <w:p w14:paraId="1F664236"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68,03</w:t>
            </w:r>
          </w:p>
        </w:tc>
        <w:tc>
          <w:tcPr>
            <w:tcW w:w="567" w:type="dxa"/>
            <w:vAlign w:val="center"/>
          </w:tcPr>
          <w:p w14:paraId="3106DB46" w14:textId="77777777" w:rsidR="007152B9" w:rsidRPr="00742AE8" w:rsidRDefault="007152B9" w:rsidP="00A15E8E">
            <w:pPr>
              <w:spacing w:after="0" w:line="240" w:lineRule="auto"/>
              <w:jc w:val="center"/>
              <w:rPr>
                <w:rFonts w:ascii="Times New Roman" w:eastAsia="Times New Roman" w:hAnsi="Times New Roman" w:cs="Times New Roman"/>
                <w:sz w:val="20"/>
                <w:szCs w:val="20"/>
                <w:lang w:eastAsia="ru-RU"/>
              </w:rPr>
            </w:pPr>
            <w:r w:rsidRPr="00742AE8">
              <w:rPr>
                <w:rFonts w:ascii="Times New Roman" w:eastAsia="Times New Roman" w:hAnsi="Times New Roman" w:cs="Times New Roman"/>
                <w:sz w:val="20"/>
                <w:szCs w:val="20"/>
                <w:lang w:eastAsia="ru-RU"/>
              </w:rPr>
              <w:t>0,025</w:t>
            </w:r>
          </w:p>
        </w:tc>
      </w:tr>
    </w:tbl>
    <w:p w14:paraId="06359105" w14:textId="77777777" w:rsidR="00486BA8" w:rsidRDefault="00486BA8" w:rsidP="00715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p>
    <w:p w14:paraId="12F92F5E" w14:textId="3109D1DF" w:rsidR="007152B9" w:rsidRPr="007152B9" w:rsidRDefault="007152B9" w:rsidP="00715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lang w:val="uz-Cyrl-UZ"/>
        </w:rPr>
      </w:pPr>
      <w:r w:rsidRPr="008745D5">
        <w:rPr>
          <w:rFonts w:ascii="Times New Roman" w:hAnsi="Times New Roman" w:cs="Times New Roman"/>
          <w:b/>
          <w:sz w:val="20"/>
          <w:szCs w:val="20"/>
          <w:lang w:eastAsia="de-DE"/>
        </w:rPr>
        <w:t>TABLE</w:t>
      </w:r>
      <w:r w:rsidRPr="0011781B">
        <w:rPr>
          <w:rFonts w:ascii="Times New Roman" w:hAnsi="Times New Roman" w:cs="Times New Roman"/>
          <w:b/>
          <w:sz w:val="20"/>
          <w:szCs w:val="20"/>
          <w:lang w:eastAsia="de-DE"/>
        </w:rPr>
        <w:t xml:space="preserve"> </w:t>
      </w:r>
      <w:r w:rsidR="00486BA8" w:rsidRPr="0011781B">
        <w:rPr>
          <w:rFonts w:ascii="Times New Roman" w:hAnsi="Times New Roman" w:cs="Times New Roman"/>
          <w:b/>
          <w:sz w:val="20"/>
          <w:szCs w:val="20"/>
          <w:lang w:eastAsia="de-DE"/>
        </w:rPr>
        <w:t>2</w:t>
      </w:r>
      <w:r w:rsidRPr="0011781B">
        <w:rPr>
          <w:rFonts w:ascii="Times New Roman" w:hAnsi="Times New Roman" w:cs="Times New Roman"/>
          <w:b/>
          <w:sz w:val="20"/>
          <w:szCs w:val="20"/>
          <w:lang w:eastAsia="de-DE"/>
        </w:rPr>
        <w:t>.</w:t>
      </w:r>
      <w:r w:rsidRPr="0011781B">
        <w:rPr>
          <w:rFonts w:ascii="Times New Roman" w:hAnsi="Times New Roman" w:cs="Times New Roman"/>
          <w:sz w:val="20"/>
          <w:szCs w:val="20"/>
          <w:lang w:eastAsia="de-DE"/>
        </w:rPr>
        <w:t xml:space="preserve"> </w:t>
      </w:r>
      <w:r w:rsidR="00AA0519" w:rsidRPr="00AA0519">
        <w:rPr>
          <w:rFonts w:ascii="Times New Roman" w:hAnsi="Times New Roman" w:cs="Times New Roman"/>
          <w:sz w:val="20"/>
          <w:lang w:val="uz-Cyrl-UZ"/>
        </w:rPr>
        <w:t>Estimated value of air line parameters of brand A25</w:t>
      </w:r>
    </w:p>
    <w:tbl>
      <w:tblPr>
        <w:tblStyle w:val="a3"/>
        <w:tblW w:w="0" w:type="auto"/>
        <w:tblLook w:val="04A0" w:firstRow="1" w:lastRow="0" w:firstColumn="1" w:lastColumn="0" w:noHBand="0" w:noVBand="1"/>
      </w:tblPr>
      <w:tblGrid>
        <w:gridCol w:w="1130"/>
        <w:gridCol w:w="1153"/>
        <w:gridCol w:w="1421"/>
        <w:gridCol w:w="1000"/>
        <w:gridCol w:w="1383"/>
        <w:gridCol w:w="986"/>
        <w:gridCol w:w="1002"/>
        <w:gridCol w:w="1066"/>
      </w:tblGrid>
      <w:tr w:rsidR="00E01C63" w:rsidRPr="00AA0519" w14:paraId="4C4D5069" w14:textId="77777777" w:rsidTr="006326DD">
        <w:tc>
          <w:tcPr>
            <w:tcW w:w="1130" w:type="dxa"/>
          </w:tcPr>
          <w:p w14:paraId="7D5F1309" w14:textId="77777777" w:rsidR="00E01C63" w:rsidRPr="00AA0519" w:rsidRDefault="00E01C63" w:rsidP="00912B85">
            <w:pPr>
              <w:jc w:val="center"/>
              <w:rPr>
                <w:b/>
                <w:bCs/>
                <w:color w:val="222222"/>
                <w:sz w:val="18"/>
                <w:szCs w:val="18"/>
                <w:lang w:val="en-US"/>
              </w:rPr>
            </w:pPr>
          </w:p>
        </w:tc>
        <w:tc>
          <w:tcPr>
            <w:tcW w:w="4957" w:type="dxa"/>
            <w:gridSpan w:val="4"/>
            <w:vAlign w:val="center"/>
          </w:tcPr>
          <w:p w14:paraId="436A4E69" w14:textId="06498810" w:rsidR="00E01C63" w:rsidRPr="00AA0519" w:rsidRDefault="00E01C63" w:rsidP="00912B85">
            <w:pPr>
              <w:jc w:val="center"/>
              <w:rPr>
                <w:sz w:val="18"/>
                <w:szCs w:val="18"/>
              </w:rPr>
            </w:pPr>
            <w:proofErr w:type="spellStart"/>
            <w:r w:rsidRPr="00AA0519">
              <w:rPr>
                <w:b/>
                <w:bCs/>
                <w:color w:val="222222"/>
                <w:sz w:val="18"/>
                <w:szCs w:val="18"/>
              </w:rPr>
              <w:t>Catalog</w:t>
            </w:r>
            <w:proofErr w:type="spellEnd"/>
            <w:r w:rsidRPr="00AA0519">
              <w:rPr>
                <w:b/>
                <w:bCs/>
                <w:color w:val="222222"/>
                <w:sz w:val="18"/>
                <w:szCs w:val="18"/>
              </w:rPr>
              <w:t xml:space="preserve"> </w:t>
            </w:r>
            <w:proofErr w:type="spellStart"/>
            <w:r w:rsidRPr="00AA0519">
              <w:rPr>
                <w:b/>
                <w:bCs/>
                <w:color w:val="222222"/>
                <w:sz w:val="18"/>
                <w:szCs w:val="18"/>
              </w:rPr>
              <w:t>data</w:t>
            </w:r>
            <w:proofErr w:type="spellEnd"/>
          </w:p>
        </w:tc>
        <w:tc>
          <w:tcPr>
            <w:tcW w:w="3054" w:type="dxa"/>
            <w:gridSpan w:val="3"/>
            <w:vAlign w:val="center"/>
          </w:tcPr>
          <w:p w14:paraId="604EDBA6" w14:textId="5FC995E8" w:rsidR="00E01C63" w:rsidRPr="00AA0519" w:rsidRDefault="00E01C63" w:rsidP="00912B85">
            <w:pPr>
              <w:jc w:val="center"/>
              <w:rPr>
                <w:sz w:val="18"/>
                <w:szCs w:val="18"/>
              </w:rPr>
            </w:pPr>
            <w:proofErr w:type="spellStart"/>
            <w:r w:rsidRPr="00AA0519">
              <w:rPr>
                <w:b/>
                <w:bCs/>
                <w:color w:val="222222"/>
                <w:sz w:val="18"/>
                <w:szCs w:val="18"/>
              </w:rPr>
              <w:t>Calculated</w:t>
            </w:r>
            <w:proofErr w:type="spellEnd"/>
            <w:r w:rsidRPr="00AA0519">
              <w:rPr>
                <w:b/>
                <w:bCs/>
                <w:color w:val="222222"/>
                <w:sz w:val="18"/>
                <w:szCs w:val="18"/>
              </w:rPr>
              <w:t xml:space="preserve"> </w:t>
            </w:r>
            <w:proofErr w:type="spellStart"/>
            <w:r w:rsidRPr="00AA0519">
              <w:rPr>
                <w:b/>
                <w:bCs/>
                <w:color w:val="222222"/>
                <w:sz w:val="18"/>
                <w:szCs w:val="18"/>
              </w:rPr>
              <w:t>data</w:t>
            </w:r>
            <w:proofErr w:type="spellEnd"/>
          </w:p>
        </w:tc>
      </w:tr>
      <w:tr w:rsidR="007152B9" w:rsidRPr="00AA0519" w14:paraId="26E87DDC" w14:textId="77777777" w:rsidTr="00AA0519">
        <w:trPr>
          <w:trHeight w:val="90"/>
        </w:trPr>
        <w:tc>
          <w:tcPr>
            <w:tcW w:w="1130" w:type="dxa"/>
            <w:vAlign w:val="center"/>
          </w:tcPr>
          <w:p w14:paraId="4D12B591" w14:textId="17E75940" w:rsidR="007152B9" w:rsidRPr="00AA0519" w:rsidRDefault="00E01C63" w:rsidP="00912B85">
            <w:pPr>
              <w:jc w:val="center"/>
              <w:rPr>
                <w:rFonts w:eastAsia="Calibri"/>
                <w:sz w:val="18"/>
                <w:szCs w:val="18"/>
              </w:rPr>
            </w:pPr>
            <w:proofErr w:type="spellStart"/>
            <w:r w:rsidRPr="00AA0519">
              <w:rPr>
                <w:sz w:val="18"/>
                <w:szCs w:val="18"/>
              </w:rPr>
              <w:t>Line</w:t>
            </w:r>
            <w:proofErr w:type="spellEnd"/>
            <w:r w:rsidRPr="00AA0519">
              <w:rPr>
                <w:sz w:val="18"/>
                <w:szCs w:val="18"/>
              </w:rPr>
              <w:t xml:space="preserve"> </w:t>
            </w:r>
            <w:proofErr w:type="spellStart"/>
            <w:r w:rsidRPr="00AA0519">
              <w:rPr>
                <w:sz w:val="18"/>
                <w:szCs w:val="18"/>
              </w:rPr>
              <w:t>type</w:t>
            </w:r>
            <w:proofErr w:type="spellEnd"/>
          </w:p>
        </w:tc>
        <w:tc>
          <w:tcPr>
            <w:tcW w:w="1153" w:type="dxa"/>
            <w:vAlign w:val="center"/>
          </w:tcPr>
          <w:p w14:paraId="61CC6B51" w14:textId="4D4D8967" w:rsidR="007152B9" w:rsidRPr="00AA0519" w:rsidRDefault="005C3599" w:rsidP="00912B85">
            <w:pPr>
              <w:jc w:val="center"/>
              <w:rPr>
                <w:rFonts w:eastAsia="Calibri"/>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o</m:t>
                  </m:r>
                </m:sub>
              </m:sSub>
            </m:oMath>
            <w:r w:rsidR="007152B9" w:rsidRPr="00AA0519">
              <w:rPr>
                <w:rFonts w:eastAsia="Calibri"/>
                <w:sz w:val="18"/>
                <w:szCs w:val="18"/>
              </w:rPr>
              <w:t xml:space="preserve">, </w:t>
            </w:r>
            <w:r w:rsidR="00E01C63" w:rsidRPr="00AA0519">
              <w:rPr>
                <w:sz w:val="18"/>
                <w:szCs w:val="18"/>
              </w:rPr>
              <w:t>Ω</w:t>
            </w:r>
            <w:r w:rsidR="00E01C63" w:rsidRPr="00AA0519">
              <w:rPr>
                <w:rFonts w:eastAsia="Calibri"/>
                <w:sz w:val="18"/>
                <w:szCs w:val="18"/>
              </w:rPr>
              <w:t xml:space="preserve"> </w:t>
            </w:r>
            <w:r w:rsidR="007152B9" w:rsidRPr="00AA0519">
              <w:rPr>
                <w:rFonts w:eastAsia="Calibri"/>
                <w:sz w:val="18"/>
                <w:szCs w:val="18"/>
              </w:rPr>
              <w:t>/</w:t>
            </w:r>
            <w:r w:rsidR="00E01C63" w:rsidRPr="00AA0519">
              <w:rPr>
                <w:rFonts w:eastAsia="Calibri"/>
                <w:sz w:val="18"/>
                <w:szCs w:val="18"/>
                <w:lang w:val="en-US"/>
              </w:rPr>
              <w:t>km</w:t>
            </w:r>
            <w:r w:rsidR="007152B9" w:rsidRPr="00AA0519">
              <w:rPr>
                <w:rFonts w:eastAsia="Calibri"/>
                <w:sz w:val="18"/>
                <w:szCs w:val="18"/>
              </w:rPr>
              <w:t>,</w:t>
            </w:r>
          </w:p>
        </w:tc>
        <w:tc>
          <w:tcPr>
            <w:tcW w:w="1421" w:type="dxa"/>
            <w:vAlign w:val="center"/>
          </w:tcPr>
          <w:p w14:paraId="7A3DF4FD" w14:textId="5C5C1949" w:rsidR="007152B9" w:rsidRPr="00AA0519" w:rsidRDefault="005C3599" w:rsidP="00912B85">
            <w:pPr>
              <w:jc w:val="center"/>
              <w:rPr>
                <w:rFonts w:eastAsia="Calibri"/>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o</m:t>
                  </m:r>
                </m:sub>
              </m:sSub>
            </m:oMath>
            <w:r w:rsidR="007152B9" w:rsidRPr="00AA0519">
              <w:rPr>
                <w:rFonts w:eastAsia="Calibri"/>
                <w:sz w:val="18"/>
                <w:szCs w:val="18"/>
              </w:rPr>
              <w:t xml:space="preserve">, </w:t>
            </w:r>
            <w:r w:rsidR="00E01C63" w:rsidRPr="00AA0519">
              <w:rPr>
                <w:sz w:val="18"/>
                <w:szCs w:val="18"/>
              </w:rPr>
              <w:t>Ω</w:t>
            </w:r>
            <w:r w:rsidR="00E01C63" w:rsidRPr="00AA0519">
              <w:rPr>
                <w:rFonts w:eastAsia="Calibri"/>
                <w:sz w:val="18"/>
                <w:szCs w:val="18"/>
              </w:rPr>
              <w:t xml:space="preserve"> </w:t>
            </w:r>
            <w:r w:rsidR="007152B9" w:rsidRPr="00AA0519">
              <w:rPr>
                <w:rFonts w:eastAsia="Calibri"/>
                <w:sz w:val="18"/>
                <w:szCs w:val="18"/>
              </w:rPr>
              <w:t>/</w:t>
            </w:r>
            <w:r w:rsidR="00E01C63" w:rsidRPr="00AA0519">
              <w:rPr>
                <w:rFonts w:eastAsia="Calibri"/>
                <w:sz w:val="18"/>
                <w:szCs w:val="18"/>
                <w:lang w:val="en-US"/>
              </w:rPr>
              <w:t>km</w:t>
            </w:r>
            <w:r w:rsidR="007152B9" w:rsidRPr="00AA0519">
              <w:rPr>
                <w:rFonts w:eastAsia="Calibri"/>
                <w:sz w:val="18"/>
                <w:szCs w:val="18"/>
              </w:rPr>
              <w:t>,</w:t>
            </w:r>
          </w:p>
        </w:tc>
        <w:tc>
          <w:tcPr>
            <w:tcW w:w="1000" w:type="dxa"/>
            <w:vAlign w:val="center"/>
          </w:tcPr>
          <w:p w14:paraId="35EC83B3" w14:textId="615CE164" w:rsidR="007152B9" w:rsidRPr="00AA0519" w:rsidRDefault="007152B9" w:rsidP="00912B85">
            <w:pPr>
              <w:jc w:val="center"/>
              <w:rPr>
                <w:sz w:val="18"/>
                <w:szCs w:val="18"/>
              </w:rPr>
            </w:pPr>
            <w:r w:rsidRPr="00AA0519">
              <w:rPr>
                <w:sz w:val="18"/>
                <w:szCs w:val="18"/>
              </w:rPr>
              <w:t>I</w:t>
            </w:r>
            <w:r w:rsidR="00E01C63" w:rsidRPr="00AA0519">
              <w:rPr>
                <w:sz w:val="18"/>
                <w:szCs w:val="18"/>
                <w:vertAlign w:val="subscript"/>
                <w:lang w:val="en-US"/>
              </w:rPr>
              <w:t>p</w:t>
            </w:r>
            <w:r w:rsidRPr="00AA0519">
              <w:rPr>
                <w:sz w:val="18"/>
                <w:szCs w:val="18"/>
              </w:rPr>
              <w:t>, А</w:t>
            </w:r>
          </w:p>
        </w:tc>
        <w:tc>
          <w:tcPr>
            <w:tcW w:w="1383" w:type="dxa"/>
            <w:vAlign w:val="center"/>
          </w:tcPr>
          <w:p w14:paraId="4D85322F" w14:textId="13443041" w:rsidR="007152B9" w:rsidRPr="00AA0519" w:rsidRDefault="00E01C63" w:rsidP="00912B85">
            <w:pPr>
              <w:jc w:val="center"/>
              <w:rPr>
                <w:sz w:val="18"/>
                <w:szCs w:val="18"/>
                <w:lang w:val="en-US"/>
              </w:rPr>
            </w:pPr>
            <w:r w:rsidRPr="00AA0519">
              <w:rPr>
                <w:sz w:val="18"/>
                <w:szCs w:val="18"/>
                <w:lang w:val="en-US"/>
              </w:rPr>
              <w:t>length of the line section</w:t>
            </w:r>
            <w:r w:rsidR="0012769E" w:rsidRPr="00AA0519">
              <w:rPr>
                <w:sz w:val="18"/>
                <w:szCs w:val="18"/>
                <w:lang w:val="en-US"/>
              </w:rPr>
              <w:t xml:space="preserve">, </w:t>
            </w:r>
            <w:r w:rsidRPr="00AA0519">
              <w:rPr>
                <w:sz w:val="18"/>
                <w:szCs w:val="18"/>
                <w:lang w:val="en-US"/>
              </w:rPr>
              <w:t>m</w:t>
            </w:r>
          </w:p>
        </w:tc>
        <w:tc>
          <w:tcPr>
            <w:tcW w:w="986" w:type="dxa"/>
            <w:vAlign w:val="center"/>
          </w:tcPr>
          <w:p w14:paraId="09E30BD8" w14:textId="2D3F1726" w:rsidR="007152B9" w:rsidRPr="00AA0519" w:rsidRDefault="007152B9" w:rsidP="00912B85">
            <w:pPr>
              <w:jc w:val="center"/>
              <w:rPr>
                <w:sz w:val="18"/>
                <w:szCs w:val="18"/>
              </w:rPr>
            </w:pPr>
            <w:r w:rsidRPr="00AA0519">
              <w:rPr>
                <w:sz w:val="18"/>
                <w:szCs w:val="18"/>
              </w:rPr>
              <w:t xml:space="preserve">R, </w:t>
            </w:r>
            <w:r w:rsidR="00E01C63" w:rsidRPr="00AA0519">
              <w:rPr>
                <w:sz w:val="18"/>
                <w:szCs w:val="18"/>
              </w:rPr>
              <w:t>Ω</w:t>
            </w:r>
          </w:p>
        </w:tc>
        <w:tc>
          <w:tcPr>
            <w:tcW w:w="1002" w:type="dxa"/>
            <w:vAlign w:val="center"/>
          </w:tcPr>
          <w:p w14:paraId="664A1DFB" w14:textId="7001C37C" w:rsidR="007152B9" w:rsidRPr="00AA0519" w:rsidRDefault="007152B9" w:rsidP="00912B85">
            <w:pPr>
              <w:jc w:val="center"/>
              <w:rPr>
                <w:sz w:val="18"/>
                <w:szCs w:val="18"/>
              </w:rPr>
            </w:pPr>
            <w:r w:rsidRPr="00AA0519">
              <w:rPr>
                <w:sz w:val="18"/>
                <w:szCs w:val="18"/>
              </w:rPr>
              <w:t xml:space="preserve">Х, </w:t>
            </w:r>
            <w:r w:rsidR="00E01C63" w:rsidRPr="00AA0519">
              <w:rPr>
                <w:sz w:val="18"/>
                <w:szCs w:val="18"/>
              </w:rPr>
              <w:t>Ω</w:t>
            </w:r>
          </w:p>
        </w:tc>
        <w:tc>
          <w:tcPr>
            <w:tcW w:w="1066" w:type="dxa"/>
            <w:vAlign w:val="center"/>
          </w:tcPr>
          <w:p w14:paraId="446D0F15" w14:textId="5E7FE22B" w:rsidR="007152B9" w:rsidRPr="00AA0519" w:rsidRDefault="007152B9" w:rsidP="00912B85">
            <w:pPr>
              <w:jc w:val="center"/>
              <w:rPr>
                <w:sz w:val="18"/>
                <w:szCs w:val="18"/>
                <w:lang w:val="en-US"/>
              </w:rPr>
            </w:pPr>
            <w:r w:rsidRPr="00AA0519">
              <w:rPr>
                <w:sz w:val="18"/>
                <w:szCs w:val="18"/>
              </w:rPr>
              <w:t xml:space="preserve">L, </w:t>
            </w:r>
            <w:r w:rsidR="00E01C63" w:rsidRPr="00AA0519">
              <w:rPr>
                <w:sz w:val="18"/>
                <w:szCs w:val="18"/>
                <w:lang w:val="en-US"/>
              </w:rPr>
              <w:t>H</w:t>
            </w:r>
          </w:p>
        </w:tc>
      </w:tr>
      <w:tr w:rsidR="007152B9" w:rsidRPr="00AA0519" w14:paraId="793EF888" w14:textId="77777777" w:rsidTr="006326DD">
        <w:tc>
          <w:tcPr>
            <w:tcW w:w="1130" w:type="dxa"/>
            <w:vAlign w:val="center"/>
          </w:tcPr>
          <w:p w14:paraId="4031239C" w14:textId="1A1755CD" w:rsidR="007152B9" w:rsidRPr="00AA0519" w:rsidRDefault="007152B9" w:rsidP="00912B85">
            <w:pPr>
              <w:jc w:val="center"/>
              <w:rPr>
                <w:color w:val="222222"/>
                <w:sz w:val="18"/>
                <w:szCs w:val="18"/>
                <w:lang w:val="en-US"/>
              </w:rPr>
            </w:pPr>
            <w:r w:rsidRPr="00AA0519">
              <w:rPr>
                <w:color w:val="222222"/>
                <w:sz w:val="18"/>
                <w:szCs w:val="18"/>
              </w:rPr>
              <w:t xml:space="preserve">А </w:t>
            </w:r>
            <w:r w:rsidR="005F14D0" w:rsidRPr="00AA0519">
              <w:rPr>
                <w:color w:val="222222"/>
                <w:sz w:val="18"/>
                <w:szCs w:val="18"/>
              </w:rPr>
              <w:t>25</w:t>
            </w:r>
          </w:p>
        </w:tc>
        <w:tc>
          <w:tcPr>
            <w:tcW w:w="1153" w:type="dxa"/>
            <w:vAlign w:val="center"/>
          </w:tcPr>
          <w:p w14:paraId="382FE479" w14:textId="77777777" w:rsidR="007152B9" w:rsidRPr="00AA0519" w:rsidRDefault="007152B9" w:rsidP="00912B85">
            <w:pPr>
              <w:jc w:val="center"/>
              <w:rPr>
                <w:sz w:val="18"/>
                <w:szCs w:val="18"/>
              </w:rPr>
            </w:pPr>
            <w:r w:rsidRPr="00AA0519">
              <w:rPr>
                <w:color w:val="222222"/>
                <w:sz w:val="18"/>
                <w:szCs w:val="18"/>
                <w:shd w:val="clear" w:color="auto" w:fill="F8F9FA"/>
              </w:rPr>
              <w:t>1,28</w:t>
            </w:r>
          </w:p>
        </w:tc>
        <w:tc>
          <w:tcPr>
            <w:tcW w:w="1421" w:type="dxa"/>
            <w:vAlign w:val="center"/>
          </w:tcPr>
          <w:p w14:paraId="205CD6C4" w14:textId="77777777" w:rsidR="007152B9" w:rsidRPr="00AA0519" w:rsidRDefault="007152B9" w:rsidP="00912B85">
            <w:pPr>
              <w:jc w:val="center"/>
              <w:rPr>
                <w:sz w:val="18"/>
                <w:szCs w:val="18"/>
              </w:rPr>
            </w:pPr>
            <w:r w:rsidRPr="00AA0519">
              <w:rPr>
                <w:color w:val="222222"/>
                <w:sz w:val="18"/>
                <w:szCs w:val="18"/>
                <w:shd w:val="clear" w:color="auto" w:fill="F8F9FA"/>
              </w:rPr>
              <w:t>0,363</w:t>
            </w:r>
          </w:p>
        </w:tc>
        <w:tc>
          <w:tcPr>
            <w:tcW w:w="1000" w:type="dxa"/>
          </w:tcPr>
          <w:p w14:paraId="24A7EAC2" w14:textId="77777777" w:rsidR="007152B9" w:rsidRPr="00AA0519" w:rsidRDefault="007152B9" w:rsidP="00912B85">
            <w:pPr>
              <w:jc w:val="center"/>
              <w:rPr>
                <w:sz w:val="18"/>
                <w:szCs w:val="18"/>
              </w:rPr>
            </w:pPr>
            <w:r w:rsidRPr="00AA0519">
              <w:rPr>
                <w:sz w:val="18"/>
                <w:szCs w:val="18"/>
              </w:rPr>
              <w:t>135</w:t>
            </w:r>
          </w:p>
        </w:tc>
        <w:tc>
          <w:tcPr>
            <w:tcW w:w="1383" w:type="dxa"/>
            <w:vAlign w:val="center"/>
          </w:tcPr>
          <w:p w14:paraId="58E5C7E0" w14:textId="014D2CF8" w:rsidR="007152B9" w:rsidRPr="00AA0519" w:rsidRDefault="007152B9" w:rsidP="00912B85">
            <w:pPr>
              <w:jc w:val="center"/>
              <w:rPr>
                <w:sz w:val="18"/>
                <w:szCs w:val="18"/>
              </w:rPr>
            </w:pPr>
            <w:r w:rsidRPr="00AA0519">
              <w:rPr>
                <w:sz w:val="18"/>
                <w:szCs w:val="18"/>
              </w:rPr>
              <w:t xml:space="preserve">30 </w:t>
            </w:r>
          </w:p>
        </w:tc>
        <w:tc>
          <w:tcPr>
            <w:tcW w:w="986" w:type="dxa"/>
            <w:vAlign w:val="center"/>
          </w:tcPr>
          <w:p w14:paraId="0231CD72" w14:textId="77777777" w:rsidR="007152B9" w:rsidRPr="00AA0519" w:rsidRDefault="007152B9" w:rsidP="00912B85">
            <w:pPr>
              <w:jc w:val="center"/>
              <w:rPr>
                <w:sz w:val="18"/>
                <w:szCs w:val="18"/>
              </w:rPr>
            </w:pPr>
            <w:r w:rsidRPr="00AA0519">
              <w:rPr>
                <w:sz w:val="18"/>
                <w:szCs w:val="18"/>
              </w:rPr>
              <w:t>0,0384</w:t>
            </w:r>
          </w:p>
        </w:tc>
        <w:tc>
          <w:tcPr>
            <w:tcW w:w="1002" w:type="dxa"/>
            <w:vAlign w:val="center"/>
          </w:tcPr>
          <w:p w14:paraId="4BA34590" w14:textId="77777777" w:rsidR="007152B9" w:rsidRPr="00AA0519" w:rsidRDefault="007152B9" w:rsidP="00912B85">
            <w:pPr>
              <w:jc w:val="center"/>
              <w:rPr>
                <w:sz w:val="18"/>
                <w:szCs w:val="18"/>
              </w:rPr>
            </w:pPr>
            <w:r w:rsidRPr="00AA0519">
              <w:rPr>
                <w:sz w:val="18"/>
                <w:szCs w:val="18"/>
              </w:rPr>
              <w:t>0,01</w:t>
            </w:r>
          </w:p>
        </w:tc>
        <w:tc>
          <w:tcPr>
            <w:tcW w:w="1066" w:type="dxa"/>
            <w:vAlign w:val="center"/>
          </w:tcPr>
          <w:p w14:paraId="51B0732A" w14:textId="77777777" w:rsidR="007152B9" w:rsidRPr="00AA0519" w:rsidRDefault="007152B9" w:rsidP="00912B85">
            <w:pPr>
              <w:jc w:val="center"/>
              <w:rPr>
                <w:sz w:val="18"/>
                <w:szCs w:val="18"/>
              </w:rPr>
            </w:pPr>
            <w:r w:rsidRPr="00AA0519">
              <w:rPr>
                <w:sz w:val="18"/>
                <w:szCs w:val="18"/>
              </w:rPr>
              <w:t>0,0000347</w:t>
            </w:r>
          </w:p>
        </w:tc>
      </w:tr>
    </w:tbl>
    <w:p w14:paraId="6B37C7BD" w14:textId="77777777" w:rsidR="007152B9" w:rsidRPr="007152B9" w:rsidRDefault="007152B9" w:rsidP="007152B9">
      <w:pPr>
        <w:spacing w:after="0" w:line="240" w:lineRule="auto"/>
        <w:ind w:firstLine="283"/>
        <w:jc w:val="both"/>
        <w:rPr>
          <w:rFonts w:ascii="Times New Roman" w:hAnsi="Times New Roman" w:cs="Times New Roman"/>
          <w:sz w:val="20"/>
          <w:lang w:val="uz-Cyrl-UZ"/>
        </w:rPr>
      </w:pPr>
    </w:p>
    <w:p w14:paraId="61B277BD" w14:textId="65C6225D" w:rsidR="00E01C63" w:rsidRPr="00E01C63" w:rsidRDefault="00E01C63" w:rsidP="007C2176">
      <w:pPr>
        <w:spacing w:after="0" w:line="240" w:lineRule="auto"/>
        <w:ind w:firstLine="284"/>
        <w:jc w:val="both"/>
        <w:rPr>
          <w:rFonts w:ascii="Times New Roman" w:hAnsi="Times New Roman" w:cs="Times New Roman"/>
          <w:sz w:val="20"/>
        </w:rPr>
      </w:pPr>
      <w:r w:rsidRPr="00E01C63">
        <w:rPr>
          <w:rFonts w:ascii="Times New Roman" w:hAnsi="Times New Roman" w:cs="Times New Roman"/>
          <w:sz w:val="20"/>
          <w:lang w:val="uz-Cyrl-UZ"/>
        </w:rPr>
        <w:t>A study based on a rural electric distribution network is considered, and its simulation model developed in MATLAB SimPowerSystems is presented in Figure 2. The simulation modeling of the electrical distribution network was carried out for an overhead power transmission line (OHL) with a total length of 2</w:t>
      </w:r>
      <w:r>
        <w:rPr>
          <w:rFonts w:ascii="Times New Roman" w:hAnsi="Times New Roman" w:cs="Times New Roman"/>
          <w:sz w:val="20"/>
        </w:rPr>
        <w:t>,</w:t>
      </w:r>
      <w:r w:rsidRPr="00E01C63">
        <w:rPr>
          <w:rFonts w:ascii="Times New Roman" w:hAnsi="Times New Roman" w:cs="Times New Roman"/>
          <w:sz w:val="20"/>
          <w:lang w:val="uz-Cyrl-UZ"/>
        </w:rPr>
        <w:t>2 km and an A-25 conductor type</w:t>
      </w:r>
      <w:r>
        <w:rPr>
          <w:rFonts w:ascii="Times New Roman" w:hAnsi="Times New Roman" w:cs="Times New Roman"/>
          <w:sz w:val="20"/>
        </w:rPr>
        <w:t>.</w:t>
      </w:r>
    </w:p>
    <w:p w14:paraId="104C8A87" w14:textId="77777777" w:rsidR="00FA0066" w:rsidRDefault="00FA0066" w:rsidP="003D5C5D">
      <w:pPr>
        <w:spacing w:after="0" w:line="240" w:lineRule="auto"/>
        <w:ind w:firstLine="283"/>
        <w:jc w:val="center"/>
        <w:rPr>
          <w:rFonts w:ascii="Times New Roman" w:hAnsi="Times New Roman" w:cs="Times New Roman"/>
          <w:sz w:val="20"/>
          <w:lang w:val="uz-Cyrl-UZ"/>
        </w:rPr>
      </w:pPr>
      <w:r w:rsidRPr="00137EF7">
        <w:rPr>
          <w:rFonts w:ascii="Times New Roman" w:hAnsi="Times New Roman" w:cs="Times New Roman"/>
          <w:noProof/>
          <w:lang w:val="ru-RU" w:eastAsia="ru-RU"/>
        </w:rPr>
        <w:lastRenderedPageBreak/>
        <w:drawing>
          <wp:inline distT="0" distB="0" distL="0" distR="0" wp14:anchorId="1FA47620" wp14:editId="5FE97A73">
            <wp:extent cx="4942645" cy="27527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59" t="15863" r="1509" b="9688"/>
                    <a:stretch/>
                  </pic:blipFill>
                  <pic:spPr bwMode="auto">
                    <a:xfrm>
                      <a:off x="0" y="0"/>
                      <a:ext cx="4987710" cy="2777823"/>
                    </a:xfrm>
                    <a:prstGeom prst="rect">
                      <a:avLst/>
                    </a:prstGeom>
                    <a:ln>
                      <a:noFill/>
                    </a:ln>
                    <a:extLst>
                      <a:ext uri="{53640926-AAD7-44D8-BBD7-CCE9431645EC}">
                        <a14:shadowObscured xmlns:a14="http://schemas.microsoft.com/office/drawing/2010/main"/>
                      </a:ext>
                    </a:extLst>
                  </pic:spPr>
                </pic:pic>
              </a:graphicData>
            </a:graphic>
          </wp:inline>
        </w:drawing>
      </w:r>
    </w:p>
    <w:p w14:paraId="636B1F81" w14:textId="76C0F5A3" w:rsidR="00FA0066" w:rsidRPr="001970E3" w:rsidRDefault="00FA0066" w:rsidP="00FA0066">
      <w:pPr>
        <w:widowControl w:val="0"/>
        <w:spacing w:before="120" w:after="0" w:line="240" w:lineRule="auto"/>
        <w:ind w:left="40" w:right="40" w:hanging="40"/>
        <w:jc w:val="center"/>
        <w:rPr>
          <w:rFonts w:ascii="Times New Roman" w:hAnsi="Times New Roman"/>
          <w:sz w:val="18"/>
          <w:szCs w:val="18"/>
          <w:lang w:val="uz-Cyrl-UZ"/>
        </w:rPr>
      </w:pPr>
      <w:r w:rsidRPr="00287E0A">
        <w:rPr>
          <w:rFonts w:ascii="Times New Roman" w:hAnsi="Times New Roman"/>
          <w:b/>
          <w:sz w:val="18"/>
          <w:szCs w:val="18"/>
        </w:rPr>
        <w:t xml:space="preserve">FIGURE </w:t>
      </w:r>
      <w:r w:rsidRPr="006326DD">
        <w:rPr>
          <w:rFonts w:ascii="Times New Roman" w:hAnsi="Times New Roman"/>
          <w:b/>
          <w:sz w:val="18"/>
          <w:szCs w:val="18"/>
        </w:rPr>
        <w:t>2</w:t>
      </w:r>
      <w:r w:rsidRPr="00287E0A">
        <w:rPr>
          <w:rFonts w:ascii="Times New Roman" w:hAnsi="Times New Roman"/>
          <w:b/>
          <w:sz w:val="18"/>
          <w:szCs w:val="18"/>
        </w:rPr>
        <w:t>.</w:t>
      </w:r>
      <w:r w:rsidRPr="00287E0A">
        <w:rPr>
          <w:rFonts w:ascii="Times New Roman" w:hAnsi="Times New Roman"/>
          <w:sz w:val="18"/>
          <w:szCs w:val="18"/>
        </w:rPr>
        <w:t xml:space="preserve"> </w:t>
      </w:r>
      <w:r w:rsidR="00E01C63" w:rsidRPr="00E01C63">
        <w:rPr>
          <w:rFonts w:ascii="Times New Roman" w:hAnsi="Times New Roman"/>
          <w:sz w:val="18"/>
          <w:szCs w:val="18"/>
        </w:rPr>
        <w:t>Simulation model of a low-voltage electrical distribution network with a TM-630/10 kV transformer</w:t>
      </w:r>
    </w:p>
    <w:p w14:paraId="05B451AF" w14:textId="5F75166B" w:rsidR="006326DD" w:rsidRPr="006326DD" w:rsidRDefault="006326DD" w:rsidP="007C2176">
      <w:pPr>
        <w:spacing w:after="0" w:line="240" w:lineRule="auto"/>
        <w:ind w:firstLine="284"/>
        <w:jc w:val="both"/>
        <w:rPr>
          <w:rFonts w:ascii="Times New Roman" w:hAnsi="Times New Roman" w:cs="Times New Roman"/>
          <w:sz w:val="20"/>
          <w:lang w:val="uz-Cyrl-UZ"/>
        </w:rPr>
      </w:pPr>
      <w:r w:rsidRPr="006326DD">
        <w:rPr>
          <w:rFonts w:ascii="Times New Roman" w:hAnsi="Times New Roman" w:cs="Times New Roman"/>
          <w:sz w:val="20"/>
          <w:lang w:val="uz-Cyrl-UZ"/>
        </w:rPr>
        <w:t xml:space="preserve"> </w:t>
      </w:r>
    </w:p>
    <w:p w14:paraId="237C95BF" w14:textId="79D9A703" w:rsidR="000764FF" w:rsidRDefault="007734A3" w:rsidP="000764FF">
      <w:pPr>
        <w:spacing w:after="0" w:line="240" w:lineRule="auto"/>
        <w:ind w:firstLine="283"/>
        <w:jc w:val="both"/>
        <w:rPr>
          <w:rFonts w:ascii="Times New Roman" w:hAnsi="Times New Roman" w:cs="Times New Roman"/>
          <w:sz w:val="20"/>
          <w:lang w:val="uz-Cyrl-UZ"/>
        </w:rPr>
      </w:pPr>
      <w:r w:rsidRPr="007734A3">
        <w:rPr>
          <w:rFonts w:ascii="Times New Roman" w:hAnsi="Times New Roman" w:cs="Times New Roman"/>
          <w:sz w:val="20"/>
          <w:lang w:val="uz-Cyrl-UZ"/>
        </w:rPr>
        <w:t>Figure 2 shows a simulation model of the electrical networks supplied from the transformer substation. A distinctive feature of these networks is the presence of various types of single-phase residential loads distributed along long line sections. This operating condition leads to load unbalance and voltage deviation, which consequently results in additional power losses</w:t>
      </w:r>
      <w:r w:rsidR="000764FF" w:rsidRPr="000F0725">
        <w:rPr>
          <w:rFonts w:ascii="Times New Roman" w:hAnsi="Times New Roman" w:cs="Times New Roman"/>
          <w:sz w:val="20"/>
          <w:lang w:val="uz-Cyrl-UZ"/>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B40EB75" w14:textId="617317F0" w:rsidR="007152B9" w:rsidRDefault="007734A3" w:rsidP="00E01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7734A3">
        <w:rPr>
          <w:rFonts w:ascii="Times New Roman" w:hAnsi="Times New Roman" w:cs="Times New Roman"/>
          <w:sz w:val="20"/>
        </w:rPr>
        <w:t xml:space="preserve">Based on the voltage values measured at the poles of Feeder 1 of Substation No. 443 obtained using the </w:t>
      </w:r>
      <w:proofErr w:type="spellStart"/>
      <w:r w:rsidRPr="007734A3">
        <w:rPr>
          <w:rFonts w:ascii="Times New Roman" w:hAnsi="Times New Roman" w:cs="Times New Roman"/>
          <w:sz w:val="20"/>
        </w:rPr>
        <w:t>Powergui</w:t>
      </w:r>
      <w:proofErr w:type="spellEnd"/>
      <w:r w:rsidRPr="007734A3">
        <w:rPr>
          <w:rFonts w:ascii="Times New Roman" w:hAnsi="Times New Roman" w:cs="Times New Roman"/>
          <w:sz w:val="20"/>
        </w:rPr>
        <w:t xml:space="preserve"> block (Figure 3), the voltage unbalance factors were determined, and the corresponding calculation results are presented in Figure 4</w:t>
      </w:r>
      <w:r w:rsidR="00E01C63" w:rsidRPr="00E01C63">
        <w:rPr>
          <w:rFonts w:ascii="Times New Roman" w:hAnsi="Times New Roman" w:cs="Times New Roman"/>
          <w:sz w:val="20"/>
          <w:lang w:val="uz-Cyrl-UZ"/>
        </w:rPr>
        <w:t>.</w:t>
      </w:r>
    </w:p>
    <w:p w14:paraId="09D5CCDC" w14:textId="044DE9AB" w:rsidR="00225E04" w:rsidRPr="00500A19" w:rsidRDefault="005F597C" w:rsidP="005F597C">
      <w:pPr>
        <w:overflowPunct w:val="0"/>
        <w:autoSpaceDE w:val="0"/>
        <w:autoSpaceDN w:val="0"/>
        <w:adjustRightInd w:val="0"/>
        <w:spacing w:after="0"/>
        <w:jc w:val="center"/>
        <w:textAlignment w:val="baseline"/>
        <w:rPr>
          <w:b/>
          <w:sz w:val="18"/>
          <w:szCs w:val="18"/>
          <w:lang w:val="uz-Cyrl-UZ" w:eastAsia="de-DE"/>
        </w:rPr>
      </w:pPr>
      <w:r>
        <w:rPr>
          <w:noProof/>
          <w:lang w:val="ru-RU" w:eastAsia="ru-RU"/>
        </w:rPr>
        <w:drawing>
          <wp:inline distT="0" distB="0" distL="0" distR="0" wp14:anchorId="3C09F227" wp14:editId="05B26F42">
            <wp:extent cx="4227586" cy="3214048"/>
            <wp:effectExtent l="0" t="0" r="1905" b="5715"/>
            <wp:docPr id="307296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6185" name=""/>
                    <pic:cNvPicPr/>
                  </pic:nvPicPr>
                  <pic:blipFill>
                    <a:blip r:embed="rId8"/>
                    <a:stretch>
                      <a:fillRect/>
                    </a:stretch>
                  </pic:blipFill>
                  <pic:spPr>
                    <a:xfrm>
                      <a:off x="0" y="0"/>
                      <a:ext cx="4259697" cy="3238460"/>
                    </a:xfrm>
                    <a:prstGeom prst="rect">
                      <a:avLst/>
                    </a:prstGeom>
                  </pic:spPr>
                </pic:pic>
              </a:graphicData>
            </a:graphic>
          </wp:inline>
        </w:drawing>
      </w:r>
    </w:p>
    <w:p w14:paraId="4F0B5A21" w14:textId="5A017E83" w:rsidR="00627698" w:rsidRPr="008745D5" w:rsidRDefault="00627698" w:rsidP="005F597C">
      <w:pPr>
        <w:spacing w:after="0" w:line="240" w:lineRule="auto"/>
        <w:ind w:firstLine="284"/>
        <w:jc w:val="center"/>
        <w:rPr>
          <w:rFonts w:ascii="Times New Roman" w:hAnsi="Times New Roman" w:cs="Times New Roman"/>
          <w:iCs/>
          <w:color w:val="000000"/>
          <w:sz w:val="20"/>
          <w:szCs w:val="20"/>
        </w:rPr>
      </w:pPr>
      <w:r w:rsidRPr="008745D5">
        <w:rPr>
          <w:rFonts w:ascii="Times New Roman" w:hAnsi="Times New Roman" w:cs="Times New Roman"/>
          <w:b/>
          <w:sz w:val="20"/>
          <w:szCs w:val="20"/>
          <w:lang w:eastAsia="de-DE"/>
        </w:rPr>
        <w:t xml:space="preserve">FIGURE </w:t>
      </w:r>
      <w:r w:rsidR="00225E04">
        <w:rPr>
          <w:rFonts w:ascii="Times New Roman" w:hAnsi="Times New Roman" w:cs="Times New Roman"/>
          <w:b/>
          <w:sz w:val="20"/>
          <w:szCs w:val="20"/>
          <w:lang w:eastAsia="de-DE"/>
        </w:rPr>
        <w:t>3</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00225E04" w:rsidRPr="00225E04">
        <w:rPr>
          <w:rFonts w:ascii="Times New Roman" w:hAnsi="Times New Roman" w:cs="Times New Roman"/>
          <w:sz w:val="20"/>
          <w:szCs w:val="20"/>
          <w:lang w:eastAsia="de-DE"/>
        </w:rPr>
        <w:t xml:space="preserve">Results of network state calculation using the </w:t>
      </w:r>
      <w:proofErr w:type="spellStart"/>
      <w:r w:rsidR="00225E04" w:rsidRPr="00225E04">
        <w:rPr>
          <w:rFonts w:ascii="Times New Roman" w:hAnsi="Times New Roman" w:cs="Times New Roman"/>
          <w:sz w:val="20"/>
          <w:szCs w:val="20"/>
          <w:lang w:eastAsia="de-DE"/>
        </w:rPr>
        <w:t>Powergui</w:t>
      </w:r>
      <w:proofErr w:type="spellEnd"/>
      <w:r w:rsidR="00225E04" w:rsidRPr="00225E04">
        <w:rPr>
          <w:rFonts w:ascii="Times New Roman" w:hAnsi="Times New Roman" w:cs="Times New Roman"/>
          <w:sz w:val="20"/>
          <w:szCs w:val="20"/>
          <w:lang w:eastAsia="de-DE"/>
        </w:rPr>
        <w:t xml:space="preserve"> block</w:t>
      </w:r>
    </w:p>
    <w:p w14:paraId="07E1C194" w14:textId="3D2CDE8F" w:rsidR="00F10736" w:rsidRDefault="007734A3" w:rsidP="00D4791D">
      <w:pPr>
        <w:spacing w:line="240" w:lineRule="auto"/>
        <w:ind w:firstLine="284"/>
        <w:jc w:val="both"/>
        <w:rPr>
          <w:rFonts w:ascii="Times New Roman" w:hAnsi="Times New Roman" w:cs="Times New Roman"/>
          <w:iCs/>
          <w:color w:val="000000"/>
          <w:sz w:val="20"/>
        </w:rPr>
      </w:pPr>
      <w:r w:rsidRPr="007734A3">
        <w:rPr>
          <w:rFonts w:ascii="Times New Roman" w:hAnsi="Times New Roman" w:cs="Times New Roman"/>
          <w:iCs/>
          <w:color w:val="000000"/>
          <w:sz w:val="20"/>
        </w:rPr>
        <w:lastRenderedPageBreak/>
        <w:t>The analysis of the graph constructed based on the post-processing of the simulation modeling results indicates that, in certain sections of the network, the values of the unbalance coefficients exceed the permissible regulatory limits</w:t>
      </w:r>
      <w:r w:rsidR="00F10736" w:rsidRPr="00F10736">
        <w:rPr>
          <w:rFonts w:ascii="Times New Roman" w:hAnsi="Times New Roman" w:cs="Times New Roman"/>
          <w:iCs/>
          <w:color w:val="000000"/>
          <w:sz w:val="20"/>
        </w:rPr>
        <w:t xml:space="preserve">. </w:t>
      </w:r>
      <w:r w:rsidR="00912B85" w:rsidRPr="00912B85">
        <w:rPr>
          <w:rFonts w:ascii="Times New Roman" w:hAnsi="Times New Roman" w:cs="Times New Roman"/>
          <w:iCs/>
          <w:color w:val="000000"/>
          <w:sz w:val="20"/>
        </w:rPr>
        <w:t>Figure 4 illustrates the variation of voltage unbalance factors along the overhead line. It can be observed that both negative-sequence and zero-sequence components increase gradually with the distance from the substation and reach their maximum values in the middle sections of the feeder. In the downstream sections, a partial reduction of the unbalance factors is noted; however, their values remain relatively elevated. This behavior indicates a non-uniform distribution of single-phase loads along the line and confirms the presence of voltage asymmetry in the network.</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3D5C5D" w14:paraId="5838DC60" w14:textId="77777777" w:rsidTr="00A15E8E">
        <w:tc>
          <w:tcPr>
            <w:tcW w:w="8778" w:type="dxa"/>
          </w:tcPr>
          <w:p w14:paraId="7353282B" w14:textId="77777777" w:rsidR="003D5C5D" w:rsidRPr="003D5C5D" w:rsidRDefault="003D5C5D" w:rsidP="00A15E8E">
            <w:pPr>
              <w:spacing w:line="360" w:lineRule="auto"/>
              <w:jc w:val="center"/>
              <w:rPr>
                <w:rFonts w:eastAsia="Calibri"/>
              </w:rPr>
            </w:pPr>
            <w:r w:rsidRPr="003D5C5D">
              <w:rPr>
                <w:noProof/>
              </w:rPr>
              <w:drawing>
                <wp:anchor distT="0" distB="0" distL="114300" distR="114300" simplePos="0" relativeHeight="251659264" behindDoc="0" locked="0" layoutInCell="1" allowOverlap="1" wp14:anchorId="20EF66F7" wp14:editId="42641A7A">
                  <wp:simplePos x="0" y="0"/>
                  <wp:positionH relativeFrom="column">
                    <wp:posOffset>-68580</wp:posOffset>
                  </wp:positionH>
                  <wp:positionV relativeFrom="paragraph">
                    <wp:posOffset>53975</wp:posOffset>
                  </wp:positionV>
                  <wp:extent cx="5592445" cy="1781175"/>
                  <wp:effectExtent l="0" t="0" r="8255" b="0"/>
                  <wp:wrapSquare wrapText="bothSides"/>
                  <wp:docPr id="21" name="Диаграмма 21">
                    <a:extLst xmlns:a="http://schemas.openxmlformats.org/drawingml/2006/main">
                      <a:ext uri="{FF2B5EF4-FFF2-40B4-BE49-F238E27FC236}">
                        <a16:creationId xmlns:a16="http://schemas.microsoft.com/office/drawing/2014/main" id="{EDC34A10-22DB-4DF1-A79C-DA38696EB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3D5C5D">
              <w:rPr>
                <w:rFonts w:eastAsia="Calibri"/>
              </w:rPr>
              <w:t>а)</w:t>
            </w:r>
          </w:p>
        </w:tc>
      </w:tr>
      <w:tr w:rsidR="003D5C5D" w14:paraId="2BC5A8D1" w14:textId="77777777" w:rsidTr="00A15E8E">
        <w:trPr>
          <w:trHeight w:val="3157"/>
        </w:trPr>
        <w:tc>
          <w:tcPr>
            <w:tcW w:w="8778" w:type="dxa"/>
          </w:tcPr>
          <w:p w14:paraId="186B384D" w14:textId="77777777" w:rsidR="003D5C5D" w:rsidRDefault="003D5C5D" w:rsidP="00A15E8E">
            <w:pPr>
              <w:spacing w:line="360" w:lineRule="auto"/>
              <w:jc w:val="both"/>
              <w:rPr>
                <w:noProof/>
              </w:rPr>
            </w:pPr>
            <w:r w:rsidRPr="003B1306">
              <w:rPr>
                <w:noProof/>
              </w:rPr>
              <w:drawing>
                <wp:inline distT="0" distB="0" distL="0" distR="0" wp14:anchorId="13877D6D" wp14:editId="2949A2EC">
                  <wp:extent cx="5494655" cy="1557655"/>
                  <wp:effectExtent l="0" t="0" r="0" b="4445"/>
                  <wp:docPr id="6" name="Диаграмма 6">
                    <a:extLst xmlns:a="http://schemas.openxmlformats.org/drawingml/2006/main">
                      <a:ext uri="{FF2B5EF4-FFF2-40B4-BE49-F238E27FC236}">
                        <a16:creationId xmlns:a16="http://schemas.microsoft.com/office/drawing/2014/main" id="{75A324D9-6887-4EE4-AEE8-E500D4781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5BAB40" w14:textId="7F9E4697" w:rsidR="003D5C5D" w:rsidRPr="003D5C5D" w:rsidRDefault="003D5C5D" w:rsidP="00A15E8E">
            <w:pPr>
              <w:spacing w:line="360" w:lineRule="auto"/>
              <w:jc w:val="center"/>
              <w:rPr>
                <w:noProof/>
              </w:rPr>
            </w:pPr>
            <w:r>
              <w:rPr>
                <w:rFonts w:eastAsia="Calibri"/>
                <w:lang w:val="en-US"/>
              </w:rPr>
              <w:t>b</w:t>
            </w:r>
            <w:r w:rsidRPr="003D5C5D">
              <w:rPr>
                <w:rFonts w:eastAsia="Calibri"/>
              </w:rPr>
              <w:t>)</w:t>
            </w:r>
          </w:p>
        </w:tc>
      </w:tr>
      <w:tr w:rsidR="003D5C5D" w14:paraId="2A4129DA" w14:textId="77777777" w:rsidTr="00A15E8E">
        <w:tc>
          <w:tcPr>
            <w:tcW w:w="8778" w:type="dxa"/>
          </w:tcPr>
          <w:p w14:paraId="58EA2959" w14:textId="440821F4" w:rsidR="003D5C5D" w:rsidRPr="003D5C5D" w:rsidRDefault="003D5C5D" w:rsidP="003D5C5D">
            <w:pPr>
              <w:ind w:firstLine="284"/>
              <w:jc w:val="center"/>
              <w:rPr>
                <w:rFonts w:eastAsia="Calibri"/>
                <w:sz w:val="28"/>
                <w:lang w:val="en-US"/>
              </w:rPr>
            </w:pPr>
            <w:r w:rsidRPr="003D5C5D">
              <w:rPr>
                <w:b/>
                <w:lang w:val="en-US" w:eastAsia="de-DE"/>
              </w:rPr>
              <w:t xml:space="preserve">FIGURE </w:t>
            </w:r>
            <w:r>
              <w:rPr>
                <w:b/>
                <w:lang w:val="en-US" w:eastAsia="de-DE"/>
              </w:rPr>
              <w:t>4</w:t>
            </w:r>
            <w:r w:rsidRPr="003D5C5D">
              <w:rPr>
                <w:b/>
                <w:lang w:val="en-US" w:eastAsia="de-DE"/>
              </w:rPr>
              <w:t>.</w:t>
            </w:r>
            <w:r w:rsidRPr="003D5C5D">
              <w:rPr>
                <w:lang w:val="en-US" w:eastAsia="de-DE"/>
              </w:rPr>
              <w:t xml:space="preserve"> Variation of the voltage unbalance factor of (a) negative-sequence and (b) zero-sequence components in the electrical network </w:t>
            </w:r>
          </w:p>
        </w:tc>
      </w:tr>
    </w:tbl>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52F2EF4" w14:textId="0BD2D4A2" w:rsidR="00147D01" w:rsidRPr="00287E0A" w:rsidRDefault="00147D01" w:rsidP="00147D01">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47D01">
        <w:rPr>
          <w:rFonts w:ascii="Times New Roman" w:hAnsi="Times New Roman" w:cs="Times New Roman"/>
          <w:sz w:val="20"/>
        </w:rPr>
        <w:t>The data obtained from simulation studies conducted on a low-voltage electrical distribution network indicate that, in a 0.4 kV network, when the maximum power of single-phase loads is increased up to 7.1 kW, the current in the neutral conductor varies within the range from 0</w:t>
      </w:r>
      <w:r w:rsidR="00912B85">
        <w:rPr>
          <w:rFonts w:ascii="Times New Roman" w:hAnsi="Times New Roman" w:cs="Times New Roman"/>
          <w:sz w:val="20"/>
        </w:rPr>
        <w:t>,</w:t>
      </w:r>
      <w:r w:rsidRPr="00147D01">
        <w:rPr>
          <w:rFonts w:ascii="Times New Roman" w:hAnsi="Times New Roman" w:cs="Times New Roman"/>
          <w:sz w:val="20"/>
        </w:rPr>
        <w:t xml:space="preserve">4 A to </w:t>
      </w:r>
      <w:r w:rsidR="00912B85">
        <w:rPr>
          <w:rFonts w:ascii="Times New Roman" w:hAnsi="Times New Roman" w:cs="Times New Roman"/>
          <w:sz w:val="20"/>
        </w:rPr>
        <w:t>8,1</w:t>
      </w:r>
      <w:r w:rsidRPr="00147D01">
        <w:rPr>
          <w:rFonts w:ascii="Times New Roman" w:hAnsi="Times New Roman" w:cs="Times New Roman"/>
          <w:sz w:val="20"/>
        </w:rPr>
        <w:t xml:space="preserve">5 A. In addition, the voltage unbalance factor of the zero-sequence component (Figure 4) was found to vary in the range of 2–6% </w:t>
      </w:r>
      <w:r w:rsidRPr="00287E0A">
        <w:rPr>
          <w:rFonts w:ascii="Times New Roman" w:hAnsi="Times New Roman" w:cs="Times New Roman"/>
          <w:sz w:val="20"/>
        </w:rPr>
        <w:t>[</w:t>
      </w:r>
      <w:r>
        <w:rPr>
          <w:rFonts w:ascii="Times New Roman" w:hAnsi="Times New Roman" w:cs="Times New Roman"/>
          <w:sz w:val="20"/>
        </w:rPr>
        <w:t>13-20, 7, 1</w:t>
      </w:r>
      <w:r w:rsidRPr="00287E0A">
        <w:rPr>
          <w:rFonts w:ascii="Times New Roman" w:hAnsi="Times New Roman" w:cs="Times New Roman"/>
          <w:sz w:val="20"/>
        </w:rPr>
        <w:t>].</w:t>
      </w:r>
    </w:p>
    <w:p w14:paraId="0760D70C" w14:textId="4F31B1AB" w:rsidR="00912B85" w:rsidRPr="00912B85" w:rsidRDefault="00176FC7" w:rsidP="00912B85">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Pr>
          <w:rFonts w:ascii="Times New Roman" w:hAnsi="Times New Roman" w:cs="Times New Roman"/>
          <w:sz w:val="20"/>
        </w:rPr>
        <w:t>1</w:t>
      </w:r>
      <w:r w:rsidR="00912B85" w:rsidRPr="00912B85">
        <w:t xml:space="preserve"> </w:t>
      </w:r>
      <w:r w:rsidR="00912B85" w:rsidRPr="00912B85">
        <w:rPr>
          <w:rFonts w:ascii="Times New Roman" w:hAnsi="Times New Roman" w:cs="Times New Roman"/>
          <w:sz w:val="20"/>
        </w:rPr>
        <w:t>Simulation modeling of the low-voltage electrical distribution network has shown that the uneven distribution of single-phase loads along long feeder sections leads to significant voltage unbalance and increased neutral conductor current.</w:t>
      </w:r>
    </w:p>
    <w:p w14:paraId="49A44EB0" w14:textId="19E127E8" w:rsidR="00912B85" w:rsidRPr="00912B85" w:rsidRDefault="00176FC7" w:rsidP="00912B85">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Pr>
          <w:rFonts w:ascii="Times New Roman" w:hAnsi="Times New Roman" w:cs="Times New Roman"/>
          <w:sz w:val="20"/>
        </w:rPr>
        <w:t>2.</w:t>
      </w:r>
      <w:r w:rsidR="00912B85" w:rsidRPr="00912B85">
        <w:rPr>
          <w:rFonts w:ascii="Times New Roman" w:hAnsi="Times New Roman" w:cs="Times New Roman"/>
          <w:sz w:val="20"/>
        </w:rPr>
        <w:t>The obtained results indicate that, in certain sections of the network, the negative-sequence and zero-sequence voltage unbalance factors exceed permissible limits, which results in additional power losses and deterioration of power quality.</w:t>
      </w:r>
    </w:p>
    <w:p w14:paraId="4DA0FB45" w14:textId="2BB5FD60" w:rsidR="00F53273" w:rsidRPr="00287E0A" w:rsidRDefault="00176FC7" w:rsidP="00912B85">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Pr>
          <w:rFonts w:ascii="Times New Roman" w:hAnsi="Times New Roman" w:cs="Times New Roman"/>
          <w:sz w:val="20"/>
        </w:rPr>
        <w:t>3.</w:t>
      </w:r>
      <w:r w:rsidR="00912B85" w:rsidRPr="00912B85">
        <w:rPr>
          <w:rFonts w:ascii="Times New Roman" w:hAnsi="Times New Roman" w:cs="Times New Roman"/>
          <w:sz w:val="20"/>
        </w:rPr>
        <w:t xml:space="preserve">The study confirms that the use of MATLAB </w:t>
      </w:r>
      <w:proofErr w:type="spellStart"/>
      <w:r w:rsidR="00912B85" w:rsidRPr="00912B85">
        <w:rPr>
          <w:rFonts w:ascii="Times New Roman" w:hAnsi="Times New Roman" w:cs="Times New Roman"/>
          <w:sz w:val="20"/>
        </w:rPr>
        <w:t>SimPowerSystems</w:t>
      </w:r>
      <w:proofErr w:type="spellEnd"/>
      <w:r w:rsidR="00912B85" w:rsidRPr="00912B85">
        <w:rPr>
          <w:rFonts w:ascii="Times New Roman" w:hAnsi="Times New Roman" w:cs="Times New Roman"/>
          <w:sz w:val="20"/>
        </w:rPr>
        <w:t xml:space="preserve"> is an effective tool for analyzing operating conditions of low-voltage distribution networks and for substantiating technical measures aimed at reducing electrical energy losses and improving voltage quality.</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42AECA61" w14:textId="77777777" w:rsidR="00147D01" w:rsidRPr="00F25080" w:rsidRDefault="00147D01" w:rsidP="00147D01">
      <w:pPr>
        <w:pStyle w:val="a4"/>
        <w:widowControl w:val="0"/>
        <w:numPr>
          <w:ilvl w:val="0"/>
          <w:numId w:val="6"/>
        </w:numPr>
        <w:tabs>
          <w:tab w:val="left" w:pos="284"/>
          <w:tab w:val="left" w:pos="567"/>
        </w:tabs>
        <w:spacing w:after="0" w:line="240" w:lineRule="auto"/>
        <w:ind w:left="0" w:firstLine="0"/>
        <w:jc w:val="both"/>
        <w:rPr>
          <w:rFonts w:ascii="Times New Roman" w:eastAsia="Times New Roman" w:hAnsi="Times New Roman" w:cs="Times New Roman"/>
          <w:sz w:val="20"/>
          <w:szCs w:val="20"/>
        </w:rPr>
      </w:pPr>
      <w:proofErr w:type="spellStart"/>
      <w:r w:rsidRPr="00F25080">
        <w:rPr>
          <w:rFonts w:ascii="Times New Roman" w:eastAsia="Times New Roman" w:hAnsi="Times New Roman" w:cs="Times New Roman"/>
          <w:sz w:val="20"/>
          <w:szCs w:val="20"/>
        </w:rPr>
        <w:t>Bessonov</w:t>
      </w:r>
      <w:proofErr w:type="spellEnd"/>
      <w:r w:rsidRPr="00F25080">
        <w:rPr>
          <w:rFonts w:ascii="Times New Roman" w:eastAsia="Times New Roman" w:hAnsi="Times New Roman" w:cs="Times New Roman"/>
          <w:sz w:val="20"/>
          <w:szCs w:val="20"/>
        </w:rPr>
        <w:t xml:space="preserve"> L.A. </w:t>
      </w:r>
      <w:proofErr w:type="spellStart"/>
      <w:r w:rsidRPr="00F25080">
        <w:rPr>
          <w:rFonts w:ascii="Times New Roman" w:eastAsia="Times New Roman" w:hAnsi="Times New Roman" w:cs="Times New Roman"/>
          <w:sz w:val="20"/>
          <w:szCs w:val="20"/>
        </w:rPr>
        <w:t>Teoreticheskie</w:t>
      </w:r>
      <w:proofErr w:type="spellEnd"/>
      <w:r w:rsidRPr="00F25080">
        <w:rPr>
          <w:rFonts w:ascii="Times New Roman" w:eastAsia="Times New Roman" w:hAnsi="Times New Roman" w:cs="Times New Roman"/>
          <w:sz w:val="20"/>
          <w:szCs w:val="20"/>
        </w:rPr>
        <w:t xml:space="preserve"> </w:t>
      </w:r>
      <w:proofErr w:type="spellStart"/>
      <w:r w:rsidRPr="00F25080">
        <w:rPr>
          <w:rFonts w:ascii="Times New Roman" w:eastAsia="Times New Roman" w:hAnsi="Times New Roman" w:cs="Times New Roman"/>
          <w:sz w:val="20"/>
          <w:szCs w:val="20"/>
        </w:rPr>
        <w:t>osnovy</w:t>
      </w:r>
      <w:proofErr w:type="spellEnd"/>
      <w:r w:rsidRPr="00F25080">
        <w:rPr>
          <w:rFonts w:ascii="Times New Roman" w:eastAsia="Times New Roman" w:hAnsi="Times New Roman" w:cs="Times New Roman"/>
          <w:sz w:val="20"/>
          <w:szCs w:val="20"/>
        </w:rPr>
        <w:t xml:space="preserve"> </w:t>
      </w:r>
      <w:proofErr w:type="spellStart"/>
      <w:r w:rsidRPr="00F25080">
        <w:rPr>
          <w:rFonts w:ascii="Times New Roman" w:eastAsia="Times New Roman" w:hAnsi="Times New Roman" w:cs="Times New Roman"/>
          <w:sz w:val="20"/>
          <w:szCs w:val="20"/>
        </w:rPr>
        <w:t>elektrotekhniei</w:t>
      </w:r>
      <w:proofErr w:type="spellEnd"/>
      <w:r w:rsidRPr="00F25080">
        <w:rPr>
          <w:rFonts w:ascii="Times New Roman" w:eastAsia="Times New Roman" w:hAnsi="Times New Roman" w:cs="Times New Roman"/>
          <w:sz w:val="20"/>
          <w:szCs w:val="20"/>
        </w:rPr>
        <w:t xml:space="preserve">, M., </w:t>
      </w:r>
      <w:proofErr w:type="spellStart"/>
      <w:r w:rsidRPr="00F25080">
        <w:rPr>
          <w:rFonts w:ascii="Times New Roman" w:eastAsia="Times New Roman" w:hAnsi="Times New Roman" w:cs="Times New Roman"/>
          <w:sz w:val="20"/>
          <w:szCs w:val="20"/>
        </w:rPr>
        <w:t>Garlariki</w:t>
      </w:r>
      <w:proofErr w:type="spellEnd"/>
      <w:r w:rsidRPr="00F25080">
        <w:rPr>
          <w:rFonts w:ascii="Times New Roman" w:eastAsia="Times New Roman" w:hAnsi="Times New Roman" w:cs="Times New Roman"/>
          <w:sz w:val="20"/>
          <w:szCs w:val="20"/>
        </w:rPr>
        <w:t>, 2002.-638p.</w:t>
      </w:r>
    </w:p>
    <w:p w14:paraId="4696C1A1" w14:textId="77777777" w:rsidR="00147D01" w:rsidRPr="00F25080" w:rsidRDefault="00147D01" w:rsidP="00147D01">
      <w:pPr>
        <w:pStyle w:val="a4"/>
        <w:widowControl w:val="0"/>
        <w:numPr>
          <w:ilvl w:val="0"/>
          <w:numId w:val="6"/>
        </w:numPr>
        <w:tabs>
          <w:tab w:val="left" w:pos="284"/>
          <w:tab w:val="left" w:pos="567"/>
        </w:tabs>
        <w:spacing w:after="0" w:line="240" w:lineRule="auto"/>
        <w:ind w:left="0" w:firstLine="0"/>
        <w:jc w:val="both"/>
        <w:rPr>
          <w:rFonts w:ascii="Times New Roman" w:eastAsia="Times New Roman" w:hAnsi="Times New Roman" w:cs="Times New Roman"/>
          <w:sz w:val="20"/>
          <w:szCs w:val="20"/>
        </w:rPr>
      </w:pPr>
      <w:proofErr w:type="spellStart"/>
      <w:r w:rsidRPr="00F25080">
        <w:rPr>
          <w:rFonts w:ascii="Times New Roman" w:eastAsia="Times New Roman" w:hAnsi="Times New Roman" w:cs="Times New Roman"/>
          <w:sz w:val="20"/>
          <w:szCs w:val="20"/>
        </w:rPr>
        <w:t>M.</w:t>
      </w:r>
      <w:proofErr w:type="gramStart"/>
      <w:r w:rsidRPr="00F25080">
        <w:rPr>
          <w:rFonts w:ascii="Times New Roman" w:eastAsia="Times New Roman" w:hAnsi="Times New Roman" w:cs="Times New Roman"/>
          <w:sz w:val="20"/>
          <w:szCs w:val="20"/>
        </w:rPr>
        <w:t>S.Levin</w:t>
      </w:r>
      <w:proofErr w:type="spellEnd"/>
      <w:proofErr w:type="gramEnd"/>
      <w:r w:rsidRPr="00F25080">
        <w:rPr>
          <w:rFonts w:ascii="Times New Roman" w:eastAsia="Times New Roman" w:hAnsi="Times New Roman" w:cs="Times New Roman"/>
          <w:sz w:val="20"/>
          <w:szCs w:val="20"/>
        </w:rPr>
        <w:t xml:space="preserve">, </w:t>
      </w:r>
      <w:proofErr w:type="spellStart"/>
      <w:r w:rsidRPr="00F25080">
        <w:rPr>
          <w:rFonts w:ascii="Times New Roman" w:eastAsia="Times New Roman" w:hAnsi="Times New Roman" w:cs="Times New Roman"/>
          <w:sz w:val="20"/>
          <w:szCs w:val="20"/>
        </w:rPr>
        <w:t>A.Ye.Muradyan</w:t>
      </w:r>
      <w:proofErr w:type="spellEnd"/>
      <w:r w:rsidRPr="00F25080">
        <w:rPr>
          <w:rFonts w:ascii="Times New Roman" w:eastAsia="Times New Roman" w:hAnsi="Times New Roman" w:cs="Times New Roman"/>
          <w:sz w:val="20"/>
          <w:szCs w:val="20"/>
        </w:rPr>
        <w:t xml:space="preserve"> “Quality of electricity in the rural network", Moscow, “Энергия”-1975 y., 224 P.</w:t>
      </w:r>
    </w:p>
    <w:p w14:paraId="208F27E4" w14:textId="77777777" w:rsidR="00147D01" w:rsidRPr="00F25080" w:rsidRDefault="00147D01" w:rsidP="00147D01">
      <w:pPr>
        <w:pStyle w:val="a4"/>
        <w:numPr>
          <w:ilvl w:val="0"/>
          <w:numId w:val="6"/>
        </w:numPr>
        <w:tabs>
          <w:tab w:val="left" w:pos="284"/>
          <w:tab w:val="left" w:pos="567"/>
        </w:tabs>
        <w:spacing w:after="0" w:line="240" w:lineRule="auto"/>
        <w:ind w:left="0" w:firstLine="0"/>
        <w:jc w:val="both"/>
        <w:rPr>
          <w:rFonts w:ascii="Times New Roman" w:eastAsia="Times New Roman" w:hAnsi="Times New Roman" w:cs="Times New Roman"/>
          <w:sz w:val="20"/>
          <w:szCs w:val="20"/>
        </w:rPr>
      </w:pPr>
      <w:proofErr w:type="spellStart"/>
      <w:r w:rsidRPr="00F25080">
        <w:rPr>
          <w:rFonts w:ascii="Times New Roman" w:eastAsia="Times New Roman" w:hAnsi="Times New Roman" w:cs="Times New Roman"/>
          <w:sz w:val="20"/>
          <w:szCs w:val="20"/>
        </w:rPr>
        <w:t>Usmanov</w:t>
      </w:r>
      <w:proofErr w:type="spellEnd"/>
      <w:r w:rsidRPr="00F25080">
        <w:rPr>
          <w:rFonts w:ascii="Times New Roman" w:eastAsia="Times New Roman" w:hAnsi="Times New Roman" w:cs="Times New Roman"/>
          <w:sz w:val="20"/>
          <w:szCs w:val="20"/>
        </w:rPr>
        <w:t xml:space="preserve"> E.G., </w:t>
      </w:r>
      <w:proofErr w:type="spellStart"/>
      <w:r w:rsidRPr="00F25080">
        <w:rPr>
          <w:rFonts w:ascii="Times New Roman" w:eastAsia="Times New Roman" w:hAnsi="Times New Roman" w:cs="Times New Roman"/>
          <w:sz w:val="20"/>
          <w:szCs w:val="20"/>
        </w:rPr>
        <w:t>Khusanov</w:t>
      </w:r>
      <w:proofErr w:type="spellEnd"/>
      <w:r w:rsidRPr="00F25080">
        <w:rPr>
          <w:rFonts w:ascii="Times New Roman" w:eastAsia="Times New Roman" w:hAnsi="Times New Roman" w:cs="Times New Roman"/>
          <w:sz w:val="20"/>
          <w:szCs w:val="20"/>
        </w:rPr>
        <w:t xml:space="preserve"> B.M. E3S Web of Conferences. 216 (2020) 01161. </w:t>
      </w:r>
      <w:hyperlink r:id="rId11" w:history="1">
        <w:r w:rsidRPr="00F25080">
          <w:rPr>
            <w:rStyle w:val="a6"/>
            <w:rFonts w:ascii="Times New Roman" w:eastAsia="Times New Roman" w:hAnsi="Times New Roman" w:cs="Times New Roman"/>
            <w:sz w:val="20"/>
            <w:szCs w:val="20"/>
          </w:rPr>
          <w:t>https://doi.org/10.1051/e3sconf/202021601161</w:t>
        </w:r>
      </w:hyperlink>
      <w:r w:rsidRPr="00F25080">
        <w:rPr>
          <w:rFonts w:ascii="Times New Roman" w:eastAsia="Times New Roman" w:hAnsi="Times New Roman" w:cs="Times New Roman"/>
          <w:sz w:val="20"/>
          <w:szCs w:val="20"/>
        </w:rPr>
        <w:t>.</w:t>
      </w:r>
    </w:p>
    <w:p w14:paraId="2EFA069C" w14:textId="77777777" w:rsidR="00147D01" w:rsidRPr="00F25080" w:rsidRDefault="005C3599" w:rsidP="00147D01">
      <w:pPr>
        <w:numPr>
          <w:ilvl w:val="0"/>
          <w:numId w:val="6"/>
        </w:numPr>
        <w:tabs>
          <w:tab w:val="left" w:pos="284"/>
          <w:tab w:val="left" w:pos="567"/>
        </w:tabs>
        <w:suppressAutoHyphens/>
        <w:spacing w:after="0" w:line="240" w:lineRule="auto"/>
        <w:ind w:left="0" w:firstLine="0"/>
        <w:jc w:val="both"/>
        <w:rPr>
          <w:rFonts w:ascii="Times New Roman" w:eastAsia="Times New Roman" w:hAnsi="Times New Roman" w:cs="Times New Roman"/>
          <w:sz w:val="20"/>
          <w:szCs w:val="20"/>
          <w:lang w:val="uz-Cyrl-UZ" w:eastAsia="ar-SA"/>
        </w:rPr>
      </w:pPr>
      <w:hyperlink r:id="rId12" w:history="1">
        <w:r w:rsidR="00147D01" w:rsidRPr="00F25080">
          <w:rPr>
            <w:rFonts w:ascii="Times New Roman" w:eastAsia="Times New Roman" w:hAnsi="Times New Roman" w:cs="Times New Roman"/>
            <w:sz w:val="20"/>
            <w:szCs w:val="20"/>
            <w:lang w:val="uz-Cyrl-UZ" w:eastAsia="ar-SA"/>
          </w:rPr>
          <w:t>Erejepov, M.</w:t>
        </w:r>
      </w:hyperlink>
      <w:r w:rsidR="00147D01" w:rsidRPr="00F25080">
        <w:rPr>
          <w:rFonts w:ascii="Times New Roman" w:eastAsia="Times New Roman" w:hAnsi="Times New Roman" w:cs="Times New Roman"/>
          <w:sz w:val="20"/>
          <w:szCs w:val="20"/>
          <w:lang w:val="uz-Cyrl-UZ" w:eastAsia="ar-SA"/>
        </w:rPr>
        <w:t>, </w:t>
      </w:r>
      <w:hyperlink r:id="rId13" w:history="1">
        <w:r w:rsidR="00147D01" w:rsidRPr="00F25080">
          <w:rPr>
            <w:rFonts w:ascii="Times New Roman" w:eastAsia="Times New Roman" w:hAnsi="Times New Roman" w:cs="Times New Roman"/>
            <w:sz w:val="20"/>
            <w:szCs w:val="20"/>
            <w:lang w:val="uz-Cyrl-UZ" w:eastAsia="ar-SA"/>
          </w:rPr>
          <w:t>Novikov, A.N.</w:t>
        </w:r>
      </w:hyperlink>
      <w:r w:rsidR="00147D01" w:rsidRPr="00F25080">
        <w:rPr>
          <w:rFonts w:ascii="Times New Roman" w:eastAsia="Times New Roman" w:hAnsi="Times New Roman" w:cs="Times New Roman"/>
          <w:sz w:val="20"/>
          <w:szCs w:val="20"/>
          <w:lang w:val="uz-Cyrl-UZ" w:eastAsia="ar-SA"/>
        </w:rPr>
        <w:t>, </w:t>
      </w:r>
      <w:hyperlink r:id="rId14" w:history="1">
        <w:r w:rsidR="00147D01" w:rsidRPr="00F25080">
          <w:rPr>
            <w:rFonts w:ascii="Times New Roman" w:eastAsia="Times New Roman" w:hAnsi="Times New Roman" w:cs="Times New Roman"/>
            <w:sz w:val="20"/>
            <w:szCs w:val="20"/>
            <w:lang w:val="uz-Cyrl-UZ" w:eastAsia="ar-SA"/>
          </w:rPr>
          <w:t>Khusanov, B.M.</w:t>
        </w:r>
      </w:hyperlink>
      <w:r w:rsidR="00147D01" w:rsidRPr="00F25080">
        <w:rPr>
          <w:rFonts w:ascii="Times New Roman" w:eastAsia="Times New Roman" w:hAnsi="Times New Roman" w:cs="Times New Roman"/>
          <w:sz w:val="20"/>
          <w:szCs w:val="20"/>
          <w:lang w:val="uz-Cyrl-UZ" w:eastAsia="ar-SA"/>
        </w:rPr>
        <w:t>, </w:t>
      </w:r>
      <w:hyperlink r:id="rId15" w:history="1">
        <w:r w:rsidR="00147D01" w:rsidRPr="00F25080">
          <w:rPr>
            <w:rFonts w:ascii="Times New Roman" w:eastAsia="Times New Roman" w:hAnsi="Times New Roman" w:cs="Times New Roman"/>
            <w:sz w:val="20"/>
            <w:szCs w:val="20"/>
            <w:lang w:val="uz-Cyrl-UZ" w:eastAsia="ar-SA"/>
          </w:rPr>
          <w:t>Seytmuratov, B.</w:t>
        </w:r>
      </w:hyperlink>
      <w:r w:rsidR="00147D01" w:rsidRPr="00F25080">
        <w:rPr>
          <w:rFonts w:ascii="Times New Roman" w:eastAsia="Times New Roman" w:hAnsi="Times New Roman" w:cs="Times New Roman"/>
          <w:sz w:val="20"/>
          <w:szCs w:val="20"/>
          <w:lang w:val="uz-Cyrl-UZ" w:eastAsia="ar-SA"/>
        </w:rPr>
        <w:t>, </w:t>
      </w:r>
      <w:hyperlink r:id="rId16" w:history="1">
        <w:r w:rsidR="00147D01" w:rsidRPr="00F25080">
          <w:rPr>
            <w:rFonts w:ascii="Times New Roman" w:eastAsia="Times New Roman" w:hAnsi="Times New Roman" w:cs="Times New Roman"/>
            <w:sz w:val="20"/>
            <w:szCs w:val="20"/>
            <w:lang w:val="uz-Cyrl-UZ" w:eastAsia="ar-SA"/>
          </w:rPr>
          <w:t>Sayimbetov, Z</w:t>
        </w:r>
      </w:hyperlink>
      <w:r w:rsidR="00147D01" w:rsidRPr="00F25080">
        <w:rPr>
          <w:rFonts w:ascii="Times New Roman" w:eastAsia="Times New Roman" w:hAnsi="Times New Roman" w:cs="Times New Roman"/>
          <w:sz w:val="20"/>
          <w:szCs w:val="20"/>
          <w:lang w:val="uz-Cyrl-UZ" w:eastAsia="ar-SA"/>
        </w:rPr>
        <w:t xml:space="preserve">.  E3S Web of Conferences, 2021, 289, 07018.    </w:t>
      </w:r>
      <w:r>
        <w:fldChar w:fldCharType="begin"/>
      </w:r>
      <w:r>
        <w:instrText xml:space="preserve"> HYPERLINK "https://doi.org/10.1051/e3sconf/202340103021" </w:instrText>
      </w:r>
      <w:r>
        <w:fldChar w:fldCharType="separate"/>
      </w:r>
      <w:r w:rsidR="00147D01" w:rsidRPr="00F25080">
        <w:rPr>
          <w:rFonts w:ascii="Times New Roman" w:eastAsia="Times New Roman" w:hAnsi="Times New Roman" w:cs="Times New Roman"/>
          <w:sz w:val="20"/>
          <w:szCs w:val="20"/>
          <w:lang w:val="uz-Cyrl-UZ" w:eastAsia="ar-SA"/>
        </w:rPr>
        <w:t>https://doi.org/10.1051/e3sconf/202128907018</w:t>
      </w:r>
      <w:r>
        <w:rPr>
          <w:rFonts w:ascii="Times New Roman" w:eastAsia="Times New Roman" w:hAnsi="Times New Roman" w:cs="Times New Roman"/>
          <w:sz w:val="20"/>
          <w:szCs w:val="20"/>
          <w:lang w:val="uz-Cyrl-UZ" w:eastAsia="ar-SA"/>
        </w:rPr>
        <w:fldChar w:fldCharType="end"/>
      </w:r>
    </w:p>
    <w:p w14:paraId="48DC4BAA"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sz w:val="20"/>
          <w:szCs w:val="20"/>
        </w:rPr>
      </w:pPr>
      <w:bookmarkStart w:id="2" w:name="_Hlk154482553"/>
      <w:r w:rsidRPr="00F25080">
        <w:rPr>
          <w:rFonts w:ascii="Times New Roman" w:hAnsi="Times New Roman" w:cs="Times New Roman"/>
          <w:sz w:val="20"/>
          <w:szCs w:val="20"/>
          <w:lang w:val="uz-Cyrl-UZ"/>
        </w:rPr>
        <w:t>Niyozov N.N., Rikhsitillaev B.Kh., Jalilova D.A., Kuatbaev P.M.</w:t>
      </w:r>
      <w:r w:rsidRPr="00F25080">
        <w:rPr>
          <w:rFonts w:ascii="Times New Roman" w:hAnsi="Times New Roman" w:cs="Times New Roman"/>
          <w:sz w:val="20"/>
          <w:szCs w:val="20"/>
        </w:rPr>
        <w:t xml:space="preserve"> Forecasting of electricity consumption by industrial enterprises with a continuous nature of production based on the principal component method (PCA)</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01031</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https://doi.org/10.1051/e3sconf/2023384010</w:t>
      </w:r>
      <w:r w:rsidRPr="00F25080">
        <w:rPr>
          <w:rFonts w:ascii="Times New Roman" w:hAnsi="Times New Roman" w:cs="Times New Roman"/>
          <w:sz w:val="20"/>
          <w:szCs w:val="20"/>
        </w:rPr>
        <w:t>31</w:t>
      </w:r>
      <w:r w:rsidRPr="00F25080">
        <w:rPr>
          <w:rStyle w:val="a6"/>
          <w:rFonts w:ascii="Times New Roman" w:hAnsi="Times New Roman" w:cs="Times New Roman"/>
          <w:sz w:val="20"/>
          <w:szCs w:val="20"/>
          <w:lang w:val="uz-Cyrl-UZ"/>
        </w:rPr>
        <w:t>.</w:t>
      </w:r>
    </w:p>
    <w:p w14:paraId="464F8D0D"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Usmanov E.G</w:t>
      </w:r>
      <w:r w:rsidRPr="00F25080">
        <w:rPr>
          <w:rFonts w:ascii="Times New Roman" w:hAnsi="Times New Roman" w:cs="Times New Roman"/>
          <w:sz w:val="20"/>
          <w:szCs w:val="20"/>
        </w:rPr>
        <w:t>. Regulation system by voltage booster transformer</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01034</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"https://doi.org/10.1051/e3sconf/202338401034"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34</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74E312D2"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Rasulov A.N., Paxratdinov A.Dj.</w:t>
      </w:r>
      <w:r w:rsidRPr="00F25080">
        <w:rPr>
          <w:rFonts w:ascii="Times New Roman" w:hAnsi="Times New Roman" w:cs="Times New Roman"/>
          <w:sz w:val="20"/>
          <w:szCs w:val="20"/>
        </w:rPr>
        <w:t xml:space="preserve"> Modes and technological features of electrolysis consumers of electricity</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01035</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w:instrText>
      </w:r>
      <w:r w:rsidR="005C3599">
        <w:instrText xml:space="preserve">8401035"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35</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46560018"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Taslimov</w:t>
      </w:r>
      <w:r w:rsidRPr="00F25080">
        <w:rPr>
          <w:rFonts w:ascii="Times New Roman" w:hAnsi="Times New Roman" w:cs="Times New Roman"/>
          <w:sz w:val="20"/>
          <w:szCs w:val="20"/>
        </w:rPr>
        <w:t xml:space="preserve"> </w:t>
      </w:r>
      <w:r w:rsidRPr="00F25080">
        <w:rPr>
          <w:rFonts w:ascii="Times New Roman" w:hAnsi="Times New Roman" w:cs="Times New Roman"/>
          <w:sz w:val="20"/>
          <w:szCs w:val="20"/>
          <w:lang w:val="uz-Cyrl-UZ"/>
        </w:rPr>
        <w:t xml:space="preserve">A.D. </w:t>
      </w:r>
      <w:r w:rsidRPr="00F25080">
        <w:rPr>
          <w:rFonts w:ascii="Times New Roman" w:hAnsi="Times New Roman" w:cs="Times New Roman"/>
          <w:sz w:val="20"/>
          <w:szCs w:val="20"/>
        </w:rPr>
        <w:t>Impact of climate change on electrical energy losses in electrical networks</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01036</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"https://doi.org/10.1051/e3sconf/20233840103</w:instrText>
      </w:r>
      <w:r w:rsidR="005C3599">
        <w:instrText xml:space="preserve">6"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36</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6C4E71A8"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Taslimov</w:t>
      </w:r>
      <w:r w:rsidRPr="00F25080">
        <w:rPr>
          <w:rFonts w:ascii="Times New Roman" w:hAnsi="Times New Roman" w:cs="Times New Roman"/>
          <w:sz w:val="20"/>
          <w:szCs w:val="20"/>
        </w:rPr>
        <w:t xml:space="preserve"> </w:t>
      </w:r>
      <w:r w:rsidRPr="00F25080">
        <w:rPr>
          <w:rFonts w:ascii="Times New Roman" w:hAnsi="Times New Roman" w:cs="Times New Roman"/>
          <w:sz w:val="20"/>
          <w:szCs w:val="20"/>
          <w:lang w:val="uz-Cyrl-UZ"/>
        </w:rPr>
        <w:t>A.D.</w:t>
      </w:r>
      <w:r w:rsidRPr="00F25080">
        <w:rPr>
          <w:rFonts w:ascii="Times New Roman" w:hAnsi="Times New Roman" w:cs="Times New Roman"/>
          <w:sz w:val="20"/>
          <w:szCs w:val="20"/>
        </w:rPr>
        <w:t xml:space="preserve">, </w:t>
      </w:r>
      <w:proofErr w:type="spellStart"/>
      <w:r w:rsidRPr="00F25080">
        <w:rPr>
          <w:rFonts w:ascii="Times New Roman" w:hAnsi="Times New Roman" w:cs="Times New Roman"/>
          <w:sz w:val="20"/>
          <w:szCs w:val="20"/>
        </w:rPr>
        <w:t>Rakhimov</w:t>
      </w:r>
      <w:proofErr w:type="spellEnd"/>
      <w:r w:rsidRPr="00F25080">
        <w:rPr>
          <w:rFonts w:ascii="Times New Roman" w:hAnsi="Times New Roman" w:cs="Times New Roman"/>
          <w:sz w:val="20"/>
          <w:szCs w:val="20"/>
        </w:rPr>
        <w:t xml:space="preserve"> F., </w:t>
      </w:r>
      <w:proofErr w:type="spellStart"/>
      <w:r w:rsidRPr="00F25080">
        <w:rPr>
          <w:rFonts w:ascii="Times New Roman" w:hAnsi="Times New Roman" w:cs="Times New Roman"/>
          <w:sz w:val="20"/>
          <w:szCs w:val="20"/>
        </w:rPr>
        <w:t>Rakhimov</w:t>
      </w:r>
      <w:proofErr w:type="spellEnd"/>
      <w:r w:rsidRPr="00F25080">
        <w:rPr>
          <w:rFonts w:ascii="Times New Roman" w:hAnsi="Times New Roman" w:cs="Times New Roman"/>
          <w:sz w:val="20"/>
          <w:szCs w:val="20"/>
        </w:rPr>
        <w:t xml:space="preserve"> </w:t>
      </w:r>
      <w:proofErr w:type="spellStart"/>
      <w:r w:rsidRPr="00F25080">
        <w:rPr>
          <w:rFonts w:ascii="Times New Roman" w:hAnsi="Times New Roman" w:cs="Times New Roman"/>
          <w:sz w:val="20"/>
          <w:szCs w:val="20"/>
        </w:rPr>
        <w:t>Feruz</w:t>
      </w:r>
      <w:proofErr w:type="spellEnd"/>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 xml:space="preserve">Economic interval analysis of loads for selection of </w:t>
      </w:r>
      <w:proofErr w:type="spellStart"/>
      <w:r w:rsidRPr="00F25080">
        <w:rPr>
          <w:rFonts w:ascii="Times New Roman" w:hAnsi="Times New Roman" w:cs="Times New Roman"/>
          <w:sz w:val="20"/>
          <w:szCs w:val="20"/>
        </w:rPr>
        <w:t>crosssection</w:t>
      </w:r>
      <w:proofErr w:type="spellEnd"/>
      <w:r w:rsidRPr="00F25080">
        <w:rPr>
          <w:rFonts w:ascii="Times New Roman" w:hAnsi="Times New Roman" w:cs="Times New Roman"/>
          <w:sz w:val="20"/>
          <w:szCs w:val="20"/>
        </w:rPr>
        <w:t xml:space="preserve"> surfaces of electrical transmission lines</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01037</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"https://doi.org/10.1051/e3sconf/202338401037"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37</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186B2B2D"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Fayziyev M</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Tuychiev F</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Mustayev R</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Ochilov Y</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Development and research of non-contact starting devices for electric consumers and motors</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01038</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"https://doi.org/10.1051/e3sconf/202338401038"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38</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62641B9C"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 xml:space="preserve">Saidkhodjaev A.G., Bobojonov Y.M. </w:t>
      </w:r>
      <w:r w:rsidRPr="00F25080">
        <w:rPr>
          <w:rFonts w:ascii="Times New Roman" w:hAnsi="Times New Roman" w:cs="Times New Roman"/>
          <w:sz w:val="20"/>
          <w:szCs w:val="20"/>
        </w:rPr>
        <w:t>Reactive power compensation for sustainable development of power grids in cities of Uzbekistan</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01040</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"https://doi.org/10.1051/e3sconf/202338401040"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40</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35842DB4"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33650480"/>
      <w:r w:rsidRPr="00F25080">
        <w:rPr>
          <w:rFonts w:ascii="Times New Roman" w:hAnsi="Times New Roman" w:cs="Times New Roman"/>
          <w:sz w:val="20"/>
          <w:szCs w:val="20"/>
          <w:lang w:val="uz-Cyrl-UZ"/>
        </w:rPr>
        <w:t>Bobojanov M</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Mahmutkhonov S</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Influence of the consumer to power quality at the point of connection</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01041</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"https://doi.org/10.1051/e3sconf/202338401041"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41</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2ADA19CD"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4" w:name="_Hlk133650509"/>
      <w:bookmarkEnd w:id="3"/>
      <w:r w:rsidRPr="00F25080">
        <w:rPr>
          <w:rFonts w:ascii="Times New Roman" w:hAnsi="Times New Roman" w:cs="Times New Roman"/>
          <w:sz w:val="20"/>
          <w:szCs w:val="20"/>
          <w:lang w:val="uz-Cyrl-UZ"/>
        </w:rPr>
        <w:t xml:space="preserve">Rasulov A.N., Ruzinazarov M.R. </w:t>
      </w:r>
      <w:r w:rsidRPr="00F25080">
        <w:rPr>
          <w:rFonts w:ascii="Times New Roman" w:hAnsi="Times New Roman" w:cs="Times New Roman"/>
          <w:sz w:val="20"/>
          <w:szCs w:val="20"/>
        </w:rPr>
        <w:t>Electrical load graphs and indicators</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01042</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"https://doi.org/10.1051/e3sconf/202338401042"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42</w:t>
      </w:r>
      <w:r w:rsidR="005C3599">
        <w:rPr>
          <w:rStyle w:val="a6"/>
          <w:rFonts w:ascii="Times New Roman" w:hAnsi="Times New Roman" w:cs="Times New Roman"/>
          <w:sz w:val="20"/>
          <w:szCs w:val="20"/>
        </w:rPr>
        <w:fldChar w:fldCharType="end"/>
      </w:r>
      <w:bookmarkEnd w:id="4"/>
      <w:r w:rsidRPr="00F25080">
        <w:rPr>
          <w:rStyle w:val="a6"/>
          <w:rFonts w:ascii="Times New Roman" w:hAnsi="Times New Roman" w:cs="Times New Roman"/>
          <w:sz w:val="20"/>
          <w:szCs w:val="20"/>
          <w:lang w:val="uz-Cyrl-UZ"/>
        </w:rPr>
        <w:t>.</w:t>
      </w:r>
    </w:p>
    <w:p w14:paraId="0C1C84EC"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Rashidov N</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Rozmetov Kh</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w:t>
      </w:r>
      <w:r w:rsidRPr="00F25080">
        <w:rPr>
          <w:rFonts w:ascii="Times New Roman" w:hAnsi="Times New Roman" w:cs="Times New Roman"/>
          <w:sz w:val="20"/>
          <w:szCs w:val="20"/>
        </w:rPr>
        <w:t xml:space="preserve"> </w:t>
      </w:r>
      <w:r w:rsidRPr="00F25080">
        <w:rPr>
          <w:rFonts w:ascii="Times New Roman" w:hAnsi="Times New Roman" w:cs="Times New Roman"/>
          <w:sz w:val="20"/>
          <w:szCs w:val="20"/>
          <w:lang w:val="uz-Cyrl-UZ"/>
        </w:rPr>
        <w:t>Rismukhamedov</w:t>
      </w:r>
      <w:r w:rsidRPr="00F25080">
        <w:rPr>
          <w:rFonts w:ascii="Times New Roman" w:hAnsi="Times New Roman" w:cs="Times New Roman"/>
          <w:sz w:val="20"/>
          <w:szCs w:val="20"/>
        </w:rPr>
        <w:t xml:space="preserve"> S.</w:t>
      </w:r>
      <w:r w:rsidRPr="00F25080">
        <w:rPr>
          <w:rFonts w:ascii="Times New Roman" w:hAnsi="Times New Roman" w:cs="Times New Roman"/>
          <w:sz w:val="20"/>
          <w:szCs w:val="20"/>
          <w:lang w:val="uz-Cyrl-UZ"/>
        </w:rPr>
        <w:t>, Peysenov</w:t>
      </w:r>
      <w:r w:rsidRPr="00F25080">
        <w:rPr>
          <w:rFonts w:ascii="Times New Roman" w:hAnsi="Times New Roman" w:cs="Times New Roman"/>
          <w:sz w:val="20"/>
          <w:szCs w:val="20"/>
        </w:rPr>
        <w:t xml:space="preserve"> M.</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 xml:space="preserve">Design of a pole changing winding for asynchronous machines </w:t>
      </w:r>
      <w:proofErr w:type="spellStart"/>
      <w:r w:rsidRPr="00F25080">
        <w:rPr>
          <w:rFonts w:ascii="Times New Roman" w:hAnsi="Times New Roman" w:cs="Times New Roman"/>
          <w:sz w:val="20"/>
          <w:szCs w:val="20"/>
        </w:rPr>
        <w:t>drived</w:t>
      </w:r>
      <w:proofErr w:type="spellEnd"/>
      <w:r w:rsidRPr="00F25080">
        <w:rPr>
          <w:rFonts w:ascii="Times New Roman" w:hAnsi="Times New Roman" w:cs="Times New Roman"/>
          <w:sz w:val="20"/>
          <w:szCs w:val="20"/>
        </w:rPr>
        <w:t xml:space="preserve"> on conveyors using the ANSYS Maxwell</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01043</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"https://doi.org/10.1051/e3sconf/202338401043"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43</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3D241518"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Tuychiev F, Haqberdiev</w:t>
      </w:r>
      <w:r w:rsidRPr="00F25080">
        <w:rPr>
          <w:rFonts w:ascii="Times New Roman" w:hAnsi="Times New Roman" w:cs="Times New Roman"/>
          <w:sz w:val="20"/>
          <w:szCs w:val="20"/>
        </w:rPr>
        <w:t xml:space="preserve"> A.</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Development of two-speed asynchronous electric motors for the undercarriage of mine self-propelled cars</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01044</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"https://doi.org/10.1051/e3sconf/202338401044"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44</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2C4A1EE0"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5" w:name="_Hlk154484130"/>
      <w:r w:rsidRPr="00F25080">
        <w:rPr>
          <w:rFonts w:ascii="Times New Roman" w:hAnsi="Times New Roman" w:cs="Times New Roman"/>
          <w:sz w:val="20"/>
          <w:szCs w:val="20"/>
          <w:lang w:val="uz-Cyrl-UZ"/>
        </w:rPr>
        <w:t>Bobojanov M</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Torayev S</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Saving electrical energy by using induction motors with pole changing windings in the water supply system</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01045</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w:instrText>
      </w:r>
      <w:r w:rsidR="005C3599">
        <w:instrText xml:space="preserve">45"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45</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328F3318"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 xml:space="preserve">Reymov K.M., Esemuratova Sh.M., Khusanov B.M., Mytnikov A.V. </w:t>
      </w:r>
      <w:r w:rsidRPr="00F25080">
        <w:rPr>
          <w:rFonts w:ascii="Times New Roman" w:hAnsi="Times New Roman" w:cs="Times New Roman"/>
          <w:sz w:val="20"/>
          <w:szCs w:val="20"/>
        </w:rPr>
        <w:t>A study of a hybrid type stand-alone 3 kW photovoltaic system of Karakalpak state university</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01047</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"https://doi.org/10.1051/e3sconf/202338401047"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47</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3AA7F0A4"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6" w:name="_Hlk133650738"/>
      <w:r w:rsidRPr="00F25080">
        <w:rPr>
          <w:rFonts w:ascii="Times New Roman" w:hAnsi="Times New Roman" w:cs="Times New Roman"/>
          <w:sz w:val="20"/>
          <w:szCs w:val="20"/>
          <w:lang w:val="uz-Cyrl-UZ"/>
        </w:rPr>
        <w:t xml:space="preserve">Kholikhmatov B.B., Samiev Sh.S., Erejepov M.T., Nematov L.A. </w:t>
      </w:r>
      <w:r w:rsidRPr="00F25080">
        <w:rPr>
          <w:rFonts w:ascii="Times New Roman" w:hAnsi="Times New Roman" w:cs="Times New Roman"/>
          <w:sz w:val="20"/>
          <w:szCs w:val="20"/>
        </w:rPr>
        <w:t>Modelling of laboratory work in the science "Fundamentals of power supply" using an educational simulator based on a programmed logic controller</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01032</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3</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"https://doi.org/10.1051/e3sconf/202338401032"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32</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57C7A402"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7" w:name="_Hlk154483882"/>
      <w:bookmarkEnd w:id="6"/>
      <w:r w:rsidRPr="00F25080">
        <w:rPr>
          <w:rFonts w:ascii="Times New Roman" w:hAnsi="Times New Roman" w:cs="Times New Roman"/>
          <w:sz w:val="20"/>
          <w:szCs w:val="20"/>
          <w:lang w:val="uz-Cyrl-UZ"/>
        </w:rPr>
        <w:t xml:space="preserve">Melikuziev M.V. </w:t>
      </w:r>
      <w:r w:rsidRPr="00F25080">
        <w:rPr>
          <w:rFonts w:ascii="Times New Roman" w:hAnsi="Times New Roman" w:cs="Times New Roman"/>
          <w:sz w:val="20"/>
          <w:szCs w:val="20"/>
        </w:rPr>
        <w:t>Determination of the service area and location of transformer substations in the city power supply system</w:t>
      </w:r>
      <w:r w:rsidRPr="00F25080">
        <w:rPr>
          <w:rFonts w:ascii="Times New Roman" w:hAnsi="Times New Roman" w:cs="Times New Roman"/>
          <w:sz w:val="20"/>
          <w:szCs w:val="20"/>
          <w:lang w:val="uz-Cyrl-UZ"/>
        </w:rPr>
        <w:t xml:space="preserve"> // E3S Web of Conferences 384. 2023. РР, </w:t>
      </w:r>
      <w:r w:rsidRPr="00F25080">
        <w:rPr>
          <w:rFonts w:ascii="Times New Roman" w:hAnsi="Times New Roman" w:cs="Times New Roman"/>
          <w:sz w:val="20"/>
          <w:szCs w:val="20"/>
        </w:rPr>
        <w:t>01033</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"https://doi.org/10.1051/e3sconf/202338401033"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33</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20EBD82A"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 xml:space="preserve">Bobojonov Y.M., Saidkhodjaev A.G. </w:t>
      </w:r>
      <w:r w:rsidRPr="00F25080">
        <w:rPr>
          <w:rFonts w:ascii="Times New Roman" w:hAnsi="Times New Roman" w:cs="Times New Roman"/>
          <w:sz w:val="20"/>
          <w:szCs w:val="20"/>
        </w:rPr>
        <w:t xml:space="preserve">Critical evaluation of energy use in industrial enterprises </w:t>
      </w:r>
      <w:r w:rsidRPr="00F25080">
        <w:rPr>
          <w:rFonts w:ascii="Times New Roman" w:hAnsi="Times New Roman" w:cs="Times New Roman"/>
          <w:sz w:val="20"/>
          <w:szCs w:val="20"/>
          <w:lang w:val="uz-Cyrl-UZ"/>
        </w:rPr>
        <w:t xml:space="preserve">// E3S Web of Conferences 384. 2023. РР, </w:t>
      </w:r>
      <w:r w:rsidRPr="00F25080">
        <w:rPr>
          <w:rFonts w:ascii="Times New Roman" w:hAnsi="Times New Roman" w:cs="Times New Roman"/>
          <w:sz w:val="20"/>
          <w:szCs w:val="20"/>
        </w:rPr>
        <w:t>01048</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"https://doi.org/10.1051/e3sconf/202338401048"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48</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12D08B44"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8" w:name="_Hlk133650535"/>
      <w:r w:rsidRPr="00F25080">
        <w:rPr>
          <w:rFonts w:ascii="Times New Roman" w:hAnsi="Times New Roman" w:cs="Times New Roman"/>
          <w:sz w:val="20"/>
          <w:szCs w:val="20"/>
          <w:lang w:val="uz-Cyrl-UZ"/>
        </w:rPr>
        <w:t xml:space="preserve">Hoshimov, F.A., Najimova A.M., Rafikova G.R., Bakhadirov I.I. </w:t>
      </w:r>
      <w:r w:rsidRPr="00F25080">
        <w:rPr>
          <w:rFonts w:ascii="Times New Roman" w:hAnsi="Times New Roman" w:cs="Times New Roman"/>
          <w:sz w:val="20"/>
          <w:szCs w:val="20"/>
        </w:rPr>
        <w:t xml:space="preserve">Optimization of electricity generation mode, energy-intensive units, operating and various regimes production </w:t>
      </w:r>
      <w:r w:rsidRPr="00F25080">
        <w:rPr>
          <w:rFonts w:ascii="Times New Roman" w:hAnsi="Times New Roman" w:cs="Times New Roman"/>
          <w:sz w:val="20"/>
          <w:szCs w:val="20"/>
          <w:lang w:val="uz-Cyrl-UZ"/>
        </w:rPr>
        <w:t xml:space="preserve">// E3S Web of Conferences 384. 2023. РР, </w:t>
      </w:r>
      <w:r w:rsidRPr="00F25080">
        <w:rPr>
          <w:rFonts w:ascii="Times New Roman" w:hAnsi="Times New Roman" w:cs="Times New Roman"/>
          <w:sz w:val="20"/>
          <w:szCs w:val="20"/>
        </w:rPr>
        <w:t>01049</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w:instrText>
      </w:r>
      <w:r w:rsidR="005C3599">
        <w:instrText xml:space="preserve">f/202338401049"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49</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bookmarkEnd w:id="5"/>
    <w:bookmarkEnd w:id="8"/>
    <w:p w14:paraId="657B7888"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25080">
        <w:rPr>
          <w:rFonts w:ascii="Times New Roman" w:hAnsi="Times New Roman" w:cs="Times New Roman"/>
          <w:sz w:val="20"/>
          <w:szCs w:val="20"/>
          <w:lang w:val="uz-Cyrl-UZ"/>
        </w:rPr>
        <w:t xml:space="preserve">Ruzinazarov M.R. </w:t>
      </w:r>
      <w:r w:rsidRPr="00F25080">
        <w:rPr>
          <w:rFonts w:ascii="Times New Roman" w:hAnsi="Times New Roman" w:cs="Times New Roman"/>
          <w:sz w:val="20"/>
          <w:szCs w:val="20"/>
        </w:rPr>
        <w:t xml:space="preserve">Current source converter into stabilized voltage source based on electromagnetic ferromagnetic circuit </w:t>
      </w:r>
      <w:r w:rsidRPr="00F25080">
        <w:rPr>
          <w:rFonts w:ascii="Times New Roman" w:hAnsi="Times New Roman" w:cs="Times New Roman"/>
          <w:sz w:val="20"/>
          <w:szCs w:val="20"/>
          <w:lang w:val="uz-Cyrl-UZ"/>
        </w:rPr>
        <w:t xml:space="preserve">// E3S Web of Conferences 384. 2023. РР, </w:t>
      </w:r>
      <w:r w:rsidRPr="00F25080">
        <w:rPr>
          <w:rFonts w:ascii="Times New Roman" w:hAnsi="Times New Roman" w:cs="Times New Roman"/>
          <w:sz w:val="20"/>
          <w:szCs w:val="20"/>
        </w:rPr>
        <w:t>01050</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w:instrText>
      </w:r>
      <w:r w:rsidR="005C3599">
        <w:instrText xml:space="preserve">//doi.org/10.1051/e3sconf/202338401050" </w:instrText>
      </w:r>
      <w:r w:rsidR="005C3599">
        <w:fldChar w:fldCharType="separate"/>
      </w:r>
      <w:r w:rsidRPr="00F25080">
        <w:rPr>
          <w:rStyle w:val="a6"/>
          <w:rFonts w:ascii="Times New Roman" w:hAnsi="Times New Roman" w:cs="Times New Roman"/>
          <w:sz w:val="20"/>
          <w:szCs w:val="20"/>
          <w:lang w:val="uz-Cyrl-UZ"/>
        </w:rPr>
        <w:t>https://doi.org/10.1051/e3sconf/2023384010</w:t>
      </w:r>
      <w:r w:rsidRPr="00F25080">
        <w:rPr>
          <w:rStyle w:val="a6"/>
          <w:rFonts w:ascii="Times New Roman" w:hAnsi="Times New Roman" w:cs="Times New Roman"/>
          <w:sz w:val="20"/>
          <w:szCs w:val="20"/>
        </w:rPr>
        <w:t>50</w:t>
      </w:r>
      <w:r w:rsidR="005C3599">
        <w:rPr>
          <w:rStyle w:val="a6"/>
          <w:rFonts w:ascii="Times New Roman" w:hAnsi="Times New Roman" w:cs="Times New Roman"/>
          <w:sz w:val="20"/>
          <w:szCs w:val="20"/>
        </w:rPr>
        <w:fldChar w:fldCharType="end"/>
      </w:r>
      <w:r w:rsidRPr="00F25080">
        <w:rPr>
          <w:rStyle w:val="a6"/>
          <w:rFonts w:ascii="Times New Roman" w:hAnsi="Times New Roman" w:cs="Times New Roman"/>
          <w:sz w:val="20"/>
          <w:szCs w:val="20"/>
          <w:lang w:val="uz-Cyrl-UZ"/>
        </w:rPr>
        <w:t>.</w:t>
      </w:r>
    </w:p>
    <w:p w14:paraId="4CCBE886"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F25080">
        <w:rPr>
          <w:rFonts w:ascii="Times New Roman" w:hAnsi="Times New Roman" w:cs="Times New Roman"/>
          <w:sz w:val="20"/>
          <w:szCs w:val="20"/>
        </w:rPr>
        <w:lastRenderedPageBreak/>
        <w:t>Bobojanov</w:t>
      </w:r>
      <w:proofErr w:type="spellEnd"/>
      <w:r w:rsidRPr="00F25080">
        <w:rPr>
          <w:rFonts w:ascii="Times New Roman" w:hAnsi="Times New Roman" w:cs="Times New Roman"/>
          <w:sz w:val="20"/>
          <w:szCs w:val="20"/>
        </w:rPr>
        <w:t xml:space="preserve"> M.K., </w:t>
      </w:r>
      <w:proofErr w:type="spellStart"/>
      <w:r w:rsidRPr="00F25080">
        <w:rPr>
          <w:rFonts w:ascii="Times New Roman" w:hAnsi="Times New Roman" w:cs="Times New Roman"/>
          <w:sz w:val="20"/>
          <w:szCs w:val="20"/>
        </w:rPr>
        <w:t>Rismukhamedov</w:t>
      </w:r>
      <w:proofErr w:type="spellEnd"/>
      <w:r w:rsidRPr="00F25080">
        <w:rPr>
          <w:rFonts w:ascii="Times New Roman" w:hAnsi="Times New Roman" w:cs="Times New Roman"/>
          <w:sz w:val="20"/>
          <w:szCs w:val="20"/>
        </w:rPr>
        <w:t xml:space="preserve"> D.A., </w:t>
      </w:r>
      <w:proofErr w:type="spellStart"/>
      <w:r w:rsidRPr="00F25080">
        <w:rPr>
          <w:rFonts w:ascii="Times New Roman" w:hAnsi="Times New Roman" w:cs="Times New Roman"/>
          <w:sz w:val="20"/>
          <w:szCs w:val="20"/>
        </w:rPr>
        <w:t>Tuychiev</w:t>
      </w:r>
      <w:proofErr w:type="spellEnd"/>
      <w:r w:rsidRPr="00F25080">
        <w:rPr>
          <w:rFonts w:ascii="Times New Roman" w:hAnsi="Times New Roman" w:cs="Times New Roman"/>
          <w:sz w:val="20"/>
          <w:szCs w:val="20"/>
        </w:rPr>
        <w:t xml:space="preserve"> F.N.</w:t>
      </w:r>
      <w:r w:rsidRPr="00F25080">
        <w:rPr>
          <w:rFonts w:ascii="Times New Roman" w:hAnsi="Times New Roman" w:cs="Times New Roman"/>
          <w:sz w:val="20"/>
          <w:szCs w:val="20"/>
          <w:lang w:val="uz-Cyrl-UZ"/>
        </w:rPr>
        <w:t>,</w:t>
      </w:r>
      <w:r w:rsidRPr="00F25080">
        <w:rPr>
          <w:rFonts w:ascii="Times New Roman" w:hAnsi="Times New Roman" w:cs="Times New Roman"/>
          <w:sz w:val="20"/>
          <w:szCs w:val="20"/>
        </w:rPr>
        <w:t xml:space="preserve"> </w:t>
      </w:r>
      <w:proofErr w:type="spellStart"/>
      <w:r w:rsidRPr="00F25080">
        <w:rPr>
          <w:rFonts w:ascii="Times New Roman" w:hAnsi="Times New Roman" w:cs="Times New Roman"/>
          <w:sz w:val="20"/>
          <w:szCs w:val="20"/>
        </w:rPr>
        <w:t>Shamsutdinov</w:t>
      </w:r>
      <w:proofErr w:type="spellEnd"/>
      <w:r w:rsidRPr="00F25080">
        <w:rPr>
          <w:rFonts w:ascii="Times New Roman" w:hAnsi="Times New Roman" w:cs="Times New Roman"/>
          <w:sz w:val="20"/>
          <w:szCs w:val="20"/>
        </w:rPr>
        <w:t xml:space="preserve"> </w:t>
      </w:r>
      <w:proofErr w:type="spellStart"/>
      <w:r w:rsidRPr="00F25080">
        <w:rPr>
          <w:rFonts w:ascii="Times New Roman" w:hAnsi="Times New Roman" w:cs="Times New Roman"/>
          <w:sz w:val="20"/>
          <w:szCs w:val="20"/>
        </w:rPr>
        <w:t>Kh.F</w:t>
      </w:r>
      <w:proofErr w:type="spellEnd"/>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xml:space="preserve"> Development of new pole-changing winding for lifting and transport mechanisms // E3S Web of Conferences 365. 2023. РР, 04024, 1-10. </w:t>
      </w:r>
      <w:r w:rsidR="005C3599">
        <w:fldChar w:fldCharType="begin"/>
      </w:r>
      <w:r w:rsidR="005C3599">
        <w:instrText xml:space="preserve"> HYPERLINK "https://doi.org/10.1051/e3sconf/202336504024" </w:instrText>
      </w:r>
      <w:r w:rsidR="005C3599">
        <w:fldChar w:fldCharType="separate"/>
      </w:r>
      <w:r w:rsidRPr="00F25080">
        <w:rPr>
          <w:rStyle w:val="a6"/>
          <w:rFonts w:ascii="Times New Roman" w:hAnsi="Times New Roman" w:cs="Times New Roman"/>
          <w:sz w:val="20"/>
          <w:szCs w:val="20"/>
          <w:lang w:val="uz-Cyrl-UZ"/>
        </w:rPr>
        <w:t>https://doi.org/10.1051/e3sconf/202336504024</w:t>
      </w:r>
      <w:r w:rsidR="005C3599">
        <w:rPr>
          <w:rStyle w:val="a6"/>
          <w:rFonts w:ascii="Times New Roman" w:hAnsi="Times New Roman" w:cs="Times New Roman"/>
          <w:sz w:val="20"/>
          <w:szCs w:val="20"/>
          <w:lang w:val="uz-Cyrl-UZ"/>
        </w:rPr>
        <w:fldChar w:fldCharType="end"/>
      </w:r>
      <w:r w:rsidRPr="00F25080">
        <w:rPr>
          <w:rStyle w:val="a6"/>
          <w:rFonts w:ascii="Times New Roman" w:hAnsi="Times New Roman" w:cs="Times New Roman"/>
          <w:sz w:val="20"/>
          <w:szCs w:val="20"/>
          <w:lang w:val="uz-Cyrl-UZ"/>
        </w:rPr>
        <w:t>.</w:t>
      </w:r>
    </w:p>
    <w:p w14:paraId="45A444D4"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
          <w:sz w:val="20"/>
          <w:szCs w:val="20"/>
          <w:u w:val="single"/>
          <w:lang w:val="uz-Cyrl-UZ"/>
        </w:rPr>
      </w:pPr>
      <w:r w:rsidRPr="00F25080">
        <w:rPr>
          <w:rFonts w:ascii="Times New Roman" w:hAnsi="Times New Roman" w:cs="Times New Roman"/>
          <w:sz w:val="20"/>
          <w:szCs w:val="20"/>
          <w:lang w:val="uz-Cyrl-UZ"/>
        </w:rPr>
        <w:t>Khojayorov</w:t>
      </w:r>
      <w:r w:rsidRPr="00F25080">
        <w:rPr>
          <w:rFonts w:ascii="Times New Roman" w:hAnsi="Times New Roman" w:cs="Times New Roman"/>
          <w:sz w:val="20"/>
          <w:szCs w:val="20"/>
        </w:rPr>
        <w:t xml:space="preserve"> F.</w:t>
      </w:r>
      <w:r w:rsidRPr="00F25080">
        <w:rPr>
          <w:rFonts w:ascii="Times New Roman" w:hAnsi="Times New Roman" w:cs="Times New Roman"/>
          <w:sz w:val="20"/>
          <w:szCs w:val="20"/>
          <w:lang w:val="uz-Cyrl-UZ"/>
        </w:rPr>
        <w:t>, Saidkhodjaev</w:t>
      </w:r>
      <w:r w:rsidRPr="00F25080">
        <w:rPr>
          <w:rFonts w:ascii="Times New Roman" w:hAnsi="Times New Roman" w:cs="Times New Roman"/>
          <w:sz w:val="20"/>
          <w:szCs w:val="20"/>
        </w:rPr>
        <w:t xml:space="preserve"> A. To evaluate the operational status of the transformer load using a feed-forward neural network for analysis</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01085</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"https://doi.org/10.1051/e3sconf/2023461010585" </w:instrText>
      </w:r>
      <w:r w:rsidR="005C3599">
        <w:fldChar w:fldCharType="separate"/>
      </w:r>
      <w:r w:rsidRPr="00F25080">
        <w:rPr>
          <w:rStyle w:val="a6"/>
          <w:rFonts w:ascii="Times New Roman" w:hAnsi="Times New Roman" w:cs="Times New Roman"/>
          <w:sz w:val="20"/>
          <w:szCs w:val="20"/>
          <w:lang w:val="uz-Cyrl-UZ"/>
        </w:rPr>
        <w:t>https://doi.org/10.1051/e3sconf/20234610105</w:t>
      </w:r>
      <w:r w:rsidRPr="00F25080">
        <w:rPr>
          <w:rStyle w:val="a6"/>
          <w:rFonts w:ascii="Times New Roman" w:hAnsi="Times New Roman" w:cs="Times New Roman"/>
          <w:sz w:val="20"/>
          <w:szCs w:val="20"/>
        </w:rPr>
        <w:t>85</w:t>
      </w:r>
      <w:r w:rsidR="005C3599">
        <w:rPr>
          <w:rStyle w:val="a6"/>
          <w:rFonts w:ascii="Times New Roman" w:hAnsi="Times New Roman" w:cs="Times New Roman"/>
          <w:sz w:val="20"/>
          <w:szCs w:val="20"/>
        </w:rPr>
        <w:fldChar w:fldCharType="end"/>
      </w:r>
    </w:p>
    <w:p w14:paraId="49F16549"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
          <w:sz w:val="20"/>
          <w:szCs w:val="20"/>
          <w:u w:val="single"/>
          <w:lang w:val="uz-Cyrl-UZ"/>
        </w:rPr>
      </w:pPr>
      <w:r w:rsidRPr="00F25080">
        <w:rPr>
          <w:rFonts w:ascii="Times New Roman" w:hAnsi="Times New Roman" w:cs="Times New Roman"/>
          <w:sz w:val="20"/>
          <w:szCs w:val="20"/>
          <w:lang w:val="uz-Cyrl-UZ"/>
        </w:rPr>
        <w:t>Saidkhodjaev</w:t>
      </w:r>
      <w:r w:rsidRPr="00F25080">
        <w:rPr>
          <w:rFonts w:ascii="Times New Roman" w:hAnsi="Times New Roman" w:cs="Times New Roman"/>
          <w:sz w:val="20"/>
          <w:szCs w:val="20"/>
        </w:rPr>
        <w:t xml:space="preserve"> A.</w:t>
      </w:r>
      <w:r w:rsidRPr="00F25080">
        <w:rPr>
          <w:rFonts w:ascii="Times New Roman" w:hAnsi="Times New Roman" w:cs="Times New Roman"/>
          <w:sz w:val="20"/>
          <w:szCs w:val="20"/>
          <w:lang w:val="uz-Cyrl-UZ"/>
        </w:rPr>
        <w:t>, Khojayorov</w:t>
      </w:r>
      <w:r w:rsidRPr="00F25080">
        <w:rPr>
          <w:rFonts w:ascii="Times New Roman" w:hAnsi="Times New Roman" w:cs="Times New Roman"/>
          <w:sz w:val="20"/>
          <w:szCs w:val="20"/>
        </w:rPr>
        <w:t xml:space="preserve"> F. Development of the theory of complexly closed city electrical networks</w:t>
      </w:r>
      <w:r w:rsidRPr="00F25080">
        <w:rPr>
          <w:rFonts w:ascii="Times New Roman" w:hAnsi="Times New Roman" w:cs="Times New Roman"/>
          <w:sz w:val="20"/>
          <w:szCs w:val="20"/>
          <w:lang w:val="uz-Cyrl-UZ"/>
        </w:rPr>
        <w:t xml:space="preserve"> // E3S </w:t>
      </w:r>
      <w:bookmarkStart w:id="9" w:name="_Hlk154483994"/>
      <w:r w:rsidRPr="00F25080">
        <w:rPr>
          <w:rFonts w:ascii="Times New Roman" w:hAnsi="Times New Roman" w:cs="Times New Roman"/>
          <w:sz w:val="20"/>
          <w:szCs w:val="20"/>
          <w:lang w:val="uz-Cyrl-UZ"/>
        </w:rPr>
        <w:t xml:space="preserve">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01086</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"https://doi.org/10.1051/e3sconf/202346101086" </w:instrText>
      </w:r>
      <w:r w:rsidR="005C3599">
        <w:fldChar w:fldCharType="separate"/>
      </w:r>
      <w:r w:rsidRPr="00F25080">
        <w:rPr>
          <w:rStyle w:val="a6"/>
          <w:rFonts w:ascii="Times New Roman" w:hAnsi="Times New Roman" w:cs="Times New Roman"/>
          <w:sz w:val="20"/>
          <w:szCs w:val="20"/>
          <w:lang w:val="uz-Cyrl-UZ"/>
        </w:rPr>
        <w:t>https://doi.org/10.1051/e3sconf/202346101086</w:t>
      </w:r>
      <w:r w:rsidR="005C3599">
        <w:rPr>
          <w:rStyle w:val="a6"/>
          <w:rFonts w:ascii="Times New Roman" w:hAnsi="Times New Roman" w:cs="Times New Roman"/>
          <w:sz w:val="20"/>
          <w:szCs w:val="20"/>
          <w:lang w:val="uz-Cyrl-UZ"/>
        </w:rPr>
        <w:fldChar w:fldCharType="end"/>
      </w:r>
    </w:p>
    <w:p w14:paraId="4CC78D6A"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bookmarkStart w:id="10" w:name="_Hlk154483642"/>
      <w:r w:rsidRPr="00F25080">
        <w:rPr>
          <w:rFonts w:ascii="Times New Roman" w:hAnsi="Times New Roman" w:cs="Times New Roman"/>
          <w:sz w:val="20"/>
          <w:szCs w:val="20"/>
          <w:lang w:val="uz-Cyrl-UZ"/>
        </w:rPr>
        <w:t>Niyozov</w:t>
      </w:r>
      <w:r w:rsidRPr="00F25080">
        <w:rPr>
          <w:rFonts w:ascii="Times New Roman" w:hAnsi="Times New Roman" w:cs="Times New Roman"/>
          <w:sz w:val="20"/>
          <w:szCs w:val="20"/>
        </w:rPr>
        <w:t xml:space="preserve"> N.</w:t>
      </w:r>
      <w:r w:rsidRPr="00F25080">
        <w:rPr>
          <w:rFonts w:ascii="Times New Roman" w:hAnsi="Times New Roman" w:cs="Times New Roman"/>
          <w:sz w:val="20"/>
          <w:szCs w:val="20"/>
          <w:lang w:val="uz-Cyrl-UZ"/>
        </w:rPr>
        <w:t>, Saburov</w:t>
      </w:r>
      <w:r w:rsidRPr="00F25080">
        <w:rPr>
          <w:rFonts w:ascii="Times New Roman" w:hAnsi="Times New Roman" w:cs="Times New Roman"/>
          <w:sz w:val="20"/>
          <w:szCs w:val="20"/>
        </w:rPr>
        <w:t xml:space="preserve"> S.</w:t>
      </w:r>
      <w:r w:rsidRPr="00F25080">
        <w:rPr>
          <w:rFonts w:ascii="Times New Roman" w:hAnsi="Times New Roman" w:cs="Times New Roman"/>
          <w:sz w:val="20"/>
          <w:szCs w:val="20"/>
          <w:lang w:val="uz-Cyrl-UZ"/>
        </w:rPr>
        <w:t>, Ganiyev</w:t>
      </w:r>
      <w:r w:rsidRPr="00F25080">
        <w:rPr>
          <w:rFonts w:ascii="Times New Roman" w:hAnsi="Times New Roman" w:cs="Times New Roman"/>
          <w:sz w:val="20"/>
          <w:szCs w:val="20"/>
        </w:rPr>
        <w:t xml:space="preserve"> Sh.</w:t>
      </w:r>
      <w:r w:rsidRPr="00F25080">
        <w:rPr>
          <w:rFonts w:ascii="Times New Roman" w:hAnsi="Times New Roman" w:cs="Times New Roman"/>
          <w:sz w:val="20"/>
          <w:szCs w:val="20"/>
          <w:lang w:val="uz-Cyrl-UZ"/>
        </w:rPr>
        <w:t>, Olimov</w:t>
      </w:r>
      <w:r w:rsidRPr="00F25080">
        <w:rPr>
          <w:rFonts w:ascii="Times New Roman" w:hAnsi="Times New Roman" w:cs="Times New Roman"/>
          <w:sz w:val="20"/>
          <w:szCs w:val="20"/>
        </w:rPr>
        <w:t xml:space="preserve"> Sh. AI-Powered Learning: Revolutionizing Technical Higher Education Institutions through Advanced Power Supply Fundamentals</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01092</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"https://doi.org/10.1051/e3sconf/202346101092" </w:instrText>
      </w:r>
      <w:r w:rsidR="005C3599">
        <w:fldChar w:fldCharType="separate"/>
      </w:r>
      <w:r w:rsidRPr="00F25080">
        <w:rPr>
          <w:rStyle w:val="a6"/>
          <w:rFonts w:ascii="Times New Roman" w:hAnsi="Times New Roman" w:cs="Times New Roman"/>
          <w:sz w:val="20"/>
          <w:szCs w:val="20"/>
          <w:lang w:val="uz-Cyrl-UZ"/>
        </w:rPr>
        <w:t>https://doi.org/10.1051/e3sconf/202346101092</w:t>
      </w:r>
      <w:r w:rsidR="005C3599">
        <w:rPr>
          <w:rStyle w:val="a6"/>
          <w:rFonts w:ascii="Times New Roman" w:hAnsi="Times New Roman" w:cs="Times New Roman"/>
          <w:sz w:val="20"/>
          <w:szCs w:val="20"/>
          <w:lang w:val="uz-Cyrl-UZ"/>
        </w:rPr>
        <w:fldChar w:fldCharType="end"/>
      </w:r>
    </w:p>
    <w:p w14:paraId="1E890AEE"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r w:rsidRPr="00F25080">
        <w:rPr>
          <w:rFonts w:ascii="Times New Roman" w:hAnsi="Times New Roman" w:cs="Times New Roman"/>
          <w:sz w:val="20"/>
          <w:szCs w:val="20"/>
          <w:lang w:val="uz-Cyrl-UZ"/>
        </w:rPr>
        <w:t>Niyozov N., Bijanov A., Ganiyev</w:t>
      </w:r>
      <w:r w:rsidRPr="00F25080">
        <w:rPr>
          <w:rFonts w:ascii="Times New Roman" w:hAnsi="Times New Roman" w:cs="Times New Roman"/>
          <w:sz w:val="20"/>
          <w:szCs w:val="20"/>
        </w:rPr>
        <w:t xml:space="preserve"> Sh.</w:t>
      </w:r>
      <w:r w:rsidRPr="00F25080">
        <w:rPr>
          <w:rFonts w:ascii="Times New Roman" w:hAnsi="Times New Roman" w:cs="Times New Roman"/>
          <w:sz w:val="20"/>
          <w:szCs w:val="20"/>
          <w:lang w:val="uz-Cyrl-UZ"/>
        </w:rPr>
        <w:t>, Kurbonova</w:t>
      </w:r>
      <w:r w:rsidRPr="00F25080">
        <w:rPr>
          <w:rFonts w:ascii="Times New Roman" w:hAnsi="Times New Roman" w:cs="Times New Roman"/>
          <w:sz w:val="20"/>
          <w:szCs w:val="20"/>
        </w:rPr>
        <w:t xml:space="preserve"> R</w:t>
      </w:r>
      <w:r w:rsidRPr="00F25080">
        <w:rPr>
          <w:rFonts w:ascii="Times New Roman" w:hAnsi="Times New Roman" w:cs="Times New Roman"/>
          <w:sz w:val="20"/>
          <w:szCs w:val="20"/>
          <w:lang w:val="uz-Cyrl-UZ"/>
        </w:rPr>
        <w:t xml:space="preserve">. </w:t>
      </w:r>
      <w:r w:rsidRPr="00F25080">
        <w:rPr>
          <w:rFonts w:ascii="Times New Roman" w:hAnsi="Times New Roman" w:cs="Times New Roman"/>
          <w:sz w:val="20"/>
          <w:szCs w:val="20"/>
        </w:rPr>
        <w:t xml:space="preserve">The Pedagogical Principles and Effectiveness of Utilizing </w:t>
      </w:r>
      <w:proofErr w:type="spellStart"/>
      <w:r w:rsidRPr="00F25080">
        <w:rPr>
          <w:rFonts w:ascii="Times New Roman" w:hAnsi="Times New Roman" w:cs="Times New Roman"/>
          <w:sz w:val="20"/>
          <w:szCs w:val="20"/>
        </w:rPr>
        <w:t>ChatGPT</w:t>
      </w:r>
      <w:proofErr w:type="spellEnd"/>
      <w:r w:rsidRPr="00F25080">
        <w:rPr>
          <w:rFonts w:ascii="Times New Roman" w:hAnsi="Times New Roman" w:cs="Times New Roman"/>
          <w:sz w:val="20"/>
          <w:szCs w:val="20"/>
        </w:rPr>
        <w:t xml:space="preserve"> for Language Learning</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01093</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"https://doi.org/10.1051/e3sconf/202346101093" </w:instrText>
      </w:r>
      <w:r w:rsidR="005C3599">
        <w:fldChar w:fldCharType="separate"/>
      </w:r>
      <w:r w:rsidRPr="00F25080">
        <w:rPr>
          <w:rStyle w:val="a6"/>
          <w:rFonts w:ascii="Times New Roman" w:hAnsi="Times New Roman" w:cs="Times New Roman"/>
          <w:sz w:val="20"/>
          <w:szCs w:val="20"/>
          <w:lang w:val="uz-Cyrl-UZ"/>
        </w:rPr>
        <w:t>https://doi.org/10.1051/e3sconf/202346101093</w:t>
      </w:r>
      <w:r w:rsidR="005C3599">
        <w:rPr>
          <w:rStyle w:val="a6"/>
          <w:rFonts w:ascii="Times New Roman" w:hAnsi="Times New Roman" w:cs="Times New Roman"/>
          <w:sz w:val="20"/>
          <w:szCs w:val="20"/>
          <w:lang w:val="uz-Cyrl-UZ"/>
        </w:rPr>
        <w:fldChar w:fldCharType="end"/>
      </w:r>
    </w:p>
    <w:p w14:paraId="0A7503C3"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r w:rsidRPr="00F25080">
        <w:rPr>
          <w:rFonts w:ascii="Times New Roman" w:hAnsi="Times New Roman" w:cs="Times New Roman"/>
          <w:sz w:val="20"/>
          <w:szCs w:val="20"/>
          <w:lang w:val="uz-Cyrl-UZ"/>
        </w:rPr>
        <w:t>Omonov</w:t>
      </w:r>
      <w:r w:rsidRPr="00F25080">
        <w:rPr>
          <w:rFonts w:ascii="Times New Roman" w:hAnsi="Times New Roman" w:cs="Times New Roman"/>
          <w:sz w:val="20"/>
          <w:szCs w:val="20"/>
        </w:rPr>
        <w:t xml:space="preserve"> F.</w:t>
      </w:r>
      <w:r w:rsidRPr="00F25080">
        <w:rPr>
          <w:rFonts w:ascii="Times New Roman" w:hAnsi="Times New Roman" w:cs="Times New Roman"/>
          <w:sz w:val="20"/>
          <w:szCs w:val="20"/>
          <w:lang w:val="uz-Cyrl-UZ"/>
        </w:rPr>
        <w:t>, Kurbonov</w:t>
      </w:r>
      <w:r w:rsidRPr="00F25080">
        <w:rPr>
          <w:rFonts w:ascii="Times New Roman" w:hAnsi="Times New Roman" w:cs="Times New Roman"/>
          <w:sz w:val="20"/>
          <w:szCs w:val="20"/>
        </w:rPr>
        <w:t xml:space="preserve"> N.</w:t>
      </w:r>
      <w:r w:rsidRPr="00F25080">
        <w:rPr>
          <w:rFonts w:ascii="Times New Roman" w:hAnsi="Times New Roman" w:cs="Times New Roman"/>
          <w:sz w:val="20"/>
          <w:szCs w:val="20"/>
          <w:lang w:val="uz-Cyrl-UZ"/>
        </w:rPr>
        <w:t>, Obidov</w:t>
      </w:r>
      <w:r w:rsidRPr="00F25080">
        <w:rPr>
          <w:rFonts w:ascii="Times New Roman" w:hAnsi="Times New Roman" w:cs="Times New Roman"/>
          <w:sz w:val="20"/>
          <w:szCs w:val="20"/>
        </w:rPr>
        <w:t xml:space="preserve"> K.</w:t>
      </w:r>
      <w:r w:rsidRPr="00F25080">
        <w:rPr>
          <w:rFonts w:ascii="Times New Roman" w:hAnsi="Times New Roman" w:cs="Times New Roman"/>
          <w:sz w:val="20"/>
          <w:szCs w:val="20"/>
          <w:lang w:val="uz-Cyrl-UZ"/>
        </w:rPr>
        <w:t>, Koptleulov</w:t>
      </w:r>
      <w:r w:rsidRPr="00F25080">
        <w:rPr>
          <w:rFonts w:ascii="Times New Roman" w:hAnsi="Times New Roman" w:cs="Times New Roman"/>
          <w:sz w:val="20"/>
          <w:szCs w:val="20"/>
        </w:rPr>
        <w:t xml:space="preserve"> T. Improving the method for selecting elements of an automated electrical device</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01094</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r w:rsidR="005C3599">
        <w:fldChar w:fldCharType="begin"/>
      </w:r>
      <w:r w:rsidR="005C3599">
        <w:instrText xml:space="preserve"> HYPERLINK "https://doi.org/10.1051/e3sconf/202346101094" </w:instrText>
      </w:r>
      <w:r w:rsidR="005C3599">
        <w:fldChar w:fldCharType="separate"/>
      </w:r>
      <w:r w:rsidRPr="00F25080">
        <w:rPr>
          <w:rStyle w:val="a6"/>
          <w:rFonts w:ascii="Times New Roman" w:hAnsi="Times New Roman" w:cs="Times New Roman"/>
          <w:sz w:val="20"/>
          <w:szCs w:val="20"/>
          <w:lang w:val="uz-Cyrl-UZ"/>
        </w:rPr>
        <w:t>https://doi.org/10.1051/e3sconf/202346101094</w:t>
      </w:r>
      <w:r w:rsidR="005C3599">
        <w:rPr>
          <w:rStyle w:val="a6"/>
          <w:rFonts w:ascii="Times New Roman" w:hAnsi="Times New Roman" w:cs="Times New Roman"/>
          <w:sz w:val="20"/>
          <w:szCs w:val="20"/>
          <w:lang w:val="uz-Cyrl-UZ"/>
        </w:rPr>
        <w:fldChar w:fldCharType="end"/>
      </w:r>
    </w:p>
    <w:p w14:paraId="461E0544"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r w:rsidRPr="00F25080">
        <w:rPr>
          <w:rFonts w:ascii="Times New Roman" w:hAnsi="Times New Roman" w:cs="Times New Roman"/>
          <w:sz w:val="20"/>
          <w:szCs w:val="20"/>
          <w:lang w:val="uz-Cyrl-UZ"/>
        </w:rPr>
        <w:t>Jalilova</w:t>
      </w:r>
      <w:r w:rsidRPr="00F25080">
        <w:rPr>
          <w:rFonts w:ascii="Times New Roman" w:hAnsi="Times New Roman" w:cs="Times New Roman"/>
          <w:sz w:val="20"/>
          <w:szCs w:val="20"/>
        </w:rPr>
        <w:t xml:space="preserve"> D.</w:t>
      </w:r>
      <w:r w:rsidRPr="00F25080">
        <w:rPr>
          <w:rFonts w:ascii="Times New Roman" w:hAnsi="Times New Roman" w:cs="Times New Roman"/>
          <w:sz w:val="20"/>
          <w:szCs w:val="20"/>
          <w:lang w:val="uz-Cyrl-UZ"/>
        </w:rPr>
        <w:t>, Najimova</w:t>
      </w:r>
      <w:r w:rsidRPr="00F25080">
        <w:rPr>
          <w:rFonts w:ascii="Times New Roman" w:hAnsi="Times New Roman" w:cs="Times New Roman"/>
          <w:sz w:val="20"/>
          <w:szCs w:val="20"/>
        </w:rPr>
        <w:t xml:space="preserve"> A.</w:t>
      </w:r>
      <w:r w:rsidRPr="00F25080">
        <w:rPr>
          <w:rFonts w:ascii="Times New Roman" w:hAnsi="Times New Roman" w:cs="Times New Roman"/>
          <w:sz w:val="20"/>
          <w:szCs w:val="20"/>
          <w:lang w:val="uz-Cyrl-UZ"/>
        </w:rPr>
        <w:t>, Khalikova</w:t>
      </w:r>
      <w:r w:rsidRPr="00F25080">
        <w:rPr>
          <w:rFonts w:ascii="Times New Roman" w:hAnsi="Times New Roman" w:cs="Times New Roman"/>
          <w:sz w:val="20"/>
          <w:szCs w:val="20"/>
        </w:rPr>
        <w:t xml:space="preserve"> </w:t>
      </w:r>
      <w:proofErr w:type="spellStart"/>
      <w:r w:rsidRPr="00F25080">
        <w:rPr>
          <w:rFonts w:ascii="Times New Roman" w:hAnsi="Times New Roman" w:cs="Times New Roman"/>
          <w:sz w:val="20"/>
          <w:szCs w:val="20"/>
        </w:rPr>
        <w:t>Kh</w:t>
      </w:r>
      <w:proofErr w:type="spellEnd"/>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Akbarova</w:t>
      </w:r>
      <w:r w:rsidRPr="00F25080">
        <w:rPr>
          <w:rFonts w:ascii="Times New Roman" w:hAnsi="Times New Roman" w:cs="Times New Roman"/>
          <w:sz w:val="20"/>
          <w:szCs w:val="20"/>
        </w:rPr>
        <w:t xml:space="preserve"> Sh. Energy efficiency of energy-intensive productions and technologies</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01095</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hyperlink r:id="rId17" w:history="1">
        <w:r w:rsidRPr="00F25080">
          <w:rPr>
            <w:rStyle w:val="a6"/>
            <w:rFonts w:ascii="Times New Roman" w:hAnsi="Times New Roman" w:cs="Times New Roman"/>
            <w:sz w:val="20"/>
            <w:szCs w:val="20"/>
            <w:lang w:val="uz-Cyrl-UZ"/>
          </w:rPr>
          <w:t>https://doi.org/10.1051/e3sconf/202346101095</w:t>
        </w:r>
      </w:hyperlink>
    </w:p>
    <w:p w14:paraId="08BCC8BD"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r w:rsidRPr="00F25080">
        <w:rPr>
          <w:rFonts w:ascii="Times New Roman" w:hAnsi="Times New Roman" w:cs="Times New Roman"/>
          <w:sz w:val="20"/>
          <w:szCs w:val="20"/>
          <w:lang w:val="uz-Cyrl-UZ"/>
        </w:rPr>
        <w:t>Jalilova</w:t>
      </w:r>
      <w:r w:rsidRPr="00F25080">
        <w:rPr>
          <w:rFonts w:ascii="Times New Roman" w:hAnsi="Times New Roman" w:cs="Times New Roman"/>
          <w:sz w:val="20"/>
          <w:szCs w:val="20"/>
        </w:rPr>
        <w:t xml:space="preserve"> D.</w:t>
      </w:r>
      <w:r w:rsidRPr="00F25080">
        <w:rPr>
          <w:rFonts w:ascii="Times New Roman" w:hAnsi="Times New Roman" w:cs="Times New Roman"/>
          <w:sz w:val="20"/>
          <w:szCs w:val="20"/>
          <w:lang w:val="uz-Cyrl-UZ"/>
        </w:rPr>
        <w:t>, Kurbonova</w:t>
      </w:r>
      <w:r w:rsidRPr="00F25080">
        <w:rPr>
          <w:rFonts w:ascii="Times New Roman" w:hAnsi="Times New Roman" w:cs="Times New Roman"/>
          <w:sz w:val="20"/>
          <w:szCs w:val="20"/>
        </w:rPr>
        <w:t xml:space="preserve"> R.</w:t>
      </w:r>
      <w:r w:rsidRPr="00F25080">
        <w:rPr>
          <w:rFonts w:ascii="Times New Roman" w:hAnsi="Times New Roman" w:cs="Times New Roman"/>
          <w:sz w:val="20"/>
          <w:szCs w:val="20"/>
          <w:lang w:val="uz-Cyrl-UZ"/>
        </w:rPr>
        <w:t>, Erejepov</w:t>
      </w:r>
      <w:r w:rsidRPr="00F25080">
        <w:rPr>
          <w:rFonts w:ascii="Times New Roman" w:hAnsi="Times New Roman" w:cs="Times New Roman"/>
          <w:sz w:val="20"/>
          <w:szCs w:val="20"/>
        </w:rPr>
        <w:t xml:space="preserve"> M.</w:t>
      </w:r>
      <w:r w:rsidRPr="00F25080">
        <w:rPr>
          <w:rFonts w:ascii="Times New Roman" w:hAnsi="Times New Roman" w:cs="Times New Roman"/>
          <w:sz w:val="20"/>
          <w:szCs w:val="20"/>
          <w:lang w:val="uz-Cyrl-UZ"/>
        </w:rPr>
        <w:t>, Nematov</w:t>
      </w:r>
      <w:r w:rsidRPr="00F25080">
        <w:rPr>
          <w:rFonts w:ascii="Times New Roman" w:hAnsi="Times New Roman" w:cs="Times New Roman"/>
          <w:sz w:val="20"/>
          <w:szCs w:val="20"/>
        </w:rPr>
        <w:t xml:space="preserve"> L. Development and Analysis of Logical Scenario Design in Virtual Reality Laboratories for Higher Education Institutions</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01097</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hyperlink r:id="rId18" w:history="1">
        <w:r w:rsidRPr="00F25080">
          <w:rPr>
            <w:rStyle w:val="a6"/>
            <w:rFonts w:ascii="Times New Roman" w:hAnsi="Times New Roman" w:cs="Times New Roman"/>
            <w:sz w:val="20"/>
            <w:szCs w:val="20"/>
            <w:lang w:val="uz-Cyrl-UZ"/>
          </w:rPr>
          <w:t>https://doi.org/10.1051/e3sconf/202346101097</w:t>
        </w:r>
      </w:hyperlink>
    </w:p>
    <w:p w14:paraId="4D6DB5A1"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r w:rsidRPr="00F25080">
        <w:rPr>
          <w:rFonts w:ascii="Times New Roman" w:hAnsi="Times New Roman" w:cs="Times New Roman"/>
          <w:sz w:val="20"/>
          <w:szCs w:val="20"/>
          <w:lang w:val="uz-Cyrl-UZ"/>
        </w:rPr>
        <w:t>Kurbonov</w:t>
      </w:r>
      <w:r w:rsidRPr="00F25080">
        <w:rPr>
          <w:rFonts w:ascii="Times New Roman" w:hAnsi="Times New Roman" w:cs="Times New Roman"/>
          <w:sz w:val="20"/>
          <w:szCs w:val="20"/>
        </w:rPr>
        <w:t xml:space="preserve"> N.</w:t>
      </w:r>
      <w:r w:rsidRPr="00F25080">
        <w:rPr>
          <w:rFonts w:ascii="Times New Roman" w:hAnsi="Times New Roman" w:cs="Times New Roman"/>
          <w:sz w:val="20"/>
          <w:szCs w:val="20"/>
          <w:lang w:val="uz-Cyrl-UZ"/>
        </w:rPr>
        <w:t>, Sattarov</w:t>
      </w:r>
      <w:r w:rsidRPr="00F25080">
        <w:rPr>
          <w:rFonts w:ascii="Times New Roman" w:hAnsi="Times New Roman" w:cs="Times New Roman"/>
          <w:sz w:val="20"/>
          <w:szCs w:val="20"/>
        </w:rPr>
        <w:t xml:space="preserve"> </w:t>
      </w:r>
      <w:r w:rsidRPr="00F25080">
        <w:rPr>
          <w:rFonts w:ascii="Times New Roman" w:hAnsi="Times New Roman" w:cs="Times New Roman"/>
          <w:sz w:val="20"/>
          <w:szCs w:val="20"/>
          <w:lang w:val="uz-Cyrl-UZ"/>
        </w:rPr>
        <w:t>Kh</w:t>
      </w:r>
      <w:r w:rsidRPr="00F25080">
        <w:rPr>
          <w:rFonts w:ascii="Times New Roman" w:hAnsi="Times New Roman" w:cs="Times New Roman"/>
          <w:sz w:val="20"/>
          <w:szCs w:val="20"/>
        </w:rPr>
        <w:t>.</w:t>
      </w:r>
      <w:r w:rsidRPr="00F25080">
        <w:rPr>
          <w:rFonts w:ascii="Times New Roman" w:hAnsi="Times New Roman" w:cs="Times New Roman"/>
          <w:sz w:val="20"/>
          <w:szCs w:val="20"/>
          <w:lang w:val="uz-Cyrl-UZ"/>
        </w:rPr>
        <w:t>, Latipov</w:t>
      </w:r>
      <w:r w:rsidRPr="00F25080">
        <w:rPr>
          <w:rFonts w:ascii="Times New Roman" w:hAnsi="Times New Roman" w:cs="Times New Roman"/>
          <w:sz w:val="20"/>
          <w:szCs w:val="20"/>
        </w:rPr>
        <w:t xml:space="preserve"> S.</w:t>
      </w:r>
      <w:r w:rsidRPr="00F25080">
        <w:rPr>
          <w:rFonts w:ascii="Times New Roman" w:hAnsi="Times New Roman" w:cs="Times New Roman"/>
          <w:sz w:val="20"/>
          <w:szCs w:val="20"/>
          <w:lang w:val="uz-Cyrl-UZ"/>
        </w:rPr>
        <w:t>, Sayfiev</w:t>
      </w:r>
      <w:r w:rsidRPr="00F25080">
        <w:rPr>
          <w:rFonts w:ascii="Times New Roman" w:hAnsi="Times New Roman" w:cs="Times New Roman"/>
          <w:sz w:val="20"/>
          <w:szCs w:val="20"/>
        </w:rPr>
        <w:t xml:space="preserve"> S. Developing Logical Steps to Integrate Technical University Students into the Virtual Reality Laboratory Learning Environment</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01098</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hyperlink r:id="rId19" w:history="1">
        <w:r w:rsidRPr="00F25080">
          <w:rPr>
            <w:rStyle w:val="a6"/>
            <w:rFonts w:ascii="Times New Roman" w:hAnsi="Times New Roman" w:cs="Times New Roman"/>
            <w:sz w:val="20"/>
            <w:szCs w:val="20"/>
            <w:lang w:val="uz-Cyrl-UZ"/>
          </w:rPr>
          <w:t>https://doi.org/10.1051/e3sconf/202346101098</w:t>
        </w:r>
      </w:hyperlink>
    </w:p>
    <w:bookmarkEnd w:id="9"/>
    <w:p w14:paraId="04DDB975" w14:textId="77777777" w:rsidR="00147D01" w:rsidRPr="00F25080"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sz w:val="20"/>
          <w:szCs w:val="20"/>
          <w:lang w:val="uz-Cyrl-UZ"/>
        </w:rPr>
      </w:pPr>
      <w:r w:rsidRPr="00F25080">
        <w:rPr>
          <w:rFonts w:ascii="Times New Roman" w:hAnsi="Times New Roman" w:cs="Times New Roman"/>
          <w:sz w:val="20"/>
          <w:szCs w:val="20"/>
          <w:lang w:val="uz-Cyrl-UZ"/>
        </w:rPr>
        <w:t>Mamarasulova</w:t>
      </w:r>
      <w:r w:rsidRPr="00F25080">
        <w:rPr>
          <w:rFonts w:ascii="Times New Roman" w:hAnsi="Times New Roman" w:cs="Times New Roman"/>
          <w:sz w:val="20"/>
          <w:szCs w:val="20"/>
        </w:rPr>
        <w:t xml:space="preserve"> F.</w:t>
      </w:r>
      <w:r w:rsidRPr="00F25080">
        <w:rPr>
          <w:rFonts w:ascii="Times New Roman" w:hAnsi="Times New Roman" w:cs="Times New Roman"/>
          <w:sz w:val="20"/>
          <w:szCs w:val="20"/>
          <w:lang w:val="uz-Cyrl-UZ"/>
        </w:rPr>
        <w:t>, Bobojonov</w:t>
      </w:r>
      <w:r w:rsidRPr="00F25080">
        <w:rPr>
          <w:rFonts w:ascii="Times New Roman" w:hAnsi="Times New Roman" w:cs="Times New Roman"/>
          <w:sz w:val="20"/>
          <w:szCs w:val="20"/>
        </w:rPr>
        <w:t xml:space="preserve"> Y.</w:t>
      </w:r>
      <w:r w:rsidRPr="00F25080">
        <w:rPr>
          <w:rFonts w:ascii="Times New Roman" w:hAnsi="Times New Roman" w:cs="Times New Roman"/>
          <w:sz w:val="20"/>
          <w:szCs w:val="20"/>
          <w:lang w:val="uz-Cyrl-UZ"/>
        </w:rPr>
        <w:t>, Djurayev</w:t>
      </w:r>
      <w:r w:rsidRPr="00F25080">
        <w:rPr>
          <w:rFonts w:ascii="Times New Roman" w:hAnsi="Times New Roman" w:cs="Times New Roman"/>
          <w:sz w:val="20"/>
          <w:szCs w:val="20"/>
        </w:rPr>
        <w:t xml:space="preserve"> Sh.</w:t>
      </w:r>
      <w:r w:rsidRPr="00F25080">
        <w:rPr>
          <w:rFonts w:ascii="Times New Roman" w:hAnsi="Times New Roman" w:cs="Times New Roman"/>
          <w:sz w:val="20"/>
          <w:szCs w:val="20"/>
          <w:lang w:val="uz-Cyrl-UZ"/>
        </w:rPr>
        <w:t>, Karimova</w:t>
      </w:r>
      <w:r w:rsidRPr="00F25080">
        <w:rPr>
          <w:rFonts w:ascii="Times New Roman" w:hAnsi="Times New Roman" w:cs="Times New Roman"/>
          <w:sz w:val="20"/>
          <w:szCs w:val="20"/>
        </w:rPr>
        <w:t xml:space="preserve"> N. Stimulating environmental protection activities in the energy sector</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01099</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4</w:t>
      </w:r>
      <w:r w:rsidRPr="00F25080">
        <w:rPr>
          <w:rFonts w:ascii="Times New Roman" w:hAnsi="Times New Roman" w:cs="Times New Roman"/>
          <w:sz w:val="20"/>
          <w:szCs w:val="20"/>
          <w:lang w:val="uz-Cyrl-UZ"/>
        </w:rPr>
        <w:t xml:space="preserve">. </w:t>
      </w:r>
      <w:hyperlink r:id="rId20" w:history="1">
        <w:r w:rsidRPr="00F25080">
          <w:rPr>
            <w:rStyle w:val="a6"/>
            <w:rFonts w:ascii="Times New Roman" w:hAnsi="Times New Roman" w:cs="Times New Roman"/>
            <w:sz w:val="20"/>
            <w:szCs w:val="20"/>
            <w:lang w:val="uz-Cyrl-UZ"/>
          </w:rPr>
          <w:t>https://doi.org/10.1051/e3sconf/202346101099</w:t>
        </w:r>
      </w:hyperlink>
    </w:p>
    <w:p w14:paraId="2CE1EF48" w14:textId="7C4DAF54" w:rsidR="00D80C1F" w:rsidRPr="00AA0519" w:rsidRDefault="00147D01" w:rsidP="00147D01">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bCs/>
          <w:color w:val="0563C1" w:themeColor="hyperlink"/>
          <w:sz w:val="20"/>
          <w:szCs w:val="20"/>
          <w:u w:val="single"/>
          <w:lang w:val="uz-Cyrl-UZ"/>
        </w:rPr>
      </w:pPr>
      <w:r w:rsidRPr="00F25080">
        <w:rPr>
          <w:rFonts w:ascii="Times New Roman" w:hAnsi="Times New Roman" w:cs="Times New Roman"/>
          <w:sz w:val="20"/>
          <w:szCs w:val="20"/>
          <w:lang w:val="uz-Cyrl-UZ"/>
        </w:rPr>
        <w:t>Rafikova</w:t>
      </w:r>
      <w:r w:rsidRPr="00F25080">
        <w:rPr>
          <w:rFonts w:ascii="Times New Roman" w:hAnsi="Times New Roman" w:cs="Times New Roman"/>
          <w:sz w:val="20"/>
          <w:szCs w:val="20"/>
        </w:rPr>
        <w:t xml:space="preserve"> G.</w:t>
      </w:r>
      <w:r w:rsidRPr="00F25080">
        <w:rPr>
          <w:rFonts w:ascii="Times New Roman" w:hAnsi="Times New Roman" w:cs="Times New Roman"/>
          <w:sz w:val="20"/>
          <w:szCs w:val="20"/>
          <w:lang w:val="uz-Cyrl-UZ"/>
        </w:rPr>
        <w:t>, Mustaev</w:t>
      </w:r>
      <w:r w:rsidRPr="00F25080">
        <w:rPr>
          <w:rFonts w:ascii="Times New Roman" w:hAnsi="Times New Roman" w:cs="Times New Roman"/>
          <w:sz w:val="20"/>
          <w:szCs w:val="20"/>
        </w:rPr>
        <w:t xml:space="preserve"> R.,</w:t>
      </w:r>
      <w:r w:rsidRPr="00F25080">
        <w:rPr>
          <w:rFonts w:ascii="Times New Roman" w:hAnsi="Times New Roman" w:cs="Times New Roman"/>
          <w:sz w:val="20"/>
          <w:szCs w:val="20"/>
          <w:lang w:val="uz-Cyrl-UZ"/>
        </w:rPr>
        <w:t xml:space="preserve"> Pirimov</w:t>
      </w:r>
      <w:r w:rsidRPr="00F25080">
        <w:rPr>
          <w:rFonts w:ascii="Times New Roman" w:hAnsi="Times New Roman" w:cs="Times New Roman"/>
          <w:sz w:val="20"/>
          <w:szCs w:val="20"/>
        </w:rPr>
        <w:t xml:space="preserve"> R.</w:t>
      </w:r>
      <w:r w:rsidRPr="00F25080">
        <w:rPr>
          <w:rFonts w:ascii="Times New Roman" w:hAnsi="Times New Roman" w:cs="Times New Roman"/>
          <w:sz w:val="20"/>
          <w:szCs w:val="20"/>
          <w:lang w:val="uz-Cyrl-UZ"/>
        </w:rPr>
        <w:t>, Zokirova</w:t>
      </w:r>
      <w:r w:rsidRPr="00F25080">
        <w:rPr>
          <w:rFonts w:ascii="Times New Roman" w:hAnsi="Times New Roman" w:cs="Times New Roman"/>
          <w:sz w:val="20"/>
          <w:szCs w:val="20"/>
        </w:rPr>
        <w:t xml:space="preserve"> F. Increasing the environmental cleanness of industrial enterprises</w:t>
      </w:r>
      <w:r w:rsidRPr="00F25080">
        <w:rPr>
          <w:rFonts w:ascii="Times New Roman" w:hAnsi="Times New Roman" w:cs="Times New Roman"/>
          <w:sz w:val="20"/>
          <w:szCs w:val="20"/>
          <w:lang w:val="uz-Cyrl-UZ"/>
        </w:rPr>
        <w:t xml:space="preserve"> // E3S Web of Conferences </w:t>
      </w:r>
      <w:r w:rsidRPr="00F25080">
        <w:rPr>
          <w:rFonts w:ascii="Times New Roman" w:hAnsi="Times New Roman" w:cs="Times New Roman"/>
          <w:sz w:val="20"/>
          <w:szCs w:val="20"/>
        </w:rPr>
        <w:t>461</w:t>
      </w:r>
      <w:r w:rsidRPr="00F25080">
        <w:rPr>
          <w:rFonts w:ascii="Times New Roman" w:hAnsi="Times New Roman" w:cs="Times New Roman"/>
          <w:sz w:val="20"/>
          <w:szCs w:val="20"/>
          <w:lang w:val="uz-Cyrl-UZ"/>
        </w:rPr>
        <w:t xml:space="preserve">. 2023. РР, </w:t>
      </w:r>
      <w:r w:rsidRPr="00F25080">
        <w:rPr>
          <w:rFonts w:ascii="Times New Roman" w:hAnsi="Times New Roman" w:cs="Times New Roman"/>
          <w:sz w:val="20"/>
          <w:szCs w:val="20"/>
        </w:rPr>
        <w:t>01100</w:t>
      </w:r>
      <w:r w:rsidRPr="00F25080">
        <w:rPr>
          <w:rFonts w:ascii="Times New Roman" w:hAnsi="Times New Roman" w:cs="Times New Roman"/>
          <w:sz w:val="20"/>
          <w:szCs w:val="20"/>
          <w:lang w:val="uz-Cyrl-UZ"/>
        </w:rPr>
        <w:t>, 1-</w:t>
      </w:r>
      <w:r w:rsidRPr="00F25080">
        <w:rPr>
          <w:rFonts w:ascii="Times New Roman" w:hAnsi="Times New Roman" w:cs="Times New Roman"/>
          <w:sz w:val="20"/>
          <w:szCs w:val="20"/>
        </w:rPr>
        <w:t>5</w:t>
      </w:r>
      <w:r w:rsidRPr="00F25080">
        <w:rPr>
          <w:rFonts w:ascii="Times New Roman" w:hAnsi="Times New Roman" w:cs="Times New Roman"/>
          <w:sz w:val="20"/>
          <w:szCs w:val="20"/>
          <w:lang w:val="uz-Cyrl-UZ"/>
        </w:rPr>
        <w:t xml:space="preserve">. </w:t>
      </w:r>
      <w:hyperlink r:id="rId21" w:history="1">
        <w:r w:rsidRPr="00F25080">
          <w:rPr>
            <w:rStyle w:val="a6"/>
            <w:rFonts w:ascii="Times New Roman" w:hAnsi="Times New Roman" w:cs="Times New Roman"/>
            <w:sz w:val="20"/>
            <w:szCs w:val="20"/>
            <w:lang w:val="uz-Cyrl-UZ"/>
          </w:rPr>
          <w:t>https://doi.org/10.1051/e3sconf/202346101100</w:t>
        </w:r>
      </w:hyperlink>
      <w:bookmarkEnd w:id="2"/>
      <w:bookmarkEnd w:id="7"/>
      <w:bookmarkEnd w:id="10"/>
    </w:p>
    <w:sectPr w:rsidR="00D80C1F" w:rsidRPr="00AA0519" w:rsidSect="00527A0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3E6190F"/>
    <w:multiLevelType w:val="hybridMultilevel"/>
    <w:tmpl w:val="F4BEA3D0"/>
    <w:lvl w:ilvl="0" w:tplc="CA0CA1A0">
      <w:start w:val="1"/>
      <w:numFmt w:val="decimal"/>
      <w:lvlText w:val="%1."/>
      <w:lvlJc w:val="left"/>
      <w:pPr>
        <w:ind w:left="3219" w:hanging="525"/>
      </w:pPr>
      <w:rPr>
        <w:rFonts w:ascii="Times New Roman" w:hAnsi="Times New Roman" w:cs="Times New Roman" w:hint="default"/>
        <w:color w:val="auto"/>
        <w:sz w:val="20"/>
        <w:szCs w:val="20"/>
      </w:rPr>
    </w:lvl>
    <w:lvl w:ilvl="1" w:tplc="04190019" w:tentative="1">
      <w:start w:val="1"/>
      <w:numFmt w:val="lowerLetter"/>
      <w:lvlText w:val="%2."/>
      <w:lvlJc w:val="left"/>
      <w:pPr>
        <w:ind w:left="3429" w:hanging="360"/>
      </w:pPr>
    </w:lvl>
    <w:lvl w:ilvl="2" w:tplc="0419001B" w:tentative="1">
      <w:start w:val="1"/>
      <w:numFmt w:val="lowerRoman"/>
      <w:lvlText w:val="%3."/>
      <w:lvlJc w:val="right"/>
      <w:pPr>
        <w:ind w:left="4149" w:hanging="180"/>
      </w:pPr>
    </w:lvl>
    <w:lvl w:ilvl="3" w:tplc="0419000F" w:tentative="1">
      <w:start w:val="1"/>
      <w:numFmt w:val="decimal"/>
      <w:lvlText w:val="%4."/>
      <w:lvlJc w:val="left"/>
      <w:pPr>
        <w:ind w:left="4869" w:hanging="360"/>
      </w:pPr>
    </w:lvl>
    <w:lvl w:ilvl="4" w:tplc="04190019" w:tentative="1">
      <w:start w:val="1"/>
      <w:numFmt w:val="lowerLetter"/>
      <w:lvlText w:val="%5."/>
      <w:lvlJc w:val="left"/>
      <w:pPr>
        <w:ind w:left="5589" w:hanging="360"/>
      </w:pPr>
    </w:lvl>
    <w:lvl w:ilvl="5" w:tplc="0419001B" w:tentative="1">
      <w:start w:val="1"/>
      <w:numFmt w:val="lowerRoman"/>
      <w:lvlText w:val="%6."/>
      <w:lvlJc w:val="right"/>
      <w:pPr>
        <w:ind w:left="6309" w:hanging="180"/>
      </w:pPr>
    </w:lvl>
    <w:lvl w:ilvl="6" w:tplc="0419000F" w:tentative="1">
      <w:start w:val="1"/>
      <w:numFmt w:val="decimal"/>
      <w:lvlText w:val="%7."/>
      <w:lvlJc w:val="left"/>
      <w:pPr>
        <w:ind w:left="7029" w:hanging="360"/>
      </w:pPr>
    </w:lvl>
    <w:lvl w:ilvl="7" w:tplc="04190019" w:tentative="1">
      <w:start w:val="1"/>
      <w:numFmt w:val="lowerLetter"/>
      <w:lvlText w:val="%8."/>
      <w:lvlJc w:val="left"/>
      <w:pPr>
        <w:ind w:left="7749" w:hanging="360"/>
      </w:pPr>
    </w:lvl>
    <w:lvl w:ilvl="8" w:tplc="0419001B" w:tentative="1">
      <w:start w:val="1"/>
      <w:numFmt w:val="lowerRoman"/>
      <w:lvlText w:val="%9."/>
      <w:lvlJc w:val="right"/>
      <w:pPr>
        <w:ind w:left="8469"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0A4"/>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4FF"/>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39"/>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0725"/>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81B"/>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69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47D01"/>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6FC7"/>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E04"/>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03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5C5D"/>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BA8"/>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0A19"/>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7A09"/>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3599"/>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0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4D0"/>
    <w:rsid w:val="005F29E0"/>
    <w:rsid w:val="005F33F5"/>
    <w:rsid w:val="005F3839"/>
    <w:rsid w:val="005F3866"/>
    <w:rsid w:val="005F404C"/>
    <w:rsid w:val="005F4E10"/>
    <w:rsid w:val="005F5060"/>
    <w:rsid w:val="005F5120"/>
    <w:rsid w:val="005F53BC"/>
    <w:rsid w:val="005F597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26DD"/>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CD3"/>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39"/>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2B9"/>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2AE8"/>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34A3"/>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4C3C"/>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1F27"/>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251"/>
    <w:rsid w:val="008B3443"/>
    <w:rsid w:val="008B3497"/>
    <w:rsid w:val="008B40A5"/>
    <w:rsid w:val="008B4465"/>
    <w:rsid w:val="008B540D"/>
    <w:rsid w:val="008B573B"/>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2F6D"/>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274D"/>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B85"/>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458"/>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519"/>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A7C7D"/>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426"/>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1C8"/>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5B83"/>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213"/>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1C63"/>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736"/>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066"/>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81533904">
      <w:bodyDiv w:val="1"/>
      <w:marLeft w:val="0"/>
      <w:marRight w:val="0"/>
      <w:marTop w:val="0"/>
      <w:marBottom w:val="0"/>
      <w:divBdr>
        <w:top w:val="none" w:sz="0" w:space="0" w:color="auto"/>
        <w:left w:val="none" w:sz="0" w:space="0" w:color="auto"/>
        <w:bottom w:val="none" w:sz="0" w:space="0" w:color="auto"/>
        <w:right w:val="none" w:sz="0" w:space="0" w:color="auto"/>
      </w:divBdr>
      <w:divsChild>
        <w:div w:id="8611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728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6850281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copus.com/authid/detail.uri?authorId=58380944800" TargetMode="External"/><Relationship Id="rId18" Type="http://schemas.openxmlformats.org/officeDocument/2006/relationships/hyperlink" Target="https://doi.org/10.1051/e3sconf/202346101097" TargetMode="External"/><Relationship Id="rId3" Type="http://schemas.openxmlformats.org/officeDocument/2006/relationships/settings" Target="settings.xml"/><Relationship Id="rId21" Type="http://schemas.openxmlformats.org/officeDocument/2006/relationships/hyperlink" Target="https://doi.org/10.1051/e3sconf/202346101100" TargetMode="External"/><Relationship Id="rId7" Type="http://schemas.openxmlformats.org/officeDocument/2006/relationships/image" Target="media/image2.png"/><Relationship Id="rId12" Type="http://schemas.openxmlformats.org/officeDocument/2006/relationships/hyperlink" Target="https://www.scopus.com/authid/detail.uri?authorId=57212575320" TargetMode="External"/><Relationship Id="rId17" Type="http://schemas.openxmlformats.org/officeDocument/2006/relationships/hyperlink" Target="https://doi.org/10.1051/e3sconf/202346101095" TargetMode="External"/><Relationship Id="rId2" Type="http://schemas.openxmlformats.org/officeDocument/2006/relationships/styles" Target="styles.xml"/><Relationship Id="rId16" Type="http://schemas.openxmlformats.org/officeDocument/2006/relationships/hyperlink" Target="https://www.scopus.com/authid/detail.uri?authorId=58040723800" TargetMode="External"/><Relationship Id="rId20" Type="http://schemas.openxmlformats.org/officeDocument/2006/relationships/hyperlink" Target="https://doi.org/10.1051/e3sconf/20234610109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021601161" TargetMode="External"/><Relationship Id="rId5" Type="http://schemas.openxmlformats.org/officeDocument/2006/relationships/hyperlink" Target="mailto:husanovbaxtiyor7@gmail.com" TargetMode="External"/><Relationship Id="rId15" Type="http://schemas.openxmlformats.org/officeDocument/2006/relationships/hyperlink" Target="https://www.scopus.com/authid/detail.uri?authorId=57213065589"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51/e3sconf/202346101098"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scopus.com/authid/detail.uri?authorId=5721257591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IS\DISSSER_B.M.HUSANOV%2031.07.2023\&#1053;&#1086;&#1074;&#1072;&#1103;%20&#1087;&#1072;&#1087;&#1082;&#1072;%20%20DIS\B.M\Excel\Nosimmetriy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DIS\DISSSER_B.M.HUSANOV%2031.07.2023\&#1053;&#1086;&#1074;&#1072;&#1103;%20&#1087;&#1072;&#1087;&#1082;&#1072;%20%20DIS\B.M\Excel\Nosimmetriy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75594761884711"/>
          <c:y val="6.3218390804597707E-2"/>
          <c:w val="0.86471464061644698"/>
          <c:h val="0.7596657346545872"/>
        </c:manualLayout>
      </c:layout>
      <c:barChart>
        <c:barDir val="col"/>
        <c:grouping val="clustered"/>
        <c:varyColors val="0"/>
        <c:ser>
          <c:idx val="0"/>
          <c:order val="0"/>
          <c:spPr>
            <a:solidFill>
              <a:schemeClr val="accent1"/>
            </a:solidFill>
            <a:ln>
              <a:noFill/>
            </a:ln>
            <a:effectLst/>
          </c:spPr>
          <c:invertIfNegative val="0"/>
          <c:cat>
            <c:strRef>
              <c:f>'VDT gacha'!$A$3:$A$39</c:f>
              <c:strCache>
                <c:ptCount val="3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strCache>
            </c:strRef>
          </c:cat>
          <c:val>
            <c:numRef>
              <c:f>'VDT gacha'!$K$3:$K$39</c:f>
              <c:numCache>
                <c:formatCode>0.0000%</c:formatCode>
                <c:ptCount val="37"/>
                <c:pt idx="0">
                  <c:v>4.7778877892813655E-4</c:v>
                </c:pt>
                <c:pt idx="1">
                  <c:v>3.051440270561534E-3</c:v>
                </c:pt>
                <c:pt idx="2">
                  <c:v>5.688448774179281E-3</c:v>
                </c:pt>
                <c:pt idx="3">
                  <c:v>8.6127997337702919E-3</c:v>
                </c:pt>
                <c:pt idx="4">
                  <c:v>1.25110487373598E-2</c:v>
                </c:pt>
                <c:pt idx="5">
                  <c:v>1.2050173885126346E-2</c:v>
                </c:pt>
                <c:pt idx="6">
                  <c:v>1.1703594653632092E-2</c:v>
                </c:pt>
                <c:pt idx="7">
                  <c:v>1.1382771891325362E-2</c:v>
                </c:pt>
                <c:pt idx="8">
                  <c:v>1.25110487373598E-2</c:v>
                </c:pt>
                <c:pt idx="9">
                  <c:v>1.5735240157548177E-2</c:v>
                </c:pt>
                <c:pt idx="10">
                  <c:v>1.9789353163032118E-2</c:v>
                </c:pt>
                <c:pt idx="11">
                  <c:v>2.2221150834296734E-2</c:v>
                </c:pt>
                <c:pt idx="12">
                  <c:v>2.5207788769404466E-2</c:v>
                </c:pt>
                <c:pt idx="13">
                  <c:v>2.9224255127303079E-2</c:v>
                </c:pt>
                <c:pt idx="14">
                  <c:v>2.9476239402057087E-2</c:v>
                </c:pt>
                <c:pt idx="15">
                  <c:v>2.9754051286653156E-2</c:v>
                </c:pt>
                <c:pt idx="16">
                  <c:v>3.2375098413950067E-2</c:v>
                </c:pt>
                <c:pt idx="17">
                  <c:v>3.6169071665870495E-2</c:v>
                </c:pt>
                <c:pt idx="18">
                  <c:v>3.8803728913214021E-2</c:v>
                </c:pt>
                <c:pt idx="19">
                  <c:v>3.8612682310910154E-2</c:v>
                </c:pt>
                <c:pt idx="20">
                  <c:v>3.6648250247867997E-2</c:v>
                </c:pt>
                <c:pt idx="21">
                  <c:v>3.5410600068124368E-2</c:v>
                </c:pt>
                <c:pt idx="22">
                  <c:v>3.5641979672452424E-2</c:v>
                </c:pt>
                <c:pt idx="23">
                  <c:v>3.59418463342836E-2</c:v>
                </c:pt>
                <c:pt idx="24">
                  <c:v>1.3531818241810467E-2</c:v>
                </c:pt>
                <c:pt idx="25">
                  <c:v>1.4058519180484922E-2</c:v>
                </c:pt>
                <c:pt idx="26">
                  <c:v>1.4920251594781294E-2</c:v>
                </c:pt>
                <c:pt idx="27">
                  <c:v>1.4908791817271677E-2</c:v>
                </c:pt>
                <c:pt idx="28">
                  <c:v>1.498057285945514E-2</c:v>
                </c:pt>
                <c:pt idx="29">
                  <c:v>1.4446750970910636E-2</c:v>
                </c:pt>
                <c:pt idx="30">
                  <c:v>1.5973808352462256E-2</c:v>
                </c:pt>
                <c:pt idx="31">
                  <c:v>1.7335769843839763E-2</c:v>
                </c:pt>
                <c:pt idx="32">
                  <c:v>1.7583518114669721E-2</c:v>
                </c:pt>
                <c:pt idx="33">
                  <c:v>1.8299901873694249E-2</c:v>
                </c:pt>
                <c:pt idx="34">
                  <c:v>1.9034341522183282E-2</c:v>
                </c:pt>
                <c:pt idx="35">
                  <c:v>1.9568055478798078E-2</c:v>
                </c:pt>
                <c:pt idx="36">
                  <c:v>1.9428216313453938E-2</c:v>
                </c:pt>
              </c:numCache>
            </c:numRef>
          </c:val>
          <c:extLst>
            <c:ext xmlns:c16="http://schemas.microsoft.com/office/drawing/2014/chart" uri="{C3380CC4-5D6E-409C-BE32-E72D297353CC}">
              <c16:uniqueId val="{00000000-E80E-4B20-A4F3-849C7333A529}"/>
            </c:ext>
          </c:extLst>
        </c:ser>
        <c:dLbls>
          <c:showLegendKey val="0"/>
          <c:showVal val="0"/>
          <c:showCatName val="0"/>
          <c:showSerName val="0"/>
          <c:showPercent val="0"/>
          <c:showBubbleSize val="0"/>
        </c:dLbls>
        <c:gapWidth val="219"/>
        <c:overlap val="-27"/>
        <c:axId val="774665968"/>
        <c:axId val="774662728"/>
      </c:barChart>
      <c:catAx>
        <c:axId val="7746659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0" i="0" u="none" strike="noStrike" baseline="0"/>
                  <a:t>Overhead line pole number</a:t>
                </a:r>
                <a:endParaRPr lang="ru-RU"/>
              </a:p>
            </c:rich>
          </c:tx>
          <c:layout>
            <c:manualLayout>
              <c:xMode val="edge"/>
              <c:yMode val="edge"/>
              <c:x val="0.43852507473998903"/>
              <c:y val="0.90031586568920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74662728"/>
        <c:crosses val="autoZero"/>
        <c:auto val="1"/>
        <c:lblAlgn val="ctr"/>
        <c:lblOffset val="100"/>
        <c:noMultiLvlLbl val="0"/>
      </c:catAx>
      <c:valAx>
        <c:axId val="774662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K2u, %</a:t>
                </a:r>
                <a:endParaRPr lang="ru-RU"/>
              </a:p>
            </c:rich>
          </c:tx>
          <c:layout>
            <c:manualLayout>
              <c:xMode val="edge"/>
              <c:yMode val="edge"/>
              <c:x val="1.4965259219668627E-2"/>
              <c:y val="2.73190021601281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74665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38810127888272"/>
          <c:y val="7.7492074674181052E-2"/>
          <c:w val="0.86540582367644781"/>
          <c:h val="0.71006204358305158"/>
        </c:manualLayout>
      </c:layout>
      <c:barChart>
        <c:barDir val="col"/>
        <c:grouping val="clustered"/>
        <c:varyColors val="0"/>
        <c:ser>
          <c:idx val="0"/>
          <c:order val="0"/>
          <c:spPr>
            <a:solidFill>
              <a:schemeClr val="accent1"/>
            </a:solidFill>
            <a:ln>
              <a:noFill/>
            </a:ln>
            <a:effectLst/>
          </c:spPr>
          <c:invertIfNegative val="0"/>
          <c:cat>
            <c:strRef>
              <c:f>'VDT gacha'!$A$3:$A$39</c:f>
              <c:strCache>
                <c:ptCount val="3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strCache>
            </c:strRef>
          </c:cat>
          <c:val>
            <c:numRef>
              <c:f>'VDT gacha'!$N$3:$N$39</c:f>
              <c:numCache>
                <c:formatCode>0.0000%</c:formatCode>
                <c:ptCount val="37"/>
                <c:pt idx="0">
                  <c:v>1.0479436514366708E-3</c:v>
                </c:pt>
                <c:pt idx="1">
                  <c:v>6.385994306164682E-3</c:v>
                </c:pt>
                <c:pt idx="2">
                  <c:v>1.1074439469879464E-2</c:v>
                </c:pt>
                <c:pt idx="3">
                  <c:v>1.5183554653010802E-2</c:v>
                </c:pt>
                <c:pt idx="4">
                  <c:v>2.0259434572899217E-2</c:v>
                </c:pt>
                <c:pt idx="5">
                  <c:v>2.00932347761828E-2</c:v>
                </c:pt>
                <c:pt idx="6">
                  <c:v>2.00932347761828E-2</c:v>
                </c:pt>
                <c:pt idx="7">
                  <c:v>2.00932347761828E-2</c:v>
                </c:pt>
                <c:pt idx="8">
                  <c:v>2.0259434572899217E-2</c:v>
                </c:pt>
                <c:pt idx="9">
                  <c:v>2.6092023245154933E-2</c:v>
                </c:pt>
                <c:pt idx="10">
                  <c:v>3.289679057258197E-2</c:v>
                </c:pt>
                <c:pt idx="11">
                  <c:v>3.6809078284442784E-2</c:v>
                </c:pt>
                <c:pt idx="12">
                  <c:v>4.0974467796159868E-2</c:v>
                </c:pt>
                <c:pt idx="13">
                  <c:v>4.6280968802587003E-2</c:v>
                </c:pt>
                <c:pt idx="14">
                  <c:v>4.6482534755328306E-2</c:v>
                </c:pt>
                <c:pt idx="15">
                  <c:v>4.6703781289415471E-2</c:v>
                </c:pt>
                <c:pt idx="16">
                  <c:v>5.0471797985952353E-2</c:v>
                </c:pt>
                <c:pt idx="17">
                  <c:v>5.5328261328540906E-2</c:v>
                </c:pt>
                <c:pt idx="18">
                  <c:v>5.851880785187203E-2</c:v>
                </c:pt>
                <c:pt idx="19">
                  <c:v>5.7352826577280622E-2</c:v>
                </c:pt>
                <c:pt idx="20">
                  <c:v>5.4137500598207412E-2</c:v>
                </c:pt>
                <c:pt idx="21">
                  <c:v>5.2244856706293384E-2</c:v>
                </c:pt>
                <c:pt idx="22">
                  <c:v>5.2476885238629943E-2</c:v>
                </c:pt>
                <c:pt idx="23">
                  <c:v>5.2700286329308996E-2</c:v>
                </c:pt>
                <c:pt idx="24">
                  <c:v>2.1344712911853209E-2</c:v>
                </c:pt>
                <c:pt idx="25">
                  <c:v>2.2347626733258175E-2</c:v>
                </c:pt>
                <c:pt idx="26">
                  <c:v>2.318558459815686E-2</c:v>
                </c:pt>
                <c:pt idx="27">
                  <c:v>2.3864301832240465E-2</c:v>
                </c:pt>
                <c:pt idx="28">
                  <c:v>2.3922001324668554E-2</c:v>
                </c:pt>
                <c:pt idx="29">
                  <c:v>2.3864301832240465E-2</c:v>
                </c:pt>
                <c:pt idx="30">
                  <c:v>2.3911871209946058E-2</c:v>
                </c:pt>
                <c:pt idx="31">
                  <c:v>2.6575811522028609E-2</c:v>
                </c:pt>
                <c:pt idx="32">
                  <c:v>2.6806216095411967E-2</c:v>
                </c:pt>
                <c:pt idx="33">
                  <c:v>2.8225219387045856E-2</c:v>
                </c:pt>
                <c:pt idx="34">
                  <c:v>3.0408778197442716E-2</c:v>
                </c:pt>
                <c:pt idx="35">
                  <c:v>3.1710916136258128E-2</c:v>
                </c:pt>
                <c:pt idx="36">
                  <c:v>3.1710916136258128E-2</c:v>
                </c:pt>
              </c:numCache>
            </c:numRef>
          </c:val>
          <c:extLst>
            <c:ext xmlns:c16="http://schemas.microsoft.com/office/drawing/2014/chart" uri="{C3380CC4-5D6E-409C-BE32-E72D297353CC}">
              <c16:uniqueId val="{00000000-F5AA-4C67-8D60-EDD64BA3D155}"/>
            </c:ext>
          </c:extLst>
        </c:ser>
        <c:dLbls>
          <c:showLegendKey val="0"/>
          <c:showVal val="0"/>
          <c:showCatName val="0"/>
          <c:showSerName val="0"/>
          <c:showPercent val="0"/>
          <c:showBubbleSize val="0"/>
        </c:dLbls>
        <c:gapWidth val="219"/>
        <c:overlap val="-27"/>
        <c:axId val="774665968"/>
        <c:axId val="774662728"/>
      </c:barChart>
      <c:catAx>
        <c:axId val="7746659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0" i="0" u="none" strike="noStrike" baseline="0"/>
                  <a:t>Overhead line pole number</a:t>
                </a:r>
                <a:endParaRPr lang="ru-RU" sz="9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74662728"/>
        <c:crosses val="autoZero"/>
        <c:auto val="1"/>
        <c:lblAlgn val="ctr"/>
        <c:lblOffset val="100"/>
        <c:tickLblSkip val="1"/>
        <c:noMultiLvlLbl val="0"/>
      </c:catAx>
      <c:valAx>
        <c:axId val="774662728"/>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K0u</a:t>
                </a:r>
                <a:endParaRPr lang="ru-RU"/>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74665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114</TotalTime>
  <Pages>6</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39</cp:revision>
  <cp:lastPrinted>2023-12-26T18:03:00Z</cp:lastPrinted>
  <dcterms:created xsi:type="dcterms:W3CDTF">2024-07-17T07:39:00Z</dcterms:created>
  <dcterms:modified xsi:type="dcterms:W3CDTF">2026-01-08T10:15:00Z</dcterms:modified>
</cp:coreProperties>
</file>