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13FB46EB" w:rsidR="001E129E" w:rsidRPr="00861A3F" w:rsidRDefault="00542C36" w:rsidP="008745D5">
      <w:pPr>
        <w:spacing w:before="1200" w:after="200" w:line="240" w:lineRule="auto"/>
        <w:ind w:firstLine="567"/>
        <w:jc w:val="center"/>
        <w:rPr>
          <w:rFonts w:ascii="Times New Roman" w:hAnsi="Times New Roman" w:cs="Times New Roman"/>
          <w:b/>
          <w:sz w:val="36"/>
          <w:szCs w:val="36"/>
        </w:rPr>
      </w:pPr>
      <w:r w:rsidRPr="00861A3F">
        <w:rPr>
          <w:rFonts w:ascii="Times New Roman" w:hAnsi="Times New Roman" w:cs="Times New Roman"/>
          <w:b/>
          <w:sz w:val="36"/>
          <w:szCs w:val="36"/>
        </w:rPr>
        <w:t xml:space="preserve">The </w:t>
      </w:r>
      <w:r w:rsidR="00861A3F" w:rsidRPr="00861A3F">
        <w:rPr>
          <w:rFonts w:ascii="Times New Roman" w:hAnsi="Times New Roman" w:cs="Times New Roman"/>
          <w:b/>
          <w:sz w:val="36"/>
          <w:szCs w:val="36"/>
        </w:rPr>
        <w:t>Effect of the Corona Discharge Process on                          High-Voltage Power Transmission Lines</w:t>
      </w:r>
    </w:p>
    <w:p w14:paraId="1F5E1B4F" w14:textId="5F971CE3" w:rsidR="00CA398A" w:rsidRPr="00861A3F" w:rsidRDefault="00FF12CF" w:rsidP="00FF12CF">
      <w:pPr>
        <w:pStyle w:val="AuthorName"/>
        <w:spacing w:before="240" w:after="200"/>
        <w:rPr>
          <w:sz w:val="20"/>
          <w:lang w:val="uz-Latn-UZ" w:eastAsia="en-GB"/>
        </w:rPr>
      </w:pPr>
      <w:r w:rsidRPr="00861A3F">
        <w:t>Akram</w:t>
      </w:r>
      <w:r w:rsidR="000C106A" w:rsidRPr="00861A3F">
        <w:t xml:space="preserve"> </w:t>
      </w:r>
      <w:r w:rsidRPr="00861A3F">
        <w:t>Tovbaev</w:t>
      </w:r>
      <w:proofErr w:type="gramStart"/>
      <w:r w:rsidR="001970E3" w:rsidRPr="00861A3F">
        <w:rPr>
          <w:vertAlign w:val="superscript"/>
          <w:lang w:val="uz-Cyrl-UZ"/>
        </w:rPr>
        <w:t>1</w:t>
      </w:r>
      <w:r w:rsidR="001970E3" w:rsidRPr="00861A3F">
        <w:rPr>
          <w:szCs w:val="36"/>
          <w:vertAlign w:val="superscript"/>
          <w:lang w:val="uz-Cyrl-UZ"/>
        </w:rPr>
        <w:t>,</w:t>
      </w:r>
      <w:r w:rsidR="008745D5" w:rsidRPr="00861A3F">
        <w:rPr>
          <w:szCs w:val="36"/>
          <w:vertAlign w:val="superscript"/>
        </w:rPr>
        <w:t>a</w:t>
      </w:r>
      <w:proofErr w:type="gramEnd"/>
      <w:r w:rsidR="008745D5" w:rsidRPr="00861A3F">
        <w:rPr>
          <w:szCs w:val="36"/>
          <w:vertAlign w:val="superscript"/>
        </w:rPr>
        <w:t>)</w:t>
      </w:r>
      <w:r w:rsidR="000C106A" w:rsidRPr="00861A3F">
        <w:t xml:space="preserve">, </w:t>
      </w:r>
      <w:r w:rsidRPr="00861A3F">
        <w:t>Islom</w:t>
      </w:r>
      <w:r w:rsidR="00CA398A" w:rsidRPr="00861A3F">
        <w:t xml:space="preserve"> </w:t>
      </w:r>
      <w:proofErr w:type="spellStart"/>
      <w:r w:rsidR="00CA398A" w:rsidRPr="00861A3F">
        <w:t>T</w:t>
      </w:r>
      <w:r w:rsidRPr="00861A3F">
        <w:t>ogaev</w:t>
      </w:r>
      <w:proofErr w:type="spellEnd"/>
      <w:r w:rsidR="001970E3" w:rsidRPr="00861A3F">
        <w:rPr>
          <w:vertAlign w:val="superscript"/>
          <w:lang w:val="uz-Cyrl-UZ"/>
        </w:rPr>
        <w:t>1</w:t>
      </w:r>
      <w:r w:rsidR="00E3356D" w:rsidRPr="00861A3F">
        <w:rPr>
          <w:lang w:val="uz-Latn-UZ"/>
        </w:rPr>
        <w:t>, Gulom Nodirov</w:t>
      </w:r>
      <w:r w:rsidR="00E3356D" w:rsidRPr="00861A3F">
        <w:rPr>
          <w:vertAlign w:val="superscript"/>
          <w:lang w:val="uz-Latn-UZ"/>
        </w:rPr>
        <w:t>2</w:t>
      </w:r>
    </w:p>
    <w:p w14:paraId="4709ED4E" w14:textId="27B90430" w:rsidR="008745D5" w:rsidRPr="00861A3F" w:rsidRDefault="00FF12CF" w:rsidP="00A4691D">
      <w:pPr>
        <w:pStyle w:val="AuthorAffiliation"/>
      </w:pPr>
      <w:r w:rsidRPr="00861A3F">
        <w:rPr>
          <w:vertAlign w:val="superscript"/>
        </w:rPr>
        <w:t>1</w:t>
      </w:r>
      <w:r w:rsidRPr="00861A3F">
        <w:t xml:space="preserve">Navoi State University of Mining and Technologies, </w:t>
      </w:r>
      <w:proofErr w:type="spellStart"/>
      <w:r w:rsidRPr="00861A3F">
        <w:t>Navoiy</w:t>
      </w:r>
      <w:proofErr w:type="spellEnd"/>
      <w:r w:rsidRPr="00861A3F">
        <w:t>, Uzbekistan</w:t>
      </w:r>
    </w:p>
    <w:p w14:paraId="3EF553F0" w14:textId="77777777" w:rsidR="00E3356D" w:rsidRPr="00861A3F" w:rsidRDefault="00E3356D" w:rsidP="00E3356D">
      <w:pPr>
        <w:pStyle w:val="AuthorAffiliation"/>
      </w:pPr>
      <w:r w:rsidRPr="00861A3F">
        <w:rPr>
          <w:vertAlign w:val="superscript"/>
        </w:rPr>
        <w:t>2</w:t>
      </w:r>
      <w:r w:rsidRPr="00861A3F">
        <w:t>Samarkand State of architecture and Construction University, Samarkand, Uzbekistan</w:t>
      </w:r>
    </w:p>
    <w:p w14:paraId="1397C91D" w14:textId="0887B8A7" w:rsidR="00CA398A" w:rsidRPr="00861A3F" w:rsidRDefault="008745D5" w:rsidP="008745D5">
      <w:pPr>
        <w:pStyle w:val="AuthorAffiliation"/>
        <w:spacing w:before="200" w:after="200"/>
      </w:pPr>
      <w:r w:rsidRPr="00861A3F">
        <w:rPr>
          <w:szCs w:val="18"/>
          <w:vertAlign w:val="superscript"/>
        </w:rPr>
        <w:t>a)</w:t>
      </w:r>
      <w:r w:rsidRPr="00861A3F">
        <w:rPr>
          <w:szCs w:val="18"/>
        </w:rPr>
        <w:t xml:space="preserve"> Corresponding author: </w:t>
      </w:r>
      <w:hyperlink r:id="rId6" w:history="1">
        <w:r w:rsidR="006663ED" w:rsidRPr="00861A3F">
          <w:rPr>
            <w:rStyle w:val="a6"/>
            <w:iCs/>
          </w:rPr>
          <w:t>togayev.islom@mail.ru</w:t>
        </w:r>
      </w:hyperlink>
      <w:r w:rsidR="006663ED" w:rsidRPr="00861A3F">
        <w:rPr>
          <w:iCs/>
        </w:rPr>
        <w:t xml:space="preserve"> </w:t>
      </w:r>
    </w:p>
    <w:p w14:paraId="410B173B" w14:textId="702052BE" w:rsidR="00BC4E3B" w:rsidRPr="00861A3F" w:rsidRDefault="00E25282" w:rsidP="000C106A">
      <w:pPr>
        <w:spacing w:before="360" w:after="360" w:line="240" w:lineRule="auto"/>
        <w:ind w:left="284" w:right="284"/>
        <w:jc w:val="both"/>
        <w:rPr>
          <w:rFonts w:ascii="Times New Roman" w:hAnsi="Times New Roman" w:cs="Times New Roman"/>
          <w:sz w:val="18"/>
          <w:szCs w:val="18"/>
        </w:rPr>
      </w:pPr>
      <w:r w:rsidRPr="00861A3F">
        <w:rPr>
          <w:rFonts w:ascii="Times New Roman" w:hAnsi="Times New Roman" w:cs="Times New Roman"/>
          <w:b/>
          <w:sz w:val="18"/>
          <w:szCs w:val="18"/>
        </w:rPr>
        <w:t>Abstract</w:t>
      </w:r>
      <w:r w:rsidR="00CA398A" w:rsidRPr="00861A3F">
        <w:rPr>
          <w:rFonts w:ascii="Times New Roman" w:hAnsi="Times New Roman" w:cs="Times New Roman"/>
          <w:b/>
          <w:sz w:val="18"/>
          <w:szCs w:val="18"/>
        </w:rPr>
        <w:t>.</w:t>
      </w:r>
      <w:r w:rsidR="000C106A" w:rsidRPr="00861A3F">
        <w:rPr>
          <w:rFonts w:ascii="Times New Roman" w:hAnsi="Times New Roman" w:cs="Times New Roman"/>
          <w:iCs/>
          <w:sz w:val="18"/>
          <w:szCs w:val="18"/>
          <w:lang w:val="uz-Cyrl-UZ"/>
        </w:rPr>
        <w:t xml:space="preserve"> </w:t>
      </w:r>
      <w:r w:rsidR="00913AB7" w:rsidRPr="00861A3F">
        <w:rPr>
          <w:rFonts w:ascii="Times New Roman" w:hAnsi="Times New Roman" w:cs="Times New Roman"/>
          <w:iCs/>
          <w:sz w:val="18"/>
          <w:szCs w:val="18"/>
          <w:lang w:val="uz-Cyrl-UZ"/>
        </w:rPr>
        <w:t>When the voltage gradient (electric field intensity) in an insulation system exceeds its critical value, a local dielectric breakdown process begins in the air surrounding the conductors of a high-voltage transmission line. In this case, under the influence of a high-energy electric field, air molecules undergo electron-ionization (ionization), meaning that free electrons are released and positive ions are formed. This process is referred to as transient gaseous ionization, and it leads to the occurrence of partial discharges. The resulting partial discharges do not cause complete dielectric breakdown of the insulation; however, they initiate local electrical, thermal, and chemical degradation processes within the insulating material.</w:t>
      </w:r>
    </w:p>
    <w:p w14:paraId="61870707" w14:textId="1ED93274" w:rsidR="008A22AB" w:rsidRPr="00861A3F" w:rsidRDefault="00CA398A" w:rsidP="00175565">
      <w:pPr>
        <w:spacing w:before="240" w:after="240" w:line="240" w:lineRule="auto"/>
        <w:ind w:firstLine="284"/>
        <w:jc w:val="center"/>
        <w:rPr>
          <w:rFonts w:ascii="Times New Roman" w:hAnsi="Times New Roman" w:cs="Times New Roman"/>
          <w:b/>
          <w:sz w:val="24"/>
          <w:szCs w:val="24"/>
        </w:rPr>
      </w:pPr>
      <w:r w:rsidRPr="00861A3F">
        <w:rPr>
          <w:rFonts w:ascii="Times New Roman" w:hAnsi="Times New Roman" w:cs="Times New Roman"/>
          <w:b/>
          <w:sz w:val="24"/>
          <w:szCs w:val="24"/>
        </w:rPr>
        <w:t>INTRODUCTION</w:t>
      </w:r>
    </w:p>
    <w:p w14:paraId="73863E88" w14:textId="1BF0C90D" w:rsidR="006820B6" w:rsidRPr="00861A3F" w:rsidRDefault="00710A7A" w:rsidP="00861A3F">
      <w:pPr>
        <w:spacing w:after="0" w:line="240" w:lineRule="auto"/>
        <w:ind w:firstLine="284"/>
        <w:jc w:val="both"/>
        <w:rPr>
          <w:rFonts w:ascii="Times New Roman" w:hAnsi="Times New Roman" w:cs="Times New Roman"/>
          <w:color w:val="000000"/>
          <w:sz w:val="20"/>
        </w:rPr>
      </w:pPr>
      <w:r w:rsidRPr="00861A3F">
        <w:rPr>
          <w:rFonts w:ascii="Times New Roman" w:hAnsi="Times New Roman" w:cs="Times New Roman"/>
          <w:sz w:val="20"/>
        </w:rPr>
        <w:t xml:space="preserve">The corona phenomenon reduces the reliability of the insulation system, leads to the degradation of the insulating material, and may ultimately cause the failure of the entire system due to dielectric breakdown. The significance of this study lies in the fact that the parameters characteristic of the corona process in high-voltage transmission lines have a negative impact on electrical power losses. This necessitates a thorough analysis of these parameters and the development of effective measures to minimize their adverse effects </w:t>
      </w:r>
      <w:r w:rsidR="006820B6" w:rsidRPr="00861A3F">
        <w:rPr>
          <w:rFonts w:ascii="Times New Roman" w:hAnsi="Times New Roman" w:cs="Times New Roman"/>
          <w:color w:val="000000"/>
          <w:sz w:val="20"/>
        </w:rPr>
        <w:t>[</w:t>
      </w:r>
      <w:r w:rsidR="006820B6" w:rsidRPr="00861A3F">
        <w:rPr>
          <w:rFonts w:ascii="Times New Roman" w:hAnsi="Times New Roman" w:cs="Times New Roman"/>
          <w:sz w:val="20"/>
        </w:rPr>
        <w:t>1</w:t>
      </w:r>
      <w:r w:rsidR="006820B6" w:rsidRPr="00861A3F">
        <w:rPr>
          <w:rFonts w:ascii="Times New Roman" w:hAnsi="Times New Roman" w:cs="Times New Roman"/>
          <w:color w:val="000000"/>
          <w:sz w:val="20"/>
        </w:rPr>
        <w:t xml:space="preserve">]. </w:t>
      </w:r>
    </w:p>
    <w:p w14:paraId="019ED10F" w14:textId="547BEB20" w:rsidR="00DE4111" w:rsidRPr="00861A3F" w:rsidRDefault="00DE4111" w:rsidP="00861A3F">
      <w:pPr>
        <w:widowControl w:val="0"/>
        <w:spacing w:after="0" w:line="240" w:lineRule="auto"/>
        <w:jc w:val="center"/>
        <w:rPr>
          <w:rFonts w:ascii="Times New Roman" w:eastAsia="Courier New" w:hAnsi="Times New Roman" w:cs="Times New Roman"/>
          <w:color w:val="00B050"/>
          <w:sz w:val="20"/>
          <w:szCs w:val="20"/>
        </w:rPr>
      </w:pPr>
    </w:p>
    <w:p w14:paraId="6C6CAF09" w14:textId="7FB9D1A2" w:rsidR="00DE4111" w:rsidRPr="00861A3F" w:rsidRDefault="00FA0994" w:rsidP="00861A3F">
      <w:pPr>
        <w:widowControl w:val="0"/>
        <w:spacing w:after="0" w:line="240" w:lineRule="auto"/>
        <w:jc w:val="center"/>
        <w:rPr>
          <w:rFonts w:ascii="Times New Roman" w:eastAsia="Courier New" w:hAnsi="Times New Roman" w:cs="Times New Roman"/>
          <w:color w:val="00B050"/>
          <w:sz w:val="20"/>
          <w:szCs w:val="20"/>
        </w:rPr>
      </w:pPr>
      <w:r w:rsidRPr="00175565">
        <w:rPr>
          <w:rFonts w:ascii="Times New Roman" w:hAnsi="Times New Roman" w:cs="Times New Roman"/>
          <w:sz w:val="18"/>
          <w:szCs w:val="18"/>
        </w:rPr>
        <w:object w:dxaOrig="7470" w:dyaOrig="6121" w14:anchorId="12C7FE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35pt;height:218.9pt" o:ole="">
            <v:imagedata r:id="rId7" o:title=""/>
          </v:shape>
          <o:OLEObject Type="Embed" ProgID="Visio.Drawing.15" ShapeID="_x0000_i1025" DrawAspect="Content" ObjectID="_1828437639" r:id="rId8"/>
        </w:object>
      </w:r>
    </w:p>
    <w:p w14:paraId="3F15E745" w14:textId="09360411" w:rsidR="006820B6" w:rsidRPr="00861A3F" w:rsidRDefault="006820B6" w:rsidP="00861A3F">
      <w:pPr>
        <w:widowControl w:val="0"/>
        <w:spacing w:after="0" w:line="240" w:lineRule="auto"/>
        <w:ind w:left="40" w:right="40" w:hanging="40"/>
        <w:jc w:val="center"/>
        <w:rPr>
          <w:rFonts w:ascii="Times New Roman" w:hAnsi="Times New Roman" w:cs="Times New Roman"/>
          <w:sz w:val="18"/>
          <w:szCs w:val="18"/>
          <w:lang w:val="uz-Cyrl-UZ"/>
        </w:rPr>
      </w:pPr>
      <w:r w:rsidRPr="00861A3F">
        <w:rPr>
          <w:rFonts w:ascii="Times New Roman" w:hAnsi="Times New Roman" w:cs="Times New Roman"/>
          <w:b/>
          <w:sz w:val="18"/>
          <w:szCs w:val="18"/>
        </w:rPr>
        <w:t xml:space="preserve">FIGURE </w:t>
      </w:r>
      <w:r w:rsidR="00AF1A27" w:rsidRPr="00861A3F">
        <w:rPr>
          <w:rFonts w:ascii="Times New Roman" w:hAnsi="Times New Roman" w:cs="Times New Roman"/>
          <w:b/>
          <w:sz w:val="18"/>
          <w:szCs w:val="18"/>
        </w:rPr>
        <w:t>1</w:t>
      </w:r>
      <w:r w:rsidRPr="00861A3F">
        <w:rPr>
          <w:rFonts w:ascii="Times New Roman" w:hAnsi="Times New Roman" w:cs="Times New Roman"/>
          <w:b/>
          <w:sz w:val="18"/>
          <w:szCs w:val="18"/>
        </w:rPr>
        <w:t>.</w:t>
      </w:r>
      <w:r w:rsidRPr="00861A3F">
        <w:rPr>
          <w:rFonts w:ascii="Times New Roman" w:hAnsi="Times New Roman" w:cs="Times New Roman"/>
          <w:sz w:val="18"/>
          <w:szCs w:val="18"/>
        </w:rPr>
        <w:t xml:space="preserve"> </w:t>
      </w:r>
      <w:r w:rsidR="00271CE3" w:rsidRPr="00861A3F">
        <w:rPr>
          <w:rFonts w:ascii="Times New Roman" w:hAnsi="Times New Roman" w:cs="Times New Roman"/>
          <w:sz w:val="18"/>
          <w:szCs w:val="18"/>
        </w:rPr>
        <w:t xml:space="preserve">Corona onset voltage at different conductor </w:t>
      </w:r>
      <w:proofErr w:type="spellStart"/>
      <w:r w:rsidR="00271CE3" w:rsidRPr="00861A3F">
        <w:rPr>
          <w:rFonts w:ascii="Times New Roman" w:hAnsi="Times New Roman" w:cs="Times New Roman"/>
          <w:sz w:val="18"/>
          <w:szCs w:val="18"/>
        </w:rPr>
        <w:t>radiuse</w:t>
      </w:r>
      <w:proofErr w:type="spellEnd"/>
      <w:r w:rsidR="00271CE3" w:rsidRPr="00861A3F">
        <w:rPr>
          <w:rFonts w:ascii="Times New Roman" w:hAnsi="Times New Roman" w:cs="Times New Roman"/>
          <w:sz w:val="18"/>
          <w:szCs w:val="18"/>
        </w:rPr>
        <w:t>.</w:t>
      </w:r>
    </w:p>
    <w:p w14:paraId="26E5E01F" w14:textId="77777777" w:rsidR="008745D5" w:rsidRPr="00861A3F" w:rsidRDefault="008745D5" w:rsidP="00861A3F">
      <w:pPr>
        <w:pStyle w:val="Default"/>
        <w:ind w:firstLine="284"/>
        <w:jc w:val="both"/>
        <w:rPr>
          <w:b/>
          <w:bCs/>
          <w:i/>
          <w:iCs/>
          <w:sz w:val="20"/>
          <w:szCs w:val="20"/>
          <w:lang w:val="uz-Cyrl-UZ"/>
        </w:rPr>
      </w:pPr>
    </w:p>
    <w:p w14:paraId="26092E1A" w14:textId="055D2887" w:rsidR="00631443" w:rsidRPr="00861A3F" w:rsidRDefault="001C0359" w:rsidP="00861A3F">
      <w:pPr>
        <w:pStyle w:val="Default"/>
        <w:ind w:firstLine="284"/>
        <w:jc w:val="both"/>
        <w:rPr>
          <w:lang w:val="en-US"/>
        </w:rPr>
      </w:pPr>
      <w:r w:rsidRPr="00861A3F">
        <w:rPr>
          <w:sz w:val="20"/>
          <w:lang w:val="en-US"/>
        </w:rPr>
        <w:lastRenderedPageBreak/>
        <w:t xml:space="preserve">The power loss due to corona discharge is inversely proportional to the distance between the conductors. If the spacing between the conductors is chosen to be sufficiently large, corona losses can be almost completely eliminated </w:t>
      </w:r>
      <w:r w:rsidR="006A4554" w:rsidRPr="00861A3F">
        <w:rPr>
          <w:sz w:val="20"/>
          <w:lang w:val="en-US"/>
        </w:rPr>
        <w:t>[</w:t>
      </w:r>
      <w:r w:rsidRPr="00861A3F">
        <w:rPr>
          <w:sz w:val="20"/>
          <w:lang w:val="en-US"/>
        </w:rPr>
        <w:t>2</w:t>
      </w:r>
      <w:r w:rsidR="006A4554" w:rsidRPr="00861A3F">
        <w:rPr>
          <w:sz w:val="20"/>
          <w:lang w:val="en-US"/>
        </w:rPr>
        <w:t>-5]</w:t>
      </w:r>
      <w:r w:rsidR="00DE4111" w:rsidRPr="00861A3F">
        <w:rPr>
          <w:sz w:val="20"/>
          <w:lang w:val="en-US"/>
        </w:rPr>
        <w:t>.</w:t>
      </w:r>
      <w:r w:rsidR="00DE4111" w:rsidRPr="00861A3F">
        <w:rPr>
          <w:lang w:val="en-US"/>
        </w:rPr>
        <w:t xml:space="preserve"> </w:t>
      </w:r>
    </w:p>
    <w:p w14:paraId="493A640D" w14:textId="237A955D" w:rsidR="008A22AB" w:rsidRPr="00861A3F"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861A3F">
        <w:rPr>
          <w:rFonts w:ascii="Times New Roman" w:hAnsi="Times New Roman" w:cs="Times New Roman"/>
          <w:b/>
          <w:sz w:val="24"/>
          <w:szCs w:val="24"/>
        </w:rPr>
        <w:t>EXPERIM</w:t>
      </w:r>
      <w:r w:rsidR="007C2176" w:rsidRPr="00861A3F">
        <w:rPr>
          <w:rFonts w:ascii="Times New Roman" w:hAnsi="Times New Roman" w:cs="Times New Roman"/>
          <w:b/>
          <w:sz w:val="24"/>
          <w:szCs w:val="24"/>
        </w:rPr>
        <w:t>ENTAL RESEARCH</w:t>
      </w:r>
    </w:p>
    <w:p w14:paraId="601D2C70" w14:textId="2D21CB5C" w:rsidR="008A22AB" w:rsidRPr="00861A3F" w:rsidRDefault="00DE08BD" w:rsidP="00861A3F">
      <w:pPr>
        <w:spacing w:after="0" w:line="240" w:lineRule="auto"/>
        <w:ind w:firstLine="283"/>
        <w:jc w:val="both"/>
        <w:rPr>
          <w:rFonts w:ascii="Times New Roman" w:hAnsi="Times New Roman" w:cs="Times New Roman"/>
          <w:sz w:val="20"/>
        </w:rPr>
      </w:pPr>
      <w:r w:rsidRPr="00861A3F">
        <w:rPr>
          <w:rFonts w:ascii="Times New Roman" w:hAnsi="Times New Roman" w:cs="Times New Roman"/>
          <w:sz w:val="20"/>
        </w:rPr>
        <w:t xml:space="preserve">The power loss due to corona discharge depends on the </w:t>
      </w:r>
      <w:r w:rsidR="006610CB" w:rsidRPr="00861A3F">
        <w:rPr>
          <w:rFonts w:ascii="Times New Roman" w:hAnsi="Times New Roman" w:cs="Times New Roman"/>
          <w:sz w:val="20"/>
        </w:rPr>
        <w:t>air density correction factor</w:t>
      </w:r>
      <w:r w:rsidRPr="00861A3F">
        <w:rPr>
          <w:rFonts w:ascii="Times New Roman" w:hAnsi="Times New Roman" w:cs="Times New Roman"/>
          <w:sz w:val="20"/>
        </w:rPr>
        <w:t xml:space="preserve">-the higher this factor, the lower the corona loss. Under conditions of low atmospheric pressure and high temperature, the critical breakdown voltage decreases, leading to a greater likelihood of corona discharge and associated power losses </w:t>
      </w:r>
      <w:r w:rsidR="007C2176" w:rsidRPr="00861A3F">
        <w:rPr>
          <w:rFonts w:ascii="Times New Roman" w:hAnsi="Times New Roman" w:cs="Times New Roman"/>
          <w:color w:val="000000"/>
          <w:sz w:val="20"/>
        </w:rPr>
        <w:t>[</w:t>
      </w:r>
      <w:r w:rsidRPr="00861A3F">
        <w:rPr>
          <w:rFonts w:ascii="Times New Roman" w:hAnsi="Times New Roman" w:cs="Times New Roman"/>
          <w:sz w:val="20"/>
        </w:rPr>
        <w:t>6</w:t>
      </w:r>
      <w:r w:rsidR="007C2176" w:rsidRPr="00861A3F">
        <w:rPr>
          <w:rFonts w:ascii="Times New Roman" w:hAnsi="Times New Roman" w:cs="Times New Roman"/>
          <w:color w:val="000000"/>
          <w:sz w:val="20"/>
        </w:rPr>
        <w:t>].</w:t>
      </w:r>
    </w:p>
    <w:p w14:paraId="68BE4A27" w14:textId="15CB9570" w:rsidR="008745D5" w:rsidRPr="00861A3F" w:rsidRDefault="00A1196E" w:rsidP="00861A3F">
      <w:pPr>
        <w:overflowPunct w:val="0"/>
        <w:autoSpaceDE w:val="0"/>
        <w:autoSpaceDN w:val="0"/>
        <w:adjustRightInd w:val="0"/>
        <w:spacing w:after="0" w:line="240" w:lineRule="auto"/>
        <w:jc w:val="center"/>
        <w:textAlignment w:val="baseline"/>
        <w:rPr>
          <w:rFonts w:ascii="Times New Roman" w:eastAsia="Calibri" w:hAnsi="Times New Roman" w:cs="Times New Roman"/>
        </w:rPr>
      </w:pPr>
      <w:r w:rsidRPr="00175565">
        <w:rPr>
          <w:rFonts w:ascii="Times New Roman" w:eastAsia="Calibri" w:hAnsi="Times New Roman" w:cs="Times New Roman"/>
          <w:sz w:val="20"/>
          <w:szCs w:val="20"/>
          <w:lang w:val="ru-RU"/>
        </w:rPr>
        <w:object w:dxaOrig="8385" w:dyaOrig="7426" w14:anchorId="66A7F5E8">
          <v:shape id="_x0000_i1026" type="#_x0000_t75" style="width:290.9pt;height:223.5pt" o:ole="">
            <v:imagedata r:id="rId9" o:title=""/>
          </v:shape>
          <o:OLEObject Type="Embed" ProgID="Visio.Drawing.15" ShapeID="_x0000_i1026" DrawAspect="Content" ObjectID="_1828437640" r:id="rId10"/>
        </w:object>
      </w:r>
    </w:p>
    <w:p w14:paraId="29140DF7" w14:textId="2480C527" w:rsidR="008745D5" w:rsidRPr="00861A3F" w:rsidRDefault="00DE08BD" w:rsidP="00861A3F">
      <w:pPr>
        <w:widowControl w:val="0"/>
        <w:spacing w:after="0" w:line="240" w:lineRule="auto"/>
        <w:ind w:left="40" w:right="40" w:hanging="40"/>
        <w:jc w:val="center"/>
        <w:rPr>
          <w:rFonts w:ascii="Times New Roman" w:hAnsi="Times New Roman" w:cs="Times New Roman"/>
          <w:sz w:val="18"/>
          <w:szCs w:val="18"/>
        </w:rPr>
      </w:pPr>
      <w:r w:rsidRPr="00861A3F">
        <w:rPr>
          <w:rFonts w:ascii="Times New Roman" w:hAnsi="Times New Roman" w:cs="Times New Roman"/>
          <w:b/>
          <w:sz w:val="18"/>
          <w:szCs w:val="18"/>
        </w:rPr>
        <w:t>FIGURE 2.</w:t>
      </w:r>
      <w:r w:rsidRPr="00861A3F">
        <w:rPr>
          <w:rFonts w:ascii="Times New Roman" w:hAnsi="Times New Roman" w:cs="Times New Roman"/>
          <w:sz w:val="18"/>
          <w:szCs w:val="18"/>
        </w:rPr>
        <w:t xml:space="preserve"> Dependence of power losses caused by corona discharge on the distance between conductors.</w:t>
      </w:r>
    </w:p>
    <w:p w14:paraId="5AF256BB" w14:textId="672F9FD8" w:rsidR="00487CEA" w:rsidRPr="00861A3F" w:rsidRDefault="006520BC" w:rsidP="00175565">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861A3F">
        <w:rPr>
          <w:rFonts w:ascii="Times New Roman" w:eastAsia="Times New Roman" w:hAnsi="Times New Roman" w:cs="Times New Roman"/>
          <w:b/>
          <w:sz w:val="24"/>
          <w:szCs w:val="24"/>
          <w:lang w:eastAsia="de-DE"/>
        </w:rPr>
        <w:t>RESEARCH RESULTS</w:t>
      </w:r>
    </w:p>
    <w:p w14:paraId="3EE543FD" w14:textId="469C8BD3" w:rsidR="008F5C21" w:rsidRPr="00861A3F" w:rsidRDefault="003A692F" w:rsidP="00861A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lang w:val="de-DE"/>
        </w:rPr>
      </w:pPr>
      <w:r w:rsidRPr="00861A3F">
        <w:rPr>
          <w:rFonts w:ascii="Times New Roman" w:hAnsi="Times New Roman" w:cs="Times New Roman"/>
          <w:color w:val="000000"/>
          <w:sz w:val="20"/>
        </w:rPr>
        <w:t>Under cloudy or adverse atmospheric conditions-such as snowfall, rain, or stormy weather-the disruptive critical voltage decreases, resulting in an intensification of corona effects.</w:t>
      </w:r>
    </w:p>
    <w:p w14:paraId="41F51FD2" w14:textId="3567C694" w:rsidR="008F5C21" w:rsidRPr="00861A3F" w:rsidRDefault="008F5C21" w:rsidP="00861A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lang w:val="de-DE"/>
        </w:rPr>
      </w:pPr>
    </w:p>
    <w:p w14:paraId="09F4B972" w14:textId="52BD3EF4" w:rsidR="00627698" w:rsidRPr="00861A3F" w:rsidRDefault="00AF1A27" w:rsidP="00861A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861A3F">
        <w:rPr>
          <w:rFonts w:ascii="Times New Roman" w:hAnsi="Times New Roman" w:cs="Times New Roman"/>
          <w:b/>
          <w:sz w:val="20"/>
          <w:szCs w:val="20"/>
          <w:lang w:eastAsia="de-DE"/>
        </w:rPr>
        <w:t>TABLE</w:t>
      </w:r>
      <w:r w:rsidR="008F5C21" w:rsidRPr="00861A3F">
        <w:rPr>
          <w:rFonts w:ascii="Times New Roman" w:hAnsi="Times New Roman" w:cs="Times New Roman"/>
          <w:b/>
          <w:sz w:val="20"/>
          <w:szCs w:val="20"/>
          <w:lang w:eastAsia="de-DE"/>
        </w:rPr>
        <w:t xml:space="preserve"> 1.</w:t>
      </w:r>
      <w:r w:rsidR="008F5C21" w:rsidRPr="00861A3F">
        <w:rPr>
          <w:rFonts w:ascii="Times New Roman" w:hAnsi="Times New Roman" w:cs="Times New Roman"/>
          <w:sz w:val="20"/>
          <w:szCs w:val="20"/>
          <w:lang w:eastAsia="de-DE"/>
        </w:rPr>
        <w:t xml:space="preserve"> </w:t>
      </w:r>
      <w:r w:rsidR="00860DBF" w:rsidRPr="00861A3F">
        <w:rPr>
          <w:rFonts w:ascii="Times New Roman" w:hAnsi="Times New Roman" w:cs="Times New Roman"/>
          <w:sz w:val="20"/>
          <w:szCs w:val="20"/>
          <w:lang w:eastAsia="de-DE"/>
        </w:rPr>
        <w:t>Total and component parts of electrical energy losses</w:t>
      </w:r>
    </w:p>
    <w:tbl>
      <w:tblPr>
        <w:tblStyle w:val="a3"/>
        <w:tblW w:w="0" w:type="auto"/>
        <w:jc w:val="center"/>
        <w:tblLook w:val="04A0" w:firstRow="1" w:lastRow="0" w:firstColumn="1" w:lastColumn="0" w:noHBand="0" w:noVBand="1"/>
      </w:tblPr>
      <w:tblGrid>
        <w:gridCol w:w="4788"/>
        <w:gridCol w:w="3542"/>
      </w:tblGrid>
      <w:tr w:rsidR="006D5D58" w:rsidRPr="00861A3F" w14:paraId="36319669" w14:textId="77777777" w:rsidTr="00175565">
        <w:trPr>
          <w:jc w:val="center"/>
        </w:trPr>
        <w:tc>
          <w:tcPr>
            <w:tcW w:w="4788" w:type="dxa"/>
          </w:tcPr>
          <w:p w14:paraId="22ADF6D1" w14:textId="0DAFBFC9" w:rsidR="006D5D58" w:rsidRPr="00861A3F" w:rsidRDefault="006D5D58" w:rsidP="00861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18"/>
                <w:szCs w:val="18"/>
                <w:lang w:val="en-US"/>
              </w:rPr>
            </w:pPr>
            <w:r w:rsidRPr="00861A3F">
              <w:rPr>
                <w:b/>
                <w:sz w:val="18"/>
                <w:szCs w:val="18"/>
              </w:rPr>
              <w:t>Losses under overload conditions</w:t>
            </w:r>
            <w:r w:rsidRPr="00861A3F">
              <w:rPr>
                <w:b/>
                <w:sz w:val="18"/>
                <w:szCs w:val="18"/>
                <w:lang w:val="en-US"/>
              </w:rPr>
              <w:t>, %</w:t>
            </w:r>
          </w:p>
        </w:tc>
        <w:tc>
          <w:tcPr>
            <w:tcW w:w="3542" w:type="dxa"/>
          </w:tcPr>
          <w:p w14:paraId="06E26461" w14:textId="476E360B" w:rsidR="006D5D58" w:rsidRPr="00861A3F" w:rsidRDefault="006D5D58" w:rsidP="00861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18"/>
                <w:szCs w:val="18"/>
              </w:rPr>
            </w:pPr>
            <w:r w:rsidRPr="00861A3F">
              <w:rPr>
                <w:sz w:val="18"/>
                <w:szCs w:val="18"/>
              </w:rPr>
              <w:t xml:space="preserve">64 </w:t>
            </w:r>
          </w:p>
        </w:tc>
      </w:tr>
      <w:tr w:rsidR="006D5D58" w:rsidRPr="00861A3F" w14:paraId="73B0D695" w14:textId="77777777" w:rsidTr="00175565">
        <w:trPr>
          <w:jc w:val="center"/>
        </w:trPr>
        <w:tc>
          <w:tcPr>
            <w:tcW w:w="4788" w:type="dxa"/>
          </w:tcPr>
          <w:p w14:paraId="27640453" w14:textId="52E048FD" w:rsidR="006D5D58" w:rsidRPr="00861A3F" w:rsidRDefault="006D5D58" w:rsidP="00861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18"/>
                <w:szCs w:val="18"/>
                <w:lang w:val="en-US"/>
              </w:rPr>
            </w:pPr>
            <w:r w:rsidRPr="00861A3F">
              <w:rPr>
                <w:b/>
                <w:noProof/>
                <w:sz w:val="18"/>
                <w:szCs w:val="18"/>
                <w:lang w:val="en-US"/>
              </w:rPr>
              <w:t>Losses due to the corona effect</w:t>
            </w:r>
            <w:r w:rsidRPr="00861A3F">
              <w:rPr>
                <w:b/>
                <w:sz w:val="18"/>
                <w:szCs w:val="18"/>
                <w:lang w:val="en-US"/>
              </w:rPr>
              <w:t>, %</w:t>
            </w:r>
          </w:p>
        </w:tc>
        <w:tc>
          <w:tcPr>
            <w:tcW w:w="3542" w:type="dxa"/>
          </w:tcPr>
          <w:p w14:paraId="4306B73F" w14:textId="6A1C2315" w:rsidR="006D5D58" w:rsidRPr="00861A3F" w:rsidRDefault="006D5D58" w:rsidP="00861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18"/>
                <w:szCs w:val="18"/>
                <w:lang w:val="en-US"/>
              </w:rPr>
            </w:pPr>
            <w:r w:rsidRPr="00861A3F">
              <w:rPr>
                <w:sz w:val="18"/>
                <w:szCs w:val="18"/>
              </w:rPr>
              <w:t xml:space="preserve">20 </w:t>
            </w:r>
          </w:p>
        </w:tc>
      </w:tr>
      <w:tr w:rsidR="006D5D58" w:rsidRPr="00861A3F" w14:paraId="497DC5BA" w14:textId="77777777" w:rsidTr="00175565">
        <w:trPr>
          <w:jc w:val="center"/>
        </w:trPr>
        <w:tc>
          <w:tcPr>
            <w:tcW w:w="4788" w:type="dxa"/>
          </w:tcPr>
          <w:p w14:paraId="62250524" w14:textId="015CF6C5" w:rsidR="006D5D58" w:rsidRPr="00861A3F" w:rsidRDefault="006D5D58" w:rsidP="00861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18"/>
                <w:szCs w:val="18"/>
                <w:lang w:val="en-US"/>
              </w:rPr>
            </w:pPr>
            <w:r w:rsidRPr="00861A3F">
              <w:rPr>
                <w:b/>
                <w:noProof/>
                <w:sz w:val="18"/>
                <w:szCs w:val="18"/>
                <w:lang w:val="en-US"/>
              </w:rPr>
              <w:t>No-load losses of the power transformer located at the substation</w:t>
            </w:r>
            <w:r w:rsidRPr="00861A3F">
              <w:rPr>
                <w:b/>
                <w:sz w:val="18"/>
                <w:szCs w:val="18"/>
                <w:lang w:val="en-US"/>
              </w:rPr>
              <w:t>, %</w:t>
            </w:r>
          </w:p>
        </w:tc>
        <w:tc>
          <w:tcPr>
            <w:tcW w:w="3542" w:type="dxa"/>
          </w:tcPr>
          <w:p w14:paraId="41432F63" w14:textId="547ABA5D" w:rsidR="006D5D58" w:rsidRPr="00861A3F" w:rsidRDefault="006D5D58" w:rsidP="00861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18"/>
                <w:szCs w:val="18"/>
                <w:lang w:val="en-US"/>
              </w:rPr>
            </w:pPr>
            <w:r w:rsidRPr="00861A3F">
              <w:rPr>
                <w:sz w:val="18"/>
                <w:szCs w:val="18"/>
              </w:rPr>
              <w:t xml:space="preserve">8 </w:t>
            </w:r>
          </w:p>
        </w:tc>
      </w:tr>
      <w:tr w:rsidR="006D5D58" w:rsidRPr="00861A3F" w14:paraId="3E3D3188" w14:textId="77777777" w:rsidTr="00175565">
        <w:trPr>
          <w:jc w:val="center"/>
        </w:trPr>
        <w:tc>
          <w:tcPr>
            <w:tcW w:w="4788" w:type="dxa"/>
          </w:tcPr>
          <w:p w14:paraId="79174576" w14:textId="66738369" w:rsidR="006D5D58" w:rsidRPr="00861A3F" w:rsidRDefault="006D5D58" w:rsidP="00861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18"/>
                <w:szCs w:val="18"/>
                <w:lang w:val="en-US"/>
              </w:rPr>
            </w:pPr>
            <w:r w:rsidRPr="00861A3F">
              <w:rPr>
                <w:b/>
                <w:noProof/>
                <w:sz w:val="18"/>
                <w:szCs w:val="18"/>
                <w:lang w:val="en-US"/>
              </w:rPr>
              <w:t>Losses in the reactor block located at the substation</w:t>
            </w:r>
            <w:r w:rsidRPr="00861A3F">
              <w:rPr>
                <w:b/>
                <w:sz w:val="18"/>
                <w:szCs w:val="18"/>
                <w:lang w:val="en-US"/>
              </w:rPr>
              <w:t>, %</w:t>
            </w:r>
          </w:p>
        </w:tc>
        <w:tc>
          <w:tcPr>
            <w:tcW w:w="3542" w:type="dxa"/>
          </w:tcPr>
          <w:p w14:paraId="0CD0B85B" w14:textId="034C648B" w:rsidR="006D5D58" w:rsidRPr="00861A3F" w:rsidRDefault="006D5D58" w:rsidP="00861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18"/>
                <w:szCs w:val="18"/>
                <w:lang w:val="en-US"/>
              </w:rPr>
            </w:pPr>
            <w:r w:rsidRPr="00861A3F">
              <w:rPr>
                <w:sz w:val="18"/>
                <w:szCs w:val="18"/>
              </w:rPr>
              <w:t xml:space="preserve">2 </w:t>
            </w:r>
          </w:p>
        </w:tc>
      </w:tr>
      <w:tr w:rsidR="006D5D58" w:rsidRPr="00861A3F" w14:paraId="2491B463" w14:textId="77777777" w:rsidTr="00175565">
        <w:trPr>
          <w:jc w:val="center"/>
        </w:trPr>
        <w:tc>
          <w:tcPr>
            <w:tcW w:w="4788" w:type="dxa"/>
          </w:tcPr>
          <w:p w14:paraId="4CA20A45" w14:textId="7885348D" w:rsidR="006D5D58" w:rsidRPr="00861A3F" w:rsidRDefault="006D5D58" w:rsidP="00861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18"/>
                <w:szCs w:val="18"/>
                <w:lang w:val="en-US"/>
              </w:rPr>
            </w:pPr>
            <w:r w:rsidRPr="00861A3F">
              <w:rPr>
                <w:b/>
                <w:noProof/>
                <w:sz w:val="18"/>
                <w:szCs w:val="18"/>
                <w:lang w:val="en-US"/>
              </w:rPr>
              <w:t>Total losses in measuring transformers and high-voltage surge protection devices</w:t>
            </w:r>
            <w:r w:rsidRPr="00861A3F">
              <w:rPr>
                <w:b/>
                <w:sz w:val="18"/>
                <w:szCs w:val="18"/>
                <w:lang w:val="en-US"/>
              </w:rPr>
              <w:t>, %</w:t>
            </w:r>
          </w:p>
        </w:tc>
        <w:tc>
          <w:tcPr>
            <w:tcW w:w="3542" w:type="dxa"/>
          </w:tcPr>
          <w:p w14:paraId="7F70C710" w14:textId="24B9EB69" w:rsidR="006D5D58" w:rsidRPr="00861A3F" w:rsidRDefault="006D5D58" w:rsidP="00861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18"/>
                <w:szCs w:val="18"/>
                <w:lang w:val="en-US"/>
              </w:rPr>
            </w:pPr>
            <w:r w:rsidRPr="00861A3F">
              <w:rPr>
                <w:sz w:val="18"/>
                <w:szCs w:val="18"/>
              </w:rPr>
              <w:t xml:space="preserve">3 </w:t>
            </w:r>
          </w:p>
        </w:tc>
      </w:tr>
      <w:tr w:rsidR="006D5D58" w:rsidRPr="00861A3F" w14:paraId="0A06E9CE" w14:textId="77777777" w:rsidTr="00175565">
        <w:trPr>
          <w:jc w:val="center"/>
        </w:trPr>
        <w:tc>
          <w:tcPr>
            <w:tcW w:w="4788" w:type="dxa"/>
          </w:tcPr>
          <w:p w14:paraId="04C2124F" w14:textId="293DEF9F" w:rsidR="006D5D58" w:rsidRPr="00861A3F" w:rsidRDefault="006D5D58" w:rsidP="00861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18"/>
                <w:szCs w:val="18"/>
                <w:lang w:val="en-US"/>
              </w:rPr>
            </w:pPr>
            <w:r w:rsidRPr="00861A3F">
              <w:rPr>
                <w:b/>
                <w:noProof/>
                <w:sz w:val="18"/>
                <w:szCs w:val="18"/>
                <w:lang w:val="en-US"/>
              </w:rPr>
              <w:t>Total losses in capacitor installations</w:t>
            </w:r>
            <w:r w:rsidRPr="00861A3F">
              <w:rPr>
                <w:b/>
                <w:sz w:val="18"/>
                <w:szCs w:val="18"/>
                <w:lang w:val="en-US"/>
              </w:rPr>
              <w:t>, %</w:t>
            </w:r>
          </w:p>
        </w:tc>
        <w:tc>
          <w:tcPr>
            <w:tcW w:w="3542" w:type="dxa"/>
          </w:tcPr>
          <w:p w14:paraId="24451A19" w14:textId="0B88D67E" w:rsidR="006D5D58" w:rsidRPr="00861A3F" w:rsidRDefault="006D5D58" w:rsidP="00861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18"/>
                <w:szCs w:val="18"/>
                <w:lang w:val="en-US"/>
              </w:rPr>
            </w:pPr>
            <w:r w:rsidRPr="00861A3F">
              <w:rPr>
                <w:sz w:val="18"/>
                <w:szCs w:val="18"/>
              </w:rPr>
              <w:t xml:space="preserve">3 </w:t>
            </w:r>
          </w:p>
        </w:tc>
      </w:tr>
    </w:tbl>
    <w:p w14:paraId="4152AE8C" w14:textId="77777777" w:rsidR="00860DBF" w:rsidRPr="00861A3F" w:rsidRDefault="00860DBF" w:rsidP="00861A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noProof/>
          <w:lang w:eastAsia="ru-RU"/>
        </w:rPr>
      </w:pPr>
    </w:p>
    <w:p w14:paraId="08DCA1D7" w14:textId="7652B429" w:rsidR="006E5971" w:rsidRPr="00861A3F" w:rsidRDefault="006E5971" w:rsidP="00861A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sz w:val="20"/>
          <w:lang w:eastAsia="ru-RU"/>
        </w:rPr>
      </w:pPr>
      <w:r w:rsidRPr="00861A3F">
        <w:rPr>
          <w:rFonts w:ascii="Times New Roman" w:hAnsi="Times New Roman" w:cs="Times New Roman"/>
          <w:noProof/>
          <w:sz w:val="20"/>
          <w:lang w:eastAsia="ru-RU"/>
        </w:rPr>
        <w:t>In determining and analyzing losses in electrical networks, several factors are taken into account. Corona losses are based on power losses per unit of capacity and the duration of various weather conditions during the calculation period. At the same time, periods of fair weather (for the purpose of calculating corona losses) are considered as those with relative humidity below 100% and the presence of ice coating.</w:t>
      </w:r>
    </w:p>
    <w:p w14:paraId="41C7355D" w14:textId="77777777" w:rsidR="00861A3F" w:rsidRPr="00861A3F" w:rsidRDefault="00861A3F" w:rsidP="00861A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p>
    <w:p w14:paraId="24DB973C" w14:textId="77777777" w:rsidR="00861A3F" w:rsidRDefault="00861A3F" w:rsidP="00F752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0"/>
          <w:szCs w:val="20"/>
          <w:lang w:eastAsia="de-DE"/>
        </w:rPr>
      </w:pPr>
    </w:p>
    <w:p w14:paraId="662B1CAC" w14:textId="77777777" w:rsidR="00861A3F" w:rsidRDefault="00861A3F" w:rsidP="00F752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0"/>
          <w:szCs w:val="20"/>
          <w:lang w:eastAsia="de-DE"/>
        </w:rPr>
      </w:pPr>
    </w:p>
    <w:p w14:paraId="25D621C3" w14:textId="77777777" w:rsidR="00861A3F" w:rsidRDefault="00861A3F" w:rsidP="00F752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0"/>
          <w:szCs w:val="20"/>
          <w:lang w:eastAsia="de-DE"/>
        </w:rPr>
      </w:pPr>
    </w:p>
    <w:p w14:paraId="44590055" w14:textId="1EF7DC96" w:rsidR="00F75242" w:rsidRPr="00861A3F" w:rsidRDefault="00F75242" w:rsidP="00F752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lang w:eastAsia="de-DE"/>
        </w:rPr>
      </w:pPr>
      <w:r w:rsidRPr="00861A3F">
        <w:rPr>
          <w:rFonts w:ascii="Times New Roman" w:hAnsi="Times New Roman" w:cs="Times New Roman"/>
          <w:b/>
          <w:sz w:val="20"/>
          <w:szCs w:val="20"/>
          <w:lang w:eastAsia="de-DE"/>
        </w:rPr>
        <w:lastRenderedPageBreak/>
        <w:t>TABLE 2.</w:t>
      </w:r>
      <w:r w:rsidRPr="00861A3F">
        <w:rPr>
          <w:rFonts w:ascii="Times New Roman" w:hAnsi="Times New Roman" w:cs="Times New Roman"/>
          <w:sz w:val="20"/>
          <w:szCs w:val="20"/>
          <w:lang w:eastAsia="de-DE"/>
        </w:rPr>
        <w:t xml:space="preserve"> Average annual values of power losses due to the corona process</w:t>
      </w:r>
    </w:p>
    <w:tbl>
      <w:tblPr>
        <w:tblStyle w:val="a3"/>
        <w:tblpPr w:leftFromText="180" w:rightFromText="180" w:vertAnchor="text" w:horzAnchor="margin" w:tblpXSpec="center" w:tblpY="108"/>
        <w:tblW w:w="9322" w:type="dxa"/>
        <w:tblLook w:val="04A0" w:firstRow="1" w:lastRow="0" w:firstColumn="1" w:lastColumn="0" w:noHBand="0" w:noVBand="1"/>
      </w:tblPr>
      <w:tblGrid>
        <w:gridCol w:w="1694"/>
        <w:gridCol w:w="1238"/>
        <w:gridCol w:w="1571"/>
        <w:gridCol w:w="1641"/>
        <w:gridCol w:w="1016"/>
        <w:gridCol w:w="1016"/>
        <w:gridCol w:w="1146"/>
      </w:tblGrid>
      <w:tr w:rsidR="004F3C73" w:rsidRPr="00175565" w14:paraId="1583AC39" w14:textId="77777777" w:rsidTr="00861A3F">
        <w:trPr>
          <w:trHeight w:val="270"/>
        </w:trPr>
        <w:tc>
          <w:tcPr>
            <w:tcW w:w="1694" w:type="dxa"/>
            <w:vMerge w:val="restart"/>
            <w:shd w:val="clear" w:color="auto" w:fill="FFFFFF" w:themeFill="background1"/>
            <w:vAlign w:val="center"/>
          </w:tcPr>
          <w:p w14:paraId="47643DC2" w14:textId="5BF7F190" w:rsidR="006E5971" w:rsidRPr="00175565" w:rsidRDefault="00ED5AC4" w:rsidP="006610CB">
            <w:pPr>
              <w:pStyle w:val="Body"/>
              <w:jc w:val="center"/>
              <w:rPr>
                <w:b/>
                <w:sz w:val="18"/>
                <w:szCs w:val="18"/>
                <w:lang w:val="en-US"/>
              </w:rPr>
            </w:pPr>
            <w:r w:rsidRPr="00175565">
              <w:rPr>
                <w:b/>
                <w:sz w:val="18"/>
                <w:szCs w:val="18"/>
                <w:lang w:val="en-US"/>
              </w:rPr>
              <w:t>Voltage, kV</w:t>
            </w:r>
          </w:p>
        </w:tc>
        <w:tc>
          <w:tcPr>
            <w:tcW w:w="1238" w:type="dxa"/>
            <w:vMerge w:val="restart"/>
            <w:shd w:val="clear" w:color="auto" w:fill="FFFFFF" w:themeFill="background1"/>
            <w:vAlign w:val="center"/>
          </w:tcPr>
          <w:p w14:paraId="6BA22892" w14:textId="7C7464C3" w:rsidR="006E5971" w:rsidRPr="00175565" w:rsidRDefault="00ED5AC4" w:rsidP="006610CB">
            <w:pPr>
              <w:pStyle w:val="Body"/>
              <w:jc w:val="center"/>
              <w:rPr>
                <w:b/>
                <w:sz w:val="18"/>
                <w:szCs w:val="18"/>
                <w:lang w:val="en-US"/>
              </w:rPr>
            </w:pPr>
            <w:r w:rsidRPr="00175565">
              <w:rPr>
                <w:b/>
                <w:sz w:val="18"/>
                <w:szCs w:val="18"/>
                <w:lang w:val="en-US"/>
              </w:rPr>
              <w:t xml:space="preserve">Number of </w:t>
            </w:r>
            <w:r w:rsidR="0003684A" w:rsidRPr="00175565">
              <w:rPr>
                <w:b/>
                <w:sz w:val="18"/>
                <w:szCs w:val="18"/>
                <w:lang w:val="en-US"/>
              </w:rPr>
              <w:t>c</w:t>
            </w:r>
            <w:r w:rsidRPr="00175565">
              <w:rPr>
                <w:b/>
                <w:sz w:val="18"/>
                <w:szCs w:val="18"/>
                <w:lang w:val="en-US"/>
              </w:rPr>
              <w:t xml:space="preserve">onductors per </w:t>
            </w:r>
            <w:r w:rsidR="0003684A" w:rsidRPr="00175565">
              <w:rPr>
                <w:b/>
                <w:sz w:val="18"/>
                <w:szCs w:val="18"/>
                <w:lang w:val="en-US"/>
              </w:rPr>
              <w:t>p</w:t>
            </w:r>
            <w:r w:rsidRPr="00175565">
              <w:rPr>
                <w:b/>
                <w:sz w:val="18"/>
                <w:szCs w:val="18"/>
                <w:lang w:val="en-US"/>
              </w:rPr>
              <w:t>hase</w:t>
            </w:r>
          </w:p>
        </w:tc>
        <w:tc>
          <w:tcPr>
            <w:tcW w:w="1571" w:type="dxa"/>
            <w:vMerge w:val="restart"/>
            <w:shd w:val="clear" w:color="auto" w:fill="FFFFFF" w:themeFill="background1"/>
            <w:vAlign w:val="center"/>
          </w:tcPr>
          <w:p w14:paraId="46FB54DC" w14:textId="7242E9A7" w:rsidR="006E5971" w:rsidRPr="00175565" w:rsidRDefault="00ED5AC4" w:rsidP="006610CB">
            <w:pPr>
              <w:pStyle w:val="Body"/>
              <w:jc w:val="center"/>
              <w:rPr>
                <w:b/>
                <w:sz w:val="18"/>
                <w:szCs w:val="18"/>
                <w:lang w:val="en-US"/>
              </w:rPr>
            </w:pPr>
            <w:r w:rsidRPr="00175565">
              <w:rPr>
                <w:b/>
                <w:sz w:val="18"/>
                <w:szCs w:val="18"/>
                <w:lang w:val="en-US"/>
              </w:rPr>
              <w:t xml:space="preserve">Cross-Sectional </w:t>
            </w:r>
            <w:r w:rsidR="0003684A" w:rsidRPr="00175565">
              <w:rPr>
                <w:b/>
                <w:sz w:val="18"/>
                <w:szCs w:val="18"/>
                <w:lang w:val="en-US"/>
              </w:rPr>
              <w:t>a</w:t>
            </w:r>
            <w:r w:rsidRPr="00175565">
              <w:rPr>
                <w:b/>
                <w:sz w:val="18"/>
                <w:szCs w:val="18"/>
                <w:lang w:val="en-US"/>
              </w:rPr>
              <w:t xml:space="preserve">rea of the </w:t>
            </w:r>
            <w:r w:rsidR="0003684A" w:rsidRPr="00175565">
              <w:rPr>
                <w:b/>
                <w:sz w:val="18"/>
                <w:szCs w:val="18"/>
                <w:lang w:val="en-US"/>
              </w:rPr>
              <w:t>c</w:t>
            </w:r>
            <w:r w:rsidRPr="00175565">
              <w:rPr>
                <w:b/>
                <w:sz w:val="18"/>
                <w:szCs w:val="18"/>
                <w:lang w:val="en-US"/>
              </w:rPr>
              <w:t>onductor</w:t>
            </w:r>
          </w:p>
        </w:tc>
        <w:tc>
          <w:tcPr>
            <w:tcW w:w="1641" w:type="dxa"/>
            <w:vMerge w:val="restart"/>
            <w:shd w:val="clear" w:color="auto" w:fill="FFFFFF" w:themeFill="background1"/>
            <w:vAlign w:val="center"/>
          </w:tcPr>
          <w:p w14:paraId="32F36473" w14:textId="3470F272" w:rsidR="006E5971" w:rsidRPr="00175565" w:rsidRDefault="0003684A" w:rsidP="006610CB">
            <w:pPr>
              <w:pStyle w:val="Body"/>
              <w:jc w:val="center"/>
              <w:rPr>
                <w:b/>
                <w:sz w:val="18"/>
                <w:szCs w:val="18"/>
                <w:lang w:val="en-US"/>
              </w:rPr>
            </w:pPr>
            <w:r w:rsidRPr="00175565">
              <w:rPr>
                <w:b/>
                <w:sz w:val="18"/>
                <w:szCs w:val="18"/>
                <w:lang w:val="en-US"/>
              </w:rPr>
              <w:t>Conductor radius, mm</w:t>
            </w:r>
          </w:p>
        </w:tc>
        <w:tc>
          <w:tcPr>
            <w:tcW w:w="2032" w:type="dxa"/>
            <w:gridSpan w:val="2"/>
            <w:shd w:val="clear" w:color="auto" w:fill="FFFFFF" w:themeFill="background1"/>
            <w:vAlign w:val="center"/>
          </w:tcPr>
          <w:p w14:paraId="3E61522A" w14:textId="6AB3232E" w:rsidR="006E5971" w:rsidRPr="00175565" w:rsidRDefault="004F3C73" w:rsidP="006610CB">
            <w:pPr>
              <w:pStyle w:val="Body"/>
              <w:jc w:val="center"/>
              <w:rPr>
                <w:b/>
                <w:sz w:val="18"/>
                <w:szCs w:val="18"/>
                <w:lang w:val="en-US"/>
              </w:rPr>
            </w:pPr>
            <w:r w:rsidRPr="00175565">
              <w:rPr>
                <w:b/>
                <w:sz w:val="18"/>
                <w:szCs w:val="18"/>
                <w:lang w:val="en-US"/>
              </w:rPr>
              <w:t>Losses, W/m</w:t>
            </w:r>
          </w:p>
        </w:tc>
        <w:tc>
          <w:tcPr>
            <w:tcW w:w="1146" w:type="dxa"/>
            <w:vMerge w:val="restart"/>
            <w:shd w:val="clear" w:color="auto" w:fill="FFFFFF" w:themeFill="background1"/>
            <w:vAlign w:val="center"/>
          </w:tcPr>
          <w:p w14:paraId="49EFE7B9" w14:textId="77777777" w:rsidR="004F3C73" w:rsidRPr="00175565" w:rsidRDefault="004F3C73" w:rsidP="006610CB">
            <w:pPr>
              <w:pStyle w:val="Body"/>
              <w:jc w:val="center"/>
              <w:rPr>
                <w:b/>
                <w:sz w:val="18"/>
                <w:szCs w:val="18"/>
                <w:lang w:val="en-US"/>
              </w:rPr>
            </w:pPr>
            <w:r w:rsidRPr="00175565">
              <w:rPr>
                <w:b/>
                <w:sz w:val="18"/>
                <w:szCs w:val="18"/>
                <w:lang w:val="en-US"/>
              </w:rPr>
              <w:t>Relations</w:t>
            </w:r>
          </w:p>
          <w:p w14:paraId="4A14A827" w14:textId="13997E46" w:rsidR="006E5971" w:rsidRPr="00175565" w:rsidRDefault="004F3C73" w:rsidP="006610CB">
            <w:pPr>
              <w:pStyle w:val="Body"/>
              <w:jc w:val="center"/>
              <w:rPr>
                <w:b/>
                <w:sz w:val="18"/>
                <w:szCs w:val="18"/>
                <w:lang w:val="en-US"/>
              </w:rPr>
            </w:pPr>
            <w:r w:rsidRPr="00175565">
              <w:rPr>
                <w:b/>
                <w:sz w:val="18"/>
                <w:szCs w:val="18"/>
                <w:lang w:val="en-US"/>
              </w:rPr>
              <w:t>P</w:t>
            </w:r>
            <w:r w:rsidRPr="00175565">
              <w:rPr>
                <w:b/>
                <w:sz w:val="18"/>
                <w:szCs w:val="18"/>
                <w:vertAlign w:val="subscript"/>
                <w:lang w:val="en-US"/>
              </w:rPr>
              <w:t>2</w:t>
            </w:r>
            <w:r w:rsidRPr="00175565">
              <w:rPr>
                <w:b/>
                <w:sz w:val="18"/>
                <w:szCs w:val="18"/>
                <w:lang w:val="en-US"/>
              </w:rPr>
              <w:t>/P</w:t>
            </w:r>
            <w:r w:rsidRPr="00175565">
              <w:rPr>
                <w:b/>
                <w:sz w:val="18"/>
                <w:szCs w:val="18"/>
                <w:vertAlign w:val="subscript"/>
                <w:lang w:val="en-US"/>
              </w:rPr>
              <w:t>1</w:t>
            </w:r>
          </w:p>
        </w:tc>
      </w:tr>
      <w:tr w:rsidR="004F3C73" w:rsidRPr="00175565" w14:paraId="492787CA" w14:textId="77777777" w:rsidTr="00861A3F">
        <w:trPr>
          <w:trHeight w:val="70"/>
        </w:trPr>
        <w:tc>
          <w:tcPr>
            <w:tcW w:w="1694" w:type="dxa"/>
            <w:vMerge/>
            <w:shd w:val="clear" w:color="auto" w:fill="FFFFFF" w:themeFill="background1"/>
          </w:tcPr>
          <w:p w14:paraId="7772C831" w14:textId="77777777" w:rsidR="006E5971" w:rsidRPr="00175565" w:rsidRDefault="006E5971" w:rsidP="001F0300">
            <w:pPr>
              <w:pStyle w:val="Body"/>
              <w:jc w:val="center"/>
              <w:rPr>
                <w:b/>
                <w:sz w:val="18"/>
                <w:szCs w:val="18"/>
                <w:lang w:val="en-US"/>
              </w:rPr>
            </w:pPr>
          </w:p>
        </w:tc>
        <w:tc>
          <w:tcPr>
            <w:tcW w:w="1238" w:type="dxa"/>
            <w:vMerge/>
            <w:shd w:val="clear" w:color="auto" w:fill="FFFFFF" w:themeFill="background1"/>
          </w:tcPr>
          <w:p w14:paraId="0976F691" w14:textId="77777777" w:rsidR="006E5971" w:rsidRPr="00175565" w:rsidRDefault="006E5971" w:rsidP="001F0300">
            <w:pPr>
              <w:pStyle w:val="Body"/>
              <w:jc w:val="center"/>
              <w:rPr>
                <w:b/>
                <w:sz w:val="18"/>
                <w:szCs w:val="18"/>
                <w:lang w:val="en-US"/>
              </w:rPr>
            </w:pPr>
          </w:p>
        </w:tc>
        <w:tc>
          <w:tcPr>
            <w:tcW w:w="1571" w:type="dxa"/>
            <w:vMerge/>
            <w:shd w:val="clear" w:color="auto" w:fill="FFFFFF" w:themeFill="background1"/>
          </w:tcPr>
          <w:p w14:paraId="33DDC868" w14:textId="77777777" w:rsidR="006E5971" w:rsidRPr="00175565" w:rsidRDefault="006E5971" w:rsidP="001F0300">
            <w:pPr>
              <w:pStyle w:val="Body"/>
              <w:jc w:val="center"/>
              <w:rPr>
                <w:b/>
                <w:sz w:val="18"/>
                <w:szCs w:val="18"/>
                <w:lang w:val="en-US"/>
              </w:rPr>
            </w:pPr>
          </w:p>
        </w:tc>
        <w:tc>
          <w:tcPr>
            <w:tcW w:w="1641" w:type="dxa"/>
            <w:vMerge/>
            <w:shd w:val="clear" w:color="auto" w:fill="FFFFFF" w:themeFill="background1"/>
          </w:tcPr>
          <w:p w14:paraId="5E5E0C4E" w14:textId="77777777" w:rsidR="006E5971" w:rsidRPr="00175565" w:rsidRDefault="006E5971" w:rsidP="001F0300">
            <w:pPr>
              <w:pStyle w:val="Body"/>
              <w:jc w:val="center"/>
              <w:rPr>
                <w:b/>
                <w:sz w:val="18"/>
                <w:szCs w:val="18"/>
                <w:lang w:val="en-US"/>
              </w:rPr>
            </w:pPr>
          </w:p>
        </w:tc>
        <w:tc>
          <w:tcPr>
            <w:tcW w:w="1016" w:type="dxa"/>
            <w:shd w:val="clear" w:color="auto" w:fill="FFFFFF" w:themeFill="background1"/>
          </w:tcPr>
          <w:p w14:paraId="590AF3F6" w14:textId="2882C36C" w:rsidR="006E5971" w:rsidRPr="00175565" w:rsidRDefault="004F3C73" w:rsidP="001F0300">
            <w:pPr>
              <w:pStyle w:val="Body"/>
              <w:jc w:val="center"/>
              <w:rPr>
                <w:b/>
                <w:sz w:val="18"/>
                <w:szCs w:val="18"/>
                <w:lang w:val="en-US"/>
              </w:rPr>
            </w:pPr>
            <w:r w:rsidRPr="00175565">
              <w:rPr>
                <w:b/>
                <w:sz w:val="18"/>
                <w:szCs w:val="18"/>
                <w:lang w:val="en-US"/>
              </w:rPr>
              <w:t>According to P₁</w:t>
            </w:r>
          </w:p>
        </w:tc>
        <w:tc>
          <w:tcPr>
            <w:tcW w:w="1016" w:type="dxa"/>
            <w:shd w:val="clear" w:color="auto" w:fill="FFFFFF" w:themeFill="background1"/>
          </w:tcPr>
          <w:p w14:paraId="143E063A" w14:textId="35436493" w:rsidR="006E5971" w:rsidRPr="00175565" w:rsidRDefault="004F3C73" w:rsidP="001F0300">
            <w:pPr>
              <w:pStyle w:val="Body"/>
              <w:jc w:val="center"/>
              <w:rPr>
                <w:b/>
                <w:sz w:val="18"/>
                <w:szCs w:val="18"/>
                <w:lang w:val="en-US"/>
              </w:rPr>
            </w:pPr>
            <w:r w:rsidRPr="00175565">
              <w:rPr>
                <w:b/>
                <w:sz w:val="18"/>
                <w:szCs w:val="18"/>
                <w:lang w:val="en-US"/>
              </w:rPr>
              <w:t>According to P</w:t>
            </w:r>
            <w:r w:rsidRPr="00175565">
              <w:rPr>
                <w:b/>
                <w:sz w:val="18"/>
                <w:szCs w:val="18"/>
                <w:vertAlign w:val="subscript"/>
                <w:lang w:val="en-US"/>
              </w:rPr>
              <w:t>2</w:t>
            </w:r>
          </w:p>
        </w:tc>
        <w:tc>
          <w:tcPr>
            <w:tcW w:w="1146" w:type="dxa"/>
            <w:vMerge/>
            <w:shd w:val="clear" w:color="auto" w:fill="FFFFFF" w:themeFill="background1"/>
          </w:tcPr>
          <w:p w14:paraId="2A819B17" w14:textId="77777777" w:rsidR="006E5971" w:rsidRPr="00175565" w:rsidRDefault="006E5971" w:rsidP="001F0300">
            <w:pPr>
              <w:pStyle w:val="Body"/>
              <w:jc w:val="center"/>
              <w:rPr>
                <w:b/>
                <w:sz w:val="18"/>
                <w:szCs w:val="18"/>
                <w:lang w:val="en-US"/>
              </w:rPr>
            </w:pPr>
          </w:p>
        </w:tc>
      </w:tr>
      <w:tr w:rsidR="004F3C73" w:rsidRPr="00175565" w14:paraId="374B114F" w14:textId="77777777" w:rsidTr="00861A3F">
        <w:trPr>
          <w:trHeight w:val="142"/>
        </w:trPr>
        <w:tc>
          <w:tcPr>
            <w:tcW w:w="1694" w:type="dxa"/>
            <w:shd w:val="clear" w:color="auto" w:fill="FFFFFF" w:themeFill="background1"/>
            <w:vAlign w:val="center"/>
          </w:tcPr>
          <w:p w14:paraId="0C912056" w14:textId="77777777" w:rsidR="006E5971" w:rsidRPr="00175565" w:rsidRDefault="006E5971" w:rsidP="001F0300">
            <w:pPr>
              <w:pStyle w:val="Body"/>
              <w:jc w:val="center"/>
              <w:rPr>
                <w:sz w:val="18"/>
                <w:szCs w:val="18"/>
                <w:lang w:val="en-US"/>
              </w:rPr>
            </w:pPr>
            <w:r w:rsidRPr="00175565">
              <w:rPr>
                <w:sz w:val="18"/>
                <w:szCs w:val="18"/>
                <w:lang w:val="en-US"/>
              </w:rPr>
              <w:t>1150</w:t>
            </w:r>
          </w:p>
        </w:tc>
        <w:tc>
          <w:tcPr>
            <w:tcW w:w="1238" w:type="dxa"/>
            <w:shd w:val="clear" w:color="auto" w:fill="FFFFFF" w:themeFill="background1"/>
            <w:vAlign w:val="center"/>
          </w:tcPr>
          <w:p w14:paraId="36922F73" w14:textId="77777777" w:rsidR="006E5971" w:rsidRPr="00175565" w:rsidRDefault="006E5971" w:rsidP="001F0300">
            <w:pPr>
              <w:pStyle w:val="Body"/>
              <w:ind w:firstLine="34"/>
              <w:jc w:val="center"/>
              <w:rPr>
                <w:sz w:val="18"/>
                <w:szCs w:val="18"/>
                <w:lang w:val="en-US"/>
              </w:rPr>
            </w:pPr>
            <w:r w:rsidRPr="00175565">
              <w:rPr>
                <w:sz w:val="18"/>
                <w:szCs w:val="18"/>
                <w:lang w:val="en-US"/>
              </w:rPr>
              <w:t>8</w:t>
            </w:r>
          </w:p>
        </w:tc>
        <w:tc>
          <w:tcPr>
            <w:tcW w:w="1571" w:type="dxa"/>
            <w:shd w:val="clear" w:color="auto" w:fill="FFFFFF" w:themeFill="background1"/>
            <w:vAlign w:val="center"/>
          </w:tcPr>
          <w:p w14:paraId="21332F10" w14:textId="77777777" w:rsidR="006E5971" w:rsidRPr="00175565" w:rsidRDefault="006E5971" w:rsidP="001F0300">
            <w:pPr>
              <w:pStyle w:val="Body"/>
              <w:ind w:firstLine="34"/>
              <w:jc w:val="center"/>
              <w:rPr>
                <w:sz w:val="18"/>
                <w:szCs w:val="18"/>
                <w:lang w:val="en-US"/>
              </w:rPr>
            </w:pPr>
            <w:r w:rsidRPr="00175565">
              <w:rPr>
                <w:sz w:val="18"/>
                <w:szCs w:val="18"/>
                <w:lang w:val="en-US"/>
              </w:rPr>
              <w:t>330/39</w:t>
            </w:r>
          </w:p>
        </w:tc>
        <w:tc>
          <w:tcPr>
            <w:tcW w:w="1641" w:type="dxa"/>
            <w:shd w:val="clear" w:color="auto" w:fill="FFFFFF" w:themeFill="background1"/>
            <w:vAlign w:val="center"/>
          </w:tcPr>
          <w:p w14:paraId="43A13BF3" w14:textId="77777777" w:rsidR="006E5971" w:rsidRPr="00175565" w:rsidRDefault="006E5971" w:rsidP="001F0300">
            <w:pPr>
              <w:pStyle w:val="Body"/>
              <w:ind w:firstLine="34"/>
              <w:jc w:val="center"/>
              <w:rPr>
                <w:sz w:val="18"/>
                <w:szCs w:val="18"/>
                <w:lang w:val="en-US"/>
              </w:rPr>
            </w:pPr>
            <w:r w:rsidRPr="00175565">
              <w:rPr>
                <w:sz w:val="18"/>
                <w:szCs w:val="18"/>
                <w:lang w:val="en-US"/>
              </w:rPr>
              <w:t>12</w:t>
            </w:r>
          </w:p>
        </w:tc>
        <w:tc>
          <w:tcPr>
            <w:tcW w:w="1016" w:type="dxa"/>
            <w:shd w:val="clear" w:color="auto" w:fill="FFFFFF" w:themeFill="background1"/>
            <w:vAlign w:val="center"/>
          </w:tcPr>
          <w:p w14:paraId="1B85A987" w14:textId="77777777" w:rsidR="006E5971" w:rsidRPr="00175565" w:rsidRDefault="006E5971" w:rsidP="001F0300">
            <w:pPr>
              <w:pStyle w:val="Body"/>
              <w:ind w:firstLine="34"/>
              <w:jc w:val="center"/>
              <w:rPr>
                <w:sz w:val="18"/>
                <w:szCs w:val="18"/>
                <w:lang w:val="en-US"/>
              </w:rPr>
            </w:pPr>
            <w:r w:rsidRPr="00175565">
              <w:rPr>
                <w:sz w:val="18"/>
                <w:szCs w:val="18"/>
                <w:lang w:val="en-US"/>
              </w:rPr>
              <w:t>32</w:t>
            </w:r>
          </w:p>
        </w:tc>
        <w:tc>
          <w:tcPr>
            <w:tcW w:w="1016" w:type="dxa"/>
            <w:shd w:val="clear" w:color="auto" w:fill="FFFFFF" w:themeFill="background1"/>
            <w:vAlign w:val="center"/>
          </w:tcPr>
          <w:p w14:paraId="71C5681F" w14:textId="77777777" w:rsidR="006E5971" w:rsidRPr="00175565" w:rsidRDefault="006E5971" w:rsidP="001F0300">
            <w:pPr>
              <w:pStyle w:val="Body"/>
              <w:ind w:firstLine="34"/>
              <w:jc w:val="center"/>
              <w:rPr>
                <w:sz w:val="18"/>
                <w:szCs w:val="18"/>
                <w:lang w:val="en-US"/>
              </w:rPr>
            </w:pPr>
            <w:r w:rsidRPr="00175565">
              <w:rPr>
                <w:sz w:val="18"/>
                <w:szCs w:val="18"/>
                <w:lang w:val="en-US"/>
              </w:rPr>
              <w:t>49,5</w:t>
            </w:r>
          </w:p>
        </w:tc>
        <w:tc>
          <w:tcPr>
            <w:tcW w:w="1146" w:type="dxa"/>
            <w:shd w:val="clear" w:color="auto" w:fill="FFFFFF" w:themeFill="background1"/>
            <w:vAlign w:val="center"/>
          </w:tcPr>
          <w:p w14:paraId="3D38636D" w14:textId="77777777" w:rsidR="006E5971" w:rsidRPr="00175565" w:rsidRDefault="006E5971" w:rsidP="001F0300">
            <w:pPr>
              <w:pStyle w:val="Body"/>
              <w:ind w:firstLine="34"/>
              <w:jc w:val="center"/>
              <w:rPr>
                <w:sz w:val="18"/>
                <w:szCs w:val="18"/>
                <w:lang w:val="en-US"/>
              </w:rPr>
            </w:pPr>
            <w:r w:rsidRPr="00175565">
              <w:rPr>
                <w:sz w:val="18"/>
                <w:szCs w:val="18"/>
                <w:lang w:val="en-US"/>
              </w:rPr>
              <w:t>1,5</w:t>
            </w:r>
          </w:p>
        </w:tc>
      </w:tr>
      <w:tr w:rsidR="004F3C73" w:rsidRPr="00175565" w14:paraId="36A39E14" w14:textId="77777777" w:rsidTr="00861A3F">
        <w:trPr>
          <w:trHeight w:val="70"/>
        </w:trPr>
        <w:tc>
          <w:tcPr>
            <w:tcW w:w="1694" w:type="dxa"/>
            <w:shd w:val="clear" w:color="auto" w:fill="FFFFFF" w:themeFill="background1"/>
            <w:vAlign w:val="center"/>
          </w:tcPr>
          <w:p w14:paraId="55E3CCD4" w14:textId="77777777" w:rsidR="006E5971" w:rsidRPr="00175565" w:rsidRDefault="006E5971" w:rsidP="001F0300">
            <w:pPr>
              <w:pStyle w:val="Body"/>
              <w:jc w:val="center"/>
              <w:rPr>
                <w:sz w:val="18"/>
                <w:szCs w:val="18"/>
                <w:lang w:val="en-US"/>
              </w:rPr>
            </w:pPr>
            <w:r w:rsidRPr="00175565">
              <w:rPr>
                <w:sz w:val="18"/>
                <w:szCs w:val="18"/>
                <w:lang w:val="en-US"/>
              </w:rPr>
              <w:t>750</w:t>
            </w:r>
          </w:p>
        </w:tc>
        <w:tc>
          <w:tcPr>
            <w:tcW w:w="1238" w:type="dxa"/>
            <w:shd w:val="clear" w:color="auto" w:fill="FFFFFF" w:themeFill="background1"/>
            <w:vAlign w:val="center"/>
          </w:tcPr>
          <w:p w14:paraId="1F35C5A6" w14:textId="77777777" w:rsidR="006E5971" w:rsidRPr="00175565" w:rsidRDefault="006E5971" w:rsidP="001F0300">
            <w:pPr>
              <w:pStyle w:val="Body"/>
              <w:ind w:firstLine="34"/>
              <w:jc w:val="center"/>
              <w:rPr>
                <w:sz w:val="18"/>
                <w:szCs w:val="18"/>
                <w:lang w:val="en-US"/>
              </w:rPr>
            </w:pPr>
            <w:r w:rsidRPr="00175565">
              <w:rPr>
                <w:sz w:val="18"/>
                <w:szCs w:val="18"/>
                <w:lang w:val="en-US"/>
              </w:rPr>
              <w:t>5</w:t>
            </w:r>
          </w:p>
        </w:tc>
        <w:tc>
          <w:tcPr>
            <w:tcW w:w="1571" w:type="dxa"/>
            <w:shd w:val="clear" w:color="auto" w:fill="FFFFFF" w:themeFill="background1"/>
            <w:vAlign w:val="center"/>
          </w:tcPr>
          <w:p w14:paraId="6CEC229B" w14:textId="77777777" w:rsidR="006E5971" w:rsidRPr="00175565" w:rsidRDefault="006E5971" w:rsidP="001F0300">
            <w:pPr>
              <w:pStyle w:val="Body"/>
              <w:ind w:firstLine="34"/>
              <w:jc w:val="center"/>
              <w:rPr>
                <w:sz w:val="18"/>
                <w:szCs w:val="18"/>
                <w:lang w:val="en-US"/>
              </w:rPr>
            </w:pPr>
            <w:r w:rsidRPr="00175565">
              <w:rPr>
                <w:sz w:val="18"/>
                <w:szCs w:val="18"/>
                <w:lang w:val="en-US"/>
              </w:rPr>
              <w:t>240/56</w:t>
            </w:r>
          </w:p>
        </w:tc>
        <w:tc>
          <w:tcPr>
            <w:tcW w:w="1641" w:type="dxa"/>
            <w:shd w:val="clear" w:color="auto" w:fill="FFFFFF" w:themeFill="background1"/>
            <w:vAlign w:val="center"/>
          </w:tcPr>
          <w:p w14:paraId="39F88214" w14:textId="77777777" w:rsidR="006E5971" w:rsidRPr="00175565" w:rsidRDefault="006E5971" w:rsidP="001F0300">
            <w:pPr>
              <w:pStyle w:val="Body"/>
              <w:ind w:firstLine="34"/>
              <w:jc w:val="center"/>
              <w:rPr>
                <w:sz w:val="18"/>
                <w:szCs w:val="18"/>
                <w:lang w:val="en-US"/>
              </w:rPr>
            </w:pPr>
            <w:r w:rsidRPr="00175565">
              <w:rPr>
                <w:sz w:val="18"/>
                <w:szCs w:val="18"/>
                <w:lang w:val="en-US"/>
              </w:rPr>
              <w:t>11,2</w:t>
            </w:r>
          </w:p>
        </w:tc>
        <w:tc>
          <w:tcPr>
            <w:tcW w:w="1016" w:type="dxa"/>
            <w:shd w:val="clear" w:color="auto" w:fill="FFFFFF" w:themeFill="background1"/>
            <w:vAlign w:val="center"/>
          </w:tcPr>
          <w:p w14:paraId="0DA31727" w14:textId="77777777" w:rsidR="006E5971" w:rsidRPr="00175565" w:rsidRDefault="006E5971" w:rsidP="001F0300">
            <w:pPr>
              <w:pStyle w:val="Body"/>
              <w:ind w:firstLine="34"/>
              <w:jc w:val="center"/>
              <w:rPr>
                <w:sz w:val="18"/>
                <w:szCs w:val="18"/>
                <w:lang w:val="en-US"/>
              </w:rPr>
            </w:pPr>
            <w:r w:rsidRPr="00175565">
              <w:rPr>
                <w:sz w:val="18"/>
                <w:szCs w:val="18"/>
                <w:lang w:val="en-US"/>
              </w:rPr>
              <w:t>13</w:t>
            </w:r>
          </w:p>
        </w:tc>
        <w:tc>
          <w:tcPr>
            <w:tcW w:w="1016" w:type="dxa"/>
            <w:shd w:val="clear" w:color="auto" w:fill="FFFFFF" w:themeFill="background1"/>
            <w:vAlign w:val="center"/>
          </w:tcPr>
          <w:p w14:paraId="44BBFD7F" w14:textId="77777777" w:rsidR="006E5971" w:rsidRPr="00175565" w:rsidRDefault="006E5971" w:rsidP="001F0300">
            <w:pPr>
              <w:pStyle w:val="Body"/>
              <w:ind w:firstLine="34"/>
              <w:jc w:val="center"/>
              <w:rPr>
                <w:sz w:val="18"/>
                <w:szCs w:val="18"/>
                <w:lang w:val="en-US"/>
              </w:rPr>
            </w:pPr>
            <w:r w:rsidRPr="00175565">
              <w:rPr>
                <w:sz w:val="18"/>
                <w:szCs w:val="18"/>
                <w:lang w:val="en-US"/>
              </w:rPr>
              <w:t>25</w:t>
            </w:r>
          </w:p>
        </w:tc>
        <w:tc>
          <w:tcPr>
            <w:tcW w:w="1146" w:type="dxa"/>
            <w:shd w:val="clear" w:color="auto" w:fill="FFFFFF" w:themeFill="background1"/>
            <w:vAlign w:val="center"/>
          </w:tcPr>
          <w:p w14:paraId="7AF8D22A" w14:textId="77777777" w:rsidR="006E5971" w:rsidRPr="00175565" w:rsidRDefault="006E5971" w:rsidP="001F0300">
            <w:pPr>
              <w:pStyle w:val="Body"/>
              <w:ind w:firstLine="34"/>
              <w:jc w:val="center"/>
              <w:rPr>
                <w:sz w:val="18"/>
                <w:szCs w:val="18"/>
                <w:lang w:val="en-US"/>
              </w:rPr>
            </w:pPr>
            <w:r w:rsidRPr="00175565">
              <w:rPr>
                <w:sz w:val="18"/>
                <w:szCs w:val="18"/>
                <w:lang w:val="en-US"/>
              </w:rPr>
              <w:t>1,9</w:t>
            </w:r>
          </w:p>
        </w:tc>
      </w:tr>
      <w:tr w:rsidR="004F3C73" w:rsidRPr="00175565" w14:paraId="0481CA93" w14:textId="77777777" w:rsidTr="00861A3F">
        <w:trPr>
          <w:trHeight w:val="70"/>
        </w:trPr>
        <w:tc>
          <w:tcPr>
            <w:tcW w:w="1694" w:type="dxa"/>
            <w:shd w:val="clear" w:color="auto" w:fill="FFFFFF" w:themeFill="background1"/>
            <w:vAlign w:val="center"/>
          </w:tcPr>
          <w:p w14:paraId="3DF432AB" w14:textId="77777777" w:rsidR="006E5971" w:rsidRPr="00175565" w:rsidRDefault="006E5971" w:rsidP="001F0300">
            <w:pPr>
              <w:pStyle w:val="Body"/>
              <w:jc w:val="center"/>
              <w:rPr>
                <w:sz w:val="18"/>
                <w:szCs w:val="18"/>
                <w:lang w:val="en-US"/>
              </w:rPr>
            </w:pPr>
            <w:r w:rsidRPr="00175565">
              <w:rPr>
                <w:sz w:val="18"/>
                <w:szCs w:val="18"/>
                <w:lang w:val="en-US"/>
              </w:rPr>
              <w:t>500</w:t>
            </w:r>
          </w:p>
        </w:tc>
        <w:tc>
          <w:tcPr>
            <w:tcW w:w="1238" w:type="dxa"/>
            <w:shd w:val="clear" w:color="auto" w:fill="FFFFFF" w:themeFill="background1"/>
            <w:vAlign w:val="center"/>
          </w:tcPr>
          <w:p w14:paraId="5C4895F2" w14:textId="77777777" w:rsidR="006E5971" w:rsidRPr="00175565" w:rsidRDefault="006E5971" w:rsidP="001F0300">
            <w:pPr>
              <w:pStyle w:val="Body"/>
              <w:ind w:firstLine="34"/>
              <w:jc w:val="center"/>
              <w:rPr>
                <w:sz w:val="18"/>
                <w:szCs w:val="18"/>
                <w:lang w:val="en-US"/>
              </w:rPr>
            </w:pPr>
            <w:r w:rsidRPr="00175565">
              <w:rPr>
                <w:sz w:val="18"/>
                <w:szCs w:val="18"/>
                <w:lang w:val="en-US"/>
              </w:rPr>
              <w:t>3</w:t>
            </w:r>
          </w:p>
        </w:tc>
        <w:tc>
          <w:tcPr>
            <w:tcW w:w="1571" w:type="dxa"/>
            <w:shd w:val="clear" w:color="auto" w:fill="FFFFFF" w:themeFill="background1"/>
            <w:vAlign w:val="center"/>
          </w:tcPr>
          <w:p w14:paraId="67AD5E39" w14:textId="77777777" w:rsidR="006E5971" w:rsidRPr="00175565" w:rsidRDefault="006E5971" w:rsidP="001F0300">
            <w:pPr>
              <w:pStyle w:val="Body"/>
              <w:ind w:firstLine="34"/>
              <w:jc w:val="center"/>
              <w:rPr>
                <w:sz w:val="18"/>
                <w:szCs w:val="18"/>
                <w:lang w:val="en-US"/>
              </w:rPr>
            </w:pPr>
            <w:r w:rsidRPr="00175565">
              <w:rPr>
                <w:sz w:val="18"/>
                <w:szCs w:val="18"/>
                <w:lang w:val="en-US"/>
              </w:rPr>
              <w:t>330/43</w:t>
            </w:r>
          </w:p>
        </w:tc>
        <w:tc>
          <w:tcPr>
            <w:tcW w:w="1641" w:type="dxa"/>
            <w:shd w:val="clear" w:color="auto" w:fill="FFFFFF" w:themeFill="background1"/>
            <w:vAlign w:val="center"/>
          </w:tcPr>
          <w:p w14:paraId="01048D79" w14:textId="77777777" w:rsidR="006E5971" w:rsidRPr="00175565" w:rsidRDefault="006E5971" w:rsidP="001F0300">
            <w:pPr>
              <w:pStyle w:val="Body"/>
              <w:ind w:firstLine="34"/>
              <w:jc w:val="center"/>
              <w:rPr>
                <w:sz w:val="18"/>
                <w:szCs w:val="18"/>
                <w:lang w:val="en-US"/>
              </w:rPr>
            </w:pPr>
            <w:r w:rsidRPr="00175565">
              <w:rPr>
                <w:sz w:val="18"/>
                <w:szCs w:val="18"/>
                <w:lang w:val="en-US"/>
              </w:rPr>
              <w:t>12,6</w:t>
            </w:r>
          </w:p>
        </w:tc>
        <w:tc>
          <w:tcPr>
            <w:tcW w:w="1016" w:type="dxa"/>
            <w:shd w:val="clear" w:color="auto" w:fill="FFFFFF" w:themeFill="background1"/>
            <w:vAlign w:val="center"/>
          </w:tcPr>
          <w:p w14:paraId="26B4097D" w14:textId="77777777" w:rsidR="006E5971" w:rsidRPr="00175565" w:rsidRDefault="006E5971" w:rsidP="001F0300">
            <w:pPr>
              <w:pStyle w:val="Body"/>
              <w:ind w:firstLine="34"/>
              <w:jc w:val="center"/>
              <w:rPr>
                <w:sz w:val="18"/>
                <w:szCs w:val="18"/>
                <w:lang w:val="en-US"/>
              </w:rPr>
            </w:pPr>
            <w:r w:rsidRPr="00175565">
              <w:rPr>
                <w:sz w:val="18"/>
                <w:szCs w:val="18"/>
                <w:lang w:val="en-US"/>
              </w:rPr>
              <w:t>9</w:t>
            </w:r>
          </w:p>
        </w:tc>
        <w:tc>
          <w:tcPr>
            <w:tcW w:w="1016" w:type="dxa"/>
            <w:shd w:val="clear" w:color="auto" w:fill="FFFFFF" w:themeFill="background1"/>
            <w:vAlign w:val="center"/>
          </w:tcPr>
          <w:p w14:paraId="63DCD288" w14:textId="77777777" w:rsidR="006E5971" w:rsidRPr="00175565" w:rsidRDefault="006E5971" w:rsidP="001F0300">
            <w:pPr>
              <w:pStyle w:val="Body"/>
              <w:ind w:firstLine="34"/>
              <w:jc w:val="center"/>
              <w:rPr>
                <w:sz w:val="18"/>
                <w:szCs w:val="18"/>
                <w:lang w:val="en-US"/>
              </w:rPr>
            </w:pPr>
            <w:r w:rsidRPr="00175565">
              <w:rPr>
                <w:sz w:val="18"/>
                <w:szCs w:val="18"/>
                <w:lang w:val="en-US"/>
              </w:rPr>
              <w:t>11,6</w:t>
            </w:r>
          </w:p>
        </w:tc>
        <w:tc>
          <w:tcPr>
            <w:tcW w:w="1146" w:type="dxa"/>
            <w:shd w:val="clear" w:color="auto" w:fill="FFFFFF" w:themeFill="background1"/>
            <w:vAlign w:val="center"/>
          </w:tcPr>
          <w:p w14:paraId="298593BF" w14:textId="77777777" w:rsidR="006E5971" w:rsidRPr="00175565" w:rsidRDefault="006E5971" w:rsidP="001F0300">
            <w:pPr>
              <w:pStyle w:val="Body"/>
              <w:ind w:firstLine="34"/>
              <w:jc w:val="center"/>
              <w:rPr>
                <w:sz w:val="18"/>
                <w:szCs w:val="18"/>
                <w:lang w:val="en-US"/>
              </w:rPr>
            </w:pPr>
            <w:r w:rsidRPr="00175565">
              <w:rPr>
                <w:sz w:val="18"/>
                <w:szCs w:val="18"/>
                <w:lang w:val="en-US"/>
              </w:rPr>
              <w:t>1,3</w:t>
            </w:r>
          </w:p>
        </w:tc>
      </w:tr>
      <w:tr w:rsidR="004F3C73" w:rsidRPr="00175565" w14:paraId="4516939C" w14:textId="77777777" w:rsidTr="00861A3F">
        <w:trPr>
          <w:trHeight w:val="146"/>
        </w:trPr>
        <w:tc>
          <w:tcPr>
            <w:tcW w:w="1694" w:type="dxa"/>
            <w:shd w:val="clear" w:color="auto" w:fill="FFFFFF" w:themeFill="background1"/>
            <w:vAlign w:val="center"/>
          </w:tcPr>
          <w:p w14:paraId="0245281F" w14:textId="77777777" w:rsidR="006E5971" w:rsidRPr="00175565" w:rsidRDefault="006E5971" w:rsidP="001F0300">
            <w:pPr>
              <w:pStyle w:val="Body"/>
              <w:jc w:val="center"/>
              <w:rPr>
                <w:sz w:val="18"/>
                <w:szCs w:val="18"/>
                <w:lang w:val="en-US"/>
              </w:rPr>
            </w:pPr>
            <w:r w:rsidRPr="00175565">
              <w:rPr>
                <w:sz w:val="18"/>
                <w:szCs w:val="18"/>
                <w:lang w:val="en-US"/>
              </w:rPr>
              <w:t>330</w:t>
            </w:r>
          </w:p>
        </w:tc>
        <w:tc>
          <w:tcPr>
            <w:tcW w:w="1238" w:type="dxa"/>
            <w:shd w:val="clear" w:color="auto" w:fill="FFFFFF" w:themeFill="background1"/>
            <w:vAlign w:val="center"/>
          </w:tcPr>
          <w:p w14:paraId="3220E203" w14:textId="77777777" w:rsidR="006E5971" w:rsidRPr="00175565" w:rsidRDefault="006E5971" w:rsidP="001F0300">
            <w:pPr>
              <w:pStyle w:val="Body"/>
              <w:ind w:firstLine="34"/>
              <w:jc w:val="center"/>
              <w:rPr>
                <w:sz w:val="18"/>
                <w:szCs w:val="18"/>
                <w:lang w:val="en-US"/>
              </w:rPr>
            </w:pPr>
            <w:r w:rsidRPr="00175565">
              <w:rPr>
                <w:sz w:val="18"/>
                <w:szCs w:val="18"/>
                <w:lang w:val="en-US"/>
              </w:rPr>
              <w:t>2</w:t>
            </w:r>
          </w:p>
        </w:tc>
        <w:tc>
          <w:tcPr>
            <w:tcW w:w="1571" w:type="dxa"/>
            <w:shd w:val="clear" w:color="auto" w:fill="FFFFFF" w:themeFill="background1"/>
            <w:vAlign w:val="center"/>
          </w:tcPr>
          <w:p w14:paraId="328B6223" w14:textId="77777777" w:rsidR="006E5971" w:rsidRPr="00175565" w:rsidRDefault="006E5971" w:rsidP="001F0300">
            <w:pPr>
              <w:pStyle w:val="Body"/>
              <w:ind w:firstLine="34"/>
              <w:jc w:val="center"/>
              <w:rPr>
                <w:sz w:val="18"/>
                <w:szCs w:val="18"/>
                <w:lang w:val="en-US"/>
              </w:rPr>
            </w:pPr>
            <w:r w:rsidRPr="00175565">
              <w:rPr>
                <w:sz w:val="18"/>
                <w:szCs w:val="18"/>
                <w:lang w:val="en-US"/>
              </w:rPr>
              <w:t>300/39</w:t>
            </w:r>
          </w:p>
        </w:tc>
        <w:tc>
          <w:tcPr>
            <w:tcW w:w="1641" w:type="dxa"/>
            <w:shd w:val="clear" w:color="auto" w:fill="FFFFFF" w:themeFill="background1"/>
            <w:vAlign w:val="center"/>
          </w:tcPr>
          <w:p w14:paraId="2840A96A" w14:textId="77777777" w:rsidR="006E5971" w:rsidRPr="00175565" w:rsidRDefault="006E5971" w:rsidP="001F0300">
            <w:pPr>
              <w:pStyle w:val="Body"/>
              <w:ind w:firstLine="34"/>
              <w:jc w:val="center"/>
              <w:rPr>
                <w:sz w:val="18"/>
                <w:szCs w:val="18"/>
                <w:lang w:val="en-US"/>
              </w:rPr>
            </w:pPr>
            <w:r w:rsidRPr="00175565">
              <w:rPr>
                <w:sz w:val="18"/>
                <w:szCs w:val="18"/>
                <w:lang w:val="en-US"/>
              </w:rPr>
              <w:t>12</w:t>
            </w:r>
          </w:p>
        </w:tc>
        <w:tc>
          <w:tcPr>
            <w:tcW w:w="1016" w:type="dxa"/>
            <w:shd w:val="clear" w:color="auto" w:fill="FFFFFF" w:themeFill="background1"/>
            <w:vAlign w:val="center"/>
          </w:tcPr>
          <w:p w14:paraId="53B01309" w14:textId="77777777" w:rsidR="006E5971" w:rsidRPr="00175565" w:rsidRDefault="006E5971" w:rsidP="001F0300">
            <w:pPr>
              <w:pStyle w:val="Body"/>
              <w:ind w:firstLine="34"/>
              <w:jc w:val="center"/>
              <w:rPr>
                <w:sz w:val="18"/>
                <w:szCs w:val="18"/>
                <w:lang w:val="en-US"/>
              </w:rPr>
            </w:pPr>
            <w:r w:rsidRPr="00175565">
              <w:rPr>
                <w:sz w:val="18"/>
                <w:szCs w:val="18"/>
                <w:lang w:val="en-US"/>
              </w:rPr>
              <w:t>3.8</w:t>
            </w:r>
          </w:p>
        </w:tc>
        <w:tc>
          <w:tcPr>
            <w:tcW w:w="1016" w:type="dxa"/>
            <w:shd w:val="clear" w:color="auto" w:fill="FFFFFF" w:themeFill="background1"/>
            <w:vAlign w:val="center"/>
          </w:tcPr>
          <w:p w14:paraId="24D71DB5" w14:textId="77777777" w:rsidR="006E5971" w:rsidRPr="00175565" w:rsidRDefault="006E5971" w:rsidP="001F0300">
            <w:pPr>
              <w:pStyle w:val="Body"/>
              <w:ind w:firstLine="34"/>
              <w:jc w:val="center"/>
              <w:rPr>
                <w:sz w:val="18"/>
                <w:szCs w:val="18"/>
                <w:lang w:val="en-US"/>
              </w:rPr>
            </w:pPr>
            <w:r w:rsidRPr="00175565">
              <w:rPr>
                <w:sz w:val="18"/>
                <w:szCs w:val="18"/>
                <w:lang w:val="en-US"/>
              </w:rPr>
              <w:t>4</w:t>
            </w:r>
          </w:p>
        </w:tc>
        <w:tc>
          <w:tcPr>
            <w:tcW w:w="1146" w:type="dxa"/>
            <w:shd w:val="clear" w:color="auto" w:fill="FFFFFF" w:themeFill="background1"/>
            <w:vAlign w:val="center"/>
          </w:tcPr>
          <w:p w14:paraId="6B9B6FA2" w14:textId="77777777" w:rsidR="006E5971" w:rsidRPr="00175565" w:rsidRDefault="006E5971" w:rsidP="001F0300">
            <w:pPr>
              <w:pStyle w:val="Body"/>
              <w:ind w:firstLine="34"/>
              <w:jc w:val="center"/>
              <w:rPr>
                <w:sz w:val="18"/>
                <w:szCs w:val="18"/>
                <w:lang w:val="en-US"/>
              </w:rPr>
            </w:pPr>
            <w:r w:rsidRPr="00175565">
              <w:rPr>
                <w:sz w:val="18"/>
                <w:szCs w:val="18"/>
                <w:lang w:val="en-US"/>
              </w:rPr>
              <w:t>1,05</w:t>
            </w:r>
          </w:p>
        </w:tc>
      </w:tr>
      <w:tr w:rsidR="004F3C73" w:rsidRPr="00175565" w14:paraId="5A094134" w14:textId="77777777" w:rsidTr="00861A3F">
        <w:trPr>
          <w:trHeight w:val="210"/>
        </w:trPr>
        <w:tc>
          <w:tcPr>
            <w:tcW w:w="1694" w:type="dxa"/>
            <w:shd w:val="clear" w:color="auto" w:fill="FFFFFF" w:themeFill="background1"/>
            <w:vAlign w:val="center"/>
          </w:tcPr>
          <w:p w14:paraId="0E29A7F5" w14:textId="77777777" w:rsidR="006E5971" w:rsidRPr="00175565" w:rsidRDefault="006E5971" w:rsidP="001F0300">
            <w:pPr>
              <w:pStyle w:val="Body"/>
              <w:jc w:val="center"/>
              <w:rPr>
                <w:sz w:val="18"/>
                <w:szCs w:val="18"/>
                <w:lang w:val="en-US"/>
              </w:rPr>
            </w:pPr>
            <w:r w:rsidRPr="00175565">
              <w:rPr>
                <w:sz w:val="18"/>
                <w:szCs w:val="18"/>
                <w:lang w:val="en-US"/>
              </w:rPr>
              <w:t>220</w:t>
            </w:r>
          </w:p>
        </w:tc>
        <w:tc>
          <w:tcPr>
            <w:tcW w:w="1238" w:type="dxa"/>
            <w:shd w:val="clear" w:color="auto" w:fill="FFFFFF" w:themeFill="background1"/>
            <w:vAlign w:val="center"/>
          </w:tcPr>
          <w:p w14:paraId="6F1D2523" w14:textId="77777777" w:rsidR="006E5971" w:rsidRPr="00175565" w:rsidRDefault="006E5971" w:rsidP="001F0300">
            <w:pPr>
              <w:pStyle w:val="Body"/>
              <w:ind w:firstLine="34"/>
              <w:jc w:val="center"/>
              <w:rPr>
                <w:sz w:val="18"/>
                <w:szCs w:val="18"/>
                <w:lang w:val="en-US"/>
              </w:rPr>
            </w:pPr>
            <w:r w:rsidRPr="00175565">
              <w:rPr>
                <w:sz w:val="18"/>
                <w:szCs w:val="18"/>
                <w:lang w:val="en-US"/>
              </w:rPr>
              <w:t>1</w:t>
            </w:r>
          </w:p>
        </w:tc>
        <w:tc>
          <w:tcPr>
            <w:tcW w:w="1571" w:type="dxa"/>
            <w:shd w:val="clear" w:color="auto" w:fill="FFFFFF" w:themeFill="background1"/>
            <w:vAlign w:val="center"/>
          </w:tcPr>
          <w:p w14:paraId="4C26A653" w14:textId="77777777" w:rsidR="006E5971" w:rsidRPr="00175565" w:rsidRDefault="006E5971" w:rsidP="001F0300">
            <w:pPr>
              <w:pStyle w:val="Body"/>
              <w:ind w:firstLine="34"/>
              <w:jc w:val="center"/>
              <w:rPr>
                <w:sz w:val="18"/>
                <w:szCs w:val="18"/>
                <w:lang w:val="en-US"/>
              </w:rPr>
            </w:pPr>
            <w:r w:rsidRPr="00175565">
              <w:rPr>
                <w:sz w:val="18"/>
                <w:szCs w:val="18"/>
                <w:lang w:val="en-US"/>
              </w:rPr>
              <w:t>300/39</w:t>
            </w:r>
          </w:p>
        </w:tc>
        <w:tc>
          <w:tcPr>
            <w:tcW w:w="1641" w:type="dxa"/>
            <w:shd w:val="clear" w:color="auto" w:fill="FFFFFF" w:themeFill="background1"/>
            <w:vAlign w:val="center"/>
          </w:tcPr>
          <w:p w14:paraId="01C7ACAD" w14:textId="77777777" w:rsidR="006E5971" w:rsidRPr="00175565" w:rsidRDefault="006E5971" w:rsidP="001F0300">
            <w:pPr>
              <w:pStyle w:val="Body"/>
              <w:ind w:firstLine="34"/>
              <w:jc w:val="center"/>
              <w:rPr>
                <w:sz w:val="18"/>
                <w:szCs w:val="18"/>
                <w:lang w:val="en-US"/>
              </w:rPr>
            </w:pPr>
            <w:r w:rsidRPr="00175565">
              <w:rPr>
                <w:sz w:val="18"/>
                <w:szCs w:val="18"/>
                <w:lang w:val="en-US"/>
              </w:rPr>
              <w:t>12</w:t>
            </w:r>
          </w:p>
        </w:tc>
        <w:tc>
          <w:tcPr>
            <w:tcW w:w="1016" w:type="dxa"/>
            <w:shd w:val="clear" w:color="auto" w:fill="FFFFFF" w:themeFill="background1"/>
            <w:vAlign w:val="center"/>
          </w:tcPr>
          <w:p w14:paraId="64381940" w14:textId="77777777" w:rsidR="006E5971" w:rsidRPr="00175565" w:rsidRDefault="006E5971" w:rsidP="001F0300">
            <w:pPr>
              <w:pStyle w:val="Body"/>
              <w:ind w:firstLine="34"/>
              <w:jc w:val="center"/>
              <w:rPr>
                <w:sz w:val="18"/>
                <w:szCs w:val="18"/>
                <w:lang w:val="en-US"/>
              </w:rPr>
            </w:pPr>
            <w:r w:rsidRPr="00175565">
              <w:rPr>
                <w:sz w:val="18"/>
                <w:szCs w:val="18"/>
                <w:lang w:val="en-US"/>
              </w:rPr>
              <w:t>1.6</w:t>
            </w:r>
          </w:p>
        </w:tc>
        <w:tc>
          <w:tcPr>
            <w:tcW w:w="1016" w:type="dxa"/>
            <w:shd w:val="clear" w:color="auto" w:fill="FFFFFF" w:themeFill="background1"/>
            <w:vAlign w:val="center"/>
          </w:tcPr>
          <w:p w14:paraId="572D9321" w14:textId="77777777" w:rsidR="006E5971" w:rsidRPr="00175565" w:rsidRDefault="006E5971" w:rsidP="001F0300">
            <w:pPr>
              <w:pStyle w:val="Body"/>
              <w:ind w:firstLine="34"/>
              <w:jc w:val="center"/>
              <w:rPr>
                <w:sz w:val="18"/>
                <w:szCs w:val="18"/>
                <w:lang w:val="en-US"/>
              </w:rPr>
            </w:pPr>
            <w:r w:rsidRPr="00175565">
              <w:rPr>
                <w:sz w:val="18"/>
                <w:szCs w:val="18"/>
                <w:lang w:val="en-US"/>
              </w:rPr>
              <w:t>2</w:t>
            </w:r>
          </w:p>
        </w:tc>
        <w:tc>
          <w:tcPr>
            <w:tcW w:w="1146" w:type="dxa"/>
            <w:shd w:val="clear" w:color="auto" w:fill="FFFFFF" w:themeFill="background1"/>
            <w:vAlign w:val="center"/>
          </w:tcPr>
          <w:p w14:paraId="0A723288" w14:textId="77777777" w:rsidR="006E5971" w:rsidRPr="00175565" w:rsidRDefault="006E5971" w:rsidP="001F0300">
            <w:pPr>
              <w:pStyle w:val="Body"/>
              <w:ind w:firstLine="34"/>
              <w:jc w:val="center"/>
              <w:rPr>
                <w:sz w:val="18"/>
                <w:szCs w:val="18"/>
                <w:lang w:val="en-US"/>
              </w:rPr>
            </w:pPr>
            <w:r w:rsidRPr="00175565">
              <w:rPr>
                <w:sz w:val="18"/>
                <w:szCs w:val="18"/>
                <w:lang w:val="en-US"/>
              </w:rPr>
              <w:t>1,25</w:t>
            </w:r>
          </w:p>
        </w:tc>
      </w:tr>
    </w:tbl>
    <w:p w14:paraId="3EF07800" w14:textId="1D2E9DF8" w:rsidR="008745D5" w:rsidRPr="00861A3F" w:rsidRDefault="00F75242" w:rsidP="004F3C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0"/>
        </w:rPr>
      </w:pPr>
      <w:r w:rsidRPr="00861A3F">
        <w:rPr>
          <w:rFonts w:ascii="Times New Roman" w:hAnsi="Times New Roman" w:cs="Times New Roman"/>
          <w:position w:val="-30"/>
          <w:sz w:val="18"/>
          <w:szCs w:val="18"/>
          <w:lang w:val="uz-Latn-UZ"/>
        </w:rPr>
        <w:tab/>
      </w:r>
      <w:r w:rsidRPr="00861A3F">
        <w:rPr>
          <w:rFonts w:ascii="Times New Roman" w:hAnsi="Times New Roman" w:cs="Times New Roman"/>
          <w:position w:val="-30"/>
          <w:sz w:val="18"/>
          <w:szCs w:val="18"/>
          <w:lang w:val="uz-Latn-UZ"/>
        </w:rPr>
        <w:tab/>
      </w:r>
      <w:r w:rsidRPr="00861A3F">
        <w:rPr>
          <w:rFonts w:ascii="Times New Roman" w:hAnsi="Times New Roman" w:cs="Times New Roman"/>
          <w:position w:val="-30"/>
          <w:sz w:val="18"/>
          <w:szCs w:val="18"/>
          <w:lang w:val="uz-Latn-UZ"/>
        </w:rPr>
        <w:tab/>
      </w:r>
      <w:r w:rsidRPr="00861A3F">
        <w:rPr>
          <w:rFonts w:ascii="Times New Roman" w:hAnsi="Times New Roman" w:cs="Times New Roman"/>
          <w:position w:val="-30"/>
          <w:sz w:val="18"/>
          <w:szCs w:val="18"/>
          <w:lang w:val="uz-Latn-UZ"/>
        </w:rPr>
        <w:tab/>
      </w:r>
    </w:p>
    <w:p w14:paraId="46E847F8" w14:textId="49AC861E" w:rsidR="00007550" w:rsidRPr="00861A3F" w:rsidRDefault="005E3E4C" w:rsidP="00861A3F">
      <w:pPr>
        <w:spacing w:after="0" w:line="240" w:lineRule="auto"/>
        <w:ind w:firstLine="284"/>
        <w:jc w:val="both"/>
        <w:rPr>
          <w:rFonts w:ascii="Times New Roman" w:hAnsi="Times New Roman" w:cs="Times New Roman"/>
          <w:iCs/>
          <w:color w:val="000000"/>
          <w:sz w:val="20"/>
        </w:rPr>
      </w:pPr>
      <w:r w:rsidRPr="00861A3F">
        <w:rPr>
          <w:rFonts w:ascii="Times New Roman" w:hAnsi="Times New Roman" w:cs="Times New Roman"/>
          <w:iCs/>
          <w:color w:val="000000"/>
          <w:sz w:val="20"/>
        </w:rPr>
        <w:t>The corona process in overhead power transmission lines generates third harmonic components, which further increase power losses due to corona discharge.</w:t>
      </w:r>
    </w:p>
    <w:p w14:paraId="5645581E" w14:textId="5C834E38" w:rsidR="005E3E4C" w:rsidRPr="00861A3F" w:rsidRDefault="00861A3F" w:rsidP="00861A3F">
      <w:pPr>
        <w:spacing w:after="0" w:line="240" w:lineRule="auto"/>
        <w:ind w:firstLine="284"/>
        <w:jc w:val="center"/>
        <w:rPr>
          <w:rFonts w:ascii="Times New Roman" w:hAnsi="Times New Roman" w:cs="Times New Roman"/>
        </w:rPr>
      </w:pPr>
      <w:r w:rsidRPr="00175565">
        <w:rPr>
          <w:rFonts w:ascii="Times New Roman" w:hAnsi="Times New Roman" w:cs="Times New Roman"/>
          <w:sz w:val="20"/>
          <w:szCs w:val="20"/>
        </w:rPr>
        <w:object w:dxaOrig="7981" w:dyaOrig="7411" w14:anchorId="04834247">
          <v:shape id="_x0000_i1027" type="#_x0000_t75" style="width:224.05pt;height:183.75pt" o:ole="">
            <v:imagedata r:id="rId11" o:title=""/>
          </v:shape>
          <o:OLEObject Type="Embed" ProgID="Visio.Drawing.15" ShapeID="_x0000_i1027" DrawAspect="Content" ObjectID="_1828437641" r:id="rId12"/>
        </w:object>
      </w:r>
    </w:p>
    <w:p w14:paraId="68E8524E" w14:textId="085B463E" w:rsidR="00A04E92" w:rsidRDefault="00A04E92" w:rsidP="00861A3F">
      <w:pPr>
        <w:spacing w:after="0" w:line="240" w:lineRule="auto"/>
        <w:ind w:firstLine="284"/>
        <w:jc w:val="center"/>
        <w:rPr>
          <w:rFonts w:ascii="Times New Roman" w:hAnsi="Times New Roman" w:cs="Times New Roman"/>
          <w:bCs/>
          <w:iCs/>
          <w:sz w:val="20"/>
        </w:rPr>
      </w:pPr>
      <w:r w:rsidRPr="00861A3F">
        <w:rPr>
          <w:rFonts w:ascii="Times New Roman" w:hAnsi="Times New Roman" w:cs="Times New Roman"/>
          <w:b/>
          <w:bCs/>
          <w:sz w:val="20"/>
        </w:rPr>
        <w:t>FIGURE</w:t>
      </w:r>
      <w:r w:rsidRPr="00861A3F">
        <w:rPr>
          <w:rFonts w:ascii="Times New Roman" w:hAnsi="Times New Roman" w:cs="Times New Roman"/>
          <w:b/>
          <w:bCs/>
          <w:sz w:val="20"/>
          <w:lang w:val="uz-Cyrl-UZ"/>
        </w:rPr>
        <w:t xml:space="preserve"> </w:t>
      </w:r>
      <w:r w:rsidRPr="00861A3F">
        <w:rPr>
          <w:rFonts w:ascii="Times New Roman" w:hAnsi="Times New Roman" w:cs="Times New Roman"/>
          <w:b/>
          <w:bCs/>
          <w:sz w:val="20"/>
        </w:rPr>
        <w:t>3.</w:t>
      </w:r>
      <w:r w:rsidRPr="00861A3F">
        <w:rPr>
          <w:rFonts w:ascii="Times New Roman" w:hAnsi="Times New Roman" w:cs="Times New Roman"/>
          <w:sz w:val="20"/>
        </w:rPr>
        <w:t xml:space="preserve"> </w:t>
      </w:r>
      <w:r w:rsidRPr="00861A3F">
        <w:rPr>
          <w:rFonts w:ascii="Times New Roman" w:hAnsi="Times New Roman" w:cs="Times New Roman"/>
          <w:bCs/>
          <w:iCs/>
          <w:sz w:val="20"/>
        </w:rPr>
        <w:t>Frequency dependence of power losses</w:t>
      </w:r>
    </w:p>
    <w:p w14:paraId="1D03B544" w14:textId="77777777" w:rsidR="00861A3F" w:rsidRPr="00861A3F" w:rsidRDefault="00861A3F" w:rsidP="00861A3F">
      <w:pPr>
        <w:spacing w:after="0" w:line="240" w:lineRule="auto"/>
        <w:ind w:firstLine="284"/>
        <w:jc w:val="center"/>
        <w:rPr>
          <w:rFonts w:ascii="Times New Roman" w:hAnsi="Times New Roman" w:cs="Times New Roman"/>
          <w:sz w:val="20"/>
        </w:rPr>
      </w:pPr>
    </w:p>
    <w:p w14:paraId="762D0C36" w14:textId="36107DE4" w:rsidR="003008E2" w:rsidRPr="00861A3F" w:rsidRDefault="00A32916" w:rsidP="00861A3F">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861A3F">
        <w:rPr>
          <w:rFonts w:ascii="Times New Roman" w:hAnsi="Times New Roman" w:cs="Times New Roman"/>
          <w:sz w:val="20"/>
          <w:szCs w:val="20"/>
        </w:rPr>
        <w:t>The corona process begins at voltages exceeding the critical breakdown voltage.</w:t>
      </w:r>
      <w:r w:rsidRPr="00861A3F">
        <w:rPr>
          <w:rFonts w:ascii="Times New Roman" w:hAnsi="Times New Roman" w:cs="Times New Roman"/>
        </w:rPr>
        <w:t xml:space="preserve"> </w:t>
      </w:r>
      <w:r w:rsidRPr="00861A3F">
        <w:rPr>
          <w:rFonts w:ascii="Times New Roman" w:hAnsi="Times New Roman" w:cs="Times New Roman"/>
          <w:sz w:val="20"/>
          <w:szCs w:val="20"/>
        </w:rPr>
        <w:t>Power losses due to the corona process vary over a very wide range, corresponding to a second-order behavior, and their temporal changes can sometimes occur very rapidly. Therefore, periodic measurements carried out at experimental sites do not provide reliable values for average and maximum corona losses. To accurately determine the characteristics of corona losses, it is necessary to have data on continuous variations of weather parameters and corona losses over a solar activity cycle (10–12 years), since the cyclical recurrence of meteorological events is determined precisely by this period of solar activity. Within this period, corona losses can be considered a stochastic process, with their characteristics defined by a distribution function and a correlation function.</w:t>
      </w:r>
      <w:r w:rsidR="00A04E92" w:rsidRPr="00861A3F">
        <w:rPr>
          <w:rFonts w:ascii="Times New Roman" w:hAnsi="Times New Roman" w:cs="Times New Roman"/>
        </w:rPr>
        <w:t xml:space="preserve"> </w:t>
      </w:r>
      <w:r w:rsidR="00A04E92" w:rsidRPr="00861A3F">
        <w:rPr>
          <w:rFonts w:ascii="Times New Roman" w:hAnsi="Times New Roman" w:cs="Times New Roman"/>
          <w:sz w:val="20"/>
          <w:szCs w:val="20"/>
        </w:rPr>
        <w:t>Corona losses are the energy losses that occur during the transmission of electrical energy as a result of the formation of corona charge, which is a characteristic form of independent gas charges arising in sharply non-uniform electric fields. In alternating current transmission, the insulation system serves to increase the reliability of power supply systems and reduce losses during energy transmission. However, under certain adverse weather conditions- especially rain, wet snow, fog, and icing, which lead to significant energy losses -the onset voltage of corona decreases, resulting in the occurrence of overall corona phenomena. For nominal voltages of 500 kV and above, it is advisable to use conductors with a larger diameter but smaller cross-sectional area to red</w:t>
      </w:r>
      <w:r w:rsidR="00AC6D3A" w:rsidRPr="00861A3F">
        <w:rPr>
          <w:rFonts w:ascii="Times New Roman" w:hAnsi="Times New Roman" w:cs="Times New Roman"/>
          <w:sz w:val="20"/>
          <w:szCs w:val="20"/>
        </w:rPr>
        <w:t xml:space="preserve">uce energy losses due to corona </w:t>
      </w:r>
      <w:r w:rsidR="00AC6D3A" w:rsidRPr="00861A3F">
        <w:rPr>
          <w:rFonts w:ascii="Times New Roman" w:hAnsi="Times New Roman" w:cs="Times New Roman"/>
          <w:iCs/>
          <w:color w:val="000000"/>
          <w:sz w:val="20"/>
        </w:rPr>
        <w:t>[</w:t>
      </w:r>
      <w:r w:rsidR="00AC6D3A" w:rsidRPr="00861A3F">
        <w:rPr>
          <w:rFonts w:ascii="Times New Roman" w:hAnsi="Times New Roman" w:cs="Times New Roman"/>
          <w:iCs/>
          <w:sz w:val="20"/>
        </w:rPr>
        <w:t>7-</w:t>
      </w:r>
      <w:r w:rsidR="00EC7F93" w:rsidRPr="00861A3F">
        <w:rPr>
          <w:rFonts w:ascii="Times New Roman" w:hAnsi="Times New Roman" w:cs="Times New Roman"/>
          <w:iCs/>
          <w:sz w:val="20"/>
        </w:rPr>
        <w:t>19</w:t>
      </w:r>
      <w:r w:rsidR="00AC6D3A" w:rsidRPr="00861A3F">
        <w:rPr>
          <w:rFonts w:ascii="Times New Roman" w:hAnsi="Times New Roman" w:cs="Times New Roman"/>
          <w:iCs/>
          <w:color w:val="000000"/>
          <w:sz w:val="20"/>
        </w:rPr>
        <w:t>].</w:t>
      </w:r>
    </w:p>
    <w:p w14:paraId="74359AF3" w14:textId="67FB3427" w:rsidR="008F5C21" w:rsidRPr="00861A3F" w:rsidRDefault="00861A3F" w:rsidP="00861A3F">
      <w:pPr>
        <w:spacing w:after="0" w:line="240" w:lineRule="auto"/>
        <w:ind w:firstLine="284"/>
        <w:jc w:val="both"/>
        <w:rPr>
          <w:rFonts w:ascii="Times New Roman" w:hAnsi="Times New Roman" w:cs="Times New Roman"/>
          <w:iCs/>
          <w:color w:val="000000"/>
          <w:sz w:val="20"/>
        </w:rPr>
      </w:pPr>
      <w:r w:rsidRPr="00861A3F">
        <w:rPr>
          <w:rFonts w:ascii="Times New Roman" w:eastAsia="Calibri" w:hAnsi="Times New Roman" w:cs="Times New Roman"/>
          <w:sz w:val="20"/>
          <w:szCs w:val="20"/>
        </w:rPr>
        <w:t xml:space="preserve">For a 500 kV overhead power transmission line, under </w:t>
      </w:r>
      <w:proofErr w:type="gramStart"/>
      <w:r w:rsidRPr="00861A3F">
        <w:rPr>
          <w:rFonts w:ascii="Times New Roman" w:eastAsia="Calibri" w:hAnsi="Times New Roman" w:cs="Times New Roman"/>
          <w:sz w:val="20"/>
          <w:szCs w:val="20"/>
        </w:rPr>
        <w:t>rainfall</w:t>
      </w:r>
      <w:proofErr w:type="gramEnd"/>
      <w:r w:rsidRPr="00861A3F">
        <w:rPr>
          <w:rFonts w:ascii="Times New Roman" w:eastAsia="Calibri" w:hAnsi="Times New Roman" w:cs="Times New Roman"/>
          <w:sz w:val="20"/>
          <w:szCs w:val="20"/>
        </w:rPr>
        <w:t xml:space="preserve"> intensity of 1 mm/</w:t>
      </w:r>
      <w:proofErr w:type="gramStart"/>
      <w:r w:rsidRPr="00861A3F">
        <w:rPr>
          <w:rFonts w:ascii="Times New Roman" w:eastAsia="Calibri" w:hAnsi="Times New Roman" w:cs="Times New Roman"/>
          <w:sz w:val="20"/>
          <w:szCs w:val="20"/>
        </w:rPr>
        <w:t>h ,</w:t>
      </w:r>
      <w:proofErr w:type="gramEnd"/>
      <w:r w:rsidRPr="00861A3F">
        <w:rPr>
          <w:rFonts w:ascii="Times New Roman" w:eastAsia="Calibri" w:hAnsi="Times New Roman" w:cs="Times New Roman"/>
          <w:sz w:val="20"/>
          <w:szCs w:val="20"/>
        </w:rPr>
        <w:t xml:space="preserve"> the annual duration of rain in the transmission area is 401 hours. The creation of smart electrical grids is not feasible without complete and targeted monitoring of their condition. The primary goal of managing electrical power networks is to save energy and ensure the reliability of electricity supply. One of the most effective ways to address energy savings is to optimize the operating modes of power systems in terms of voltage and reactive power coefficients. Therefore, the optimal voltage level at energy system nodes depends on the ratio between corona losses and load losses. Under fair weather conditions, load losses prevail over corona losses, whereas in adverse weather (snow, rain, icing), corona </w:t>
      </w:r>
      <w:r w:rsidRPr="00861A3F">
        <w:rPr>
          <w:rFonts w:ascii="Times New Roman" w:eastAsia="Calibri" w:hAnsi="Times New Roman" w:cs="Times New Roman"/>
          <w:sz w:val="20"/>
          <w:szCs w:val="20"/>
        </w:rPr>
        <w:lastRenderedPageBreak/>
        <w:t>losses can increase by 1–2 times. For the line under consideration, corona losses under fair weather conditions amount to 1200 kW.</w:t>
      </w:r>
    </w:p>
    <w:p w14:paraId="66524D0C" w14:textId="19BE8210" w:rsidR="005A7D68" w:rsidRPr="00861A3F" w:rsidRDefault="00861A3F" w:rsidP="00861A3F">
      <w:pPr>
        <w:spacing w:after="0" w:line="240" w:lineRule="auto"/>
        <w:jc w:val="center"/>
        <w:rPr>
          <w:rFonts w:ascii="Times New Roman" w:hAnsi="Times New Roman" w:cs="Times New Roman"/>
          <w:iCs/>
          <w:color w:val="000000"/>
          <w:sz w:val="20"/>
        </w:rPr>
      </w:pPr>
      <w:r w:rsidRPr="00175565">
        <w:rPr>
          <w:rFonts w:ascii="Times New Roman" w:hAnsi="Times New Roman" w:cs="Times New Roman"/>
          <w:sz w:val="18"/>
          <w:szCs w:val="18"/>
        </w:rPr>
        <w:object w:dxaOrig="8400" w:dyaOrig="6646" w14:anchorId="7E62B4C6">
          <v:shape id="_x0000_i1028" type="#_x0000_t75" style="width:257.45pt;height:178.55pt" o:ole="">
            <v:imagedata r:id="rId13" o:title=""/>
          </v:shape>
          <o:OLEObject Type="Embed" ProgID="Visio.Drawing.15" ShapeID="_x0000_i1028" DrawAspect="Content" ObjectID="_1828437642" r:id="rId14"/>
        </w:object>
      </w:r>
    </w:p>
    <w:p w14:paraId="7BBFB5D6" w14:textId="32225011" w:rsidR="00F53273" w:rsidRPr="00861A3F" w:rsidRDefault="00EA2F4C" w:rsidP="00861A3F">
      <w:pPr>
        <w:overflowPunct w:val="0"/>
        <w:autoSpaceDE w:val="0"/>
        <w:autoSpaceDN w:val="0"/>
        <w:adjustRightInd w:val="0"/>
        <w:spacing w:after="0" w:line="240" w:lineRule="auto"/>
        <w:ind w:firstLine="425"/>
        <w:jc w:val="center"/>
        <w:textAlignment w:val="baseline"/>
        <w:rPr>
          <w:rFonts w:ascii="Times New Roman" w:eastAsia="Calibri" w:hAnsi="Times New Roman" w:cs="Times New Roman"/>
          <w:sz w:val="20"/>
          <w:szCs w:val="20"/>
        </w:rPr>
      </w:pPr>
      <w:r w:rsidRPr="00861A3F">
        <w:rPr>
          <w:rFonts w:ascii="Times New Roman" w:hAnsi="Times New Roman" w:cs="Times New Roman"/>
          <w:b/>
          <w:bCs/>
          <w:sz w:val="20"/>
          <w:szCs w:val="20"/>
        </w:rPr>
        <w:t>FIGURE</w:t>
      </w:r>
      <w:r w:rsidRPr="00861A3F">
        <w:rPr>
          <w:rFonts w:ascii="Times New Roman" w:eastAsia="Calibri" w:hAnsi="Times New Roman" w:cs="Times New Roman"/>
          <w:b/>
          <w:bCs/>
          <w:sz w:val="20"/>
          <w:szCs w:val="20"/>
        </w:rPr>
        <w:t xml:space="preserve"> </w:t>
      </w:r>
      <w:r w:rsidR="00AF1A27" w:rsidRPr="00861A3F">
        <w:rPr>
          <w:rFonts w:ascii="Times New Roman" w:eastAsia="Calibri" w:hAnsi="Times New Roman" w:cs="Times New Roman"/>
          <w:b/>
          <w:bCs/>
          <w:sz w:val="20"/>
          <w:szCs w:val="20"/>
        </w:rPr>
        <w:t>4</w:t>
      </w:r>
      <w:r w:rsidRPr="00861A3F">
        <w:rPr>
          <w:rFonts w:ascii="Times New Roman" w:eastAsia="Calibri" w:hAnsi="Times New Roman" w:cs="Times New Roman"/>
          <w:b/>
          <w:bCs/>
          <w:sz w:val="20"/>
          <w:szCs w:val="20"/>
        </w:rPr>
        <w:t>.</w:t>
      </w:r>
      <w:r w:rsidR="0032215F" w:rsidRPr="00861A3F">
        <w:rPr>
          <w:rFonts w:ascii="Times New Roman" w:eastAsia="Calibri" w:hAnsi="Times New Roman" w:cs="Times New Roman"/>
          <w:sz w:val="20"/>
          <w:szCs w:val="20"/>
        </w:rPr>
        <w:t xml:space="preserve"> </w:t>
      </w:r>
      <w:r w:rsidR="005A7D68" w:rsidRPr="00861A3F">
        <w:rPr>
          <w:rFonts w:ascii="Times New Roman" w:eastAsia="Calibri" w:hAnsi="Times New Roman" w:cs="Times New Roman"/>
          <w:sz w:val="20"/>
          <w:szCs w:val="20"/>
        </w:rPr>
        <w:t>Graph of changes in power losses due to corona relative to conductor diameter (or cross-sectional area).</w:t>
      </w:r>
    </w:p>
    <w:p w14:paraId="1509C048" w14:textId="77777777" w:rsidR="005A7D68" w:rsidRPr="00861A3F" w:rsidRDefault="005A7D68" w:rsidP="00861A3F">
      <w:pPr>
        <w:overflowPunct w:val="0"/>
        <w:autoSpaceDE w:val="0"/>
        <w:autoSpaceDN w:val="0"/>
        <w:adjustRightInd w:val="0"/>
        <w:spacing w:after="0" w:line="240" w:lineRule="auto"/>
        <w:ind w:firstLine="425"/>
        <w:jc w:val="center"/>
        <w:textAlignment w:val="baseline"/>
        <w:rPr>
          <w:rFonts w:ascii="Times New Roman" w:eastAsia="Calibri" w:hAnsi="Times New Roman" w:cs="Times New Roman"/>
          <w:sz w:val="20"/>
          <w:szCs w:val="20"/>
        </w:rPr>
      </w:pPr>
    </w:p>
    <w:p w14:paraId="28283210" w14:textId="41DA1F9A" w:rsidR="003F434A" w:rsidRPr="00861A3F" w:rsidRDefault="00FA4A32" w:rsidP="00861A3F">
      <w:pPr>
        <w:tabs>
          <w:tab w:val="left" w:pos="284"/>
        </w:tabs>
        <w:overflowPunct w:val="0"/>
        <w:autoSpaceDE w:val="0"/>
        <w:autoSpaceDN w:val="0"/>
        <w:adjustRightInd w:val="0"/>
        <w:spacing w:after="0" w:line="240" w:lineRule="auto"/>
        <w:ind w:firstLine="284"/>
        <w:jc w:val="both"/>
        <w:textAlignment w:val="baseline"/>
        <w:rPr>
          <w:rFonts w:ascii="Times New Roman" w:eastAsia="Calibri" w:hAnsi="Times New Roman" w:cs="Times New Roman"/>
          <w:sz w:val="20"/>
          <w:szCs w:val="20"/>
        </w:rPr>
      </w:pPr>
      <w:r w:rsidRPr="00861A3F">
        <w:rPr>
          <w:rFonts w:ascii="Times New Roman" w:eastAsia="Calibri" w:hAnsi="Times New Roman" w:cs="Times New Roman"/>
          <w:sz w:val="20"/>
          <w:szCs w:val="20"/>
        </w:rPr>
        <w:t>The maximum error of electrical measuring devices in determining corona losses is 229 kW, which constitutes 19% of the corona power loss under fair weather conditions.</w:t>
      </w:r>
      <w:r w:rsidR="001B0C5E" w:rsidRPr="00861A3F">
        <w:rPr>
          <w:rFonts w:ascii="Times New Roman" w:hAnsi="Times New Roman" w:cs="Times New Roman"/>
        </w:rPr>
        <w:t xml:space="preserve"> </w:t>
      </w:r>
      <w:r w:rsidR="001B0C5E" w:rsidRPr="00861A3F">
        <w:rPr>
          <w:rFonts w:ascii="Times New Roman" w:eastAsia="Calibri" w:hAnsi="Times New Roman" w:cs="Times New Roman"/>
          <w:sz w:val="20"/>
          <w:szCs w:val="20"/>
        </w:rPr>
        <w:t>Previously, the operating mode of individual transmission lines was considered. When analyzing the power system as a whole, it is necessary to account for losses across all lines in the region. Therefore, in calculating optimal voltage levels at system nodes, corona losses and load losses across all transmission lines in the considered energy area must be taken into account. When corona lo</w:t>
      </w:r>
      <w:r w:rsidR="006610CB" w:rsidRPr="00861A3F">
        <w:rPr>
          <w:rFonts w:ascii="Times New Roman" w:eastAsia="Calibri" w:hAnsi="Times New Roman" w:cs="Times New Roman"/>
          <w:sz w:val="20"/>
          <w:szCs w:val="20"/>
        </w:rPr>
        <w:t>sses in the lines are minimal-</w:t>
      </w:r>
      <w:r w:rsidR="001B0C5E" w:rsidRPr="00861A3F">
        <w:rPr>
          <w:rFonts w:ascii="Times New Roman" w:eastAsia="Calibri" w:hAnsi="Times New Roman" w:cs="Times New Roman"/>
          <w:sz w:val="20"/>
          <w:szCs w:val="20"/>
        </w:rPr>
        <w:t>that is,</w:t>
      </w:r>
      <w:r w:rsidR="006610CB" w:rsidRPr="00861A3F">
        <w:rPr>
          <w:rFonts w:ascii="Times New Roman" w:eastAsia="Calibri" w:hAnsi="Times New Roman" w:cs="Times New Roman"/>
          <w:sz w:val="20"/>
          <w:szCs w:val="20"/>
        </w:rPr>
        <w:t xml:space="preserve"> under fair weather conditions-</w:t>
      </w:r>
      <w:r w:rsidR="001B0C5E" w:rsidRPr="00861A3F">
        <w:rPr>
          <w:rFonts w:ascii="Times New Roman" w:eastAsia="Calibri" w:hAnsi="Times New Roman" w:cs="Times New Roman"/>
          <w:sz w:val="20"/>
          <w:szCs w:val="20"/>
        </w:rPr>
        <w:t>increasing the network voltage is advisable. This measure can reduce power losses in the network by approximately 7.5 MW, which corresponds to 5.1% of the total losses. Furthermore, if a controlled shunt reactor is installed instead of a fixed shunt reactor, the effectiveness of optimization increases by an additional 6.5%, reaching a total of 8 MW.</w:t>
      </w:r>
      <w:r w:rsidR="00FA0994" w:rsidRPr="00861A3F">
        <w:rPr>
          <w:rFonts w:ascii="Times New Roman" w:eastAsia="Calibri" w:hAnsi="Times New Roman" w:cs="Times New Roman"/>
          <w:sz w:val="20"/>
          <w:szCs w:val="20"/>
        </w:rPr>
        <w:t xml:space="preserve"> </w:t>
      </w:r>
      <w:r w:rsidR="001B0C5E" w:rsidRPr="00861A3F">
        <w:rPr>
          <w:rFonts w:ascii="Times New Roman" w:eastAsia="Calibri" w:hAnsi="Times New Roman" w:cs="Times New Roman"/>
          <w:sz w:val="20"/>
          <w:szCs w:val="20"/>
        </w:rPr>
        <w:t>Calculations for optimizing the line operation by regulating voltage, without considering voltage limits, showed the following: under fair weather conditions, corona losses are minimal, and the optimal line voltage is significantly high</w:t>
      </w:r>
      <w:r w:rsidR="006610CB" w:rsidRPr="00861A3F">
        <w:rPr>
          <w:rFonts w:ascii="Times New Roman" w:eastAsia="Calibri" w:hAnsi="Times New Roman" w:cs="Times New Roman"/>
          <w:sz w:val="20"/>
          <w:szCs w:val="20"/>
        </w:rPr>
        <w:t>er than the operating voltage-</w:t>
      </w:r>
      <w:r w:rsidR="001B0C5E" w:rsidRPr="00861A3F">
        <w:rPr>
          <w:rFonts w:ascii="Times New Roman" w:eastAsia="Calibri" w:hAnsi="Times New Roman" w:cs="Times New Roman"/>
          <w:sz w:val="20"/>
          <w:szCs w:val="20"/>
        </w:rPr>
        <w:t>approximately 1.2–1.25 times greater.</w:t>
      </w:r>
    </w:p>
    <w:p w14:paraId="5A04781E" w14:textId="2045F731" w:rsidR="008745D5" w:rsidRPr="00861A3F" w:rsidRDefault="00861A3F" w:rsidP="00861A3F">
      <w:pPr>
        <w:overflowPunct w:val="0"/>
        <w:autoSpaceDE w:val="0"/>
        <w:autoSpaceDN w:val="0"/>
        <w:adjustRightInd w:val="0"/>
        <w:spacing w:after="0" w:line="240" w:lineRule="auto"/>
        <w:ind w:firstLine="425"/>
        <w:jc w:val="center"/>
        <w:textAlignment w:val="baseline"/>
        <w:rPr>
          <w:rFonts w:ascii="Times New Roman" w:eastAsia="Calibri" w:hAnsi="Times New Roman" w:cs="Times New Roman"/>
          <w:sz w:val="20"/>
          <w:szCs w:val="20"/>
        </w:rPr>
      </w:pPr>
      <w:r w:rsidRPr="00175565">
        <w:rPr>
          <w:rFonts w:ascii="Times New Roman" w:eastAsia="Calibri" w:hAnsi="Times New Roman" w:cs="Times New Roman"/>
          <w:sz w:val="20"/>
          <w:szCs w:val="20"/>
          <w:lang w:val="ru-RU"/>
        </w:rPr>
        <w:object w:dxaOrig="8130" w:dyaOrig="6585" w14:anchorId="645E6F87">
          <v:shape id="_x0000_i1029" type="#_x0000_t75" style="width:242.5pt;height:167.05pt" o:ole="">
            <v:imagedata r:id="rId15" o:title=""/>
          </v:shape>
          <o:OLEObject Type="Embed" ProgID="Visio.Drawing.15" ShapeID="_x0000_i1029" DrawAspect="Content" ObjectID="_1828437643" r:id="rId16"/>
        </w:object>
      </w:r>
    </w:p>
    <w:p w14:paraId="5DD76399" w14:textId="5DC76912" w:rsidR="00F53273" w:rsidRPr="00861A3F" w:rsidRDefault="00CA398A" w:rsidP="00861A3F">
      <w:pPr>
        <w:widowControl w:val="0"/>
        <w:spacing w:after="0" w:line="240" w:lineRule="auto"/>
        <w:jc w:val="center"/>
        <w:rPr>
          <w:rFonts w:ascii="Times New Roman" w:hAnsi="Times New Roman" w:cs="Times New Roman"/>
          <w:sz w:val="20"/>
          <w:szCs w:val="20"/>
        </w:rPr>
      </w:pPr>
      <w:r w:rsidRPr="00861A3F">
        <w:rPr>
          <w:rFonts w:ascii="Times New Roman" w:hAnsi="Times New Roman" w:cs="Times New Roman"/>
          <w:b/>
          <w:sz w:val="20"/>
          <w:szCs w:val="20"/>
        </w:rPr>
        <w:t>FIGURE 5.</w:t>
      </w:r>
      <w:r w:rsidRPr="00861A3F">
        <w:rPr>
          <w:rFonts w:ascii="Times New Roman" w:hAnsi="Times New Roman" w:cs="Times New Roman"/>
          <w:sz w:val="20"/>
          <w:szCs w:val="20"/>
        </w:rPr>
        <w:t xml:space="preserve"> </w:t>
      </w:r>
      <w:r w:rsidR="003F434A" w:rsidRPr="00861A3F">
        <w:rPr>
          <w:rFonts w:ascii="Times New Roman" w:hAnsi="Times New Roman" w:cs="Times New Roman"/>
          <w:sz w:val="20"/>
          <w:szCs w:val="20"/>
        </w:rPr>
        <w:t>Dependence of corona losses on line voltage</w:t>
      </w:r>
    </w:p>
    <w:p w14:paraId="12D807A9" w14:textId="77777777" w:rsidR="00861A3F" w:rsidRDefault="00861A3F" w:rsidP="00861A3F">
      <w:pPr>
        <w:widowControl w:val="0"/>
        <w:spacing w:after="0" w:line="240" w:lineRule="auto"/>
        <w:ind w:firstLine="567"/>
        <w:jc w:val="both"/>
        <w:rPr>
          <w:rFonts w:ascii="Times New Roman" w:hAnsi="Times New Roman" w:cs="Times New Roman"/>
          <w:sz w:val="20"/>
          <w:szCs w:val="20"/>
        </w:rPr>
      </w:pPr>
    </w:p>
    <w:p w14:paraId="4616B7AC" w14:textId="30FA7144" w:rsidR="003F434A" w:rsidRPr="00861A3F" w:rsidRDefault="00A87BCE" w:rsidP="00861A3F">
      <w:pPr>
        <w:widowControl w:val="0"/>
        <w:spacing w:after="0" w:line="240" w:lineRule="auto"/>
        <w:ind w:firstLine="567"/>
        <w:jc w:val="both"/>
        <w:rPr>
          <w:rFonts w:ascii="Times New Roman" w:hAnsi="Times New Roman" w:cs="Times New Roman"/>
          <w:sz w:val="20"/>
          <w:szCs w:val="20"/>
        </w:rPr>
      </w:pPr>
      <w:r w:rsidRPr="00861A3F">
        <w:rPr>
          <w:rFonts w:ascii="Times New Roman" w:hAnsi="Times New Roman" w:cs="Times New Roman"/>
          <w:sz w:val="20"/>
          <w:szCs w:val="20"/>
        </w:rPr>
        <w:t xml:space="preserve">The results indicate that voltage levels improved at all substations. Factors such as distance from power generation points, variations in demand, weather conditions, </w:t>
      </w:r>
      <w:r w:rsidR="006610CB" w:rsidRPr="00861A3F">
        <w:rPr>
          <w:rFonts w:ascii="Times New Roman" w:hAnsi="Times New Roman" w:cs="Times New Roman"/>
          <w:sz w:val="20"/>
          <w:szCs w:val="20"/>
        </w:rPr>
        <w:t>and unbalanced</w:t>
      </w:r>
      <w:r w:rsidRPr="00861A3F">
        <w:rPr>
          <w:rFonts w:ascii="Times New Roman" w:hAnsi="Times New Roman" w:cs="Times New Roman"/>
          <w:sz w:val="20"/>
          <w:szCs w:val="20"/>
        </w:rPr>
        <w:t xml:space="preserve"> loads on distribution transformer phases, the complexity of the energy system for transmitting electricity to the point of use, consumer behavior, and the use of electronic equipment contribute to a reduction in the quality of the delivered electrical energy.</w:t>
      </w:r>
    </w:p>
    <w:p w14:paraId="6311B463" w14:textId="77777777" w:rsidR="00A87BCE" w:rsidRPr="00861A3F" w:rsidRDefault="00A87BCE" w:rsidP="00861A3F">
      <w:pPr>
        <w:widowControl w:val="0"/>
        <w:spacing w:after="0" w:line="240" w:lineRule="auto"/>
        <w:ind w:firstLine="567"/>
        <w:jc w:val="both"/>
        <w:rPr>
          <w:rFonts w:ascii="Times New Roman" w:hAnsi="Times New Roman" w:cs="Times New Roman"/>
          <w:sz w:val="20"/>
          <w:szCs w:val="20"/>
        </w:rPr>
      </w:pPr>
    </w:p>
    <w:p w14:paraId="3BD29FE6" w14:textId="65C53947" w:rsidR="00A87BCE" w:rsidRPr="00861A3F" w:rsidRDefault="00861A3F" w:rsidP="00861A3F">
      <w:pPr>
        <w:widowControl w:val="0"/>
        <w:spacing w:after="0" w:line="240" w:lineRule="auto"/>
        <w:ind w:firstLine="567"/>
        <w:jc w:val="center"/>
        <w:rPr>
          <w:rFonts w:ascii="Times New Roman" w:hAnsi="Times New Roman" w:cs="Times New Roman"/>
          <w:sz w:val="20"/>
          <w:szCs w:val="20"/>
        </w:rPr>
      </w:pPr>
      <w:r w:rsidRPr="00175565">
        <w:rPr>
          <w:rFonts w:ascii="Times New Roman" w:hAnsi="Times New Roman" w:cs="Times New Roman"/>
          <w:sz w:val="20"/>
          <w:szCs w:val="20"/>
        </w:rPr>
        <w:object w:dxaOrig="8160" w:dyaOrig="6376" w14:anchorId="7EF2C295">
          <v:shape id="_x0000_i1030" type="#_x0000_t75" style="width:245.4pt;height:182.6pt" o:ole="">
            <v:imagedata r:id="rId17" o:title=""/>
          </v:shape>
          <o:OLEObject Type="Embed" ProgID="Visio.Drawing.15" ShapeID="_x0000_i1030" DrawAspect="Content" ObjectID="_1828437644" r:id="rId18"/>
        </w:object>
      </w:r>
    </w:p>
    <w:p w14:paraId="5611BFA4" w14:textId="6B83BB97" w:rsidR="00A87BCE" w:rsidRPr="00861A3F" w:rsidRDefault="00A87BCE" w:rsidP="00861A3F">
      <w:pPr>
        <w:widowControl w:val="0"/>
        <w:spacing w:after="0" w:line="240" w:lineRule="auto"/>
        <w:jc w:val="center"/>
        <w:rPr>
          <w:rFonts w:ascii="Times New Roman" w:hAnsi="Times New Roman" w:cs="Times New Roman"/>
          <w:sz w:val="20"/>
          <w:szCs w:val="20"/>
        </w:rPr>
      </w:pPr>
      <w:r w:rsidRPr="00861A3F">
        <w:rPr>
          <w:rFonts w:ascii="Times New Roman" w:hAnsi="Times New Roman" w:cs="Times New Roman"/>
          <w:b/>
          <w:sz w:val="20"/>
          <w:szCs w:val="20"/>
        </w:rPr>
        <w:t>FIGURE 6.</w:t>
      </w:r>
      <w:r w:rsidRPr="00861A3F">
        <w:rPr>
          <w:rFonts w:ascii="Times New Roman" w:hAnsi="Times New Roman" w:cs="Times New Roman"/>
          <w:sz w:val="20"/>
          <w:szCs w:val="20"/>
        </w:rPr>
        <w:t xml:space="preserve"> Graph of power losses due to corona under stormy and fair weather conditions</w:t>
      </w:r>
    </w:p>
    <w:p w14:paraId="1567335A" w14:textId="77777777" w:rsidR="006610CB" w:rsidRPr="00861A3F" w:rsidRDefault="006610CB" w:rsidP="00861A3F">
      <w:pPr>
        <w:widowControl w:val="0"/>
        <w:spacing w:after="0" w:line="240" w:lineRule="auto"/>
        <w:jc w:val="center"/>
        <w:rPr>
          <w:rFonts w:ascii="Times New Roman" w:hAnsi="Times New Roman" w:cs="Times New Roman"/>
          <w:sz w:val="20"/>
          <w:szCs w:val="20"/>
        </w:rPr>
      </w:pPr>
    </w:p>
    <w:p w14:paraId="3B4FDCDC" w14:textId="77777777" w:rsidR="00FA0994" w:rsidRPr="00861A3F" w:rsidRDefault="00FA0994" w:rsidP="00861A3F">
      <w:pPr>
        <w:widowControl w:val="0"/>
        <w:spacing w:after="0" w:line="240" w:lineRule="auto"/>
        <w:ind w:firstLine="284"/>
        <w:jc w:val="both"/>
        <w:rPr>
          <w:rFonts w:ascii="Times New Roman" w:hAnsi="Times New Roman" w:cs="Times New Roman"/>
          <w:sz w:val="20"/>
          <w:szCs w:val="20"/>
        </w:rPr>
      </w:pPr>
      <w:r w:rsidRPr="00861A3F">
        <w:rPr>
          <w:rFonts w:ascii="Times New Roman" w:hAnsi="Times New Roman" w:cs="Times New Roman"/>
          <w:sz w:val="20"/>
          <w:szCs w:val="20"/>
        </w:rPr>
        <w:t>This also involves studying and improving the methods for determining instantaneous power losses in corona and conductors, taking into account their measurement errors. Currently, a number of methods and analyses exist, and it is particularly important to assess the sensitivity of methods used to measure low-magnitude corona losses under high-humidity conditions, as well as conductor losses, in real-time operation of high-voltage overhead transmission lines.</w:t>
      </w:r>
    </w:p>
    <w:p w14:paraId="254CEC65" w14:textId="77777777" w:rsidR="00FA0994" w:rsidRPr="00861A3F" w:rsidRDefault="00FA0994" w:rsidP="00861A3F">
      <w:pPr>
        <w:widowControl w:val="0"/>
        <w:spacing w:after="0" w:line="240" w:lineRule="auto"/>
        <w:rPr>
          <w:rFonts w:ascii="Times New Roman" w:hAnsi="Times New Roman" w:cs="Times New Roman"/>
          <w:sz w:val="20"/>
          <w:szCs w:val="20"/>
        </w:rPr>
      </w:pPr>
    </w:p>
    <w:p w14:paraId="18E945D1" w14:textId="2BBA5DC6" w:rsidR="00A87BCE" w:rsidRPr="00861A3F" w:rsidRDefault="00B417C0" w:rsidP="00861A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rPr>
      </w:pPr>
      <w:r w:rsidRPr="00861A3F">
        <w:rPr>
          <w:rFonts w:ascii="Times New Roman" w:hAnsi="Times New Roman" w:cs="Times New Roman"/>
          <w:b/>
          <w:sz w:val="20"/>
          <w:szCs w:val="20"/>
          <w:lang w:eastAsia="de-DE"/>
        </w:rPr>
        <w:t>TABLE 3.</w:t>
      </w:r>
      <w:r w:rsidRPr="00861A3F">
        <w:rPr>
          <w:rFonts w:ascii="Times New Roman" w:hAnsi="Times New Roman" w:cs="Times New Roman"/>
          <w:sz w:val="20"/>
          <w:szCs w:val="20"/>
          <w:lang w:eastAsia="de-DE"/>
        </w:rPr>
        <w:t xml:space="preserve"> Indicators for calculating the optimal voltage to minimize losses in the supply line</w:t>
      </w:r>
    </w:p>
    <w:tbl>
      <w:tblPr>
        <w:tblStyle w:val="a3"/>
        <w:tblW w:w="0" w:type="auto"/>
        <w:jc w:val="center"/>
        <w:tblLook w:val="04A0" w:firstRow="1" w:lastRow="0" w:firstColumn="1" w:lastColumn="0" w:noHBand="0" w:noVBand="1"/>
      </w:tblPr>
      <w:tblGrid>
        <w:gridCol w:w="6637"/>
        <w:gridCol w:w="2487"/>
      </w:tblGrid>
      <w:tr w:rsidR="006C75AA" w:rsidRPr="00861A3F" w14:paraId="6A6B4D96" w14:textId="77777777" w:rsidTr="00861A3F">
        <w:trPr>
          <w:jc w:val="center"/>
        </w:trPr>
        <w:tc>
          <w:tcPr>
            <w:tcW w:w="6637" w:type="dxa"/>
          </w:tcPr>
          <w:p w14:paraId="3E004C84" w14:textId="0869EC9B" w:rsidR="006C75AA" w:rsidRPr="00861A3F" w:rsidRDefault="00D96DC4" w:rsidP="00861A3F">
            <w:pPr>
              <w:pStyle w:val="Body"/>
              <w:rPr>
                <w:bCs/>
                <w:sz w:val="18"/>
                <w:szCs w:val="18"/>
                <w:lang w:val="en-US"/>
              </w:rPr>
            </w:pPr>
            <w:r w:rsidRPr="00861A3F">
              <w:rPr>
                <w:bCs/>
                <w:sz w:val="18"/>
                <w:szCs w:val="18"/>
                <w:lang w:val="en-US"/>
              </w:rPr>
              <w:t>Accumulated incremental losses due to corona, hours</w:t>
            </w:r>
          </w:p>
        </w:tc>
        <w:tc>
          <w:tcPr>
            <w:tcW w:w="2487" w:type="dxa"/>
          </w:tcPr>
          <w:p w14:paraId="2C844C2E" w14:textId="77777777" w:rsidR="006C75AA" w:rsidRPr="00861A3F" w:rsidRDefault="006C75AA" w:rsidP="00861A3F">
            <w:pPr>
              <w:pStyle w:val="Body"/>
              <w:rPr>
                <w:bCs/>
                <w:sz w:val="18"/>
                <w:szCs w:val="18"/>
                <w:lang w:val="en-US"/>
              </w:rPr>
            </w:pPr>
            <w:r w:rsidRPr="00861A3F">
              <w:rPr>
                <w:bCs/>
                <w:sz w:val="18"/>
                <w:szCs w:val="18"/>
                <w:lang w:val="en-US"/>
              </w:rPr>
              <w:t>2,33</w:t>
            </w:r>
          </w:p>
        </w:tc>
      </w:tr>
      <w:tr w:rsidR="006C75AA" w:rsidRPr="00861A3F" w14:paraId="4CA8F546" w14:textId="77777777" w:rsidTr="00861A3F">
        <w:trPr>
          <w:jc w:val="center"/>
        </w:trPr>
        <w:tc>
          <w:tcPr>
            <w:tcW w:w="6637" w:type="dxa"/>
          </w:tcPr>
          <w:p w14:paraId="318C5B45" w14:textId="0E777346" w:rsidR="006C75AA" w:rsidRPr="00861A3F" w:rsidRDefault="00D96DC4" w:rsidP="00861A3F">
            <w:pPr>
              <w:pStyle w:val="Body"/>
              <w:rPr>
                <w:bCs/>
                <w:sz w:val="18"/>
                <w:szCs w:val="18"/>
                <w:lang w:val="en-US"/>
              </w:rPr>
            </w:pPr>
            <w:r w:rsidRPr="00861A3F">
              <w:rPr>
                <w:bCs/>
                <w:sz w:val="18"/>
                <w:szCs w:val="18"/>
                <w:lang w:val="en-US"/>
              </w:rPr>
              <w:t>Average voltage at the end of the line, kV</w:t>
            </w:r>
          </w:p>
        </w:tc>
        <w:tc>
          <w:tcPr>
            <w:tcW w:w="2487" w:type="dxa"/>
          </w:tcPr>
          <w:p w14:paraId="70962F7E" w14:textId="77777777" w:rsidR="006C75AA" w:rsidRPr="00861A3F" w:rsidRDefault="006C75AA" w:rsidP="00861A3F">
            <w:pPr>
              <w:pStyle w:val="Body"/>
              <w:rPr>
                <w:bCs/>
                <w:sz w:val="18"/>
                <w:szCs w:val="18"/>
                <w:lang w:val="en-US"/>
              </w:rPr>
            </w:pPr>
            <w:r w:rsidRPr="00861A3F">
              <w:rPr>
                <w:bCs/>
                <w:sz w:val="18"/>
                <w:szCs w:val="18"/>
                <w:lang w:val="en-US"/>
              </w:rPr>
              <w:t>750,04</w:t>
            </w:r>
          </w:p>
        </w:tc>
      </w:tr>
      <w:tr w:rsidR="006C75AA" w:rsidRPr="00861A3F" w14:paraId="7262FF2F" w14:textId="77777777" w:rsidTr="00861A3F">
        <w:trPr>
          <w:jc w:val="center"/>
        </w:trPr>
        <w:tc>
          <w:tcPr>
            <w:tcW w:w="6637" w:type="dxa"/>
          </w:tcPr>
          <w:p w14:paraId="08D66C0E" w14:textId="6131C910" w:rsidR="006C75AA" w:rsidRPr="00861A3F" w:rsidRDefault="00DC3B9B" w:rsidP="00861A3F">
            <w:pPr>
              <w:pStyle w:val="Body"/>
              <w:rPr>
                <w:bCs/>
                <w:sz w:val="18"/>
                <w:szCs w:val="18"/>
                <w:lang w:val="en-US"/>
              </w:rPr>
            </w:pPr>
            <w:r w:rsidRPr="00861A3F">
              <w:rPr>
                <w:bCs/>
                <w:sz w:val="18"/>
                <w:szCs w:val="18"/>
                <w:lang w:val="en-US"/>
              </w:rPr>
              <w:t>Average active power at the end of the line, MW</w:t>
            </w:r>
          </w:p>
        </w:tc>
        <w:tc>
          <w:tcPr>
            <w:tcW w:w="2487" w:type="dxa"/>
          </w:tcPr>
          <w:p w14:paraId="24FBFE99" w14:textId="77777777" w:rsidR="006C75AA" w:rsidRPr="00861A3F" w:rsidRDefault="006C75AA" w:rsidP="00861A3F">
            <w:pPr>
              <w:pStyle w:val="Body"/>
              <w:rPr>
                <w:bCs/>
                <w:sz w:val="18"/>
                <w:szCs w:val="18"/>
                <w:lang w:val="en-US"/>
              </w:rPr>
            </w:pPr>
            <w:r w:rsidRPr="00861A3F">
              <w:rPr>
                <w:bCs/>
                <w:sz w:val="18"/>
                <w:szCs w:val="18"/>
                <w:lang w:val="en-US"/>
              </w:rPr>
              <w:t>656,03</w:t>
            </w:r>
          </w:p>
        </w:tc>
      </w:tr>
      <w:tr w:rsidR="006C75AA" w:rsidRPr="00861A3F" w14:paraId="21F95830" w14:textId="77777777" w:rsidTr="00861A3F">
        <w:trPr>
          <w:jc w:val="center"/>
        </w:trPr>
        <w:tc>
          <w:tcPr>
            <w:tcW w:w="6637" w:type="dxa"/>
          </w:tcPr>
          <w:p w14:paraId="5AE4927A" w14:textId="30C329E0" w:rsidR="006C75AA" w:rsidRPr="00861A3F" w:rsidRDefault="00DC3B9B" w:rsidP="00861A3F">
            <w:pPr>
              <w:pStyle w:val="Body"/>
              <w:rPr>
                <w:bCs/>
                <w:sz w:val="18"/>
                <w:szCs w:val="18"/>
                <w:lang w:val="en-US"/>
              </w:rPr>
            </w:pPr>
            <w:r w:rsidRPr="00861A3F">
              <w:rPr>
                <w:bCs/>
                <w:sz w:val="18"/>
                <w:szCs w:val="18"/>
                <w:lang w:val="en-US"/>
              </w:rPr>
              <w:t xml:space="preserve">Average reactive power at the end of the line, </w:t>
            </w:r>
            <w:r w:rsidR="006610CB" w:rsidRPr="00861A3F">
              <w:rPr>
                <w:bCs/>
                <w:sz w:val="18"/>
                <w:szCs w:val="18"/>
                <w:lang w:val="en-US"/>
              </w:rPr>
              <w:t>KVar</w:t>
            </w:r>
          </w:p>
        </w:tc>
        <w:tc>
          <w:tcPr>
            <w:tcW w:w="2487" w:type="dxa"/>
          </w:tcPr>
          <w:p w14:paraId="0DD43B73" w14:textId="77777777" w:rsidR="006C75AA" w:rsidRPr="00861A3F" w:rsidRDefault="006C75AA" w:rsidP="00861A3F">
            <w:pPr>
              <w:pStyle w:val="Body"/>
              <w:rPr>
                <w:bCs/>
                <w:sz w:val="18"/>
                <w:szCs w:val="18"/>
                <w:lang w:val="en-US"/>
              </w:rPr>
            </w:pPr>
            <w:r w:rsidRPr="00861A3F">
              <w:rPr>
                <w:bCs/>
                <w:sz w:val="18"/>
                <w:szCs w:val="18"/>
                <w:lang w:val="en-US"/>
              </w:rPr>
              <w:t>147,09</w:t>
            </w:r>
          </w:p>
        </w:tc>
      </w:tr>
      <w:tr w:rsidR="006C75AA" w:rsidRPr="00861A3F" w14:paraId="021C7A73" w14:textId="77777777" w:rsidTr="00861A3F">
        <w:trPr>
          <w:jc w:val="center"/>
        </w:trPr>
        <w:tc>
          <w:tcPr>
            <w:tcW w:w="6637" w:type="dxa"/>
          </w:tcPr>
          <w:p w14:paraId="75B8DFC2" w14:textId="27CA7CBA" w:rsidR="006C75AA" w:rsidRPr="00861A3F" w:rsidRDefault="004865B9" w:rsidP="00861A3F">
            <w:pPr>
              <w:pStyle w:val="Body"/>
              <w:rPr>
                <w:bCs/>
                <w:sz w:val="18"/>
                <w:szCs w:val="18"/>
                <w:lang w:val="en-US"/>
              </w:rPr>
            </w:pPr>
            <w:r w:rsidRPr="00861A3F">
              <w:rPr>
                <w:bCs/>
                <w:sz w:val="18"/>
                <w:szCs w:val="18"/>
                <w:lang w:val="en-US"/>
              </w:rPr>
              <w:t>Average active power due to corona, MW</w:t>
            </w:r>
          </w:p>
        </w:tc>
        <w:tc>
          <w:tcPr>
            <w:tcW w:w="2487" w:type="dxa"/>
          </w:tcPr>
          <w:p w14:paraId="506D09C4" w14:textId="77777777" w:rsidR="006C75AA" w:rsidRPr="00861A3F" w:rsidRDefault="006C75AA" w:rsidP="00861A3F">
            <w:pPr>
              <w:pStyle w:val="Body"/>
              <w:rPr>
                <w:bCs/>
                <w:sz w:val="18"/>
                <w:szCs w:val="18"/>
                <w:lang w:val="en-US"/>
              </w:rPr>
            </w:pPr>
            <w:r w:rsidRPr="00861A3F">
              <w:rPr>
                <w:bCs/>
                <w:sz w:val="18"/>
                <w:szCs w:val="18"/>
                <w:lang w:val="en-US"/>
              </w:rPr>
              <w:t>14,65</w:t>
            </w:r>
          </w:p>
        </w:tc>
      </w:tr>
      <w:tr w:rsidR="006C75AA" w:rsidRPr="00861A3F" w14:paraId="6BF65715" w14:textId="77777777" w:rsidTr="00861A3F">
        <w:trPr>
          <w:jc w:val="center"/>
        </w:trPr>
        <w:tc>
          <w:tcPr>
            <w:tcW w:w="6637" w:type="dxa"/>
          </w:tcPr>
          <w:p w14:paraId="199243E1" w14:textId="5E2C6A14" w:rsidR="006C75AA" w:rsidRPr="00861A3F" w:rsidRDefault="004865B9" w:rsidP="00861A3F">
            <w:pPr>
              <w:pStyle w:val="Body"/>
              <w:rPr>
                <w:bCs/>
                <w:sz w:val="18"/>
                <w:szCs w:val="18"/>
                <w:lang w:val="en-US"/>
              </w:rPr>
            </w:pPr>
            <w:r w:rsidRPr="00861A3F">
              <w:rPr>
                <w:bCs/>
                <w:sz w:val="18"/>
                <w:szCs w:val="18"/>
                <w:lang w:val="en-US"/>
              </w:rPr>
              <w:t xml:space="preserve">Average </w:t>
            </w:r>
            <w:r w:rsidR="00404790" w:rsidRPr="00861A3F">
              <w:rPr>
                <w:bCs/>
                <w:sz w:val="18"/>
                <w:szCs w:val="18"/>
                <w:lang w:val="en-US"/>
              </w:rPr>
              <w:t>loan</w:t>
            </w:r>
            <w:r w:rsidRPr="00861A3F">
              <w:rPr>
                <w:bCs/>
                <w:sz w:val="18"/>
                <w:szCs w:val="18"/>
                <w:lang w:val="en-US"/>
              </w:rPr>
              <w:t xml:space="preserve"> losses, MW</w:t>
            </w:r>
          </w:p>
        </w:tc>
        <w:tc>
          <w:tcPr>
            <w:tcW w:w="2487" w:type="dxa"/>
          </w:tcPr>
          <w:p w14:paraId="1B42C7C3" w14:textId="77777777" w:rsidR="006C75AA" w:rsidRPr="00861A3F" w:rsidRDefault="006C75AA" w:rsidP="00861A3F">
            <w:pPr>
              <w:pStyle w:val="Body"/>
              <w:rPr>
                <w:bCs/>
                <w:sz w:val="18"/>
                <w:szCs w:val="18"/>
                <w:lang w:val="en-US"/>
              </w:rPr>
            </w:pPr>
            <w:r w:rsidRPr="00861A3F">
              <w:rPr>
                <w:bCs/>
                <w:sz w:val="18"/>
                <w:szCs w:val="18"/>
                <w:lang w:val="en-US"/>
              </w:rPr>
              <w:t>10,49</w:t>
            </w:r>
          </w:p>
        </w:tc>
      </w:tr>
      <w:tr w:rsidR="006C75AA" w:rsidRPr="00861A3F" w14:paraId="275B6E28" w14:textId="77777777" w:rsidTr="00861A3F">
        <w:trPr>
          <w:jc w:val="center"/>
        </w:trPr>
        <w:tc>
          <w:tcPr>
            <w:tcW w:w="6637" w:type="dxa"/>
          </w:tcPr>
          <w:p w14:paraId="6477B943" w14:textId="4DA1383C" w:rsidR="006C75AA" w:rsidRPr="00861A3F" w:rsidRDefault="00404790" w:rsidP="00861A3F">
            <w:pPr>
              <w:pStyle w:val="Body"/>
              <w:rPr>
                <w:bCs/>
                <w:sz w:val="18"/>
                <w:szCs w:val="18"/>
                <w:lang w:val="en-US"/>
              </w:rPr>
            </w:pPr>
            <w:r w:rsidRPr="00861A3F">
              <w:rPr>
                <w:bCs/>
                <w:sz w:val="18"/>
                <w:szCs w:val="18"/>
                <w:lang w:val="en-US"/>
              </w:rPr>
              <w:t>Total active power losses in the line, MW</w:t>
            </w:r>
          </w:p>
        </w:tc>
        <w:tc>
          <w:tcPr>
            <w:tcW w:w="2487" w:type="dxa"/>
          </w:tcPr>
          <w:p w14:paraId="600B2A1C" w14:textId="77777777" w:rsidR="006C75AA" w:rsidRPr="00861A3F" w:rsidRDefault="006C75AA" w:rsidP="00861A3F">
            <w:pPr>
              <w:pStyle w:val="Body"/>
              <w:rPr>
                <w:bCs/>
                <w:sz w:val="18"/>
                <w:szCs w:val="18"/>
                <w:lang w:val="en-US"/>
              </w:rPr>
            </w:pPr>
            <w:r w:rsidRPr="00861A3F">
              <w:rPr>
                <w:bCs/>
                <w:sz w:val="18"/>
                <w:szCs w:val="18"/>
                <w:lang w:val="en-US"/>
              </w:rPr>
              <w:t>25,14</w:t>
            </w:r>
          </w:p>
        </w:tc>
      </w:tr>
      <w:tr w:rsidR="006C75AA" w:rsidRPr="00861A3F" w14:paraId="674380A5" w14:textId="77777777" w:rsidTr="00861A3F">
        <w:trPr>
          <w:jc w:val="center"/>
        </w:trPr>
        <w:tc>
          <w:tcPr>
            <w:tcW w:w="6637" w:type="dxa"/>
          </w:tcPr>
          <w:p w14:paraId="799DC347" w14:textId="75639472" w:rsidR="006C75AA" w:rsidRPr="00861A3F" w:rsidRDefault="00404790" w:rsidP="00861A3F">
            <w:pPr>
              <w:pStyle w:val="Body"/>
              <w:rPr>
                <w:bCs/>
                <w:sz w:val="18"/>
                <w:szCs w:val="18"/>
                <w:lang w:val="en-US"/>
              </w:rPr>
            </w:pPr>
            <w:r w:rsidRPr="00861A3F">
              <w:rPr>
                <w:bCs/>
                <w:sz w:val="18"/>
                <w:szCs w:val="18"/>
                <w:lang w:val="en-US"/>
              </w:rPr>
              <w:t>Average optimal voltage at the end of the line, kV</w:t>
            </w:r>
          </w:p>
        </w:tc>
        <w:tc>
          <w:tcPr>
            <w:tcW w:w="2487" w:type="dxa"/>
          </w:tcPr>
          <w:p w14:paraId="34597753" w14:textId="77777777" w:rsidR="006C75AA" w:rsidRPr="00861A3F" w:rsidRDefault="006C75AA" w:rsidP="00861A3F">
            <w:pPr>
              <w:pStyle w:val="Body"/>
              <w:rPr>
                <w:bCs/>
                <w:sz w:val="18"/>
                <w:szCs w:val="18"/>
                <w:lang w:val="en-US"/>
              </w:rPr>
            </w:pPr>
            <w:r w:rsidRPr="00861A3F">
              <w:rPr>
                <w:bCs/>
                <w:sz w:val="18"/>
                <w:szCs w:val="18"/>
                <w:lang w:val="en-US"/>
              </w:rPr>
              <w:t>627,45</w:t>
            </w:r>
          </w:p>
        </w:tc>
      </w:tr>
      <w:tr w:rsidR="006C75AA" w:rsidRPr="00861A3F" w14:paraId="607518CD" w14:textId="77777777" w:rsidTr="00861A3F">
        <w:trPr>
          <w:jc w:val="center"/>
        </w:trPr>
        <w:tc>
          <w:tcPr>
            <w:tcW w:w="6637" w:type="dxa"/>
          </w:tcPr>
          <w:p w14:paraId="23AB1D73" w14:textId="3B241437" w:rsidR="006C75AA" w:rsidRPr="00861A3F" w:rsidRDefault="006F3484" w:rsidP="00861A3F">
            <w:pPr>
              <w:pStyle w:val="Body"/>
              <w:rPr>
                <w:bCs/>
                <w:sz w:val="18"/>
                <w:szCs w:val="18"/>
                <w:lang w:val="en-US"/>
              </w:rPr>
            </w:pPr>
            <w:r w:rsidRPr="00861A3F">
              <w:rPr>
                <w:bCs/>
                <w:sz w:val="18"/>
                <w:szCs w:val="18"/>
                <w:lang w:val="en-US"/>
              </w:rPr>
              <w:t>Total voltage losses in the line, kV</w:t>
            </w:r>
          </w:p>
        </w:tc>
        <w:tc>
          <w:tcPr>
            <w:tcW w:w="2487" w:type="dxa"/>
          </w:tcPr>
          <w:p w14:paraId="769580A4" w14:textId="77777777" w:rsidR="006C75AA" w:rsidRPr="00861A3F" w:rsidRDefault="006C75AA" w:rsidP="00861A3F">
            <w:pPr>
              <w:pStyle w:val="Body"/>
              <w:rPr>
                <w:bCs/>
                <w:sz w:val="18"/>
                <w:szCs w:val="18"/>
                <w:lang w:val="en-US"/>
              </w:rPr>
            </w:pPr>
            <w:r w:rsidRPr="00861A3F">
              <w:rPr>
                <w:bCs/>
                <w:sz w:val="18"/>
                <w:szCs w:val="18"/>
                <w:lang w:val="en-US"/>
              </w:rPr>
              <w:t>21,60</w:t>
            </w:r>
          </w:p>
        </w:tc>
      </w:tr>
      <w:tr w:rsidR="006C75AA" w:rsidRPr="00861A3F" w14:paraId="3ABBDC18" w14:textId="77777777" w:rsidTr="00861A3F">
        <w:trPr>
          <w:jc w:val="center"/>
        </w:trPr>
        <w:tc>
          <w:tcPr>
            <w:tcW w:w="6637" w:type="dxa"/>
          </w:tcPr>
          <w:p w14:paraId="074548AB" w14:textId="0B523BAB" w:rsidR="006C75AA" w:rsidRPr="00861A3F" w:rsidRDefault="003F5754" w:rsidP="00861A3F">
            <w:pPr>
              <w:pStyle w:val="Body"/>
              <w:rPr>
                <w:bCs/>
                <w:sz w:val="18"/>
                <w:szCs w:val="18"/>
                <w:lang w:val="en-US"/>
              </w:rPr>
            </w:pPr>
            <w:r w:rsidRPr="00861A3F">
              <w:rPr>
                <w:bCs/>
                <w:sz w:val="18"/>
                <w:szCs w:val="18"/>
                <w:lang w:val="en-US"/>
              </w:rPr>
              <w:t>Total power drop in the line, MW</w:t>
            </w:r>
          </w:p>
        </w:tc>
        <w:tc>
          <w:tcPr>
            <w:tcW w:w="2487" w:type="dxa"/>
          </w:tcPr>
          <w:p w14:paraId="08017395" w14:textId="77777777" w:rsidR="006C75AA" w:rsidRPr="00861A3F" w:rsidRDefault="006C75AA" w:rsidP="00861A3F">
            <w:pPr>
              <w:pStyle w:val="Body"/>
              <w:rPr>
                <w:bCs/>
                <w:sz w:val="18"/>
                <w:szCs w:val="18"/>
                <w:lang w:val="en-US"/>
              </w:rPr>
            </w:pPr>
            <w:r w:rsidRPr="00861A3F">
              <w:rPr>
                <w:bCs/>
                <w:sz w:val="18"/>
                <w:szCs w:val="18"/>
                <w:lang w:val="en-US"/>
              </w:rPr>
              <w:t>3,54</w:t>
            </w:r>
          </w:p>
        </w:tc>
      </w:tr>
    </w:tbl>
    <w:p w14:paraId="48281C8C" w14:textId="77777777" w:rsidR="00A87BCE" w:rsidRPr="00861A3F" w:rsidRDefault="00A87BCE" w:rsidP="00861A3F">
      <w:pPr>
        <w:widowControl w:val="0"/>
        <w:spacing w:after="0" w:line="240" w:lineRule="auto"/>
        <w:jc w:val="both"/>
        <w:rPr>
          <w:rFonts w:ascii="Times New Roman" w:hAnsi="Times New Roman" w:cs="Times New Roman"/>
          <w:sz w:val="20"/>
          <w:szCs w:val="20"/>
        </w:rPr>
      </w:pPr>
    </w:p>
    <w:p w14:paraId="71F7060B" w14:textId="468D71B4" w:rsidR="00A87BCE" w:rsidRPr="00861A3F" w:rsidRDefault="00346525" w:rsidP="00861A3F">
      <w:pPr>
        <w:widowControl w:val="0"/>
        <w:spacing w:after="0" w:line="240" w:lineRule="auto"/>
        <w:ind w:firstLine="567"/>
        <w:jc w:val="both"/>
        <w:rPr>
          <w:rFonts w:ascii="Times New Roman" w:hAnsi="Times New Roman" w:cs="Times New Roman"/>
          <w:sz w:val="20"/>
          <w:szCs w:val="20"/>
        </w:rPr>
      </w:pPr>
      <w:r w:rsidRPr="00861A3F">
        <w:rPr>
          <w:rFonts w:ascii="Times New Roman" w:hAnsi="Times New Roman" w:cs="Times New Roman"/>
          <w:sz w:val="20"/>
          <w:szCs w:val="20"/>
        </w:rPr>
        <w:t xml:space="preserve">The assessment of instantaneous, daily average, and annual average electrical energy losses in high-voltage overhead transmission lines, as well as the calculation of power losses due to corona, allows for the development of technologies to integrate these results into systems designed to analyze and optimize the stable operating modes of power networks. </w:t>
      </w:r>
    </w:p>
    <w:p w14:paraId="51D8FA98" w14:textId="5FB95C07" w:rsidR="007D79DC" w:rsidRPr="00861A3F"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861A3F">
        <w:rPr>
          <w:rFonts w:ascii="Times New Roman" w:hAnsi="Times New Roman" w:cs="Times New Roman"/>
          <w:b/>
          <w:sz w:val="24"/>
          <w:szCs w:val="24"/>
        </w:rPr>
        <w:t>CONCLUSIONS</w:t>
      </w:r>
    </w:p>
    <w:p w14:paraId="438A69A4" w14:textId="2609AF47" w:rsidR="009903C5" w:rsidRPr="00861A3F" w:rsidRDefault="009903C5" w:rsidP="00861A3F">
      <w:pPr>
        <w:tabs>
          <w:tab w:val="left" w:pos="567"/>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861A3F">
        <w:rPr>
          <w:rFonts w:ascii="Times New Roman" w:hAnsi="Times New Roman" w:cs="Times New Roman"/>
          <w:sz w:val="20"/>
        </w:rPr>
        <w:t>In conclusion, the measurement results demonstrate the possibility of determining the components of electrical energy losses in real time (load losses, corona losses, and power losses). This enables the optimization of operating modes in high-voltage overhead lines to reduce losses and achieve significant energy savings. Moreover, it has been proven that optimization of the system operation based on voltage levels cannot be performed without taking into account the current corona power losses. The results of the study can be summarized as follows:</w:t>
      </w:r>
    </w:p>
    <w:p w14:paraId="0A1877AD" w14:textId="60796715" w:rsidR="00040E7E" w:rsidRPr="00861A3F" w:rsidRDefault="00040E7E" w:rsidP="00861A3F">
      <w:pPr>
        <w:pStyle w:val="a4"/>
        <w:numPr>
          <w:ilvl w:val="0"/>
          <w:numId w:val="6"/>
        </w:numPr>
        <w:tabs>
          <w:tab w:val="left" w:pos="567"/>
        </w:tabs>
        <w:spacing w:after="0" w:line="240" w:lineRule="auto"/>
        <w:ind w:left="0" w:firstLine="284"/>
        <w:jc w:val="both"/>
        <w:rPr>
          <w:rFonts w:ascii="Times New Roman" w:hAnsi="Times New Roman" w:cs="Times New Roman"/>
          <w:sz w:val="20"/>
        </w:rPr>
      </w:pPr>
      <w:r w:rsidRPr="00861A3F">
        <w:rPr>
          <w:rFonts w:ascii="Times New Roman" w:hAnsi="Times New Roman" w:cs="Times New Roman"/>
          <w:sz w:val="20"/>
        </w:rPr>
        <w:t>The algorithm for calculating instantaneous losses during the corona process, when applied in the long-distance integrated computational software complex, is not sensitive to corona losses under high humidity conditions. Therefore, it is proposed to introduce corrections into the software algorithm to account for the above-mentioned losses.</w:t>
      </w:r>
    </w:p>
    <w:p w14:paraId="67B3DEB1" w14:textId="18E5D00F" w:rsidR="00040E7E" w:rsidRPr="00861A3F" w:rsidRDefault="00040E7E" w:rsidP="00861A3F">
      <w:pPr>
        <w:pStyle w:val="a4"/>
        <w:numPr>
          <w:ilvl w:val="0"/>
          <w:numId w:val="6"/>
        </w:numPr>
        <w:tabs>
          <w:tab w:val="left" w:pos="567"/>
        </w:tabs>
        <w:spacing w:after="0" w:line="240" w:lineRule="auto"/>
        <w:ind w:left="0" w:firstLine="284"/>
        <w:jc w:val="both"/>
        <w:rPr>
          <w:rFonts w:ascii="Times New Roman" w:hAnsi="Times New Roman" w:cs="Times New Roman"/>
          <w:sz w:val="20"/>
        </w:rPr>
      </w:pPr>
      <w:r w:rsidRPr="00861A3F">
        <w:rPr>
          <w:rFonts w:ascii="Times New Roman" w:hAnsi="Times New Roman" w:cs="Times New Roman"/>
          <w:sz w:val="20"/>
        </w:rPr>
        <w:t>Analysis of errors in determining corona losses through the algorithms of the long-distance integrated computational software complex demonstrated the advisability of applying a more accurate formula that considers the wave characteristics of overhead lines when calculating load losses in conductors of long transmission lines.</w:t>
      </w:r>
    </w:p>
    <w:p w14:paraId="7A732B00" w14:textId="581CABD5" w:rsidR="00040E7E" w:rsidRPr="00861A3F" w:rsidRDefault="00040E7E" w:rsidP="00861A3F">
      <w:pPr>
        <w:pStyle w:val="a4"/>
        <w:numPr>
          <w:ilvl w:val="0"/>
          <w:numId w:val="6"/>
        </w:numPr>
        <w:tabs>
          <w:tab w:val="left" w:pos="567"/>
        </w:tabs>
        <w:spacing w:after="0" w:line="240" w:lineRule="auto"/>
        <w:ind w:left="0" w:firstLine="284"/>
        <w:jc w:val="both"/>
        <w:rPr>
          <w:rFonts w:ascii="Times New Roman" w:hAnsi="Times New Roman" w:cs="Times New Roman"/>
          <w:sz w:val="20"/>
        </w:rPr>
      </w:pPr>
      <w:r w:rsidRPr="00861A3F">
        <w:rPr>
          <w:rFonts w:ascii="Times New Roman" w:hAnsi="Times New Roman" w:cs="Times New Roman"/>
          <w:sz w:val="20"/>
        </w:rPr>
        <w:lastRenderedPageBreak/>
        <w:t>To account for the effect of voltage fluctuations on corona power losses in transmission lines longer than 250 km under fair weather conditions, the software algorithm was updated with a correction coefficient dependent on active and reactive power.</w:t>
      </w:r>
    </w:p>
    <w:p w14:paraId="2F45A51F" w14:textId="449DA8B2" w:rsidR="00040E7E" w:rsidRPr="00861A3F" w:rsidRDefault="00040E7E" w:rsidP="00861A3F">
      <w:pPr>
        <w:pStyle w:val="a4"/>
        <w:numPr>
          <w:ilvl w:val="0"/>
          <w:numId w:val="6"/>
        </w:numPr>
        <w:tabs>
          <w:tab w:val="left" w:pos="567"/>
        </w:tabs>
        <w:spacing w:after="0" w:line="240" w:lineRule="auto"/>
        <w:ind w:left="0" w:firstLine="284"/>
        <w:jc w:val="both"/>
        <w:rPr>
          <w:rFonts w:ascii="Times New Roman" w:hAnsi="Times New Roman" w:cs="Times New Roman"/>
          <w:sz w:val="20"/>
        </w:rPr>
      </w:pPr>
      <w:r w:rsidRPr="00861A3F">
        <w:rPr>
          <w:rFonts w:ascii="Times New Roman" w:hAnsi="Times New Roman" w:cs="Times New Roman"/>
          <w:sz w:val="20"/>
        </w:rPr>
        <w:t>Calculation results for 500 kV high-voltage overhead transmission lines showed that the largest error in determining load losses arises from inaccuracies in measuring conductor temperature. The proportion of this error relative to the total loan losses is 4%.</w:t>
      </w:r>
    </w:p>
    <w:p w14:paraId="1DDC7559" w14:textId="63F59134" w:rsidR="00040E7E" w:rsidRPr="00861A3F" w:rsidRDefault="00040E7E" w:rsidP="00861A3F">
      <w:pPr>
        <w:pStyle w:val="a4"/>
        <w:numPr>
          <w:ilvl w:val="0"/>
          <w:numId w:val="6"/>
        </w:numPr>
        <w:tabs>
          <w:tab w:val="left" w:pos="567"/>
        </w:tabs>
        <w:spacing w:after="0" w:line="240" w:lineRule="auto"/>
        <w:ind w:left="0" w:firstLine="284"/>
        <w:jc w:val="both"/>
        <w:rPr>
          <w:rFonts w:ascii="Times New Roman" w:hAnsi="Times New Roman" w:cs="Times New Roman"/>
          <w:sz w:val="20"/>
        </w:rPr>
      </w:pPr>
      <w:r w:rsidRPr="00861A3F">
        <w:rPr>
          <w:rFonts w:ascii="Times New Roman" w:hAnsi="Times New Roman" w:cs="Times New Roman"/>
          <w:sz w:val="20"/>
        </w:rPr>
        <w:t>The results indicate that in a 500 kV substation network, replacing fixed shunt reactors with controllable shunt reactors can increase the effectiveness of operational mode optimization by an average of 10%.</w:t>
      </w:r>
    </w:p>
    <w:p w14:paraId="25E4732E" w14:textId="19F86FD7" w:rsidR="00F53273" w:rsidRPr="00861A3F" w:rsidRDefault="00F53273" w:rsidP="008F5C21">
      <w:pPr>
        <w:spacing w:after="0" w:line="240" w:lineRule="auto"/>
        <w:ind w:firstLine="284"/>
        <w:jc w:val="both"/>
        <w:rPr>
          <w:rFonts w:ascii="Times New Roman" w:hAnsi="Times New Roman" w:cs="Times New Roman"/>
          <w:sz w:val="20"/>
        </w:rPr>
      </w:pPr>
    </w:p>
    <w:p w14:paraId="5FF2BC5A" w14:textId="585DE9F0" w:rsidR="00F84944" w:rsidRPr="00861A3F" w:rsidRDefault="00CA398A" w:rsidP="00040E7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861A3F">
        <w:rPr>
          <w:rFonts w:ascii="Times New Roman" w:hAnsi="Times New Roman" w:cs="Times New Roman"/>
          <w:b/>
          <w:sz w:val="24"/>
          <w:szCs w:val="24"/>
        </w:rPr>
        <w:t>REFERENCES</w:t>
      </w:r>
    </w:p>
    <w:p w14:paraId="384EAD9A" w14:textId="77777777" w:rsidR="000838AB" w:rsidRPr="00861A3F" w:rsidRDefault="000838AB" w:rsidP="00861A3F">
      <w:pPr>
        <w:pStyle w:val="Reference"/>
        <w:numPr>
          <w:ilvl w:val="0"/>
          <w:numId w:val="8"/>
        </w:numPr>
        <w:tabs>
          <w:tab w:val="left" w:pos="142"/>
          <w:tab w:val="left" w:pos="284"/>
        </w:tabs>
        <w:spacing w:before="0" w:beforeAutospacing="0" w:after="0" w:afterAutospacing="0"/>
        <w:ind w:left="0" w:firstLine="0"/>
        <w:rPr>
          <w:sz w:val="20"/>
          <w:lang w:val="en-US"/>
        </w:rPr>
      </w:pPr>
      <w:proofErr w:type="spellStart"/>
      <w:proofErr w:type="gramStart"/>
      <w:r w:rsidRPr="00861A3F">
        <w:rPr>
          <w:sz w:val="20"/>
          <w:lang w:val="en-US"/>
        </w:rPr>
        <w:t>A.Tovboyev</w:t>
      </w:r>
      <w:proofErr w:type="spellEnd"/>
      <w:proofErr w:type="gramEnd"/>
      <w:r w:rsidRPr="00861A3F">
        <w:rPr>
          <w:sz w:val="20"/>
          <w:lang w:val="en-US"/>
        </w:rPr>
        <w:t xml:space="preserve">, </w:t>
      </w:r>
      <w:proofErr w:type="spellStart"/>
      <w:proofErr w:type="gramStart"/>
      <w:r w:rsidRPr="00861A3F">
        <w:rPr>
          <w:sz w:val="20"/>
          <w:lang w:val="en-US"/>
        </w:rPr>
        <w:t>I.Togayev</w:t>
      </w:r>
      <w:proofErr w:type="spellEnd"/>
      <w:proofErr w:type="gramEnd"/>
      <w:r w:rsidRPr="00861A3F">
        <w:rPr>
          <w:sz w:val="20"/>
          <w:lang w:val="en-US"/>
        </w:rPr>
        <w:t xml:space="preserve">, </w:t>
      </w:r>
      <w:proofErr w:type="spellStart"/>
      <w:proofErr w:type="gramStart"/>
      <w:r w:rsidRPr="00861A3F">
        <w:rPr>
          <w:sz w:val="20"/>
          <w:lang w:val="en-US"/>
        </w:rPr>
        <w:t>I.Uzoqov</w:t>
      </w:r>
      <w:proofErr w:type="spellEnd"/>
      <w:proofErr w:type="gramEnd"/>
      <w:r w:rsidRPr="00861A3F">
        <w:rPr>
          <w:sz w:val="20"/>
          <w:lang w:val="en-US"/>
        </w:rPr>
        <w:t xml:space="preserve">, G. Nodirov, E3S Web of Conferences, </w:t>
      </w:r>
      <w:r w:rsidRPr="00861A3F">
        <w:rPr>
          <w:b/>
          <w:sz w:val="20"/>
          <w:lang w:val="en-US"/>
        </w:rPr>
        <w:t>414,</w:t>
      </w:r>
      <w:r w:rsidRPr="00861A3F">
        <w:rPr>
          <w:sz w:val="20"/>
          <w:lang w:val="en-US"/>
        </w:rPr>
        <w:t xml:space="preserve"> 03001 (2023) </w:t>
      </w:r>
      <w:hyperlink r:id="rId19" w:history="1">
        <w:r w:rsidRPr="00861A3F">
          <w:rPr>
            <w:rStyle w:val="15"/>
            <w:rFonts w:ascii="Times New Roman" w:hAnsi="Times New Roman" w:cs="Times New Roman"/>
            <w:sz w:val="20"/>
            <w:lang w:val="en-US"/>
          </w:rPr>
          <w:t>https://doi.org/10.1051/e3sconf/202341703001</w:t>
        </w:r>
      </w:hyperlink>
      <w:r w:rsidRPr="00861A3F">
        <w:rPr>
          <w:sz w:val="20"/>
          <w:lang w:val="en-US"/>
        </w:rPr>
        <w:t xml:space="preserve"> </w:t>
      </w:r>
    </w:p>
    <w:p w14:paraId="3D66B434" w14:textId="77777777" w:rsidR="000838AB" w:rsidRPr="00861A3F" w:rsidRDefault="000838AB" w:rsidP="00861A3F">
      <w:pPr>
        <w:pStyle w:val="Reference"/>
        <w:numPr>
          <w:ilvl w:val="0"/>
          <w:numId w:val="8"/>
        </w:numPr>
        <w:tabs>
          <w:tab w:val="left" w:pos="142"/>
          <w:tab w:val="left" w:pos="284"/>
        </w:tabs>
        <w:spacing w:before="0" w:beforeAutospacing="0" w:after="0" w:afterAutospacing="0"/>
        <w:ind w:left="0" w:firstLine="0"/>
        <w:rPr>
          <w:sz w:val="20"/>
          <w:lang w:val="en-US"/>
        </w:rPr>
      </w:pPr>
      <w:proofErr w:type="spellStart"/>
      <w:r w:rsidRPr="00861A3F">
        <w:rPr>
          <w:sz w:val="20"/>
          <w:lang w:val="en-US"/>
        </w:rPr>
        <w:t>I.Togayev</w:t>
      </w:r>
      <w:proofErr w:type="spellEnd"/>
      <w:r w:rsidRPr="00861A3F">
        <w:rPr>
          <w:sz w:val="20"/>
          <w:lang w:val="en-US"/>
        </w:rPr>
        <w:t xml:space="preserve">, </w:t>
      </w:r>
      <w:proofErr w:type="spellStart"/>
      <w:proofErr w:type="gramStart"/>
      <w:r w:rsidRPr="00861A3F">
        <w:rPr>
          <w:sz w:val="20"/>
          <w:lang w:val="en-US"/>
        </w:rPr>
        <w:t>A.Tovbaev</w:t>
      </w:r>
      <w:proofErr w:type="spellEnd"/>
      <w:proofErr w:type="gramEnd"/>
      <w:r w:rsidRPr="00861A3F">
        <w:rPr>
          <w:sz w:val="20"/>
          <w:lang w:val="en-US"/>
        </w:rPr>
        <w:t xml:space="preserve">, G. Nodirov, E3S Web of Conferences, </w:t>
      </w:r>
      <w:r w:rsidRPr="00861A3F">
        <w:rPr>
          <w:b/>
          <w:sz w:val="20"/>
          <w:lang w:val="en-US"/>
        </w:rPr>
        <w:t>525,</w:t>
      </w:r>
      <w:r w:rsidRPr="00861A3F">
        <w:rPr>
          <w:sz w:val="20"/>
          <w:lang w:val="en-US"/>
        </w:rPr>
        <w:t xml:space="preserve"> 03004 (2024) </w:t>
      </w:r>
      <w:hyperlink r:id="rId20" w:history="1">
        <w:r w:rsidRPr="00861A3F">
          <w:rPr>
            <w:rStyle w:val="15"/>
            <w:rFonts w:ascii="Times New Roman" w:hAnsi="Times New Roman" w:cs="Times New Roman"/>
            <w:sz w:val="20"/>
            <w:lang w:val="en-US"/>
          </w:rPr>
          <w:t>https://doi.org/10.1051/e3sconf/202452503004</w:t>
        </w:r>
      </w:hyperlink>
      <w:r w:rsidRPr="00861A3F">
        <w:rPr>
          <w:sz w:val="20"/>
          <w:lang w:val="en-US"/>
        </w:rPr>
        <w:t xml:space="preserve"> </w:t>
      </w:r>
    </w:p>
    <w:p w14:paraId="281BFEC4" w14:textId="77777777" w:rsidR="000838AB" w:rsidRPr="00861A3F" w:rsidRDefault="000838AB" w:rsidP="00861A3F">
      <w:pPr>
        <w:pStyle w:val="Reference"/>
        <w:numPr>
          <w:ilvl w:val="0"/>
          <w:numId w:val="8"/>
        </w:numPr>
        <w:tabs>
          <w:tab w:val="left" w:pos="142"/>
          <w:tab w:val="left" w:pos="284"/>
        </w:tabs>
        <w:spacing w:before="0" w:beforeAutospacing="0" w:after="0" w:afterAutospacing="0"/>
        <w:ind w:left="0" w:firstLine="0"/>
        <w:rPr>
          <w:sz w:val="20"/>
          <w:lang w:val="en-US"/>
        </w:rPr>
      </w:pPr>
      <w:proofErr w:type="spellStart"/>
      <w:proofErr w:type="gramStart"/>
      <w:r w:rsidRPr="00861A3F">
        <w:rPr>
          <w:sz w:val="20"/>
          <w:lang w:val="en-US"/>
        </w:rPr>
        <w:t>G.Boynazarov</w:t>
      </w:r>
      <w:proofErr w:type="spellEnd"/>
      <w:proofErr w:type="gramEnd"/>
      <w:r w:rsidRPr="00861A3F">
        <w:rPr>
          <w:sz w:val="20"/>
          <w:lang w:val="en-US"/>
        </w:rPr>
        <w:t xml:space="preserve">, A. Tovbaev, U. Usarov, E3S Web of Conferences </w:t>
      </w:r>
      <w:r w:rsidRPr="00861A3F">
        <w:rPr>
          <w:b/>
          <w:sz w:val="20"/>
          <w:lang w:val="en-US"/>
        </w:rPr>
        <w:t xml:space="preserve">548, </w:t>
      </w:r>
      <w:r w:rsidRPr="00861A3F">
        <w:rPr>
          <w:sz w:val="20"/>
          <w:lang w:val="en-US"/>
        </w:rPr>
        <w:t xml:space="preserve">03009 (2024) </w:t>
      </w:r>
      <w:hyperlink r:id="rId21" w:history="1">
        <w:r w:rsidRPr="00861A3F">
          <w:rPr>
            <w:rStyle w:val="15"/>
            <w:rFonts w:ascii="Times New Roman" w:hAnsi="Times New Roman" w:cs="Times New Roman"/>
            <w:sz w:val="20"/>
            <w:lang w:val="en-US"/>
          </w:rPr>
          <w:t>https://doi.org/10.1051/e3sconf/202454803009</w:t>
        </w:r>
      </w:hyperlink>
      <w:r w:rsidRPr="00861A3F">
        <w:rPr>
          <w:sz w:val="20"/>
          <w:lang w:val="en-US"/>
        </w:rPr>
        <w:t xml:space="preserve"> </w:t>
      </w:r>
    </w:p>
    <w:p w14:paraId="550970CE" w14:textId="77777777" w:rsidR="000838AB" w:rsidRPr="00861A3F" w:rsidRDefault="000838AB" w:rsidP="00861A3F">
      <w:pPr>
        <w:pStyle w:val="Reference"/>
        <w:numPr>
          <w:ilvl w:val="0"/>
          <w:numId w:val="8"/>
        </w:numPr>
        <w:tabs>
          <w:tab w:val="left" w:pos="142"/>
          <w:tab w:val="left" w:pos="284"/>
        </w:tabs>
        <w:spacing w:before="0" w:beforeAutospacing="0" w:after="0" w:afterAutospacing="0"/>
        <w:ind w:left="0" w:firstLine="0"/>
        <w:rPr>
          <w:sz w:val="20"/>
          <w:lang w:val="en-US"/>
        </w:rPr>
      </w:pPr>
      <w:proofErr w:type="spellStart"/>
      <w:proofErr w:type="gramStart"/>
      <w:r w:rsidRPr="00861A3F">
        <w:rPr>
          <w:sz w:val="20"/>
          <w:lang w:val="en-US"/>
        </w:rPr>
        <w:t>O.Jumaev</w:t>
      </w:r>
      <w:proofErr w:type="spellEnd"/>
      <w:proofErr w:type="gramEnd"/>
      <w:r w:rsidRPr="00861A3F">
        <w:rPr>
          <w:sz w:val="20"/>
          <w:lang w:val="en-US"/>
        </w:rPr>
        <w:t xml:space="preserve">, M. Ismoilov, E3S Web of Conferences, </w:t>
      </w:r>
      <w:r w:rsidRPr="00861A3F">
        <w:rPr>
          <w:b/>
          <w:sz w:val="20"/>
          <w:lang w:val="en-US"/>
        </w:rPr>
        <w:t>414,</w:t>
      </w:r>
      <w:r w:rsidRPr="00861A3F">
        <w:rPr>
          <w:sz w:val="20"/>
          <w:lang w:val="en-US"/>
        </w:rPr>
        <w:t xml:space="preserve"> 05008 (2023) </w:t>
      </w:r>
      <w:hyperlink r:id="rId22" w:history="1">
        <w:r w:rsidRPr="00861A3F">
          <w:rPr>
            <w:rStyle w:val="15"/>
            <w:rFonts w:ascii="Times New Roman" w:hAnsi="Times New Roman" w:cs="Times New Roman"/>
            <w:sz w:val="20"/>
            <w:lang w:val="en-US"/>
          </w:rPr>
          <w:t>https://doi.org/10.1051/e3sconf/202452505012</w:t>
        </w:r>
      </w:hyperlink>
      <w:r w:rsidRPr="00861A3F">
        <w:rPr>
          <w:sz w:val="20"/>
          <w:lang w:val="en-US"/>
        </w:rPr>
        <w:t xml:space="preserve"> </w:t>
      </w:r>
    </w:p>
    <w:p w14:paraId="6639733D" w14:textId="77777777" w:rsidR="000838AB" w:rsidRPr="00861A3F" w:rsidRDefault="000838AB" w:rsidP="00861A3F">
      <w:pPr>
        <w:pStyle w:val="Reference"/>
        <w:numPr>
          <w:ilvl w:val="0"/>
          <w:numId w:val="8"/>
        </w:numPr>
        <w:tabs>
          <w:tab w:val="left" w:pos="142"/>
          <w:tab w:val="left" w:pos="284"/>
        </w:tabs>
        <w:spacing w:before="0" w:beforeAutospacing="0" w:after="0" w:afterAutospacing="0"/>
        <w:ind w:left="0" w:firstLine="0"/>
        <w:rPr>
          <w:sz w:val="20"/>
          <w:lang w:val="en-US"/>
        </w:rPr>
      </w:pPr>
      <w:r w:rsidRPr="00861A3F">
        <w:rPr>
          <w:sz w:val="20"/>
          <w:lang w:val="en-US"/>
        </w:rPr>
        <w:t xml:space="preserve">Y. Kadirov, O. </w:t>
      </w:r>
      <w:proofErr w:type="spellStart"/>
      <w:r w:rsidRPr="00861A3F">
        <w:rPr>
          <w:sz w:val="20"/>
          <w:lang w:val="en-US"/>
        </w:rPr>
        <w:t>Boeva</w:t>
      </w:r>
      <w:proofErr w:type="spellEnd"/>
      <w:r w:rsidRPr="00861A3F">
        <w:rPr>
          <w:sz w:val="20"/>
          <w:lang w:val="en-US"/>
        </w:rPr>
        <w:t xml:space="preserve">, A. Rasulov, A. Abrorov, Journal of Physics: Conference Series, </w:t>
      </w:r>
      <w:r w:rsidRPr="00861A3F">
        <w:rPr>
          <w:b/>
          <w:bCs/>
          <w:sz w:val="20"/>
          <w:lang w:val="en-US"/>
        </w:rPr>
        <w:t>2697(1)</w:t>
      </w:r>
      <w:r w:rsidRPr="00861A3F">
        <w:rPr>
          <w:sz w:val="20"/>
          <w:lang w:val="en-US"/>
        </w:rPr>
        <w:t xml:space="preserve">, 012040 (2024) </w:t>
      </w:r>
      <w:r w:rsidRPr="00861A3F">
        <w:rPr>
          <w:rStyle w:val="16"/>
          <w:rFonts w:ascii="Times New Roman" w:hAnsi="Times New Roman" w:cs="Times New Roman"/>
          <w:color w:val="0070C0"/>
          <w:sz w:val="20"/>
          <w:lang w:val="en-US"/>
        </w:rPr>
        <w:t>DOI</w:t>
      </w:r>
      <w:r w:rsidRPr="00861A3F">
        <w:rPr>
          <w:color w:val="0070C0"/>
          <w:sz w:val="20"/>
          <w:lang w:val="en-US"/>
        </w:rPr>
        <w:t xml:space="preserve"> 10.1088/1742-6596/2697/1/012040   </w:t>
      </w:r>
    </w:p>
    <w:p w14:paraId="4506D449" w14:textId="77777777" w:rsidR="000838AB" w:rsidRPr="00861A3F" w:rsidRDefault="000838AB" w:rsidP="00861A3F">
      <w:pPr>
        <w:pStyle w:val="Reference"/>
        <w:numPr>
          <w:ilvl w:val="0"/>
          <w:numId w:val="8"/>
        </w:numPr>
        <w:tabs>
          <w:tab w:val="left" w:pos="142"/>
          <w:tab w:val="left" w:pos="284"/>
        </w:tabs>
        <w:spacing w:before="0" w:beforeAutospacing="0" w:after="0" w:afterAutospacing="0"/>
        <w:ind w:left="0" w:firstLine="0"/>
        <w:rPr>
          <w:sz w:val="20"/>
          <w:lang w:val="en-US"/>
        </w:rPr>
      </w:pPr>
      <w:proofErr w:type="spellStart"/>
      <w:proofErr w:type="gramStart"/>
      <w:r w:rsidRPr="00861A3F">
        <w:rPr>
          <w:sz w:val="20"/>
          <w:lang w:val="en-US"/>
        </w:rPr>
        <w:t>O.Jumaev</w:t>
      </w:r>
      <w:proofErr w:type="spellEnd"/>
      <w:proofErr w:type="gramEnd"/>
      <w:r w:rsidRPr="00861A3F">
        <w:rPr>
          <w:sz w:val="20"/>
          <w:lang w:val="en-US"/>
        </w:rPr>
        <w:t xml:space="preserve">, </w:t>
      </w:r>
      <w:proofErr w:type="spellStart"/>
      <w:proofErr w:type="gramStart"/>
      <w:r w:rsidRPr="00861A3F">
        <w:rPr>
          <w:sz w:val="20"/>
          <w:lang w:val="en-US"/>
        </w:rPr>
        <w:t>M.Ismoilov</w:t>
      </w:r>
      <w:proofErr w:type="spellEnd"/>
      <w:proofErr w:type="gramEnd"/>
      <w:r w:rsidRPr="00861A3F">
        <w:rPr>
          <w:sz w:val="20"/>
          <w:lang w:val="en-US"/>
        </w:rPr>
        <w:t xml:space="preserve">, E3S Web of Conferences, </w:t>
      </w:r>
      <w:r w:rsidRPr="00861A3F">
        <w:rPr>
          <w:b/>
          <w:sz w:val="20"/>
          <w:lang w:val="en-US"/>
        </w:rPr>
        <w:t>414,</w:t>
      </w:r>
      <w:r w:rsidRPr="00861A3F">
        <w:rPr>
          <w:sz w:val="20"/>
          <w:lang w:val="en-US"/>
        </w:rPr>
        <w:t xml:space="preserve"> 05008 (2023) </w:t>
      </w:r>
      <w:hyperlink r:id="rId23" w:history="1">
        <w:r w:rsidRPr="00861A3F">
          <w:rPr>
            <w:rStyle w:val="15"/>
            <w:rFonts w:ascii="Times New Roman" w:hAnsi="Times New Roman" w:cs="Times New Roman"/>
            <w:sz w:val="20"/>
            <w:lang w:val="en-US"/>
          </w:rPr>
          <w:t>https://doi.org/10.1051/e3sconf/202454102009</w:t>
        </w:r>
      </w:hyperlink>
      <w:r w:rsidRPr="00861A3F">
        <w:rPr>
          <w:sz w:val="20"/>
          <w:lang w:val="en-US"/>
        </w:rPr>
        <w:t xml:space="preserve"> </w:t>
      </w:r>
    </w:p>
    <w:p w14:paraId="320AC84A" w14:textId="77777777" w:rsidR="000838AB" w:rsidRPr="00861A3F" w:rsidRDefault="000838AB" w:rsidP="00861A3F">
      <w:pPr>
        <w:pStyle w:val="Reference"/>
        <w:numPr>
          <w:ilvl w:val="0"/>
          <w:numId w:val="8"/>
        </w:numPr>
        <w:tabs>
          <w:tab w:val="left" w:pos="142"/>
          <w:tab w:val="left" w:pos="284"/>
        </w:tabs>
        <w:spacing w:before="0" w:beforeAutospacing="0" w:after="0" w:afterAutospacing="0"/>
        <w:ind w:left="0" w:firstLine="0"/>
        <w:rPr>
          <w:sz w:val="20"/>
          <w:lang w:val="en-US"/>
        </w:rPr>
      </w:pPr>
      <w:r w:rsidRPr="00861A3F">
        <w:rPr>
          <w:sz w:val="20"/>
          <w:lang w:val="en-US"/>
        </w:rPr>
        <w:t xml:space="preserve">D. Mukhitdinov, Y. Kadirov, S. Boybutayev, O. </w:t>
      </w:r>
      <w:proofErr w:type="spellStart"/>
      <w:r w:rsidRPr="00861A3F">
        <w:rPr>
          <w:sz w:val="20"/>
          <w:lang w:val="en-US"/>
        </w:rPr>
        <w:t>Boeva</w:t>
      </w:r>
      <w:proofErr w:type="spellEnd"/>
      <w:r w:rsidRPr="00861A3F">
        <w:rPr>
          <w:sz w:val="20"/>
          <w:lang w:val="en-US"/>
        </w:rPr>
        <w:t xml:space="preserve">, U. </w:t>
      </w:r>
      <w:proofErr w:type="spellStart"/>
      <w:r w:rsidRPr="00861A3F">
        <w:rPr>
          <w:sz w:val="20"/>
          <w:lang w:val="en-US"/>
        </w:rPr>
        <w:t>Babakhonova</w:t>
      </w:r>
      <w:proofErr w:type="spellEnd"/>
      <w:r w:rsidRPr="00861A3F">
        <w:rPr>
          <w:sz w:val="20"/>
          <w:lang w:val="en-US"/>
        </w:rPr>
        <w:t xml:space="preserve">, Journal of Physics: Conference Series, 2697(1), 012041 (2024) </w:t>
      </w:r>
      <w:hyperlink r:id="rId24" w:history="1">
        <w:r w:rsidRPr="00861A3F">
          <w:rPr>
            <w:rStyle w:val="15"/>
            <w:rFonts w:ascii="Times New Roman" w:hAnsi="Times New Roman" w:cs="Times New Roman"/>
            <w:sz w:val="20"/>
            <w:lang w:val="en-US"/>
          </w:rPr>
          <w:t>https://doi.org/10.1051/e3sconf/202452506006</w:t>
        </w:r>
      </w:hyperlink>
      <w:r w:rsidRPr="00861A3F">
        <w:rPr>
          <w:sz w:val="20"/>
          <w:lang w:val="en-US"/>
        </w:rPr>
        <w:t xml:space="preserve"> </w:t>
      </w:r>
    </w:p>
    <w:p w14:paraId="62B29B91" w14:textId="77777777" w:rsidR="000838AB" w:rsidRPr="00861A3F" w:rsidRDefault="000838AB" w:rsidP="00861A3F">
      <w:pPr>
        <w:pStyle w:val="Reference"/>
        <w:numPr>
          <w:ilvl w:val="0"/>
          <w:numId w:val="8"/>
        </w:numPr>
        <w:tabs>
          <w:tab w:val="left" w:pos="142"/>
          <w:tab w:val="left" w:pos="284"/>
        </w:tabs>
        <w:spacing w:before="0" w:beforeAutospacing="0" w:after="0" w:afterAutospacing="0"/>
        <w:ind w:left="0" w:firstLine="0"/>
        <w:rPr>
          <w:sz w:val="20"/>
          <w:lang w:val="en-US"/>
        </w:rPr>
      </w:pPr>
      <w:r w:rsidRPr="00861A3F">
        <w:rPr>
          <w:sz w:val="20"/>
          <w:lang w:val="en-US"/>
        </w:rPr>
        <w:t xml:space="preserve">R. Juraev, D. </w:t>
      </w:r>
      <w:proofErr w:type="spellStart"/>
      <w:r w:rsidRPr="00861A3F">
        <w:rPr>
          <w:sz w:val="20"/>
          <w:lang w:val="en-US"/>
        </w:rPr>
        <w:t>Xatamova</w:t>
      </w:r>
      <w:proofErr w:type="spellEnd"/>
      <w:r w:rsidRPr="00861A3F">
        <w:rPr>
          <w:sz w:val="20"/>
          <w:lang w:val="en-US"/>
        </w:rPr>
        <w:t xml:space="preserve">, Q. </w:t>
      </w:r>
      <w:proofErr w:type="spellStart"/>
      <w:r w:rsidRPr="00861A3F">
        <w:rPr>
          <w:sz w:val="20"/>
          <w:lang w:val="en-US"/>
        </w:rPr>
        <w:t>Normaev</w:t>
      </w:r>
      <w:proofErr w:type="spellEnd"/>
      <w:r w:rsidRPr="00861A3F">
        <w:rPr>
          <w:sz w:val="20"/>
          <w:lang w:val="en-US"/>
        </w:rPr>
        <w:t xml:space="preserve">, E3S Web of Conferences, </w:t>
      </w:r>
      <w:r w:rsidRPr="00861A3F">
        <w:rPr>
          <w:b/>
          <w:sz w:val="20"/>
          <w:lang w:val="en-US"/>
        </w:rPr>
        <w:t>402,</w:t>
      </w:r>
      <w:r w:rsidRPr="00861A3F">
        <w:rPr>
          <w:sz w:val="20"/>
          <w:lang w:val="en-US"/>
        </w:rPr>
        <w:t xml:space="preserve"> 10018 (2023) </w:t>
      </w:r>
      <w:hyperlink r:id="rId25" w:history="1">
        <w:r w:rsidRPr="00861A3F">
          <w:rPr>
            <w:rStyle w:val="15"/>
            <w:rFonts w:ascii="Times New Roman" w:hAnsi="Times New Roman" w:cs="Times New Roman"/>
            <w:sz w:val="20"/>
            <w:shd w:val="clear" w:color="auto" w:fill="FFFFFF"/>
            <w:lang w:val="en-US"/>
          </w:rPr>
          <w:t>https://doi.org/10.1051/e3sconf/202340210018</w:t>
        </w:r>
      </w:hyperlink>
      <w:r w:rsidRPr="00861A3F">
        <w:rPr>
          <w:sz w:val="20"/>
          <w:lang w:val="en-US"/>
        </w:rPr>
        <w:t xml:space="preserve"> </w:t>
      </w:r>
    </w:p>
    <w:p w14:paraId="6BC3F7A8" w14:textId="77777777" w:rsidR="003C6221" w:rsidRPr="00861A3F" w:rsidRDefault="000838AB" w:rsidP="00861A3F">
      <w:pPr>
        <w:pStyle w:val="10"/>
        <w:numPr>
          <w:ilvl w:val="0"/>
          <w:numId w:val="8"/>
        </w:numPr>
        <w:tabs>
          <w:tab w:val="left" w:pos="142"/>
          <w:tab w:val="left" w:pos="210"/>
          <w:tab w:val="left" w:pos="284"/>
          <w:tab w:val="left" w:pos="735"/>
          <w:tab w:val="left" w:pos="31680"/>
        </w:tabs>
        <w:spacing w:before="0" w:beforeAutospacing="0" w:after="0" w:afterAutospacing="0" w:line="240" w:lineRule="auto"/>
        <w:ind w:left="0" w:firstLine="0"/>
        <w:jc w:val="both"/>
        <w:rPr>
          <w:rFonts w:ascii="Times New Roman" w:eastAsia="Calibri" w:hAnsi="Times New Roman"/>
          <w:sz w:val="20"/>
          <w:lang w:val="en-US"/>
        </w:rPr>
      </w:pPr>
      <w:r w:rsidRPr="00861A3F">
        <w:rPr>
          <w:rFonts w:ascii="Times New Roman" w:eastAsia="Calibri" w:hAnsi="Times New Roman"/>
          <w:sz w:val="20"/>
          <w:lang w:val="en-US"/>
        </w:rPr>
        <w:t xml:space="preserve">Raximov, F., Taslimov, A., Majidov, A., &amp; Norqulov, A. (2024). Optimization of losses by switching to higher voltage in distribution networks. In </w:t>
      </w:r>
      <w:r w:rsidRPr="00861A3F">
        <w:rPr>
          <w:rFonts w:ascii="Times New Roman" w:eastAsia="Calibri" w:hAnsi="Times New Roman"/>
          <w:iCs/>
          <w:sz w:val="20"/>
          <w:lang w:val="en-US"/>
        </w:rPr>
        <w:t>E3S Web of Conferences</w:t>
      </w:r>
      <w:r w:rsidRPr="00861A3F">
        <w:rPr>
          <w:rFonts w:ascii="Times New Roman" w:eastAsia="Calibri" w:hAnsi="Times New Roman"/>
          <w:sz w:val="20"/>
          <w:lang w:val="en-US"/>
        </w:rPr>
        <w:t xml:space="preserve"> </w:t>
      </w:r>
      <w:r w:rsidRPr="00861A3F">
        <w:rPr>
          <w:rFonts w:ascii="Times New Roman" w:eastAsia="Calibri" w:hAnsi="Times New Roman"/>
          <w:b/>
          <w:sz w:val="20"/>
          <w:lang w:val="en-US"/>
        </w:rPr>
        <w:t xml:space="preserve">(Vol. 525, p. 03009). </w:t>
      </w:r>
      <w:r w:rsidRPr="00861A3F">
        <w:rPr>
          <w:rFonts w:ascii="Times New Roman" w:eastAsia="Calibri" w:hAnsi="Times New Roman"/>
          <w:sz w:val="20"/>
          <w:lang w:val="en-US"/>
        </w:rPr>
        <w:t xml:space="preserve">EDP Sciences. </w:t>
      </w:r>
      <w:hyperlink r:id="rId26" w:history="1">
        <w:r w:rsidRPr="00861A3F">
          <w:rPr>
            <w:rStyle w:val="15"/>
            <w:rFonts w:ascii="Times New Roman" w:eastAsia="Calibri" w:hAnsi="Times New Roman" w:cs="Times New Roman"/>
            <w:sz w:val="20"/>
            <w:lang w:val="en-US"/>
          </w:rPr>
          <w:t>https://doi.org/10.1051/e3sconf/202452503009</w:t>
        </w:r>
      </w:hyperlink>
      <w:r w:rsidRPr="00861A3F">
        <w:rPr>
          <w:rFonts w:ascii="Times New Roman" w:eastAsia="Calibri" w:hAnsi="Times New Roman"/>
          <w:sz w:val="20"/>
          <w:lang w:val="en-US"/>
        </w:rPr>
        <w:t xml:space="preserve"> </w:t>
      </w:r>
    </w:p>
    <w:p w14:paraId="05EC0FB2" w14:textId="5800CED5" w:rsidR="003C6221" w:rsidRPr="00861A3F" w:rsidRDefault="00E20FEE" w:rsidP="00861A3F">
      <w:pPr>
        <w:pStyle w:val="10"/>
        <w:numPr>
          <w:ilvl w:val="0"/>
          <w:numId w:val="8"/>
        </w:numPr>
        <w:tabs>
          <w:tab w:val="left" w:pos="142"/>
          <w:tab w:val="left" w:pos="210"/>
          <w:tab w:val="left" w:pos="284"/>
          <w:tab w:val="left" w:pos="735"/>
          <w:tab w:val="left" w:pos="31680"/>
        </w:tabs>
        <w:spacing w:before="0" w:beforeAutospacing="0" w:after="0" w:afterAutospacing="0" w:line="240" w:lineRule="auto"/>
        <w:ind w:left="0" w:firstLine="0"/>
        <w:jc w:val="both"/>
        <w:rPr>
          <w:rFonts w:ascii="Times New Roman" w:eastAsia="Calibri" w:hAnsi="Times New Roman"/>
          <w:sz w:val="20"/>
          <w:lang w:val="en-US"/>
        </w:rPr>
      </w:pPr>
      <w:r w:rsidRPr="00861A3F">
        <w:rPr>
          <w:rFonts w:ascii="Times New Roman" w:eastAsia="Calibri" w:hAnsi="Times New Roman"/>
          <w:sz w:val="20"/>
          <w:lang w:val="en-US"/>
        </w:rPr>
        <w:t xml:space="preserve">Boboqulov J., </w:t>
      </w:r>
      <w:proofErr w:type="spellStart"/>
      <w:r w:rsidRPr="00861A3F">
        <w:rPr>
          <w:rFonts w:ascii="Times New Roman" w:eastAsia="Calibri" w:hAnsi="Times New Roman"/>
          <w:sz w:val="20"/>
          <w:lang w:val="en-US"/>
        </w:rPr>
        <w:t>Narzullayev</w:t>
      </w:r>
      <w:proofErr w:type="spellEnd"/>
      <w:r w:rsidRPr="00861A3F">
        <w:rPr>
          <w:rFonts w:ascii="Times New Roman" w:eastAsia="Calibri" w:hAnsi="Times New Roman"/>
          <w:sz w:val="20"/>
          <w:lang w:val="en-US"/>
        </w:rPr>
        <w:t xml:space="preserve"> B. Development of a model for diagnosing rotor conditions in the parallel connection of synchronous generators with the network //E3S Web of Conferences. – EDP Sciences, 2024. – </w:t>
      </w:r>
      <w:r w:rsidRPr="00861A3F">
        <w:rPr>
          <w:rFonts w:ascii="Times New Roman" w:eastAsia="Calibri" w:hAnsi="Times New Roman"/>
          <w:b/>
          <w:sz w:val="20"/>
          <w:lang w:val="en-US"/>
        </w:rPr>
        <w:t>Т.</w:t>
      </w:r>
      <w:r w:rsidRPr="00861A3F">
        <w:rPr>
          <w:rFonts w:ascii="Times New Roman" w:eastAsia="Calibri" w:hAnsi="Times New Roman"/>
          <w:sz w:val="20"/>
          <w:lang w:val="en-US"/>
        </w:rPr>
        <w:t xml:space="preserve"> </w:t>
      </w:r>
      <w:r w:rsidRPr="00861A3F">
        <w:rPr>
          <w:rFonts w:ascii="Times New Roman" w:eastAsia="Calibri" w:hAnsi="Times New Roman"/>
          <w:b/>
          <w:sz w:val="20"/>
          <w:lang w:val="en-US"/>
        </w:rPr>
        <w:t>525</w:t>
      </w:r>
      <w:r w:rsidRPr="00861A3F">
        <w:rPr>
          <w:rFonts w:ascii="Times New Roman" w:eastAsia="Calibri" w:hAnsi="Times New Roman"/>
          <w:sz w:val="20"/>
          <w:lang w:val="en-US"/>
        </w:rPr>
        <w:t xml:space="preserve">. – С. 06001. </w:t>
      </w:r>
      <w:hyperlink r:id="rId27" w:history="1">
        <w:r w:rsidR="0075475C" w:rsidRPr="00861A3F">
          <w:rPr>
            <w:rStyle w:val="a6"/>
            <w:rFonts w:ascii="Times New Roman" w:eastAsia="Calibri" w:hAnsi="Times New Roman"/>
            <w:sz w:val="20"/>
            <w:lang w:val="en-US"/>
          </w:rPr>
          <w:t>https://doi.org/10.1051/e3sconf/202452506001</w:t>
        </w:r>
      </w:hyperlink>
      <w:r w:rsidR="0075475C" w:rsidRPr="00861A3F">
        <w:rPr>
          <w:rFonts w:ascii="Times New Roman" w:eastAsia="Calibri" w:hAnsi="Times New Roman"/>
          <w:sz w:val="20"/>
          <w:lang w:val="en-US"/>
        </w:rPr>
        <w:t xml:space="preserve"> </w:t>
      </w:r>
      <w:r w:rsidRPr="00861A3F">
        <w:rPr>
          <w:rFonts w:ascii="Times New Roman" w:eastAsia="Calibri" w:hAnsi="Times New Roman"/>
          <w:sz w:val="20"/>
          <w:lang w:val="en-US"/>
        </w:rPr>
        <w:t xml:space="preserve"> </w:t>
      </w:r>
      <w:r w:rsidR="0075475C" w:rsidRPr="00861A3F">
        <w:rPr>
          <w:rFonts w:ascii="Times New Roman" w:eastAsia="Calibri" w:hAnsi="Times New Roman"/>
          <w:sz w:val="20"/>
          <w:lang w:val="en-US"/>
        </w:rPr>
        <w:t xml:space="preserve"> </w:t>
      </w:r>
    </w:p>
    <w:p w14:paraId="20C2D432" w14:textId="4C22E5B9" w:rsidR="003C6221" w:rsidRPr="00861A3F" w:rsidRDefault="00E20FEE" w:rsidP="00861A3F">
      <w:pPr>
        <w:pStyle w:val="10"/>
        <w:numPr>
          <w:ilvl w:val="0"/>
          <w:numId w:val="8"/>
        </w:numPr>
        <w:tabs>
          <w:tab w:val="left" w:pos="142"/>
          <w:tab w:val="left" w:pos="210"/>
          <w:tab w:val="left" w:pos="284"/>
          <w:tab w:val="left" w:pos="735"/>
          <w:tab w:val="left" w:pos="31680"/>
        </w:tabs>
        <w:spacing w:before="0" w:beforeAutospacing="0" w:after="0" w:afterAutospacing="0" w:line="240" w:lineRule="auto"/>
        <w:ind w:left="0" w:firstLine="0"/>
        <w:jc w:val="both"/>
        <w:rPr>
          <w:rFonts w:ascii="Times New Roman" w:eastAsia="Calibri" w:hAnsi="Times New Roman"/>
          <w:sz w:val="20"/>
          <w:lang w:val="en-US"/>
        </w:rPr>
      </w:pPr>
      <w:proofErr w:type="spellStart"/>
      <w:r w:rsidRPr="00861A3F">
        <w:rPr>
          <w:rFonts w:ascii="Times New Roman" w:eastAsia="Calibri" w:hAnsi="Times New Roman"/>
          <w:sz w:val="20"/>
          <w:lang w:val="en-US"/>
        </w:rPr>
        <w:t>Narzullayev</w:t>
      </w:r>
      <w:proofErr w:type="spellEnd"/>
      <w:r w:rsidRPr="00861A3F">
        <w:rPr>
          <w:rFonts w:ascii="Times New Roman" w:eastAsia="Calibri" w:hAnsi="Times New Roman"/>
          <w:sz w:val="20"/>
          <w:lang w:val="en-US"/>
        </w:rPr>
        <w:t xml:space="preserve"> B. S., </w:t>
      </w:r>
      <w:proofErr w:type="spellStart"/>
      <w:r w:rsidRPr="00861A3F">
        <w:rPr>
          <w:rFonts w:ascii="Times New Roman" w:eastAsia="Calibri" w:hAnsi="Times New Roman"/>
          <w:sz w:val="20"/>
          <w:lang w:val="en-US"/>
        </w:rPr>
        <w:t>Eshmirzaev</w:t>
      </w:r>
      <w:proofErr w:type="spellEnd"/>
      <w:r w:rsidRPr="00861A3F">
        <w:rPr>
          <w:rFonts w:ascii="Times New Roman" w:eastAsia="Calibri" w:hAnsi="Times New Roman"/>
          <w:sz w:val="20"/>
          <w:lang w:val="en-US"/>
        </w:rPr>
        <w:t xml:space="preserve"> M. A. Causes of the appearance of current waves in high voltage electric arc furnaces, and methods of their reduction //E3S Web of Conferences. – EDP Sciences, 2023. – </w:t>
      </w:r>
      <w:r w:rsidRPr="00861A3F">
        <w:rPr>
          <w:rFonts w:ascii="Times New Roman" w:eastAsia="Calibri" w:hAnsi="Times New Roman"/>
          <w:b/>
          <w:sz w:val="20"/>
          <w:lang w:val="en-US"/>
        </w:rPr>
        <w:t>Т. 417</w:t>
      </w:r>
      <w:r w:rsidRPr="00861A3F">
        <w:rPr>
          <w:rFonts w:ascii="Times New Roman" w:eastAsia="Calibri" w:hAnsi="Times New Roman"/>
          <w:sz w:val="20"/>
          <w:lang w:val="en-US"/>
        </w:rPr>
        <w:t xml:space="preserve">. – С. 03003. </w:t>
      </w:r>
      <w:hyperlink r:id="rId28" w:history="1">
        <w:r w:rsidR="0075475C" w:rsidRPr="00861A3F">
          <w:rPr>
            <w:rStyle w:val="a6"/>
            <w:rFonts w:ascii="Times New Roman" w:eastAsia="Calibri" w:hAnsi="Times New Roman"/>
            <w:sz w:val="20"/>
            <w:lang w:val="en-US"/>
          </w:rPr>
          <w:t>https://doi.org/10.1051/e3sconf/202341703003</w:t>
        </w:r>
      </w:hyperlink>
      <w:r w:rsidR="0075475C" w:rsidRPr="00861A3F">
        <w:rPr>
          <w:rFonts w:ascii="Times New Roman" w:eastAsia="Calibri" w:hAnsi="Times New Roman"/>
          <w:sz w:val="20"/>
          <w:lang w:val="en-US"/>
        </w:rPr>
        <w:t xml:space="preserve"> </w:t>
      </w:r>
      <w:r w:rsidRPr="00861A3F">
        <w:rPr>
          <w:rFonts w:ascii="Times New Roman" w:eastAsia="Calibri" w:hAnsi="Times New Roman"/>
          <w:sz w:val="20"/>
          <w:lang w:val="en-US"/>
        </w:rPr>
        <w:t xml:space="preserve"> </w:t>
      </w:r>
    </w:p>
    <w:p w14:paraId="3C55243B" w14:textId="6D534359" w:rsidR="006610CB" w:rsidRPr="00861A3F" w:rsidRDefault="000E4C89" w:rsidP="00861A3F">
      <w:pPr>
        <w:pStyle w:val="10"/>
        <w:numPr>
          <w:ilvl w:val="0"/>
          <w:numId w:val="8"/>
        </w:numPr>
        <w:tabs>
          <w:tab w:val="left" w:pos="142"/>
          <w:tab w:val="left" w:pos="210"/>
          <w:tab w:val="left" w:pos="284"/>
          <w:tab w:val="left" w:pos="735"/>
          <w:tab w:val="left" w:pos="31680"/>
        </w:tabs>
        <w:spacing w:before="0" w:beforeAutospacing="0" w:after="0" w:afterAutospacing="0" w:line="240" w:lineRule="auto"/>
        <w:ind w:left="0" w:firstLine="0"/>
        <w:jc w:val="both"/>
        <w:rPr>
          <w:rFonts w:ascii="Times New Roman" w:eastAsia="Calibri" w:hAnsi="Times New Roman"/>
          <w:sz w:val="20"/>
          <w:lang w:val="en-US"/>
        </w:rPr>
      </w:pPr>
      <w:r w:rsidRPr="00861A3F">
        <w:rPr>
          <w:rFonts w:ascii="Times New Roman" w:eastAsia="Calibri" w:hAnsi="Times New Roman"/>
          <w:sz w:val="20"/>
          <w:lang w:val="en-US"/>
        </w:rPr>
        <w:t xml:space="preserve">Akram </w:t>
      </w:r>
      <w:proofErr w:type="gramStart"/>
      <w:r w:rsidRPr="00861A3F">
        <w:rPr>
          <w:rFonts w:ascii="Times New Roman" w:eastAsia="Calibri" w:hAnsi="Times New Roman"/>
          <w:sz w:val="20"/>
          <w:lang w:val="en-US"/>
        </w:rPr>
        <w:t>Tovbaev.,</w:t>
      </w:r>
      <w:proofErr w:type="gramEnd"/>
      <w:r w:rsidRPr="00861A3F">
        <w:rPr>
          <w:rFonts w:ascii="Times New Roman" w:eastAsia="Calibri" w:hAnsi="Times New Roman"/>
          <w:sz w:val="20"/>
          <w:lang w:val="en-US"/>
        </w:rPr>
        <w:t xml:space="preserve"> Islom </w:t>
      </w:r>
      <w:proofErr w:type="spellStart"/>
      <w:r w:rsidRPr="00861A3F">
        <w:rPr>
          <w:rFonts w:ascii="Times New Roman" w:eastAsia="Calibri" w:hAnsi="Times New Roman"/>
          <w:sz w:val="20"/>
          <w:lang w:val="en-US"/>
        </w:rPr>
        <w:t>Togaev</w:t>
      </w:r>
      <w:proofErr w:type="spellEnd"/>
      <w:proofErr w:type="gramStart"/>
      <w:r w:rsidRPr="00861A3F">
        <w:rPr>
          <w:rFonts w:ascii="Times New Roman" w:eastAsia="Calibri" w:hAnsi="Times New Roman"/>
          <w:sz w:val="20"/>
          <w:lang w:val="en-US"/>
        </w:rPr>
        <w:t>.,</w:t>
      </w:r>
      <w:proofErr w:type="spellStart"/>
      <w:r w:rsidRPr="00861A3F">
        <w:rPr>
          <w:rFonts w:ascii="Times New Roman" w:eastAsia="Calibri" w:hAnsi="Times New Roman"/>
          <w:sz w:val="20"/>
          <w:lang w:val="en-US"/>
        </w:rPr>
        <w:t>Uktam</w:t>
      </w:r>
      <w:proofErr w:type="spellEnd"/>
      <w:proofErr w:type="gramEnd"/>
      <w:r w:rsidRPr="00861A3F">
        <w:rPr>
          <w:rFonts w:ascii="Times New Roman" w:eastAsia="Calibri" w:hAnsi="Times New Roman"/>
          <w:sz w:val="20"/>
          <w:lang w:val="en-US"/>
        </w:rPr>
        <w:t xml:space="preserve"> </w:t>
      </w:r>
      <w:proofErr w:type="spellStart"/>
      <w:r w:rsidRPr="00861A3F">
        <w:rPr>
          <w:rFonts w:ascii="Times New Roman" w:eastAsia="Calibri" w:hAnsi="Times New Roman"/>
          <w:sz w:val="20"/>
          <w:lang w:val="en-US"/>
        </w:rPr>
        <w:t>Usarov</w:t>
      </w:r>
      <w:proofErr w:type="spellEnd"/>
      <w:proofErr w:type="gramStart"/>
      <w:r w:rsidRPr="00861A3F">
        <w:rPr>
          <w:rFonts w:ascii="Times New Roman" w:eastAsia="Calibri" w:hAnsi="Times New Roman"/>
          <w:sz w:val="20"/>
          <w:lang w:val="en-US"/>
        </w:rPr>
        <w:t>.,</w:t>
      </w:r>
      <w:proofErr w:type="spellStart"/>
      <w:r w:rsidRPr="00861A3F">
        <w:rPr>
          <w:rFonts w:ascii="Times New Roman" w:eastAsia="Calibri" w:hAnsi="Times New Roman"/>
          <w:sz w:val="20"/>
          <w:lang w:val="en-US"/>
        </w:rPr>
        <w:t>Gulom</w:t>
      </w:r>
      <w:proofErr w:type="spellEnd"/>
      <w:proofErr w:type="gramEnd"/>
      <w:r w:rsidRPr="00861A3F">
        <w:rPr>
          <w:rFonts w:ascii="Times New Roman" w:eastAsia="Calibri" w:hAnsi="Times New Roman"/>
          <w:sz w:val="20"/>
          <w:lang w:val="en-US"/>
        </w:rPr>
        <w:t xml:space="preserve"> </w:t>
      </w:r>
      <w:proofErr w:type="spellStart"/>
      <w:r w:rsidRPr="00861A3F">
        <w:rPr>
          <w:rFonts w:ascii="Times New Roman" w:eastAsia="Calibri" w:hAnsi="Times New Roman"/>
          <w:sz w:val="20"/>
          <w:lang w:val="en-US"/>
        </w:rPr>
        <w:t>Nodirov</w:t>
      </w:r>
      <w:proofErr w:type="spellEnd"/>
      <w:r w:rsidRPr="00861A3F">
        <w:rPr>
          <w:rFonts w:ascii="Times New Roman" w:eastAsia="Calibri" w:hAnsi="Times New Roman"/>
          <w:sz w:val="20"/>
          <w:lang w:val="en-US"/>
        </w:rPr>
        <w:t>.</w:t>
      </w:r>
      <w:r w:rsidR="003C6221" w:rsidRPr="00861A3F">
        <w:rPr>
          <w:rFonts w:ascii="Times New Roman" w:eastAsiaTheme="minorHAnsi" w:hAnsi="Times New Roman"/>
          <w:i/>
          <w:iCs/>
          <w:color w:val="1A1A1A"/>
          <w:sz w:val="18"/>
          <w:szCs w:val="18"/>
          <w:lang w:val="en-US" w:eastAsia="en-US"/>
        </w:rPr>
        <w:t xml:space="preserve"> </w:t>
      </w:r>
      <w:r w:rsidR="003C6221" w:rsidRPr="00861A3F">
        <w:rPr>
          <w:rFonts w:ascii="Times New Roman" w:eastAsia="Calibri" w:hAnsi="Times New Roman"/>
          <w:iCs/>
          <w:sz w:val="20"/>
          <w:lang w:val="en-US"/>
        </w:rPr>
        <w:t xml:space="preserve">AIP Conf. Proc. </w:t>
      </w:r>
      <w:r w:rsidR="003C6221" w:rsidRPr="00861A3F">
        <w:rPr>
          <w:rFonts w:ascii="Times New Roman" w:eastAsia="Calibri" w:hAnsi="Times New Roman"/>
          <w:b/>
          <w:sz w:val="20"/>
          <w:lang w:val="en-US"/>
        </w:rPr>
        <w:t>3331,</w:t>
      </w:r>
      <w:r w:rsidR="003C6221" w:rsidRPr="00861A3F">
        <w:rPr>
          <w:rFonts w:ascii="Times New Roman" w:eastAsia="Calibri" w:hAnsi="Times New Roman"/>
          <w:sz w:val="20"/>
          <w:lang w:val="en-US"/>
        </w:rPr>
        <w:t xml:space="preserve"> 060014 (2025).</w:t>
      </w:r>
      <w:r w:rsidR="003C6221" w:rsidRPr="00861A3F">
        <w:rPr>
          <w:rFonts w:ascii="Times New Roman" w:eastAsiaTheme="minorHAnsi" w:hAnsi="Times New Roman"/>
          <w:color w:val="0066CC"/>
          <w:sz w:val="18"/>
          <w:szCs w:val="18"/>
          <w:lang w:val="en-US" w:eastAsia="en-US"/>
        </w:rPr>
        <w:t xml:space="preserve"> </w:t>
      </w:r>
      <w:hyperlink r:id="rId29" w:history="1">
        <w:r w:rsidR="003C6221" w:rsidRPr="00861A3F">
          <w:rPr>
            <w:rStyle w:val="a6"/>
            <w:rFonts w:ascii="Times New Roman" w:eastAsia="Calibri" w:hAnsi="Times New Roman"/>
            <w:sz w:val="20"/>
            <w:lang w:val="en-US"/>
          </w:rPr>
          <w:t>https://doi.org/10.1063/5.0307209</w:t>
        </w:r>
      </w:hyperlink>
      <w:r w:rsidR="003C6221" w:rsidRPr="00861A3F">
        <w:rPr>
          <w:rFonts w:ascii="Times New Roman" w:eastAsia="Calibri" w:hAnsi="Times New Roman"/>
          <w:sz w:val="20"/>
          <w:lang w:val="en-US"/>
        </w:rPr>
        <w:t xml:space="preserve"> </w:t>
      </w:r>
    </w:p>
    <w:p w14:paraId="3B591BDA" w14:textId="040D9266" w:rsidR="003C6221" w:rsidRPr="00861A3F" w:rsidRDefault="003C6221" w:rsidP="00861A3F">
      <w:pPr>
        <w:pStyle w:val="10"/>
        <w:numPr>
          <w:ilvl w:val="0"/>
          <w:numId w:val="8"/>
        </w:numPr>
        <w:tabs>
          <w:tab w:val="left" w:pos="142"/>
          <w:tab w:val="left" w:pos="210"/>
          <w:tab w:val="left" w:pos="284"/>
          <w:tab w:val="left" w:pos="735"/>
          <w:tab w:val="left" w:pos="31680"/>
        </w:tabs>
        <w:spacing w:before="0" w:beforeAutospacing="0" w:after="0" w:afterAutospacing="0" w:line="240" w:lineRule="auto"/>
        <w:ind w:left="0" w:firstLine="0"/>
        <w:jc w:val="both"/>
        <w:rPr>
          <w:rFonts w:ascii="Times New Roman" w:eastAsia="Calibri" w:hAnsi="Times New Roman"/>
          <w:sz w:val="20"/>
          <w:lang w:val="en-US"/>
        </w:rPr>
      </w:pPr>
      <w:r w:rsidRPr="00861A3F">
        <w:rPr>
          <w:rFonts w:ascii="Times New Roman" w:eastAsia="Calibri" w:hAnsi="Times New Roman"/>
          <w:sz w:val="20"/>
          <w:lang w:val="en-US"/>
        </w:rPr>
        <w:t xml:space="preserve">Asliddin Norqulov, Feruz </w:t>
      </w:r>
      <w:proofErr w:type="spellStart"/>
      <w:r w:rsidRPr="00861A3F">
        <w:rPr>
          <w:rFonts w:ascii="Times New Roman" w:eastAsia="Calibri" w:hAnsi="Times New Roman"/>
          <w:sz w:val="20"/>
          <w:lang w:val="en-US"/>
        </w:rPr>
        <w:t>Raximov</w:t>
      </w:r>
      <w:proofErr w:type="spellEnd"/>
      <w:r w:rsidRPr="00861A3F">
        <w:rPr>
          <w:rFonts w:ascii="Times New Roman" w:eastAsia="Calibri" w:hAnsi="Times New Roman"/>
          <w:sz w:val="20"/>
          <w:lang w:val="en-US"/>
        </w:rPr>
        <w:t>.</w:t>
      </w:r>
      <w:r w:rsidRPr="00861A3F">
        <w:rPr>
          <w:rFonts w:ascii="Times New Roman" w:hAnsi="Times New Roman"/>
          <w:lang w:val="en-US"/>
        </w:rPr>
        <w:t xml:space="preserve"> </w:t>
      </w:r>
      <w:r w:rsidRPr="00861A3F">
        <w:rPr>
          <w:rFonts w:ascii="Times New Roman" w:eastAsia="Calibri" w:hAnsi="Times New Roman"/>
          <w:sz w:val="20"/>
          <w:lang w:val="en-US"/>
        </w:rPr>
        <w:t xml:space="preserve">AIP Conf. Proc. </w:t>
      </w:r>
      <w:r w:rsidRPr="00861A3F">
        <w:rPr>
          <w:rFonts w:ascii="Times New Roman" w:eastAsia="Calibri" w:hAnsi="Times New Roman"/>
          <w:b/>
          <w:sz w:val="20"/>
          <w:lang w:val="en-US"/>
        </w:rPr>
        <w:t>3331,</w:t>
      </w:r>
      <w:r w:rsidRPr="00861A3F">
        <w:rPr>
          <w:rFonts w:ascii="Times New Roman" w:eastAsia="Calibri" w:hAnsi="Times New Roman"/>
          <w:sz w:val="20"/>
          <w:lang w:val="en-US"/>
        </w:rPr>
        <w:t xml:space="preserve"> 030070-1–030070-6.</w:t>
      </w:r>
      <w:r w:rsidRPr="00861A3F">
        <w:rPr>
          <w:rFonts w:ascii="Times New Roman" w:hAnsi="Times New Roman"/>
        </w:rPr>
        <w:t xml:space="preserve"> </w:t>
      </w:r>
      <w:hyperlink r:id="rId30" w:history="1">
        <w:r w:rsidRPr="00861A3F">
          <w:rPr>
            <w:rStyle w:val="a6"/>
            <w:rFonts w:ascii="Times New Roman" w:eastAsia="Calibri" w:hAnsi="Times New Roman"/>
            <w:sz w:val="20"/>
            <w:lang w:val="en-US"/>
          </w:rPr>
          <w:t>https://doi.org/10.1063/5.0306104</w:t>
        </w:r>
      </w:hyperlink>
      <w:r w:rsidRPr="00861A3F">
        <w:rPr>
          <w:rFonts w:ascii="Times New Roman" w:eastAsia="Calibri" w:hAnsi="Times New Roman"/>
          <w:sz w:val="20"/>
          <w:lang w:val="en-US"/>
        </w:rPr>
        <w:t xml:space="preserve"> </w:t>
      </w:r>
    </w:p>
    <w:p w14:paraId="25F1F9AC" w14:textId="418910A0" w:rsidR="003C6221" w:rsidRPr="00861A3F" w:rsidRDefault="00714E06" w:rsidP="00861A3F">
      <w:pPr>
        <w:pStyle w:val="10"/>
        <w:numPr>
          <w:ilvl w:val="0"/>
          <w:numId w:val="8"/>
        </w:numPr>
        <w:tabs>
          <w:tab w:val="left" w:pos="142"/>
          <w:tab w:val="left" w:pos="210"/>
          <w:tab w:val="left" w:pos="284"/>
          <w:tab w:val="left" w:pos="735"/>
          <w:tab w:val="left" w:pos="31680"/>
        </w:tabs>
        <w:spacing w:before="0" w:beforeAutospacing="0" w:after="0" w:afterAutospacing="0" w:line="240" w:lineRule="auto"/>
        <w:ind w:left="0" w:firstLine="0"/>
        <w:jc w:val="both"/>
        <w:rPr>
          <w:rFonts w:ascii="Times New Roman" w:eastAsia="Calibri" w:hAnsi="Times New Roman"/>
          <w:sz w:val="20"/>
          <w:lang w:val="en-US"/>
        </w:rPr>
      </w:pPr>
      <w:r w:rsidRPr="00861A3F">
        <w:rPr>
          <w:rFonts w:ascii="Times New Roman" w:eastAsia="Calibri" w:hAnsi="Times New Roman"/>
          <w:sz w:val="20"/>
          <w:lang w:val="en-US"/>
        </w:rPr>
        <w:t xml:space="preserve">Shukhrat Abdullaev., </w:t>
      </w:r>
      <w:proofErr w:type="spellStart"/>
      <w:r w:rsidRPr="00861A3F">
        <w:rPr>
          <w:rFonts w:ascii="Times New Roman" w:eastAsia="Calibri" w:hAnsi="Times New Roman"/>
          <w:sz w:val="20"/>
          <w:lang w:val="en-US"/>
        </w:rPr>
        <w:t>Ziyodullo</w:t>
      </w:r>
      <w:proofErr w:type="spellEnd"/>
      <w:r w:rsidRPr="00861A3F">
        <w:rPr>
          <w:rFonts w:ascii="Times New Roman" w:eastAsia="Calibri" w:hAnsi="Times New Roman"/>
          <w:sz w:val="20"/>
          <w:lang w:val="en-US"/>
        </w:rPr>
        <w:t xml:space="preserve"> </w:t>
      </w:r>
      <w:proofErr w:type="spellStart"/>
      <w:r w:rsidRPr="00861A3F">
        <w:rPr>
          <w:rFonts w:ascii="Times New Roman" w:eastAsia="Calibri" w:hAnsi="Times New Roman"/>
          <w:sz w:val="20"/>
          <w:lang w:val="en-US"/>
        </w:rPr>
        <w:t>Eshmurodov</w:t>
      </w:r>
      <w:proofErr w:type="spellEnd"/>
      <w:r w:rsidRPr="00861A3F">
        <w:rPr>
          <w:rFonts w:ascii="Times New Roman" w:eastAsia="Calibri" w:hAnsi="Times New Roman"/>
          <w:sz w:val="20"/>
          <w:lang w:val="en-US"/>
        </w:rPr>
        <w:t xml:space="preserve">., Islom </w:t>
      </w:r>
      <w:proofErr w:type="spellStart"/>
      <w:r w:rsidRPr="00861A3F">
        <w:rPr>
          <w:rFonts w:ascii="Times New Roman" w:eastAsia="Calibri" w:hAnsi="Times New Roman"/>
          <w:sz w:val="20"/>
          <w:lang w:val="en-US"/>
        </w:rPr>
        <w:t>Togaev</w:t>
      </w:r>
      <w:proofErr w:type="spellEnd"/>
      <w:r w:rsidRPr="00861A3F">
        <w:rPr>
          <w:rFonts w:ascii="Times New Roman" w:eastAsia="Calibri" w:hAnsi="Times New Roman"/>
          <w:sz w:val="20"/>
          <w:lang w:val="en-US"/>
        </w:rPr>
        <w:t>.</w:t>
      </w:r>
      <w:r w:rsidRPr="00861A3F">
        <w:rPr>
          <w:rFonts w:ascii="Times New Roman" w:eastAsiaTheme="minorHAnsi" w:hAnsi="Times New Roman"/>
          <w:i/>
          <w:iCs/>
          <w:color w:val="1A1A1A"/>
          <w:sz w:val="18"/>
          <w:szCs w:val="18"/>
          <w:lang w:val="en-US" w:eastAsia="en-US"/>
        </w:rPr>
        <w:t xml:space="preserve"> </w:t>
      </w:r>
      <w:r w:rsidRPr="00861A3F">
        <w:rPr>
          <w:rFonts w:ascii="Times New Roman" w:eastAsia="Calibri" w:hAnsi="Times New Roman"/>
          <w:iCs/>
          <w:sz w:val="20"/>
          <w:lang w:val="en-US"/>
        </w:rPr>
        <w:t>AIP Conf. Proc.</w:t>
      </w:r>
      <w:r w:rsidRPr="00861A3F">
        <w:rPr>
          <w:rFonts w:ascii="Times New Roman" w:eastAsia="Calibri" w:hAnsi="Times New Roman"/>
          <w:b/>
          <w:iCs/>
          <w:sz w:val="20"/>
          <w:lang w:val="en-US"/>
        </w:rPr>
        <w:t xml:space="preserve"> </w:t>
      </w:r>
      <w:r w:rsidRPr="00861A3F">
        <w:rPr>
          <w:rFonts w:ascii="Times New Roman" w:eastAsia="Calibri" w:hAnsi="Times New Roman"/>
          <w:b/>
          <w:sz w:val="20"/>
          <w:lang w:val="en-US"/>
        </w:rPr>
        <w:t>3331</w:t>
      </w:r>
      <w:r w:rsidRPr="00861A3F">
        <w:rPr>
          <w:rFonts w:ascii="Times New Roman" w:eastAsia="Calibri" w:hAnsi="Times New Roman"/>
          <w:sz w:val="20"/>
          <w:lang w:val="en-US"/>
        </w:rPr>
        <w:t>, 040051 (2025).</w:t>
      </w:r>
      <w:r w:rsidRPr="00861A3F">
        <w:rPr>
          <w:rFonts w:ascii="Times New Roman" w:eastAsiaTheme="minorHAnsi" w:hAnsi="Times New Roman"/>
          <w:color w:val="0066CC"/>
          <w:sz w:val="18"/>
          <w:szCs w:val="18"/>
          <w:lang w:val="en-US" w:eastAsia="en-US"/>
        </w:rPr>
        <w:t xml:space="preserve"> </w:t>
      </w:r>
      <w:hyperlink r:id="rId31" w:history="1">
        <w:r w:rsidRPr="00861A3F">
          <w:rPr>
            <w:rStyle w:val="a6"/>
            <w:rFonts w:ascii="Times New Roman" w:eastAsia="Calibri" w:hAnsi="Times New Roman"/>
            <w:sz w:val="20"/>
            <w:lang w:val="en-US"/>
          </w:rPr>
          <w:t>https://doi.org/10.1063/5.0306786</w:t>
        </w:r>
      </w:hyperlink>
      <w:r w:rsidRPr="00861A3F">
        <w:rPr>
          <w:rFonts w:ascii="Times New Roman" w:eastAsia="Calibri" w:hAnsi="Times New Roman"/>
          <w:sz w:val="20"/>
          <w:lang w:val="en-US"/>
        </w:rPr>
        <w:t xml:space="preserve"> </w:t>
      </w:r>
    </w:p>
    <w:p w14:paraId="424FA251" w14:textId="62A1C5A7" w:rsidR="00714E06" w:rsidRPr="00861A3F" w:rsidRDefault="00E54B89" w:rsidP="00861A3F">
      <w:pPr>
        <w:pStyle w:val="10"/>
        <w:numPr>
          <w:ilvl w:val="0"/>
          <w:numId w:val="8"/>
        </w:numPr>
        <w:tabs>
          <w:tab w:val="left" w:pos="142"/>
          <w:tab w:val="left" w:pos="210"/>
          <w:tab w:val="left" w:pos="284"/>
          <w:tab w:val="left" w:pos="735"/>
          <w:tab w:val="left" w:pos="31680"/>
        </w:tabs>
        <w:spacing w:before="0" w:beforeAutospacing="0" w:after="0" w:afterAutospacing="0" w:line="240" w:lineRule="auto"/>
        <w:ind w:left="0" w:firstLine="0"/>
        <w:jc w:val="both"/>
        <w:rPr>
          <w:rFonts w:ascii="Times New Roman" w:eastAsia="Calibri" w:hAnsi="Times New Roman"/>
          <w:sz w:val="20"/>
          <w:lang w:val="en-US"/>
        </w:rPr>
      </w:pPr>
      <w:r w:rsidRPr="00861A3F">
        <w:rPr>
          <w:rFonts w:ascii="Times New Roman" w:eastAsia="Calibri" w:hAnsi="Times New Roman"/>
          <w:sz w:val="20"/>
          <w:lang w:val="en-US"/>
        </w:rPr>
        <w:t xml:space="preserve">Bobur Narzullayev; </w:t>
      </w:r>
      <w:proofErr w:type="spellStart"/>
      <w:r w:rsidRPr="00861A3F">
        <w:rPr>
          <w:rFonts w:ascii="Times New Roman" w:eastAsia="Calibri" w:hAnsi="Times New Roman"/>
          <w:sz w:val="20"/>
          <w:lang w:val="en-US"/>
        </w:rPr>
        <w:t>Javokhir</w:t>
      </w:r>
      <w:proofErr w:type="spellEnd"/>
      <w:r w:rsidRPr="00861A3F">
        <w:rPr>
          <w:rFonts w:ascii="Times New Roman" w:eastAsia="Calibri" w:hAnsi="Times New Roman"/>
          <w:sz w:val="20"/>
          <w:lang w:val="en-US"/>
        </w:rPr>
        <w:t xml:space="preserve"> </w:t>
      </w:r>
      <w:proofErr w:type="spellStart"/>
      <w:r w:rsidRPr="00861A3F">
        <w:rPr>
          <w:rFonts w:ascii="Times New Roman" w:eastAsia="Calibri" w:hAnsi="Times New Roman"/>
          <w:sz w:val="20"/>
          <w:lang w:val="en-US"/>
        </w:rPr>
        <w:t>Boboqulov</w:t>
      </w:r>
      <w:proofErr w:type="spellEnd"/>
      <w:r w:rsidRPr="00861A3F">
        <w:rPr>
          <w:rFonts w:ascii="Times New Roman" w:eastAsia="Calibri" w:hAnsi="Times New Roman"/>
          <w:sz w:val="20"/>
          <w:lang w:val="en-US"/>
        </w:rPr>
        <w:t xml:space="preserve">. AIP Conf. Proc. </w:t>
      </w:r>
      <w:r w:rsidRPr="00861A3F">
        <w:rPr>
          <w:rFonts w:ascii="Times New Roman" w:eastAsia="Calibri" w:hAnsi="Times New Roman"/>
          <w:b/>
          <w:sz w:val="20"/>
          <w:lang w:val="en-US"/>
        </w:rPr>
        <w:t>3331</w:t>
      </w:r>
      <w:r w:rsidRPr="00861A3F">
        <w:rPr>
          <w:rFonts w:ascii="Times New Roman" w:eastAsia="Calibri" w:hAnsi="Times New Roman"/>
          <w:sz w:val="20"/>
          <w:lang w:val="en-US"/>
        </w:rPr>
        <w:t>, 030032 (2025).</w:t>
      </w:r>
      <w:r w:rsidR="00A93CFE" w:rsidRPr="00861A3F">
        <w:rPr>
          <w:rFonts w:ascii="Times New Roman" w:hAnsi="Times New Roman"/>
        </w:rPr>
        <w:t xml:space="preserve"> </w:t>
      </w:r>
      <w:hyperlink r:id="rId32" w:history="1">
        <w:r w:rsidR="00A93CFE" w:rsidRPr="00861A3F">
          <w:rPr>
            <w:rStyle w:val="a6"/>
            <w:rFonts w:ascii="Times New Roman" w:eastAsia="Calibri" w:hAnsi="Times New Roman"/>
            <w:sz w:val="20"/>
            <w:lang w:val="en-US"/>
          </w:rPr>
          <w:t>https://doi.org/10.1063/5.0305735</w:t>
        </w:r>
      </w:hyperlink>
      <w:r w:rsidR="00A93CFE" w:rsidRPr="00861A3F">
        <w:rPr>
          <w:rFonts w:ascii="Times New Roman" w:eastAsia="Calibri" w:hAnsi="Times New Roman"/>
          <w:sz w:val="20"/>
          <w:lang w:val="en-US"/>
        </w:rPr>
        <w:t xml:space="preserve"> </w:t>
      </w:r>
    </w:p>
    <w:p w14:paraId="73287C5E" w14:textId="0492E2F3" w:rsidR="00A93CFE" w:rsidRPr="00861A3F" w:rsidRDefault="00A93CFE" w:rsidP="00861A3F">
      <w:pPr>
        <w:pStyle w:val="10"/>
        <w:numPr>
          <w:ilvl w:val="0"/>
          <w:numId w:val="8"/>
        </w:numPr>
        <w:tabs>
          <w:tab w:val="left" w:pos="142"/>
          <w:tab w:val="left" w:pos="210"/>
          <w:tab w:val="left" w:pos="284"/>
          <w:tab w:val="left" w:pos="735"/>
          <w:tab w:val="left" w:pos="31680"/>
        </w:tabs>
        <w:spacing w:before="0" w:beforeAutospacing="0" w:after="0" w:afterAutospacing="0" w:line="240" w:lineRule="auto"/>
        <w:ind w:left="0" w:firstLine="0"/>
        <w:jc w:val="both"/>
        <w:rPr>
          <w:rFonts w:ascii="Times New Roman" w:eastAsia="Calibri" w:hAnsi="Times New Roman"/>
          <w:sz w:val="20"/>
          <w:lang w:val="en-US"/>
        </w:rPr>
      </w:pPr>
      <w:r w:rsidRPr="00861A3F">
        <w:rPr>
          <w:rFonts w:ascii="Times New Roman" w:eastAsia="Calibri" w:hAnsi="Times New Roman"/>
          <w:sz w:val="20"/>
          <w:lang w:val="en-US"/>
        </w:rPr>
        <w:t>Abdurakhim Taslimov., Feruz Raximov., Farrukh Rakhimov., Iles Bakhadirov., AIP Conf. Proc.</w:t>
      </w:r>
      <w:r w:rsidRPr="00861A3F">
        <w:rPr>
          <w:rFonts w:ascii="Times New Roman" w:eastAsia="Calibri" w:hAnsi="Times New Roman"/>
          <w:b/>
          <w:sz w:val="20"/>
          <w:lang w:val="en-US"/>
        </w:rPr>
        <w:t xml:space="preserve"> 3331</w:t>
      </w:r>
      <w:r w:rsidRPr="00861A3F">
        <w:rPr>
          <w:rFonts w:ascii="Times New Roman" w:eastAsia="Calibri" w:hAnsi="Times New Roman"/>
          <w:sz w:val="20"/>
          <w:lang w:val="en-US"/>
        </w:rPr>
        <w:t xml:space="preserve">, 030048 (2025) </w:t>
      </w:r>
      <w:hyperlink r:id="rId33" w:history="1">
        <w:r w:rsidRPr="00861A3F">
          <w:rPr>
            <w:rStyle w:val="a6"/>
            <w:rFonts w:ascii="Times New Roman" w:eastAsia="Calibri" w:hAnsi="Times New Roman"/>
            <w:sz w:val="20"/>
            <w:lang w:val="en-US"/>
          </w:rPr>
          <w:t>https://doi.org/10.1063/5.0306108</w:t>
        </w:r>
      </w:hyperlink>
      <w:r w:rsidRPr="00861A3F">
        <w:rPr>
          <w:rFonts w:ascii="Times New Roman" w:eastAsia="Calibri" w:hAnsi="Times New Roman"/>
          <w:sz w:val="20"/>
          <w:lang w:val="en-US"/>
        </w:rPr>
        <w:t xml:space="preserve"> </w:t>
      </w:r>
    </w:p>
    <w:p w14:paraId="121929AB" w14:textId="368780B2" w:rsidR="00A93CFE" w:rsidRPr="00861A3F" w:rsidRDefault="00A03679" w:rsidP="00861A3F">
      <w:pPr>
        <w:pStyle w:val="10"/>
        <w:numPr>
          <w:ilvl w:val="0"/>
          <w:numId w:val="8"/>
        </w:numPr>
        <w:tabs>
          <w:tab w:val="left" w:pos="142"/>
          <w:tab w:val="left" w:pos="210"/>
          <w:tab w:val="left" w:pos="284"/>
          <w:tab w:val="left" w:pos="735"/>
          <w:tab w:val="left" w:pos="31680"/>
        </w:tabs>
        <w:spacing w:before="0" w:beforeAutospacing="0" w:after="0" w:afterAutospacing="0" w:line="240" w:lineRule="auto"/>
        <w:ind w:left="0" w:firstLine="0"/>
        <w:jc w:val="both"/>
        <w:rPr>
          <w:rFonts w:ascii="Times New Roman" w:eastAsia="Calibri" w:hAnsi="Times New Roman"/>
          <w:sz w:val="20"/>
          <w:lang w:val="en-US"/>
        </w:rPr>
      </w:pPr>
      <w:r w:rsidRPr="00861A3F">
        <w:rPr>
          <w:rFonts w:ascii="Times New Roman" w:eastAsia="Calibri" w:hAnsi="Times New Roman"/>
          <w:sz w:val="20"/>
          <w:lang w:val="en-US"/>
        </w:rPr>
        <w:t xml:space="preserve">Islom </w:t>
      </w:r>
      <w:proofErr w:type="spellStart"/>
      <w:r w:rsidRPr="00861A3F">
        <w:rPr>
          <w:rFonts w:ascii="Times New Roman" w:eastAsia="Calibri" w:hAnsi="Times New Roman"/>
          <w:sz w:val="20"/>
          <w:lang w:val="en-US"/>
        </w:rPr>
        <w:t>Togaev</w:t>
      </w:r>
      <w:proofErr w:type="spellEnd"/>
      <w:r w:rsidRPr="00861A3F">
        <w:rPr>
          <w:rFonts w:ascii="Times New Roman" w:eastAsia="Calibri" w:hAnsi="Times New Roman"/>
          <w:sz w:val="20"/>
          <w:lang w:val="en-US"/>
        </w:rPr>
        <w:t xml:space="preserve">., Akram </w:t>
      </w:r>
      <w:proofErr w:type="spellStart"/>
      <w:r w:rsidRPr="00861A3F">
        <w:rPr>
          <w:rFonts w:ascii="Times New Roman" w:eastAsia="Calibri" w:hAnsi="Times New Roman"/>
          <w:sz w:val="20"/>
          <w:lang w:val="en-US"/>
        </w:rPr>
        <w:t>Tovbaev</w:t>
      </w:r>
      <w:proofErr w:type="spellEnd"/>
      <w:r w:rsidRPr="00861A3F">
        <w:rPr>
          <w:rFonts w:ascii="Times New Roman" w:eastAsia="Calibri" w:hAnsi="Times New Roman"/>
          <w:sz w:val="20"/>
          <w:lang w:val="en-US"/>
        </w:rPr>
        <w:t xml:space="preserve">., </w:t>
      </w:r>
      <w:proofErr w:type="spellStart"/>
      <w:r w:rsidRPr="00861A3F">
        <w:rPr>
          <w:rFonts w:ascii="Times New Roman" w:eastAsia="Calibri" w:hAnsi="Times New Roman"/>
          <w:sz w:val="20"/>
          <w:lang w:val="en-US"/>
        </w:rPr>
        <w:t>Gulom</w:t>
      </w:r>
      <w:proofErr w:type="spellEnd"/>
      <w:r w:rsidRPr="00861A3F">
        <w:rPr>
          <w:rFonts w:ascii="Times New Roman" w:eastAsia="Calibri" w:hAnsi="Times New Roman"/>
          <w:sz w:val="20"/>
          <w:lang w:val="en-US"/>
        </w:rPr>
        <w:t xml:space="preserve"> </w:t>
      </w:r>
      <w:proofErr w:type="spellStart"/>
      <w:r w:rsidRPr="00861A3F">
        <w:rPr>
          <w:rFonts w:ascii="Times New Roman" w:eastAsia="Calibri" w:hAnsi="Times New Roman"/>
          <w:sz w:val="20"/>
          <w:lang w:val="en-US"/>
        </w:rPr>
        <w:t>Nodirov</w:t>
      </w:r>
      <w:proofErr w:type="spellEnd"/>
      <w:r w:rsidRPr="00861A3F">
        <w:rPr>
          <w:rFonts w:ascii="Times New Roman" w:eastAsia="Calibri" w:hAnsi="Times New Roman"/>
          <w:sz w:val="20"/>
          <w:lang w:val="en-US"/>
        </w:rPr>
        <w:t>., AIP Conf. Proc.</w:t>
      </w:r>
      <w:r w:rsidRPr="00861A3F">
        <w:rPr>
          <w:rFonts w:ascii="Times New Roman" w:eastAsia="Calibri" w:hAnsi="Times New Roman"/>
          <w:b/>
          <w:sz w:val="20"/>
          <w:lang w:val="en-US"/>
        </w:rPr>
        <w:t xml:space="preserve"> 3331</w:t>
      </w:r>
      <w:r w:rsidRPr="00861A3F">
        <w:rPr>
          <w:rFonts w:ascii="Times New Roman" w:eastAsia="Calibri" w:hAnsi="Times New Roman"/>
          <w:sz w:val="20"/>
          <w:lang w:val="en-US"/>
        </w:rPr>
        <w:t xml:space="preserve">, 030099 (2025) </w:t>
      </w:r>
      <w:hyperlink r:id="rId34" w:history="1">
        <w:r w:rsidRPr="00861A3F">
          <w:rPr>
            <w:rStyle w:val="a6"/>
            <w:rFonts w:ascii="Times New Roman" w:eastAsia="Calibri" w:hAnsi="Times New Roman"/>
            <w:sz w:val="20"/>
            <w:lang w:val="en-US"/>
          </w:rPr>
          <w:t>https://doi.org/10.1063/5.0305740</w:t>
        </w:r>
      </w:hyperlink>
      <w:r w:rsidRPr="00861A3F">
        <w:rPr>
          <w:rFonts w:ascii="Times New Roman" w:eastAsia="Calibri" w:hAnsi="Times New Roman"/>
          <w:sz w:val="20"/>
          <w:lang w:val="en-US"/>
        </w:rPr>
        <w:t xml:space="preserve"> </w:t>
      </w:r>
    </w:p>
    <w:p w14:paraId="07610ED3" w14:textId="448362B9" w:rsidR="00A03679" w:rsidRPr="00861A3F" w:rsidRDefault="00042167" w:rsidP="00861A3F">
      <w:pPr>
        <w:pStyle w:val="10"/>
        <w:numPr>
          <w:ilvl w:val="0"/>
          <w:numId w:val="8"/>
        </w:numPr>
        <w:tabs>
          <w:tab w:val="left" w:pos="142"/>
          <w:tab w:val="left" w:pos="210"/>
          <w:tab w:val="left" w:pos="284"/>
          <w:tab w:val="left" w:pos="735"/>
          <w:tab w:val="left" w:pos="31680"/>
        </w:tabs>
        <w:spacing w:before="0" w:beforeAutospacing="0" w:after="0" w:afterAutospacing="0" w:line="240" w:lineRule="auto"/>
        <w:ind w:left="0" w:firstLine="0"/>
        <w:jc w:val="both"/>
        <w:rPr>
          <w:rFonts w:ascii="Times New Roman" w:eastAsia="Calibri" w:hAnsi="Times New Roman"/>
          <w:sz w:val="20"/>
          <w:lang w:val="en-US"/>
        </w:rPr>
      </w:pPr>
      <w:r w:rsidRPr="00861A3F">
        <w:rPr>
          <w:rFonts w:ascii="Times New Roman" w:eastAsia="Calibri" w:hAnsi="Times New Roman"/>
          <w:sz w:val="20"/>
          <w:lang w:val="en-US"/>
        </w:rPr>
        <w:t xml:space="preserve">Abdurakhim Taslimov., Farrukh Rakhimov., Feruz Rakhimov., </w:t>
      </w:r>
      <w:proofErr w:type="spellStart"/>
      <w:r w:rsidRPr="00861A3F">
        <w:rPr>
          <w:rFonts w:ascii="Times New Roman" w:eastAsia="Calibri" w:hAnsi="Times New Roman"/>
          <w:sz w:val="20"/>
          <w:lang w:val="en-US"/>
        </w:rPr>
        <w:t>Vaxobiddin</w:t>
      </w:r>
      <w:proofErr w:type="spellEnd"/>
      <w:r w:rsidRPr="00861A3F">
        <w:rPr>
          <w:rFonts w:ascii="Times New Roman" w:eastAsia="Calibri" w:hAnsi="Times New Roman"/>
          <w:sz w:val="20"/>
          <w:lang w:val="en-US"/>
        </w:rPr>
        <w:t xml:space="preserve"> </w:t>
      </w:r>
      <w:proofErr w:type="spellStart"/>
      <w:r w:rsidRPr="00861A3F">
        <w:rPr>
          <w:rFonts w:ascii="Times New Roman" w:eastAsia="Calibri" w:hAnsi="Times New Roman"/>
          <w:sz w:val="20"/>
          <w:lang w:val="en-US"/>
        </w:rPr>
        <w:t>Mo’minov</w:t>
      </w:r>
      <w:proofErr w:type="spellEnd"/>
      <w:r w:rsidRPr="00861A3F">
        <w:rPr>
          <w:rFonts w:ascii="Times New Roman" w:eastAsia="Calibri" w:hAnsi="Times New Roman"/>
          <w:sz w:val="20"/>
          <w:lang w:val="en-US"/>
        </w:rPr>
        <w:t xml:space="preserve">., AIP Conf. Proc. </w:t>
      </w:r>
      <w:r w:rsidRPr="00861A3F">
        <w:rPr>
          <w:rFonts w:ascii="Times New Roman" w:eastAsia="Calibri" w:hAnsi="Times New Roman"/>
          <w:b/>
          <w:sz w:val="20"/>
          <w:lang w:val="en-US"/>
        </w:rPr>
        <w:t>3331,</w:t>
      </w:r>
      <w:r w:rsidRPr="00861A3F">
        <w:rPr>
          <w:rFonts w:ascii="Times New Roman" w:eastAsia="Calibri" w:hAnsi="Times New Roman"/>
          <w:sz w:val="20"/>
          <w:lang w:val="en-US"/>
        </w:rPr>
        <w:t xml:space="preserve"> 030041 (2025) </w:t>
      </w:r>
      <w:hyperlink r:id="rId35" w:history="1">
        <w:r w:rsidRPr="00861A3F">
          <w:rPr>
            <w:rStyle w:val="a6"/>
            <w:rFonts w:ascii="Times New Roman" w:eastAsia="Calibri" w:hAnsi="Times New Roman"/>
            <w:sz w:val="20"/>
            <w:lang w:val="en-US"/>
          </w:rPr>
          <w:t>https://doi.org/10.1063/5.0305783</w:t>
        </w:r>
      </w:hyperlink>
      <w:r w:rsidRPr="00861A3F">
        <w:rPr>
          <w:rFonts w:ascii="Times New Roman" w:eastAsia="Calibri" w:hAnsi="Times New Roman"/>
          <w:sz w:val="20"/>
          <w:lang w:val="en-US"/>
        </w:rPr>
        <w:t xml:space="preserve"> </w:t>
      </w:r>
    </w:p>
    <w:p w14:paraId="2CE1EF48" w14:textId="6885BF50" w:rsidR="00D80C1F" w:rsidRPr="00861A3F" w:rsidRDefault="00EC7F93" w:rsidP="00861A3F">
      <w:pPr>
        <w:pStyle w:val="10"/>
        <w:numPr>
          <w:ilvl w:val="0"/>
          <w:numId w:val="8"/>
        </w:numPr>
        <w:tabs>
          <w:tab w:val="left" w:pos="142"/>
          <w:tab w:val="left" w:pos="210"/>
          <w:tab w:val="left" w:pos="284"/>
          <w:tab w:val="left" w:pos="735"/>
          <w:tab w:val="left" w:pos="31680"/>
        </w:tabs>
        <w:spacing w:before="0" w:beforeAutospacing="0" w:after="0" w:afterAutospacing="0" w:line="240" w:lineRule="auto"/>
        <w:ind w:left="0" w:firstLine="0"/>
        <w:jc w:val="both"/>
        <w:rPr>
          <w:rFonts w:ascii="Times New Roman" w:eastAsia="Calibri" w:hAnsi="Times New Roman"/>
          <w:sz w:val="20"/>
          <w:lang w:val="en-US"/>
        </w:rPr>
      </w:pPr>
      <w:proofErr w:type="spellStart"/>
      <w:r w:rsidRPr="00861A3F">
        <w:rPr>
          <w:rFonts w:ascii="Times New Roman" w:eastAsia="Calibri" w:hAnsi="Times New Roman"/>
          <w:sz w:val="20"/>
          <w:lang w:val="en-US"/>
        </w:rPr>
        <w:t>Numon</w:t>
      </w:r>
      <w:proofErr w:type="spellEnd"/>
      <w:r w:rsidRPr="00861A3F">
        <w:rPr>
          <w:rFonts w:ascii="Times New Roman" w:eastAsia="Calibri" w:hAnsi="Times New Roman"/>
          <w:sz w:val="20"/>
          <w:lang w:val="en-US"/>
        </w:rPr>
        <w:t xml:space="preserve"> Niyozov, Anvar Akhmedov, Shukhrat </w:t>
      </w:r>
      <w:proofErr w:type="spellStart"/>
      <w:r w:rsidRPr="00861A3F">
        <w:rPr>
          <w:rFonts w:ascii="Times New Roman" w:eastAsia="Calibri" w:hAnsi="Times New Roman"/>
          <w:sz w:val="20"/>
          <w:lang w:val="en-US"/>
        </w:rPr>
        <w:t>Djurayev</w:t>
      </w:r>
      <w:proofErr w:type="spellEnd"/>
      <w:r w:rsidRPr="00861A3F">
        <w:rPr>
          <w:rFonts w:ascii="Times New Roman" w:eastAsia="Calibri" w:hAnsi="Times New Roman"/>
          <w:sz w:val="20"/>
          <w:lang w:val="en-US"/>
        </w:rPr>
        <w:t xml:space="preserve">, Botir </w:t>
      </w:r>
      <w:proofErr w:type="spellStart"/>
      <w:r w:rsidRPr="00861A3F">
        <w:rPr>
          <w:rFonts w:ascii="Times New Roman" w:eastAsia="Calibri" w:hAnsi="Times New Roman"/>
          <w:sz w:val="20"/>
          <w:lang w:val="en-US"/>
        </w:rPr>
        <w:t>Tukhtamishev</w:t>
      </w:r>
      <w:proofErr w:type="spellEnd"/>
      <w:r w:rsidRPr="00861A3F">
        <w:rPr>
          <w:rFonts w:ascii="Times New Roman" w:eastAsia="Calibri" w:hAnsi="Times New Roman"/>
          <w:sz w:val="20"/>
          <w:lang w:val="en-US"/>
        </w:rPr>
        <w:t xml:space="preserve">, </w:t>
      </w:r>
      <w:proofErr w:type="spellStart"/>
      <w:r w:rsidRPr="00861A3F">
        <w:rPr>
          <w:rFonts w:ascii="Times New Roman" w:eastAsia="Calibri" w:hAnsi="Times New Roman"/>
          <w:sz w:val="20"/>
          <w:lang w:val="en-US"/>
        </w:rPr>
        <w:t>Asliddin</w:t>
      </w:r>
      <w:proofErr w:type="spellEnd"/>
      <w:r w:rsidRPr="00861A3F">
        <w:rPr>
          <w:rFonts w:ascii="Times New Roman" w:eastAsia="Calibri" w:hAnsi="Times New Roman"/>
          <w:sz w:val="20"/>
          <w:lang w:val="en-US"/>
        </w:rPr>
        <w:t xml:space="preserve"> </w:t>
      </w:r>
      <w:proofErr w:type="spellStart"/>
      <w:r w:rsidRPr="00861A3F">
        <w:rPr>
          <w:rFonts w:ascii="Times New Roman" w:eastAsia="Calibri" w:hAnsi="Times New Roman"/>
          <w:sz w:val="20"/>
          <w:lang w:val="en-US"/>
        </w:rPr>
        <w:t>Norqulov</w:t>
      </w:r>
      <w:proofErr w:type="spellEnd"/>
      <w:r w:rsidRPr="00861A3F">
        <w:rPr>
          <w:rFonts w:ascii="Times New Roman" w:eastAsia="Calibri" w:hAnsi="Times New Roman"/>
          <w:sz w:val="20"/>
          <w:lang w:val="en-US"/>
        </w:rPr>
        <w:t>.</w:t>
      </w:r>
      <w:r w:rsidRPr="00861A3F">
        <w:rPr>
          <w:rFonts w:ascii="Times New Roman" w:hAnsi="Times New Roman"/>
          <w:lang w:val="en-US"/>
        </w:rPr>
        <w:t xml:space="preserve"> </w:t>
      </w:r>
      <w:r w:rsidRPr="00861A3F">
        <w:rPr>
          <w:rFonts w:ascii="Times New Roman" w:eastAsia="Calibri" w:hAnsi="Times New Roman"/>
          <w:sz w:val="20"/>
          <w:lang w:val="en-US"/>
        </w:rPr>
        <w:t xml:space="preserve">AIP Conf. Proc. 3331, 080008 (2025) </w:t>
      </w:r>
      <w:hyperlink r:id="rId36" w:history="1">
        <w:r w:rsidRPr="00861A3F">
          <w:rPr>
            <w:rStyle w:val="a6"/>
            <w:rFonts w:ascii="Times New Roman" w:eastAsia="Calibri" w:hAnsi="Times New Roman"/>
            <w:sz w:val="20"/>
            <w:lang w:val="en-US"/>
          </w:rPr>
          <w:t>https://doi.org/10.1063/5.0305729</w:t>
        </w:r>
      </w:hyperlink>
      <w:r w:rsidRPr="00861A3F">
        <w:rPr>
          <w:rFonts w:ascii="Times New Roman" w:eastAsia="Calibri" w:hAnsi="Times New Roman"/>
          <w:sz w:val="20"/>
          <w:lang w:val="en-US"/>
        </w:rPr>
        <w:t xml:space="preserve"> </w:t>
      </w:r>
    </w:p>
    <w:sectPr w:rsidR="00D80C1F" w:rsidRPr="00861A3F" w:rsidSect="00175565">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Std-Regular">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D154BCC"/>
    <w:multiLevelType w:val="multilevel"/>
    <w:tmpl w:val="350C60C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D47CD7"/>
    <w:multiLevelType w:val="hybridMultilevel"/>
    <w:tmpl w:val="53F681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74487954">
    <w:abstractNumId w:val="1"/>
  </w:num>
  <w:num w:numId="2" w16cid:durableId="1030036568">
    <w:abstractNumId w:val="0"/>
  </w:num>
  <w:num w:numId="3" w16cid:durableId="1717000156">
    <w:abstractNumId w:val="7"/>
  </w:num>
  <w:num w:numId="4" w16cid:durableId="2080664330">
    <w:abstractNumId w:val="5"/>
  </w:num>
  <w:num w:numId="5" w16cid:durableId="852694211">
    <w:abstractNumId w:val="4"/>
  </w:num>
  <w:num w:numId="6" w16cid:durableId="1715156093">
    <w:abstractNumId w:val="6"/>
  </w:num>
  <w:num w:numId="7" w16cid:durableId="1073890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124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064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84A"/>
    <w:rsid w:val="00036D11"/>
    <w:rsid w:val="00036E9C"/>
    <w:rsid w:val="00037002"/>
    <w:rsid w:val="0003742E"/>
    <w:rsid w:val="00037FB4"/>
    <w:rsid w:val="000409BE"/>
    <w:rsid w:val="00040B5D"/>
    <w:rsid w:val="00040B6D"/>
    <w:rsid w:val="00040D26"/>
    <w:rsid w:val="00040E7E"/>
    <w:rsid w:val="00042167"/>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8AB"/>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2CA1"/>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4C89"/>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1F0D"/>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5565"/>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5E"/>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359"/>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CE3"/>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6525"/>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2F"/>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221"/>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34A"/>
    <w:rsid w:val="003F44D0"/>
    <w:rsid w:val="003F513B"/>
    <w:rsid w:val="003F52BF"/>
    <w:rsid w:val="003F5754"/>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790"/>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558"/>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65B9"/>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C73"/>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2C36"/>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A7D68"/>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0F42"/>
    <w:rsid w:val="005E21EE"/>
    <w:rsid w:val="005E233A"/>
    <w:rsid w:val="005E2682"/>
    <w:rsid w:val="005E2A9D"/>
    <w:rsid w:val="005E2BD4"/>
    <w:rsid w:val="005E2D6E"/>
    <w:rsid w:val="005E2F94"/>
    <w:rsid w:val="005E3167"/>
    <w:rsid w:val="005E319A"/>
    <w:rsid w:val="005E34C3"/>
    <w:rsid w:val="005E3DCC"/>
    <w:rsid w:val="005E3E4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0CB"/>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3ED"/>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9C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2AA3"/>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5AA"/>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5D58"/>
    <w:rsid w:val="006D6534"/>
    <w:rsid w:val="006D6678"/>
    <w:rsid w:val="006D7B5F"/>
    <w:rsid w:val="006D7F51"/>
    <w:rsid w:val="006E028E"/>
    <w:rsid w:val="006E0DBB"/>
    <w:rsid w:val="006E13C2"/>
    <w:rsid w:val="006E166C"/>
    <w:rsid w:val="006E235E"/>
    <w:rsid w:val="006E3D73"/>
    <w:rsid w:val="006E4C08"/>
    <w:rsid w:val="006E50AA"/>
    <w:rsid w:val="006E5507"/>
    <w:rsid w:val="006E5971"/>
    <w:rsid w:val="006E5EDA"/>
    <w:rsid w:val="006E63C1"/>
    <w:rsid w:val="006E6545"/>
    <w:rsid w:val="006E7BB9"/>
    <w:rsid w:val="006F030F"/>
    <w:rsid w:val="006F077B"/>
    <w:rsid w:val="006F0884"/>
    <w:rsid w:val="006F09A0"/>
    <w:rsid w:val="006F1B81"/>
    <w:rsid w:val="006F2785"/>
    <w:rsid w:val="006F2971"/>
    <w:rsid w:val="006F2CF8"/>
    <w:rsid w:val="006F3484"/>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0A7A"/>
    <w:rsid w:val="0071111B"/>
    <w:rsid w:val="007121DA"/>
    <w:rsid w:val="00712273"/>
    <w:rsid w:val="007124AC"/>
    <w:rsid w:val="007125D4"/>
    <w:rsid w:val="00713750"/>
    <w:rsid w:val="007138EB"/>
    <w:rsid w:val="00713C69"/>
    <w:rsid w:val="007140BD"/>
    <w:rsid w:val="00714179"/>
    <w:rsid w:val="0071477F"/>
    <w:rsid w:val="00714E06"/>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75C"/>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CCD"/>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0DBF"/>
    <w:rsid w:val="00861039"/>
    <w:rsid w:val="00861A3F"/>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AB7"/>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3C5"/>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A76"/>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679"/>
    <w:rsid w:val="00A03989"/>
    <w:rsid w:val="00A03A70"/>
    <w:rsid w:val="00A0451F"/>
    <w:rsid w:val="00A04E92"/>
    <w:rsid w:val="00A053ED"/>
    <w:rsid w:val="00A0597C"/>
    <w:rsid w:val="00A0607D"/>
    <w:rsid w:val="00A06232"/>
    <w:rsid w:val="00A06822"/>
    <w:rsid w:val="00A06D67"/>
    <w:rsid w:val="00A06E81"/>
    <w:rsid w:val="00A06FFF"/>
    <w:rsid w:val="00A072E0"/>
    <w:rsid w:val="00A10794"/>
    <w:rsid w:val="00A11423"/>
    <w:rsid w:val="00A115B5"/>
    <w:rsid w:val="00A1196E"/>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2916"/>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87BCE"/>
    <w:rsid w:val="00A92019"/>
    <w:rsid w:val="00A921DE"/>
    <w:rsid w:val="00A927C9"/>
    <w:rsid w:val="00A92B5F"/>
    <w:rsid w:val="00A92C24"/>
    <w:rsid w:val="00A93CFE"/>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6D3A"/>
    <w:rsid w:val="00AD00E0"/>
    <w:rsid w:val="00AD08C7"/>
    <w:rsid w:val="00AD15A6"/>
    <w:rsid w:val="00AD1E2B"/>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17C0"/>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D99"/>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1375"/>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82B"/>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6DC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B9B"/>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8BD"/>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EE"/>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56D"/>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4B89"/>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C7F93"/>
    <w:rsid w:val="00ED0001"/>
    <w:rsid w:val="00ED1D5F"/>
    <w:rsid w:val="00ED2155"/>
    <w:rsid w:val="00ED2D59"/>
    <w:rsid w:val="00ED3963"/>
    <w:rsid w:val="00ED3B4A"/>
    <w:rsid w:val="00ED4187"/>
    <w:rsid w:val="00ED4292"/>
    <w:rsid w:val="00ED47AA"/>
    <w:rsid w:val="00ED5AC4"/>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242"/>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994"/>
    <w:rsid w:val="00FA0F5B"/>
    <w:rsid w:val="00FA0F7D"/>
    <w:rsid w:val="00FA26E8"/>
    <w:rsid w:val="00FA26F8"/>
    <w:rsid w:val="00FA2D1D"/>
    <w:rsid w:val="00FA3330"/>
    <w:rsid w:val="00FA35B7"/>
    <w:rsid w:val="00FA35BA"/>
    <w:rsid w:val="00FA4A32"/>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099A"/>
    <w:rsid w:val="00FF12CF"/>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5CC17DF"/>
  <w15:docId w15:val="{E28815F1-777C-4445-961D-2A520265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242"/>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271C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1CE3"/>
    <w:rPr>
      <w:rFonts w:ascii="Tahoma" w:hAnsi="Tahoma" w:cs="Tahoma"/>
      <w:sz w:val="16"/>
      <w:szCs w:val="16"/>
    </w:rPr>
  </w:style>
  <w:style w:type="paragraph" w:customStyle="1" w:styleId="Body">
    <w:name w:val="Body"/>
    <w:basedOn w:val="a"/>
    <w:uiPriority w:val="1"/>
    <w:qFormat/>
    <w:rsid w:val="006E5971"/>
    <w:pPr>
      <w:widowControl w:val="0"/>
      <w:autoSpaceDE w:val="0"/>
      <w:autoSpaceDN w:val="0"/>
      <w:adjustRightInd w:val="0"/>
      <w:spacing w:after="0" w:line="240" w:lineRule="auto"/>
    </w:pPr>
    <w:rPr>
      <w:rFonts w:ascii="Times New Roman" w:eastAsia="Times New Roman" w:hAnsi="Times New Roman" w:cs="Times New Roman"/>
      <w:lang w:val="ru-RU" w:eastAsia="ru-RU"/>
    </w:rPr>
  </w:style>
  <w:style w:type="character" w:customStyle="1" w:styleId="fontstyle01">
    <w:name w:val="fontstyle01"/>
    <w:basedOn w:val="a0"/>
    <w:rsid w:val="007E2CCD"/>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7E2CCD"/>
    <w:rPr>
      <w:rFonts w:ascii="Times New Roman" w:hAnsi="Times New Roman" w:cs="Times New Roman" w:hint="default"/>
      <w:b/>
      <w:bCs/>
      <w:i w:val="0"/>
      <w:iCs w:val="0"/>
      <w:color w:val="000000"/>
      <w:sz w:val="20"/>
      <w:szCs w:val="20"/>
    </w:rPr>
  </w:style>
  <w:style w:type="character" w:customStyle="1" w:styleId="fontstyle31">
    <w:name w:val="fontstyle31"/>
    <w:basedOn w:val="a0"/>
    <w:rsid w:val="007E2CCD"/>
    <w:rPr>
      <w:rFonts w:ascii="TimesNewRomanPSStd-Regular" w:hAnsi="TimesNewRomanPSStd-Regular" w:hint="default"/>
      <w:b w:val="0"/>
      <w:bCs w:val="0"/>
      <w:i w:val="0"/>
      <w:iCs w:val="0"/>
      <w:color w:val="231F20"/>
      <w:sz w:val="20"/>
      <w:szCs w:val="20"/>
    </w:rPr>
  </w:style>
  <w:style w:type="character" w:customStyle="1" w:styleId="fontstyle41">
    <w:name w:val="fontstyle41"/>
    <w:basedOn w:val="a0"/>
    <w:rsid w:val="007E2CCD"/>
    <w:rPr>
      <w:rFonts w:ascii="ArialMT" w:hAnsi="ArialMT" w:hint="default"/>
      <w:b w:val="0"/>
      <w:bCs w:val="0"/>
      <w:i w:val="0"/>
      <w:iCs w:val="0"/>
      <w:color w:val="000000"/>
      <w:sz w:val="12"/>
      <w:szCs w:val="12"/>
    </w:rPr>
  </w:style>
  <w:style w:type="character" w:customStyle="1" w:styleId="fontstyle51">
    <w:name w:val="fontstyle51"/>
    <w:basedOn w:val="a0"/>
    <w:rsid w:val="007E2CCD"/>
    <w:rPr>
      <w:rFonts w:ascii="Times New Roman" w:hAnsi="Times New Roman" w:cs="Times New Roman" w:hint="default"/>
      <w:b w:val="0"/>
      <w:bCs w:val="0"/>
      <w:i/>
      <w:iCs/>
      <w:color w:val="2E2E2E"/>
      <w:sz w:val="20"/>
      <w:szCs w:val="20"/>
    </w:rPr>
  </w:style>
  <w:style w:type="paragraph" w:customStyle="1" w:styleId="Reference">
    <w:name w:val="Reference"/>
    <w:basedOn w:val="a"/>
    <w:rsid w:val="000838A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10">
    <w:name w:val="Абзац списка1"/>
    <w:basedOn w:val="a"/>
    <w:rsid w:val="000838AB"/>
    <w:pPr>
      <w:spacing w:before="100" w:beforeAutospacing="1" w:after="100" w:afterAutospacing="1" w:line="256" w:lineRule="auto"/>
      <w:contextualSpacing/>
    </w:pPr>
    <w:rPr>
      <w:rFonts w:ascii="Calibri" w:eastAsia="Times New Roman" w:hAnsi="Calibri" w:cs="Times New Roman"/>
      <w:sz w:val="24"/>
      <w:szCs w:val="24"/>
      <w:lang w:val="ru-RU" w:eastAsia="ru-RU"/>
    </w:rPr>
  </w:style>
  <w:style w:type="character" w:customStyle="1" w:styleId="15">
    <w:name w:val="15"/>
    <w:basedOn w:val="a0"/>
    <w:rsid w:val="000838AB"/>
    <w:rPr>
      <w:rFonts w:ascii="Calibri" w:hAnsi="Calibri" w:cs="Calibri" w:hint="default"/>
      <w:color w:val="0563C1"/>
      <w:u w:val="single"/>
    </w:rPr>
  </w:style>
  <w:style w:type="character" w:customStyle="1" w:styleId="16">
    <w:name w:val="16"/>
    <w:basedOn w:val="a0"/>
    <w:rsid w:val="000838AB"/>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87712170">
      <w:bodyDiv w:val="1"/>
      <w:marLeft w:val="0"/>
      <w:marRight w:val="0"/>
      <w:marTop w:val="0"/>
      <w:marBottom w:val="0"/>
      <w:divBdr>
        <w:top w:val="none" w:sz="0" w:space="0" w:color="auto"/>
        <w:left w:val="none" w:sz="0" w:space="0" w:color="auto"/>
        <w:bottom w:val="none" w:sz="0" w:space="0" w:color="auto"/>
        <w:right w:val="none" w:sz="0" w:space="0" w:color="auto"/>
      </w:divBdr>
    </w:div>
    <w:div w:id="746927880">
      <w:bodyDiv w:val="1"/>
      <w:marLeft w:val="0"/>
      <w:marRight w:val="0"/>
      <w:marTop w:val="0"/>
      <w:marBottom w:val="0"/>
      <w:divBdr>
        <w:top w:val="none" w:sz="0" w:space="0" w:color="auto"/>
        <w:left w:val="none" w:sz="0" w:space="0" w:color="auto"/>
        <w:bottom w:val="none" w:sz="0" w:space="0" w:color="auto"/>
        <w:right w:val="none" w:sz="0" w:space="0" w:color="auto"/>
      </w:divBdr>
    </w:div>
    <w:div w:id="877164096">
      <w:bodyDiv w:val="1"/>
      <w:marLeft w:val="0"/>
      <w:marRight w:val="0"/>
      <w:marTop w:val="0"/>
      <w:marBottom w:val="0"/>
      <w:divBdr>
        <w:top w:val="none" w:sz="0" w:space="0" w:color="auto"/>
        <w:left w:val="none" w:sz="0" w:space="0" w:color="auto"/>
        <w:bottom w:val="none" w:sz="0" w:space="0" w:color="auto"/>
        <w:right w:val="none" w:sz="0" w:space="0" w:color="auto"/>
      </w:divBdr>
    </w:div>
    <w:div w:id="1001615750">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79864127">
      <w:bodyDiv w:val="1"/>
      <w:marLeft w:val="0"/>
      <w:marRight w:val="0"/>
      <w:marTop w:val="0"/>
      <w:marBottom w:val="0"/>
      <w:divBdr>
        <w:top w:val="none" w:sz="0" w:space="0" w:color="auto"/>
        <w:left w:val="none" w:sz="0" w:space="0" w:color="auto"/>
        <w:bottom w:val="none" w:sz="0" w:space="0" w:color="auto"/>
        <w:right w:val="none" w:sz="0" w:space="0" w:color="auto"/>
      </w:divBdr>
    </w:div>
    <w:div w:id="1517034217">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5.vsdx"/><Relationship Id="rId26" Type="http://schemas.openxmlformats.org/officeDocument/2006/relationships/hyperlink" Target="https://doi.org/10.1051/e3sconf/202452503009" TargetMode="External"/><Relationship Id="rId21" Type="http://schemas.openxmlformats.org/officeDocument/2006/relationships/hyperlink" Target="https://doi.org/10.1051/e3sconf/202454803009" TargetMode="External"/><Relationship Id="rId34" Type="http://schemas.openxmlformats.org/officeDocument/2006/relationships/hyperlink" Target="https://doi.org/10.1063/5.0305740" TargetMode="External"/><Relationship Id="rId7" Type="http://schemas.openxmlformats.org/officeDocument/2006/relationships/image" Target="media/image1.emf"/><Relationship Id="rId12" Type="http://schemas.openxmlformats.org/officeDocument/2006/relationships/package" Target="embeddings/Microsoft_Visio_Drawing2.vsdx"/><Relationship Id="rId17" Type="http://schemas.openxmlformats.org/officeDocument/2006/relationships/image" Target="media/image6.emf"/><Relationship Id="rId25" Type="http://schemas.openxmlformats.org/officeDocument/2006/relationships/hyperlink" Target="https://doi.org/10.1051/e3sconf/202340210018" TargetMode="External"/><Relationship Id="rId33" Type="http://schemas.openxmlformats.org/officeDocument/2006/relationships/hyperlink" Target="https://doi.org/10.1063/5.030610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4.vsdx"/><Relationship Id="rId20" Type="http://schemas.openxmlformats.org/officeDocument/2006/relationships/hyperlink" Target="https://doi.org/10.1051/e3sconf/202452503004" TargetMode="External"/><Relationship Id="rId29" Type="http://schemas.openxmlformats.org/officeDocument/2006/relationships/hyperlink" Target="https://doi.org/10.1063/5.0307209" TargetMode="External"/><Relationship Id="rId1" Type="http://schemas.openxmlformats.org/officeDocument/2006/relationships/customXml" Target="../customXml/item1.xml"/><Relationship Id="rId6" Type="http://schemas.openxmlformats.org/officeDocument/2006/relationships/hyperlink" Target="mailto:togayev.islom@mail.ru" TargetMode="External"/><Relationship Id="rId11" Type="http://schemas.openxmlformats.org/officeDocument/2006/relationships/image" Target="media/image3.emf"/><Relationship Id="rId24" Type="http://schemas.openxmlformats.org/officeDocument/2006/relationships/hyperlink" Target="https://doi.org/10.1051/e3sconf/202452506006" TargetMode="External"/><Relationship Id="rId32" Type="http://schemas.openxmlformats.org/officeDocument/2006/relationships/hyperlink" Target="https://doi.org/10.1063/5.030573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s://doi.org/10.1051/e3sconf/202454102009" TargetMode="External"/><Relationship Id="rId28" Type="http://schemas.openxmlformats.org/officeDocument/2006/relationships/hyperlink" Target="https://doi.org/10.1051/e3sconf/202341703003" TargetMode="External"/><Relationship Id="rId36" Type="http://schemas.openxmlformats.org/officeDocument/2006/relationships/hyperlink" Target="https://doi.org/10.1063/5.0305729" TargetMode="External"/><Relationship Id="rId10" Type="http://schemas.openxmlformats.org/officeDocument/2006/relationships/package" Target="embeddings/Microsoft_Visio_Drawing1.vsdx"/><Relationship Id="rId19" Type="http://schemas.openxmlformats.org/officeDocument/2006/relationships/hyperlink" Target="https://doi.org/10.1051/e3sconf/202341703001" TargetMode="External"/><Relationship Id="rId31" Type="http://schemas.openxmlformats.org/officeDocument/2006/relationships/hyperlink" Target="https://doi.org/10.1063/5.0306786"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3.vsdx"/><Relationship Id="rId22" Type="http://schemas.openxmlformats.org/officeDocument/2006/relationships/hyperlink" Target="https://doi.org/10.1051/e3sconf/202452505012" TargetMode="External"/><Relationship Id="rId27" Type="http://schemas.openxmlformats.org/officeDocument/2006/relationships/hyperlink" Target="https://doi.org/10.1051/e3sconf/202452506001" TargetMode="External"/><Relationship Id="rId30" Type="http://schemas.openxmlformats.org/officeDocument/2006/relationships/hyperlink" Target="https://doi.org/10.1063/5.0306104" TargetMode="External"/><Relationship Id="rId35" Type="http://schemas.openxmlformats.org/officeDocument/2006/relationships/hyperlink" Target="https://doi.org/10.1063/5.0305783" TargetMode="External"/><Relationship Id="rId8" Type="http://schemas.openxmlformats.org/officeDocument/2006/relationships/package" Target="embeddings/Microsoft_Visio_Drawing.vsdx"/><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784C4-FB3D-4FA9-AF05-6BC13FAF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2408</Words>
  <Characters>13728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67</cp:revision>
  <cp:lastPrinted>2023-12-26T18:03:00Z</cp:lastPrinted>
  <dcterms:created xsi:type="dcterms:W3CDTF">2024-07-17T07:39:00Z</dcterms:created>
  <dcterms:modified xsi:type="dcterms:W3CDTF">2025-12-28T09:26:00Z</dcterms:modified>
</cp:coreProperties>
</file>