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509665" w14:textId="0DF27008" w:rsidR="00A207D3" w:rsidRPr="00A207D3" w:rsidRDefault="00A207D3" w:rsidP="00A4165F">
      <w:pPr>
        <w:spacing w:before="1200" w:after="200" w:line="240" w:lineRule="auto"/>
        <w:ind w:firstLine="567"/>
        <w:jc w:val="center"/>
        <w:rPr>
          <w:rFonts w:ascii="Times New Roman" w:eastAsia="Times New Roman" w:hAnsi="Times New Roman" w:cs="Times New Roman"/>
          <w:b/>
          <w:bCs/>
          <w:sz w:val="36"/>
          <w:szCs w:val="36"/>
          <w:lang w:val="en-US" w:eastAsia="ru-RU"/>
        </w:rPr>
      </w:pPr>
      <w:r w:rsidRPr="00A207D3">
        <w:rPr>
          <w:rFonts w:ascii="Times New Roman" w:eastAsia="Times New Roman" w:hAnsi="Times New Roman" w:cs="Times New Roman"/>
          <w:b/>
          <w:bCs/>
          <w:sz w:val="36"/>
          <w:szCs w:val="36"/>
          <w:lang w:val="en-US" w:eastAsia="ru-RU"/>
        </w:rPr>
        <w:t>Assessment of the impact of municipal and household consumers on voltage and current sinusoidality</w:t>
      </w:r>
    </w:p>
    <w:p w14:paraId="560BCCE2" w14:textId="67465A43" w:rsidR="00A741A4" w:rsidRPr="00017BCC" w:rsidRDefault="00A741A4" w:rsidP="00A4165F">
      <w:pPr>
        <w:spacing w:before="240" w:after="200" w:line="240" w:lineRule="auto"/>
        <w:ind w:left="142" w:hanging="142"/>
        <w:jc w:val="center"/>
        <w:rPr>
          <w:rFonts w:ascii="Times New Roman" w:eastAsia="Calibri" w:hAnsi="Times New Roman" w:cs="Times New Roman"/>
          <w:bCs/>
          <w:iCs/>
          <w:sz w:val="28"/>
          <w:szCs w:val="28"/>
          <w:lang w:val="en-US"/>
        </w:rPr>
      </w:pPr>
      <w:r w:rsidRPr="00017BCC">
        <w:rPr>
          <w:rFonts w:ascii="Times New Roman" w:hAnsi="Times New Roman" w:cs="Times New Roman"/>
          <w:bCs/>
          <w:iCs/>
          <w:sz w:val="28"/>
          <w:szCs w:val="28"/>
          <w:lang w:val="en-US"/>
        </w:rPr>
        <w:t>Abduraxim Taslimov</w:t>
      </w:r>
      <w:r w:rsidRPr="00017BCC">
        <w:rPr>
          <w:rFonts w:ascii="Times New Roman" w:hAnsi="Times New Roman" w:cs="Times New Roman"/>
          <w:bCs/>
          <w:iCs/>
          <w:sz w:val="28"/>
          <w:szCs w:val="28"/>
          <w:vertAlign w:val="superscript"/>
          <w:lang w:val="en-US"/>
        </w:rPr>
        <w:t>1</w:t>
      </w:r>
      <w:r w:rsidRPr="00017BCC">
        <w:rPr>
          <w:rFonts w:ascii="Times New Roman" w:hAnsi="Times New Roman" w:cs="Times New Roman"/>
          <w:bCs/>
          <w:iCs/>
          <w:sz w:val="28"/>
          <w:szCs w:val="28"/>
          <w:vertAlign w:val="superscript"/>
          <w:lang w:val="uz-Cyrl-UZ"/>
        </w:rPr>
        <w:t>а)</w:t>
      </w:r>
      <w:r w:rsidRPr="00017BCC">
        <w:rPr>
          <w:rFonts w:ascii="Times New Roman" w:hAnsi="Times New Roman" w:cs="Times New Roman"/>
          <w:bCs/>
          <w:iCs/>
          <w:sz w:val="28"/>
          <w:szCs w:val="28"/>
          <w:lang w:val="en-US"/>
        </w:rPr>
        <w:t xml:space="preserve">, </w:t>
      </w:r>
      <w:r w:rsidR="00321208" w:rsidRPr="00017BCC">
        <w:rPr>
          <w:rFonts w:ascii="Times New Roman" w:eastAsia="Calibri" w:hAnsi="Times New Roman" w:cs="Times New Roman"/>
          <w:bCs/>
          <w:iCs/>
          <w:sz w:val="28"/>
          <w:szCs w:val="28"/>
          <w:lang w:val="en-US"/>
        </w:rPr>
        <w:t>Matkarim Ibragimov</w:t>
      </w:r>
      <w:r w:rsidR="00321208" w:rsidRPr="00017BCC">
        <w:rPr>
          <w:rFonts w:ascii="Times New Roman" w:eastAsia="Calibri" w:hAnsi="Times New Roman" w:cs="Times New Roman"/>
          <w:bCs/>
          <w:iCs/>
          <w:sz w:val="28"/>
          <w:szCs w:val="28"/>
          <w:vertAlign w:val="superscript"/>
          <w:lang w:val="en-US"/>
        </w:rPr>
        <w:t>2</w:t>
      </w:r>
      <w:r w:rsidR="00321208" w:rsidRPr="00017BCC">
        <w:rPr>
          <w:rFonts w:ascii="Times New Roman" w:eastAsia="Calibri" w:hAnsi="Times New Roman" w:cs="Times New Roman"/>
          <w:bCs/>
          <w:iCs/>
          <w:sz w:val="28"/>
          <w:szCs w:val="28"/>
          <w:lang w:val="en-US"/>
        </w:rPr>
        <w:t>,</w:t>
      </w:r>
      <w:r w:rsidR="00017BCC" w:rsidRPr="00017BCC">
        <w:rPr>
          <w:rFonts w:ascii="Times New Roman" w:eastAsia="Calibri" w:hAnsi="Times New Roman" w:cs="Times New Roman"/>
          <w:bCs/>
          <w:iCs/>
          <w:sz w:val="28"/>
          <w:szCs w:val="28"/>
          <w:lang w:val="en-US"/>
        </w:rPr>
        <w:t xml:space="preserve"> </w:t>
      </w:r>
      <w:r w:rsidRPr="00017BCC">
        <w:rPr>
          <w:rFonts w:ascii="Times New Roman" w:hAnsi="Times New Roman" w:cs="Times New Roman"/>
          <w:iCs/>
          <w:sz w:val="28"/>
          <w:szCs w:val="28"/>
          <w:lang w:val="en-US"/>
        </w:rPr>
        <w:t>Vaxobiddin,</w:t>
      </w:r>
      <w:r w:rsidRPr="00017BCC">
        <w:rPr>
          <w:rFonts w:ascii="Times New Roman" w:eastAsia="Calibri" w:hAnsi="Times New Roman" w:cs="Times New Roman"/>
          <w:b/>
          <w:iCs/>
          <w:sz w:val="28"/>
          <w:szCs w:val="28"/>
          <w:lang w:val="uz-Cyrl-UZ"/>
        </w:rPr>
        <w:t xml:space="preserve"> </w:t>
      </w:r>
      <w:r w:rsidRPr="00017BCC">
        <w:rPr>
          <w:rFonts w:ascii="Times New Roman" w:eastAsia="Calibri" w:hAnsi="Times New Roman" w:cs="Times New Roman"/>
          <w:bCs/>
          <w:iCs/>
          <w:sz w:val="28"/>
          <w:szCs w:val="28"/>
          <w:lang w:val="uz-Cyrl-UZ"/>
        </w:rPr>
        <w:t>Moʻminov</w:t>
      </w:r>
      <w:r w:rsidRPr="00017BCC">
        <w:rPr>
          <w:rFonts w:ascii="Times New Roman" w:hAnsi="Times New Roman" w:cs="Times New Roman"/>
          <w:bCs/>
          <w:iCs/>
          <w:sz w:val="28"/>
          <w:szCs w:val="28"/>
          <w:vertAlign w:val="superscript"/>
          <w:lang w:val="uz-Cyrl-UZ"/>
        </w:rPr>
        <w:t xml:space="preserve"> </w:t>
      </w:r>
      <w:r w:rsidR="00321208" w:rsidRPr="00017BCC">
        <w:rPr>
          <w:rFonts w:ascii="Times New Roman" w:hAnsi="Times New Roman" w:cs="Times New Roman"/>
          <w:bCs/>
          <w:iCs/>
          <w:sz w:val="28"/>
          <w:szCs w:val="28"/>
          <w:vertAlign w:val="superscript"/>
          <w:lang w:val="en-US"/>
        </w:rPr>
        <w:t>3</w:t>
      </w:r>
      <w:r w:rsidR="00D4204F" w:rsidRPr="00017BCC">
        <w:rPr>
          <w:rFonts w:ascii="Times New Roman" w:hAnsi="Times New Roman" w:cs="Times New Roman"/>
          <w:bCs/>
          <w:iCs/>
          <w:sz w:val="28"/>
          <w:szCs w:val="28"/>
          <w:lang w:val="uz-Cyrl-UZ"/>
        </w:rPr>
        <w:t>,</w:t>
      </w:r>
      <w:r w:rsidR="00017BCC">
        <w:rPr>
          <w:rFonts w:ascii="Times New Roman" w:hAnsi="Times New Roman" w:cs="Times New Roman"/>
          <w:bCs/>
          <w:iCs/>
          <w:sz w:val="28"/>
          <w:szCs w:val="28"/>
          <w:lang w:val="en-US"/>
        </w:rPr>
        <w:t xml:space="preserve"> </w:t>
      </w:r>
      <w:r w:rsidR="00D4204F" w:rsidRPr="00017BCC">
        <w:rPr>
          <w:rFonts w:ascii="Times New Roman" w:eastAsia="Calibri" w:hAnsi="Times New Roman" w:cs="Times New Roman"/>
          <w:bCs/>
          <w:iCs/>
          <w:sz w:val="28"/>
          <w:szCs w:val="28"/>
          <w:lang w:val="en-US"/>
        </w:rPr>
        <w:t>Xamza Aminov</w:t>
      </w:r>
      <w:r w:rsidR="00321208" w:rsidRPr="00017BCC">
        <w:rPr>
          <w:rFonts w:ascii="Times New Roman" w:eastAsia="Calibri" w:hAnsi="Times New Roman" w:cs="Times New Roman"/>
          <w:bCs/>
          <w:iCs/>
          <w:sz w:val="28"/>
          <w:szCs w:val="28"/>
          <w:vertAlign w:val="superscript"/>
          <w:lang w:val="en-US"/>
        </w:rPr>
        <w:t>4</w:t>
      </w:r>
    </w:p>
    <w:p w14:paraId="1DBFE39A" w14:textId="4798D705" w:rsidR="00A741A4" w:rsidRPr="00017BCC" w:rsidRDefault="00A741A4" w:rsidP="00321208">
      <w:pPr>
        <w:spacing w:after="0" w:line="240" w:lineRule="auto"/>
        <w:jc w:val="center"/>
        <w:rPr>
          <w:rFonts w:ascii="Times New Roman" w:hAnsi="Times New Roman" w:cs="Times New Roman"/>
          <w:bCs/>
          <w:i/>
          <w:sz w:val="20"/>
          <w:szCs w:val="20"/>
          <w:lang w:val="en-GB"/>
        </w:rPr>
      </w:pPr>
      <w:r w:rsidRPr="00017BCC">
        <w:rPr>
          <w:rFonts w:ascii="Times New Roman" w:hAnsi="Times New Roman" w:cs="Times New Roman"/>
          <w:bCs/>
          <w:i/>
          <w:sz w:val="20"/>
          <w:szCs w:val="20"/>
          <w:vertAlign w:val="superscript"/>
          <w:lang w:val="en-GB"/>
        </w:rPr>
        <w:t>1</w:t>
      </w:r>
      <w:r w:rsidRPr="00017BCC">
        <w:rPr>
          <w:rFonts w:ascii="Times New Roman" w:hAnsi="Times New Roman" w:cs="Times New Roman"/>
          <w:bCs/>
          <w:i/>
          <w:sz w:val="20"/>
          <w:szCs w:val="20"/>
          <w:lang w:val="en-GB"/>
        </w:rPr>
        <w:t xml:space="preserve">Tashkent State Technical University named after Islam Karimov, </w:t>
      </w:r>
      <w:bookmarkStart w:id="0" w:name="_Hlk215061948"/>
      <w:r w:rsidR="00017BCC" w:rsidRPr="00017BCC">
        <w:rPr>
          <w:rFonts w:ascii="Times New Roman" w:hAnsi="Times New Roman" w:cs="Times New Roman"/>
          <w:bCs/>
          <w:i/>
          <w:sz w:val="20"/>
          <w:szCs w:val="20"/>
          <w:lang w:val="en-GB"/>
        </w:rPr>
        <w:t>Tashkent</w:t>
      </w:r>
      <w:r w:rsidR="00017BCC">
        <w:rPr>
          <w:rFonts w:ascii="Times New Roman" w:hAnsi="Times New Roman" w:cs="Times New Roman"/>
          <w:bCs/>
          <w:i/>
          <w:sz w:val="20"/>
          <w:szCs w:val="20"/>
          <w:lang w:val="en-GB"/>
        </w:rPr>
        <w:t xml:space="preserve">, </w:t>
      </w:r>
      <w:r w:rsidRPr="00017BCC">
        <w:rPr>
          <w:rFonts w:ascii="Times New Roman" w:hAnsi="Times New Roman" w:cs="Times New Roman"/>
          <w:bCs/>
          <w:i/>
          <w:sz w:val="20"/>
          <w:szCs w:val="20"/>
          <w:lang w:val="en-GB"/>
        </w:rPr>
        <w:t>Uzbekistan</w:t>
      </w:r>
      <w:bookmarkEnd w:id="0"/>
    </w:p>
    <w:p w14:paraId="07CF7E33" w14:textId="77777777" w:rsidR="000066D8" w:rsidRDefault="00A741A4" w:rsidP="00321208">
      <w:pPr>
        <w:spacing w:after="0" w:line="240" w:lineRule="auto"/>
        <w:jc w:val="center"/>
        <w:rPr>
          <w:rFonts w:ascii="Times New Roman" w:hAnsi="Times New Roman" w:cs="Times New Roman"/>
          <w:bCs/>
          <w:i/>
          <w:sz w:val="20"/>
          <w:szCs w:val="20"/>
          <w:lang w:val="en-GB"/>
        </w:rPr>
      </w:pPr>
      <w:r w:rsidRPr="00017BCC">
        <w:rPr>
          <w:rFonts w:ascii="Times New Roman" w:hAnsi="Times New Roman" w:cs="Times New Roman"/>
          <w:i/>
          <w:sz w:val="20"/>
          <w:szCs w:val="20"/>
          <w:vertAlign w:val="superscript"/>
          <w:lang w:val="en-US"/>
        </w:rPr>
        <w:t>2</w:t>
      </w:r>
      <w:r w:rsidR="00321208" w:rsidRPr="00017BCC">
        <w:rPr>
          <w:rFonts w:ascii="Times New Roman" w:hAnsi="Times New Roman" w:cs="Times New Roman"/>
          <w:bCs/>
          <w:i/>
          <w:sz w:val="18"/>
          <w:szCs w:val="18"/>
          <w:lang w:val="en-US"/>
        </w:rPr>
        <w:t>Tashkent Institute of Irrigation and Agricultural Mechanization Engineers" National Research University,</w:t>
      </w:r>
      <w:r w:rsidR="00321208" w:rsidRPr="00017BCC">
        <w:rPr>
          <w:rFonts w:ascii="Times New Roman" w:hAnsi="Times New Roman" w:cs="Times New Roman"/>
          <w:bCs/>
          <w:i/>
          <w:sz w:val="20"/>
          <w:szCs w:val="20"/>
          <w:lang w:val="en-GB"/>
        </w:rPr>
        <w:t xml:space="preserve"> </w:t>
      </w:r>
      <w:r w:rsidR="00017BCC" w:rsidRPr="00017BCC">
        <w:rPr>
          <w:rFonts w:ascii="Times New Roman" w:hAnsi="Times New Roman" w:cs="Times New Roman"/>
          <w:bCs/>
          <w:i/>
          <w:sz w:val="18"/>
          <w:szCs w:val="18"/>
          <w:lang w:val="en-US"/>
        </w:rPr>
        <w:t>Tashkent</w:t>
      </w:r>
      <w:r w:rsidR="00017BCC">
        <w:rPr>
          <w:rFonts w:ascii="Times New Roman" w:hAnsi="Times New Roman" w:cs="Times New Roman"/>
          <w:bCs/>
          <w:i/>
          <w:sz w:val="18"/>
          <w:szCs w:val="18"/>
          <w:lang w:val="en-US"/>
        </w:rPr>
        <w:t>,</w:t>
      </w:r>
      <w:r w:rsidR="00017BCC" w:rsidRPr="00017BCC">
        <w:rPr>
          <w:rFonts w:ascii="Times New Roman" w:hAnsi="Times New Roman" w:cs="Times New Roman"/>
          <w:bCs/>
          <w:i/>
          <w:sz w:val="20"/>
          <w:szCs w:val="20"/>
          <w:lang w:val="en-GB"/>
        </w:rPr>
        <w:t xml:space="preserve"> </w:t>
      </w:r>
      <w:r w:rsidR="00321208" w:rsidRPr="00017BCC">
        <w:rPr>
          <w:rFonts w:ascii="Times New Roman" w:hAnsi="Times New Roman" w:cs="Times New Roman"/>
          <w:bCs/>
          <w:i/>
          <w:sz w:val="20"/>
          <w:szCs w:val="20"/>
          <w:lang w:val="en-GB"/>
        </w:rPr>
        <w:t>Uzbekistan</w:t>
      </w:r>
    </w:p>
    <w:p w14:paraId="658B5B31" w14:textId="55936035" w:rsidR="00A741A4" w:rsidRPr="00017BCC" w:rsidRDefault="00321208" w:rsidP="00321208">
      <w:pPr>
        <w:spacing w:after="0" w:line="240" w:lineRule="auto"/>
        <w:jc w:val="center"/>
        <w:rPr>
          <w:rFonts w:ascii="Times New Roman" w:hAnsi="Times New Roman" w:cs="Times New Roman"/>
          <w:bCs/>
          <w:i/>
          <w:sz w:val="20"/>
          <w:szCs w:val="20"/>
          <w:lang w:val="en-US"/>
        </w:rPr>
      </w:pPr>
      <w:r w:rsidRPr="00017BCC">
        <w:rPr>
          <w:rFonts w:ascii="Times New Roman" w:hAnsi="Times New Roman" w:cs="Times New Roman"/>
          <w:i/>
          <w:sz w:val="20"/>
          <w:szCs w:val="20"/>
          <w:lang w:val="en-US"/>
        </w:rPr>
        <w:t xml:space="preserve"> </w:t>
      </w:r>
      <w:r w:rsidRPr="00017BCC">
        <w:rPr>
          <w:rFonts w:ascii="Times New Roman" w:hAnsi="Times New Roman" w:cs="Times New Roman"/>
          <w:i/>
          <w:sz w:val="20"/>
          <w:szCs w:val="20"/>
          <w:vertAlign w:val="superscript"/>
          <w:lang w:val="en-US"/>
        </w:rPr>
        <w:t>3</w:t>
      </w:r>
      <w:r w:rsidR="00A741A4" w:rsidRPr="00017BCC">
        <w:rPr>
          <w:rFonts w:ascii="Times New Roman" w:hAnsi="Times New Roman" w:cs="Times New Roman"/>
          <w:i/>
          <w:sz w:val="20"/>
          <w:szCs w:val="20"/>
          <w:lang w:val="en-US"/>
        </w:rPr>
        <w:t xml:space="preserve">Almalyk state technical institute, </w:t>
      </w:r>
      <w:r w:rsidR="000066D8" w:rsidRPr="00017BCC">
        <w:rPr>
          <w:rFonts w:ascii="Times New Roman" w:hAnsi="Times New Roman" w:cs="Times New Roman"/>
          <w:i/>
          <w:sz w:val="20"/>
          <w:szCs w:val="20"/>
          <w:lang w:val="en-US"/>
        </w:rPr>
        <w:t>Almalyk</w:t>
      </w:r>
      <w:r w:rsidR="000066D8">
        <w:rPr>
          <w:rFonts w:ascii="Times New Roman" w:hAnsi="Times New Roman" w:cs="Times New Roman"/>
          <w:bCs/>
          <w:i/>
          <w:sz w:val="20"/>
          <w:szCs w:val="20"/>
          <w:lang w:val="en-GB"/>
        </w:rPr>
        <w:t xml:space="preserve">, </w:t>
      </w:r>
      <w:r w:rsidRPr="00017BCC">
        <w:rPr>
          <w:rFonts w:ascii="Times New Roman" w:hAnsi="Times New Roman" w:cs="Times New Roman"/>
          <w:bCs/>
          <w:i/>
          <w:sz w:val="20"/>
          <w:szCs w:val="20"/>
          <w:lang w:val="en-GB"/>
        </w:rPr>
        <w:t>Uzbekistan</w:t>
      </w:r>
    </w:p>
    <w:p w14:paraId="13055C22" w14:textId="39F60D21" w:rsidR="00DB1CD9" w:rsidRPr="00017BCC" w:rsidRDefault="00321208" w:rsidP="000066D8">
      <w:pPr>
        <w:spacing w:after="0" w:line="240" w:lineRule="auto"/>
        <w:ind w:firstLine="710"/>
        <w:jc w:val="center"/>
        <w:rPr>
          <w:rFonts w:ascii="Times New Roman" w:hAnsi="Times New Roman" w:cs="Times New Roman"/>
          <w:bCs/>
          <w:i/>
          <w:sz w:val="18"/>
          <w:szCs w:val="18"/>
          <w:lang w:val="en-GB"/>
        </w:rPr>
      </w:pPr>
      <w:r w:rsidRPr="00017BCC">
        <w:rPr>
          <w:rFonts w:ascii="Times New Roman" w:hAnsi="Times New Roman" w:cs="Times New Roman"/>
          <w:bCs/>
          <w:i/>
          <w:sz w:val="18"/>
          <w:szCs w:val="18"/>
          <w:vertAlign w:val="superscript"/>
          <w:lang w:val="en-US"/>
        </w:rPr>
        <w:t>4</w:t>
      </w:r>
      <w:r w:rsidR="00DB1CD9" w:rsidRPr="00017BCC">
        <w:rPr>
          <w:rFonts w:ascii="Times New Roman" w:hAnsi="Times New Roman" w:cs="Times New Roman"/>
          <w:bCs/>
          <w:i/>
          <w:sz w:val="18"/>
          <w:szCs w:val="18"/>
          <w:lang w:val="en-US"/>
        </w:rPr>
        <w:t xml:space="preserve">Urganch State Universitu, Urganch, </w:t>
      </w:r>
      <w:r w:rsidR="00DB1CD9" w:rsidRPr="00017BCC">
        <w:rPr>
          <w:rFonts w:ascii="Times New Roman" w:hAnsi="Times New Roman" w:cs="Times New Roman"/>
          <w:bCs/>
          <w:i/>
          <w:sz w:val="18"/>
          <w:szCs w:val="18"/>
          <w:lang w:val="en-GB"/>
        </w:rPr>
        <w:t>Uzbekistan</w:t>
      </w:r>
    </w:p>
    <w:p w14:paraId="2E36553F" w14:textId="77777777" w:rsidR="00A741A4" w:rsidRPr="007013E6" w:rsidRDefault="00A741A4" w:rsidP="00A4165F">
      <w:pPr>
        <w:pStyle w:val="AuthorAffiliation"/>
        <w:spacing w:before="200" w:after="200"/>
      </w:pPr>
      <w:r w:rsidRPr="007013E6">
        <w:rPr>
          <w:vertAlign w:val="superscript"/>
        </w:rPr>
        <w:t>a)</w:t>
      </w:r>
      <w:r w:rsidRPr="007013E6">
        <w:t xml:space="preserve"> Corresponding author: </w:t>
      </w:r>
      <w:r w:rsidRPr="007013E6">
        <w:rPr>
          <w:color w:val="2E74B5"/>
          <w:u w:val="single"/>
        </w:rPr>
        <w:t>ataslimov@mail.ru</w:t>
      </w:r>
    </w:p>
    <w:p w14:paraId="14B4DB63" w14:textId="24DB93AA" w:rsidR="009D7F1B" w:rsidRPr="00A207D3" w:rsidRDefault="009D7F1B" w:rsidP="00A4165F">
      <w:pPr>
        <w:spacing w:before="360" w:after="360" w:line="240" w:lineRule="auto"/>
        <w:ind w:left="284" w:right="284"/>
        <w:jc w:val="both"/>
        <w:rPr>
          <w:rFonts w:ascii="Times New Roman" w:eastAsia="Times New Roman" w:hAnsi="Times New Roman" w:cs="Times New Roman"/>
          <w:sz w:val="18"/>
          <w:szCs w:val="18"/>
          <w:lang w:val="en-US" w:eastAsia="ru-RU"/>
        </w:rPr>
      </w:pPr>
      <w:r w:rsidRPr="00A207D3">
        <w:rPr>
          <w:rFonts w:ascii="Times New Roman" w:eastAsia="Times New Roman" w:hAnsi="Times New Roman" w:cs="Times New Roman"/>
          <w:b/>
          <w:bCs/>
          <w:sz w:val="18"/>
          <w:szCs w:val="18"/>
          <w:lang w:val="en-US" w:eastAsia="ru-RU"/>
        </w:rPr>
        <w:t>Abstract.</w:t>
      </w:r>
      <w:r w:rsidRPr="00A207D3">
        <w:rPr>
          <w:rFonts w:ascii="Times New Roman" w:eastAsia="Times New Roman" w:hAnsi="Times New Roman" w:cs="Times New Roman"/>
          <w:sz w:val="18"/>
          <w:szCs w:val="18"/>
          <w:lang w:val="en-US" w:eastAsia="ru-RU"/>
        </w:rPr>
        <w:t xml:space="preserve"> This article investigates the emergence of numerous electrical appliances with nonlinear current and voltage characteristics in residential buildings, as well as the influence of high-order harmonic currents on the power grid. It is shown that large amplitudes of these harmonics lead to a deterioration of the voltage waveform. The study establishes that the power consumption of nonlinear household electrical devices constitutes a significant share of the total electrical load in residential buildings, with their share reaching 66.5% according to the presented list of household appliances. It is substantiated that high-order harmonic currents generated by communal and domestic loads cause additional power losses in transformers of up to 15.3%, and that the losses in the neutral conductor caused by high-frequency currents emitted by three-phase residential nonlinear loads exceed the fundamental-frequency losses by an average factor of 2.6 over a 24-hour period.</w:t>
      </w:r>
    </w:p>
    <w:p w14:paraId="5CC60580" w14:textId="77777777" w:rsidR="00A27ACB" w:rsidRPr="007013E6" w:rsidRDefault="00A27ACB" w:rsidP="00A4165F">
      <w:pPr>
        <w:spacing w:before="240" w:after="240" w:line="240" w:lineRule="auto"/>
        <w:ind w:firstLine="284"/>
        <w:jc w:val="center"/>
        <w:rPr>
          <w:rFonts w:ascii="Times New Roman" w:hAnsi="Times New Roman" w:cs="Times New Roman"/>
          <w:b/>
          <w:sz w:val="24"/>
          <w:szCs w:val="24"/>
          <w:lang w:val="en-US"/>
        </w:rPr>
      </w:pPr>
      <w:r w:rsidRPr="007013E6">
        <w:rPr>
          <w:rFonts w:ascii="Times New Roman" w:hAnsi="Times New Roman" w:cs="Times New Roman"/>
          <w:b/>
          <w:sz w:val="24"/>
          <w:szCs w:val="24"/>
          <w:lang w:val="en-US"/>
        </w:rPr>
        <w:t>INTRODUCTION</w:t>
      </w:r>
    </w:p>
    <w:p w14:paraId="79511ECE" w14:textId="77777777" w:rsidR="009D7F1B" w:rsidRPr="007013E6" w:rsidRDefault="009D7F1B" w:rsidP="00F50595">
      <w:pPr>
        <w:spacing w:after="0" w:line="240" w:lineRule="auto"/>
        <w:ind w:firstLine="284"/>
        <w:jc w:val="both"/>
        <w:rPr>
          <w:rFonts w:ascii="Times New Roman" w:eastAsia="Times New Roman" w:hAnsi="Times New Roman" w:cs="Times New Roman"/>
          <w:sz w:val="20"/>
          <w:szCs w:val="20"/>
          <w:lang w:val="en-US" w:eastAsia="ru-RU"/>
        </w:rPr>
      </w:pPr>
      <w:r w:rsidRPr="007013E6">
        <w:rPr>
          <w:rFonts w:ascii="Times New Roman" w:eastAsia="Times New Roman" w:hAnsi="Times New Roman" w:cs="Times New Roman"/>
          <w:sz w:val="20"/>
          <w:szCs w:val="20"/>
          <w:lang w:val="en-US" w:eastAsia="ru-RU"/>
        </w:rPr>
        <w:t>In recent years, considerable attention has been given to improving energy efficiency, enhancing power supply reliability, and ensuring the quality of electrical energy in rural electrification systems. The introduction and widespread deployment of modern multifunctional measuring instruments in the Republic have enabled deeper analysis and consideration of electrical regime parameters and additional factors that were previously difficult to assess using electronic computing devices. Among these additional and insufficiently studied factors is the low quality of electrical energy—particularly voltage and current waveform distortion (nonsinusoidality). In rural power supply systems, this issue is primarily associated with the increasing number and installed capacity of household devices exhibiting nonlinear load characteristics. From this perspective, research on the influence of modern electrical appliances on power networks, the characteristics of the municipal–household sector, power quality issues, and the application of new technologies to reduce power losses is of particular importance [1].</w:t>
      </w:r>
    </w:p>
    <w:p w14:paraId="3817CDBB" w14:textId="77777777" w:rsidR="009D7F1B" w:rsidRDefault="009D7F1B" w:rsidP="00F50595">
      <w:pPr>
        <w:spacing w:after="0" w:line="240" w:lineRule="auto"/>
        <w:ind w:firstLine="284"/>
        <w:jc w:val="both"/>
        <w:rPr>
          <w:rFonts w:ascii="Times New Roman" w:eastAsia="Times New Roman" w:hAnsi="Times New Roman" w:cs="Times New Roman"/>
          <w:sz w:val="20"/>
          <w:szCs w:val="20"/>
          <w:lang w:val="en-US" w:eastAsia="ru-RU"/>
        </w:rPr>
      </w:pPr>
      <w:r w:rsidRPr="007013E6">
        <w:rPr>
          <w:rFonts w:ascii="Times New Roman" w:eastAsia="Times New Roman" w:hAnsi="Times New Roman" w:cs="Times New Roman"/>
          <w:sz w:val="20"/>
          <w:szCs w:val="20"/>
          <w:lang w:val="en-US" w:eastAsia="ru-RU"/>
        </w:rPr>
        <w:t>Modern residential buildings are equipped with a wide variety of electrical appliances. According to the data presented in [2], the number of long-term household electrical devices currently in use in residential buildings is summarized in Table 1.</w:t>
      </w:r>
    </w:p>
    <w:p w14:paraId="020AA685" w14:textId="77777777" w:rsidR="000066D8" w:rsidRPr="007013E6" w:rsidRDefault="000066D8" w:rsidP="00F50595">
      <w:pPr>
        <w:spacing w:after="0" w:line="240" w:lineRule="auto"/>
        <w:ind w:firstLine="284"/>
        <w:jc w:val="both"/>
        <w:rPr>
          <w:rFonts w:ascii="Times New Roman" w:eastAsia="Times New Roman" w:hAnsi="Times New Roman" w:cs="Times New Roman"/>
          <w:sz w:val="20"/>
          <w:szCs w:val="20"/>
          <w:lang w:val="en-US" w:eastAsia="ru-RU"/>
        </w:rPr>
      </w:pPr>
    </w:p>
    <w:p w14:paraId="7ECEBB98" w14:textId="77777777" w:rsidR="005164B8" w:rsidRDefault="005164B8" w:rsidP="00360CF8">
      <w:pPr>
        <w:spacing w:after="0" w:line="240" w:lineRule="auto"/>
        <w:jc w:val="right"/>
        <w:rPr>
          <w:rFonts w:ascii="Times New Roman" w:eastAsia="Times New Roman" w:hAnsi="Times New Roman" w:cs="Times New Roman"/>
          <w:b/>
          <w:bCs/>
          <w:sz w:val="20"/>
          <w:szCs w:val="20"/>
          <w:lang w:val="en-US" w:eastAsia="ru-RU"/>
        </w:rPr>
      </w:pPr>
    </w:p>
    <w:p w14:paraId="7AAD2E7F" w14:textId="77777777" w:rsidR="005164B8" w:rsidRDefault="005164B8" w:rsidP="00360CF8">
      <w:pPr>
        <w:spacing w:after="0" w:line="240" w:lineRule="auto"/>
        <w:jc w:val="right"/>
        <w:rPr>
          <w:rFonts w:ascii="Times New Roman" w:eastAsia="Times New Roman" w:hAnsi="Times New Roman" w:cs="Times New Roman"/>
          <w:b/>
          <w:bCs/>
          <w:sz w:val="20"/>
          <w:szCs w:val="20"/>
          <w:lang w:val="en-US" w:eastAsia="ru-RU"/>
        </w:rPr>
      </w:pPr>
    </w:p>
    <w:p w14:paraId="3634FD6B" w14:textId="77777777" w:rsidR="005164B8" w:rsidRDefault="005164B8" w:rsidP="00360CF8">
      <w:pPr>
        <w:spacing w:after="0" w:line="240" w:lineRule="auto"/>
        <w:jc w:val="right"/>
        <w:rPr>
          <w:rFonts w:ascii="Times New Roman" w:eastAsia="Times New Roman" w:hAnsi="Times New Roman" w:cs="Times New Roman"/>
          <w:b/>
          <w:bCs/>
          <w:sz w:val="20"/>
          <w:szCs w:val="20"/>
          <w:lang w:val="en-US" w:eastAsia="ru-RU"/>
        </w:rPr>
      </w:pPr>
    </w:p>
    <w:p w14:paraId="2FB5755E" w14:textId="77777777" w:rsidR="005164B8" w:rsidRDefault="005164B8" w:rsidP="00360CF8">
      <w:pPr>
        <w:spacing w:after="0" w:line="240" w:lineRule="auto"/>
        <w:jc w:val="right"/>
        <w:rPr>
          <w:rFonts w:ascii="Times New Roman" w:eastAsia="Times New Roman" w:hAnsi="Times New Roman" w:cs="Times New Roman"/>
          <w:b/>
          <w:bCs/>
          <w:sz w:val="20"/>
          <w:szCs w:val="20"/>
          <w:lang w:val="en-US" w:eastAsia="ru-RU"/>
        </w:rPr>
      </w:pPr>
    </w:p>
    <w:p w14:paraId="2A32D863" w14:textId="77777777" w:rsidR="005164B8" w:rsidRDefault="005164B8" w:rsidP="00360CF8">
      <w:pPr>
        <w:spacing w:after="0" w:line="240" w:lineRule="auto"/>
        <w:jc w:val="right"/>
        <w:rPr>
          <w:rFonts w:ascii="Times New Roman" w:eastAsia="Times New Roman" w:hAnsi="Times New Roman" w:cs="Times New Roman"/>
          <w:b/>
          <w:bCs/>
          <w:sz w:val="20"/>
          <w:szCs w:val="20"/>
          <w:lang w:val="en-US" w:eastAsia="ru-RU"/>
        </w:rPr>
      </w:pPr>
    </w:p>
    <w:p w14:paraId="616D1477" w14:textId="77777777" w:rsidR="005164B8" w:rsidRDefault="005164B8" w:rsidP="00360CF8">
      <w:pPr>
        <w:spacing w:after="0" w:line="240" w:lineRule="auto"/>
        <w:jc w:val="right"/>
        <w:rPr>
          <w:rFonts w:ascii="Times New Roman" w:eastAsia="Times New Roman" w:hAnsi="Times New Roman" w:cs="Times New Roman"/>
          <w:b/>
          <w:bCs/>
          <w:sz w:val="20"/>
          <w:szCs w:val="20"/>
          <w:lang w:val="en-US" w:eastAsia="ru-RU"/>
        </w:rPr>
      </w:pPr>
    </w:p>
    <w:p w14:paraId="79BF5B5B" w14:textId="77777777" w:rsidR="005164B8" w:rsidRDefault="005164B8" w:rsidP="00360CF8">
      <w:pPr>
        <w:spacing w:after="0" w:line="240" w:lineRule="auto"/>
        <w:jc w:val="right"/>
        <w:rPr>
          <w:rFonts w:ascii="Times New Roman" w:eastAsia="Times New Roman" w:hAnsi="Times New Roman" w:cs="Times New Roman"/>
          <w:b/>
          <w:bCs/>
          <w:sz w:val="20"/>
          <w:szCs w:val="20"/>
          <w:lang w:val="en-US" w:eastAsia="ru-RU"/>
        </w:rPr>
      </w:pPr>
    </w:p>
    <w:p w14:paraId="043C5362" w14:textId="30B70ECB" w:rsidR="009D7F1B" w:rsidRPr="007013E6" w:rsidRDefault="009D7F1B" w:rsidP="00360CF8">
      <w:pPr>
        <w:spacing w:after="0" w:line="240" w:lineRule="auto"/>
        <w:jc w:val="right"/>
        <w:rPr>
          <w:rFonts w:ascii="Times New Roman" w:eastAsia="Times New Roman" w:hAnsi="Times New Roman" w:cs="Times New Roman"/>
          <w:sz w:val="20"/>
          <w:szCs w:val="20"/>
          <w:lang w:val="en-US" w:eastAsia="ru-RU"/>
        </w:rPr>
      </w:pPr>
      <w:r w:rsidRPr="007013E6">
        <w:rPr>
          <w:rFonts w:ascii="Times New Roman" w:eastAsia="Times New Roman" w:hAnsi="Times New Roman" w:cs="Times New Roman"/>
          <w:b/>
          <w:bCs/>
          <w:sz w:val="20"/>
          <w:szCs w:val="20"/>
          <w:lang w:val="en-US" w:eastAsia="ru-RU"/>
        </w:rPr>
        <w:lastRenderedPageBreak/>
        <w:t>Table 1.</w:t>
      </w:r>
      <w:r w:rsidR="000066D8">
        <w:rPr>
          <w:rFonts w:ascii="Times New Roman" w:eastAsia="Times New Roman" w:hAnsi="Times New Roman" w:cs="Times New Roman"/>
          <w:b/>
          <w:bCs/>
          <w:sz w:val="20"/>
          <w:szCs w:val="20"/>
          <w:lang w:val="en-US" w:eastAsia="ru-RU"/>
        </w:rPr>
        <w:t xml:space="preserve"> </w:t>
      </w:r>
      <w:r w:rsidRPr="007013E6">
        <w:rPr>
          <w:rFonts w:ascii="Times New Roman" w:eastAsia="Times New Roman" w:hAnsi="Times New Roman" w:cs="Times New Roman"/>
          <w:sz w:val="20"/>
          <w:szCs w:val="20"/>
          <w:lang w:val="en-US" w:eastAsia="ru-RU"/>
        </w:rPr>
        <w:t>Number of long-term household electrical appliances per 100 households in the Republic.</w:t>
      </w:r>
    </w:p>
    <w:tbl>
      <w:tblPr>
        <w:tblStyle w:val="a4"/>
        <w:tblW w:w="0" w:type="auto"/>
        <w:jc w:val="center"/>
        <w:tblLook w:val="04A0" w:firstRow="1" w:lastRow="0" w:firstColumn="1" w:lastColumn="0" w:noHBand="0" w:noVBand="1"/>
      </w:tblPr>
      <w:tblGrid>
        <w:gridCol w:w="4682"/>
        <w:gridCol w:w="4663"/>
      </w:tblGrid>
      <w:tr w:rsidR="00B30511" w:rsidRPr="005164B8" w14:paraId="4D84CFCB" w14:textId="77777777" w:rsidTr="005164B8">
        <w:trPr>
          <w:trHeight w:val="70"/>
          <w:jc w:val="center"/>
        </w:trPr>
        <w:tc>
          <w:tcPr>
            <w:tcW w:w="4682" w:type="dxa"/>
            <w:vAlign w:val="center"/>
          </w:tcPr>
          <w:p w14:paraId="5A6B9FEF" w14:textId="0556C988" w:rsidR="00B30511" w:rsidRPr="005164B8" w:rsidRDefault="009D7F1B" w:rsidP="005164B8">
            <w:pPr>
              <w:ind w:firstLine="320"/>
              <w:jc w:val="center"/>
              <w:rPr>
                <w:rFonts w:ascii="Times New Roman" w:eastAsia="Times New Roman" w:hAnsi="Times New Roman" w:cs="Times New Roman"/>
                <w:b/>
                <w:bCs/>
                <w:sz w:val="18"/>
                <w:szCs w:val="20"/>
              </w:rPr>
            </w:pPr>
            <w:r w:rsidRPr="005164B8">
              <w:rPr>
                <w:rFonts w:ascii="Times New Roman" w:hAnsi="Times New Roman" w:cs="Times New Roman"/>
                <w:b/>
                <w:bCs/>
                <w:sz w:val="18"/>
                <w:szCs w:val="20"/>
              </w:rPr>
              <w:t>Electrical Appliances</w:t>
            </w:r>
          </w:p>
        </w:tc>
        <w:tc>
          <w:tcPr>
            <w:tcW w:w="4663" w:type="dxa"/>
            <w:vAlign w:val="center"/>
          </w:tcPr>
          <w:p w14:paraId="6DE38C28" w14:textId="43E77898" w:rsidR="00B30511" w:rsidRPr="005164B8" w:rsidRDefault="009D7F1B" w:rsidP="005164B8">
            <w:pPr>
              <w:jc w:val="center"/>
              <w:rPr>
                <w:rFonts w:ascii="Times New Roman" w:eastAsia="Times New Roman" w:hAnsi="Times New Roman" w:cs="Times New Roman"/>
                <w:sz w:val="18"/>
                <w:szCs w:val="20"/>
                <w:lang w:val="en-US"/>
              </w:rPr>
            </w:pPr>
            <w:r w:rsidRPr="005164B8">
              <w:rPr>
                <w:rFonts w:ascii="Times New Roman" w:hAnsi="Times New Roman" w:cs="Times New Roman"/>
                <w:sz w:val="18"/>
                <w:szCs w:val="20"/>
              </w:rPr>
              <w:t>Number per 100 household</w:t>
            </w:r>
            <w:r w:rsidRPr="005164B8">
              <w:rPr>
                <w:rFonts w:ascii="Times New Roman" w:hAnsi="Times New Roman" w:cs="Times New Roman"/>
                <w:sz w:val="18"/>
                <w:szCs w:val="20"/>
                <w:lang w:val="en-US"/>
              </w:rPr>
              <w:t>s</w:t>
            </w:r>
          </w:p>
        </w:tc>
      </w:tr>
      <w:tr w:rsidR="009D7F1B" w:rsidRPr="005164B8" w14:paraId="4A5D0D8F" w14:textId="77777777" w:rsidTr="005164B8">
        <w:trPr>
          <w:trHeight w:val="70"/>
          <w:jc w:val="center"/>
        </w:trPr>
        <w:tc>
          <w:tcPr>
            <w:tcW w:w="4682" w:type="dxa"/>
          </w:tcPr>
          <w:p w14:paraId="7B2482EC" w14:textId="5AAC03FC" w:rsidR="009D7F1B" w:rsidRPr="005164B8" w:rsidRDefault="009D7F1B" w:rsidP="005164B8">
            <w:pPr>
              <w:pStyle w:val="leading-8"/>
              <w:spacing w:before="0" w:beforeAutospacing="0" w:after="0" w:afterAutospacing="0"/>
              <w:rPr>
                <w:b/>
                <w:bCs/>
                <w:sz w:val="18"/>
                <w:szCs w:val="20"/>
              </w:rPr>
            </w:pPr>
            <w:r w:rsidRPr="005164B8">
              <w:rPr>
                <w:rStyle w:val="aa"/>
                <w:b w:val="0"/>
                <w:bCs w:val="0"/>
                <w:sz w:val="18"/>
                <w:szCs w:val="20"/>
              </w:rPr>
              <w:t>Television sets</w:t>
            </w:r>
          </w:p>
        </w:tc>
        <w:tc>
          <w:tcPr>
            <w:tcW w:w="4663" w:type="dxa"/>
          </w:tcPr>
          <w:p w14:paraId="42BF9251" w14:textId="4CFF4F45" w:rsidR="009D7F1B" w:rsidRPr="005164B8" w:rsidRDefault="009D7F1B" w:rsidP="005164B8">
            <w:pPr>
              <w:pStyle w:val="1"/>
              <w:spacing w:line="240" w:lineRule="auto"/>
              <w:ind w:firstLine="0"/>
              <w:jc w:val="center"/>
              <w:rPr>
                <w:color w:val="000000"/>
                <w:sz w:val="18"/>
              </w:rPr>
            </w:pPr>
            <w:r w:rsidRPr="005164B8">
              <w:rPr>
                <w:color w:val="000000"/>
                <w:sz w:val="18"/>
              </w:rPr>
              <w:t>131</w:t>
            </w:r>
          </w:p>
        </w:tc>
      </w:tr>
      <w:tr w:rsidR="009D7F1B" w:rsidRPr="005164B8" w14:paraId="39C1D109" w14:textId="77777777" w:rsidTr="005164B8">
        <w:trPr>
          <w:jc w:val="center"/>
        </w:trPr>
        <w:tc>
          <w:tcPr>
            <w:tcW w:w="4682" w:type="dxa"/>
          </w:tcPr>
          <w:p w14:paraId="6EDE0282" w14:textId="037B7B24" w:rsidR="009D7F1B" w:rsidRPr="005164B8" w:rsidRDefault="009D7F1B" w:rsidP="005164B8">
            <w:pPr>
              <w:pStyle w:val="leading-8"/>
              <w:spacing w:before="0" w:beforeAutospacing="0" w:after="0" w:afterAutospacing="0"/>
              <w:rPr>
                <w:b/>
                <w:bCs/>
                <w:sz w:val="18"/>
                <w:szCs w:val="20"/>
                <w:lang w:val="en-US"/>
              </w:rPr>
            </w:pPr>
            <w:r w:rsidRPr="005164B8">
              <w:rPr>
                <w:rStyle w:val="aa"/>
                <w:b w:val="0"/>
                <w:bCs w:val="0"/>
                <w:sz w:val="18"/>
                <w:szCs w:val="20"/>
                <w:lang w:val="en-US"/>
              </w:rPr>
              <w:t>Video equipment (video recorders and digital playback units)</w:t>
            </w:r>
          </w:p>
        </w:tc>
        <w:tc>
          <w:tcPr>
            <w:tcW w:w="4663" w:type="dxa"/>
          </w:tcPr>
          <w:p w14:paraId="56133414" w14:textId="774D43F5" w:rsidR="009D7F1B" w:rsidRPr="005164B8" w:rsidRDefault="009D7F1B" w:rsidP="005164B8">
            <w:pPr>
              <w:pStyle w:val="1"/>
              <w:spacing w:line="240" w:lineRule="auto"/>
              <w:ind w:firstLine="0"/>
              <w:jc w:val="center"/>
              <w:rPr>
                <w:color w:val="000000"/>
                <w:sz w:val="18"/>
              </w:rPr>
            </w:pPr>
            <w:r w:rsidRPr="005164B8">
              <w:rPr>
                <w:color w:val="000000"/>
                <w:sz w:val="18"/>
              </w:rPr>
              <w:t>63</w:t>
            </w:r>
          </w:p>
        </w:tc>
      </w:tr>
      <w:tr w:rsidR="009D7F1B" w:rsidRPr="005164B8" w14:paraId="613F5B10" w14:textId="77777777" w:rsidTr="005164B8">
        <w:trPr>
          <w:trHeight w:val="70"/>
          <w:jc w:val="center"/>
        </w:trPr>
        <w:tc>
          <w:tcPr>
            <w:tcW w:w="4682" w:type="dxa"/>
          </w:tcPr>
          <w:p w14:paraId="5B7D2414" w14:textId="780169DB" w:rsidR="009D7F1B" w:rsidRPr="005164B8" w:rsidRDefault="009D7F1B" w:rsidP="005164B8">
            <w:pPr>
              <w:pStyle w:val="leading-8"/>
              <w:spacing w:before="0" w:beforeAutospacing="0" w:after="0" w:afterAutospacing="0"/>
              <w:rPr>
                <w:b/>
                <w:bCs/>
                <w:sz w:val="18"/>
                <w:szCs w:val="20"/>
              </w:rPr>
            </w:pPr>
            <w:r w:rsidRPr="005164B8">
              <w:rPr>
                <w:rStyle w:val="aa"/>
                <w:b w:val="0"/>
                <w:bCs w:val="0"/>
                <w:sz w:val="18"/>
                <w:szCs w:val="20"/>
              </w:rPr>
              <w:t>Audio tape recorders</w:t>
            </w:r>
          </w:p>
        </w:tc>
        <w:tc>
          <w:tcPr>
            <w:tcW w:w="4663" w:type="dxa"/>
          </w:tcPr>
          <w:p w14:paraId="6ADDFCFD" w14:textId="2298A725" w:rsidR="009D7F1B" w:rsidRPr="005164B8" w:rsidRDefault="009D7F1B" w:rsidP="005164B8">
            <w:pPr>
              <w:pStyle w:val="1"/>
              <w:spacing w:line="240" w:lineRule="auto"/>
              <w:ind w:firstLine="0"/>
              <w:jc w:val="center"/>
              <w:rPr>
                <w:color w:val="000000"/>
                <w:sz w:val="18"/>
              </w:rPr>
            </w:pPr>
            <w:r w:rsidRPr="005164B8">
              <w:rPr>
                <w:color w:val="000000"/>
                <w:sz w:val="18"/>
              </w:rPr>
              <w:t>54</w:t>
            </w:r>
          </w:p>
        </w:tc>
      </w:tr>
      <w:tr w:rsidR="009D7F1B" w:rsidRPr="005164B8" w14:paraId="3C87ECC0" w14:textId="77777777" w:rsidTr="005164B8">
        <w:trPr>
          <w:jc w:val="center"/>
        </w:trPr>
        <w:tc>
          <w:tcPr>
            <w:tcW w:w="4682" w:type="dxa"/>
          </w:tcPr>
          <w:p w14:paraId="5695570B" w14:textId="2E2D706D" w:rsidR="009D7F1B" w:rsidRPr="005164B8" w:rsidRDefault="009D7F1B" w:rsidP="005164B8">
            <w:pPr>
              <w:pStyle w:val="leading-8"/>
              <w:spacing w:before="0" w:beforeAutospacing="0" w:after="0" w:afterAutospacing="0"/>
              <w:rPr>
                <w:b/>
                <w:bCs/>
                <w:sz w:val="18"/>
                <w:szCs w:val="20"/>
                <w:lang w:val="en-US"/>
              </w:rPr>
            </w:pPr>
            <w:r w:rsidRPr="005164B8">
              <w:rPr>
                <w:rStyle w:val="aa"/>
                <w:b w:val="0"/>
                <w:bCs w:val="0"/>
                <w:sz w:val="18"/>
                <w:szCs w:val="20"/>
                <w:lang w:val="en-US"/>
              </w:rPr>
              <w:t>Personal computers and associated peripheral devices</w:t>
            </w:r>
          </w:p>
        </w:tc>
        <w:tc>
          <w:tcPr>
            <w:tcW w:w="4663" w:type="dxa"/>
          </w:tcPr>
          <w:p w14:paraId="3A391FDB" w14:textId="2836DDFC" w:rsidR="009D7F1B" w:rsidRPr="005164B8" w:rsidRDefault="009D7F1B" w:rsidP="005164B8">
            <w:pPr>
              <w:pStyle w:val="1"/>
              <w:spacing w:line="240" w:lineRule="auto"/>
              <w:ind w:firstLine="0"/>
              <w:jc w:val="center"/>
              <w:rPr>
                <w:color w:val="000000"/>
                <w:sz w:val="18"/>
              </w:rPr>
            </w:pPr>
            <w:r w:rsidRPr="005164B8">
              <w:rPr>
                <w:color w:val="000000"/>
                <w:sz w:val="18"/>
              </w:rPr>
              <w:t>22</w:t>
            </w:r>
          </w:p>
        </w:tc>
      </w:tr>
      <w:tr w:rsidR="009D7F1B" w:rsidRPr="005164B8" w14:paraId="3497AF22" w14:textId="77777777" w:rsidTr="005164B8">
        <w:trPr>
          <w:trHeight w:val="70"/>
          <w:jc w:val="center"/>
        </w:trPr>
        <w:tc>
          <w:tcPr>
            <w:tcW w:w="4682" w:type="dxa"/>
          </w:tcPr>
          <w:p w14:paraId="45925392" w14:textId="308C0204" w:rsidR="009D7F1B" w:rsidRPr="005164B8" w:rsidRDefault="009D7F1B" w:rsidP="005164B8">
            <w:pPr>
              <w:pStyle w:val="leading-8"/>
              <w:spacing w:before="0" w:beforeAutospacing="0" w:after="0" w:afterAutospacing="0"/>
              <w:rPr>
                <w:b/>
                <w:bCs/>
                <w:sz w:val="18"/>
                <w:szCs w:val="20"/>
                <w:lang w:val="en-US"/>
              </w:rPr>
            </w:pPr>
            <w:r w:rsidRPr="005164B8">
              <w:rPr>
                <w:rStyle w:val="aa"/>
                <w:b w:val="0"/>
                <w:bCs w:val="0"/>
                <w:sz w:val="18"/>
                <w:szCs w:val="20"/>
                <w:lang w:val="en-US"/>
              </w:rPr>
              <w:t>Home audio systems (integrated music centers)</w:t>
            </w:r>
          </w:p>
        </w:tc>
        <w:tc>
          <w:tcPr>
            <w:tcW w:w="4663" w:type="dxa"/>
          </w:tcPr>
          <w:p w14:paraId="199CEF5E" w14:textId="2D3E6214" w:rsidR="009D7F1B" w:rsidRPr="005164B8" w:rsidRDefault="009D7F1B" w:rsidP="005164B8">
            <w:pPr>
              <w:pStyle w:val="1"/>
              <w:spacing w:line="240" w:lineRule="auto"/>
              <w:ind w:firstLine="0"/>
              <w:jc w:val="center"/>
              <w:rPr>
                <w:color w:val="000000"/>
                <w:sz w:val="18"/>
              </w:rPr>
            </w:pPr>
            <w:r w:rsidRPr="005164B8">
              <w:rPr>
                <w:color w:val="000000"/>
                <w:sz w:val="18"/>
              </w:rPr>
              <w:t>29</w:t>
            </w:r>
          </w:p>
        </w:tc>
      </w:tr>
      <w:tr w:rsidR="009D7F1B" w:rsidRPr="005164B8" w14:paraId="1601ACD0" w14:textId="77777777" w:rsidTr="005164B8">
        <w:trPr>
          <w:jc w:val="center"/>
        </w:trPr>
        <w:tc>
          <w:tcPr>
            <w:tcW w:w="4682" w:type="dxa"/>
          </w:tcPr>
          <w:p w14:paraId="3A2677DB" w14:textId="07962DCF" w:rsidR="009D7F1B" w:rsidRPr="005164B8" w:rsidRDefault="009D7F1B" w:rsidP="005164B8">
            <w:pPr>
              <w:pStyle w:val="leading-8"/>
              <w:spacing w:before="0" w:beforeAutospacing="0" w:after="0" w:afterAutospacing="0"/>
              <w:rPr>
                <w:b/>
                <w:bCs/>
                <w:sz w:val="18"/>
                <w:szCs w:val="20"/>
              </w:rPr>
            </w:pPr>
            <w:r w:rsidRPr="005164B8">
              <w:rPr>
                <w:rStyle w:val="aa"/>
                <w:b w:val="0"/>
                <w:bCs w:val="0"/>
                <w:sz w:val="18"/>
                <w:szCs w:val="20"/>
              </w:rPr>
              <w:t>Refrigerators</w:t>
            </w:r>
          </w:p>
        </w:tc>
        <w:tc>
          <w:tcPr>
            <w:tcW w:w="4663" w:type="dxa"/>
          </w:tcPr>
          <w:p w14:paraId="70D0D17D" w14:textId="49072C37" w:rsidR="009D7F1B" w:rsidRPr="005164B8" w:rsidRDefault="009D7F1B" w:rsidP="005164B8">
            <w:pPr>
              <w:pStyle w:val="1"/>
              <w:spacing w:line="240" w:lineRule="auto"/>
              <w:ind w:firstLine="0"/>
              <w:jc w:val="center"/>
              <w:rPr>
                <w:color w:val="000000"/>
                <w:sz w:val="18"/>
              </w:rPr>
            </w:pPr>
            <w:r w:rsidRPr="005164B8">
              <w:rPr>
                <w:color w:val="000000"/>
                <w:sz w:val="18"/>
              </w:rPr>
              <w:t>114</w:t>
            </w:r>
          </w:p>
        </w:tc>
      </w:tr>
      <w:tr w:rsidR="009D7F1B" w:rsidRPr="005164B8" w14:paraId="0C4F23EA" w14:textId="77777777" w:rsidTr="005164B8">
        <w:trPr>
          <w:jc w:val="center"/>
        </w:trPr>
        <w:tc>
          <w:tcPr>
            <w:tcW w:w="4682" w:type="dxa"/>
          </w:tcPr>
          <w:p w14:paraId="594F598A" w14:textId="43F94BE6" w:rsidR="009D7F1B" w:rsidRPr="005164B8" w:rsidRDefault="009D7F1B" w:rsidP="005164B8">
            <w:pPr>
              <w:pStyle w:val="leading-8"/>
              <w:spacing w:before="0" w:beforeAutospacing="0" w:after="0" w:afterAutospacing="0"/>
              <w:rPr>
                <w:b/>
                <w:bCs/>
                <w:sz w:val="18"/>
                <w:szCs w:val="20"/>
              </w:rPr>
            </w:pPr>
            <w:r w:rsidRPr="005164B8">
              <w:rPr>
                <w:rStyle w:val="aa"/>
                <w:b w:val="0"/>
                <w:bCs w:val="0"/>
                <w:sz w:val="18"/>
                <w:szCs w:val="20"/>
              </w:rPr>
              <w:t>Washing machines</w:t>
            </w:r>
          </w:p>
        </w:tc>
        <w:tc>
          <w:tcPr>
            <w:tcW w:w="4663" w:type="dxa"/>
          </w:tcPr>
          <w:p w14:paraId="542AE2E4" w14:textId="1C2D9BBF" w:rsidR="009D7F1B" w:rsidRPr="005164B8" w:rsidRDefault="009D7F1B" w:rsidP="005164B8">
            <w:pPr>
              <w:pStyle w:val="1"/>
              <w:spacing w:line="240" w:lineRule="auto"/>
              <w:ind w:firstLine="0"/>
              <w:jc w:val="center"/>
              <w:rPr>
                <w:color w:val="000000"/>
                <w:sz w:val="18"/>
              </w:rPr>
            </w:pPr>
            <w:r w:rsidRPr="005164B8">
              <w:rPr>
                <w:color w:val="000000"/>
                <w:sz w:val="18"/>
              </w:rPr>
              <w:t>99</w:t>
            </w:r>
          </w:p>
        </w:tc>
      </w:tr>
      <w:tr w:rsidR="009D7F1B" w:rsidRPr="005164B8" w14:paraId="157D5B23" w14:textId="77777777" w:rsidTr="005164B8">
        <w:trPr>
          <w:jc w:val="center"/>
        </w:trPr>
        <w:tc>
          <w:tcPr>
            <w:tcW w:w="4682" w:type="dxa"/>
          </w:tcPr>
          <w:p w14:paraId="53218EBD" w14:textId="5AFA5212" w:rsidR="009D7F1B" w:rsidRPr="005164B8" w:rsidRDefault="009D7F1B" w:rsidP="005164B8">
            <w:pPr>
              <w:pStyle w:val="leading-8"/>
              <w:spacing w:before="0" w:beforeAutospacing="0" w:after="0" w:afterAutospacing="0"/>
              <w:rPr>
                <w:b/>
                <w:bCs/>
                <w:sz w:val="18"/>
                <w:szCs w:val="20"/>
              </w:rPr>
            </w:pPr>
            <w:r w:rsidRPr="005164B8">
              <w:rPr>
                <w:rStyle w:val="aa"/>
                <w:b w:val="0"/>
                <w:bCs w:val="0"/>
                <w:sz w:val="18"/>
                <w:szCs w:val="20"/>
              </w:rPr>
              <w:t>Vacuum cleaners</w:t>
            </w:r>
          </w:p>
        </w:tc>
        <w:tc>
          <w:tcPr>
            <w:tcW w:w="4663" w:type="dxa"/>
          </w:tcPr>
          <w:p w14:paraId="496DD47B" w14:textId="61B911D1" w:rsidR="009D7F1B" w:rsidRPr="005164B8" w:rsidRDefault="009D7F1B" w:rsidP="005164B8">
            <w:pPr>
              <w:pStyle w:val="1"/>
              <w:spacing w:line="240" w:lineRule="auto"/>
              <w:ind w:firstLine="0"/>
              <w:jc w:val="center"/>
              <w:rPr>
                <w:color w:val="000000"/>
                <w:sz w:val="18"/>
              </w:rPr>
            </w:pPr>
            <w:r w:rsidRPr="005164B8">
              <w:rPr>
                <w:color w:val="000000"/>
                <w:sz w:val="18"/>
              </w:rPr>
              <w:t>83</w:t>
            </w:r>
          </w:p>
        </w:tc>
      </w:tr>
      <w:tr w:rsidR="009D7F1B" w:rsidRPr="005164B8" w14:paraId="02FB81C3" w14:textId="77777777" w:rsidTr="005164B8">
        <w:trPr>
          <w:jc w:val="center"/>
        </w:trPr>
        <w:tc>
          <w:tcPr>
            <w:tcW w:w="4682" w:type="dxa"/>
          </w:tcPr>
          <w:p w14:paraId="051E0923" w14:textId="07183AA3" w:rsidR="009D7F1B" w:rsidRPr="005164B8" w:rsidRDefault="009D7F1B" w:rsidP="005164B8">
            <w:pPr>
              <w:pStyle w:val="leading-8"/>
              <w:spacing w:before="0" w:beforeAutospacing="0" w:after="0" w:afterAutospacing="0"/>
              <w:rPr>
                <w:b/>
                <w:bCs/>
                <w:sz w:val="18"/>
                <w:szCs w:val="20"/>
              </w:rPr>
            </w:pPr>
            <w:r w:rsidRPr="005164B8">
              <w:rPr>
                <w:rStyle w:val="aa"/>
                <w:b w:val="0"/>
                <w:bCs w:val="0"/>
                <w:sz w:val="18"/>
                <w:szCs w:val="20"/>
              </w:rPr>
              <w:t>Sewing machines</w:t>
            </w:r>
          </w:p>
        </w:tc>
        <w:tc>
          <w:tcPr>
            <w:tcW w:w="4663" w:type="dxa"/>
          </w:tcPr>
          <w:p w14:paraId="6C5138C3" w14:textId="1C01978B" w:rsidR="009D7F1B" w:rsidRPr="005164B8" w:rsidRDefault="009D7F1B" w:rsidP="005164B8">
            <w:pPr>
              <w:pStyle w:val="1"/>
              <w:spacing w:line="240" w:lineRule="auto"/>
              <w:ind w:firstLine="0"/>
              <w:jc w:val="center"/>
              <w:rPr>
                <w:color w:val="000000"/>
                <w:sz w:val="18"/>
              </w:rPr>
            </w:pPr>
            <w:r w:rsidRPr="005164B8">
              <w:rPr>
                <w:color w:val="000000"/>
                <w:sz w:val="18"/>
              </w:rPr>
              <w:t>67</w:t>
            </w:r>
          </w:p>
        </w:tc>
      </w:tr>
    </w:tbl>
    <w:p w14:paraId="2BB24478" w14:textId="77777777" w:rsidR="00A27ACB" w:rsidRPr="007013E6" w:rsidRDefault="00A27ACB" w:rsidP="00360CF8">
      <w:pPr>
        <w:spacing w:after="0" w:line="240" w:lineRule="auto"/>
        <w:ind w:firstLine="708"/>
        <w:jc w:val="both"/>
        <w:rPr>
          <w:rFonts w:ascii="Times New Roman" w:eastAsia="Times New Roman" w:hAnsi="Times New Roman" w:cs="Times New Roman"/>
          <w:sz w:val="20"/>
          <w:szCs w:val="20"/>
          <w:lang w:val="en-US" w:eastAsia="ru-RU"/>
        </w:rPr>
      </w:pPr>
    </w:p>
    <w:p w14:paraId="612E4A38" w14:textId="6F15A044" w:rsidR="009D7F1B" w:rsidRPr="007013E6" w:rsidRDefault="009D7F1B" w:rsidP="000066D8">
      <w:pPr>
        <w:spacing w:after="0" w:line="240" w:lineRule="auto"/>
        <w:ind w:firstLine="284"/>
        <w:jc w:val="both"/>
        <w:rPr>
          <w:rFonts w:ascii="Times New Roman" w:eastAsia="Times New Roman" w:hAnsi="Times New Roman" w:cs="Times New Roman"/>
          <w:sz w:val="20"/>
          <w:szCs w:val="20"/>
          <w:lang w:val="en-US" w:eastAsia="ru-RU"/>
        </w:rPr>
      </w:pPr>
      <w:r w:rsidRPr="007013E6">
        <w:rPr>
          <w:rFonts w:ascii="Times New Roman" w:eastAsia="Times New Roman" w:hAnsi="Times New Roman" w:cs="Times New Roman"/>
          <w:sz w:val="20"/>
          <w:szCs w:val="20"/>
          <w:lang w:val="en-US" w:eastAsia="ru-RU"/>
        </w:rPr>
        <w:t>Lighting of residential buildings is carried out using general-purpose household luminaires. Typically, residential premises are illuminated by incandescent lamps or energy-saving lamps with a rated power of 20–120 W.</w:t>
      </w:r>
    </w:p>
    <w:p w14:paraId="47E23F21" w14:textId="77777777" w:rsidR="009D7F1B" w:rsidRPr="007013E6" w:rsidRDefault="009D7F1B" w:rsidP="000066D8">
      <w:pPr>
        <w:spacing w:after="0" w:line="240" w:lineRule="auto"/>
        <w:jc w:val="both"/>
        <w:rPr>
          <w:rFonts w:ascii="Times New Roman" w:eastAsia="Times New Roman" w:hAnsi="Times New Roman" w:cs="Times New Roman"/>
          <w:sz w:val="20"/>
          <w:szCs w:val="20"/>
          <w:lang w:val="en-US" w:eastAsia="ru-RU"/>
        </w:rPr>
      </w:pPr>
      <w:r w:rsidRPr="007013E6">
        <w:rPr>
          <w:rFonts w:ascii="Times New Roman" w:eastAsia="Times New Roman" w:hAnsi="Times New Roman" w:cs="Times New Roman"/>
          <w:sz w:val="20"/>
          <w:szCs w:val="20"/>
          <w:lang w:val="en-US" w:eastAsia="ru-RU"/>
        </w:rPr>
        <w:t>Household electrical appliances can be conventionally classified into the following groups:</w:t>
      </w:r>
      <w:r w:rsidRPr="007013E6">
        <w:rPr>
          <w:rFonts w:ascii="Times New Roman" w:eastAsia="Times New Roman" w:hAnsi="Times New Roman" w:cs="Times New Roman"/>
          <w:sz w:val="20"/>
          <w:szCs w:val="20"/>
          <w:lang w:val="en-US" w:eastAsia="ru-RU"/>
        </w:rPr>
        <w:br/>
        <w:t>– domestic utility appliances (washing machines, electric irons, vacuum cleaners, etc.);</w:t>
      </w:r>
      <w:r w:rsidRPr="007013E6">
        <w:rPr>
          <w:rFonts w:ascii="Times New Roman" w:eastAsia="Times New Roman" w:hAnsi="Times New Roman" w:cs="Times New Roman"/>
          <w:sz w:val="20"/>
          <w:szCs w:val="20"/>
          <w:lang w:val="en-US" w:eastAsia="ru-RU"/>
        </w:rPr>
        <w:br/>
        <w:t>– food processing and storage appliances (refrigerators, multifunctional kitchen machines, mixers, etc.);</w:t>
      </w:r>
      <w:r w:rsidRPr="007013E6">
        <w:rPr>
          <w:rFonts w:ascii="Times New Roman" w:eastAsia="Times New Roman" w:hAnsi="Times New Roman" w:cs="Times New Roman"/>
          <w:sz w:val="20"/>
          <w:szCs w:val="20"/>
          <w:lang w:val="en-US" w:eastAsia="ru-RU"/>
        </w:rPr>
        <w:br/>
        <w:t>– heating appliances used for food preparation (electric cookers, electric kettles, microwave ovens, etc.);</w:t>
      </w:r>
      <w:r w:rsidRPr="007013E6">
        <w:rPr>
          <w:rFonts w:ascii="Times New Roman" w:eastAsia="Times New Roman" w:hAnsi="Times New Roman" w:cs="Times New Roman"/>
          <w:sz w:val="20"/>
          <w:szCs w:val="20"/>
          <w:lang w:val="en-US" w:eastAsia="ru-RU"/>
        </w:rPr>
        <w:br/>
        <w:t>– cultural and household appliances (television sets, personal computers, audio systems, DVD players, etc.);</w:t>
      </w:r>
      <w:r w:rsidRPr="007013E6">
        <w:rPr>
          <w:rFonts w:ascii="Times New Roman" w:eastAsia="Times New Roman" w:hAnsi="Times New Roman" w:cs="Times New Roman"/>
          <w:sz w:val="20"/>
          <w:szCs w:val="20"/>
          <w:lang w:val="en-US" w:eastAsia="ru-RU"/>
        </w:rPr>
        <w:br/>
        <w:t>– sanitary and hygiene appliances (ventilation units, hair dryers, curling irons, etc.);</w:t>
      </w:r>
      <w:r w:rsidRPr="007013E6">
        <w:rPr>
          <w:rFonts w:ascii="Times New Roman" w:eastAsia="Times New Roman" w:hAnsi="Times New Roman" w:cs="Times New Roman"/>
          <w:sz w:val="20"/>
          <w:szCs w:val="20"/>
          <w:lang w:val="en-US" w:eastAsia="ru-RU"/>
        </w:rPr>
        <w:br/>
        <w:t>– appliances for space conditioning and heating (climate control systems, electric radiators, etc.) [3].</w:t>
      </w:r>
    </w:p>
    <w:p w14:paraId="4D9CA755" w14:textId="77777777" w:rsidR="009D7F1B" w:rsidRPr="007013E6" w:rsidRDefault="009D7F1B" w:rsidP="000066D8">
      <w:pPr>
        <w:spacing w:after="0" w:line="240" w:lineRule="auto"/>
        <w:ind w:firstLine="284"/>
        <w:jc w:val="both"/>
        <w:rPr>
          <w:rFonts w:ascii="Times New Roman" w:eastAsia="Times New Roman" w:hAnsi="Times New Roman" w:cs="Times New Roman"/>
          <w:sz w:val="20"/>
          <w:szCs w:val="20"/>
          <w:lang w:val="en-US" w:eastAsia="ru-RU"/>
        </w:rPr>
      </w:pPr>
      <w:r w:rsidRPr="007013E6">
        <w:rPr>
          <w:rFonts w:ascii="Times New Roman" w:eastAsia="Times New Roman" w:hAnsi="Times New Roman" w:cs="Times New Roman"/>
          <w:sz w:val="20"/>
          <w:szCs w:val="20"/>
          <w:lang w:val="en-US" w:eastAsia="ru-RU"/>
        </w:rPr>
        <w:t>A large portion of electrical appliances used in residential buildings are equipped with switched-mode power supplies or are capable of electronic control of their operating modes. Such appliances exhibit nonlinear volt–ampere characteristics and are therefore referred to as nonlinear electrical loads.</w:t>
      </w:r>
    </w:p>
    <w:p w14:paraId="0DCC59A0" w14:textId="77777777" w:rsidR="009D7F1B" w:rsidRPr="007013E6" w:rsidRDefault="009D7F1B" w:rsidP="000066D8">
      <w:pPr>
        <w:spacing w:after="0" w:line="240" w:lineRule="auto"/>
        <w:ind w:firstLine="284"/>
        <w:jc w:val="both"/>
        <w:rPr>
          <w:rFonts w:ascii="Times New Roman" w:eastAsia="Times New Roman" w:hAnsi="Times New Roman" w:cs="Times New Roman"/>
          <w:sz w:val="20"/>
          <w:szCs w:val="20"/>
          <w:lang w:val="en-US" w:eastAsia="ru-RU"/>
        </w:rPr>
      </w:pPr>
      <w:r w:rsidRPr="007013E6">
        <w:rPr>
          <w:rFonts w:ascii="Times New Roman" w:eastAsia="Times New Roman" w:hAnsi="Times New Roman" w:cs="Times New Roman"/>
          <w:sz w:val="20"/>
          <w:szCs w:val="20"/>
          <w:lang w:val="en-US" w:eastAsia="ru-RU"/>
        </w:rPr>
        <w:t>The main types of nonlinear electrical appliances found in 0.38-kV municipal and household distribution networks include: personal computers, uninterruptible power supplies, energy-saving lamps, electric motors with variable-frequency drives, air conditioners, televisions, video recorders, microwave ovens, and others.</w:t>
      </w:r>
    </w:p>
    <w:p w14:paraId="7396F842" w14:textId="77777777" w:rsidR="009D7F1B" w:rsidRPr="007013E6" w:rsidRDefault="009D7F1B" w:rsidP="000066D8">
      <w:pPr>
        <w:spacing w:after="0" w:line="240" w:lineRule="auto"/>
        <w:ind w:firstLine="284"/>
        <w:jc w:val="both"/>
        <w:rPr>
          <w:rFonts w:ascii="Times New Roman" w:eastAsia="Times New Roman" w:hAnsi="Times New Roman" w:cs="Times New Roman"/>
          <w:sz w:val="20"/>
          <w:szCs w:val="20"/>
          <w:lang w:val="en-US" w:eastAsia="ru-RU"/>
        </w:rPr>
      </w:pPr>
      <w:r w:rsidRPr="007013E6">
        <w:rPr>
          <w:rFonts w:ascii="Times New Roman" w:eastAsia="Times New Roman" w:hAnsi="Times New Roman" w:cs="Times New Roman"/>
          <w:sz w:val="20"/>
          <w:szCs w:val="20"/>
          <w:lang w:val="en-US" w:eastAsia="ru-RU"/>
        </w:rPr>
        <w:t xml:space="preserve">The power consumption of nonlinear electrical appliances constitutes a significant share of the total electrical load of a residential building. According to expression (1), and based on the list of household appliances provided in [4], the share of electrical consumption attributable to nonlinear electrical devices amounts to </w:t>
      </w:r>
      <w:r w:rsidRPr="007013E6">
        <w:rPr>
          <w:rFonts w:ascii="Times New Roman" w:eastAsia="Times New Roman" w:hAnsi="Times New Roman" w:cs="Times New Roman"/>
          <w:b/>
          <w:bCs/>
          <w:sz w:val="20"/>
          <w:szCs w:val="20"/>
          <w:lang w:val="en-US" w:eastAsia="ru-RU"/>
        </w:rPr>
        <w:t>66.5%</w:t>
      </w:r>
      <w:r w:rsidRPr="007013E6">
        <w:rPr>
          <w:rFonts w:ascii="Times New Roman" w:eastAsia="Times New Roman" w:hAnsi="Times New Roman" w:cs="Times New Roman"/>
          <w:sz w:val="20"/>
          <w:szCs w:val="20"/>
          <w:lang w:val="en-US" w:eastAsia="ru-RU"/>
        </w:rPr>
        <w:t xml:space="preserve"> of the total electrical energy demand of residential buildings.</w:t>
      </w:r>
    </w:p>
    <w:p w14:paraId="061E5604" w14:textId="7DD8D6B9" w:rsidR="00B30511" w:rsidRPr="007013E6" w:rsidRDefault="00DD72D3" w:rsidP="00EF37BD">
      <w:pPr>
        <w:spacing w:after="0" w:line="240" w:lineRule="auto"/>
        <w:jc w:val="right"/>
        <w:rPr>
          <w:rFonts w:ascii="Times New Roman" w:hAnsi="Times New Roman" w:cs="Times New Roman"/>
          <w:sz w:val="20"/>
          <w:szCs w:val="20"/>
          <w:lang w:val="en-US"/>
        </w:rPr>
      </w:pP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n</m:t>
            </m:r>
            <m:r>
              <w:rPr>
                <w:rFonts w:ascii="Cambria Math" w:hAnsi="Cambria Math" w:cs="Times New Roman"/>
                <w:sz w:val="20"/>
                <w:szCs w:val="20"/>
                <w:lang w:val="en-US"/>
              </w:rPr>
              <m:t>.</m:t>
            </m:r>
            <m:r>
              <w:rPr>
                <w:rFonts w:ascii="Cambria Math" w:hAnsi="Cambria Math" w:cs="Times New Roman"/>
                <w:sz w:val="20"/>
                <w:szCs w:val="20"/>
                <w:lang w:val="en-US"/>
              </w:rPr>
              <m:t>e</m:t>
            </m:r>
          </m:sub>
        </m:sSub>
      </m:oMath>
      <w:r w:rsidR="00B30511" w:rsidRPr="007013E6">
        <w:rPr>
          <w:rFonts w:ascii="Times New Roman" w:hAnsi="Times New Roman" w:cs="Times New Roman"/>
          <w:sz w:val="20"/>
          <w:szCs w:val="20"/>
          <w:lang w:val="en-US"/>
        </w:rPr>
        <w:t>=</w:t>
      </w:r>
      <m:oMath>
        <m:f>
          <m:fPr>
            <m:ctrlPr>
              <w:rPr>
                <w:rFonts w:ascii="Cambria Math" w:hAnsi="Cambria Math" w:cs="Times New Roman"/>
                <w:sz w:val="20"/>
                <w:szCs w:val="20"/>
                <w:lang w:val="en-US"/>
              </w:rPr>
            </m:ctrlPr>
          </m:fPr>
          <m:num>
            <m:sSub>
              <m:sSubPr>
                <m:ctrlPr>
                  <w:rPr>
                    <w:rFonts w:ascii="Cambria Math" w:hAnsi="Cambria Math" w:cs="Times New Roman"/>
                    <w:i/>
                    <w:sz w:val="20"/>
                    <w:szCs w:val="20"/>
                    <w:lang w:val="en-US"/>
                  </w:rPr>
                </m:ctrlPr>
              </m:sSubPr>
              <m:e>
                <m:nary>
                  <m:naryPr>
                    <m:chr m:val="∑"/>
                    <m:limLoc m:val="undOvr"/>
                    <m:subHide m:val="1"/>
                    <m:supHide m:val="1"/>
                    <m:ctrlPr>
                      <w:rPr>
                        <w:rFonts w:ascii="Cambria Math" w:hAnsi="Cambria Math" w:cs="Times New Roman"/>
                        <w:i/>
                        <w:sz w:val="20"/>
                        <w:szCs w:val="20"/>
                        <w:lang w:val="en-US"/>
                      </w:rPr>
                    </m:ctrlPr>
                  </m:naryPr>
                  <m:sub/>
                  <m:sup/>
                  <m:e>
                    <m:r>
                      <w:rPr>
                        <w:rFonts w:ascii="Cambria Math" w:hAnsi="Cambria Math" w:cs="Times New Roman"/>
                        <w:sz w:val="20"/>
                        <w:szCs w:val="20"/>
                        <w:lang w:val="en-US"/>
                      </w:rPr>
                      <m:t>P</m:t>
                    </m:r>
                  </m:e>
                </m:nary>
              </m:e>
              <m:sub>
                <m:r>
                  <w:rPr>
                    <w:rFonts w:ascii="Cambria Math" w:hAnsi="Cambria Math" w:cs="Times New Roman"/>
                    <w:sz w:val="20"/>
                    <w:szCs w:val="20"/>
                  </w:rPr>
                  <m:t>n</m:t>
                </m:r>
                <m:r>
                  <w:rPr>
                    <w:rFonts w:ascii="Cambria Math" w:hAnsi="Cambria Math" w:cs="Times New Roman"/>
                    <w:sz w:val="20"/>
                    <w:szCs w:val="20"/>
                    <w:lang w:val="en-US"/>
                  </w:rPr>
                  <m:t>.</m:t>
                </m:r>
                <m:r>
                  <w:rPr>
                    <w:rFonts w:ascii="Cambria Math" w:hAnsi="Cambria Math" w:cs="Times New Roman"/>
                    <w:sz w:val="20"/>
                    <w:szCs w:val="20"/>
                    <w:lang w:val="en-US"/>
                  </w:rPr>
                  <m:t>eq</m:t>
                </m:r>
              </m:sub>
            </m:sSub>
          </m:num>
          <m:den>
            <m:nary>
              <m:naryPr>
                <m:chr m:val="∑"/>
                <m:limLoc m:val="undOvr"/>
                <m:subHide m:val="1"/>
                <m:supHide m:val="1"/>
                <m:ctrlPr>
                  <w:rPr>
                    <w:rFonts w:ascii="Cambria Math" w:hAnsi="Cambria Math" w:cs="Times New Roman"/>
                    <w:sz w:val="20"/>
                    <w:szCs w:val="20"/>
                    <w:lang w:val="en-US"/>
                  </w:rPr>
                </m:ctrlPr>
              </m:naryPr>
              <m:sub/>
              <m:sup/>
              <m:e>
                <m:sSub>
                  <m:sSubPr>
                    <m:ctrlPr>
                      <w:rPr>
                        <w:rFonts w:ascii="Cambria Math" w:hAnsi="Cambria Math" w:cs="Times New Roman"/>
                        <w:i/>
                        <w:sz w:val="20"/>
                        <w:szCs w:val="20"/>
                        <w:lang w:val="en-US"/>
                      </w:rPr>
                    </m:ctrlPr>
                  </m:sSubPr>
                  <m:e>
                    <m:r>
                      <w:rPr>
                        <w:rFonts w:ascii="Cambria Math" w:hAnsi="Cambria Math" w:cs="Times New Roman"/>
                        <w:sz w:val="20"/>
                        <w:szCs w:val="20"/>
                      </w:rPr>
                      <m:t>Р</m:t>
                    </m:r>
                  </m:e>
                  <m:sub>
                    <m:r>
                      <w:rPr>
                        <w:rFonts w:ascii="Cambria Math" w:hAnsi="Cambria Math" w:cs="Times New Roman"/>
                        <w:sz w:val="20"/>
                        <w:szCs w:val="20"/>
                      </w:rPr>
                      <m:t>n</m:t>
                    </m:r>
                    <m:r>
                      <w:rPr>
                        <w:rFonts w:ascii="Cambria Math" w:hAnsi="Cambria Math" w:cs="Times New Roman"/>
                        <w:sz w:val="20"/>
                        <w:szCs w:val="20"/>
                        <w:lang w:val="en-US"/>
                      </w:rPr>
                      <m:t>.</m:t>
                    </m:r>
                    <m:r>
                      <w:rPr>
                        <w:rFonts w:ascii="Cambria Math" w:hAnsi="Cambria Math" w:cs="Times New Roman"/>
                        <w:sz w:val="20"/>
                        <w:szCs w:val="20"/>
                      </w:rPr>
                      <m:t>eq</m:t>
                    </m:r>
                  </m:sub>
                </m:sSub>
              </m:e>
            </m:nary>
            <m:r>
              <m:rPr>
                <m:sty m:val="p"/>
              </m:rPr>
              <w:rPr>
                <w:rFonts w:ascii="Cambria Math" w:hAnsi="Cambria Math" w:cs="Times New Roman"/>
                <w:sz w:val="20"/>
                <w:szCs w:val="20"/>
                <w:lang w:val="en-US"/>
              </w:rPr>
              <m:t>+</m:t>
            </m:r>
            <m:nary>
              <m:naryPr>
                <m:chr m:val="∑"/>
                <m:limLoc m:val="undOvr"/>
                <m:subHide m:val="1"/>
                <m:supHide m:val="1"/>
                <m:ctrlPr>
                  <w:rPr>
                    <w:rFonts w:ascii="Cambria Math" w:hAnsi="Cambria Math" w:cs="Times New Roman"/>
                    <w:sz w:val="20"/>
                    <w:szCs w:val="20"/>
                    <w:lang w:val="en-US"/>
                  </w:rPr>
                </m:ctrlPr>
              </m:naryPr>
              <m:sub/>
              <m:sup/>
              <m:e>
                <m:sSub>
                  <m:sSubPr>
                    <m:ctrlPr>
                      <w:rPr>
                        <w:rFonts w:ascii="Cambria Math" w:hAnsi="Cambria Math" w:cs="Times New Roman"/>
                        <w:i/>
                        <w:sz w:val="20"/>
                        <w:szCs w:val="20"/>
                        <w:lang w:val="en-US"/>
                      </w:rPr>
                    </m:ctrlPr>
                  </m:sSubPr>
                  <m:e>
                    <m:r>
                      <w:rPr>
                        <w:rFonts w:ascii="Cambria Math" w:hAnsi="Cambria Math" w:cs="Times New Roman"/>
                        <w:sz w:val="20"/>
                        <w:szCs w:val="20"/>
                      </w:rPr>
                      <m:t>Р</m:t>
                    </m:r>
                  </m:e>
                  <m:sub>
                    <m:r>
                      <w:rPr>
                        <w:rFonts w:ascii="Cambria Math" w:hAnsi="Cambria Math" w:cs="Times New Roman"/>
                        <w:sz w:val="20"/>
                        <w:szCs w:val="20"/>
                      </w:rPr>
                      <m:t>l</m:t>
                    </m:r>
                    <m:r>
                      <w:rPr>
                        <w:rFonts w:ascii="Cambria Math" w:hAnsi="Cambria Math" w:cs="Times New Roman"/>
                        <w:sz w:val="20"/>
                        <w:szCs w:val="20"/>
                        <w:lang w:val="en-US"/>
                      </w:rPr>
                      <m:t>.</m:t>
                    </m:r>
                    <m:r>
                      <w:rPr>
                        <w:rFonts w:ascii="Cambria Math" w:hAnsi="Cambria Math" w:cs="Times New Roman"/>
                        <w:sz w:val="20"/>
                        <w:szCs w:val="20"/>
                        <w:lang w:val="en-US"/>
                      </w:rPr>
                      <m:t>eq</m:t>
                    </m:r>
                  </m:sub>
                </m:sSub>
              </m:e>
            </m:nary>
          </m:den>
        </m:f>
        <m:r>
          <w:rPr>
            <w:rFonts w:ascii="Cambria Math" w:hAnsi="Cambria Math" w:cs="Times New Roman"/>
            <w:sz w:val="20"/>
            <w:szCs w:val="20"/>
            <w:lang w:val="en-US"/>
          </w:rPr>
          <m:t>∙</m:t>
        </m:r>
        <m:r>
          <w:rPr>
            <w:rFonts w:ascii="Cambria Math" w:hAnsi="Cambria Math" w:cs="Times New Roman"/>
            <w:sz w:val="20"/>
            <w:szCs w:val="20"/>
            <w:lang w:val="en-US"/>
          </w:rPr>
          <m:t>100%,</m:t>
        </m:r>
      </m:oMath>
      <w:r w:rsidR="00B30511" w:rsidRPr="007013E6">
        <w:rPr>
          <w:rFonts w:ascii="Times New Roman" w:hAnsi="Times New Roman" w:cs="Times New Roman"/>
          <w:sz w:val="20"/>
          <w:szCs w:val="20"/>
          <w:lang w:val="en-US"/>
        </w:rPr>
        <w:tab/>
        <w:t xml:space="preserve"> </w:t>
      </w:r>
      <w:r w:rsidR="00031C14" w:rsidRPr="007013E6">
        <w:rPr>
          <w:rFonts w:ascii="Times New Roman" w:hAnsi="Times New Roman" w:cs="Times New Roman"/>
          <w:sz w:val="20"/>
          <w:szCs w:val="20"/>
          <w:lang w:val="uz-Cyrl-UZ"/>
        </w:rPr>
        <w:t xml:space="preserve">          </w:t>
      </w:r>
      <w:r w:rsidR="00B30511" w:rsidRPr="007013E6">
        <w:rPr>
          <w:rFonts w:ascii="Times New Roman" w:hAnsi="Times New Roman" w:cs="Times New Roman"/>
          <w:sz w:val="20"/>
          <w:szCs w:val="20"/>
          <w:lang w:val="en-US"/>
        </w:rPr>
        <w:t xml:space="preserve">                 </w:t>
      </w:r>
      <w:r w:rsidR="00EF37BD" w:rsidRPr="007013E6">
        <w:rPr>
          <w:rFonts w:ascii="Times New Roman" w:hAnsi="Times New Roman" w:cs="Times New Roman"/>
          <w:sz w:val="20"/>
          <w:szCs w:val="20"/>
          <w:lang w:val="en-US"/>
        </w:rPr>
        <w:t xml:space="preserve">                                       </w:t>
      </w:r>
      <w:r w:rsidR="00B30511" w:rsidRPr="007013E6">
        <w:rPr>
          <w:rFonts w:ascii="Times New Roman" w:hAnsi="Times New Roman" w:cs="Times New Roman"/>
          <w:sz w:val="20"/>
          <w:szCs w:val="20"/>
          <w:lang w:val="en-US"/>
        </w:rPr>
        <w:t xml:space="preserve">              (1)</w:t>
      </w:r>
    </w:p>
    <w:p w14:paraId="6E753EC5" w14:textId="009591F9" w:rsidR="009D7F1B" w:rsidRPr="007013E6" w:rsidRDefault="009D7F1B" w:rsidP="00360CF8">
      <w:pPr>
        <w:spacing w:after="0" w:line="240" w:lineRule="auto"/>
        <w:jc w:val="both"/>
        <w:rPr>
          <w:rFonts w:ascii="Times New Roman" w:eastAsia="Times New Roman" w:hAnsi="Times New Roman" w:cs="Times New Roman"/>
          <w:sz w:val="20"/>
          <w:szCs w:val="20"/>
          <w:lang w:val="en-US" w:eastAsia="ru-RU"/>
        </w:rPr>
      </w:pPr>
      <w:r w:rsidRPr="007013E6">
        <w:rPr>
          <w:rFonts w:ascii="Times New Roman" w:eastAsia="Times New Roman" w:hAnsi="Times New Roman" w:cs="Times New Roman"/>
          <w:sz w:val="20"/>
          <w:szCs w:val="20"/>
          <w:lang w:val="en-US" w:eastAsia="ru-RU"/>
        </w:rPr>
        <w:t>Here,</w:t>
      </w:r>
      <w:r w:rsidR="00DF2DF7" w:rsidRPr="007013E6">
        <w:rPr>
          <w:rFonts w:ascii="Times New Roman" w:eastAsia="Times New Roman" w:hAnsi="Times New Roman" w:cs="Times New Roman"/>
          <w:sz w:val="20"/>
          <w:szCs w:val="20"/>
          <w:lang w:val="en-US" w:eastAsia="ru-RU"/>
        </w:rPr>
        <w:t xml:space="preserve"> </w:t>
      </w:r>
      <w:r w:rsidR="00360CF8" w:rsidRPr="007013E6">
        <w:rPr>
          <w:rFonts w:ascii="Times New Roman" w:hAnsi="Times New Roman" w:cs="Times New Roman"/>
          <w:sz w:val="20"/>
          <w:szCs w:val="20"/>
          <w:lang w:val="en-US"/>
        </w:rPr>
        <w:t>K</w:t>
      </w:r>
      <w:r w:rsidR="00360CF8" w:rsidRPr="007013E6">
        <w:rPr>
          <w:rFonts w:ascii="Times New Roman" w:hAnsi="Times New Roman" w:cs="Times New Roman"/>
          <w:sz w:val="20"/>
          <w:szCs w:val="20"/>
          <w:vertAlign w:val="subscript"/>
          <w:lang w:val="en-US"/>
        </w:rPr>
        <w:t>n.e</w:t>
      </w:r>
      <w:r w:rsidR="00360CF8" w:rsidRPr="007013E6">
        <w:rPr>
          <w:rFonts w:ascii="Times New Roman" w:eastAsia="Times New Roman" w:hAnsi="Times New Roman" w:cs="Times New Roman"/>
          <w:sz w:val="20"/>
          <w:szCs w:val="20"/>
          <w:lang w:val="en-US" w:eastAsia="ru-RU"/>
        </w:rPr>
        <w:t xml:space="preserve"> </w:t>
      </w:r>
      <w:r w:rsidRPr="007013E6">
        <w:rPr>
          <w:rFonts w:ascii="Times New Roman" w:eastAsia="Times New Roman" w:hAnsi="Times New Roman" w:cs="Times New Roman"/>
          <w:sz w:val="20"/>
          <w:szCs w:val="20"/>
          <w:lang w:val="en-US" w:eastAsia="ru-RU"/>
        </w:rPr>
        <w:t>– the share of electrical energy consumption attributable to nonlinear electrical appliances;</w:t>
      </w:r>
      <w:r w:rsidRPr="007013E6">
        <w:rPr>
          <w:rFonts w:ascii="Times New Roman" w:eastAsia="Times New Roman" w:hAnsi="Times New Roman" w:cs="Times New Roman"/>
          <w:sz w:val="20"/>
          <w:szCs w:val="20"/>
          <w:lang w:val="en-US" w:eastAsia="ru-RU"/>
        </w:rPr>
        <w:br/>
      </w:r>
      <m:oMath>
        <m:nary>
          <m:naryPr>
            <m:chr m:val="∑"/>
            <m:limLoc m:val="undOvr"/>
            <m:subHide m:val="1"/>
            <m:supHide m:val="1"/>
            <m:ctrlPr>
              <w:rPr>
                <w:rFonts w:ascii="Cambria Math" w:hAnsi="Cambria Math" w:cs="Times New Roman"/>
                <w:i/>
                <w:sz w:val="20"/>
                <w:szCs w:val="20"/>
                <w:lang w:val="en-US"/>
              </w:rPr>
            </m:ctrlPr>
          </m:naryPr>
          <m:sub/>
          <m:sup/>
          <m:e>
            <m:sSub>
              <m:sSubPr>
                <m:ctrlPr>
                  <w:rPr>
                    <w:rFonts w:ascii="Cambria Math" w:hAnsi="Cambria Math" w:cs="Times New Roman"/>
                    <w:i/>
                    <w:sz w:val="20"/>
                    <w:szCs w:val="20"/>
                    <w:lang w:val="en-US"/>
                  </w:rPr>
                </m:ctrlPr>
              </m:sSubPr>
              <m:e>
                <m:r>
                  <w:rPr>
                    <w:rFonts w:ascii="Cambria Math" w:hAnsi="Cambria Math" w:cs="Times New Roman"/>
                    <w:sz w:val="20"/>
                    <w:szCs w:val="20"/>
                    <w:lang w:val="en-US"/>
                  </w:rPr>
                  <m:t>P</m:t>
                </m:r>
              </m:e>
              <m:sub>
                <m:r>
                  <w:rPr>
                    <w:rFonts w:ascii="Cambria Math" w:hAnsi="Cambria Math" w:cs="Times New Roman"/>
                    <w:sz w:val="20"/>
                    <w:szCs w:val="20"/>
                    <w:lang w:val="en-US"/>
                  </w:rPr>
                  <m:t>l.eq.</m:t>
                </m:r>
              </m:sub>
            </m:sSub>
          </m:e>
        </m:nary>
      </m:oMath>
      <w:r w:rsidR="004A3D83" w:rsidRPr="007013E6">
        <w:rPr>
          <w:rFonts w:ascii="Times New Roman" w:hAnsi="Times New Roman" w:cs="Times New Roman"/>
          <w:sz w:val="20"/>
          <w:szCs w:val="20"/>
          <w:lang w:val="en-US"/>
        </w:rPr>
        <w:t xml:space="preserve"> </w:t>
      </w:r>
      <w:r w:rsidRPr="007013E6">
        <w:rPr>
          <w:rFonts w:ascii="Times New Roman" w:eastAsia="Times New Roman" w:hAnsi="Times New Roman" w:cs="Times New Roman"/>
          <w:sz w:val="20"/>
          <w:szCs w:val="20"/>
          <w:lang w:val="en-US" w:eastAsia="ru-RU"/>
        </w:rPr>
        <w:t>– the total installed power of linear electrical appliances;</w:t>
      </w:r>
      <w:r w:rsidRPr="007013E6">
        <w:rPr>
          <w:rFonts w:ascii="Times New Roman" w:eastAsia="Times New Roman" w:hAnsi="Times New Roman" w:cs="Times New Roman"/>
          <w:sz w:val="20"/>
          <w:szCs w:val="20"/>
          <w:lang w:val="en-US" w:eastAsia="ru-RU"/>
        </w:rPr>
        <w:br/>
      </w:r>
      <m:oMath>
        <m:nary>
          <m:naryPr>
            <m:chr m:val="∑"/>
            <m:limLoc m:val="undOvr"/>
            <m:subHide m:val="1"/>
            <m:supHide m:val="1"/>
            <m:ctrlPr>
              <w:rPr>
                <w:rFonts w:ascii="Cambria Math" w:eastAsiaTheme="minorEastAsia" w:hAnsi="Cambria Math" w:cs="Times New Roman"/>
                <w:i/>
                <w:sz w:val="20"/>
                <w:szCs w:val="20"/>
                <w:lang w:val="en-US"/>
              </w:rPr>
            </m:ctrlPr>
          </m:naryPr>
          <m:sub/>
          <m:sup/>
          <m:e>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P</m:t>
                </m:r>
              </m:e>
              <m:sub>
                <m:r>
                  <w:rPr>
                    <w:rFonts w:ascii="Cambria Math" w:eastAsiaTheme="minorEastAsia" w:hAnsi="Cambria Math" w:cs="Times New Roman"/>
                    <w:sz w:val="20"/>
                    <w:szCs w:val="20"/>
                    <w:lang w:val="en-US"/>
                  </w:rPr>
                  <m:t>n.eq</m:t>
                </m:r>
              </m:sub>
            </m:sSub>
          </m:e>
        </m:nary>
      </m:oMath>
      <w:r w:rsidRPr="007013E6">
        <w:rPr>
          <w:rFonts w:ascii="Times New Roman" w:eastAsia="Times New Roman" w:hAnsi="Times New Roman" w:cs="Times New Roman"/>
          <w:sz w:val="20"/>
          <w:szCs w:val="20"/>
          <w:vertAlign w:val="subscript"/>
          <w:lang w:val="en-US" w:eastAsia="ru-RU"/>
        </w:rPr>
        <w:t>.​</w:t>
      </w:r>
      <w:r w:rsidRPr="007013E6">
        <w:rPr>
          <w:rFonts w:ascii="Times New Roman" w:eastAsia="Times New Roman" w:hAnsi="Times New Roman" w:cs="Times New Roman"/>
          <w:sz w:val="20"/>
          <w:szCs w:val="20"/>
          <w:lang w:val="en-US" w:eastAsia="ru-RU"/>
        </w:rPr>
        <w:t xml:space="preserve"> – the total installed power of nonlinear electrical appliances.</w:t>
      </w:r>
    </w:p>
    <w:p w14:paraId="22F6075A" w14:textId="77777777" w:rsidR="009D7F1B" w:rsidRPr="007013E6" w:rsidRDefault="009D7F1B" w:rsidP="00DF2DF7">
      <w:pPr>
        <w:spacing w:after="0" w:line="240" w:lineRule="auto"/>
        <w:ind w:firstLine="284"/>
        <w:rPr>
          <w:rFonts w:ascii="Times New Roman" w:eastAsia="Times New Roman" w:hAnsi="Times New Roman" w:cs="Times New Roman"/>
          <w:sz w:val="20"/>
          <w:szCs w:val="20"/>
          <w:lang w:val="en-US" w:eastAsia="ru-RU"/>
        </w:rPr>
      </w:pPr>
      <w:r w:rsidRPr="007013E6">
        <w:rPr>
          <w:rFonts w:ascii="Times New Roman" w:eastAsia="Times New Roman" w:hAnsi="Times New Roman" w:cs="Times New Roman"/>
          <w:sz w:val="20"/>
          <w:szCs w:val="20"/>
          <w:lang w:val="en-US" w:eastAsia="ru-RU"/>
        </w:rPr>
        <w:t>It is important to note that devices operating for extended periods are typically nonlinear electrical appliances (television sets, personal computers, audio systems, etc.). When lighting is provided by fluorescent or energy-saving lamps, the lighting load also becomes nonlinear.</w:t>
      </w:r>
    </w:p>
    <w:p w14:paraId="5384D4F2" w14:textId="77777777" w:rsidR="009D7F1B" w:rsidRPr="007013E6" w:rsidRDefault="009D7F1B" w:rsidP="00DF2DF7">
      <w:pPr>
        <w:spacing w:after="0" w:line="240" w:lineRule="auto"/>
        <w:ind w:firstLine="284"/>
        <w:jc w:val="both"/>
        <w:rPr>
          <w:rFonts w:ascii="Times New Roman" w:eastAsia="Times New Roman" w:hAnsi="Times New Roman" w:cs="Times New Roman"/>
          <w:sz w:val="20"/>
          <w:szCs w:val="20"/>
          <w:lang w:val="en-US" w:eastAsia="ru-RU"/>
        </w:rPr>
      </w:pPr>
      <w:r w:rsidRPr="007013E6">
        <w:rPr>
          <w:rFonts w:ascii="Times New Roman" w:eastAsia="Times New Roman" w:hAnsi="Times New Roman" w:cs="Times New Roman"/>
          <w:sz w:val="20"/>
          <w:szCs w:val="20"/>
          <w:lang w:val="en-US" w:eastAsia="ru-RU"/>
        </w:rPr>
        <w:t xml:space="preserve">Experimental investigations were carried out using an ASK-4166 digital oscilloscope and an application software package connected at the input of a residential building according to the schematic diagram shown in </w:t>
      </w:r>
      <w:r w:rsidRPr="000066D8">
        <w:rPr>
          <w:rFonts w:ascii="Times New Roman" w:eastAsia="Times New Roman" w:hAnsi="Times New Roman" w:cs="Times New Roman"/>
          <w:sz w:val="20"/>
          <w:szCs w:val="20"/>
          <w:lang w:val="en-US" w:eastAsia="ru-RU"/>
        </w:rPr>
        <w:t xml:space="preserve">Figure 1. </w:t>
      </w:r>
      <w:r w:rsidRPr="007013E6">
        <w:rPr>
          <w:rFonts w:ascii="Times New Roman" w:eastAsia="Times New Roman" w:hAnsi="Times New Roman" w:cs="Times New Roman"/>
          <w:sz w:val="20"/>
          <w:szCs w:val="20"/>
          <w:lang w:val="en-US" w:eastAsia="ru-RU"/>
        </w:rPr>
        <w:t>These measurements made it possible to obtain the amplitude–frequency characteristics of major nonlinear electrical appliances operating at a nominal voltage of 0.38 kV.</w:t>
      </w:r>
    </w:p>
    <w:p w14:paraId="37155CA1" w14:textId="5535222A" w:rsidR="005D0FC0" w:rsidRPr="000066D8" w:rsidRDefault="009D7F1B" w:rsidP="00DF2DF7">
      <w:pPr>
        <w:spacing w:after="0" w:line="240" w:lineRule="auto"/>
        <w:ind w:firstLine="284"/>
        <w:jc w:val="both"/>
        <w:rPr>
          <w:rFonts w:ascii="Times New Roman" w:eastAsia="Times New Roman" w:hAnsi="Times New Roman" w:cs="Times New Roman"/>
          <w:sz w:val="20"/>
          <w:szCs w:val="20"/>
          <w:lang w:val="en-US" w:eastAsia="ru-RU"/>
        </w:rPr>
      </w:pPr>
      <w:r w:rsidRPr="007013E6">
        <w:rPr>
          <w:rFonts w:ascii="Times New Roman" w:eastAsia="Times New Roman" w:hAnsi="Times New Roman" w:cs="Times New Roman"/>
          <w:sz w:val="20"/>
          <w:szCs w:val="20"/>
          <w:lang w:val="en-US" w:eastAsia="ru-RU"/>
        </w:rPr>
        <w:t xml:space="preserve">By sequentially connecting electrical appliances to the network and recording </w:t>
      </w:r>
      <w:r w:rsidRPr="000066D8">
        <w:rPr>
          <w:rFonts w:ascii="Times New Roman" w:eastAsia="Times New Roman" w:hAnsi="Times New Roman" w:cs="Times New Roman"/>
          <w:sz w:val="20"/>
          <w:szCs w:val="20"/>
          <w:lang w:val="en-US" w:eastAsia="ru-RU"/>
        </w:rPr>
        <w:t>oscillograms, the instantaneous variations of the consumed current and voltage were obtained. These waveforms are presented in Figure 2.</w:t>
      </w:r>
    </w:p>
    <w:p w14:paraId="4A64A8AC" w14:textId="6DE77AFE" w:rsidR="00A3417D" w:rsidRPr="00321208" w:rsidRDefault="000066D8" w:rsidP="00A3417D">
      <w:pPr>
        <w:pStyle w:val="af0"/>
        <w:rPr>
          <w:noProof/>
          <w:lang w:val="en-US"/>
        </w:rPr>
      </w:pPr>
      <w:r w:rsidRPr="000066D8">
        <w:rPr>
          <w:noProof/>
          <w:lang w:val="en-US"/>
        </w:rPr>
        <w:lastRenderedPageBreak/>
        <w:drawing>
          <wp:inline distT="0" distB="0" distL="0" distR="0" wp14:anchorId="646652F7" wp14:editId="4489AEC3">
            <wp:extent cx="4277322" cy="3143689"/>
            <wp:effectExtent l="0" t="0" r="9525" b="0"/>
            <wp:docPr id="14572385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38508" name=""/>
                    <pic:cNvPicPr/>
                  </pic:nvPicPr>
                  <pic:blipFill>
                    <a:blip r:embed="rId8"/>
                    <a:stretch>
                      <a:fillRect/>
                    </a:stretch>
                  </pic:blipFill>
                  <pic:spPr>
                    <a:xfrm>
                      <a:off x="0" y="0"/>
                      <a:ext cx="4277322" cy="3143689"/>
                    </a:xfrm>
                    <a:prstGeom prst="rect">
                      <a:avLst/>
                    </a:prstGeom>
                  </pic:spPr>
                </pic:pic>
              </a:graphicData>
            </a:graphic>
          </wp:inline>
        </w:drawing>
      </w:r>
    </w:p>
    <w:p w14:paraId="43E0F9C0" w14:textId="0AC4FB62" w:rsidR="009D7F1B" w:rsidRPr="00047055" w:rsidRDefault="00047055" w:rsidP="00360CF8">
      <w:pPr>
        <w:spacing w:after="0" w:line="240" w:lineRule="auto"/>
        <w:jc w:val="center"/>
        <w:rPr>
          <w:rFonts w:ascii="Times New Roman" w:eastAsia="Times New Roman" w:hAnsi="Times New Roman" w:cs="Times New Roman"/>
          <w:sz w:val="18"/>
          <w:szCs w:val="18"/>
          <w:lang w:val="en-US" w:eastAsia="ru-RU"/>
        </w:rPr>
      </w:pPr>
      <w:r w:rsidRPr="00047055">
        <w:rPr>
          <w:rFonts w:ascii="Times New Roman" w:eastAsia="Times New Roman" w:hAnsi="Times New Roman" w:cs="Times New Roman"/>
          <w:b/>
          <w:bCs/>
          <w:sz w:val="18"/>
          <w:szCs w:val="18"/>
          <w:lang w:val="en-US" w:eastAsia="ru-RU"/>
        </w:rPr>
        <w:t xml:space="preserve">FIGURE 1. </w:t>
      </w:r>
      <w:r w:rsidR="009D7F1B" w:rsidRPr="00047055">
        <w:rPr>
          <w:rFonts w:ascii="Times New Roman" w:eastAsia="Times New Roman" w:hAnsi="Times New Roman" w:cs="Times New Roman"/>
          <w:sz w:val="18"/>
          <w:szCs w:val="18"/>
          <w:lang w:val="en-US" w:eastAsia="ru-RU"/>
        </w:rPr>
        <w:t>Experimental setup diagram:</w:t>
      </w:r>
      <w:r w:rsidR="009D7F1B" w:rsidRPr="00047055">
        <w:rPr>
          <w:rFonts w:ascii="Times New Roman" w:eastAsia="Times New Roman" w:hAnsi="Times New Roman" w:cs="Times New Roman"/>
          <w:sz w:val="18"/>
          <w:szCs w:val="18"/>
          <w:lang w:val="en-US" w:eastAsia="ru-RU"/>
        </w:rPr>
        <w:br/>
        <w:t>a – music center;b – energy-saving lamp;c – television set;d – microwave oven;e – personal computer;f – oscilloscope connected to a personal computer.</w:t>
      </w:r>
    </w:p>
    <w:p w14:paraId="3373182B" w14:textId="77777777" w:rsidR="00A27ACB" w:rsidRPr="007013E6" w:rsidRDefault="00A27ACB" w:rsidP="005164B8">
      <w:pPr>
        <w:overflowPunct w:val="0"/>
        <w:autoSpaceDE w:val="0"/>
        <w:autoSpaceDN w:val="0"/>
        <w:adjustRightInd w:val="0"/>
        <w:spacing w:before="240" w:after="240" w:line="240" w:lineRule="auto"/>
        <w:ind w:firstLine="284"/>
        <w:jc w:val="center"/>
        <w:textAlignment w:val="baseline"/>
        <w:rPr>
          <w:rFonts w:ascii="Times New Roman" w:eastAsia="Times New Roman" w:hAnsi="Times New Roman" w:cs="Times New Roman"/>
          <w:b/>
          <w:sz w:val="24"/>
          <w:szCs w:val="24"/>
          <w:lang w:val="en-US" w:eastAsia="de-DE"/>
        </w:rPr>
      </w:pPr>
      <w:r w:rsidRPr="007013E6">
        <w:rPr>
          <w:rFonts w:ascii="Times New Roman" w:eastAsia="Times New Roman" w:hAnsi="Times New Roman" w:cs="Times New Roman"/>
          <w:b/>
          <w:sz w:val="24"/>
          <w:szCs w:val="24"/>
          <w:lang w:val="en-US" w:eastAsia="de-DE"/>
        </w:rPr>
        <w:t>RESEARCH RESULTS</w:t>
      </w:r>
    </w:p>
    <w:p w14:paraId="28DA2560" w14:textId="2E03910D" w:rsidR="009D7F1B" w:rsidRPr="007013E6" w:rsidRDefault="009D7F1B" w:rsidP="00EF37BD">
      <w:pPr>
        <w:spacing w:after="0" w:line="240" w:lineRule="auto"/>
        <w:ind w:firstLine="284"/>
        <w:rPr>
          <w:rFonts w:ascii="Times New Roman" w:eastAsia="Times New Roman" w:hAnsi="Times New Roman" w:cs="Times New Roman"/>
          <w:sz w:val="20"/>
          <w:szCs w:val="20"/>
          <w:lang w:val="en-US" w:eastAsia="ru-RU"/>
        </w:rPr>
      </w:pPr>
      <w:r w:rsidRPr="007013E6">
        <w:rPr>
          <w:rFonts w:ascii="Times New Roman" w:eastAsia="Times New Roman" w:hAnsi="Times New Roman" w:cs="Times New Roman"/>
          <w:sz w:val="20"/>
          <w:szCs w:val="20"/>
          <w:lang w:val="en-US" w:eastAsia="ru-RU"/>
        </w:rPr>
        <w:t>According to GOST 13109-97 [5], the distortion of voltage and current waveforms from an ideal sinusoidal form is characterized by two indicators: the voltage waveform distortion factor and the current waveform distortion factor.</w:t>
      </w:r>
    </w:p>
    <w:p w14:paraId="59F85895" w14:textId="51EDDCC6" w:rsidR="009D7F1B" w:rsidRDefault="009D7F1B" w:rsidP="00360CF8">
      <w:pPr>
        <w:spacing w:after="0" w:line="240" w:lineRule="auto"/>
        <w:ind w:firstLine="420"/>
        <w:jc w:val="both"/>
        <w:rPr>
          <w:rFonts w:ascii="Times New Roman" w:eastAsia="Times New Roman" w:hAnsi="Times New Roman" w:cs="Times New Roman"/>
          <w:sz w:val="20"/>
          <w:szCs w:val="20"/>
          <w:lang w:val="en-US" w:eastAsia="ru-RU"/>
        </w:rPr>
      </w:pPr>
    </w:p>
    <w:tbl>
      <w:tblPr>
        <w:tblStyle w:val="a4"/>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5"/>
        <w:gridCol w:w="3551"/>
      </w:tblGrid>
      <w:tr w:rsidR="000066D8" w:rsidRPr="00A4165F" w14:paraId="1EAA0F5B" w14:textId="77777777" w:rsidTr="000066D8">
        <w:tc>
          <w:tcPr>
            <w:tcW w:w="4245" w:type="dxa"/>
          </w:tcPr>
          <w:p w14:paraId="052447C9" w14:textId="366DEF99" w:rsidR="000066D8" w:rsidRDefault="000066D8" w:rsidP="00360CF8">
            <w:pPr>
              <w:jc w:val="both"/>
              <w:rPr>
                <w:rFonts w:ascii="Times New Roman" w:eastAsia="Times New Roman" w:hAnsi="Times New Roman" w:cs="Times New Roman"/>
                <w:sz w:val="20"/>
                <w:szCs w:val="20"/>
                <w:lang w:val="en-US" w:eastAsia="ru-RU"/>
              </w:rPr>
            </w:pPr>
            <w:r w:rsidRPr="007013E6">
              <w:rPr>
                <w:rFonts w:ascii="Times New Roman" w:hAnsi="Times New Roman" w:cs="Times New Roman"/>
                <w:noProof/>
                <w:sz w:val="20"/>
                <w:szCs w:val="20"/>
                <w:lang w:val="en-US"/>
              </w:rPr>
              <w:drawing>
                <wp:anchor distT="0" distB="0" distL="114300" distR="114300" simplePos="0" relativeHeight="251687936" behindDoc="1" locked="0" layoutInCell="1" allowOverlap="1" wp14:anchorId="328D8418" wp14:editId="3DF28099">
                  <wp:simplePos x="0" y="0"/>
                  <wp:positionH relativeFrom="column">
                    <wp:posOffset>-61595</wp:posOffset>
                  </wp:positionH>
                  <wp:positionV relativeFrom="paragraph">
                    <wp:posOffset>148590</wp:posOffset>
                  </wp:positionV>
                  <wp:extent cx="2320290" cy="1266825"/>
                  <wp:effectExtent l="0" t="0" r="3810" b="9525"/>
                  <wp:wrapTight wrapText="bothSides">
                    <wp:wrapPolygon edited="0">
                      <wp:start x="0" y="0"/>
                      <wp:lineTo x="0" y="21438"/>
                      <wp:lineTo x="21458" y="21438"/>
                      <wp:lineTo x="2145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8128"/>
                          <a:stretch/>
                        </pic:blipFill>
                        <pic:spPr bwMode="auto">
                          <a:xfrm>
                            <a:off x="0" y="0"/>
                            <a:ext cx="2320290"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51" w:type="dxa"/>
          </w:tcPr>
          <w:p w14:paraId="5BE2963A" w14:textId="0AFA4210" w:rsidR="000066D8" w:rsidRDefault="000066D8" w:rsidP="00360CF8">
            <w:pPr>
              <w:jc w:val="both"/>
              <w:rPr>
                <w:rFonts w:ascii="Times New Roman" w:eastAsia="Times New Roman" w:hAnsi="Times New Roman" w:cs="Times New Roman"/>
                <w:sz w:val="20"/>
                <w:szCs w:val="20"/>
                <w:lang w:val="en-US" w:eastAsia="ru-RU"/>
              </w:rPr>
            </w:pPr>
            <w:r>
              <w:rPr>
                <w:noProof/>
                <w:lang w:val="en-US"/>
              </w:rPr>
              <w:drawing>
                <wp:anchor distT="0" distB="0" distL="114300" distR="114300" simplePos="0" relativeHeight="251689984" behindDoc="1" locked="0" layoutInCell="1" allowOverlap="1" wp14:anchorId="3DC51D54" wp14:editId="4098B8B3">
                  <wp:simplePos x="0" y="0"/>
                  <wp:positionH relativeFrom="column">
                    <wp:posOffset>-33020</wp:posOffset>
                  </wp:positionH>
                  <wp:positionV relativeFrom="paragraph">
                    <wp:posOffset>148590</wp:posOffset>
                  </wp:positionV>
                  <wp:extent cx="2067560" cy="1228725"/>
                  <wp:effectExtent l="0" t="0" r="8890" b="9525"/>
                  <wp:wrapTight wrapText="bothSides">
                    <wp:wrapPolygon edited="0">
                      <wp:start x="0" y="0"/>
                      <wp:lineTo x="0" y="21433"/>
                      <wp:lineTo x="21494" y="21433"/>
                      <wp:lineTo x="2149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7560" cy="1228725"/>
                          </a:xfrm>
                          <a:prstGeom prst="rect">
                            <a:avLst/>
                          </a:prstGeom>
                        </pic:spPr>
                      </pic:pic>
                    </a:graphicData>
                  </a:graphic>
                  <wp14:sizeRelH relativeFrom="page">
                    <wp14:pctWidth>0</wp14:pctWidth>
                  </wp14:sizeRelH>
                  <wp14:sizeRelV relativeFrom="page">
                    <wp14:pctHeight>0</wp14:pctHeight>
                  </wp14:sizeRelV>
                </wp:anchor>
              </w:drawing>
            </w:r>
          </w:p>
        </w:tc>
      </w:tr>
    </w:tbl>
    <w:p w14:paraId="2C2EE1F9" w14:textId="5541F062" w:rsidR="001C113B" w:rsidRDefault="000066D8" w:rsidP="00360CF8">
      <w:pPr>
        <w:spacing w:after="0" w:line="240" w:lineRule="auto"/>
        <w:jc w:val="center"/>
        <w:outlineLvl w:val="2"/>
        <w:rPr>
          <w:rFonts w:ascii="Times New Roman" w:eastAsia="Times New Roman" w:hAnsi="Times New Roman" w:cs="Times New Roman"/>
          <w:b/>
          <w:bCs/>
          <w:sz w:val="18"/>
          <w:szCs w:val="18"/>
          <w:lang w:val="en-US" w:eastAsia="ru-RU"/>
        </w:rPr>
      </w:pPr>
      <w:r>
        <w:rPr>
          <w:rFonts w:ascii="Times New Roman" w:eastAsia="Times New Roman" w:hAnsi="Times New Roman" w:cs="Times New Roman"/>
          <w:b/>
          <w:bCs/>
          <w:noProof/>
          <w:sz w:val="18"/>
          <w:szCs w:val="18"/>
          <w:lang w:val="en-US"/>
        </w:rPr>
        <w:lastRenderedPageBreak/>
        <w:drawing>
          <wp:inline distT="0" distB="0" distL="0" distR="0" wp14:anchorId="5ECF1C9D" wp14:editId="6D0E3631">
            <wp:extent cx="4828540" cy="3523615"/>
            <wp:effectExtent l="0" t="0" r="0" b="635"/>
            <wp:docPr id="42106456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8540" cy="3523615"/>
                    </a:xfrm>
                    <a:prstGeom prst="rect">
                      <a:avLst/>
                    </a:prstGeom>
                    <a:noFill/>
                  </pic:spPr>
                </pic:pic>
              </a:graphicData>
            </a:graphic>
          </wp:inline>
        </w:drawing>
      </w:r>
    </w:p>
    <w:p w14:paraId="6EBC38F9" w14:textId="70E542CF" w:rsidR="009D7F1B" w:rsidRPr="00047055" w:rsidRDefault="00047055" w:rsidP="00360CF8">
      <w:pPr>
        <w:spacing w:after="0" w:line="240" w:lineRule="auto"/>
        <w:jc w:val="center"/>
        <w:outlineLvl w:val="2"/>
        <w:rPr>
          <w:rFonts w:ascii="Times New Roman" w:eastAsia="Times New Roman" w:hAnsi="Times New Roman" w:cs="Times New Roman"/>
          <w:sz w:val="18"/>
          <w:szCs w:val="18"/>
          <w:lang w:val="en-US" w:eastAsia="ru-RU"/>
        </w:rPr>
      </w:pPr>
      <w:r w:rsidRPr="00047055">
        <w:rPr>
          <w:rFonts w:ascii="Times New Roman" w:eastAsia="Times New Roman" w:hAnsi="Times New Roman" w:cs="Times New Roman"/>
          <w:b/>
          <w:bCs/>
          <w:sz w:val="18"/>
          <w:szCs w:val="18"/>
          <w:lang w:val="en-US" w:eastAsia="ru-RU"/>
        </w:rPr>
        <w:t>FIGURE 2.</w:t>
      </w:r>
      <w:r w:rsidRPr="00047055">
        <w:rPr>
          <w:rFonts w:ascii="Times New Roman" w:eastAsia="Times New Roman" w:hAnsi="Times New Roman" w:cs="Times New Roman"/>
          <w:sz w:val="18"/>
          <w:szCs w:val="18"/>
          <w:lang w:val="en-US" w:eastAsia="ru-RU"/>
        </w:rPr>
        <w:t xml:space="preserve"> </w:t>
      </w:r>
      <w:r w:rsidR="009D7F1B" w:rsidRPr="00047055">
        <w:rPr>
          <w:rFonts w:ascii="Times New Roman" w:eastAsia="Times New Roman" w:hAnsi="Times New Roman" w:cs="Times New Roman"/>
          <w:sz w:val="18"/>
          <w:szCs w:val="18"/>
          <w:lang w:val="en-US" w:eastAsia="ru-RU"/>
        </w:rPr>
        <w:t>Oscillograms of current and voltage waveforms:</w:t>
      </w:r>
    </w:p>
    <w:p w14:paraId="45E289F0" w14:textId="3387F3B7" w:rsidR="009D7F1B" w:rsidRDefault="009D7F1B" w:rsidP="00360CF8">
      <w:pPr>
        <w:spacing w:after="0" w:line="240" w:lineRule="auto"/>
        <w:jc w:val="center"/>
        <w:rPr>
          <w:rFonts w:ascii="Times New Roman" w:eastAsia="Times New Roman" w:hAnsi="Times New Roman" w:cs="Times New Roman"/>
          <w:sz w:val="18"/>
          <w:szCs w:val="18"/>
          <w:lang w:val="en-US" w:eastAsia="ru-RU"/>
        </w:rPr>
      </w:pPr>
      <w:r w:rsidRPr="00047055">
        <w:rPr>
          <w:rFonts w:ascii="Times New Roman" w:eastAsia="Times New Roman" w:hAnsi="Times New Roman" w:cs="Times New Roman"/>
          <w:sz w:val="18"/>
          <w:szCs w:val="18"/>
          <w:lang w:val="en-US" w:eastAsia="ru-RU"/>
        </w:rPr>
        <w:t>a – incandescent lamps;</w:t>
      </w:r>
      <w:r w:rsidR="000066D8">
        <w:rPr>
          <w:rFonts w:ascii="Times New Roman" w:eastAsia="Times New Roman" w:hAnsi="Times New Roman" w:cs="Times New Roman"/>
          <w:sz w:val="18"/>
          <w:szCs w:val="18"/>
          <w:lang w:val="en-US" w:eastAsia="ru-RU"/>
        </w:rPr>
        <w:t xml:space="preserve"> </w:t>
      </w:r>
      <w:r w:rsidRPr="00047055">
        <w:rPr>
          <w:rFonts w:ascii="Times New Roman" w:eastAsia="Times New Roman" w:hAnsi="Times New Roman" w:cs="Times New Roman"/>
          <w:sz w:val="18"/>
          <w:szCs w:val="18"/>
          <w:lang w:val="en-US" w:eastAsia="ru-RU"/>
        </w:rPr>
        <w:t>b – energy-saving lamp;</w:t>
      </w:r>
      <w:r w:rsidR="000066D8">
        <w:rPr>
          <w:rFonts w:ascii="Times New Roman" w:eastAsia="Times New Roman" w:hAnsi="Times New Roman" w:cs="Times New Roman"/>
          <w:sz w:val="18"/>
          <w:szCs w:val="18"/>
          <w:lang w:val="en-US" w:eastAsia="ru-RU"/>
        </w:rPr>
        <w:t xml:space="preserve"> </w:t>
      </w:r>
      <w:r w:rsidRPr="00047055">
        <w:rPr>
          <w:rFonts w:ascii="Times New Roman" w:eastAsia="Times New Roman" w:hAnsi="Times New Roman" w:cs="Times New Roman"/>
          <w:sz w:val="18"/>
          <w:szCs w:val="18"/>
          <w:lang w:val="en-US" w:eastAsia="ru-RU"/>
        </w:rPr>
        <w:t>c – television set;</w:t>
      </w:r>
      <w:r w:rsidR="000066D8">
        <w:rPr>
          <w:rFonts w:ascii="Times New Roman" w:eastAsia="Times New Roman" w:hAnsi="Times New Roman" w:cs="Times New Roman"/>
          <w:sz w:val="18"/>
          <w:szCs w:val="18"/>
          <w:lang w:val="en-US" w:eastAsia="ru-RU"/>
        </w:rPr>
        <w:t xml:space="preserve"> </w:t>
      </w:r>
      <w:r w:rsidRPr="00047055">
        <w:rPr>
          <w:rFonts w:ascii="Times New Roman" w:eastAsia="Times New Roman" w:hAnsi="Times New Roman" w:cs="Times New Roman"/>
          <w:sz w:val="18"/>
          <w:szCs w:val="18"/>
          <w:lang w:val="en-US" w:eastAsia="ru-RU"/>
        </w:rPr>
        <w:t>d – refrigerator;</w:t>
      </w:r>
      <w:r w:rsidR="000066D8">
        <w:rPr>
          <w:rFonts w:ascii="Times New Roman" w:eastAsia="Times New Roman" w:hAnsi="Times New Roman" w:cs="Times New Roman"/>
          <w:sz w:val="18"/>
          <w:szCs w:val="18"/>
          <w:lang w:val="en-US" w:eastAsia="ru-RU"/>
        </w:rPr>
        <w:t xml:space="preserve"> </w:t>
      </w:r>
      <w:r w:rsidRPr="00047055">
        <w:rPr>
          <w:rFonts w:ascii="Times New Roman" w:eastAsia="Times New Roman" w:hAnsi="Times New Roman" w:cs="Times New Roman"/>
          <w:sz w:val="18"/>
          <w:szCs w:val="18"/>
          <w:lang w:val="en-US" w:eastAsia="ru-RU"/>
        </w:rPr>
        <w:t>e – personal computer (CPU and monitor);</w:t>
      </w:r>
      <w:r w:rsidR="000066D8">
        <w:rPr>
          <w:rFonts w:ascii="Times New Roman" w:eastAsia="Times New Roman" w:hAnsi="Times New Roman" w:cs="Times New Roman"/>
          <w:sz w:val="18"/>
          <w:szCs w:val="18"/>
          <w:lang w:val="en-US" w:eastAsia="ru-RU"/>
        </w:rPr>
        <w:t xml:space="preserve"> </w:t>
      </w:r>
      <w:r w:rsidRPr="00047055">
        <w:rPr>
          <w:rFonts w:ascii="Times New Roman" w:eastAsia="Times New Roman" w:hAnsi="Times New Roman" w:cs="Times New Roman"/>
          <w:sz w:val="18"/>
          <w:szCs w:val="18"/>
          <w:lang w:val="en-US" w:eastAsia="ru-RU"/>
        </w:rPr>
        <w:t>f – microwave oven;</w:t>
      </w:r>
      <w:r w:rsidR="000066D8">
        <w:rPr>
          <w:rFonts w:ascii="Times New Roman" w:eastAsia="Times New Roman" w:hAnsi="Times New Roman" w:cs="Times New Roman"/>
          <w:sz w:val="18"/>
          <w:szCs w:val="18"/>
          <w:lang w:val="en-US" w:eastAsia="ru-RU"/>
        </w:rPr>
        <w:t xml:space="preserve"> </w:t>
      </w:r>
      <w:r w:rsidRPr="00047055">
        <w:rPr>
          <w:rFonts w:ascii="Times New Roman" w:eastAsia="Times New Roman" w:hAnsi="Times New Roman" w:cs="Times New Roman"/>
          <w:sz w:val="18"/>
          <w:szCs w:val="18"/>
          <w:lang w:val="en-US" w:eastAsia="ru-RU"/>
        </w:rPr>
        <w:t>g – climate control systems;</w:t>
      </w:r>
      <w:r w:rsidR="000066D8">
        <w:rPr>
          <w:rFonts w:ascii="Times New Roman" w:eastAsia="Times New Roman" w:hAnsi="Times New Roman" w:cs="Times New Roman"/>
          <w:sz w:val="18"/>
          <w:szCs w:val="18"/>
          <w:lang w:val="en-US" w:eastAsia="ru-RU"/>
        </w:rPr>
        <w:t xml:space="preserve"> </w:t>
      </w:r>
      <w:r w:rsidRPr="00047055">
        <w:rPr>
          <w:rFonts w:ascii="Times New Roman" w:eastAsia="Times New Roman" w:hAnsi="Times New Roman" w:cs="Times New Roman"/>
          <w:sz w:val="18"/>
          <w:szCs w:val="18"/>
          <w:lang w:val="en-US" w:eastAsia="ru-RU"/>
        </w:rPr>
        <w:t>h – personal computer.</w:t>
      </w:r>
    </w:p>
    <w:p w14:paraId="2C9932C0" w14:textId="77777777" w:rsidR="000066D8" w:rsidRDefault="000066D8" w:rsidP="00360CF8">
      <w:pPr>
        <w:spacing w:after="0" w:line="240" w:lineRule="auto"/>
        <w:jc w:val="center"/>
        <w:rPr>
          <w:rFonts w:ascii="Times New Roman" w:eastAsia="Times New Roman" w:hAnsi="Times New Roman" w:cs="Times New Roman"/>
          <w:sz w:val="18"/>
          <w:szCs w:val="18"/>
          <w:lang w:val="en-US" w:eastAsia="ru-RU"/>
        </w:rPr>
      </w:pPr>
    </w:p>
    <w:p w14:paraId="609067E9" w14:textId="77777777" w:rsidR="000066D8" w:rsidRPr="007013E6" w:rsidRDefault="00DD72D3" w:rsidP="000066D8">
      <w:pPr>
        <w:spacing w:after="0" w:line="240" w:lineRule="auto"/>
        <w:ind w:firstLine="420"/>
        <w:jc w:val="right"/>
        <w:rPr>
          <w:rFonts w:ascii="Times New Roman" w:hAnsi="Times New Roman" w:cs="Times New Roman"/>
          <w:iCs/>
          <w:sz w:val="20"/>
          <w:szCs w:val="20"/>
          <w:lang w:val="uz-Cyrl-UZ"/>
        </w:rPr>
      </w:pP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U</m:t>
            </m:r>
          </m:sub>
        </m:sSub>
        <m:r>
          <w:rPr>
            <w:rFonts w:ascii="Cambria Math" w:hAnsi="Cambria Math" w:cs="Times New Roman"/>
            <w:sz w:val="20"/>
            <w:szCs w:val="20"/>
            <w:lang w:val="en-US"/>
          </w:rPr>
          <m:t>=</m:t>
        </m:r>
        <m:f>
          <m:fPr>
            <m:ctrlPr>
              <w:rPr>
                <w:rFonts w:ascii="Cambria Math" w:hAnsi="Cambria Math" w:cs="Times New Roman"/>
                <w:i/>
                <w:sz w:val="20"/>
                <w:szCs w:val="20"/>
              </w:rPr>
            </m:ctrlPr>
          </m:fPr>
          <m:num>
            <m:rad>
              <m:radPr>
                <m:degHide m:val="1"/>
                <m:ctrlPr>
                  <w:rPr>
                    <w:rFonts w:ascii="Cambria Math" w:hAnsi="Cambria Math" w:cs="Times New Roman"/>
                    <w:i/>
                    <w:sz w:val="20"/>
                    <w:szCs w:val="20"/>
                  </w:rPr>
                </m:ctrlPr>
              </m:radPr>
              <m:deg/>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n</m:t>
                    </m:r>
                    <m:r>
                      <w:rPr>
                        <w:rFonts w:ascii="Cambria Math" w:hAnsi="Cambria Math" w:cs="Times New Roman"/>
                        <w:sz w:val="20"/>
                        <w:szCs w:val="20"/>
                        <w:lang w:val="en-US"/>
                      </w:rPr>
                      <m:t>=2</m:t>
                    </m:r>
                  </m:sub>
                  <m:sup>
                    <m:r>
                      <w:rPr>
                        <w:rFonts w:ascii="Cambria Math" w:hAnsi="Cambria Math" w:cs="Times New Roman"/>
                        <w:sz w:val="20"/>
                        <w:szCs w:val="20"/>
                        <w:lang w:val="en-US"/>
                      </w:rPr>
                      <m:t>40</m:t>
                    </m:r>
                  </m:sup>
                  <m:e>
                    <m:sSubSup>
                      <m:sSubSupPr>
                        <m:ctrlPr>
                          <w:rPr>
                            <w:rFonts w:ascii="Cambria Math" w:hAnsi="Cambria Math" w:cs="Times New Roman"/>
                            <w:i/>
                            <w:sz w:val="20"/>
                            <w:szCs w:val="20"/>
                          </w:rPr>
                        </m:ctrlPr>
                      </m:sSubSupPr>
                      <m:e>
                        <m:r>
                          <w:rPr>
                            <w:rFonts w:ascii="Cambria Math" w:hAnsi="Cambria Math" w:cs="Times New Roman"/>
                            <w:sz w:val="20"/>
                            <w:szCs w:val="20"/>
                          </w:rPr>
                          <m:t>U</m:t>
                        </m:r>
                      </m:e>
                      <m:sub>
                        <m:d>
                          <m:dPr>
                            <m:ctrlPr>
                              <w:rPr>
                                <w:rFonts w:ascii="Cambria Math" w:hAnsi="Cambria Math" w:cs="Times New Roman"/>
                                <w:i/>
                                <w:sz w:val="20"/>
                                <w:szCs w:val="20"/>
                              </w:rPr>
                            </m:ctrlPr>
                          </m:dPr>
                          <m:e>
                            <m:r>
                              <w:rPr>
                                <w:rFonts w:ascii="Cambria Math" w:hAnsi="Cambria Math" w:cs="Times New Roman"/>
                                <w:sz w:val="20"/>
                                <w:szCs w:val="20"/>
                              </w:rPr>
                              <m:t>n</m:t>
                            </m:r>
                          </m:e>
                        </m:d>
                      </m:sub>
                      <m:sup>
                        <m:r>
                          <w:rPr>
                            <w:rFonts w:ascii="Cambria Math" w:hAnsi="Cambria Math" w:cs="Times New Roman"/>
                            <w:sz w:val="20"/>
                            <w:szCs w:val="20"/>
                            <w:lang w:val="en-US"/>
                          </w:rPr>
                          <m:t>2</m:t>
                        </m:r>
                      </m:sup>
                    </m:sSubSup>
                  </m:e>
                </m:nary>
              </m:e>
            </m:rad>
          </m:num>
          <m:den>
            <m:sSub>
              <m:sSubPr>
                <m:ctrlPr>
                  <w:rPr>
                    <w:rFonts w:ascii="Cambria Math" w:hAnsi="Cambria Math" w:cs="Times New Roman"/>
                    <w:i/>
                    <w:sz w:val="20"/>
                    <w:szCs w:val="20"/>
                  </w:rPr>
                </m:ctrlPr>
              </m:sSubPr>
              <m:e>
                <m:r>
                  <w:rPr>
                    <w:rFonts w:ascii="Cambria Math" w:hAnsi="Cambria Math" w:cs="Times New Roman"/>
                    <w:sz w:val="20"/>
                    <w:szCs w:val="20"/>
                    <w:lang w:val="en-US"/>
                  </w:rPr>
                  <m:t>U</m:t>
                </m:r>
              </m:e>
              <m:sub>
                <m:r>
                  <w:rPr>
                    <w:rFonts w:ascii="Cambria Math" w:hAnsi="Cambria Math" w:cs="Times New Roman"/>
                    <w:sz w:val="20"/>
                    <w:szCs w:val="20"/>
                  </w:rPr>
                  <m:t>nom</m:t>
                </m:r>
              </m:sub>
            </m:sSub>
          </m:den>
        </m:f>
        <m:r>
          <w:rPr>
            <w:rFonts w:ascii="Cambria Math" w:hAnsi="Cambria Math" w:cs="Times New Roman"/>
            <w:sz w:val="20"/>
            <w:szCs w:val="20"/>
            <w:lang w:val="en-US"/>
          </w:rPr>
          <m:t>∙</m:t>
        </m:r>
        <m:r>
          <w:rPr>
            <w:rFonts w:ascii="Cambria Math" w:hAnsi="Cambria Math" w:cs="Times New Roman"/>
            <w:sz w:val="20"/>
            <w:szCs w:val="20"/>
            <w:lang w:val="en-US"/>
          </w:rPr>
          <m:t>100%;</m:t>
        </m:r>
      </m:oMath>
      <w:r w:rsidR="000066D8" w:rsidRPr="007013E6">
        <w:rPr>
          <w:rFonts w:ascii="Times New Roman" w:hAnsi="Times New Roman" w:cs="Times New Roman"/>
          <w:iCs/>
          <w:sz w:val="20"/>
          <w:szCs w:val="20"/>
          <w:lang w:val="uz-Cyrl-UZ"/>
        </w:rPr>
        <w:t xml:space="preserve">   </w:t>
      </w:r>
      <w:r w:rsidR="000066D8" w:rsidRPr="007013E6">
        <w:rPr>
          <w:rFonts w:ascii="Times New Roman" w:hAnsi="Times New Roman" w:cs="Times New Roman"/>
          <w:iCs/>
          <w:sz w:val="20"/>
          <w:szCs w:val="20"/>
          <w:lang w:val="en-US"/>
        </w:rPr>
        <w:t>K</w:t>
      </w:r>
      <w:r w:rsidR="000066D8" w:rsidRPr="007013E6">
        <w:rPr>
          <w:rFonts w:ascii="Times New Roman" w:hAnsi="Times New Roman" w:cs="Times New Roman"/>
          <w:iCs/>
          <w:sz w:val="20"/>
          <w:szCs w:val="20"/>
          <w:vertAlign w:val="subscript"/>
          <w:lang w:val="en-US"/>
        </w:rPr>
        <w:t>i</w:t>
      </w:r>
      <w:r w:rsidR="000066D8" w:rsidRPr="007013E6">
        <w:rPr>
          <w:rFonts w:ascii="Times New Roman" w:hAnsi="Times New Roman" w:cs="Times New Roman"/>
          <w:iCs/>
          <w:sz w:val="20"/>
          <w:szCs w:val="20"/>
          <w:lang w:val="en-US"/>
        </w:rPr>
        <w:t>=</w:t>
      </w:r>
      <m:oMath>
        <m:f>
          <m:fPr>
            <m:ctrlPr>
              <w:rPr>
                <w:rFonts w:ascii="Cambria Math" w:hAnsi="Cambria Math" w:cs="Times New Roman"/>
                <w:i/>
                <w:iCs/>
                <w:sz w:val="20"/>
                <w:szCs w:val="20"/>
                <w:lang w:val="en-US"/>
              </w:rPr>
            </m:ctrlPr>
          </m:fPr>
          <m:num>
            <m:rad>
              <m:radPr>
                <m:degHide m:val="1"/>
                <m:ctrlPr>
                  <w:rPr>
                    <w:rFonts w:ascii="Cambria Math" w:hAnsi="Cambria Math" w:cs="Times New Roman"/>
                    <w:i/>
                    <w:iCs/>
                    <w:sz w:val="20"/>
                    <w:szCs w:val="20"/>
                    <w:lang w:val="en-US"/>
                  </w:rPr>
                </m:ctrlPr>
              </m:radPr>
              <m:deg/>
              <m:e>
                <m:nary>
                  <m:naryPr>
                    <m:chr m:val="∑"/>
                    <m:limLoc m:val="undOvr"/>
                    <m:ctrlPr>
                      <w:rPr>
                        <w:rFonts w:ascii="Cambria Math" w:hAnsi="Cambria Math" w:cs="Times New Roman"/>
                        <w:i/>
                        <w:iCs/>
                        <w:sz w:val="20"/>
                        <w:szCs w:val="20"/>
                        <w:lang w:val="en-US"/>
                      </w:rPr>
                    </m:ctrlPr>
                  </m:naryPr>
                  <m:sub>
                    <m:r>
                      <w:rPr>
                        <w:rFonts w:ascii="Cambria Math" w:hAnsi="Cambria Math" w:cs="Times New Roman"/>
                        <w:sz w:val="20"/>
                        <w:szCs w:val="20"/>
                        <w:lang w:val="en-US"/>
                      </w:rPr>
                      <m:t>n</m:t>
                    </m:r>
                    <m:r>
                      <w:rPr>
                        <w:rFonts w:ascii="Cambria Math" w:hAnsi="Cambria Math" w:cs="Times New Roman"/>
                        <w:sz w:val="20"/>
                        <w:szCs w:val="20"/>
                        <w:lang w:val="en-US"/>
                      </w:rPr>
                      <m:t>=2</m:t>
                    </m:r>
                  </m:sub>
                  <m:sup>
                    <m:r>
                      <w:rPr>
                        <w:rFonts w:ascii="Cambria Math" w:hAnsi="Cambria Math" w:cs="Times New Roman"/>
                        <w:sz w:val="20"/>
                        <w:szCs w:val="20"/>
                        <w:lang w:val="en-US"/>
                      </w:rPr>
                      <m:t>40</m:t>
                    </m:r>
                  </m:sup>
                  <m:e>
                    <m:sSub>
                      <m:sSubPr>
                        <m:ctrlPr>
                          <w:rPr>
                            <w:rFonts w:ascii="Cambria Math" w:hAnsi="Cambria Math" w:cs="Times New Roman"/>
                            <w:i/>
                            <w:iCs/>
                            <w:sz w:val="20"/>
                            <w:szCs w:val="20"/>
                            <w:lang w:val="en-US"/>
                          </w:rPr>
                        </m:ctrlPr>
                      </m:sSubPr>
                      <m:e>
                        <m:r>
                          <w:rPr>
                            <w:rFonts w:ascii="Cambria Math" w:hAnsi="Cambria Math" w:cs="Times New Roman"/>
                            <w:sz w:val="20"/>
                            <w:szCs w:val="20"/>
                            <w:lang w:val="en-US"/>
                          </w:rPr>
                          <m:t>I</m:t>
                        </m:r>
                      </m:e>
                      <m:sub>
                        <m:d>
                          <m:dPr>
                            <m:ctrlPr>
                              <w:rPr>
                                <w:rFonts w:ascii="Cambria Math" w:hAnsi="Cambria Math" w:cs="Times New Roman"/>
                                <w:i/>
                                <w:iCs/>
                                <w:sz w:val="20"/>
                                <w:szCs w:val="20"/>
                                <w:lang w:val="en-US"/>
                              </w:rPr>
                            </m:ctrlPr>
                          </m:dPr>
                          <m:e>
                            <m:r>
                              <w:rPr>
                                <w:rFonts w:ascii="Cambria Math" w:hAnsi="Cambria Math" w:cs="Times New Roman"/>
                                <w:sz w:val="20"/>
                                <w:szCs w:val="20"/>
                                <w:lang w:val="en-US"/>
                              </w:rPr>
                              <m:t>n</m:t>
                            </m:r>
                          </m:e>
                        </m:d>
                      </m:sub>
                    </m:sSub>
                  </m:e>
                </m:nary>
              </m:e>
            </m:rad>
          </m:num>
          <m:den>
            <m:sSub>
              <m:sSubPr>
                <m:ctrlPr>
                  <w:rPr>
                    <w:rFonts w:ascii="Cambria Math" w:hAnsi="Cambria Math" w:cs="Times New Roman"/>
                    <w:i/>
                    <w:iCs/>
                    <w:sz w:val="20"/>
                    <w:szCs w:val="20"/>
                    <w:lang w:val="en-US"/>
                  </w:rPr>
                </m:ctrlPr>
              </m:sSubPr>
              <m:e>
                <m:r>
                  <w:rPr>
                    <w:rFonts w:ascii="Cambria Math" w:hAnsi="Cambria Math" w:cs="Times New Roman"/>
                    <w:sz w:val="20"/>
                    <w:szCs w:val="20"/>
                    <w:lang w:val="en-US"/>
                  </w:rPr>
                  <m:t>I</m:t>
                </m:r>
              </m:e>
              <m:sub>
                <m:d>
                  <m:dPr>
                    <m:ctrlPr>
                      <w:rPr>
                        <w:rFonts w:ascii="Cambria Math" w:hAnsi="Cambria Math" w:cs="Times New Roman"/>
                        <w:i/>
                        <w:iCs/>
                        <w:sz w:val="20"/>
                        <w:szCs w:val="20"/>
                        <w:lang w:val="en-US"/>
                      </w:rPr>
                    </m:ctrlPr>
                  </m:dPr>
                  <m:e>
                    <m:r>
                      <w:rPr>
                        <w:rFonts w:ascii="Cambria Math" w:hAnsi="Cambria Math" w:cs="Times New Roman"/>
                        <w:sz w:val="20"/>
                        <w:szCs w:val="20"/>
                        <w:lang w:val="en-US"/>
                      </w:rPr>
                      <m:t>1</m:t>
                    </m:r>
                  </m:e>
                </m:d>
              </m:sub>
            </m:sSub>
          </m:den>
        </m:f>
        <m:r>
          <w:rPr>
            <w:rFonts w:ascii="Cambria Math" w:hAnsi="Cambria Math" w:cs="Times New Roman"/>
            <w:sz w:val="20"/>
            <w:szCs w:val="20"/>
            <w:lang w:val="en-US"/>
          </w:rPr>
          <m:t>∙</m:t>
        </m:r>
        <m:r>
          <w:rPr>
            <w:rFonts w:ascii="Cambria Math" w:hAnsi="Cambria Math" w:cs="Times New Roman"/>
            <w:sz w:val="20"/>
            <w:szCs w:val="20"/>
            <w:lang w:val="en-US"/>
          </w:rPr>
          <m:t>100%,</m:t>
        </m:r>
      </m:oMath>
      <w:r w:rsidR="000066D8" w:rsidRPr="007013E6">
        <w:rPr>
          <w:rFonts w:ascii="Times New Roman" w:eastAsiaTheme="minorEastAsia" w:hAnsi="Times New Roman" w:cs="Times New Roman"/>
          <w:sz w:val="20"/>
          <w:szCs w:val="20"/>
          <w:lang w:val="uz-Cyrl-UZ"/>
        </w:rPr>
        <w:t xml:space="preserve">               </w:t>
      </w:r>
      <w:r w:rsidR="000066D8">
        <w:rPr>
          <w:rFonts w:ascii="Times New Roman" w:eastAsiaTheme="minorEastAsia" w:hAnsi="Times New Roman" w:cs="Times New Roman"/>
          <w:sz w:val="20"/>
          <w:szCs w:val="20"/>
          <w:lang w:val="uz-Cyrl-UZ"/>
        </w:rPr>
        <w:t xml:space="preserve">                                 </w:t>
      </w:r>
      <w:r w:rsidR="000066D8" w:rsidRPr="007013E6">
        <w:rPr>
          <w:rFonts w:ascii="Times New Roman" w:eastAsiaTheme="minorEastAsia" w:hAnsi="Times New Roman" w:cs="Times New Roman"/>
          <w:sz w:val="20"/>
          <w:szCs w:val="20"/>
          <w:lang w:val="uz-Cyrl-UZ"/>
        </w:rPr>
        <w:t xml:space="preserve">             (2)</w:t>
      </w:r>
    </w:p>
    <w:p w14:paraId="1EEF3149" w14:textId="77777777" w:rsidR="000066D8" w:rsidRPr="007013E6" w:rsidRDefault="000066D8" w:rsidP="000066D8">
      <w:pPr>
        <w:spacing w:after="0" w:line="240" w:lineRule="auto"/>
        <w:ind w:firstLine="284"/>
        <w:jc w:val="both"/>
        <w:rPr>
          <w:rFonts w:ascii="Times New Roman" w:hAnsi="Times New Roman" w:cs="Times New Roman"/>
          <w:b/>
          <w:bCs/>
          <w:sz w:val="20"/>
          <w:szCs w:val="20"/>
          <w:lang w:val="en-US"/>
        </w:rPr>
      </w:pPr>
      <w:r w:rsidRPr="007013E6">
        <w:rPr>
          <w:rFonts w:ascii="Times New Roman" w:hAnsi="Times New Roman" w:cs="Times New Roman"/>
          <w:sz w:val="20"/>
          <w:szCs w:val="20"/>
          <w:lang w:val="en-US"/>
        </w:rPr>
        <w:t xml:space="preserve">Here, </w:t>
      </w:r>
      <w:r w:rsidRPr="007013E6">
        <w:rPr>
          <w:rStyle w:val="aa"/>
          <w:rFonts w:ascii="Times New Roman" w:hAnsi="Times New Roman" w:cs="Times New Roman"/>
          <w:sz w:val="20"/>
          <w:szCs w:val="20"/>
          <w:lang w:val="en-US"/>
        </w:rPr>
        <w:t>I</w:t>
      </w:r>
      <w:r w:rsidRPr="007013E6">
        <w:rPr>
          <w:rStyle w:val="aa"/>
          <w:rFonts w:ascii="Times New Roman" w:hAnsi="Times New Roman" w:cs="Times New Roman"/>
          <w:sz w:val="20"/>
          <w:szCs w:val="20"/>
          <w:vertAlign w:val="subscript"/>
          <w:lang w:val="en-US"/>
        </w:rPr>
        <w:t>(1)</w:t>
      </w:r>
      <w:r w:rsidRPr="007013E6">
        <w:rPr>
          <w:rFonts w:ascii="Times New Roman" w:hAnsi="Times New Roman" w:cs="Times New Roman"/>
          <w:sz w:val="20"/>
          <w:szCs w:val="20"/>
          <w:lang w:val="en-US"/>
        </w:rPr>
        <w:t xml:space="preserve"> – the root-mean-square (RMS) value of the fundamental-frequency current;</w:t>
      </w:r>
      <w:r w:rsidRPr="007013E6">
        <w:rPr>
          <w:rFonts w:ascii="Times New Roman" w:hAnsi="Times New Roman" w:cs="Times New Roman"/>
          <w:sz w:val="20"/>
          <w:szCs w:val="20"/>
          <w:lang w:val="en-US"/>
        </w:rPr>
        <w:br/>
      </w:r>
      <w:r w:rsidRPr="007013E6">
        <w:rPr>
          <w:rStyle w:val="aa"/>
          <w:rFonts w:ascii="Times New Roman" w:hAnsi="Times New Roman" w:cs="Times New Roman"/>
          <w:sz w:val="20"/>
          <w:szCs w:val="20"/>
          <w:lang w:val="en-US"/>
        </w:rPr>
        <w:t>U_{nom}</w:t>
      </w:r>
      <w:r w:rsidRPr="007013E6">
        <w:rPr>
          <w:rFonts w:ascii="Times New Roman" w:hAnsi="Times New Roman" w:cs="Times New Roman"/>
          <w:sz w:val="20"/>
          <w:szCs w:val="20"/>
          <w:lang w:val="en-US"/>
        </w:rPr>
        <w:t xml:space="preserve"> – the nominal voltage of the power supply network;</w:t>
      </w:r>
      <w:r w:rsidRPr="007013E6">
        <w:rPr>
          <w:rFonts w:ascii="Times New Roman" w:hAnsi="Times New Roman" w:cs="Times New Roman"/>
          <w:sz w:val="20"/>
          <w:szCs w:val="20"/>
          <w:lang w:val="en-US"/>
        </w:rPr>
        <w:br/>
      </w:r>
      <w:r w:rsidRPr="007013E6">
        <w:rPr>
          <w:rFonts w:ascii="Times New Roman" w:hAnsi="Times New Roman" w:cs="Times New Roman"/>
          <w:sz w:val="20"/>
          <w:szCs w:val="20"/>
          <w:lang w:val="uz-Cyrl-UZ"/>
        </w:rPr>
        <w:t>U</w:t>
      </w:r>
      <w:r w:rsidRPr="007013E6">
        <w:rPr>
          <w:rFonts w:ascii="Times New Roman" w:hAnsi="Times New Roman" w:cs="Times New Roman"/>
          <w:sz w:val="20"/>
          <w:szCs w:val="20"/>
          <w:vertAlign w:val="subscript"/>
          <w:lang w:val="uz-Cyrl-UZ"/>
        </w:rPr>
        <w:t>(n)</w:t>
      </w:r>
      <w:r w:rsidRPr="007013E6">
        <w:rPr>
          <w:rFonts w:ascii="Times New Roman" w:hAnsi="Times New Roman" w:cs="Times New Roman"/>
          <w:sz w:val="20"/>
          <w:szCs w:val="20"/>
          <w:lang w:val="uz-Cyrl-UZ"/>
        </w:rPr>
        <w:t>, I</w:t>
      </w:r>
      <w:r w:rsidRPr="007013E6">
        <w:rPr>
          <w:rFonts w:ascii="Times New Roman" w:hAnsi="Times New Roman" w:cs="Times New Roman"/>
          <w:sz w:val="20"/>
          <w:szCs w:val="20"/>
          <w:vertAlign w:val="subscript"/>
          <w:lang w:val="uz-Cyrl-UZ"/>
        </w:rPr>
        <w:t>(n)</w:t>
      </w:r>
      <w:r w:rsidRPr="007013E6">
        <w:rPr>
          <w:rFonts w:ascii="Times New Roman" w:hAnsi="Times New Roman" w:cs="Times New Roman"/>
          <w:sz w:val="20"/>
          <w:szCs w:val="20"/>
          <w:lang w:val="uz-Cyrl-UZ"/>
        </w:rPr>
        <w:t xml:space="preserve"> </w:t>
      </w:r>
      <w:r w:rsidRPr="007013E6">
        <w:rPr>
          <w:rFonts w:ascii="Times New Roman" w:hAnsi="Times New Roman" w:cs="Times New Roman"/>
          <w:sz w:val="20"/>
          <w:szCs w:val="20"/>
          <w:lang w:val="en-US"/>
        </w:rPr>
        <w:t xml:space="preserve">– the RMS values of the </w:t>
      </w:r>
      <w:r w:rsidRPr="007013E6">
        <w:rPr>
          <w:rStyle w:val="ae"/>
          <w:rFonts w:ascii="Times New Roman" w:hAnsi="Times New Roman" w:cs="Times New Roman"/>
          <w:sz w:val="20"/>
          <w:szCs w:val="20"/>
          <w:lang w:val="en-US"/>
        </w:rPr>
        <w:t>n</w:t>
      </w:r>
      <w:r w:rsidRPr="007013E6">
        <w:rPr>
          <w:rFonts w:ascii="Times New Roman" w:hAnsi="Times New Roman" w:cs="Times New Roman"/>
          <w:sz w:val="20"/>
          <w:szCs w:val="20"/>
          <w:lang w:val="en-US"/>
        </w:rPr>
        <w:t>-th harmonic components of voltage and current, respectively;</w:t>
      </w:r>
      <w:r w:rsidRPr="007013E6">
        <w:rPr>
          <w:rFonts w:ascii="Times New Roman" w:hAnsi="Times New Roman" w:cs="Times New Roman"/>
          <w:sz w:val="20"/>
          <w:szCs w:val="20"/>
          <w:lang w:val="en-US"/>
        </w:rPr>
        <w:br/>
      </w:r>
      <w:r w:rsidRPr="007013E6">
        <w:rPr>
          <w:rStyle w:val="aa"/>
          <w:rFonts w:ascii="Times New Roman" w:hAnsi="Times New Roman" w:cs="Times New Roman"/>
          <w:b w:val="0"/>
          <w:bCs w:val="0"/>
          <w:sz w:val="20"/>
          <w:szCs w:val="20"/>
          <w:lang w:val="en-US"/>
        </w:rPr>
        <w:t xml:space="preserve">the coefficient of the </w:t>
      </w:r>
      <w:r w:rsidRPr="007013E6">
        <w:rPr>
          <w:rStyle w:val="ae"/>
          <w:rFonts w:ascii="Times New Roman" w:hAnsi="Times New Roman" w:cs="Times New Roman"/>
          <w:b/>
          <w:bCs/>
          <w:sz w:val="20"/>
          <w:szCs w:val="20"/>
          <w:lang w:val="en-US"/>
        </w:rPr>
        <w:t>n</w:t>
      </w:r>
      <w:r w:rsidRPr="007013E6">
        <w:rPr>
          <w:rStyle w:val="aa"/>
          <w:rFonts w:ascii="Times New Roman" w:hAnsi="Times New Roman" w:cs="Times New Roman"/>
          <w:b w:val="0"/>
          <w:bCs w:val="0"/>
          <w:sz w:val="20"/>
          <w:szCs w:val="20"/>
          <w:lang w:val="en-US"/>
        </w:rPr>
        <w:t>-th harmonic component of voltage and current</w:t>
      </w:r>
      <w:r w:rsidRPr="007013E6">
        <w:rPr>
          <w:rFonts w:ascii="Times New Roman" w:hAnsi="Times New Roman" w:cs="Times New Roman"/>
          <w:b/>
          <w:bCs/>
          <w:sz w:val="20"/>
          <w:szCs w:val="20"/>
          <w:lang w:val="en-US"/>
        </w:rPr>
        <w:t>.</w:t>
      </w:r>
    </w:p>
    <w:p w14:paraId="5942769D" w14:textId="77777777" w:rsidR="000066D8" w:rsidRPr="007013E6" w:rsidRDefault="00DD72D3" w:rsidP="000066D8">
      <w:pPr>
        <w:spacing w:after="0" w:line="240" w:lineRule="auto"/>
        <w:ind w:firstLine="420"/>
        <w:jc w:val="right"/>
        <w:rPr>
          <w:rFonts w:ascii="Times New Roman" w:hAnsi="Times New Roman" w:cs="Times New Roman"/>
          <w:iCs/>
          <w:sz w:val="20"/>
          <w:szCs w:val="20"/>
          <w:lang w:val="uz-Cyrl-UZ"/>
        </w:rPr>
      </w:pPr>
      <m:oMath>
        <m:sSub>
          <m:sSubPr>
            <m:ctrlPr>
              <w:rPr>
                <w:rFonts w:ascii="Cambria Math" w:hAnsi="Cambria Math" w:cs="Times New Roman"/>
                <w:sz w:val="20"/>
                <w:szCs w:val="20"/>
              </w:rPr>
            </m:ctrlPr>
          </m:sSubPr>
          <m:e>
            <m:r>
              <m:rPr>
                <m:sty m:val="p"/>
              </m:rPr>
              <w:rPr>
                <w:rFonts w:ascii="Cambria Math" w:hAnsi="Cambria Math" w:cs="Times New Roman"/>
                <w:sz w:val="20"/>
                <w:szCs w:val="20"/>
                <w:lang w:val="uz-Cyrl-UZ"/>
              </w:rPr>
              <m:t>K</m:t>
            </m:r>
          </m:e>
          <m:sub>
            <m:r>
              <m:rPr>
                <m:sty m:val="p"/>
              </m:rPr>
              <w:rPr>
                <w:rFonts w:ascii="Cambria Math" w:hAnsi="Cambria Math" w:cs="Times New Roman"/>
                <w:sz w:val="20"/>
                <w:szCs w:val="20"/>
                <w:lang w:val="uz-Cyrl-UZ"/>
              </w:rPr>
              <m:t>U</m:t>
            </m:r>
            <m:d>
              <m:dPr>
                <m:ctrlPr>
                  <w:rPr>
                    <w:rFonts w:ascii="Cambria Math" w:hAnsi="Cambria Math" w:cs="Times New Roman"/>
                    <w:sz w:val="20"/>
                    <w:szCs w:val="20"/>
                  </w:rPr>
                </m:ctrlPr>
              </m:dPr>
              <m:e>
                <m:r>
                  <m:rPr>
                    <m:sty m:val="p"/>
                  </m:rPr>
                  <w:rPr>
                    <w:rFonts w:ascii="Cambria Math" w:hAnsi="Cambria Math" w:cs="Times New Roman"/>
                    <w:sz w:val="20"/>
                    <w:szCs w:val="20"/>
                    <w:lang w:val="uz-Cyrl-UZ"/>
                  </w:rPr>
                  <m:t>n</m:t>
                </m:r>
              </m:e>
            </m:d>
          </m:sub>
        </m:sSub>
        <m:r>
          <m:rPr>
            <m:sty m:val="p"/>
          </m:rPr>
          <w:rPr>
            <w:rFonts w:ascii="Cambria Math" w:hAnsi="Cambria Math" w:cs="Times New Roman"/>
            <w:sz w:val="20"/>
            <w:szCs w:val="20"/>
            <w:lang w:val="uz-Cyrl-UZ"/>
          </w:rPr>
          <m:t>=</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lang w:val="uz-Cyrl-UZ"/>
                  </w:rPr>
                  <m:t>U</m:t>
                </m:r>
              </m:e>
              <m:sub>
                <m:d>
                  <m:dPr>
                    <m:ctrlPr>
                      <w:rPr>
                        <w:rFonts w:ascii="Cambria Math" w:hAnsi="Cambria Math" w:cs="Times New Roman"/>
                        <w:sz w:val="20"/>
                        <w:szCs w:val="20"/>
                      </w:rPr>
                    </m:ctrlPr>
                  </m:dPr>
                  <m:e>
                    <m:r>
                      <m:rPr>
                        <m:sty m:val="p"/>
                      </m:rPr>
                      <w:rPr>
                        <w:rFonts w:ascii="Cambria Math" w:hAnsi="Cambria Math" w:cs="Times New Roman"/>
                        <w:sz w:val="20"/>
                        <w:szCs w:val="20"/>
                        <w:lang w:val="uz-Cyrl-UZ"/>
                      </w:rPr>
                      <m:t>n</m:t>
                    </m:r>
                  </m:e>
                </m:d>
              </m:sub>
            </m:sSub>
          </m:num>
          <m:den>
            <m:sSub>
              <m:sSubPr>
                <m:ctrlPr>
                  <w:rPr>
                    <w:rFonts w:ascii="Cambria Math" w:hAnsi="Cambria Math" w:cs="Times New Roman"/>
                    <w:sz w:val="20"/>
                    <w:szCs w:val="20"/>
                  </w:rPr>
                </m:ctrlPr>
              </m:sSubPr>
              <m:e>
                <m:r>
                  <m:rPr>
                    <m:sty m:val="p"/>
                  </m:rPr>
                  <w:rPr>
                    <w:rFonts w:ascii="Cambria Math" w:hAnsi="Cambria Math" w:cs="Times New Roman"/>
                    <w:sz w:val="20"/>
                    <w:szCs w:val="20"/>
                    <w:lang w:val="uz-Cyrl-UZ"/>
                  </w:rPr>
                  <m:t>U</m:t>
                </m:r>
              </m:e>
              <m:sub>
                <m:d>
                  <m:dPr>
                    <m:ctrlPr>
                      <w:rPr>
                        <w:rFonts w:ascii="Cambria Math" w:hAnsi="Cambria Math" w:cs="Times New Roman"/>
                        <w:sz w:val="20"/>
                        <w:szCs w:val="20"/>
                      </w:rPr>
                    </m:ctrlPr>
                  </m:dPr>
                  <m:e>
                    <m:r>
                      <m:rPr>
                        <m:sty m:val="p"/>
                      </m:rPr>
                      <w:rPr>
                        <w:rFonts w:ascii="Cambria Math" w:hAnsi="Cambria Math" w:cs="Times New Roman"/>
                        <w:sz w:val="20"/>
                        <w:szCs w:val="20"/>
                        <w:lang w:val="uz-Cyrl-UZ"/>
                      </w:rPr>
                      <m:t>1</m:t>
                    </m:r>
                  </m:e>
                </m:d>
              </m:sub>
            </m:sSub>
          </m:den>
        </m:f>
        <m:r>
          <m:rPr>
            <m:sty m:val="p"/>
          </m:rPr>
          <w:rPr>
            <w:rFonts w:ascii="Cambria Math" w:hAnsi="Cambria Math" w:cs="Times New Roman"/>
            <w:sz w:val="20"/>
            <w:szCs w:val="20"/>
            <w:lang w:val="uz-Cyrl-UZ"/>
          </w:rPr>
          <m:t>∙</m:t>
        </m:r>
        <m:r>
          <m:rPr>
            <m:sty m:val="p"/>
          </m:rPr>
          <w:rPr>
            <w:rFonts w:ascii="Cambria Math" w:hAnsi="Cambria Math" w:cs="Times New Roman"/>
            <w:sz w:val="20"/>
            <w:szCs w:val="20"/>
            <w:lang w:val="uz-Cyrl-UZ"/>
          </w:rPr>
          <m:t xml:space="preserve">100; </m:t>
        </m:r>
      </m:oMath>
      <w:r w:rsidR="000066D8" w:rsidRPr="007013E6">
        <w:rPr>
          <w:rFonts w:ascii="Times New Roman" w:hAnsi="Times New Roman" w:cs="Times New Roman"/>
          <w:sz w:val="20"/>
          <w:szCs w:val="20"/>
          <w:lang w:val="uz-Cyrl-UZ"/>
        </w:rPr>
        <w:t xml:space="preserve">          </w:t>
      </w:r>
      <m:oMath>
        <m:sSub>
          <m:sSubPr>
            <m:ctrlPr>
              <w:rPr>
                <w:rFonts w:ascii="Cambria Math" w:hAnsi="Cambria Math" w:cs="Times New Roman"/>
                <w:i/>
                <w:sz w:val="20"/>
                <w:szCs w:val="20"/>
                <w:lang w:val="en-US"/>
              </w:rPr>
            </m:ctrlPr>
          </m:sSubPr>
          <m:e>
            <m:r>
              <w:rPr>
                <w:rFonts w:ascii="Cambria Math" w:hAnsi="Cambria Math" w:cs="Times New Roman"/>
                <w:sz w:val="20"/>
                <w:szCs w:val="20"/>
                <w:lang w:val="uz-Cyrl-UZ"/>
              </w:rPr>
              <m:t>K</m:t>
            </m:r>
          </m:e>
          <m:sub>
            <m:r>
              <w:rPr>
                <w:rFonts w:ascii="Cambria Math" w:hAnsi="Cambria Math" w:cs="Times New Roman"/>
                <w:sz w:val="20"/>
                <w:szCs w:val="20"/>
                <w:lang w:val="uz-Cyrl-UZ"/>
              </w:rPr>
              <m:t>i</m:t>
            </m:r>
            <m:d>
              <m:dPr>
                <m:ctrlPr>
                  <w:rPr>
                    <w:rFonts w:ascii="Cambria Math" w:hAnsi="Cambria Math" w:cs="Times New Roman"/>
                    <w:i/>
                    <w:sz w:val="20"/>
                    <w:szCs w:val="20"/>
                  </w:rPr>
                </m:ctrlPr>
              </m:dPr>
              <m:e>
                <m:r>
                  <w:rPr>
                    <w:rFonts w:ascii="Cambria Math" w:hAnsi="Cambria Math" w:cs="Times New Roman"/>
                    <w:sz w:val="20"/>
                    <w:szCs w:val="20"/>
                    <w:lang w:val="uz-Cyrl-UZ"/>
                  </w:rPr>
                  <m:t>n</m:t>
                </m:r>
              </m:e>
            </m:d>
          </m:sub>
        </m:sSub>
        <m:r>
          <w:rPr>
            <w:rFonts w:ascii="Cambria Math" w:hAnsi="Cambria Math" w:cs="Times New Roman"/>
            <w:sz w:val="20"/>
            <w:szCs w:val="20"/>
            <w:lang w:val="uz-Cyrl-UZ"/>
          </w:rPr>
          <m:t>=</m:t>
        </m:r>
        <m:f>
          <m:fPr>
            <m:ctrlPr>
              <w:rPr>
                <w:rFonts w:ascii="Cambria Math" w:hAnsi="Cambria Math" w:cs="Times New Roman"/>
                <w:iCs/>
                <w:sz w:val="20"/>
                <w:szCs w:val="20"/>
                <w:lang w:val="en-US"/>
              </w:rPr>
            </m:ctrlPr>
          </m:fPr>
          <m:num>
            <m:sSub>
              <m:sSubPr>
                <m:ctrlPr>
                  <w:rPr>
                    <w:rFonts w:ascii="Cambria Math" w:hAnsi="Cambria Math" w:cs="Times New Roman"/>
                    <w:iCs/>
                    <w:sz w:val="20"/>
                    <w:szCs w:val="20"/>
                    <w:lang w:val="en-US"/>
                  </w:rPr>
                </m:ctrlPr>
              </m:sSubPr>
              <m:e>
                <m:r>
                  <m:rPr>
                    <m:sty m:val="p"/>
                  </m:rPr>
                  <w:rPr>
                    <w:rFonts w:ascii="Cambria Math" w:hAnsi="Cambria Math" w:cs="Times New Roman"/>
                    <w:sz w:val="20"/>
                    <w:szCs w:val="20"/>
                    <w:lang w:val="uz-Cyrl-UZ"/>
                  </w:rPr>
                  <m:t>I</m:t>
                </m:r>
              </m:e>
              <m:sub>
                <m:d>
                  <m:dPr>
                    <m:ctrlPr>
                      <w:rPr>
                        <w:rFonts w:ascii="Cambria Math" w:hAnsi="Cambria Math" w:cs="Times New Roman"/>
                        <w:iCs/>
                        <w:sz w:val="20"/>
                        <w:szCs w:val="20"/>
                      </w:rPr>
                    </m:ctrlPr>
                  </m:dPr>
                  <m:e>
                    <m:r>
                      <m:rPr>
                        <m:sty m:val="p"/>
                      </m:rPr>
                      <w:rPr>
                        <w:rFonts w:ascii="Cambria Math" w:hAnsi="Cambria Math" w:cs="Times New Roman"/>
                        <w:sz w:val="20"/>
                        <w:szCs w:val="20"/>
                        <w:lang w:val="uz-Cyrl-UZ"/>
                      </w:rPr>
                      <m:t>n</m:t>
                    </m:r>
                  </m:e>
                </m:d>
              </m:sub>
            </m:sSub>
          </m:num>
          <m:den>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uz-Cyrl-UZ"/>
                  </w:rPr>
                  <m:t>I</m:t>
                </m:r>
              </m:e>
              <m:sub>
                <m:d>
                  <m:dPr>
                    <m:ctrlPr>
                      <w:rPr>
                        <w:rFonts w:ascii="Cambria Math" w:hAnsi="Cambria Math" w:cs="Times New Roman"/>
                        <w:i/>
                        <w:sz w:val="20"/>
                        <w:szCs w:val="20"/>
                      </w:rPr>
                    </m:ctrlPr>
                  </m:dPr>
                  <m:e>
                    <m:r>
                      <w:rPr>
                        <w:rFonts w:ascii="Cambria Math" w:hAnsi="Cambria Math" w:cs="Times New Roman"/>
                        <w:sz w:val="20"/>
                        <w:szCs w:val="20"/>
                        <w:lang w:val="uz-Cyrl-UZ"/>
                      </w:rPr>
                      <m:t>1</m:t>
                    </m:r>
                  </m:e>
                </m:d>
              </m:sub>
            </m:sSub>
          </m:den>
        </m:f>
        <m:r>
          <w:rPr>
            <w:rFonts w:ascii="Cambria Math" w:hAnsi="Cambria Math" w:cs="Times New Roman"/>
            <w:sz w:val="20"/>
            <w:szCs w:val="20"/>
            <w:lang w:val="uz-Cyrl-UZ"/>
          </w:rPr>
          <m:t>∙</m:t>
        </m:r>
        <m:r>
          <w:rPr>
            <w:rFonts w:ascii="Cambria Math" w:hAnsi="Cambria Math" w:cs="Times New Roman"/>
            <w:sz w:val="20"/>
            <w:szCs w:val="20"/>
            <w:lang w:val="uz-Cyrl-UZ"/>
          </w:rPr>
          <m:t>100,</m:t>
        </m:r>
      </m:oMath>
      <w:r w:rsidR="000066D8" w:rsidRPr="007013E6">
        <w:rPr>
          <w:rFonts w:ascii="Times New Roman" w:eastAsiaTheme="minorEastAsia" w:hAnsi="Times New Roman" w:cs="Times New Roman"/>
          <w:sz w:val="20"/>
          <w:szCs w:val="20"/>
          <w:lang w:val="uz-Cyrl-UZ"/>
        </w:rPr>
        <w:t xml:space="preserve">                                       (3)</w:t>
      </w:r>
    </w:p>
    <w:p w14:paraId="65CD4E9B" w14:textId="77777777" w:rsidR="000066D8" w:rsidRPr="007013E6" w:rsidRDefault="000066D8" w:rsidP="000066D8">
      <w:pPr>
        <w:spacing w:after="0" w:line="240" w:lineRule="auto"/>
        <w:ind w:firstLine="284"/>
        <w:jc w:val="both"/>
        <w:rPr>
          <w:rFonts w:ascii="Times New Roman" w:eastAsia="Times New Roman" w:hAnsi="Times New Roman" w:cs="Times New Roman"/>
          <w:sz w:val="20"/>
          <w:szCs w:val="20"/>
          <w:lang w:val="en-US" w:eastAsia="ru-RU"/>
        </w:rPr>
      </w:pPr>
      <w:r w:rsidRPr="007013E6">
        <w:rPr>
          <w:rFonts w:ascii="Times New Roman" w:eastAsia="Times New Roman" w:hAnsi="Times New Roman" w:cs="Times New Roman"/>
          <w:sz w:val="20"/>
          <w:szCs w:val="20"/>
          <w:lang w:val="en-US" w:eastAsia="ru-RU"/>
        </w:rPr>
        <w:t>Here,U</w:t>
      </w:r>
      <w:r w:rsidRPr="007013E6">
        <w:rPr>
          <w:rFonts w:ascii="Times New Roman" w:eastAsia="Times New Roman" w:hAnsi="Times New Roman" w:cs="Times New Roman"/>
          <w:sz w:val="20"/>
          <w:szCs w:val="20"/>
          <w:vertAlign w:val="subscript"/>
          <w:lang w:val="en-US" w:eastAsia="ru-RU"/>
        </w:rPr>
        <w:t>(1)</w:t>
      </w:r>
      <w:r w:rsidRPr="007013E6">
        <w:rPr>
          <w:rFonts w:ascii="Times New Roman" w:eastAsia="Times New Roman" w:hAnsi="Times New Roman" w:cs="Times New Roman"/>
          <w:sz w:val="20"/>
          <w:szCs w:val="20"/>
          <w:lang w:val="en-US" w:eastAsia="ru-RU"/>
        </w:rPr>
        <w:t>, I</w:t>
      </w:r>
      <w:r w:rsidRPr="007013E6">
        <w:rPr>
          <w:rFonts w:ascii="Times New Roman" w:eastAsia="Times New Roman" w:hAnsi="Times New Roman" w:cs="Times New Roman"/>
          <w:sz w:val="20"/>
          <w:szCs w:val="20"/>
          <w:vertAlign w:val="subscript"/>
          <w:lang w:val="en-US" w:eastAsia="ru-RU"/>
        </w:rPr>
        <w:t>(1)</w:t>
      </w:r>
      <w:r w:rsidRPr="007013E6">
        <w:rPr>
          <w:rFonts w:ascii="Times New Roman" w:eastAsia="Times New Roman" w:hAnsi="Times New Roman" w:cs="Times New Roman"/>
          <w:sz w:val="20"/>
          <w:szCs w:val="20"/>
          <w:lang w:val="en-US" w:eastAsia="ru-RU"/>
        </w:rPr>
        <w:t xml:space="preserve"> – the root-mean-square (RMS) values of the fundamental-frequency voltage and current;U</w:t>
      </w:r>
      <w:r w:rsidRPr="007013E6">
        <w:rPr>
          <w:rFonts w:ascii="Times New Roman" w:eastAsia="Times New Roman" w:hAnsi="Times New Roman" w:cs="Times New Roman"/>
          <w:sz w:val="20"/>
          <w:szCs w:val="20"/>
          <w:vertAlign w:val="subscript"/>
          <w:lang w:val="en-US" w:eastAsia="ru-RU"/>
        </w:rPr>
        <w:t>(n)</w:t>
      </w:r>
      <w:r w:rsidRPr="007013E6">
        <w:rPr>
          <w:rFonts w:ascii="Times New Roman" w:eastAsia="Times New Roman" w:hAnsi="Times New Roman" w:cs="Times New Roman"/>
          <w:sz w:val="20"/>
          <w:szCs w:val="20"/>
          <w:lang w:val="en-US" w:eastAsia="ru-RU"/>
        </w:rPr>
        <w:t>, I</w:t>
      </w:r>
      <w:r w:rsidRPr="007013E6">
        <w:rPr>
          <w:rFonts w:ascii="Times New Roman" w:eastAsia="Times New Roman" w:hAnsi="Times New Roman" w:cs="Times New Roman"/>
          <w:sz w:val="20"/>
          <w:szCs w:val="20"/>
          <w:vertAlign w:val="subscript"/>
          <w:lang w:val="en-US" w:eastAsia="ru-RU"/>
        </w:rPr>
        <w:t>(n)</w:t>
      </w:r>
      <w:r w:rsidRPr="007013E6">
        <w:rPr>
          <w:rFonts w:ascii="Times New Roman" w:eastAsia="Times New Roman" w:hAnsi="Times New Roman" w:cs="Times New Roman"/>
          <w:sz w:val="20"/>
          <w:szCs w:val="20"/>
          <w:lang w:val="en-US" w:eastAsia="ru-RU"/>
        </w:rPr>
        <w:t xml:space="preserve"> – the RMS values of the </w:t>
      </w:r>
      <w:r w:rsidRPr="007013E6">
        <w:rPr>
          <w:rFonts w:ascii="Times New Roman" w:eastAsia="Times New Roman" w:hAnsi="Times New Roman" w:cs="Times New Roman"/>
          <w:i/>
          <w:iCs/>
          <w:sz w:val="20"/>
          <w:szCs w:val="20"/>
          <w:lang w:val="en-US" w:eastAsia="ru-RU"/>
        </w:rPr>
        <w:t>n</w:t>
      </w:r>
      <w:r w:rsidRPr="007013E6">
        <w:rPr>
          <w:rFonts w:ascii="Times New Roman" w:eastAsia="Times New Roman" w:hAnsi="Times New Roman" w:cs="Times New Roman"/>
          <w:sz w:val="20"/>
          <w:szCs w:val="20"/>
          <w:lang w:val="en-US" w:eastAsia="ru-RU"/>
        </w:rPr>
        <w:t>-th harmonic components of voltage and current.</w:t>
      </w:r>
    </w:p>
    <w:p w14:paraId="104D8DE4" w14:textId="77777777" w:rsidR="000066D8" w:rsidRPr="007013E6" w:rsidRDefault="000066D8" w:rsidP="000066D8">
      <w:pPr>
        <w:spacing w:after="0" w:line="240" w:lineRule="auto"/>
        <w:ind w:firstLine="284"/>
        <w:jc w:val="both"/>
        <w:rPr>
          <w:rFonts w:ascii="Times New Roman" w:eastAsia="Times New Roman" w:hAnsi="Times New Roman" w:cs="Times New Roman"/>
          <w:sz w:val="20"/>
          <w:szCs w:val="20"/>
          <w:lang w:val="en-US" w:eastAsia="ru-RU"/>
        </w:rPr>
      </w:pPr>
      <w:r w:rsidRPr="007013E6">
        <w:rPr>
          <w:rFonts w:ascii="Times New Roman" w:eastAsia="Times New Roman" w:hAnsi="Times New Roman" w:cs="Times New Roman"/>
          <w:sz w:val="20"/>
          <w:szCs w:val="20"/>
          <w:lang w:val="en-US" w:eastAsia="ru-RU"/>
        </w:rPr>
        <w:t>Studies carried out using a KE analyzer of the type ERIS-KE 02 at the three-phase input of a residential building have demonstrated that the nonlinear load of an individual residential facility contributes significantly to the distortion of the current waveform. The spectral composition of the currents in the phase and neutral conductors is shown in Figure 3.</w:t>
      </w:r>
    </w:p>
    <w:p w14:paraId="0A4927CB" w14:textId="77777777" w:rsidR="000066D8" w:rsidRPr="007013E6" w:rsidRDefault="000066D8" w:rsidP="000066D8">
      <w:pPr>
        <w:spacing w:after="0" w:line="240" w:lineRule="auto"/>
        <w:ind w:firstLine="420"/>
        <w:jc w:val="both"/>
        <w:rPr>
          <w:rFonts w:ascii="Times New Roman" w:eastAsia="Times New Roman" w:hAnsi="Times New Roman" w:cs="Times New Roman"/>
          <w:sz w:val="20"/>
          <w:szCs w:val="20"/>
          <w:lang w:val="en-US" w:eastAsia="ru-RU"/>
        </w:rPr>
      </w:pPr>
      <w:r w:rsidRPr="007013E6">
        <w:rPr>
          <w:rFonts w:ascii="Times New Roman" w:eastAsia="Times New Roman" w:hAnsi="Times New Roman" w:cs="Times New Roman"/>
          <w:sz w:val="20"/>
          <w:szCs w:val="20"/>
          <w:lang w:val="en-US" w:eastAsia="ru-RU"/>
        </w:rPr>
        <w:t>According to [6], the harmonics generated by nonlinear electrical appliances are combined in different ways depending on their order: harmonics of order 3, 5, and 7 are combined arithmetically; harmonics of order 11 and 13 are combined using the power method; and higher-order harmonics above the 4th are combined according to the square-law method. It is also known that harmonics that are multiples of three accumulate along the neutral-phase conductor loop.</w:t>
      </w:r>
    </w:p>
    <w:p w14:paraId="3388408F" w14:textId="77777777" w:rsidR="000066D8" w:rsidRPr="007013E6" w:rsidRDefault="000066D8" w:rsidP="000066D8">
      <w:pPr>
        <w:spacing w:after="0" w:line="240" w:lineRule="auto"/>
        <w:ind w:firstLine="420"/>
        <w:jc w:val="both"/>
        <w:rPr>
          <w:rFonts w:ascii="Times New Roman" w:eastAsia="Times New Roman" w:hAnsi="Times New Roman" w:cs="Times New Roman"/>
          <w:sz w:val="20"/>
          <w:szCs w:val="20"/>
          <w:lang w:val="en-US" w:eastAsia="ru-RU"/>
        </w:rPr>
      </w:pPr>
      <w:r w:rsidRPr="007013E6">
        <w:rPr>
          <w:rFonts w:ascii="Times New Roman" w:eastAsia="Times New Roman" w:hAnsi="Times New Roman" w:cs="Times New Roman"/>
          <w:sz w:val="20"/>
          <w:szCs w:val="20"/>
          <w:lang w:val="en-US" w:eastAsia="ru-RU"/>
        </w:rPr>
        <w:t>Therefore, as can be observed from Figure 4, the highest amplitudes of higher-order harmonic currents occur in the neutral conductor. The total harmonic distortion (THD) of the current in the neutral conductor reaches 436.99%.</w:t>
      </w:r>
    </w:p>
    <w:p w14:paraId="0D216F11" w14:textId="77777777" w:rsidR="000066D8" w:rsidRPr="007013E6" w:rsidRDefault="000066D8" w:rsidP="000066D8">
      <w:pPr>
        <w:spacing w:after="0" w:line="240" w:lineRule="auto"/>
        <w:ind w:firstLine="420"/>
        <w:jc w:val="both"/>
        <w:rPr>
          <w:rFonts w:ascii="Times New Roman" w:eastAsia="Times New Roman" w:hAnsi="Times New Roman" w:cs="Times New Roman"/>
          <w:sz w:val="20"/>
          <w:szCs w:val="20"/>
          <w:lang w:val="en-US" w:eastAsia="ru-RU"/>
        </w:rPr>
      </w:pPr>
      <w:r w:rsidRPr="007013E6">
        <w:rPr>
          <w:rFonts w:ascii="Times New Roman" w:eastAsia="Times New Roman" w:hAnsi="Times New Roman" w:cs="Times New Roman"/>
          <w:sz w:val="20"/>
          <w:szCs w:val="20"/>
          <w:lang w:val="en-US" w:eastAsia="ru-RU"/>
        </w:rPr>
        <w:t>The presented graph indicates that the peak of high-frequency harmonic current emission coincides with the peak of the average load curve for gas-stove residential buildings (Figure 5) [7].</w:t>
      </w:r>
    </w:p>
    <w:p w14:paraId="1128AD63" w14:textId="56AE8CBB" w:rsidR="000066D8" w:rsidRPr="00047055" w:rsidRDefault="000066D8" w:rsidP="000066D8">
      <w:pPr>
        <w:spacing w:after="0" w:line="240" w:lineRule="auto"/>
        <w:jc w:val="both"/>
        <w:rPr>
          <w:rFonts w:ascii="Times New Roman" w:eastAsia="Times New Roman" w:hAnsi="Times New Roman" w:cs="Times New Roman"/>
          <w:sz w:val="18"/>
          <w:szCs w:val="18"/>
          <w:lang w:val="en-US" w:eastAsia="ru-RU"/>
        </w:rPr>
      </w:pPr>
      <w:r w:rsidRPr="007013E6">
        <w:rPr>
          <w:rFonts w:ascii="Times New Roman" w:eastAsia="Times New Roman" w:hAnsi="Times New Roman" w:cs="Times New Roman"/>
          <w:sz w:val="20"/>
          <w:szCs w:val="20"/>
          <w:lang w:val="en-US" w:eastAsia="ru-RU"/>
        </w:rPr>
        <w:t>Although the highest values of the current waveform distortion factor are likely associated with the switching of electrical equipment, the levels of high-frequency currents remain significant. Experimental investigations showed that, during certain half-hour intervals of the measurement day, the amplitude of high-frequency currents in the neutral and phase conductors exceeded the values of the fundamental-frequency current.</w:t>
      </w:r>
    </w:p>
    <w:p w14:paraId="6E91A9A3" w14:textId="36BE444F" w:rsidR="00AC13EA" w:rsidRPr="007013E6" w:rsidRDefault="000066D8" w:rsidP="00360CF8">
      <w:pPr>
        <w:spacing w:after="0" w:line="240" w:lineRule="auto"/>
        <w:jc w:val="center"/>
        <w:rPr>
          <w:rFonts w:ascii="Times New Roman" w:hAnsi="Times New Roman" w:cs="Times New Roman"/>
          <w:sz w:val="20"/>
          <w:szCs w:val="20"/>
          <w:lang w:val="uz-Cyrl-UZ"/>
        </w:rPr>
      </w:pPr>
      <w:r>
        <w:rPr>
          <w:rFonts w:ascii="Times New Roman" w:hAnsi="Times New Roman" w:cs="Times New Roman"/>
          <w:noProof/>
          <w:sz w:val="20"/>
          <w:szCs w:val="20"/>
          <w:lang w:val="en-US"/>
        </w:rPr>
        <w:lastRenderedPageBreak/>
        <w:drawing>
          <wp:inline distT="0" distB="0" distL="0" distR="0" wp14:anchorId="2DBC35CD" wp14:editId="7CF7E804">
            <wp:extent cx="4086225" cy="2409886"/>
            <wp:effectExtent l="0" t="0" r="0" b="9525"/>
            <wp:docPr id="101678141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7059" cy="2416275"/>
                    </a:xfrm>
                    <a:prstGeom prst="rect">
                      <a:avLst/>
                    </a:prstGeom>
                    <a:noFill/>
                  </pic:spPr>
                </pic:pic>
              </a:graphicData>
            </a:graphic>
          </wp:inline>
        </w:drawing>
      </w:r>
    </w:p>
    <w:p w14:paraId="2DC65C8A" w14:textId="43355571" w:rsidR="009D7F1B" w:rsidRPr="007013E6" w:rsidRDefault="0076444F" w:rsidP="00E36D96">
      <w:pPr>
        <w:spacing w:after="0" w:line="240" w:lineRule="auto"/>
        <w:jc w:val="center"/>
        <w:rPr>
          <w:rFonts w:ascii="Times New Roman" w:eastAsia="Times New Roman" w:hAnsi="Times New Roman" w:cs="Times New Roman"/>
          <w:b/>
          <w:bCs/>
          <w:sz w:val="20"/>
          <w:szCs w:val="20"/>
          <w:lang w:val="en-US" w:eastAsia="ru-RU"/>
        </w:rPr>
      </w:pPr>
      <w:r w:rsidRPr="007013E6">
        <w:rPr>
          <w:rFonts w:ascii="Times New Roman" w:eastAsia="Times New Roman" w:hAnsi="Times New Roman" w:cs="Times New Roman"/>
          <w:b/>
          <w:bCs/>
          <w:sz w:val="20"/>
          <w:szCs w:val="20"/>
          <w:lang w:val="en-US" w:eastAsia="ru-RU"/>
        </w:rPr>
        <w:t xml:space="preserve">FIGURE 3. </w:t>
      </w:r>
      <w:r w:rsidR="009D7F1B" w:rsidRPr="0076444F">
        <w:rPr>
          <w:rFonts w:ascii="Times New Roman" w:eastAsia="Times New Roman" w:hAnsi="Times New Roman" w:cs="Times New Roman"/>
          <w:sz w:val="18"/>
          <w:szCs w:val="18"/>
          <w:lang w:val="en-US" w:eastAsia="ru-RU"/>
        </w:rPr>
        <w:t>Spectral composition of currents at the three-phase input of a residential building based on average 24-hour measurements</w:t>
      </w:r>
    </w:p>
    <w:p w14:paraId="09D6024B" w14:textId="7AD90E38" w:rsidR="00B30511" w:rsidRPr="007013E6" w:rsidRDefault="001259EF" w:rsidP="00360CF8">
      <w:pPr>
        <w:spacing w:after="0" w:line="240" w:lineRule="auto"/>
        <w:ind w:hanging="142"/>
        <w:jc w:val="center"/>
        <w:rPr>
          <w:rFonts w:ascii="Times New Roman" w:hAnsi="Times New Roman" w:cs="Times New Roman"/>
          <w:b/>
          <w:sz w:val="20"/>
          <w:szCs w:val="20"/>
        </w:rPr>
      </w:pPr>
      <w:r w:rsidRPr="001259EF">
        <w:rPr>
          <w:rFonts w:ascii="Times New Roman" w:eastAsia="Times New Roman" w:hAnsi="Times New Roman" w:cs="Times New Roman"/>
          <w:noProof/>
          <w:sz w:val="20"/>
          <w:szCs w:val="20"/>
          <w:lang w:val="en-US"/>
        </w:rPr>
        <w:drawing>
          <wp:inline distT="0" distB="0" distL="0" distR="0" wp14:anchorId="74036557" wp14:editId="1BB176E2">
            <wp:extent cx="4171950" cy="259815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1480" cy="2635232"/>
                    </a:xfrm>
                    <a:prstGeom prst="rect">
                      <a:avLst/>
                    </a:prstGeom>
                    <a:noFill/>
                    <a:ln>
                      <a:noFill/>
                    </a:ln>
                  </pic:spPr>
                </pic:pic>
              </a:graphicData>
            </a:graphic>
          </wp:inline>
        </w:drawing>
      </w:r>
    </w:p>
    <w:p w14:paraId="0D7796A0" w14:textId="198F165F" w:rsidR="00AC13EA" w:rsidRDefault="0076444F" w:rsidP="00360CF8">
      <w:pPr>
        <w:spacing w:after="0" w:line="240" w:lineRule="auto"/>
        <w:jc w:val="center"/>
        <w:rPr>
          <w:rFonts w:ascii="Times New Roman" w:hAnsi="Times New Roman" w:cs="Times New Roman"/>
          <w:sz w:val="20"/>
          <w:szCs w:val="20"/>
          <w:lang w:val="en-US"/>
        </w:rPr>
      </w:pPr>
      <w:bookmarkStart w:id="1" w:name="_Hlk213490009"/>
      <w:r w:rsidRPr="007013E6">
        <w:rPr>
          <w:rFonts w:ascii="Times New Roman" w:hAnsi="Times New Roman" w:cs="Times New Roman"/>
          <w:b/>
          <w:bCs/>
          <w:sz w:val="20"/>
          <w:szCs w:val="20"/>
          <w:lang w:val="en-US"/>
        </w:rPr>
        <w:t xml:space="preserve">FIGURE 4. </w:t>
      </w:r>
      <w:r w:rsidR="009D7F1B" w:rsidRPr="0076444F">
        <w:rPr>
          <w:rFonts w:ascii="Times New Roman" w:hAnsi="Times New Roman" w:cs="Times New Roman"/>
          <w:sz w:val="20"/>
          <w:szCs w:val="20"/>
          <w:lang w:val="en-US"/>
        </w:rPr>
        <w:t>Variation of the total harmonic distortion (THD) of the current waveform in the neutral conductor over a 24-hour period</w:t>
      </w:r>
    </w:p>
    <w:p w14:paraId="215A02F8" w14:textId="77777777" w:rsidR="0076444F" w:rsidRDefault="0076444F" w:rsidP="00360CF8">
      <w:pPr>
        <w:spacing w:after="0" w:line="240" w:lineRule="auto"/>
        <w:jc w:val="center"/>
        <w:rPr>
          <w:rFonts w:ascii="Times New Roman" w:hAnsi="Times New Roman" w:cs="Times New Roman"/>
          <w:b/>
          <w:bCs/>
          <w:sz w:val="20"/>
          <w:szCs w:val="20"/>
          <w:lang w:val="en-US"/>
        </w:rPr>
      </w:pPr>
    </w:p>
    <w:p w14:paraId="305DEDD0" w14:textId="77777777" w:rsidR="000066D8" w:rsidRPr="007013E6" w:rsidRDefault="000066D8" w:rsidP="000066D8">
      <w:pPr>
        <w:spacing w:after="0" w:line="240" w:lineRule="auto"/>
        <w:ind w:firstLine="284"/>
        <w:jc w:val="both"/>
        <w:rPr>
          <w:rFonts w:ascii="Times New Roman" w:eastAsia="Times New Roman" w:hAnsi="Times New Roman" w:cs="Times New Roman"/>
          <w:sz w:val="20"/>
          <w:szCs w:val="20"/>
          <w:lang w:val="en-US" w:eastAsia="ru-RU"/>
        </w:rPr>
      </w:pPr>
      <w:r w:rsidRPr="007013E6">
        <w:rPr>
          <w:rFonts w:ascii="Times New Roman" w:eastAsia="Times New Roman" w:hAnsi="Times New Roman" w:cs="Times New Roman"/>
          <w:sz w:val="20"/>
          <w:szCs w:val="20"/>
          <w:lang w:val="en-US" w:eastAsia="ru-RU"/>
        </w:rPr>
        <w:t>An individually located residential building consumes a current of 10–12 A at the fundamental frequency during peak load periods. High-frequency currents generated by the nonlinear electrical appliances of an individual residential building do not cause significant voltage drops in the elements of the power supply network and, consequently, do not lead to a substantial distortion of the voltage waveform. At the same time, a single rural transformer substation may supply electricity to multiple residential buildings[8</w:t>
      </w:r>
      <w:r w:rsidRPr="00AB4DBA">
        <w:rPr>
          <w:rFonts w:ascii="Times New Roman" w:eastAsia="Times New Roman" w:hAnsi="Times New Roman" w:cs="Times New Roman"/>
          <w:sz w:val="20"/>
          <w:szCs w:val="20"/>
          <w:lang w:val="en-US" w:eastAsia="ru-RU"/>
        </w:rPr>
        <w:t>,9,10</w:t>
      </w:r>
      <w:r w:rsidRPr="007013E6">
        <w:rPr>
          <w:rFonts w:ascii="Times New Roman" w:eastAsia="Times New Roman" w:hAnsi="Times New Roman" w:cs="Times New Roman"/>
          <w:sz w:val="20"/>
          <w:szCs w:val="20"/>
          <w:lang w:val="en-US" w:eastAsia="ru-RU"/>
        </w:rPr>
        <w:t>].</w:t>
      </w:r>
    </w:p>
    <w:p w14:paraId="1E7902AE" w14:textId="77777777" w:rsidR="000066D8" w:rsidRPr="007013E6" w:rsidRDefault="000066D8" w:rsidP="000066D8">
      <w:pPr>
        <w:spacing w:after="0" w:line="240" w:lineRule="auto"/>
        <w:ind w:firstLine="284"/>
        <w:jc w:val="both"/>
        <w:rPr>
          <w:rFonts w:ascii="Times New Roman" w:eastAsia="Times New Roman" w:hAnsi="Times New Roman" w:cs="Times New Roman"/>
          <w:sz w:val="20"/>
          <w:szCs w:val="20"/>
          <w:lang w:val="en-US" w:eastAsia="ru-RU"/>
        </w:rPr>
      </w:pPr>
      <w:r w:rsidRPr="007013E6">
        <w:rPr>
          <w:rFonts w:ascii="Times New Roman" w:eastAsia="Times New Roman" w:hAnsi="Times New Roman" w:cs="Times New Roman"/>
          <w:sz w:val="20"/>
          <w:szCs w:val="20"/>
          <w:lang w:val="en-US" w:eastAsia="ru-RU"/>
        </w:rPr>
        <w:t xml:space="preserve">Monitoring of power quality in 0.38 kV municipal networks of Tashkent region has shown that, according to the harmonic coefficient (KE), the voltage of the </w:t>
      </w:r>
      <w:r w:rsidRPr="007013E6">
        <w:rPr>
          <w:rFonts w:ascii="Times New Roman" w:eastAsia="Times New Roman" w:hAnsi="Times New Roman" w:cs="Times New Roman"/>
          <w:i/>
          <w:iCs/>
          <w:sz w:val="20"/>
          <w:szCs w:val="20"/>
          <w:lang w:val="en-US" w:eastAsia="ru-RU"/>
        </w:rPr>
        <w:t>n</w:t>
      </w:r>
      <w:r w:rsidRPr="007013E6">
        <w:rPr>
          <w:rFonts w:ascii="Times New Roman" w:eastAsia="Times New Roman" w:hAnsi="Times New Roman" w:cs="Times New Roman"/>
          <w:sz w:val="20"/>
          <w:szCs w:val="20"/>
          <w:lang w:val="en-US" w:eastAsia="ru-RU"/>
        </w:rPr>
        <w:t>-th harmonic component does not meet GOST requirements in all three transformer substations.</w:t>
      </w:r>
    </w:p>
    <w:p w14:paraId="53EC6EA7" w14:textId="77777777" w:rsidR="000066D8" w:rsidRPr="007013E6" w:rsidRDefault="000066D8" w:rsidP="00360CF8">
      <w:pPr>
        <w:spacing w:after="0" w:line="240" w:lineRule="auto"/>
        <w:jc w:val="center"/>
        <w:rPr>
          <w:rFonts w:ascii="Times New Roman" w:hAnsi="Times New Roman" w:cs="Times New Roman"/>
          <w:b/>
          <w:bCs/>
          <w:sz w:val="20"/>
          <w:szCs w:val="20"/>
          <w:lang w:val="en-US"/>
        </w:rPr>
      </w:pPr>
    </w:p>
    <w:p w14:paraId="2F73FA49" w14:textId="77777777" w:rsidR="009D7F1B" w:rsidRPr="007013E6" w:rsidRDefault="0041122D" w:rsidP="00360CF8">
      <w:pPr>
        <w:spacing w:after="0" w:line="240" w:lineRule="auto"/>
        <w:jc w:val="center"/>
        <w:rPr>
          <w:rFonts w:ascii="Times New Roman" w:hAnsi="Times New Roman" w:cs="Times New Roman"/>
          <w:b/>
          <w:sz w:val="20"/>
          <w:szCs w:val="20"/>
        </w:rPr>
      </w:pPr>
      <w:r w:rsidRPr="007013E6">
        <w:rPr>
          <w:rFonts w:ascii="Times New Roman" w:hAnsi="Times New Roman" w:cs="Times New Roman"/>
          <w:noProof/>
          <w:sz w:val="20"/>
          <w:szCs w:val="20"/>
          <w:lang w:val="en-US"/>
        </w:rPr>
        <w:lastRenderedPageBreak/>
        <w:drawing>
          <wp:inline distT="0" distB="0" distL="0" distR="0" wp14:anchorId="53DDCB4C" wp14:editId="06212518">
            <wp:extent cx="3438525" cy="1998091"/>
            <wp:effectExtent l="0" t="0" r="0" b="2540"/>
            <wp:docPr id="17" name="Рисунок 17" descr="C:\Users\User\Desktop\5e243eab-b356-487f-b9ce-91c796fe98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5e243eab-b356-487f-b9ce-91c796fe98d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3447" cy="2012573"/>
                    </a:xfrm>
                    <a:prstGeom prst="rect">
                      <a:avLst/>
                    </a:prstGeom>
                    <a:noFill/>
                    <a:ln>
                      <a:noFill/>
                    </a:ln>
                  </pic:spPr>
                </pic:pic>
              </a:graphicData>
            </a:graphic>
          </wp:inline>
        </w:drawing>
      </w:r>
      <w:bookmarkEnd w:id="1"/>
    </w:p>
    <w:p w14:paraId="50BEB945" w14:textId="5DDB4251" w:rsidR="009D7F1B" w:rsidRPr="0076444F" w:rsidRDefault="0076444F" w:rsidP="00360CF8">
      <w:pPr>
        <w:spacing w:after="0" w:line="240" w:lineRule="auto"/>
        <w:jc w:val="center"/>
        <w:rPr>
          <w:rFonts w:ascii="Times New Roman" w:hAnsi="Times New Roman" w:cs="Times New Roman"/>
          <w:sz w:val="20"/>
          <w:szCs w:val="20"/>
          <w:lang w:val="en-US"/>
        </w:rPr>
      </w:pPr>
      <w:r w:rsidRPr="007013E6">
        <w:rPr>
          <w:rFonts w:ascii="Times New Roman" w:eastAsia="Times New Roman" w:hAnsi="Times New Roman" w:cs="Times New Roman"/>
          <w:b/>
          <w:bCs/>
          <w:sz w:val="20"/>
          <w:szCs w:val="20"/>
          <w:lang w:val="en-US" w:eastAsia="ru-RU"/>
        </w:rPr>
        <w:t xml:space="preserve">FIGURE 5. </w:t>
      </w:r>
      <w:r w:rsidR="009D7F1B" w:rsidRPr="0076444F">
        <w:rPr>
          <w:rFonts w:ascii="Times New Roman" w:eastAsia="Times New Roman" w:hAnsi="Times New Roman" w:cs="Times New Roman"/>
          <w:sz w:val="20"/>
          <w:szCs w:val="20"/>
          <w:lang w:val="en-US" w:eastAsia="ru-RU"/>
        </w:rPr>
        <w:t>Average daily load curve of a residential building equipped with a gas stove</w:t>
      </w:r>
    </w:p>
    <w:p w14:paraId="7AC59FB6" w14:textId="77777777" w:rsidR="00B83742" w:rsidRDefault="00B83742" w:rsidP="003D7DFB">
      <w:pPr>
        <w:spacing w:after="0" w:line="240" w:lineRule="auto"/>
        <w:ind w:firstLine="284"/>
        <w:jc w:val="both"/>
        <w:rPr>
          <w:rFonts w:ascii="Times New Roman" w:eastAsia="Times New Roman" w:hAnsi="Times New Roman" w:cs="Times New Roman"/>
          <w:sz w:val="20"/>
          <w:szCs w:val="20"/>
          <w:lang w:val="en-US" w:eastAsia="ru-RU"/>
        </w:rPr>
      </w:pPr>
    </w:p>
    <w:p w14:paraId="3EAC25FC" w14:textId="77777777" w:rsidR="009D7F1B" w:rsidRPr="007013E6" w:rsidRDefault="009D7F1B" w:rsidP="000066D8">
      <w:pPr>
        <w:spacing w:after="0" w:line="240" w:lineRule="auto"/>
        <w:ind w:firstLine="284"/>
        <w:rPr>
          <w:rFonts w:ascii="Times New Roman" w:eastAsia="Times New Roman" w:hAnsi="Times New Roman" w:cs="Times New Roman"/>
          <w:sz w:val="20"/>
          <w:szCs w:val="20"/>
          <w:lang w:val="en-US" w:eastAsia="ru-RU"/>
        </w:rPr>
      </w:pPr>
      <w:r w:rsidRPr="007013E6">
        <w:rPr>
          <w:rFonts w:ascii="Times New Roman" w:eastAsia="Times New Roman" w:hAnsi="Times New Roman" w:cs="Times New Roman"/>
          <w:sz w:val="20"/>
          <w:szCs w:val="20"/>
          <w:lang w:val="en-US" w:eastAsia="ru-RU"/>
        </w:rPr>
        <w:t>The presence of high-frequency harmonic currents not only deteriorates the electromagnetic condition of the power network but also reduces the reliability and durability of the main electrical equipment.</w:t>
      </w:r>
    </w:p>
    <w:p w14:paraId="6D3A10A2" w14:textId="77777777" w:rsidR="009D7F1B" w:rsidRPr="007013E6" w:rsidRDefault="009D7F1B" w:rsidP="003D7DFB">
      <w:pPr>
        <w:spacing w:after="0" w:line="240" w:lineRule="auto"/>
        <w:ind w:firstLine="284"/>
        <w:jc w:val="both"/>
        <w:rPr>
          <w:rFonts w:ascii="Times New Roman" w:eastAsia="Times New Roman" w:hAnsi="Times New Roman" w:cs="Times New Roman"/>
          <w:sz w:val="20"/>
          <w:szCs w:val="20"/>
          <w:lang w:val="en-US" w:eastAsia="ru-RU"/>
        </w:rPr>
      </w:pPr>
      <w:r w:rsidRPr="007013E6">
        <w:rPr>
          <w:rFonts w:ascii="Times New Roman" w:eastAsia="Times New Roman" w:hAnsi="Times New Roman" w:cs="Times New Roman"/>
          <w:sz w:val="20"/>
          <w:szCs w:val="20"/>
          <w:lang w:val="en-US" w:eastAsia="ru-RU"/>
        </w:rPr>
        <w:t>Studies conducted in the networks of Tashkent region have demonstrated that, when a large share of the total load is represented by municipal and household loads, the power losses caused by high-order harmonic currents may constitute a significant portion of the total losses.</w:t>
      </w:r>
    </w:p>
    <w:p w14:paraId="679CF9C1" w14:textId="652BEC90" w:rsidR="009D7F1B" w:rsidRPr="007013E6" w:rsidRDefault="009D7F1B" w:rsidP="003D7DFB">
      <w:pPr>
        <w:spacing w:after="0" w:line="240" w:lineRule="auto"/>
        <w:ind w:firstLine="284"/>
        <w:rPr>
          <w:rFonts w:ascii="Times New Roman" w:eastAsia="Times New Roman" w:hAnsi="Times New Roman" w:cs="Times New Roman"/>
          <w:sz w:val="20"/>
          <w:szCs w:val="20"/>
          <w:lang w:val="en-US" w:eastAsia="ru-RU"/>
        </w:rPr>
      </w:pPr>
      <w:r w:rsidRPr="007013E6">
        <w:rPr>
          <w:rFonts w:ascii="Times New Roman" w:eastAsia="Times New Roman" w:hAnsi="Times New Roman" w:cs="Times New Roman"/>
          <w:sz w:val="20"/>
          <w:szCs w:val="20"/>
          <w:lang w:val="en-US" w:eastAsia="ru-RU"/>
        </w:rPr>
        <w:t>Thus, active power losses from the fundamental-frequency current in power transmission lines and transformer windings are as follows [</w:t>
      </w:r>
      <w:r w:rsidR="00AB4DBA" w:rsidRPr="00AB4DBA">
        <w:rPr>
          <w:rFonts w:ascii="Times New Roman" w:eastAsia="Times New Roman" w:hAnsi="Times New Roman" w:cs="Times New Roman"/>
          <w:sz w:val="20"/>
          <w:szCs w:val="20"/>
          <w:lang w:val="en-US" w:eastAsia="ru-RU"/>
        </w:rPr>
        <w:t>11,12</w:t>
      </w:r>
      <w:r w:rsidRPr="007013E6">
        <w:rPr>
          <w:rFonts w:ascii="Times New Roman" w:eastAsia="Times New Roman" w:hAnsi="Times New Roman" w:cs="Times New Roman"/>
          <w:sz w:val="20"/>
          <w:szCs w:val="20"/>
          <w:lang w:val="en-US" w:eastAsia="ru-RU"/>
        </w:rPr>
        <w:t>]:</w:t>
      </w:r>
    </w:p>
    <w:p w14:paraId="60CD2A81" w14:textId="26DA12B9" w:rsidR="00F62A08" w:rsidRPr="007013E6" w:rsidRDefault="004150BC" w:rsidP="003D7DFB">
      <w:pPr>
        <w:spacing w:after="0" w:line="240" w:lineRule="auto"/>
        <w:jc w:val="right"/>
        <w:rPr>
          <w:rFonts w:ascii="Times New Roman" w:hAnsi="Times New Roman" w:cs="Times New Roman"/>
          <w:bCs/>
          <w:iCs/>
          <w:sz w:val="20"/>
          <w:szCs w:val="20"/>
          <w:lang w:val="uz-Cyrl-UZ"/>
        </w:rPr>
      </w:pPr>
      <m:oMath>
        <m:r>
          <w:rPr>
            <w:rFonts w:ascii="Cambria Math" w:hAnsi="Cambria Math" w:cs="Times New Roman"/>
            <w:sz w:val="20"/>
            <w:szCs w:val="20"/>
            <w:lang w:val="en-US"/>
          </w:rPr>
          <m:t>∆P=3</m:t>
        </m:r>
        <m:sSubSup>
          <m:sSubSupPr>
            <m:ctrlPr>
              <w:rPr>
                <w:rFonts w:ascii="Cambria Math" w:hAnsi="Cambria Math" w:cs="Times New Roman"/>
                <w:bCs/>
                <w:i/>
                <w:sz w:val="20"/>
                <w:szCs w:val="20"/>
                <w:lang w:val="en-US"/>
              </w:rPr>
            </m:ctrlPr>
          </m:sSubSupPr>
          <m:e>
            <m:r>
              <w:rPr>
                <w:rFonts w:ascii="Cambria Math" w:hAnsi="Cambria Math" w:cs="Times New Roman"/>
                <w:sz w:val="20"/>
                <w:szCs w:val="20"/>
                <w:lang w:val="en-US"/>
              </w:rPr>
              <m:t>I</m:t>
            </m:r>
          </m:e>
          <m:sub>
            <m:d>
              <m:dPr>
                <m:ctrlPr>
                  <w:rPr>
                    <w:rFonts w:ascii="Cambria Math" w:hAnsi="Cambria Math" w:cs="Times New Roman"/>
                    <w:bCs/>
                    <w:i/>
                    <w:sz w:val="20"/>
                    <w:szCs w:val="20"/>
                    <w:lang w:val="en-US"/>
                  </w:rPr>
                </m:ctrlPr>
              </m:dPr>
              <m:e>
                <m:r>
                  <w:rPr>
                    <w:rFonts w:ascii="Cambria Math" w:hAnsi="Cambria Math" w:cs="Times New Roman"/>
                    <w:sz w:val="20"/>
                    <w:szCs w:val="20"/>
                    <w:lang w:val="en-US"/>
                  </w:rPr>
                  <m:t>1</m:t>
                </m:r>
              </m:e>
            </m:d>
          </m:sub>
          <m:sup>
            <m:r>
              <w:rPr>
                <w:rFonts w:ascii="Cambria Math" w:hAnsi="Cambria Math" w:cs="Times New Roman"/>
                <w:sz w:val="20"/>
                <w:szCs w:val="20"/>
                <w:lang w:val="en-US"/>
              </w:rPr>
              <m:t>2</m:t>
            </m:r>
          </m:sup>
        </m:sSubSup>
        <m:r>
          <w:rPr>
            <w:rFonts w:ascii="Cambria Math" w:hAnsi="Cambria Math" w:cs="Times New Roman"/>
            <w:sz w:val="20"/>
            <w:szCs w:val="20"/>
            <w:lang w:val="en-US"/>
          </w:rPr>
          <m:t>r,</m:t>
        </m:r>
      </m:oMath>
      <w:r w:rsidRPr="007013E6">
        <w:rPr>
          <w:rFonts w:ascii="Times New Roman" w:eastAsiaTheme="minorEastAsia" w:hAnsi="Times New Roman" w:cs="Times New Roman"/>
          <w:bCs/>
          <w:i/>
          <w:sz w:val="20"/>
          <w:szCs w:val="20"/>
          <w:lang w:val="uz-Cyrl-UZ"/>
        </w:rPr>
        <w:t xml:space="preserve">                                </w:t>
      </w:r>
      <w:r w:rsidR="003D7DFB" w:rsidRPr="007013E6">
        <w:rPr>
          <w:rFonts w:ascii="Times New Roman" w:eastAsiaTheme="minorEastAsia" w:hAnsi="Times New Roman" w:cs="Times New Roman"/>
          <w:bCs/>
          <w:i/>
          <w:sz w:val="20"/>
          <w:szCs w:val="20"/>
          <w:lang w:val="uz-Cyrl-UZ"/>
        </w:rPr>
        <w:t xml:space="preserve">                                   </w:t>
      </w:r>
      <w:r w:rsidRPr="007013E6">
        <w:rPr>
          <w:rFonts w:ascii="Times New Roman" w:eastAsiaTheme="minorEastAsia" w:hAnsi="Times New Roman" w:cs="Times New Roman"/>
          <w:bCs/>
          <w:i/>
          <w:sz w:val="20"/>
          <w:szCs w:val="20"/>
          <w:lang w:val="uz-Cyrl-UZ"/>
        </w:rPr>
        <w:t xml:space="preserve">                      </w:t>
      </w:r>
      <w:r w:rsidRPr="007013E6">
        <w:rPr>
          <w:rFonts w:ascii="Times New Roman" w:eastAsiaTheme="minorEastAsia" w:hAnsi="Times New Roman" w:cs="Times New Roman"/>
          <w:bCs/>
          <w:iCs/>
          <w:sz w:val="20"/>
          <w:szCs w:val="20"/>
          <w:lang w:val="uz-Cyrl-UZ"/>
        </w:rPr>
        <w:t>(4)</w:t>
      </w:r>
    </w:p>
    <w:p w14:paraId="39E48F33" w14:textId="437C794C" w:rsidR="00F62A08" w:rsidRPr="007013E6" w:rsidRDefault="003D7DFB" w:rsidP="003D7DFB">
      <w:pPr>
        <w:spacing w:after="0" w:line="240" w:lineRule="auto"/>
        <w:ind w:firstLine="284"/>
        <w:rPr>
          <w:rFonts w:ascii="Times New Roman" w:hAnsi="Times New Roman" w:cs="Times New Roman"/>
          <w:sz w:val="20"/>
          <w:szCs w:val="20"/>
          <w:lang w:val="en-US"/>
        </w:rPr>
      </w:pPr>
      <w:r w:rsidRPr="007013E6">
        <w:rPr>
          <w:rFonts w:ascii="Times New Roman" w:hAnsi="Times New Roman" w:cs="Times New Roman"/>
          <w:sz w:val="20"/>
          <w:szCs w:val="20"/>
          <w:lang w:val="en-US"/>
        </w:rPr>
        <w:t>O</w:t>
      </w:r>
      <w:r w:rsidR="003C5DC2" w:rsidRPr="007013E6">
        <w:rPr>
          <w:rFonts w:ascii="Times New Roman" w:hAnsi="Times New Roman" w:cs="Times New Roman"/>
          <w:sz w:val="20"/>
          <w:szCs w:val="20"/>
          <w:lang w:val="en-US"/>
        </w:rPr>
        <w:t>wer Losses Resulting from the Presence of High-Order Harmonic Currents</w:t>
      </w:r>
      <w:r w:rsidR="003C5DC2" w:rsidRPr="007013E6">
        <w:rPr>
          <w:rFonts w:ascii="Times New Roman" w:hAnsi="Times New Roman" w:cs="Times New Roman"/>
          <w:sz w:val="20"/>
          <w:szCs w:val="20"/>
          <w:lang w:val="uz-Cyrl-UZ"/>
        </w:rPr>
        <w:t xml:space="preserve"> </w:t>
      </w:r>
      <w:r w:rsidR="009957F3" w:rsidRPr="007013E6">
        <w:rPr>
          <w:rFonts w:ascii="Times New Roman" w:hAnsi="Times New Roman" w:cs="Times New Roman"/>
          <w:sz w:val="20"/>
          <w:szCs w:val="20"/>
          <w:lang w:val="uz-Cyrl-UZ"/>
        </w:rPr>
        <w:t>[9,10]:</w:t>
      </w:r>
    </w:p>
    <w:p w14:paraId="1056666E" w14:textId="4DE9E37D" w:rsidR="00F62A08" w:rsidRPr="007013E6" w:rsidRDefault="00F62A08" w:rsidP="00360CF8">
      <w:pPr>
        <w:spacing w:after="0" w:line="240" w:lineRule="auto"/>
        <w:jc w:val="right"/>
        <w:rPr>
          <w:rFonts w:ascii="Times New Roman" w:hAnsi="Times New Roman" w:cs="Times New Roman"/>
          <w:iCs/>
          <w:sz w:val="20"/>
          <w:szCs w:val="20"/>
          <w:lang w:val="uz-Cyrl-UZ"/>
        </w:rPr>
      </w:pPr>
      <m:oMath>
        <m:r>
          <m:rPr>
            <m:sty m:val="p"/>
          </m:rPr>
          <w:rPr>
            <w:rFonts w:ascii="Cambria Math" w:hAnsi="Cambria Math" w:cs="Times New Roman"/>
            <w:sz w:val="20"/>
            <w:szCs w:val="20"/>
            <w:lang w:val="en-US"/>
          </w:rPr>
          <m:t>∆</m:t>
        </m:r>
        <m:sSub>
          <m:sSubPr>
            <m:ctrlPr>
              <w:rPr>
                <w:rFonts w:ascii="Cambria Math" w:hAnsi="Cambria Math" w:cs="Times New Roman"/>
                <w:iCs/>
                <w:sz w:val="20"/>
                <w:szCs w:val="20"/>
              </w:rPr>
            </m:ctrlPr>
          </m:sSubPr>
          <m:e>
            <m:r>
              <m:rPr>
                <m:sty m:val="p"/>
              </m:rPr>
              <w:rPr>
                <w:rFonts w:ascii="Cambria Math" w:hAnsi="Cambria Math" w:cs="Times New Roman"/>
                <w:sz w:val="20"/>
                <w:szCs w:val="20"/>
                <w:lang w:val="en-US"/>
              </w:rPr>
              <m:t>P</m:t>
            </m:r>
          </m:e>
          <m:sub>
            <m:r>
              <w:rPr>
                <w:rFonts w:ascii="Cambria Math" w:hAnsi="Cambria Math" w:cs="Times New Roman"/>
                <w:sz w:val="20"/>
                <w:szCs w:val="20"/>
              </w:rPr>
              <m:t>ВГС</m:t>
            </m:r>
          </m:sub>
        </m:sSub>
        <m:r>
          <m:rPr>
            <m:sty m:val="p"/>
          </m:rPr>
          <w:rPr>
            <w:rFonts w:ascii="Cambria Math" w:hAnsi="Cambria Math" w:cs="Times New Roman"/>
            <w:sz w:val="20"/>
            <w:szCs w:val="20"/>
            <w:lang w:val="en-US"/>
          </w:rPr>
          <m:t>=3</m:t>
        </m:r>
        <m:nary>
          <m:naryPr>
            <m:chr m:val="∑"/>
            <m:limLoc m:val="undOvr"/>
            <m:ctrlPr>
              <w:rPr>
                <w:rFonts w:ascii="Cambria Math" w:hAnsi="Cambria Math" w:cs="Times New Roman"/>
                <w:iCs/>
                <w:sz w:val="20"/>
                <w:szCs w:val="20"/>
              </w:rPr>
            </m:ctrlPr>
          </m:naryPr>
          <m:sub>
            <m:r>
              <m:rPr>
                <m:sty m:val="p"/>
              </m:rPr>
              <w:rPr>
                <w:rFonts w:ascii="Cambria Math" w:hAnsi="Cambria Math" w:cs="Times New Roman"/>
                <w:sz w:val="20"/>
                <w:szCs w:val="20"/>
                <w:lang w:val="en-US"/>
              </w:rPr>
              <m:t>n=2</m:t>
            </m:r>
          </m:sub>
          <m:sup>
            <m:r>
              <m:rPr>
                <m:sty m:val="p"/>
              </m:rPr>
              <w:rPr>
                <w:rFonts w:ascii="Cambria Math" w:hAnsi="Cambria Math" w:cs="Times New Roman"/>
                <w:sz w:val="20"/>
                <w:szCs w:val="20"/>
                <w:lang w:val="en-US"/>
              </w:rPr>
              <m:t>40</m:t>
            </m:r>
          </m:sup>
          <m:e>
            <m:sSubSup>
              <m:sSubSupPr>
                <m:ctrlPr>
                  <w:rPr>
                    <w:rFonts w:ascii="Cambria Math" w:hAnsi="Cambria Math" w:cs="Times New Roman"/>
                    <w:iCs/>
                    <w:sz w:val="20"/>
                    <w:szCs w:val="20"/>
                  </w:rPr>
                </m:ctrlPr>
              </m:sSubSupPr>
              <m:e>
                <m:r>
                  <m:rPr>
                    <m:sty m:val="p"/>
                  </m:rPr>
                  <w:rPr>
                    <w:rFonts w:ascii="Cambria Math" w:hAnsi="Cambria Math" w:cs="Times New Roman"/>
                    <w:sz w:val="20"/>
                    <w:szCs w:val="20"/>
                    <w:lang w:val="en-US"/>
                  </w:rPr>
                  <m:t>I</m:t>
                </m:r>
              </m:e>
              <m:sub>
                <m:r>
                  <m:rPr>
                    <m:sty m:val="p"/>
                  </m:rPr>
                  <w:rPr>
                    <w:rFonts w:ascii="Cambria Math" w:hAnsi="Cambria Math" w:cs="Times New Roman"/>
                    <w:sz w:val="20"/>
                    <w:szCs w:val="20"/>
                    <w:lang w:val="en-US"/>
                  </w:rPr>
                  <m:t>n</m:t>
                </m:r>
              </m:sub>
              <m:sup>
                <m:r>
                  <m:rPr>
                    <m:sty m:val="p"/>
                  </m:rPr>
                  <w:rPr>
                    <w:rFonts w:ascii="Cambria Math" w:hAnsi="Cambria Math" w:cs="Times New Roman"/>
                    <w:sz w:val="20"/>
                    <w:szCs w:val="20"/>
                    <w:lang w:val="en-US"/>
                  </w:rPr>
                  <m:t>2</m:t>
                </m:r>
              </m:sup>
            </m:sSubSup>
            <m:r>
              <m:rPr>
                <m:sty m:val="p"/>
              </m:rPr>
              <w:rPr>
                <w:rFonts w:ascii="Cambria Math" w:hAnsi="Cambria Math" w:cs="Times New Roman"/>
                <w:sz w:val="20"/>
                <w:szCs w:val="20"/>
                <w:lang w:val="en-US"/>
              </w:rPr>
              <m:t>r</m:t>
            </m:r>
            <m:rad>
              <m:radPr>
                <m:degHide m:val="1"/>
                <m:ctrlPr>
                  <w:rPr>
                    <w:rFonts w:ascii="Cambria Math" w:hAnsi="Cambria Math" w:cs="Times New Roman"/>
                    <w:iCs/>
                    <w:sz w:val="20"/>
                    <w:szCs w:val="20"/>
                  </w:rPr>
                </m:ctrlPr>
              </m:radPr>
              <m:deg/>
              <m:e>
                <m:r>
                  <m:rPr>
                    <m:sty m:val="p"/>
                  </m:rPr>
                  <w:rPr>
                    <w:rFonts w:ascii="Cambria Math" w:hAnsi="Cambria Math" w:cs="Times New Roman"/>
                    <w:sz w:val="20"/>
                    <w:szCs w:val="20"/>
                    <w:lang w:val="en-US"/>
                  </w:rPr>
                  <m:t>n</m:t>
                </m:r>
              </m:e>
            </m:rad>
            <m:r>
              <w:rPr>
                <w:rFonts w:ascii="Cambria Math" w:hAnsi="Cambria Math" w:cs="Times New Roman"/>
                <w:sz w:val="20"/>
                <w:szCs w:val="20"/>
                <w:lang w:val="en-US"/>
              </w:rPr>
              <m:t xml:space="preserve"> </m:t>
            </m:r>
          </m:e>
        </m:nary>
      </m:oMath>
      <w:r w:rsidR="006E22A1" w:rsidRPr="007013E6">
        <w:rPr>
          <w:rFonts w:ascii="Times New Roman" w:eastAsiaTheme="minorEastAsia" w:hAnsi="Times New Roman" w:cs="Times New Roman"/>
          <w:iCs/>
          <w:sz w:val="20"/>
          <w:szCs w:val="20"/>
          <w:lang w:val="uz-Cyrl-UZ"/>
        </w:rPr>
        <w:t>,                                                            (5)</w:t>
      </w:r>
    </w:p>
    <w:p w14:paraId="5DA447B3" w14:textId="3FE01D36" w:rsidR="00F62A08" w:rsidRPr="007013E6" w:rsidRDefault="003C5DC2" w:rsidP="003D7DFB">
      <w:pPr>
        <w:spacing w:after="0" w:line="240" w:lineRule="auto"/>
        <w:ind w:firstLine="284"/>
        <w:rPr>
          <w:rFonts w:ascii="Times New Roman" w:hAnsi="Times New Roman" w:cs="Times New Roman"/>
          <w:sz w:val="20"/>
          <w:szCs w:val="20"/>
          <w:lang w:val="en-US"/>
        </w:rPr>
      </w:pPr>
      <w:r w:rsidRPr="007013E6">
        <w:rPr>
          <w:rFonts w:ascii="Times New Roman" w:hAnsi="Times New Roman" w:cs="Times New Roman"/>
          <w:sz w:val="20"/>
          <w:szCs w:val="20"/>
          <w:lang w:val="en-US"/>
        </w:rPr>
        <w:t>Therefore, the relative share of the losses can be calculated</w:t>
      </w:r>
      <w:r w:rsidR="009957F3" w:rsidRPr="007013E6">
        <w:rPr>
          <w:rFonts w:ascii="Times New Roman" w:hAnsi="Times New Roman" w:cs="Times New Roman"/>
          <w:sz w:val="20"/>
          <w:szCs w:val="20"/>
          <w:lang w:val="en-US"/>
        </w:rPr>
        <w:t>:</w:t>
      </w:r>
    </w:p>
    <w:p w14:paraId="025F91A5" w14:textId="2D2078C1" w:rsidR="00F62A08" w:rsidRPr="007013E6" w:rsidRDefault="00DD72D3" w:rsidP="00360CF8">
      <w:pPr>
        <w:spacing w:after="0" w:line="240" w:lineRule="auto"/>
        <w:ind w:firstLine="708"/>
        <w:jc w:val="right"/>
        <w:rPr>
          <w:rFonts w:ascii="Times New Roman" w:hAnsi="Times New Roman" w:cs="Times New Roman"/>
          <w:iCs/>
          <w:sz w:val="20"/>
          <w:szCs w:val="20"/>
          <w:lang w:val="en-US"/>
        </w:rPr>
      </w:pPr>
      <m:oMath>
        <m:sSub>
          <m:sSubPr>
            <m:ctrlPr>
              <w:rPr>
                <w:rFonts w:ascii="Cambria Math" w:hAnsi="Cambria Math" w:cs="Times New Roman"/>
                <w:iCs/>
                <w:sz w:val="20"/>
                <w:szCs w:val="20"/>
              </w:rPr>
            </m:ctrlPr>
          </m:sSubPr>
          <m:e>
            <m:r>
              <m:rPr>
                <m:sty m:val="p"/>
              </m:rPr>
              <w:rPr>
                <w:rFonts w:ascii="Cambria Math" w:hAnsi="Cambria Math" w:cs="Times New Roman"/>
                <w:sz w:val="20"/>
                <w:szCs w:val="20"/>
                <w:lang w:val="en-US"/>
              </w:rPr>
              <m:t>K</m:t>
            </m:r>
          </m:e>
          <m:sub>
            <m:r>
              <m:rPr>
                <m:sty m:val="p"/>
              </m:rPr>
              <w:rPr>
                <w:rFonts w:ascii="Cambria Math" w:hAnsi="Cambria Math" w:cs="Times New Roman"/>
                <w:sz w:val="20"/>
                <w:szCs w:val="20"/>
                <w:lang w:val="en-US"/>
              </w:rPr>
              <m:t>∆</m:t>
            </m:r>
            <m:r>
              <m:rPr>
                <m:sty m:val="p"/>
              </m:rPr>
              <w:rPr>
                <w:rFonts w:ascii="Cambria Math" w:hAnsi="Cambria Math" w:cs="Times New Roman"/>
                <w:sz w:val="20"/>
                <w:szCs w:val="20"/>
                <w:lang w:val="en-US"/>
              </w:rPr>
              <m:t>P</m:t>
            </m:r>
          </m:sub>
        </m:sSub>
        <m:r>
          <m:rPr>
            <m:sty m:val="p"/>
          </m:rPr>
          <w:rPr>
            <w:rFonts w:ascii="Cambria Math" w:hAnsi="Cambria Math" w:cs="Times New Roman"/>
            <w:sz w:val="20"/>
            <w:szCs w:val="20"/>
            <w:lang w:val="en-US"/>
          </w:rPr>
          <m:t>=</m:t>
        </m:r>
        <m:f>
          <m:fPr>
            <m:ctrlPr>
              <w:rPr>
                <w:rFonts w:ascii="Cambria Math" w:hAnsi="Cambria Math" w:cs="Times New Roman"/>
                <w:iCs/>
                <w:sz w:val="20"/>
                <w:szCs w:val="20"/>
              </w:rPr>
            </m:ctrlPr>
          </m:fPr>
          <m:num>
            <m:nary>
              <m:naryPr>
                <m:chr m:val="∑"/>
                <m:limLoc m:val="undOvr"/>
                <m:ctrlPr>
                  <w:rPr>
                    <w:rFonts w:ascii="Cambria Math" w:hAnsi="Cambria Math" w:cs="Times New Roman"/>
                    <w:iCs/>
                    <w:sz w:val="20"/>
                    <w:szCs w:val="20"/>
                  </w:rPr>
                </m:ctrlPr>
              </m:naryPr>
              <m:sub>
                <m:r>
                  <m:rPr>
                    <m:sty m:val="p"/>
                  </m:rPr>
                  <w:rPr>
                    <w:rFonts w:ascii="Cambria Math" w:hAnsi="Cambria Math" w:cs="Times New Roman"/>
                    <w:sz w:val="20"/>
                    <w:szCs w:val="20"/>
                    <w:lang w:val="en-US"/>
                  </w:rPr>
                  <m:t>n=2</m:t>
                </m:r>
              </m:sub>
              <m:sup>
                <m:r>
                  <m:rPr>
                    <m:sty m:val="p"/>
                  </m:rPr>
                  <w:rPr>
                    <w:rFonts w:ascii="Cambria Math" w:hAnsi="Cambria Math" w:cs="Times New Roman"/>
                    <w:sz w:val="20"/>
                    <w:szCs w:val="20"/>
                    <w:lang w:val="en-US"/>
                  </w:rPr>
                  <m:t>40</m:t>
                </m:r>
              </m:sup>
              <m:e>
                <m:sSubSup>
                  <m:sSubSupPr>
                    <m:ctrlPr>
                      <w:rPr>
                        <w:rFonts w:ascii="Cambria Math" w:hAnsi="Cambria Math" w:cs="Times New Roman"/>
                        <w:iCs/>
                        <w:sz w:val="20"/>
                        <w:szCs w:val="20"/>
                      </w:rPr>
                    </m:ctrlPr>
                  </m:sSubSupPr>
                  <m:e>
                    <m:r>
                      <m:rPr>
                        <m:sty m:val="p"/>
                      </m:rPr>
                      <w:rPr>
                        <w:rFonts w:ascii="Cambria Math" w:hAnsi="Cambria Math" w:cs="Times New Roman"/>
                        <w:sz w:val="20"/>
                        <w:szCs w:val="20"/>
                        <w:lang w:val="en-US"/>
                      </w:rPr>
                      <m:t>I</m:t>
                    </m:r>
                  </m:e>
                  <m:sub>
                    <m:d>
                      <m:dPr>
                        <m:ctrlPr>
                          <w:rPr>
                            <w:rFonts w:ascii="Cambria Math" w:hAnsi="Cambria Math" w:cs="Times New Roman"/>
                            <w:iCs/>
                            <w:sz w:val="20"/>
                            <w:szCs w:val="20"/>
                          </w:rPr>
                        </m:ctrlPr>
                      </m:dPr>
                      <m:e>
                        <m:r>
                          <m:rPr>
                            <m:sty m:val="p"/>
                          </m:rPr>
                          <w:rPr>
                            <w:rFonts w:ascii="Cambria Math" w:hAnsi="Cambria Math" w:cs="Times New Roman"/>
                            <w:sz w:val="20"/>
                            <w:szCs w:val="20"/>
                            <w:lang w:val="en-US"/>
                          </w:rPr>
                          <m:t>n</m:t>
                        </m:r>
                      </m:e>
                    </m:d>
                  </m:sub>
                  <m:sup>
                    <m:r>
                      <m:rPr>
                        <m:sty m:val="p"/>
                      </m:rPr>
                      <w:rPr>
                        <w:rFonts w:ascii="Cambria Math" w:hAnsi="Cambria Math" w:cs="Times New Roman"/>
                        <w:sz w:val="20"/>
                        <w:szCs w:val="20"/>
                        <w:lang w:val="en-US"/>
                      </w:rPr>
                      <m:t>2</m:t>
                    </m:r>
                  </m:sup>
                </m:sSubSup>
                <m:rad>
                  <m:radPr>
                    <m:degHide m:val="1"/>
                    <m:ctrlPr>
                      <w:rPr>
                        <w:rFonts w:ascii="Cambria Math" w:hAnsi="Cambria Math" w:cs="Times New Roman"/>
                        <w:iCs/>
                        <w:sz w:val="20"/>
                        <w:szCs w:val="20"/>
                      </w:rPr>
                    </m:ctrlPr>
                  </m:radPr>
                  <m:deg/>
                  <m:e>
                    <m:r>
                      <m:rPr>
                        <m:sty m:val="p"/>
                      </m:rPr>
                      <w:rPr>
                        <w:rFonts w:ascii="Cambria Math" w:hAnsi="Cambria Math" w:cs="Times New Roman"/>
                        <w:sz w:val="20"/>
                        <w:szCs w:val="20"/>
                        <w:lang w:val="en-US"/>
                      </w:rPr>
                      <m:t>n</m:t>
                    </m:r>
                  </m:e>
                </m:rad>
              </m:e>
            </m:nary>
          </m:num>
          <m:den>
            <m:sSubSup>
              <m:sSubSupPr>
                <m:ctrlPr>
                  <w:rPr>
                    <w:rFonts w:ascii="Cambria Math" w:hAnsi="Cambria Math" w:cs="Times New Roman"/>
                    <w:iCs/>
                    <w:sz w:val="20"/>
                    <w:szCs w:val="20"/>
                  </w:rPr>
                </m:ctrlPr>
              </m:sSubSupPr>
              <m:e>
                <m:r>
                  <m:rPr>
                    <m:sty m:val="p"/>
                  </m:rPr>
                  <w:rPr>
                    <w:rFonts w:ascii="Cambria Math" w:hAnsi="Cambria Math" w:cs="Times New Roman"/>
                    <w:sz w:val="20"/>
                    <w:szCs w:val="20"/>
                    <w:lang w:val="en-US"/>
                  </w:rPr>
                  <m:t>I</m:t>
                </m:r>
              </m:e>
              <m:sub>
                <m:d>
                  <m:dPr>
                    <m:ctrlPr>
                      <w:rPr>
                        <w:rFonts w:ascii="Cambria Math" w:hAnsi="Cambria Math" w:cs="Times New Roman"/>
                        <w:iCs/>
                        <w:sz w:val="20"/>
                        <w:szCs w:val="20"/>
                      </w:rPr>
                    </m:ctrlPr>
                  </m:dPr>
                  <m:e>
                    <m:r>
                      <m:rPr>
                        <m:sty m:val="p"/>
                      </m:rPr>
                      <w:rPr>
                        <w:rFonts w:ascii="Cambria Math" w:hAnsi="Cambria Math" w:cs="Times New Roman"/>
                        <w:sz w:val="20"/>
                        <w:szCs w:val="20"/>
                        <w:lang w:val="en-US"/>
                      </w:rPr>
                      <m:t>1</m:t>
                    </m:r>
                  </m:e>
                </m:d>
              </m:sub>
              <m:sup>
                <m:r>
                  <m:rPr>
                    <m:sty m:val="p"/>
                  </m:rPr>
                  <w:rPr>
                    <w:rFonts w:ascii="Cambria Math" w:hAnsi="Cambria Math" w:cs="Times New Roman"/>
                    <w:sz w:val="20"/>
                    <w:szCs w:val="20"/>
                    <w:lang w:val="en-US"/>
                  </w:rPr>
                  <m:t>2</m:t>
                </m:r>
              </m:sup>
            </m:sSubSup>
          </m:den>
        </m:f>
        <m:r>
          <m:rPr>
            <m:sty m:val="p"/>
          </m:rPr>
          <w:rPr>
            <w:rFonts w:ascii="Cambria Math" w:hAnsi="Cambria Math" w:cs="Times New Roman"/>
            <w:sz w:val="20"/>
            <w:szCs w:val="20"/>
            <w:lang w:val="en-US"/>
          </w:rPr>
          <m:t>,</m:t>
        </m:r>
      </m:oMath>
      <w:r w:rsidR="00F62A08" w:rsidRPr="007013E6">
        <w:rPr>
          <w:rFonts w:ascii="Times New Roman" w:hAnsi="Times New Roman" w:cs="Times New Roman"/>
          <w:iCs/>
          <w:sz w:val="20"/>
          <w:szCs w:val="20"/>
          <w:lang w:val="en-US"/>
        </w:rPr>
        <w:t xml:space="preserve"> </w:t>
      </w:r>
      <w:r w:rsidR="00F62A08" w:rsidRPr="007013E6">
        <w:rPr>
          <w:rFonts w:ascii="Times New Roman" w:hAnsi="Times New Roman" w:cs="Times New Roman"/>
          <w:iCs/>
          <w:sz w:val="20"/>
          <w:szCs w:val="20"/>
          <w:lang w:val="en-US"/>
        </w:rPr>
        <w:tab/>
      </w:r>
      <w:r w:rsidR="00F62A08" w:rsidRPr="007013E6">
        <w:rPr>
          <w:rFonts w:ascii="Times New Roman" w:hAnsi="Times New Roman" w:cs="Times New Roman"/>
          <w:iCs/>
          <w:sz w:val="20"/>
          <w:szCs w:val="20"/>
          <w:lang w:val="en-US"/>
        </w:rPr>
        <w:tab/>
      </w:r>
      <w:r w:rsidR="006E22A1" w:rsidRPr="007013E6">
        <w:rPr>
          <w:rFonts w:ascii="Times New Roman" w:hAnsi="Times New Roman" w:cs="Times New Roman"/>
          <w:iCs/>
          <w:sz w:val="20"/>
          <w:szCs w:val="20"/>
          <w:lang w:val="uz-Cyrl-UZ"/>
        </w:rPr>
        <w:t xml:space="preserve">                                                </w:t>
      </w:r>
      <w:r w:rsidR="00F62A08" w:rsidRPr="007013E6">
        <w:rPr>
          <w:rFonts w:ascii="Times New Roman" w:hAnsi="Times New Roman" w:cs="Times New Roman"/>
          <w:iCs/>
          <w:sz w:val="20"/>
          <w:szCs w:val="20"/>
          <w:lang w:val="en-US"/>
        </w:rPr>
        <w:t xml:space="preserve">    (</w:t>
      </w:r>
      <w:r w:rsidR="006E22A1" w:rsidRPr="007013E6">
        <w:rPr>
          <w:rFonts w:ascii="Times New Roman" w:hAnsi="Times New Roman" w:cs="Times New Roman"/>
          <w:iCs/>
          <w:sz w:val="20"/>
          <w:szCs w:val="20"/>
          <w:lang w:val="uz-Cyrl-UZ"/>
        </w:rPr>
        <w:t>6</w:t>
      </w:r>
      <w:r w:rsidR="00F62A08" w:rsidRPr="007013E6">
        <w:rPr>
          <w:rFonts w:ascii="Times New Roman" w:hAnsi="Times New Roman" w:cs="Times New Roman"/>
          <w:iCs/>
          <w:sz w:val="20"/>
          <w:szCs w:val="20"/>
          <w:lang w:val="en-US"/>
        </w:rPr>
        <w:t>)</w:t>
      </w:r>
    </w:p>
    <w:p w14:paraId="7545140A" w14:textId="4A35337A" w:rsidR="000066D8" w:rsidRDefault="000066D8" w:rsidP="00FC19C6">
      <w:pPr>
        <w:spacing w:after="0" w:line="240" w:lineRule="auto"/>
        <w:ind w:firstLine="708"/>
        <w:jc w:val="center"/>
        <w:rPr>
          <w:noProof/>
          <w:lang w:val="en-US"/>
        </w:rPr>
      </w:pPr>
      <w:r>
        <w:rPr>
          <w:noProof/>
          <w:lang w:val="en-US"/>
        </w:rPr>
        <w:drawing>
          <wp:inline distT="0" distB="0" distL="0" distR="0" wp14:anchorId="1562B975" wp14:editId="155DCAAE">
            <wp:extent cx="3926205" cy="2237740"/>
            <wp:effectExtent l="0" t="0" r="0" b="0"/>
            <wp:docPr id="30253261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6205" cy="2237740"/>
                    </a:xfrm>
                    <a:prstGeom prst="rect">
                      <a:avLst/>
                    </a:prstGeom>
                    <a:noFill/>
                  </pic:spPr>
                </pic:pic>
              </a:graphicData>
            </a:graphic>
          </wp:inline>
        </w:drawing>
      </w:r>
    </w:p>
    <w:p w14:paraId="6378A437" w14:textId="77EDB4FC" w:rsidR="003C5DC2" w:rsidRPr="007013E6" w:rsidRDefault="00FC19C6" w:rsidP="00FC19C6">
      <w:pPr>
        <w:spacing w:after="0" w:line="240" w:lineRule="auto"/>
        <w:ind w:firstLine="708"/>
        <w:jc w:val="center"/>
        <w:rPr>
          <w:rFonts w:ascii="Times New Roman" w:hAnsi="Times New Roman" w:cs="Times New Roman"/>
          <w:b/>
          <w:bCs/>
          <w:sz w:val="20"/>
          <w:szCs w:val="20"/>
          <w:lang w:val="en-US"/>
        </w:rPr>
      </w:pPr>
      <w:r w:rsidRPr="000066D8">
        <w:rPr>
          <w:rStyle w:val="aa"/>
          <w:rFonts w:ascii="Times New Roman" w:hAnsi="Times New Roman" w:cs="Times New Roman"/>
          <w:sz w:val="20"/>
          <w:szCs w:val="20"/>
          <w:lang w:val="en-US"/>
        </w:rPr>
        <w:t>FIGURE 6</w:t>
      </w:r>
      <w:r w:rsidR="003C5DC2" w:rsidRPr="000066D8">
        <w:rPr>
          <w:rStyle w:val="aa"/>
          <w:rFonts w:ascii="Times New Roman" w:hAnsi="Times New Roman" w:cs="Times New Roman"/>
          <w:sz w:val="20"/>
          <w:szCs w:val="20"/>
          <w:lang w:val="en-US"/>
        </w:rPr>
        <w:t xml:space="preserve">. </w:t>
      </w:r>
      <w:r w:rsidR="003C5DC2" w:rsidRPr="007013E6">
        <w:rPr>
          <w:rStyle w:val="aa"/>
          <w:rFonts w:ascii="Times New Roman" w:hAnsi="Times New Roman" w:cs="Times New Roman"/>
          <w:b w:val="0"/>
          <w:bCs w:val="0"/>
          <w:sz w:val="20"/>
          <w:szCs w:val="20"/>
          <w:lang w:val="en-US"/>
        </w:rPr>
        <w:t>Variation of the current waveform distortion coefficient at a substation supplying municipal and household loads (office center)</w:t>
      </w:r>
    </w:p>
    <w:p w14:paraId="5AEB2CDE" w14:textId="5D53E357" w:rsidR="003D7DFB" w:rsidRPr="007013E6" w:rsidRDefault="003D7DFB" w:rsidP="00360CF8">
      <w:pPr>
        <w:pStyle w:val="a9"/>
        <w:spacing w:before="0" w:beforeAutospacing="0" w:after="0" w:afterAutospacing="0"/>
        <w:rPr>
          <w:sz w:val="20"/>
          <w:szCs w:val="20"/>
          <w:lang w:val="en-US"/>
        </w:rPr>
      </w:pPr>
    </w:p>
    <w:p w14:paraId="3E7B67E1" w14:textId="77777777" w:rsidR="000066D8" w:rsidRPr="007013E6" w:rsidRDefault="000066D8" w:rsidP="000066D8">
      <w:pPr>
        <w:spacing w:after="0" w:line="240" w:lineRule="auto"/>
        <w:ind w:firstLine="284"/>
        <w:rPr>
          <w:rFonts w:ascii="Times New Roman" w:eastAsia="Times New Roman" w:hAnsi="Times New Roman" w:cs="Times New Roman"/>
          <w:sz w:val="20"/>
          <w:szCs w:val="20"/>
          <w:lang w:val="en-US" w:eastAsia="ru-RU"/>
        </w:rPr>
      </w:pPr>
      <w:r w:rsidRPr="007013E6">
        <w:rPr>
          <w:rFonts w:ascii="Times New Roman" w:eastAsia="Times New Roman" w:hAnsi="Times New Roman" w:cs="Times New Roman"/>
          <w:sz w:val="20"/>
          <w:szCs w:val="20"/>
          <w:lang w:val="en-US" w:eastAsia="ru-RU"/>
        </w:rPr>
        <w:t xml:space="preserve">Here, </w:t>
      </w:r>
      <w:r w:rsidRPr="007013E6">
        <w:rPr>
          <w:rFonts w:ascii="Times New Roman" w:eastAsia="Times New Roman" w:hAnsi="Times New Roman" w:cs="Times New Roman"/>
          <w:b/>
          <w:bCs/>
          <w:sz w:val="20"/>
          <w:szCs w:val="20"/>
          <w:lang w:val="en-US" w:eastAsia="ru-RU"/>
        </w:rPr>
        <w:t>I</w:t>
      </w:r>
      <w:r w:rsidRPr="007013E6">
        <w:rPr>
          <w:rFonts w:ascii="Times New Roman" w:eastAsia="Times New Roman" w:hAnsi="Times New Roman" w:cs="Times New Roman"/>
          <w:b/>
          <w:bCs/>
          <w:sz w:val="20"/>
          <w:szCs w:val="20"/>
          <w:vertAlign w:val="subscript"/>
          <w:lang w:val="en-US" w:eastAsia="ru-RU"/>
        </w:rPr>
        <w:t>(1)</w:t>
      </w:r>
      <w:r w:rsidRPr="007013E6">
        <w:rPr>
          <w:rFonts w:ascii="Times New Roman" w:eastAsia="Times New Roman" w:hAnsi="Times New Roman" w:cs="Times New Roman"/>
          <w:sz w:val="20"/>
          <w:szCs w:val="20"/>
          <w:lang w:val="en-US" w:eastAsia="ru-RU"/>
        </w:rPr>
        <w:t xml:space="preserve"> – fundamental-frequency current; </w:t>
      </w:r>
      <m:oMath>
        <m:nary>
          <m:naryPr>
            <m:chr m:val="∑"/>
            <m:limLoc m:val="undOvr"/>
            <m:ctrlPr>
              <w:rPr>
                <w:rFonts w:ascii="Cambria Math" w:hAnsi="Cambria Math" w:cs="Times New Roman"/>
                <w:i/>
                <w:sz w:val="20"/>
                <w:szCs w:val="20"/>
                <w:lang w:val="en-US"/>
              </w:rPr>
            </m:ctrlPr>
          </m:naryPr>
          <m:sub>
            <m:r>
              <w:rPr>
                <w:rFonts w:ascii="Cambria Math" w:hAnsi="Cambria Math" w:cs="Times New Roman"/>
                <w:sz w:val="20"/>
                <w:szCs w:val="20"/>
                <w:lang w:val="en-US"/>
              </w:rPr>
              <m:t>n=2</m:t>
            </m:r>
          </m:sub>
          <m:sup>
            <m:r>
              <w:rPr>
                <w:rFonts w:ascii="Cambria Math" w:hAnsi="Cambria Math" w:cs="Times New Roman"/>
                <w:sz w:val="20"/>
                <w:szCs w:val="20"/>
                <w:lang w:val="en-US"/>
              </w:rPr>
              <m:t>40</m:t>
            </m:r>
          </m:sup>
          <m:e>
            <m:sSub>
              <m:sSubPr>
                <m:ctrlPr>
                  <w:rPr>
                    <w:rFonts w:ascii="Cambria Math" w:hAnsi="Cambria Math" w:cs="Times New Roman"/>
                    <w:i/>
                    <w:sz w:val="20"/>
                    <w:szCs w:val="20"/>
                    <w:lang w:val="en-US"/>
                  </w:rPr>
                </m:ctrlPr>
              </m:sSubPr>
              <m:e>
                <m:r>
                  <w:rPr>
                    <w:rFonts w:ascii="Cambria Math" w:hAnsi="Cambria Math" w:cs="Times New Roman"/>
                    <w:sz w:val="20"/>
                    <w:szCs w:val="20"/>
                    <w:lang w:val="en-US"/>
                  </w:rPr>
                  <m:t>I</m:t>
                </m:r>
              </m:e>
              <m:sub>
                <m:r>
                  <w:rPr>
                    <w:rFonts w:ascii="Cambria Math" w:hAnsi="Cambria Math" w:cs="Times New Roman"/>
                    <w:sz w:val="20"/>
                    <w:szCs w:val="20"/>
                    <w:lang w:val="en-US"/>
                  </w:rPr>
                  <m:t>n</m:t>
                </m:r>
              </m:sub>
            </m:sSub>
          </m:e>
        </m:nary>
      </m:oMath>
      <w:r w:rsidRPr="007013E6">
        <w:rPr>
          <w:rFonts w:ascii="Times New Roman" w:eastAsia="Times New Roman" w:hAnsi="Times New Roman" w:cs="Times New Roman"/>
          <w:sz w:val="20"/>
          <w:szCs w:val="20"/>
          <w:lang w:val="en-US" w:eastAsia="ru-RU"/>
        </w:rPr>
        <w:t xml:space="preserve">​ – the sum of high-frequency harmonic currents; </w:t>
      </w:r>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K</m:t>
            </m:r>
          </m:e>
          <m:sub>
            <m:r>
              <w:rPr>
                <w:rFonts w:ascii="Cambria Math" w:hAnsi="Cambria Math" w:cs="Times New Roman"/>
                <w:sz w:val="20"/>
                <w:szCs w:val="20"/>
                <w:lang w:val="en-US"/>
              </w:rPr>
              <m:t>∆P</m:t>
            </m:r>
          </m:sub>
        </m:sSub>
      </m:oMath>
      <w:r w:rsidRPr="007013E6">
        <w:rPr>
          <w:rFonts w:ascii="Times New Roman" w:eastAsia="Times New Roman" w:hAnsi="Times New Roman" w:cs="Times New Roman"/>
          <w:sz w:val="20"/>
          <w:szCs w:val="20"/>
          <w:lang w:val="en-US" w:eastAsia="ru-RU"/>
        </w:rPr>
        <w:t xml:space="preserve">– the coefficient representing the ratio of energy losses caused by high-frequency currents to the losses caused by the fundamental-frequency current; </w:t>
      </w:r>
      <w:r w:rsidRPr="007013E6">
        <w:rPr>
          <w:rFonts w:ascii="Times New Roman" w:eastAsia="Times New Roman" w:hAnsi="Times New Roman" w:cs="Times New Roman"/>
          <w:b/>
          <w:bCs/>
          <w:sz w:val="20"/>
          <w:szCs w:val="20"/>
          <w:lang w:val="en-US" w:eastAsia="ru-RU"/>
        </w:rPr>
        <w:t>n</w:t>
      </w:r>
      <w:r w:rsidRPr="007013E6">
        <w:rPr>
          <w:rFonts w:ascii="Times New Roman" w:eastAsia="Times New Roman" w:hAnsi="Times New Roman" w:cs="Times New Roman"/>
          <w:sz w:val="20"/>
          <w:szCs w:val="20"/>
          <w:lang w:val="en-US" w:eastAsia="ru-RU"/>
        </w:rPr>
        <w:t xml:space="preserve"> – harmonic order.</w:t>
      </w:r>
    </w:p>
    <w:p w14:paraId="1F4CF024" w14:textId="77777777" w:rsidR="000066D8" w:rsidRPr="007013E6" w:rsidRDefault="000066D8" w:rsidP="000066D8">
      <w:pPr>
        <w:spacing w:after="0" w:line="240" w:lineRule="auto"/>
        <w:ind w:firstLine="284"/>
        <w:jc w:val="both"/>
        <w:rPr>
          <w:rFonts w:ascii="Times New Roman" w:eastAsia="Times New Roman" w:hAnsi="Times New Roman" w:cs="Times New Roman"/>
          <w:sz w:val="20"/>
          <w:szCs w:val="20"/>
          <w:lang w:val="en-US" w:eastAsia="ru-RU"/>
        </w:rPr>
      </w:pPr>
      <w:r w:rsidRPr="007013E6">
        <w:rPr>
          <w:rFonts w:ascii="Times New Roman" w:eastAsia="Times New Roman" w:hAnsi="Times New Roman" w:cs="Times New Roman"/>
          <w:sz w:val="20"/>
          <w:szCs w:val="20"/>
          <w:lang w:val="en-US" w:eastAsia="ru-RU"/>
        </w:rPr>
        <w:t xml:space="preserve">The ratio of power losses in the neutral conductor caused by the emission of high-frequency currents from nonlinear electrical appliances in a residential building to the losses at the fundamental frequency was calculated. The results indicate that, on average over a 24-hour measurement period, the losses caused by high-frequency currents are 2.64 times greater than those at the fundamental frequency. The coefficient of the loss ratio varies widely throughout </w:t>
      </w:r>
      <w:r w:rsidRPr="007013E6">
        <w:rPr>
          <w:rFonts w:ascii="Times New Roman" w:eastAsia="Times New Roman" w:hAnsi="Times New Roman" w:cs="Times New Roman"/>
          <w:sz w:val="20"/>
          <w:szCs w:val="20"/>
          <w:lang w:val="en-US" w:eastAsia="ru-RU"/>
        </w:rPr>
        <w:lastRenderedPageBreak/>
        <w:t>the day, with its variation pattern corresponding to the average daily load curve of a residential building equipped with a gas stove.</w:t>
      </w:r>
    </w:p>
    <w:p w14:paraId="65A560E7" w14:textId="77777777" w:rsidR="000066D8" w:rsidRPr="007013E6" w:rsidRDefault="000066D8" w:rsidP="000066D8">
      <w:pPr>
        <w:spacing w:after="0" w:line="240" w:lineRule="auto"/>
        <w:ind w:firstLine="284"/>
        <w:jc w:val="both"/>
        <w:rPr>
          <w:rFonts w:ascii="Times New Roman" w:eastAsia="Times New Roman" w:hAnsi="Times New Roman" w:cs="Times New Roman"/>
          <w:sz w:val="20"/>
          <w:szCs w:val="20"/>
          <w:lang w:val="en-US" w:eastAsia="ru-RU"/>
        </w:rPr>
      </w:pPr>
      <w:r w:rsidRPr="007013E6">
        <w:rPr>
          <w:rFonts w:ascii="Times New Roman" w:eastAsia="Times New Roman" w:hAnsi="Times New Roman" w:cs="Times New Roman"/>
          <w:sz w:val="20"/>
          <w:szCs w:val="20"/>
          <w:lang w:val="en-US" w:eastAsia="ru-RU"/>
        </w:rPr>
        <w:t>Additional losses in transformers supplying municipal and household loads range from 5% to 15%. Furthermore, high-frequency currents not accounted for during the design stage may create the risk of overloading the transformer [1</w:t>
      </w:r>
      <w:r w:rsidRPr="00AB4DBA">
        <w:rPr>
          <w:rFonts w:ascii="Times New Roman" w:eastAsia="Times New Roman" w:hAnsi="Times New Roman" w:cs="Times New Roman"/>
          <w:sz w:val="20"/>
          <w:szCs w:val="20"/>
          <w:lang w:val="en-US" w:eastAsia="ru-RU"/>
        </w:rPr>
        <w:t>3</w:t>
      </w:r>
      <w:r w:rsidRPr="007013E6">
        <w:rPr>
          <w:rFonts w:ascii="Times New Roman" w:eastAsia="Times New Roman" w:hAnsi="Times New Roman" w:cs="Times New Roman"/>
          <w:sz w:val="20"/>
          <w:szCs w:val="20"/>
          <w:lang w:val="en-US" w:eastAsia="ru-RU"/>
        </w:rPr>
        <w:t>,1</w:t>
      </w:r>
      <w:r w:rsidRPr="00AB4DBA">
        <w:rPr>
          <w:rFonts w:ascii="Times New Roman" w:eastAsia="Times New Roman" w:hAnsi="Times New Roman" w:cs="Times New Roman"/>
          <w:sz w:val="20"/>
          <w:szCs w:val="20"/>
          <w:lang w:val="en-US" w:eastAsia="ru-RU"/>
        </w:rPr>
        <w:t>4</w:t>
      </w:r>
      <w:r w:rsidRPr="007013E6">
        <w:rPr>
          <w:rFonts w:ascii="Times New Roman" w:eastAsia="Times New Roman" w:hAnsi="Times New Roman" w:cs="Times New Roman"/>
          <w:sz w:val="20"/>
          <w:szCs w:val="20"/>
          <w:lang w:val="en-US" w:eastAsia="ru-RU"/>
        </w:rPr>
        <w:t>].</w:t>
      </w:r>
    </w:p>
    <w:p w14:paraId="1483773B" w14:textId="77777777" w:rsidR="000066D8" w:rsidRPr="007013E6" w:rsidRDefault="000066D8" w:rsidP="000066D8">
      <w:pPr>
        <w:spacing w:after="0" w:line="240" w:lineRule="auto"/>
        <w:ind w:firstLine="284"/>
        <w:rPr>
          <w:rFonts w:ascii="Times New Roman" w:eastAsia="Times New Roman" w:hAnsi="Times New Roman" w:cs="Times New Roman"/>
          <w:sz w:val="20"/>
          <w:szCs w:val="20"/>
          <w:lang w:val="en-US" w:eastAsia="ru-RU"/>
        </w:rPr>
      </w:pPr>
      <w:r w:rsidRPr="007013E6">
        <w:rPr>
          <w:rFonts w:ascii="Times New Roman" w:eastAsia="Times New Roman" w:hAnsi="Times New Roman" w:cs="Times New Roman"/>
          <w:sz w:val="20"/>
          <w:szCs w:val="20"/>
          <w:lang w:val="en-US" w:eastAsia="ru-RU"/>
        </w:rPr>
        <w:t>Measurement results at a substation supplying public municipal and household loads (office center) are presented in Figure 6.</w:t>
      </w:r>
    </w:p>
    <w:p w14:paraId="133AE932" w14:textId="5E26B7DF" w:rsidR="003C5DC2" w:rsidRPr="007013E6" w:rsidRDefault="003C5DC2" w:rsidP="00B556D8">
      <w:pPr>
        <w:pStyle w:val="a9"/>
        <w:spacing w:before="0" w:beforeAutospacing="0" w:after="0" w:afterAutospacing="0"/>
        <w:ind w:firstLine="284"/>
        <w:jc w:val="both"/>
        <w:rPr>
          <w:sz w:val="20"/>
          <w:szCs w:val="20"/>
          <w:lang w:val="en-US"/>
        </w:rPr>
      </w:pPr>
      <w:r w:rsidRPr="007013E6">
        <w:rPr>
          <w:sz w:val="20"/>
          <w:szCs w:val="20"/>
          <w:lang w:val="en-US"/>
        </w:rPr>
        <w:t xml:space="preserve">The graph indicates that the daily load regime at the substation supplying municipal and household loads is generally stable, with phase-specific distortion coefficient values varying in the range of </w:t>
      </w:r>
      <w:r w:rsidRPr="007013E6">
        <w:rPr>
          <w:rStyle w:val="aa"/>
          <w:b w:val="0"/>
          <w:bCs w:val="0"/>
          <w:sz w:val="20"/>
          <w:szCs w:val="20"/>
          <w:lang w:val="en-US"/>
        </w:rPr>
        <w:t>60–70%</w:t>
      </w:r>
      <w:r w:rsidRPr="007013E6">
        <w:rPr>
          <w:b/>
          <w:bCs/>
          <w:sz w:val="20"/>
          <w:szCs w:val="20"/>
          <w:lang w:val="en-US"/>
        </w:rPr>
        <w:t>.</w:t>
      </w:r>
      <w:r w:rsidRPr="007013E6">
        <w:rPr>
          <w:sz w:val="20"/>
          <w:szCs w:val="20"/>
          <w:lang w:val="en-US"/>
        </w:rPr>
        <w:t xml:space="preserve"> Phase asymmetry is observed, with </w:t>
      </w:r>
      <w:r w:rsidRPr="007013E6">
        <w:rPr>
          <w:rStyle w:val="aa"/>
          <w:b w:val="0"/>
          <w:bCs w:val="0"/>
          <w:sz w:val="20"/>
          <w:szCs w:val="20"/>
          <w:lang w:val="en-US"/>
        </w:rPr>
        <w:t>Phase A</w:t>
      </w:r>
      <w:r w:rsidRPr="007013E6">
        <w:rPr>
          <w:sz w:val="20"/>
          <w:szCs w:val="20"/>
          <w:lang w:val="en-US"/>
        </w:rPr>
        <w:t xml:space="preserve"> experiencing a higher load compared to the other phases. This indicates either excessive current loading on this phase or an uneven distribution of consumers. At certain times (around 09:00), sharp drops in loads across all phases may occur, resulting from voltage dips, short-term disturbances in the load, activation of high-power equipment, or temporary fault conditions. To improve the efficiency of power supply, it is necessary to </w:t>
      </w:r>
      <w:r w:rsidRPr="007013E6">
        <w:rPr>
          <w:rStyle w:val="aa"/>
          <w:b w:val="0"/>
          <w:bCs w:val="0"/>
          <w:sz w:val="20"/>
          <w:szCs w:val="20"/>
          <w:lang w:val="en-US"/>
        </w:rPr>
        <w:t>balance the phase loads</w:t>
      </w:r>
      <w:r w:rsidRPr="007013E6">
        <w:rPr>
          <w:sz w:val="20"/>
          <w:szCs w:val="20"/>
          <w:lang w:val="en-US"/>
        </w:rPr>
        <w:t>, identify the causes of observed anomalies, and take corrective measures.</w:t>
      </w:r>
    </w:p>
    <w:p w14:paraId="572BAE6F" w14:textId="6E5FC404" w:rsidR="003C5DC2" w:rsidRPr="00A3417D" w:rsidRDefault="003D7DFB" w:rsidP="005164B8">
      <w:pPr>
        <w:pStyle w:val="a9"/>
        <w:spacing w:before="240" w:beforeAutospacing="0" w:after="240" w:afterAutospacing="0"/>
        <w:ind w:firstLine="284"/>
        <w:jc w:val="center"/>
        <w:rPr>
          <w:rStyle w:val="aa"/>
          <w:lang w:val="en-US"/>
        </w:rPr>
      </w:pPr>
      <w:r w:rsidRPr="00A3417D">
        <w:rPr>
          <w:rStyle w:val="aa"/>
          <w:lang w:val="en-US"/>
        </w:rPr>
        <w:t>CONCLUSIONS</w:t>
      </w:r>
    </w:p>
    <w:p w14:paraId="41CFB144" w14:textId="58DF72DE" w:rsidR="003C5DC2" w:rsidRPr="007013E6" w:rsidRDefault="003D7DFB" w:rsidP="000066D8">
      <w:pPr>
        <w:pStyle w:val="a9"/>
        <w:spacing w:before="0" w:beforeAutospacing="0" w:after="0" w:afterAutospacing="0"/>
        <w:ind w:firstLine="284"/>
        <w:jc w:val="both"/>
        <w:rPr>
          <w:sz w:val="20"/>
          <w:szCs w:val="20"/>
          <w:lang w:val="en-US"/>
        </w:rPr>
      </w:pPr>
      <w:r w:rsidRPr="007013E6">
        <w:rPr>
          <w:sz w:val="20"/>
          <w:szCs w:val="20"/>
          <w:lang w:val="en-US"/>
        </w:rPr>
        <w:t xml:space="preserve">1. </w:t>
      </w:r>
      <w:r w:rsidR="003C5DC2" w:rsidRPr="007013E6">
        <w:rPr>
          <w:sz w:val="20"/>
          <w:szCs w:val="20"/>
          <w:lang w:val="en-US"/>
        </w:rPr>
        <w:t xml:space="preserve">Statistical data processing indicates that in modern residential buildings, the installed power share of nonlinear electrical appliances may reach </w:t>
      </w:r>
      <w:r w:rsidR="003C5DC2" w:rsidRPr="007013E6">
        <w:rPr>
          <w:rStyle w:val="aa"/>
          <w:b w:val="0"/>
          <w:bCs w:val="0"/>
          <w:sz w:val="20"/>
          <w:szCs w:val="20"/>
          <w:lang w:val="en-US"/>
        </w:rPr>
        <w:t>66.5%</w:t>
      </w:r>
      <w:r w:rsidR="003C5DC2" w:rsidRPr="007013E6">
        <w:rPr>
          <w:sz w:val="20"/>
          <w:szCs w:val="20"/>
          <w:lang w:val="en-US"/>
        </w:rPr>
        <w:t xml:space="preserve"> of the total installed capacity.</w:t>
      </w:r>
    </w:p>
    <w:p w14:paraId="57D0487B" w14:textId="0F469F45" w:rsidR="003C5DC2" w:rsidRPr="007013E6" w:rsidRDefault="003D7DFB" w:rsidP="000066D8">
      <w:pPr>
        <w:pStyle w:val="a9"/>
        <w:spacing w:before="0" w:beforeAutospacing="0" w:after="0" w:afterAutospacing="0"/>
        <w:ind w:firstLine="284"/>
        <w:jc w:val="both"/>
        <w:rPr>
          <w:sz w:val="20"/>
          <w:szCs w:val="20"/>
          <w:lang w:val="en-US"/>
        </w:rPr>
      </w:pPr>
      <w:r w:rsidRPr="007013E6">
        <w:rPr>
          <w:sz w:val="20"/>
          <w:szCs w:val="20"/>
          <w:lang w:val="en-US"/>
        </w:rPr>
        <w:t xml:space="preserve">2. </w:t>
      </w:r>
      <w:r w:rsidR="003C5DC2" w:rsidRPr="007013E6">
        <w:rPr>
          <w:sz w:val="20"/>
          <w:szCs w:val="20"/>
          <w:lang w:val="en-US"/>
        </w:rPr>
        <w:t xml:space="preserve">Additional power losses in transformers caused by high-order harmonic currents generated by municipal and household loads may reach </w:t>
      </w:r>
      <w:r w:rsidR="003C5DC2" w:rsidRPr="007013E6">
        <w:rPr>
          <w:rStyle w:val="aa"/>
          <w:b w:val="0"/>
          <w:bCs w:val="0"/>
          <w:sz w:val="20"/>
          <w:szCs w:val="20"/>
          <w:lang w:val="en-US"/>
        </w:rPr>
        <w:t>15.3%</w:t>
      </w:r>
      <w:r w:rsidR="003C5DC2" w:rsidRPr="007013E6">
        <w:rPr>
          <w:b/>
          <w:bCs/>
          <w:sz w:val="20"/>
          <w:szCs w:val="20"/>
          <w:lang w:val="en-US"/>
        </w:rPr>
        <w:t>.</w:t>
      </w:r>
    </w:p>
    <w:p w14:paraId="6C797B29" w14:textId="443DB944" w:rsidR="003C5DC2" w:rsidRPr="007013E6" w:rsidRDefault="003D7DFB" w:rsidP="000066D8">
      <w:pPr>
        <w:pStyle w:val="a9"/>
        <w:spacing w:before="0" w:beforeAutospacing="0" w:after="0" w:afterAutospacing="0"/>
        <w:ind w:firstLine="284"/>
        <w:jc w:val="both"/>
        <w:rPr>
          <w:sz w:val="20"/>
          <w:szCs w:val="20"/>
          <w:lang w:val="en-US"/>
        </w:rPr>
      </w:pPr>
      <w:r w:rsidRPr="007013E6">
        <w:rPr>
          <w:sz w:val="20"/>
          <w:szCs w:val="20"/>
          <w:lang w:val="en-US"/>
        </w:rPr>
        <w:t xml:space="preserve">3. </w:t>
      </w:r>
      <w:r w:rsidR="003C5DC2" w:rsidRPr="007013E6">
        <w:rPr>
          <w:sz w:val="20"/>
          <w:szCs w:val="20"/>
          <w:lang w:val="en-US"/>
        </w:rPr>
        <w:t xml:space="preserve">High-frequency currents emitted by nonlinear electrical appliances in </w:t>
      </w:r>
      <w:r w:rsidR="000066D8" w:rsidRPr="007013E6">
        <w:rPr>
          <w:sz w:val="20"/>
          <w:szCs w:val="20"/>
          <w:lang w:val="en-US"/>
        </w:rPr>
        <w:t>three-phase residential building cause losses</w:t>
      </w:r>
      <w:r w:rsidR="003C5DC2" w:rsidRPr="007013E6">
        <w:rPr>
          <w:sz w:val="20"/>
          <w:szCs w:val="20"/>
          <w:lang w:val="en-US"/>
        </w:rPr>
        <w:t xml:space="preserve"> in the neutral conductor over an average 24-hour period that are </w:t>
      </w:r>
      <w:r w:rsidR="003C5DC2" w:rsidRPr="007013E6">
        <w:rPr>
          <w:rStyle w:val="aa"/>
          <w:b w:val="0"/>
          <w:bCs w:val="0"/>
          <w:sz w:val="20"/>
          <w:szCs w:val="20"/>
          <w:lang w:val="en-US"/>
        </w:rPr>
        <w:t>2.6 times greater</w:t>
      </w:r>
      <w:r w:rsidR="003C5DC2" w:rsidRPr="007013E6">
        <w:rPr>
          <w:sz w:val="20"/>
          <w:szCs w:val="20"/>
          <w:lang w:val="en-US"/>
        </w:rPr>
        <w:t xml:space="preserve"> than the losses at the fundamental frequency.</w:t>
      </w:r>
    </w:p>
    <w:p w14:paraId="61103EC8" w14:textId="4867C394" w:rsidR="003C5DC2" w:rsidRPr="007013E6" w:rsidRDefault="003D7DFB" w:rsidP="000066D8">
      <w:pPr>
        <w:pStyle w:val="a9"/>
        <w:spacing w:before="0" w:beforeAutospacing="0" w:after="0" w:afterAutospacing="0"/>
        <w:ind w:firstLine="284"/>
        <w:jc w:val="both"/>
        <w:rPr>
          <w:sz w:val="20"/>
          <w:szCs w:val="20"/>
          <w:lang w:val="en-US"/>
        </w:rPr>
      </w:pPr>
      <w:r w:rsidRPr="007013E6">
        <w:rPr>
          <w:sz w:val="20"/>
          <w:szCs w:val="20"/>
          <w:lang w:val="en-US"/>
        </w:rPr>
        <w:t xml:space="preserve">4. </w:t>
      </w:r>
      <w:r w:rsidR="003C5DC2" w:rsidRPr="007013E6">
        <w:rPr>
          <w:sz w:val="20"/>
          <w:szCs w:val="20"/>
          <w:lang w:val="en-US"/>
        </w:rPr>
        <w:t xml:space="preserve">A significant portion of power losses in transmission lines and transformers can be considered as a distinct component of </w:t>
      </w:r>
      <w:r w:rsidR="003C5DC2" w:rsidRPr="007013E6">
        <w:rPr>
          <w:rStyle w:val="aa"/>
          <w:b w:val="0"/>
          <w:bCs w:val="0"/>
          <w:sz w:val="20"/>
          <w:szCs w:val="20"/>
          <w:lang w:val="en-US"/>
        </w:rPr>
        <w:t>technological losses</w:t>
      </w:r>
      <w:r w:rsidR="003C5DC2" w:rsidRPr="007013E6">
        <w:rPr>
          <w:sz w:val="20"/>
          <w:szCs w:val="20"/>
          <w:lang w:val="en-US"/>
        </w:rPr>
        <w:t>, and the possibility of overloading electrical equipment should be taken into account during the design stage.</w:t>
      </w:r>
    </w:p>
    <w:p w14:paraId="2F3B9B03" w14:textId="24D482DA" w:rsidR="003C5DC2" w:rsidRDefault="003D7DFB" w:rsidP="005164B8">
      <w:pPr>
        <w:pStyle w:val="a9"/>
        <w:spacing w:before="240" w:beforeAutospacing="0" w:after="240" w:afterAutospacing="0"/>
        <w:ind w:left="720" w:firstLine="284"/>
        <w:jc w:val="center"/>
        <w:rPr>
          <w:rStyle w:val="aa"/>
          <w:lang w:val="en-US"/>
        </w:rPr>
      </w:pPr>
      <w:bookmarkStart w:id="2" w:name="_GoBack"/>
      <w:r w:rsidRPr="003D7DFB">
        <w:rPr>
          <w:rStyle w:val="aa"/>
          <w:lang w:val="en-US"/>
        </w:rPr>
        <w:t>REFERENCES</w:t>
      </w:r>
    </w:p>
    <w:bookmarkEnd w:id="2"/>
    <w:p w14:paraId="7660DEDD" w14:textId="2B8ECCB0" w:rsidR="00F65D62" w:rsidRPr="0026495B" w:rsidRDefault="009E72CA" w:rsidP="0026495B">
      <w:pPr>
        <w:widowControl w:val="0"/>
        <w:spacing w:after="0" w:line="240" w:lineRule="auto"/>
        <w:contextualSpacing/>
        <w:jc w:val="both"/>
        <w:textDirection w:val="btLr"/>
        <w:rPr>
          <w:rFonts w:ascii="Times New Roman" w:hAnsi="Times New Roman" w:cs="Times New Roman"/>
          <w:color w:val="000000"/>
          <w:sz w:val="20"/>
          <w:szCs w:val="20"/>
          <w:lang w:val="en-US"/>
        </w:rPr>
      </w:pPr>
      <w:r w:rsidRPr="0026495B">
        <w:rPr>
          <w:rFonts w:ascii="Times New Roman" w:hAnsi="Times New Roman" w:cs="Times New Roman"/>
          <w:color w:val="000000"/>
          <w:sz w:val="20"/>
          <w:szCs w:val="20"/>
          <w:lang w:val="en-US"/>
        </w:rPr>
        <w:t>1. A.D. Taslimov, V.U. Mo‘minov.On the Influence of Low-Voltage Electrical Consumers on the Sinusoidality of Current and Voltage. // Problems of Energy and Resource Saving. – Tashkent, 2024. No. 4. – pp. 1–10.</w:t>
      </w:r>
      <w:r w:rsidR="009957F3" w:rsidRPr="0026495B">
        <w:rPr>
          <w:rFonts w:ascii="Times New Roman" w:hAnsi="Times New Roman" w:cs="Times New Roman"/>
          <w:sz w:val="20"/>
          <w:szCs w:val="20"/>
          <w:highlight w:val="yellow"/>
          <w:lang w:val="uz-Cyrl-UZ"/>
        </w:rPr>
        <w:t xml:space="preserve"> </w:t>
      </w:r>
    </w:p>
    <w:p w14:paraId="46C9443C" w14:textId="7B897750" w:rsidR="00F65D62" w:rsidRPr="0026495B" w:rsidRDefault="00EA4264" w:rsidP="0026495B">
      <w:pPr>
        <w:spacing w:after="0" w:line="240" w:lineRule="auto"/>
        <w:contextualSpacing/>
        <w:jc w:val="both"/>
        <w:rPr>
          <w:rFonts w:ascii="Times New Roman" w:hAnsi="Times New Roman" w:cs="Times New Roman"/>
          <w:color w:val="333333"/>
          <w:sz w:val="20"/>
          <w:szCs w:val="20"/>
          <w:shd w:val="clear" w:color="auto" w:fill="FFFFFF"/>
          <w:lang w:val="en-US"/>
        </w:rPr>
      </w:pPr>
      <w:r w:rsidRPr="0026495B">
        <w:rPr>
          <w:rFonts w:ascii="Times New Roman" w:hAnsi="Times New Roman" w:cs="Times New Roman"/>
          <w:color w:val="000000"/>
          <w:sz w:val="20"/>
          <w:szCs w:val="20"/>
          <w:lang w:val="en-US"/>
        </w:rPr>
        <w:t xml:space="preserve">2. </w:t>
      </w:r>
      <w:r w:rsidR="009E72CA" w:rsidRPr="0026495B">
        <w:rPr>
          <w:rFonts w:ascii="Times New Roman" w:hAnsi="Times New Roman" w:cs="Times New Roman"/>
          <w:color w:val="333333"/>
          <w:sz w:val="20"/>
          <w:szCs w:val="20"/>
          <w:shd w:val="clear" w:color="auto" w:fill="FFFFFF"/>
          <w:lang w:val="en-US"/>
        </w:rPr>
        <w:t>Agency of Statistics under the President of the Republic of Uzbekistan. https://stat.uz/ru/</w:t>
      </w:r>
    </w:p>
    <w:p w14:paraId="10C80BFC" w14:textId="4B2412B2" w:rsidR="00F65D62" w:rsidRPr="0026495B" w:rsidRDefault="00F65D62" w:rsidP="0026495B">
      <w:pPr>
        <w:spacing w:after="0" w:line="240" w:lineRule="auto"/>
        <w:contextualSpacing/>
        <w:jc w:val="both"/>
        <w:rPr>
          <w:rFonts w:ascii="Times New Roman" w:hAnsi="Times New Roman" w:cs="Times New Roman"/>
          <w:sz w:val="20"/>
          <w:szCs w:val="20"/>
          <w:lang w:val="uz-Cyrl-UZ"/>
        </w:rPr>
      </w:pPr>
      <w:r w:rsidRPr="0026495B">
        <w:rPr>
          <w:rFonts w:ascii="Times New Roman" w:hAnsi="Times New Roman" w:cs="Times New Roman"/>
          <w:color w:val="000000"/>
          <w:sz w:val="20"/>
          <w:szCs w:val="20"/>
          <w:lang w:val="uz-Cyrl-UZ"/>
        </w:rPr>
        <w:t xml:space="preserve">3. </w:t>
      </w:r>
      <w:r w:rsidR="009E72CA" w:rsidRPr="0026495B">
        <w:rPr>
          <w:rFonts w:ascii="Times New Roman" w:hAnsi="Times New Roman" w:cs="Times New Roman"/>
          <w:sz w:val="20"/>
          <w:szCs w:val="20"/>
          <w:lang w:val="uz-Cyrl-UZ"/>
        </w:rPr>
        <w:t>Taslimov A.D., Mo‘minov V.U.</w:t>
      </w:r>
      <w:r w:rsidR="009E72CA" w:rsidRPr="0026495B">
        <w:rPr>
          <w:rFonts w:ascii="Times New Roman" w:hAnsi="Times New Roman" w:cs="Times New Roman"/>
          <w:sz w:val="20"/>
          <w:szCs w:val="20"/>
          <w:lang w:val="en-US"/>
        </w:rPr>
        <w:t xml:space="preserve"> </w:t>
      </w:r>
      <w:r w:rsidR="009E72CA" w:rsidRPr="0026495B">
        <w:rPr>
          <w:rFonts w:ascii="Times New Roman" w:hAnsi="Times New Roman" w:cs="Times New Roman"/>
          <w:sz w:val="20"/>
          <w:szCs w:val="20"/>
          <w:lang w:val="uz-Cyrl-UZ"/>
        </w:rPr>
        <w:t>Assessment of the Influence of Voltage and Current Non-Sinusoidality on the Quality of Operation of Electrical Networks.</w:t>
      </w:r>
      <w:r w:rsidR="009E72CA" w:rsidRPr="0026495B">
        <w:rPr>
          <w:rFonts w:ascii="Times New Roman" w:hAnsi="Times New Roman" w:cs="Times New Roman"/>
          <w:sz w:val="20"/>
          <w:szCs w:val="20"/>
          <w:lang w:val="en-US"/>
        </w:rPr>
        <w:t xml:space="preserve"> </w:t>
      </w:r>
      <w:r w:rsidR="009E72CA" w:rsidRPr="0026495B">
        <w:rPr>
          <w:rFonts w:ascii="Times New Roman" w:hAnsi="Times New Roman" w:cs="Times New Roman"/>
          <w:sz w:val="20"/>
          <w:szCs w:val="20"/>
          <w:lang w:val="uz-Cyrl-UZ"/>
        </w:rPr>
        <w:t>International Scientific and Technical Conference Actual Problems of Power Supply Systems // Proceedings. – Nukus, Berdakh Karakalpak State University, 2024, pp. 144–148.</w:t>
      </w:r>
    </w:p>
    <w:p w14:paraId="34297140" w14:textId="5C2B72DC" w:rsidR="00EA4264" w:rsidRPr="0026495B" w:rsidRDefault="00F65D62" w:rsidP="0026495B">
      <w:pPr>
        <w:pStyle w:val="20"/>
        <w:tabs>
          <w:tab w:val="left" w:pos="658"/>
        </w:tabs>
        <w:spacing w:line="240" w:lineRule="auto"/>
        <w:jc w:val="both"/>
        <w:rPr>
          <w:color w:val="000000"/>
          <w:sz w:val="20"/>
          <w:szCs w:val="20"/>
          <w:lang w:val="uz-Cyrl-UZ"/>
        </w:rPr>
      </w:pPr>
      <w:r w:rsidRPr="0026495B">
        <w:rPr>
          <w:color w:val="000000"/>
          <w:sz w:val="20"/>
          <w:szCs w:val="20"/>
          <w:lang w:val="uz-Cyrl-UZ"/>
        </w:rPr>
        <w:t>4</w:t>
      </w:r>
      <w:r w:rsidR="009E72CA" w:rsidRPr="0026495B">
        <w:rPr>
          <w:color w:val="000000"/>
          <w:sz w:val="20"/>
          <w:szCs w:val="20"/>
          <w:lang w:val="uz-Cyrl-UZ"/>
        </w:rPr>
        <w:t>Kharchenko, V.N.</w:t>
      </w:r>
      <w:r w:rsidR="009E72CA" w:rsidRPr="0026495B">
        <w:rPr>
          <w:color w:val="000000"/>
          <w:sz w:val="20"/>
          <w:szCs w:val="20"/>
          <w:lang w:val="en-US"/>
        </w:rPr>
        <w:t xml:space="preserve"> </w:t>
      </w:r>
      <w:r w:rsidR="009E72CA" w:rsidRPr="0026495B">
        <w:rPr>
          <w:color w:val="000000"/>
          <w:sz w:val="20"/>
          <w:szCs w:val="20"/>
          <w:lang w:val="uz-Cyrl-UZ"/>
        </w:rPr>
        <w:t>Electrical Installations of Individual Residential Buildings: Handbook.</w:t>
      </w:r>
      <w:r w:rsidR="009E72CA" w:rsidRPr="0026495B">
        <w:rPr>
          <w:color w:val="000000"/>
          <w:sz w:val="20"/>
          <w:szCs w:val="20"/>
          <w:lang w:val="en-US"/>
        </w:rPr>
        <w:t xml:space="preserve"> </w:t>
      </w:r>
      <w:r w:rsidR="009E72CA" w:rsidRPr="0026495B">
        <w:rPr>
          <w:color w:val="000000"/>
          <w:sz w:val="20"/>
          <w:szCs w:val="20"/>
          <w:lang w:val="uz-Cyrl-UZ"/>
        </w:rPr>
        <w:t>/ V.N. Kharchenko. — Moscow: JSC “Energoservis”, 2004. — 496 p.</w:t>
      </w:r>
    </w:p>
    <w:p w14:paraId="34EA800A" w14:textId="23C93304" w:rsidR="00EA4264" w:rsidRPr="0026495B" w:rsidRDefault="00F65D62" w:rsidP="0026495B">
      <w:pPr>
        <w:pStyle w:val="20"/>
        <w:tabs>
          <w:tab w:val="left" w:pos="663"/>
        </w:tabs>
        <w:spacing w:line="240" w:lineRule="auto"/>
        <w:jc w:val="both"/>
        <w:rPr>
          <w:color w:val="000000"/>
          <w:sz w:val="20"/>
          <w:szCs w:val="20"/>
          <w:lang w:val="en-US"/>
        </w:rPr>
      </w:pPr>
      <w:bookmarkStart w:id="3" w:name="bookmark2"/>
      <w:bookmarkEnd w:id="3"/>
      <w:r w:rsidRPr="0026495B">
        <w:rPr>
          <w:color w:val="000000"/>
          <w:sz w:val="20"/>
          <w:szCs w:val="20"/>
          <w:lang w:val="uz-Cyrl-UZ"/>
        </w:rPr>
        <w:t>5</w:t>
      </w:r>
      <w:r w:rsidR="00EA4264" w:rsidRPr="0026495B">
        <w:rPr>
          <w:color w:val="000000"/>
          <w:sz w:val="20"/>
          <w:szCs w:val="20"/>
          <w:lang w:val="en-US"/>
        </w:rPr>
        <w:t xml:space="preserve">. </w:t>
      </w:r>
      <w:r w:rsidR="009E72CA" w:rsidRPr="0026495B">
        <w:rPr>
          <w:color w:val="000000"/>
          <w:sz w:val="20"/>
          <w:szCs w:val="20"/>
          <w:lang w:val="en-US"/>
        </w:rPr>
        <w:t>GOST 13109-97. Electrical Energy. Electromagnetic Compatibility of Technical Equipment. Power Quality Standards in General-Purpose Power Supply Systems.</w:t>
      </w:r>
    </w:p>
    <w:p w14:paraId="64F0D553" w14:textId="3F78FD9B" w:rsidR="00F65D62" w:rsidRPr="0026495B" w:rsidRDefault="00F65D62" w:rsidP="0026495B">
      <w:pPr>
        <w:spacing w:after="0" w:line="240" w:lineRule="auto"/>
        <w:jc w:val="both"/>
        <w:rPr>
          <w:rFonts w:ascii="Times New Roman" w:hAnsi="Times New Roman" w:cs="Times New Roman"/>
          <w:sz w:val="20"/>
          <w:szCs w:val="20"/>
          <w:lang w:val="en-US"/>
        </w:rPr>
      </w:pPr>
      <w:r w:rsidRPr="0026495B">
        <w:rPr>
          <w:rFonts w:ascii="Times New Roman" w:hAnsi="Times New Roman" w:cs="Times New Roman"/>
          <w:color w:val="000000"/>
          <w:sz w:val="20"/>
          <w:szCs w:val="20"/>
          <w:lang w:val="uz-Cyrl-UZ"/>
        </w:rPr>
        <w:t>6</w:t>
      </w:r>
      <w:r w:rsidR="00EA4264" w:rsidRPr="0026495B">
        <w:rPr>
          <w:rFonts w:ascii="Times New Roman" w:hAnsi="Times New Roman" w:cs="Times New Roman"/>
          <w:color w:val="000000"/>
          <w:sz w:val="20"/>
          <w:szCs w:val="20"/>
          <w:lang w:val="en-US"/>
        </w:rPr>
        <w:t>.</w:t>
      </w:r>
      <w:r w:rsidRPr="0026495B">
        <w:rPr>
          <w:rFonts w:ascii="Times New Roman" w:hAnsi="Times New Roman" w:cs="Times New Roman"/>
          <w:sz w:val="20"/>
          <w:szCs w:val="20"/>
          <w:lang w:val="en-US"/>
        </w:rPr>
        <w:t xml:space="preserve"> </w:t>
      </w:r>
      <w:r w:rsidR="009E72CA" w:rsidRPr="0026495B">
        <w:rPr>
          <w:rFonts w:ascii="Times New Roman" w:hAnsi="Times New Roman" w:cs="Times New Roman"/>
          <w:sz w:val="20"/>
          <w:szCs w:val="20"/>
          <w:lang w:val="en-US"/>
        </w:rPr>
        <w:t>Deokar, Sanjay A., Waghmare, Laxman M. Analysis of Distribution Transformer Performance under Non-Linear Balanced Load Conditions and Its Remedial Measures. International Journal of Technology and Advanced Engineering, Vol. 1, Issue 2, December 2011, pp. 152–161.</w:t>
      </w:r>
      <w:r w:rsidR="009957F3" w:rsidRPr="0026495B">
        <w:rPr>
          <w:rFonts w:ascii="Times New Roman" w:hAnsi="Times New Roman" w:cs="Times New Roman"/>
          <w:sz w:val="20"/>
          <w:szCs w:val="20"/>
          <w:lang w:val="en-US"/>
        </w:rPr>
        <w:t xml:space="preserve"> </w:t>
      </w:r>
    </w:p>
    <w:p w14:paraId="3B710C1D" w14:textId="24C4909C" w:rsidR="00F65D62" w:rsidRPr="0026495B" w:rsidRDefault="00F65D62" w:rsidP="0026495B">
      <w:pPr>
        <w:spacing w:after="0" w:line="240" w:lineRule="auto"/>
        <w:contextualSpacing/>
        <w:jc w:val="both"/>
        <w:rPr>
          <w:rFonts w:ascii="Times New Roman" w:hAnsi="Times New Roman" w:cs="Times New Roman"/>
          <w:sz w:val="20"/>
          <w:szCs w:val="20"/>
          <w:lang w:val="en-US"/>
        </w:rPr>
      </w:pPr>
      <w:bookmarkStart w:id="4" w:name="bookmark4"/>
      <w:bookmarkEnd w:id="4"/>
      <w:r w:rsidRPr="0026495B">
        <w:rPr>
          <w:rFonts w:ascii="Times New Roman" w:hAnsi="Times New Roman" w:cs="Times New Roman"/>
          <w:color w:val="000000"/>
          <w:sz w:val="20"/>
          <w:szCs w:val="20"/>
          <w:lang w:val="uz-Cyrl-UZ"/>
        </w:rPr>
        <w:t>7</w:t>
      </w:r>
      <w:r w:rsidR="00EA4264" w:rsidRPr="0026495B">
        <w:rPr>
          <w:rFonts w:ascii="Times New Roman" w:hAnsi="Times New Roman" w:cs="Times New Roman"/>
          <w:color w:val="000000"/>
          <w:sz w:val="20"/>
          <w:szCs w:val="20"/>
          <w:lang w:val="en-US"/>
        </w:rPr>
        <w:t>.</w:t>
      </w:r>
      <w:r w:rsidRPr="0026495B">
        <w:rPr>
          <w:rFonts w:ascii="Times New Roman" w:hAnsi="Times New Roman" w:cs="Times New Roman"/>
          <w:color w:val="000000"/>
          <w:sz w:val="20"/>
          <w:szCs w:val="20"/>
          <w:lang w:val="uz-Cyrl-UZ"/>
        </w:rPr>
        <w:t xml:space="preserve"> </w:t>
      </w:r>
      <w:r w:rsidR="006139CC" w:rsidRPr="0026495B">
        <w:rPr>
          <w:rFonts w:ascii="Times New Roman" w:hAnsi="Times New Roman" w:cs="Times New Roman"/>
          <w:sz w:val="20"/>
          <w:szCs w:val="20"/>
          <w:lang w:val="en-US"/>
        </w:rPr>
        <w:t>Filatov D.A., Terentyev P.V. Electric Power Quality and Electromagnetic Compatibility in Agricultural Power Engineering: (Textbook).Nizhny Novgorod State Agricultural Academy, 2017. — 116 p.</w:t>
      </w:r>
      <w:r w:rsidR="009957F3" w:rsidRPr="0026495B">
        <w:rPr>
          <w:rFonts w:ascii="Times New Roman" w:hAnsi="Times New Roman" w:cs="Times New Roman"/>
          <w:sz w:val="20"/>
          <w:szCs w:val="20"/>
          <w:lang w:val="en-US"/>
        </w:rPr>
        <w:t xml:space="preserve">. </w:t>
      </w:r>
    </w:p>
    <w:p w14:paraId="67F8CF52" w14:textId="0C57232A" w:rsidR="00EA4264" w:rsidRPr="0026495B" w:rsidRDefault="00F65D62" w:rsidP="0026495B">
      <w:pPr>
        <w:pStyle w:val="20"/>
        <w:tabs>
          <w:tab w:val="left" w:pos="567"/>
        </w:tabs>
        <w:spacing w:line="240" w:lineRule="auto"/>
        <w:jc w:val="both"/>
        <w:rPr>
          <w:color w:val="000000"/>
          <w:sz w:val="20"/>
          <w:szCs w:val="20"/>
          <w:lang w:val="en-US"/>
        </w:rPr>
      </w:pPr>
      <w:bookmarkStart w:id="5" w:name="bookmark5"/>
      <w:bookmarkEnd w:id="5"/>
      <w:r w:rsidRPr="0026495B">
        <w:rPr>
          <w:color w:val="000000"/>
          <w:sz w:val="20"/>
          <w:szCs w:val="20"/>
          <w:lang w:val="uz-Cyrl-UZ"/>
        </w:rPr>
        <w:t>8</w:t>
      </w:r>
      <w:r w:rsidR="00EA4264" w:rsidRPr="0026495B">
        <w:rPr>
          <w:color w:val="000000"/>
          <w:sz w:val="20"/>
          <w:szCs w:val="20"/>
          <w:lang w:val="en-US"/>
        </w:rPr>
        <w:t xml:space="preserve">. </w:t>
      </w:r>
      <w:r w:rsidR="006139CC" w:rsidRPr="0026495B">
        <w:rPr>
          <w:color w:val="000000"/>
          <w:sz w:val="20"/>
          <w:szCs w:val="20"/>
          <w:lang w:val="en-US"/>
        </w:rPr>
        <w:t>Kartashev, I.I. Electric Power Quality in Municipal Networks of the Moscow Region. / I.I. Kartashev, I.S. Ponomarenko et al. // Industrial Power Engineering. — 2003. — No. 5. — pp. 43–45.</w:t>
      </w:r>
      <w:r w:rsidR="009957F3" w:rsidRPr="0026495B">
        <w:rPr>
          <w:color w:val="000000"/>
          <w:sz w:val="20"/>
          <w:szCs w:val="20"/>
          <w:lang w:val="en-US"/>
        </w:rPr>
        <w:t>.</w:t>
      </w:r>
    </w:p>
    <w:p w14:paraId="4F366012" w14:textId="35C560E0" w:rsidR="00EA4264" w:rsidRPr="0026495B" w:rsidRDefault="00F65D62" w:rsidP="0026495B">
      <w:pPr>
        <w:pStyle w:val="20"/>
        <w:tabs>
          <w:tab w:val="left" w:pos="658"/>
        </w:tabs>
        <w:spacing w:line="240" w:lineRule="auto"/>
        <w:jc w:val="both"/>
        <w:rPr>
          <w:color w:val="0070C0"/>
          <w:sz w:val="20"/>
          <w:szCs w:val="20"/>
          <w:lang w:val="en-US"/>
        </w:rPr>
      </w:pPr>
      <w:bookmarkStart w:id="6" w:name="bookmark6"/>
      <w:bookmarkEnd w:id="6"/>
      <w:r w:rsidRPr="0026495B">
        <w:rPr>
          <w:color w:val="000000"/>
          <w:sz w:val="20"/>
          <w:szCs w:val="20"/>
          <w:lang w:val="uz-Cyrl-UZ"/>
        </w:rPr>
        <w:t>9</w:t>
      </w:r>
      <w:r w:rsidR="00EA4264" w:rsidRPr="0026495B">
        <w:rPr>
          <w:color w:val="000000"/>
          <w:sz w:val="20"/>
          <w:szCs w:val="20"/>
          <w:lang w:val="en-US"/>
        </w:rPr>
        <w:t xml:space="preserve">. </w:t>
      </w:r>
      <w:r w:rsidR="009957F3" w:rsidRPr="0026495B">
        <w:rPr>
          <w:sz w:val="20"/>
          <w:szCs w:val="20"/>
          <w:lang w:val="en-US"/>
        </w:rPr>
        <w:t xml:space="preserve">Raximov, F., Taslimov, A., Majidov, A., &amp; Norqulov, A. (2024). Optimization of losses by switching to higher voltage in distribution networks. In E3S Web of Conferences (Vol. 525, p. 03009). EDP Sciences. </w:t>
      </w:r>
      <w:r w:rsidR="009957F3" w:rsidRPr="0026495B">
        <w:rPr>
          <w:color w:val="0070C0"/>
          <w:sz w:val="20"/>
          <w:szCs w:val="20"/>
          <w:lang w:val="en-US"/>
        </w:rPr>
        <w:t>https://doi.org/10.1051/e3sconf/202452503009</w:t>
      </w:r>
    </w:p>
    <w:p w14:paraId="74105FDD" w14:textId="1A6EACF1" w:rsidR="00EA4264" w:rsidRPr="0026495B" w:rsidRDefault="00F65D62" w:rsidP="0026495B">
      <w:pPr>
        <w:pStyle w:val="20"/>
        <w:tabs>
          <w:tab w:val="left" w:pos="663"/>
        </w:tabs>
        <w:spacing w:line="240" w:lineRule="auto"/>
        <w:jc w:val="both"/>
        <w:rPr>
          <w:color w:val="000000"/>
          <w:sz w:val="20"/>
          <w:szCs w:val="20"/>
          <w:lang w:val="en-US"/>
        </w:rPr>
      </w:pPr>
      <w:bookmarkStart w:id="7" w:name="bookmark7"/>
      <w:bookmarkEnd w:id="7"/>
      <w:r w:rsidRPr="0026495B">
        <w:rPr>
          <w:color w:val="000000"/>
          <w:sz w:val="20"/>
          <w:szCs w:val="20"/>
          <w:lang w:val="uz-Cyrl-UZ"/>
        </w:rPr>
        <w:t>10</w:t>
      </w:r>
      <w:r w:rsidR="00EA4264" w:rsidRPr="0026495B">
        <w:rPr>
          <w:color w:val="000000"/>
          <w:sz w:val="20"/>
          <w:szCs w:val="20"/>
          <w:lang w:val="en-US"/>
        </w:rPr>
        <w:t xml:space="preserve">. </w:t>
      </w:r>
      <w:r w:rsidR="006139CC" w:rsidRPr="0026495B">
        <w:rPr>
          <w:color w:val="000000"/>
          <w:sz w:val="20"/>
          <w:szCs w:val="20"/>
          <w:lang w:val="en-US"/>
        </w:rPr>
        <w:t>Yezhelenko, I.V. Higher Harmonics in Power Supply Systems of Industrial Enterprises. /I.V. Yezhelenko. — Moscow: Energoatomizdat, 2000. — 331 p.</w:t>
      </w:r>
    </w:p>
    <w:p w14:paraId="5903A1FF" w14:textId="2FF3F3DE" w:rsidR="00897825" w:rsidRPr="0026495B" w:rsidRDefault="008C12D9" w:rsidP="0026495B">
      <w:pPr>
        <w:pStyle w:val="20"/>
        <w:tabs>
          <w:tab w:val="left" w:pos="663"/>
        </w:tabs>
        <w:spacing w:line="240" w:lineRule="auto"/>
        <w:jc w:val="both"/>
        <w:rPr>
          <w:sz w:val="20"/>
          <w:szCs w:val="20"/>
          <w:lang w:val="uz-Cyrl-UZ"/>
        </w:rPr>
      </w:pPr>
      <w:r w:rsidRPr="0026495B">
        <w:rPr>
          <w:color w:val="000000"/>
          <w:sz w:val="20"/>
          <w:szCs w:val="20"/>
          <w:lang w:val="uz-Cyrl-UZ"/>
        </w:rPr>
        <w:t xml:space="preserve">11. </w:t>
      </w:r>
      <w:r w:rsidR="009957F3" w:rsidRPr="0026495B">
        <w:rPr>
          <w:sz w:val="20"/>
          <w:szCs w:val="20"/>
          <w:lang w:val="en-US"/>
        </w:rPr>
        <w:t xml:space="preserve">Taslimov A., Rakhimov F., Rakhimov F. Economic interval analysis of loads for selection of cross-section surfaces of electrical transmission lines //E3S Web of Conferences. – EDP Sciences, 2023. – T. 384. – S. 01037. </w:t>
      </w:r>
      <w:r w:rsidR="009957F3" w:rsidRPr="0026495B">
        <w:rPr>
          <w:color w:val="0070C0"/>
          <w:sz w:val="20"/>
          <w:szCs w:val="20"/>
          <w:lang w:val="en-US"/>
        </w:rPr>
        <w:lastRenderedPageBreak/>
        <w:t>https://doi.org/10.1051/e3sconf/202338401037 12</w:t>
      </w:r>
      <w:r w:rsidR="00897825" w:rsidRPr="0026495B">
        <w:rPr>
          <w:color w:val="0070C0"/>
          <w:sz w:val="20"/>
          <w:szCs w:val="20"/>
          <w:lang w:val="uz-Cyrl-UZ"/>
        </w:rPr>
        <w:t>.</w:t>
      </w:r>
    </w:p>
    <w:p w14:paraId="0F43AC9D" w14:textId="057CEE09" w:rsidR="009957F3" w:rsidRPr="0026495B" w:rsidRDefault="00897825" w:rsidP="0026495B">
      <w:pPr>
        <w:pStyle w:val="ab"/>
        <w:tabs>
          <w:tab w:val="left" w:pos="284"/>
          <w:tab w:val="left" w:pos="993"/>
        </w:tabs>
        <w:spacing w:after="0" w:line="240" w:lineRule="auto"/>
        <w:ind w:left="0"/>
        <w:jc w:val="both"/>
        <w:rPr>
          <w:rFonts w:ascii="Times New Roman" w:eastAsia="Times New Roman" w:hAnsi="Times New Roman" w:cs="Times New Roman"/>
          <w:sz w:val="20"/>
          <w:szCs w:val="20"/>
          <w:shd w:val="clear" w:color="auto" w:fill="FFFFFF"/>
        </w:rPr>
      </w:pPr>
      <w:r w:rsidRPr="0026495B">
        <w:rPr>
          <w:rFonts w:ascii="Times New Roman" w:hAnsi="Times New Roman" w:cs="Times New Roman"/>
          <w:sz w:val="20"/>
          <w:szCs w:val="20"/>
          <w:lang w:val="uz-Cyrl-UZ"/>
        </w:rPr>
        <w:t xml:space="preserve">12.  </w:t>
      </w:r>
      <w:r w:rsidR="009957F3" w:rsidRPr="0026495B">
        <w:rPr>
          <w:rFonts w:ascii="Times New Roman" w:eastAsia="Times New Roman" w:hAnsi="Times New Roman" w:cs="Times New Roman"/>
          <w:sz w:val="20"/>
          <w:szCs w:val="20"/>
          <w:shd w:val="clear" w:color="auto" w:fill="FFFFFF"/>
        </w:rPr>
        <w:t xml:space="preserve">A.D. Taslimov. Impact of climate change on electrical energy </w:t>
      </w:r>
      <w:r w:rsidR="006139CC" w:rsidRPr="0026495B">
        <w:rPr>
          <w:rFonts w:ascii="Times New Roman" w:eastAsia="Times New Roman" w:hAnsi="Times New Roman" w:cs="Times New Roman"/>
          <w:sz w:val="20"/>
          <w:szCs w:val="20"/>
          <w:shd w:val="clear" w:color="auto" w:fill="FFFFFF"/>
        </w:rPr>
        <w:t xml:space="preserve">losses in electrical networks. </w:t>
      </w:r>
      <w:r w:rsidR="009957F3" w:rsidRPr="0026495B">
        <w:rPr>
          <w:rFonts w:ascii="Times New Roman" w:eastAsia="Times New Roman" w:hAnsi="Times New Roman" w:cs="Times New Roman"/>
          <w:sz w:val="20"/>
          <w:szCs w:val="20"/>
          <w:shd w:val="clear" w:color="auto" w:fill="FFFFFF"/>
        </w:rPr>
        <w:t xml:space="preserve">E3S Web of Conf. Volume 384, 2023 </w:t>
      </w:r>
      <w:hyperlink r:id="rId16" w:history="1">
        <w:r w:rsidR="00AB4DBA" w:rsidRPr="0026495B">
          <w:rPr>
            <w:rStyle w:val="ad"/>
            <w:rFonts w:ascii="Times New Roman" w:eastAsia="Times New Roman" w:hAnsi="Times New Roman" w:cs="Times New Roman"/>
            <w:sz w:val="20"/>
            <w:szCs w:val="20"/>
            <w:shd w:val="clear" w:color="auto" w:fill="FFFFFF"/>
          </w:rPr>
          <w:t>https://doi.org/10.1051/e3sconf/202338401036</w:t>
        </w:r>
      </w:hyperlink>
      <w:r w:rsidR="009957F3" w:rsidRPr="0026495B">
        <w:rPr>
          <w:rFonts w:ascii="Times New Roman" w:eastAsia="Times New Roman" w:hAnsi="Times New Roman" w:cs="Times New Roman"/>
          <w:sz w:val="20"/>
          <w:szCs w:val="20"/>
          <w:shd w:val="clear" w:color="auto" w:fill="FFFFFF"/>
        </w:rPr>
        <w:t>.</w:t>
      </w:r>
    </w:p>
    <w:p w14:paraId="3D68F6D5" w14:textId="77777777" w:rsidR="008A4D7C" w:rsidRPr="0026495B" w:rsidRDefault="00AB4DBA" w:rsidP="0026495B">
      <w:pPr>
        <w:spacing w:after="0" w:line="240" w:lineRule="auto"/>
        <w:jc w:val="both"/>
        <w:rPr>
          <w:rFonts w:ascii="Times New Roman" w:hAnsi="Times New Roman" w:cs="Times New Roman"/>
          <w:sz w:val="20"/>
          <w:szCs w:val="20"/>
          <w:lang w:val="en-US"/>
        </w:rPr>
      </w:pPr>
      <w:r w:rsidRPr="0026495B">
        <w:rPr>
          <w:rFonts w:ascii="Times New Roman" w:eastAsia="Times New Roman" w:hAnsi="Times New Roman" w:cs="Times New Roman"/>
          <w:sz w:val="20"/>
          <w:szCs w:val="20"/>
          <w:shd w:val="clear" w:color="auto" w:fill="FFFFFF"/>
          <w:lang w:val="en-US"/>
        </w:rPr>
        <w:t>13.</w:t>
      </w:r>
      <w:r w:rsidR="008A4D7C" w:rsidRPr="0026495B">
        <w:rPr>
          <w:rFonts w:ascii="Times New Roman" w:eastAsia="Times New Roman" w:hAnsi="Times New Roman" w:cs="Times New Roman"/>
          <w:sz w:val="20"/>
          <w:szCs w:val="20"/>
          <w:shd w:val="clear" w:color="auto" w:fill="FFFFFF"/>
          <w:lang w:val="en-US"/>
        </w:rPr>
        <w:t xml:space="preserve"> </w:t>
      </w:r>
      <w:r w:rsidR="008A4D7C" w:rsidRPr="0026495B">
        <w:rPr>
          <w:rFonts w:ascii="Times New Roman" w:hAnsi="Times New Roman" w:cs="Times New Roman"/>
          <w:sz w:val="20"/>
          <w:szCs w:val="20"/>
          <w:lang w:val="en-US"/>
        </w:rPr>
        <w:t xml:space="preserve">Abdurakhim Taslimov, Feruz Raximov, Farrukh Rakhimov, Iles Bakhadirov // Optimal Parameters and Selection Criteria for Neutral Grounding Resistors in 20 kV Electrical Networks // V International Scientific and Technical Conference “Actual Issues of Power Supply Systems” AIP Conf. Proc. 3331, 030048-1–030048-7; </w:t>
      </w:r>
      <w:hyperlink r:id="rId17" w:history="1">
        <w:r w:rsidR="008A4D7C" w:rsidRPr="0026495B">
          <w:rPr>
            <w:rStyle w:val="ad"/>
            <w:rFonts w:ascii="Times New Roman" w:hAnsi="Times New Roman" w:cs="Times New Roman"/>
            <w:sz w:val="20"/>
            <w:szCs w:val="20"/>
            <w:lang w:val="en-US"/>
          </w:rPr>
          <w:t>https://doi.org/10.1063/5.0306108</w:t>
        </w:r>
      </w:hyperlink>
      <w:r w:rsidR="008A4D7C" w:rsidRPr="0026495B">
        <w:rPr>
          <w:rFonts w:ascii="Times New Roman" w:hAnsi="Times New Roman" w:cs="Times New Roman"/>
          <w:sz w:val="20"/>
          <w:szCs w:val="20"/>
          <w:lang w:val="en-US"/>
        </w:rPr>
        <w:t>.</w:t>
      </w:r>
    </w:p>
    <w:p w14:paraId="3B46C3EF" w14:textId="6A5CBD5B" w:rsidR="005B7AD0" w:rsidRPr="0026495B" w:rsidRDefault="008A4D7C" w:rsidP="0026495B">
      <w:pPr>
        <w:spacing w:after="0" w:line="240" w:lineRule="auto"/>
        <w:jc w:val="both"/>
        <w:rPr>
          <w:rFonts w:ascii="Times New Roman" w:hAnsi="Times New Roman" w:cs="Times New Roman"/>
          <w:sz w:val="20"/>
          <w:szCs w:val="20"/>
          <w:lang w:val="en-US"/>
        </w:rPr>
      </w:pPr>
      <w:r w:rsidRPr="0026495B">
        <w:rPr>
          <w:rFonts w:ascii="Times New Roman" w:hAnsi="Times New Roman" w:cs="Times New Roman"/>
          <w:sz w:val="20"/>
          <w:szCs w:val="20"/>
          <w:lang w:val="en-US"/>
        </w:rPr>
        <w:t xml:space="preserve">14. Abdurakhim Taslimov, Farrukh Rakhimov, Feruz Rakhimov, Vaxobiddin Moʻminov. Analysis of the results of sampling the surfaces of sections of rural electric networks// IV International Scientific and Technical Conference “Actual Issues of Power Supply Systems” AIP Conf. </w:t>
      </w:r>
      <w:r w:rsidRPr="0026495B">
        <w:rPr>
          <w:rFonts w:ascii="Times New Roman" w:hAnsi="Times New Roman" w:cs="Times New Roman"/>
          <w:sz w:val="20"/>
          <w:szCs w:val="20"/>
        </w:rPr>
        <w:t xml:space="preserve">Proc. 3331, 030041-1–030041-6; </w:t>
      </w:r>
      <w:hyperlink r:id="rId18" w:history="1">
        <w:r w:rsidRPr="0026495B">
          <w:rPr>
            <w:rStyle w:val="ad"/>
            <w:rFonts w:ascii="Times New Roman" w:hAnsi="Times New Roman" w:cs="Times New Roman"/>
            <w:sz w:val="20"/>
            <w:szCs w:val="20"/>
          </w:rPr>
          <w:t>https://doi.org/10.1063/5.0305783</w:t>
        </w:r>
      </w:hyperlink>
      <w:r w:rsidRPr="0026495B">
        <w:rPr>
          <w:rFonts w:ascii="Times New Roman" w:hAnsi="Times New Roman" w:cs="Times New Roman"/>
          <w:sz w:val="20"/>
          <w:szCs w:val="20"/>
        </w:rPr>
        <w:t>.</w:t>
      </w:r>
    </w:p>
    <w:sectPr w:rsidR="005B7AD0" w:rsidRPr="0026495B" w:rsidSect="00A4165F">
      <w:pgSz w:w="12242" w:h="15842" w:code="1"/>
      <w:pgMar w:top="1440"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AC8A86" w14:textId="77777777" w:rsidR="00DD72D3" w:rsidRDefault="00DD72D3" w:rsidP="00E23126">
      <w:pPr>
        <w:spacing w:after="0" w:line="240" w:lineRule="auto"/>
      </w:pPr>
      <w:r>
        <w:separator/>
      </w:r>
    </w:p>
  </w:endnote>
  <w:endnote w:type="continuationSeparator" w:id="0">
    <w:p w14:paraId="54173CF0" w14:textId="77777777" w:rsidR="00DD72D3" w:rsidRDefault="00DD72D3" w:rsidP="00E23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509D6F" w14:textId="77777777" w:rsidR="00DD72D3" w:rsidRDefault="00DD72D3" w:rsidP="00E23126">
      <w:pPr>
        <w:spacing w:after="0" w:line="240" w:lineRule="auto"/>
      </w:pPr>
      <w:r>
        <w:separator/>
      </w:r>
    </w:p>
  </w:footnote>
  <w:footnote w:type="continuationSeparator" w:id="0">
    <w:p w14:paraId="41ACC83E" w14:textId="77777777" w:rsidR="00DD72D3" w:rsidRDefault="00DD72D3" w:rsidP="00E231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E4A77"/>
    <w:multiLevelType w:val="hybridMultilevel"/>
    <w:tmpl w:val="F1282A6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15:restartNumberingAfterBreak="0">
    <w:nsid w:val="3D354A04"/>
    <w:multiLevelType w:val="hybridMultilevel"/>
    <w:tmpl w:val="C652DB9A"/>
    <w:lvl w:ilvl="0" w:tplc="5C208B68">
      <w:start w:val="1"/>
      <w:numFmt w:val="decimal"/>
      <w:lvlText w:val="%1."/>
      <w:lvlJc w:val="left"/>
      <w:pPr>
        <w:ind w:left="9"/>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DEEA62CC">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32D61A">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BCB24A">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88D19C">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C0A66C">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481896">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5E972A">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20E688">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E062101"/>
    <w:multiLevelType w:val="multilevel"/>
    <w:tmpl w:val="BF325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DDE3BE5"/>
    <w:multiLevelType w:val="multilevel"/>
    <w:tmpl w:val="1DC09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17B4902"/>
    <w:multiLevelType w:val="hybridMultilevel"/>
    <w:tmpl w:val="3A867990"/>
    <w:lvl w:ilvl="0" w:tplc="26AABEF0">
      <w:start w:val="1"/>
      <w:numFmt w:val="decimal"/>
      <w:lvlText w:val="%1."/>
      <w:lvlJc w:val="left"/>
      <w:pPr>
        <w:ind w:left="360" w:hanging="360"/>
      </w:pPr>
      <w:rPr>
        <w:rFonts w:hint="default"/>
        <w:color w:val="auto"/>
        <w:lang w:val="uz-Cyrl-UZ"/>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511"/>
    <w:rsid w:val="000066D8"/>
    <w:rsid w:val="000102A6"/>
    <w:rsid w:val="00017BCC"/>
    <w:rsid w:val="00031C14"/>
    <w:rsid w:val="00040078"/>
    <w:rsid w:val="00047055"/>
    <w:rsid w:val="000A2A5C"/>
    <w:rsid w:val="000B5D0B"/>
    <w:rsid w:val="000E6B39"/>
    <w:rsid w:val="001114B7"/>
    <w:rsid w:val="0012006B"/>
    <w:rsid w:val="001252C1"/>
    <w:rsid w:val="001259EF"/>
    <w:rsid w:val="001770DC"/>
    <w:rsid w:val="001B74FD"/>
    <w:rsid w:val="001C113B"/>
    <w:rsid w:val="001D361C"/>
    <w:rsid w:val="002124BC"/>
    <w:rsid w:val="00230329"/>
    <w:rsid w:val="002374B4"/>
    <w:rsid w:val="00260685"/>
    <w:rsid w:val="0026495B"/>
    <w:rsid w:val="00277D55"/>
    <w:rsid w:val="002965B0"/>
    <w:rsid w:val="002C2EC8"/>
    <w:rsid w:val="002C4785"/>
    <w:rsid w:val="00304AE3"/>
    <w:rsid w:val="00321208"/>
    <w:rsid w:val="00343599"/>
    <w:rsid w:val="00360CF8"/>
    <w:rsid w:val="00372456"/>
    <w:rsid w:val="003C5DC2"/>
    <w:rsid w:val="003D7D6F"/>
    <w:rsid w:val="003D7DFB"/>
    <w:rsid w:val="0041122D"/>
    <w:rsid w:val="004150BC"/>
    <w:rsid w:val="004233DD"/>
    <w:rsid w:val="00423C04"/>
    <w:rsid w:val="0045437D"/>
    <w:rsid w:val="00485964"/>
    <w:rsid w:val="00494705"/>
    <w:rsid w:val="00495A69"/>
    <w:rsid w:val="004A0C4D"/>
    <w:rsid w:val="004A3D83"/>
    <w:rsid w:val="004B7C41"/>
    <w:rsid w:val="004D41DB"/>
    <w:rsid w:val="004F05D8"/>
    <w:rsid w:val="005164B8"/>
    <w:rsid w:val="00590AB9"/>
    <w:rsid w:val="005A105A"/>
    <w:rsid w:val="005B7AD0"/>
    <w:rsid w:val="005C125D"/>
    <w:rsid w:val="005C53CA"/>
    <w:rsid w:val="005D0FC0"/>
    <w:rsid w:val="005D4185"/>
    <w:rsid w:val="005F317D"/>
    <w:rsid w:val="005F6144"/>
    <w:rsid w:val="006139CC"/>
    <w:rsid w:val="0067167D"/>
    <w:rsid w:val="006B0B1B"/>
    <w:rsid w:val="006D5A18"/>
    <w:rsid w:val="006E22A1"/>
    <w:rsid w:val="007013E6"/>
    <w:rsid w:val="00731ECA"/>
    <w:rsid w:val="0073495D"/>
    <w:rsid w:val="007363F1"/>
    <w:rsid w:val="00762CC5"/>
    <w:rsid w:val="0076444F"/>
    <w:rsid w:val="00773C37"/>
    <w:rsid w:val="007C2D7D"/>
    <w:rsid w:val="007D01B8"/>
    <w:rsid w:val="007D782D"/>
    <w:rsid w:val="007F555A"/>
    <w:rsid w:val="0081116F"/>
    <w:rsid w:val="00812C9E"/>
    <w:rsid w:val="00851473"/>
    <w:rsid w:val="0085443F"/>
    <w:rsid w:val="00855989"/>
    <w:rsid w:val="008679D5"/>
    <w:rsid w:val="008720B0"/>
    <w:rsid w:val="0088296D"/>
    <w:rsid w:val="00882B98"/>
    <w:rsid w:val="0089269E"/>
    <w:rsid w:val="00897825"/>
    <w:rsid w:val="008A0F6F"/>
    <w:rsid w:val="008A4D7C"/>
    <w:rsid w:val="008B5F96"/>
    <w:rsid w:val="008C12D9"/>
    <w:rsid w:val="008C70CD"/>
    <w:rsid w:val="00915B30"/>
    <w:rsid w:val="009457B7"/>
    <w:rsid w:val="00960928"/>
    <w:rsid w:val="00963069"/>
    <w:rsid w:val="0096771C"/>
    <w:rsid w:val="00990894"/>
    <w:rsid w:val="009957F3"/>
    <w:rsid w:val="009A5BC1"/>
    <w:rsid w:val="009D7F1B"/>
    <w:rsid w:val="009E22C4"/>
    <w:rsid w:val="009E4586"/>
    <w:rsid w:val="009E72CA"/>
    <w:rsid w:val="00A03F4E"/>
    <w:rsid w:val="00A05D0F"/>
    <w:rsid w:val="00A13E24"/>
    <w:rsid w:val="00A207D3"/>
    <w:rsid w:val="00A27ACB"/>
    <w:rsid w:val="00A3417D"/>
    <w:rsid w:val="00A4165F"/>
    <w:rsid w:val="00A70103"/>
    <w:rsid w:val="00A741A4"/>
    <w:rsid w:val="00A86889"/>
    <w:rsid w:val="00AA3A2D"/>
    <w:rsid w:val="00AB4DBA"/>
    <w:rsid w:val="00AB6BF6"/>
    <w:rsid w:val="00AC13EA"/>
    <w:rsid w:val="00AD1806"/>
    <w:rsid w:val="00AF0A91"/>
    <w:rsid w:val="00B1648C"/>
    <w:rsid w:val="00B30511"/>
    <w:rsid w:val="00B556D8"/>
    <w:rsid w:val="00B744A3"/>
    <w:rsid w:val="00B83742"/>
    <w:rsid w:val="00BA3280"/>
    <w:rsid w:val="00BC1CF6"/>
    <w:rsid w:val="00BC35D8"/>
    <w:rsid w:val="00BE21AD"/>
    <w:rsid w:val="00BF7EEE"/>
    <w:rsid w:val="00C04CAE"/>
    <w:rsid w:val="00C96FBD"/>
    <w:rsid w:val="00D4204F"/>
    <w:rsid w:val="00D5380F"/>
    <w:rsid w:val="00DA3E65"/>
    <w:rsid w:val="00DB1CD9"/>
    <w:rsid w:val="00DD72D3"/>
    <w:rsid w:val="00DF2DF7"/>
    <w:rsid w:val="00E000EB"/>
    <w:rsid w:val="00E13006"/>
    <w:rsid w:val="00E23126"/>
    <w:rsid w:val="00E36D96"/>
    <w:rsid w:val="00E46A43"/>
    <w:rsid w:val="00E56DF7"/>
    <w:rsid w:val="00E92786"/>
    <w:rsid w:val="00EA4264"/>
    <w:rsid w:val="00EC4623"/>
    <w:rsid w:val="00EF37BD"/>
    <w:rsid w:val="00F50595"/>
    <w:rsid w:val="00F62A08"/>
    <w:rsid w:val="00F65D62"/>
    <w:rsid w:val="00F863A8"/>
    <w:rsid w:val="00F91C3D"/>
    <w:rsid w:val="00F97254"/>
    <w:rsid w:val="00F979F4"/>
    <w:rsid w:val="00FC19C6"/>
    <w:rsid w:val="00FC458F"/>
    <w:rsid w:val="00FC66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41F04F"/>
  <w15:chartTrackingRefBased/>
  <w15:docId w15:val="{14061D3C-3A26-472D-8417-7A7E53DB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9D7F1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A27AC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Основной текст (3)"/>
    <w:basedOn w:val="a"/>
    <w:link w:val="32"/>
    <w:rsid w:val="00B30511"/>
    <w:pPr>
      <w:widowControl w:val="0"/>
      <w:spacing w:after="0" w:line="271" w:lineRule="auto"/>
    </w:pPr>
    <w:rPr>
      <w:rFonts w:ascii="Arial" w:eastAsia="Arial" w:hAnsi="Arial" w:cs="Arial"/>
      <w:b/>
      <w:bCs/>
    </w:rPr>
  </w:style>
  <w:style w:type="character" w:customStyle="1" w:styleId="32">
    <w:name w:val="Основной текст (3)_"/>
    <w:basedOn w:val="a0"/>
    <w:link w:val="31"/>
    <w:rsid w:val="00B30511"/>
    <w:rPr>
      <w:rFonts w:ascii="Arial" w:eastAsia="Arial" w:hAnsi="Arial" w:cs="Arial"/>
      <w:b/>
      <w:bCs/>
    </w:rPr>
  </w:style>
  <w:style w:type="character" w:customStyle="1" w:styleId="a3">
    <w:name w:val="Основной текст_"/>
    <w:basedOn w:val="a0"/>
    <w:link w:val="1"/>
    <w:rsid w:val="00B30511"/>
    <w:rPr>
      <w:rFonts w:ascii="Times New Roman" w:eastAsia="Times New Roman" w:hAnsi="Times New Roman" w:cs="Times New Roman"/>
      <w:sz w:val="20"/>
      <w:szCs w:val="20"/>
    </w:rPr>
  </w:style>
  <w:style w:type="paragraph" w:customStyle="1" w:styleId="1">
    <w:name w:val="Основной текст1"/>
    <w:basedOn w:val="a"/>
    <w:link w:val="a3"/>
    <w:rsid w:val="00B30511"/>
    <w:pPr>
      <w:widowControl w:val="0"/>
      <w:spacing w:after="0" w:line="254" w:lineRule="auto"/>
      <w:ind w:firstLine="400"/>
    </w:pPr>
    <w:rPr>
      <w:rFonts w:ascii="Times New Roman" w:eastAsia="Times New Roman" w:hAnsi="Times New Roman" w:cs="Times New Roman"/>
      <w:sz w:val="20"/>
      <w:szCs w:val="20"/>
    </w:rPr>
  </w:style>
  <w:style w:type="character" w:customStyle="1" w:styleId="2">
    <w:name w:val="Основной текст (2)_"/>
    <w:basedOn w:val="a0"/>
    <w:link w:val="20"/>
    <w:rsid w:val="00B30511"/>
    <w:rPr>
      <w:rFonts w:ascii="Times New Roman" w:eastAsia="Times New Roman" w:hAnsi="Times New Roman" w:cs="Times New Roman"/>
      <w:sz w:val="18"/>
      <w:szCs w:val="18"/>
    </w:rPr>
  </w:style>
  <w:style w:type="paragraph" w:customStyle="1" w:styleId="20">
    <w:name w:val="Основной текст (2)"/>
    <w:basedOn w:val="a"/>
    <w:link w:val="2"/>
    <w:rsid w:val="00B30511"/>
    <w:pPr>
      <w:widowControl w:val="0"/>
      <w:spacing w:after="0" w:line="257" w:lineRule="auto"/>
    </w:pPr>
    <w:rPr>
      <w:rFonts w:ascii="Times New Roman" w:eastAsia="Times New Roman" w:hAnsi="Times New Roman" w:cs="Times New Roman"/>
      <w:sz w:val="18"/>
      <w:szCs w:val="18"/>
    </w:rPr>
  </w:style>
  <w:style w:type="table" w:styleId="a4">
    <w:name w:val="Table Grid"/>
    <w:basedOn w:val="a1"/>
    <w:uiPriority w:val="39"/>
    <w:rsid w:val="00B30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ading-8">
    <w:name w:val="leading-8"/>
    <w:basedOn w:val="a"/>
    <w:rsid w:val="00B305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Placeholder Text"/>
    <w:basedOn w:val="a0"/>
    <w:uiPriority w:val="99"/>
    <w:semiHidden/>
    <w:rsid w:val="00F863A8"/>
    <w:rPr>
      <w:color w:val="808080"/>
    </w:rPr>
  </w:style>
  <w:style w:type="character" w:customStyle="1" w:styleId="a6">
    <w:name w:val="Текст сноски Знак"/>
    <w:aliases w:val="список Знак,Текст сноски Знак1 Знак Знак,Текст сноски Знак Знак Знак Знак,Текст сноски Знак1 Знак Знак Знак Знак,Текст сноски Знак Знак Знак Знак Знак Знак,Знак1 Знак Знак Знак Знак Знак Знак,Знак1 Знак Знак Знак Знак,Знак1 Знак Знак"/>
    <w:basedOn w:val="a0"/>
    <w:link w:val="a7"/>
    <w:uiPriority w:val="99"/>
    <w:semiHidden/>
    <w:locked/>
    <w:rsid w:val="00E23126"/>
    <w:rPr>
      <w:rFonts w:ascii="Calibri" w:eastAsia="Times New Roman" w:hAnsi="Calibri" w:cs="Times New Roman"/>
      <w:sz w:val="20"/>
      <w:szCs w:val="20"/>
      <w:lang w:eastAsia="ru-RU"/>
    </w:rPr>
  </w:style>
  <w:style w:type="paragraph" w:styleId="a7">
    <w:name w:val="footnote text"/>
    <w:aliases w:val="список,Текст сноски Знак1 Знак,Текст сноски Знак Знак Знак,Текст сноски Знак1 Знак Знак Знак,Текст сноски Знак Знак Знак Знак Знак,Знак1 Знак Знак Знак Знак Знак,Знак1 Знак Знак Знак,Знак1 Знак,Знак Знак Зн,Char Знак,Char Char Char Знак"/>
    <w:basedOn w:val="a"/>
    <w:link w:val="a6"/>
    <w:uiPriority w:val="99"/>
    <w:semiHidden/>
    <w:unhideWhenUsed/>
    <w:rsid w:val="00E23126"/>
    <w:pPr>
      <w:spacing w:after="0" w:line="240" w:lineRule="auto"/>
    </w:pPr>
    <w:rPr>
      <w:rFonts w:ascii="Calibri" w:eastAsia="Times New Roman" w:hAnsi="Calibri" w:cs="Times New Roman"/>
      <w:sz w:val="20"/>
      <w:szCs w:val="20"/>
      <w:lang w:eastAsia="ru-RU"/>
    </w:rPr>
  </w:style>
  <w:style w:type="character" w:customStyle="1" w:styleId="10">
    <w:name w:val="Текст сноски Знак1"/>
    <w:basedOn w:val="a0"/>
    <w:uiPriority w:val="99"/>
    <w:semiHidden/>
    <w:rsid w:val="00E23126"/>
    <w:rPr>
      <w:sz w:val="20"/>
      <w:szCs w:val="20"/>
    </w:rPr>
  </w:style>
  <w:style w:type="character" w:styleId="a8">
    <w:name w:val="footnote reference"/>
    <w:aliases w:val="ftref,16 Point,Superscript 6 Point,Знак сноски-FN,Appel note de bas de p,Footnote Reference/"/>
    <w:uiPriority w:val="99"/>
    <w:semiHidden/>
    <w:unhideWhenUsed/>
    <w:rsid w:val="00E23126"/>
    <w:rPr>
      <w:rFonts w:ascii="Times New Roman" w:hAnsi="Times New Roman" w:cs="Times New Roman" w:hint="default"/>
      <w:vertAlign w:val="superscript"/>
    </w:rPr>
  </w:style>
  <w:style w:type="paragraph" w:styleId="a9">
    <w:name w:val="Normal (Web)"/>
    <w:basedOn w:val="a"/>
    <w:uiPriority w:val="99"/>
    <w:unhideWhenUsed/>
    <w:rsid w:val="006716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67167D"/>
    <w:rPr>
      <w:b/>
      <w:bCs/>
    </w:rPr>
  </w:style>
  <w:style w:type="paragraph" w:styleId="ab">
    <w:name w:val="List Paragraph"/>
    <w:aliases w:val="Абзац вправо-1,List Paragraph1"/>
    <w:basedOn w:val="a"/>
    <w:link w:val="ac"/>
    <w:uiPriority w:val="34"/>
    <w:qFormat/>
    <w:rsid w:val="008C12D9"/>
    <w:pPr>
      <w:ind w:left="720"/>
      <w:contextualSpacing/>
    </w:pPr>
    <w:rPr>
      <w:lang w:val="en-US"/>
    </w:rPr>
  </w:style>
  <w:style w:type="character" w:styleId="ad">
    <w:name w:val="Hyperlink"/>
    <w:basedOn w:val="a0"/>
    <w:uiPriority w:val="99"/>
    <w:unhideWhenUsed/>
    <w:rsid w:val="008C12D9"/>
    <w:rPr>
      <w:color w:val="0563C1" w:themeColor="hyperlink"/>
      <w:u w:val="single"/>
    </w:rPr>
  </w:style>
  <w:style w:type="character" w:customStyle="1" w:styleId="ac">
    <w:name w:val="Абзац списка Знак"/>
    <w:aliases w:val="Абзац вправо-1 Знак,List Paragraph1 Знак"/>
    <w:link w:val="ab"/>
    <w:uiPriority w:val="34"/>
    <w:locked/>
    <w:rsid w:val="008C12D9"/>
    <w:rPr>
      <w:lang w:val="en-US"/>
    </w:rPr>
  </w:style>
  <w:style w:type="character" w:customStyle="1" w:styleId="11">
    <w:name w:val="Неразрешенное упоминание1"/>
    <w:basedOn w:val="a0"/>
    <w:uiPriority w:val="99"/>
    <w:semiHidden/>
    <w:unhideWhenUsed/>
    <w:rsid w:val="00897825"/>
    <w:rPr>
      <w:color w:val="605E5C"/>
      <w:shd w:val="clear" w:color="auto" w:fill="E1DFDD"/>
    </w:rPr>
  </w:style>
  <w:style w:type="character" w:customStyle="1" w:styleId="katex-mathml">
    <w:name w:val="katex-mathml"/>
    <w:basedOn w:val="a0"/>
    <w:rsid w:val="009D7F1B"/>
  </w:style>
  <w:style w:type="character" w:customStyle="1" w:styleId="mop">
    <w:name w:val="mop"/>
    <w:basedOn w:val="a0"/>
    <w:rsid w:val="009D7F1B"/>
  </w:style>
  <w:style w:type="character" w:customStyle="1" w:styleId="mord">
    <w:name w:val="mord"/>
    <w:basedOn w:val="a0"/>
    <w:rsid w:val="009D7F1B"/>
  </w:style>
  <w:style w:type="character" w:customStyle="1" w:styleId="vlist-s">
    <w:name w:val="vlist-s"/>
    <w:basedOn w:val="a0"/>
    <w:rsid w:val="009D7F1B"/>
  </w:style>
  <w:style w:type="character" w:styleId="ae">
    <w:name w:val="Emphasis"/>
    <w:basedOn w:val="a0"/>
    <w:uiPriority w:val="20"/>
    <w:qFormat/>
    <w:rsid w:val="009D7F1B"/>
    <w:rPr>
      <w:i/>
      <w:iCs/>
    </w:rPr>
  </w:style>
  <w:style w:type="character" w:customStyle="1" w:styleId="30">
    <w:name w:val="Заголовок 3 Знак"/>
    <w:basedOn w:val="a0"/>
    <w:link w:val="3"/>
    <w:uiPriority w:val="9"/>
    <w:rsid w:val="009D7F1B"/>
    <w:rPr>
      <w:rFonts w:ascii="Times New Roman" w:eastAsia="Times New Roman" w:hAnsi="Times New Roman" w:cs="Times New Roman"/>
      <w:b/>
      <w:bCs/>
      <w:sz w:val="27"/>
      <w:szCs w:val="27"/>
      <w:lang w:eastAsia="ru-RU"/>
    </w:rPr>
  </w:style>
  <w:style w:type="character" w:customStyle="1" w:styleId="mrel">
    <w:name w:val="mrel"/>
    <w:basedOn w:val="a0"/>
    <w:rsid w:val="003C5DC2"/>
  </w:style>
  <w:style w:type="paragraph" w:customStyle="1" w:styleId="AuthorAffiliation">
    <w:name w:val="Author Affiliation"/>
    <w:basedOn w:val="a"/>
    <w:rsid w:val="00A27ACB"/>
    <w:pPr>
      <w:spacing w:after="0" w:line="240" w:lineRule="auto"/>
      <w:jc w:val="center"/>
    </w:pPr>
    <w:rPr>
      <w:rFonts w:ascii="Times New Roman" w:eastAsia="Times New Roman" w:hAnsi="Times New Roman" w:cs="Times New Roman"/>
      <w:i/>
      <w:sz w:val="20"/>
      <w:szCs w:val="20"/>
      <w:lang w:val="en-US"/>
    </w:rPr>
  </w:style>
  <w:style w:type="character" w:customStyle="1" w:styleId="40">
    <w:name w:val="Заголовок 4 Знак"/>
    <w:basedOn w:val="a0"/>
    <w:link w:val="4"/>
    <w:uiPriority w:val="9"/>
    <w:semiHidden/>
    <w:rsid w:val="00A27ACB"/>
    <w:rPr>
      <w:rFonts w:asciiTheme="majorHAnsi" w:eastAsiaTheme="majorEastAsia" w:hAnsiTheme="majorHAnsi" w:cstheme="majorBidi"/>
      <w:i/>
      <w:iCs/>
      <w:color w:val="2E74B5" w:themeColor="accent1" w:themeShade="BF"/>
    </w:rPr>
  </w:style>
  <w:style w:type="character" w:customStyle="1" w:styleId="af">
    <w:name w:val="Подпись к картинке_"/>
    <w:basedOn w:val="a0"/>
    <w:link w:val="af0"/>
    <w:rsid w:val="00A3417D"/>
    <w:rPr>
      <w:rFonts w:ascii="Times New Roman" w:eastAsia="Times New Roman" w:hAnsi="Times New Roman" w:cs="Times New Roman"/>
      <w:b/>
      <w:bCs/>
      <w:sz w:val="18"/>
      <w:szCs w:val="18"/>
    </w:rPr>
  </w:style>
  <w:style w:type="paragraph" w:customStyle="1" w:styleId="af0">
    <w:name w:val="Подпись к картинке"/>
    <w:basedOn w:val="a"/>
    <w:link w:val="af"/>
    <w:rsid w:val="00A3417D"/>
    <w:pPr>
      <w:widowControl w:val="0"/>
      <w:spacing w:after="0" w:line="240" w:lineRule="auto"/>
      <w:jc w:val="center"/>
    </w:pPr>
    <w:rPr>
      <w:rFonts w:ascii="Times New Roman" w:eastAsia="Times New Roman" w:hAnsi="Times New Roman"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875758">
      <w:bodyDiv w:val="1"/>
      <w:marLeft w:val="0"/>
      <w:marRight w:val="0"/>
      <w:marTop w:val="0"/>
      <w:marBottom w:val="0"/>
      <w:divBdr>
        <w:top w:val="none" w:sz="0" w:space="0" w:color="auto"/>
        <w:left w:val="none" w:sz="0" w:space="0" w:color="auto"/>
        <w:bottom w:val="none" w:sz="0" w:space="0" w:color="auto"/>
        <w:right w:val="none" w:sz="0" w:space="0" w:color="auto"/>
      </w:divBdr>
    </w:div>
    <w:div w:id="371464335">
      <w:bodyDiv w:val="1"/>
      <w:marLeft w:val="0"/>
      <w:marRight w:val="0"/>
      <w:marTop w:val="0"/>
      <w:marBottom w:val="0"/>
      <w:divBdr>
        <w:top w:val="none" w:sz="0" w:space="0" w:color="auto"/>
        <w:left w:val="none" w:sz="0" w:space="0" w:color="auto"/>
        <w:bottom w:val="none" w:sz="0" w:space="0" w:color="auto"/>
        <w:right w:val="none" w:sz="0" w:space="0" w:color="auto"/>
      </w:divBdr>
    </w:div>
    <w:div w:id="455831596">
      <w:bodyDiv w:val="1"/>
      <w:marLeft w:val="0"/>
      <w:marRight w:val="0"/>
      <w:marTop w:val="0"/>
      <w:marBottom w:val="0"/>
      <w:divBdr>
        <w:top w:val="none" w:sz="0" w:space="0" w:color="auto"/>
        <w:left w:val="none" w:sz="0" w:space="0" w:color="auto"/>
        <w:bottom w:val="none" w:sz="0" w:space="0" w:color="auto"/>
        <w:right w:val="none" w:sz="0" w:space="0" w:color="auto"/>
      </w:divBdr>
    </w:div>
    <w:div w:id="458883589">
      <w:bodyDiv w:val="1"/>
      <w:marLeft w:val="0"/>
      <w:marRight w:val="0"/>
      <w:marTop w:val="0"/>
      <w:marBottom w:val="0"/>
      <w:divBdr>
        <w:top w:val="none" w:sz="0" w:space="0" w:color="auto"/>
        <w:left w:val="none" w:sz="0" w:space="0" w:color="auto"/>
        <w:bottom w:val="none" w:sz="0" w:space="0" w:color="auto"/>
        <w:right w:val="none" w:sz="0" w:space="0" w:color="auto"/>
      </w:divBdr>
    </w:div>
    <w:div w:id="598292962">
      <w:bodyDiv w:val="1"/>
      <w:marLeft w:val="0"/>
      <w:marRight w:val="0"/>
      <w:marTop w:val="0"/>
      <w:marBottom w:val="0"/>
      <w:divBdr>
        <w:top w:val="none" w:sz="0" w:space="0" w:color="auto"/>
        <w:left w:val="none" w:sz="0" w:space="0" w:color="auto"/>
        <w:bottom w:val="none" w:sz="0" w:space="0" w:color="auto"/>
        <w:right w:val="none" w:sz="0" w:space="0" w:color="auto"/>
      </w:divBdr>
    </w:div>
    <w:div w:id="601495338">
      <w:bodyDiv w:val="1"/>
      <w:marLeft w:val="0"/>
      <w:marRight w:val="0"/>
      <w:marTop w:val="0"/>
      <w:marBottom w:val="0"/>
      <w:divBdr>
        <w:top w:val="none" w:sz="0" w:space="0" w:color="auto"/>
        <w:left w:val="none" w:sz="0" w:space="0" w:color="auto"/>
        <w:bottom w:val="none" w:sz="0" w:space="0" w:color="auto"/>
        <w:right w:val="none" w:sz="0" w:space="0" w:color="auto"/>
      </w:divBdr>
    </w:div>
    <w:div w:id="738674568">
      <w:bodyDiv w:val="1"/>
      <w:marLeft w:val="0"/>
      <w:marRight w:val="0"/>
      <w:marTop w:val="0"/>
      <w:marBottom w:val="0"/>
      <w:divBdr>
        <w:top w:val="none" w:sz="0" w:space="0" w:color="auto"/>
        <w:left w:val="none" w:sz="0" w:space="0" w:color="auto"/>
        <w:bottom w:val="none" w:sz="0" w:space="0" w:color="auto"/>
        <w:right w:val="none" w:sz="0" w:space="0" w:color="auto"/>
      </w:divBdr>
    </w:div>
    <w:div w:id="768739960">
      <w:bodyDiv w:val="1"/>
      <w:marLeft w:val="0"/>
      <w:marRight w:val="0"/>
      <w:marTop w:val="0"/>
      <w:marBottom w:val="0"/>
      <w:divBdr>
        <w:top w:val="none" w:sz="0" w:space="0" w:color="auto"/>
        <w:left w:val="none" w:sz="0" w:space="0" w:color="auto"/>
        <w:bottom w:val="none" w:sz="0" w:space="0" w:color="auto"/>
        <w:right w:val="none" w:sz="0" w:space="0" w:color="auto"/>
      </w:divBdr>
    </w:div>
    <w:div w:id="887032099">
      <w:bodyDiv w:val="1"/>
      <w:marLeft w:val="0"/>
      <w:marRight w:val="0"/>
      <w:marTop w:val="0"/>
      <w:marBottom w:val="0"/>
      <w:divBdr>
        <w:top w:val="none" w:sz="0" w:space="0" w:color="auto"/>
        <w:left w:val="none" w:sz="0" w:space="0" w:color="auto"/>
        <w:bottom w:val="none" w:sz="0" w:space="0" w:color="auto"/>
        <w:right w:val="none" w:sz="0" w:space="0" w:color="auto"/>
      </w:divBdr>
    </w:div>
    <w:div w:id="931205480">
      <w:bodyDiv w:val="1"/>
      <w:marLeft w:val="0"/>
      <w:marRight w:val="0"/>
      <w:marTop w:val="0"/>
      <w:marBottom w:val="0"/>
      <w:divBdr>
        <w:top w:val="none" w:sz="0" w:space="0" w:color="auto"/>
        <w:left w:val="none" w:sz="0" w:space="0" w:color="auto"/>
        <w:bottom w:val="none" w:sz="0" w:space="0" w:color="auto"/>
        <w:right w:val="none" w:sz="0" w:space="0" w:color="auto"/>
      </w:divBdr>
    </w:div>
    <w:div w:id="1058935548">
      <w:bodyDiv w:val="1"/>
      <w:marLeft w:val="0"/>
      <w:marRight w:val="0"/>
      <w:marTop w:val="0"/>
      <w:marBottom w:val="0"/>
      <w:divBdr>
        <w:top w:val="none" w:sz="0" w:space="0" w:color="auto"/>
        <w:left w:val="none" w:sz="0" w:space="0" w:color="auto"/>
        <w:bottom w:val="none" w:sz="0" w:space="0" w:color="auto"/>
        <w:right w:val="none" w:sz="0" w:space="0" w:color="auto"/>
      </w:divBdr>
    </w:div>
    <w:div w:id="1140269951">
      <w:bodyDiv w:val="1"/>
      <w:marLeft w:val="0"/>
      <w:marRight w:val="0"/>
      <w:marTop w:val="0"/>
      <w:marBottom w:val="0"/>
      <w:divBdr>
        <w:top w:val="none" w:sz="0" w:space="0" w:color="auto"/>
        <w:left w:val="none" w:sz="0" w:space="0" w:color="auto"/>
        <w:bottom w:val="none" w:sz="0" w:space="0" w:color="auto"/>
        <w:right w:val="none" w:sz="0" w:space="0" w:color="auto"/>
      </w:divBdr>
    </w:div>
    <w:div w:id="1366709216">
      <w:bodyDiv w:val="1"/>
      <w:marLeft w:val="0"/>
      <w:marRight w:val="0"/>
      <w:marTop w:val="0"/>
      <w:marBottom w:val="0"/>
      <w:divBdr>
        <w:top w:val="none" w:sz="0" w:space="0" w:color="auto"/>
        <w:left w:val="none" w:sz="0" w:space="0" w:color="auto"/>
        <w:bottom w:val="none" w:sz="0" w:space="0" w:color="auto"/>
        <w:right w:val="none" w:sz="0" w:space="0" w:color="auto"/>
      </w:divBdr>
    </w:div>
    <w:div w:id="1422025242">
      <w:bodyDiv w:val="1"/>
      <w:marLeft w:val="0"/>
      <w:marRight w:val="0"/>
      <w:marTop w:val="0"/>
      <w:marBottom w:val="0"/>
      <w:divBdr>
        <w:top w:val="none" w:sz="0" w:space="0" w:color="auto"/>
        <w:left w:val="none" w:sz="0" w:space="0" w:color="auto"/>
        <w:bottom w:val="none" w:sz="0" w:space="0" w:color="auto"/>
        <w:right w:val="none" w:sz="0" w:space="0" w:color="auto"/>
      </w:divBdr>
    </w:div>
    <w:div w:id="1488743571">
      <w:bodyDiv w:val="1"/>
      <w:marLeft w:val="0"/>
      <w:marRight w:val="0"/>
      <w:marTop w:val="0"/>
      <w:marBottom w:val="0"/>
      <w:divBdr>
        <w:top w:val="none" w:sz="0" w:space="0" w:color="auto"/>
        <w:left w:val="none" w:sz="0" w:space="0" w:color="auto"/>
        <w:bottom w:val="none" w:sz="0" w:space="0" w:color="auto"/>
        <w:right w:val="none" w:sz="0" w:space="0" w:color="auto"/>
      </w:divBdr>
    </w:div>
    <w:div w:id="1502626041">
      <w:bodyDiv w:val="1"/>
      <w:marLeft w:val="0"/>
      <w:marRight w:val="0"/>
      <w:marTop w:val="0"/>
      <w:marBottom w:val="0"/>
      <w:divBdr>
        <w:top w:val="none" w:sz="0" w:space="0" w:color="auto"/>
        <w:left w:val="none" w:sz="0" w:space="0" w:color="auto"/>
        <w:bottom w:val="none" w:sz="0" w:space="0" w:color="auto"/>
        <w:right w:val="none" w:sz="0" w:space="0" w:color="auto"/>
      </w:divBdr>
    </w:div>
    <w:div w:id="1823698989">
      <w:bodyDiv w:val="1"/>
      <w:marLeft w:val="0"/>
      <w:marRight w:val="0"/>
      <w:marTop w:val="0"/>
      <w:marBottom w:val="0"/>
      <w:divBdr>
        <w:top w:val="none" w:sz="0" w:space="0" w:color="auto"/>
        <w:left w:val="none" w:sz="0" w:space="0" w:color="auto"/>
        <w:bottom w:val="none" w:sz="0" w:space="0" w:color="auto"/>
        <w:right w:val="none" w:sz="0" w:space="0" w:color="auto"/>
      </w:divBdr>
    </w:div>
    <w:div w:id="2073690997">
      <w:bodyDiv w:val="1"/>
      <w:marLeft w:val="0"/>
      <w:marRight w:val="0"/>
      <w:marTop w:val="0"/>
      <w:marBottom w:val="0"/>
      <w:divBdr>
        <w:top w:val="none" w:sz="0" w:space="0" w:color="auto"/>
        <w:left w:val="none" w:sz="0" w:space="0" w:color="auto"/>
        <w:bottom w:val="none" w:sz="0" w:space="0" w:color="auto"/>
        <w:right w:val="none" w:sz="0" w:space="0" w:color="auto"/>
      </w:divBdr>
    </w:div>
    <w:div w:id="208425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063/5.030578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63/5.0306108" TargetMode="External"/><Relationship Id="rId2" Type="http://schemas.openxmlformats.org/officeDocument/2006/relationships/numbering" Target="numbering.xml"/><Relationship Id="rId16" Type="http://schemas.openxmlformats.org/officeDocument/2006/relationships/hyperlink" Target="https://doi.org/10.1051/e3sconf/20233840103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196C2-7267-4BED-B976-32CD00341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1</Pages>
  <Words>2730</Words>
  <Characters>15563</Characters>
  <Application>Microsoft Office Word</Application>
  <DocSecurity>0</DocSecurity>
  <Lines>129</Lines>
  <Paragraphs>36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No'monjon Niyozov</cp:lastModifiedBy>
  <cp:revision>52</cp:revision>
  <dcterms:created xsi:type="dcterms:W3CDTF">2025-11-21T12:06:00Z</dcterms:created>
  <dcterms:modified xsi:type="dcterms:W3CDTF">2025-12-28T17:49:00Z</dcterms:modified>
</cp:coreProperties>
</file>