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FAFB" w14:textId="72DD010D" w:rsidR="00E1448F" w:rsidRPr="007B083E" w:rsidRDefault="00427962" w:rsidP="00BF0ACA">
      <w:pPr>
        <w:spacing w:before="1200" w:after="200"/>
        <w:ind w:firstLine="567"/>
        <w:jc w:val="center"/>
        <w:rPr>
          <w:b/>
          <w:bCs/>
          <w:sz w:val="36"/>
          <w:szCs w:val="36"/>
          <w:lang w:val="en-US"/>
        </w:rPr>
      </w:pPr>
      <w:r w:rsidRPr="007B083E">
        <w:rPr>
          <w:b/>
          <w:bCs/>
          <w:sz w:val="36"/>
          <w:szCs w:val="36"/>
          <w:lang w:val="en-US"/>
        </w:rPr>
        <w:t>Results of motor oil quality indicator evaluation during operation of mining dump trucks</w:t>
      </w:r>
    </w:p>
    <w:p w14:paraId="4577B9D7" w14:textId="33386645" w:rsidR="008F7CA5" w:rsidRPr="007B083E" w:rsidRDefault="00580C94" w:rsidP="0019574A">
      <w:pPr>
        <w:spacing w:after="200"/>
        <w:jc w:val="center"/>
        <w:rPr>
          <w:sz w:val="28"/>
          <w:szCs w:val="28"/>
          <w:lang w:val="en-US"/>
        </w:rPr>
      </w:pPr>
      <w:r w:rsidRPr="007B083E">
        <w:rPr>
          <w:bCs/>
          <w:sz w:val="28"/>
          <w:szCs w:val="28"/>
          <w:lang w:val="en-US"/>
        </w:rPr>
        <w:t xml:space="preserve">Zebo </w:t>
      </w:r>
      <w:r w:rsidR="008F7CA5" w:rsidRPr="007B083E">
        <w:rPr>
          <w:bCs/>
          <w:sz w:val="28"/>
          <w:szCs w:val="28"/>
          <w:lang w:val="en-US"/>
        </w:rPr>
        <w:t xml:space="preserve">Alimova </w:t>
      </w:r>
      <w:r w:rsidR="008F7CA5" w:rsidRPr="007B083E">
        <w:rPr>
          <w:bCs/>
          <w:sz w:val="28"/>
          <w:szCs w:val="28"/>
          <w:vertAlign w:val="superscript"/>
          <w:lang w:val="en-US"/>
        </w:rPr>
        <w:t>1</w:t>
      </w:r>
      <w:r w:rsidR="00203F93" w:rsidRPr="007B083E">
        <w:rPr>
          <w:bCs/>
          <w:sz w:val="28"/>
          <w:szCs w:val="28"/>
          <w:vertAlign w:val="superscript"/>
          <w:lang w:val="en-US"/>
        </w:rPr>
        <w:t>,a)</w:t>
      </w:r>
      <w:r w:rsidR="008F7CA5" w:rsidRPr="007B083E">
        <w:rPr>
          <w:sz w:val="28"/>
          <w:szCs w:val="28"/>
          <w:lang w:val="en-US"/>
        </w:rPr>
        <w:t xml:space="preserve">, </w:t>
      </w:r>
      <w:r w:rsidRPr="007B083E">
        <w:rPr>
          <w:sz w:val="28"/>
          <w:szCs w:val="28"/>
          <w:lang w:val="en-US"/>
        </w:rPr>
        <w:t xml:space="preserve">Nashir </w:t>
      </w:r>
      <w:r w:rsidR="00E1448F" w:rsidRPr="007B083E">
        <w:rPr>
          <w:sz w:val="28"/>
          <w:szCs w:val="28"/>
          <w:lang w:val="en-US"/>
        </w:rPr>
        <w:t xml:space="preserve">Umirov </w:t>
      </w:r>
      <w:r w:rsidR="00E1448F" w:rsidRPr="007B083E">
        <w:rPr>
          <w:sz w:val="28"/>
          <w:szCs w:val="28"/>
          <w:vertAlign w:val="superscript"/>
          <w:lang w:val="en-US"/>
        </w:rPr>
        <w:t>2</w:t>
      </w:r>
      <w:r w:rsidR="00E1448F" w:rsidRPr="007B083E">
        <w:rPr>
          <w:sz w:val="28"/>
          <w:szCs w:val="28"/>
          <w:lang w:val="en-US"/>
        </w:rPr>
        <w:t xml:space="preserve">, </w:t>
      </w:r>
      <w:r w:rsidRPr="007B083E">
        <w:rPr>
          <w:sz w:val="28"/>
          <w:szCs w:val="28"/>
          <w:lang w:val="en-US"/>
        </w:rPr>
        <w:t xml:space="preserve">Ergashxon </w:t>
      </w:r>
      <w:r w:rsidR="00E1448F" w:rsidRPr="007B083E">
        <w:rPr>
          <w:sz w:val="28"/>
          <w:szCs w:val="28"/>
          <w:lang w:val="en-US"/>
        </w:rPr>
        <w:t xml:space="preserve">Ganiboyeva </w:t>
      </w:r>
      <w:r w:rsidR="00E1448F" w:rsidRPr="007B083E">
        <w:rPr>
          <w:sz w:val="28"/>
          <w:szCs w:val="28"/>
          <w:vertAlign w:val="superscript"/>
          <w:lang w:val="en-US"/>
        </w:rPr>
        <w:t>2</w:t>
      </w:r>
      <w:r w:rsidR="00E1448F" w:rsidRPr="007B083E">
        <w:rPr>
          <w:sz w:val="28"/>
          <w:szCs w:val="28"/>
          <w:lang w:val="en-US"/>
        </w:rPr>
        <w:t xml:space="preserve">, </w:t>
      </w:r>
      <w:r w:rsidR="006F575F">
        <w:rPr>
          <w:sz w:val="28"/>
          <w:szCs w:val="28"/>
          <w:lang w:val="uz-Cyrl-UZ"/>
        </w:rPr>
        <w:t xml:space="preserve">                                  </w:t>
      </w:r>
      <w:r w:rsidRPr="007B083E">
        <w:rPr>
          <w:rFonts w:eastAsia="Calibri"/>
          <w:sz w:val="28"/>
          <w:szCs w:val="28"/>
          <w:lang w:val="uz-Cyrl-UZ"/>
        </w:rPr>
        <w:t xml:space="preserve">Rustam </w:t>
      </w:r>
      <w:r w:rsidR="00935E2E" w:rsidRPr="007B083E">
        <w:rPr>
          <w:rFonts w:eastAsia="Calibri"/>
          <w:sz w:val="28"/>
          <w:szCs w:val="28"/>
          <w:lang w:val="uz-Cyrl-UZ"/>
        </w:rPr>
        <w:t xml:space="preserve">Khudaykulov </w:t>
      </w:r>
      <w:r w:rsidR="00935E2E" w:rsidRPr="007B083E">
        <w:rPr>
          <w:sz w:val="28"/>
          <w:szCs w:val="28"/>
          <w:vertAlign w:val="superscript"/>
          <w:lang w:val="en-US"/>
        </w:rPr>
        <w:t>2</w:t>
      </w:r>
      <w:r w:rsidR="00935E2E" w:rsidRPr="007B083E">
        <w:rPr>
          <w:sz w:val="28"/>
          <w:szCs w:val="28"/>
          <w:lang w:val="en-US"/>
        </w:rPr>
        <w:t xml:space="preserve">, </w:t>
      </w:r>
      <w:r w:rsidRPr="007B083E">
        <w:rPr>
          <w:sz w:val="28"/>
          <w:szCs w:val="28"/>
          <w:lang w:val="en-US"/>
        </w:rPr>
        <w:t xml:space="preserve">Alisher </w:t>
      </w:r>
      <w:r w:rsidR="00E1448F" w:rsidRPr="007B083E">
        <w:rPr>
          <w:sz w:val="28"/>
          <w:szCs w:val="28"/>
          <w:lang w:val="en-US"/>
        </w:rPr>
        <w:t xml:space="preserve">Sharipov </w:t>
      </w:r>
      <w:r w:rsidR="00E1448F" w:rsidRPr="007B083E">
        <w:rPr>
          <w:sz w:val="28"/>
          <w:szCs w:val="28"/>
          <w:vertAlign w:val="superscript"/>
          <w:lang w:val="en-US"/>
        </w:rPr>
        <w:t>3</w:t>
      </w:r>
    </w:p>
    <w:p w14:paraId="6D014F9D" w14:textId="17347C71" w:rsidR="00525735" w:rsidRPr="007B083E" w:rsidRDefault="00525735" w:rsidP="00D53BB8">
      <w:pPr>
        <w:pStyle w:val="Addresses"/>
        <w:spacing w:after="0" w:line="276" w:lineRule="auto"/>
        <w:ind w:left="0"/>
        <w:jc w:val="center"/>
        <w:rPr>
          <w:rFonts w:ascii="Times New Roman" w:hAnsi="Times New Roman"/>
          <w:i/>
          <w:sz w:val="20"/>
          <w:szCs w:val="20"/>
          <w:lang w:val="en-US"/>
        </w:rPr>
      </w:pPr>
      <w:r w:rsidRPr="007B083E">
        <w:rPr>
          <w:rFonts w:ascii="Times New Roman" w:hAnsi="Times New Roman"/>
          <w:i/>
          <w:sz w:val="20"/>
          <w:szCs w:val="20"/>
          <w:vertAlign w:val="superscript"/>
          <w:lang w:val="en-US"/>
        </w:rPr>
        <w:t>1</w:t>
      </w:r>
      <w:r w:rsidR="00E1448F" w:rsidRPr="007B083E">
        <w:rPr>
          <w:rFonts w:ascii="Times New Roman" w:hAnsi="Times New Roman"/>
          <w:i/>
          <w:sz w:val="20"/>
          <w:szCs w:val="20"/>
          <w:vertAlign w:val="superscript"/>
          <w:lang w:val="en-US"/>
        </w:rPr>
        <w:t xml:space="preserve"> </w:t>
      </w:r>
      <w:r w:rsidRPr="007B083E">
        <w:rPr>
          <w:rFonts w:ascii="Times New Roman" w:hAnsi="Times New Roman"/>
          <w:i/>
          <w:sz w:val="20"/>
          <w:szCs w:val="20"/>
          <w:lang w:val="en-US"/>
        </w:rPr>
        <w:t xml:space="preserve">Tashkent State Transport University, </w:t>
      </w:r>
      <w:r w:rsidR="00AF0DB3" w:rsidRPr="007B083E">
        <w:rPr>
          <w:rFonts w:ascii="Times New Roman" w:hAnsi="Times New Roman"/>
          <w:i/>
          <w:sz w:val="20"/>
          <w:szCs w:val="20"/>
          <w:lang w:val="en-US"/>
        </w:rPr>
        <w:t xml:space="preserve">Tashkent, </w:t>
      </w:r>
      <w:r w:rsidRPr="007B083E">
        <w:rPr>
          <w:rFonts w:ascii="Times New Roman" w:hAnsi="Times New Roman"/>
          <w:i/>
          <w:sz w:val="20"/>
          <w:szCs w:val="20"/>
          <w:lang w:val="en-US"/>
        </w:rPr>
        <w:t>Uzbekistan</w:t>
      </w:r>
    </w:p>
    <w:p w14:paraId="5ABE5E28" w14:textId="7A6B6D15" w:rsidR="00E1448F" w:rsidRPr="007B083E" w:rsidRDefault="00E1448F" w:rsidP="00D53BB8">
      <w:pPr>
        <w:jc w:val="center"/>
        <w:rPr>
          <w:i/>
          <w:sz w:val="20"/>
          <w:szCs w:val="20"/>
          <w:lang w:val="en-US"/>
        </w:rPr>
      </w:pPr>
      <w:r w:rsidRPr="007B083E">
        <w:rPr>
          <w:i/>
          <w:sz w:val="20"/>
          <w:szCs w:val="20"/>
          <w:vertAlign w:val="superscript"/>
          <w:lang w:val="en-US"/>
        </w:rPr>
        <w:t xml:space="preserve">2 </w:t>
      </w:r>
      <w:r w:rsidRPr="007B083E">
        <w:rPr>
          <w:i/>
          <w:sz w:val="20"/>
          <w:szCs w:val="20"/>
          <w:lang w:val="en-US"/>
        </w:rPr>
        <w:t>“Tashkent Institute of Irrigation and Agricultural Mechanization Engineers” National Research University, Tashkent, Uzbekistan</w:t>
      </w:r>
    </w:p>
    <w:p w14:paraId="5E58488A" w14:textId="6FFE8D63" w:rsidR="00E1448F" w:rsidRPr="007B083E" w:rsidRDefault="00E1448F" w:rsidP="00D53BB8">
      <w:pPr>
        <w:jc w:val="center"/>
        <w:rPr>
          <w:i/>
          <w:sz w:val="20"/>
          <w:szCs w:val="20"/>
          <w:lang w:val="en-US" w:eastAsia="en-US"/>
        </w:rPr>
      </w:pPr>
      <w:r w:rsidRPr="007B083E">
        <w:rPr>
          <w:i/>
          <w:iCs/>
          <w:sz w:val="20"/>
          <w:szCs w:val="20"/>
          <w:vertAlign w:val="superscript"/>
          <w:lang w:val="en-US"/>
        </w:rPr>
        <w:t xml:space="preserve">3 </w:t>
      </w:r>
      <w:r w:rsidRPr="007B083E">
        <w:rPr>
          <w:i/>
          <w:iCs/>
          <w:sz w:val="20"/>
          <w:szCs w:val="20"/>
          <w:lang w:val="en-US"/>
        </w:rPr>
        <w:t>Turin Polytechnic university in Tashkent,</w:t>
      </w:r>
      <w:r w:rsidRPr="007B083E">
        <w:rPr>
          <w:i/>
          <w:iCs/>
          <w:sz w:val="22"/>
          <w:szCs w:val="22"/>
          <w:lang w:val="en-US"/>
        </w:rPr>
        <w:t xml:space="preserve"> </w:t>
      </w:r>
      <w:r w:rsidR="002358A5" w:rsidRPr="007B083E">
        <w:rPr>
          <w:i/>
          <w:iCs/>
          <w:sz w:val="20"/>
          <w:szCs w:val="20"/>
          <w:lang w:val="en-US"/>
        </w:rPr>
        <w:t xml:space="preserve">Tashkent, </w:t>
      </w:r>
      <w:r w:rsidRPr="007B083E">
        <w:rPr>
          <w:i/>
          <w:sz w:val="20"/>
          <w:szCs w:val="20"/>
          <w:lang w:val="en-US"/>
        </w:rPr>
        <w:t>Uzbekistan</w:t>
      </w:r>
    </w:p>
    <w:p w14:paraId="53E4A085" w14:textId="7DDC6E24" w:rsidR="00AE4C87" w:rsidRPr="007B083E" w:rsidRDefault="00203F93" w:rsidP="0019574A">
      <w:pPr>
        <w:spacing w:before="200" w:after="200"/>
        <w:jc w:val="center"/>
        <w:rPr>
          <w:i/>
          <w:color w:val="0000FF"/>
          <w:sz w:val="20"/>
          <w:szCs w:val="20"/>
          <w:u w:val="single"/>
          <w:lang w:val="uz-Cyrl-UZ"/>
        </w:rPr>
      </w:pPr>
      <w:r w:rsidRPr="007B083E">
        <w:rPr>
          <w:i/>
          <w:color w:val="000000"/>
          <w:sz w:val="20"/>
          <w:szCs w:val="20"/>
          <w:vertAlign w:val="superscript"/>
          <w:lang w:val="uz-Cyrl-UZ"/>
        </w:rPr>
        <w:t>a)</w:t>
      </w:r>
      <w:r w:rsidRPr="007B083E">
        <w:rPr>
          <w:i/>
          <w:color w:val="000000"/>
          <w:sz w:val="20"/>
          <w:szCs w:val="20"/>
          <w:lang w:val="uz-Cyrl-UZ"/>
        </w:rPr>
        <w:t>Corresponding author:</w:t>
      </w:r>
      <w:r w:rsidRPr="007B083E">
        <w:rPr>
          <w:i/>
          <w:color w:val="000000"/>
          <w:sz w:val="20"/>
          <w:szCs w:val="20"/>
          <w:lang w:val="en-US"/>
        </w:rPr>
        <w:t xml:space="preserve"> </w:t>
      </w:r>
      <w:hyperlink r:id="rId5" w:history="1">
        <w:r w:rsidR="00525735" w:rsidRPr="007B083E">
          <w:rPr>
            <w:rStyle w:val="a5"/>
            <w:i/>
            <w:sz w:val="20"/>
            <w:szCs w:val="20"/>
            <w:lang w:val="uz-Cyrl-UZ"/>
          </w:rPr>
          <w:t>zeboalimova7841@mail.ru</w:t>
        </w:r>
      </w:hyperlink>
    </w:p>
    <w:p w14:paraId="72E582C6" w14:textId="55970FFF" w:rsidR="00A46103" w:rsidRPr="007B083E" w:rsidRDefault="00A46103" w:rsidP="00BF0ACA">
      <w:pPr>
        <w:pStyle w:val="FR4"/>
        <w:shd w:val="clear" w:color="auto" w:fill="FFFFFF"/>
        <w:spacing w:before="360" w:after="360" w:line="240" w:lineRule="auto"/>
        <w:ind w:left="284" w:right="284" w:firstLine="0"/>
        <w:jc w:val="both"/>
        <w:rPr>
          <w:rFonts w:ascii="Times New Roman" w:hAnsi="Times New Roman" w:cs="Times New Roman"/>
          <w:bCs/>
          <w:i/>
          <w:sz w:val="18"/>
          <w:szCs w:val="18"/>
          <w:lang w:val="en-US"/>
        </w:rPr>
      </w:pPr>
      <w:r w:rsidRPr="007B083E">
        <w:rPr>
          <w:rFonts w:ascii="Times New Roman" w:hAnsi="Times New Roman" w:cs="Times New Roman"/>
          <w:b/>
          <w:sz w:val="18"/>
          <w:szCs w:val="18"/>
          <w:lang w:val="en-US"/>
        </w:rPr>
        <w:t>Abstract</w:t>
      </w:r>
      <w:r w:rsidRPr="007B083E">
        <w:rPr>
          <w:rFonts w:ascii="Times New Roman" w:hAnsi="Times New Roman" w:cs="Times New Roman"/>
          <w:bCs/>
          <w:sz w:val="18"/>
          <w:szCs w:val="18"/>
          <w:lang w:val="en-US"/>
        </w:rPr>
        <w:t>: The primary objective of this study is to investigate the operational characteristics of motor oils used in the engines of mining and transportation equipment. Experimental research was conducted on the performance of SAE 15W-40 motor oil employed in QSK-60 diesel engines operating under heavy-duty conditions. BELAZ-75310 and BELAZ-75307 mining dump trucks are designed for transporting loosened rock mass along technological roads in open-pit mining operations under various climatic conditions. The study focused on key physicochemical properties of the oil—such as viscosity, total base number, and flash point—which directly affect its operational performance.</w:t>
      </w:r>
      <w:r w:rsidR="007B083E">
        <w:rPr>
          <w:rFonts w:ascii="Times New Roman" w:hAnsi="Times New Roman" w:cs="Times New Roman"/>
          <w:bCs/>
          <w:sz w:val="18"/>
          <w:szCs w:val="18"/>
          <w:lang w:val="en-US"/>
        </w:rPr>
        <w:t xml:space="preserve"> </w:t>
      </w:r>
      <w:r w:rsidRPr="007B083E">
        <w:rPr>
          <w:rFonts w:ascii="Times New Roman" w:hAnsi="Times New Roman" w:cs="Times New Roman"/>
          <w:bCs/>
          <w:sz w:val="18"/>
          <w:szCs w:val="18"/>
          <w:lang w:val="en-US"/>
        </w:rPr>
        <w:t>To determine the characteristics of used oil, spectral analysis was carried out. Laboratory physicochemical and spectral analyses were performed according to standardized methodologies. The results revealed that the used oil primarily contains wear products, with specific elements indicating the wear of corresponding engine components: aluminum (Al) reflects piston wear, chromium (Cr) indicates wear of chromium-coated piston rings, iron (Fe) corresponds to cylinder liner wear, and lead (Pb) signifies bearing wear. Silicon (Si) represents atmospheric dust, while molybdenum (Mo) is associated with the degradation of additives. Elevated iron concentrations indicate an intensification of wear processes. To achieve the research objective, SAE 15W-40, API CI-4 oil samples were collected from QSK-60 engines installed in BELAZ dump trucks operating at the Navoi Mining and Metallurgical Combine. These samples were analyzed for key quality indicators.</w:t>
      </w:r>
    </w:p>
    <w:p w14:paraId="062878B1" w14:textId="739B4B8B" w:rsidR="00790D04" w:rsidRPr="007B083E" w:rsidRDefault="00671241" w:rsidP="00E92B04">
      <w:pPr>
        <w:pStyle w:val="FR4"/>
        <w:shd w:val="clear" w:color="auto" w:fill="FFFFFF"/>
        <w:spacing w:before="240" w:after="240" w:line="240" w:lineRule="auto"/>
        <w:ind w:firstLine="284"/>
        <w:jc w:val="center"/>
        <w:rPr>
          <w:rFonts w:ascii="Times New Roman" w:hAnsi="Times New Roman" w:cs="Times New Roman"/>
          <w:b/>
          <w:lang w:val="uz-Cyrl-UZ"/>
        </w:rPr>
      </w:pPr>
      <w:r w:rsidRPr="007B083E">
        <w:rPr>
          <w:rFonts w:ascii="Times New Roman" w:hAnsi="Times New Roman" w:cs="Times New Roman"/>
          <w:b/>
          <w:lang w:val="en-US"/>
        </w:rPr>
        <w:t>INTRODUCTION</w:t>
      </w:r>
    </w:p>
    <w:p w14:paraId="44D12625" w14:textId="41E8C183" w:rsidR="00A46103" w:rsidRPr="007B083E" w:rsidRDefault="00A46103" w:rsidP="007B083E">
      <w:pPr>
        <w:tabs>
          <w:tab w:val="left" w:pos="0"/>
        </w:tabs>
        <w:ind w:right="-2" w:firstLine="284"/>
        <w:contextualSpacing/>
        <w:jc w:val="both"/>
        <w:rPr>
          <w:bCs/>
          <w:sz w:val="20"/>
          <w:szCs w:val="20"/>
          <w:shd w:val="clear" w:color="auto" w:fill="FFFFFF"/>
          <w:lang w:val="en-US"/>
        </w:rPr>
      </w:pPr>
      <w:r w:rsidRPr="007B083E">
        <w:rPr>
          <w:bCs/>
          <w:sz w:val="20"/>
          <w:szCs w:val="20"/>
          <w:shd w:val="clear" w:color="auto" w:fill="FFFFFF"/>
          <w:lang w:val="en-US"/>
        </w:rPr>
        <w:t>BELAZ mining dump trucks, as the primary mode of transport within open-pit working zones, are particularly exposed to increasingly complex mining and geological conditions as the depth of extraction grows. These dump trucks are designed for transporting loosened rock mass along technological roads in open-pit mines under a wide range of climatic conditions.</w:t>
      </w:r>
    </w:p>
    <w:p w14:paraId="5DE53B65" w14:textId="138BDA73" w:rsidR="00A46103" w:rsidRPr="007B083E" w:rsidRDefault="00A46103" w:rsidP="007B083E">
      <w:pPr>
        <w:tabs>
          <w:tab w:val="left" w:pos="0"/>
        </w:tabs>
        <w:ind w:right="-2" w:firstLine="284"/>
        <w:contextualSpacing/>
        <w:jc w:val="both"/>
        <w:rPr>
          <w:bCs/>
          <w:sz w:val="20"/>
          <w:szCs w:val="20"/>
          <w:shd w:val="clear" w:color="auto" w:fill="FFFFFF"/>
          <w:lang w:val="en-US"/>
        </w:rPr>
      </w:pPr>
      <w:r w:rsidRPr="007B083E">
        <w:rPr>
          <w:bCs/>
          <w:sz w:val="20"/>
          <w:szCs w:val="20"/>
          <w:shd w:val="clear" w:color="auto" w:fill="FFFFFF"/>
          <w:lang w:val="en-US"/>
        </w:rPr>
        <w:t>During engine operation, the condition of motor oil is influenced by numerous factors, including climatic and road conditions, speed and load regimes, driving quality, fuel system calibration, the technical state of the cylinder-piston group, and the efficiency of filtration elements. All these factors act simultaneously, leading to the accumulation of oxidation products and mechanical contaminants in the oil. The buildup of impurities accelerates the depletion of additives, which in turn causes the deterioration of oil performance and reduces engine durability</w:t>
      </w:r>
      <w:r w:rsidR="00C50916" w:rsidRPr="007B083E">
        <w:rPr>
          <w:bCs/>
          <w:sz w:val="20"/>
          <w:szCs w:val="20"/>
          <w:shd w:val="clear" w:color="auto" w:fill="FFFFFF"/>
          <w:lang w:val="uz-Cyrl-UZ"/>
        </w:rPr>
        <w:t xml:space="preserve"> </w:t>
      </w:r>
      <w:r w:rsidR="00C50916" w:rsidRPr="007B083E">
        <w:rPr>
          <w:sz w:val="20"/>
          <w:szCs w:val="20"/>
          <w:lang w:val="en-US"/>
        </w:rPr>
        <w:t>[</w:t>
      </w:r>
      <w:r w:rsidR="00C50916" w:rsidRPr="007B083E">
        <w:rPr>
          <w:sz w:val="20"/>
          <w:szCs w:val="20"/>
          <w:lang w:val="uz-Cyrl-UZ"/>
        </w:rPr>
        <w:t>1</w:t>
      </w:r>
      <w:r w:rsidR="00A12304" w:rsidRPr="007B083E">
        <w:rPr>
          <w:sz w:val="20"/>
          <w:szCs w:val="20"/>
          <w:lang w:val="en-US"/>
        </w:rPr>
        <w:t>-</w:t>
      </w:r>
      <w:r w:rsidR="00C50916" w:rsidRPr="007B083E">
        <w:rPr>
          <w:sz w:val="20"/>
          <w:szCs w:val="20"/>
          <w:lang w:val="en-US"/>
        </w:rPr>
        <w:t>2]</w:t>
      </w:r>
      <w:r w:rsidRPr="007B083E">
        <w:rPr>
          <w:bCs/>
          <w:sz w:val="20"/>
          <w:szCs w:val="20"/>
          <w:shd w:val="clear" w:color="auto" w:fill="FFFFFF"/>
          <w:lang w:val="en-US"/>
        </w:rPr>
        <w:t>.</w:t>
      </w:r>
    </w:p>
    <w:p w14:paraId="7B3300F2" w14:textId="0C84D587" w:rsidR="00A46103" w:rsidRPr="007B083E" w:rsidRDefault="00A46103" w:rsidP="007B083E">
      <w:pPr>
        <w:tabs>
          <w:tab w:val="left" w:pos="0"/>
        </w:tabs>
        <w:ind w:right="-2" w:firstLine="284"/>
        <w:contextualSpacing/>
        <w:jc w:val="both"/>
        <w:rPr>
          <w:bCs/>
          <w:sz w:val="20"/>
          <w:szCs w:val="20"/>
          <w:shd w:val="clear" w:color="auto" w:fill="FFFFFF"/>
          <w:lang w:val="en-US"/>
        </w:rPr>
      </w:pPr>
      <w:r w:rsidRPr="007B083E">
        <w:rPr>
          <w:bCs/>
          <w:sz w:val="20"/>
          <w:szCs w:val="20"/>
          <w:shd w:val="clear" w:color="auto" w:fill="FFFFFF"/>
          <w:lang w:val="en-US"/>
        </w:rPr>
        <w:t>Understanding the behavior and changes in the operational properties of motor oil allows for its more efficient use in engines and provides a scientific basis for determining optimal oil change intervals. This becomes particularly critical for motor oils used in heavy-duty mining and transport equipment operating in high-dust environments.</w:t>
      </w:r>
    </w:p>
    <w:p w14:paraId="2BDDFE4F" w14:textId="17990229" w:rsidR="00A46103" w:rsidRPr="007B083E" w:rsidRDefault="00A46103" w:rsidP="007B083E">
      <w:pPr>
        <w:tabs>
          <w:tab w:val="left" w:pos="0"/>
        </w:tabs>
        <w:ind w:right="-2" w:firstLine="284"/>
        <w:contextualSpacing/>
        <w:jc w:val="both"/>
        <w:rPr>
          <w:bCs/>
          <w:sz w:val="20"/>
          <w:szCs w:val="20"/>
          <w:shd w:val="clear" w:color="auto" w:fill="FFFFFF"/>
          <w:lang w:val="en-US"/>
        </w:rPr>
      </w:pPr>
      <w:r w:rsidRPr="007B083E">
        <w:rPr>
          <w:bCs/>
          <w:sz w:val="20"/>
          <w:szCs w:val="20"/>
          <w:shd w:val="clear" w:color="auto" w:fill="FFFFFF"/>
          <w:lang w:val="en-US"/>
        </w:rPr>
        <w:t xml:space="preserve">BELAZ dump trucks are specifically engineered to transport rock mass in challenging geological and technical conditions of deep open-pit mines, along technological roads, and under diverse climatic conditions, with ambient temperatures ranging from −50 °C to +50 °C. Studies have shown that engine failures account for approximately </w:t>
      </w:r>
      <w:r w:rsidRPr="007B083E">
        <w:rPr>
          <w:bCs/>
          <w:sz w:val="20"/>
          <w:szCs w:val="20"/>
          <w:shd w:val="clear" w:color="auto" w:fill="FFFFFF"/>
          <w:lang w:val="en-US"/>
        </w:rPr>
        <w:lastRenderedPageBreak/>
        <w:t>29% of the total downtime of BELAZ dump trucks, directly increasing operating costs and reducing productivity. Since their power units lack redundancy, the failure of a single component or assembly can result in the complete shutdown of the vehicle</w:t>
      </w:r>
      <w:r w:rsidR="00C50916" w:rsidRPr="007B083E">
        <w:rPr>
          <w:bCs/>
          <w:sz w:val="20"/>
          <w:szCs w:val="20"/>
          <w:shd w:val="clear" w:color="auto" w:fill="FFFFFF"/>
          <w:lang w:val="uz-Cyrl-UZ"/>
        </w:rPr>
        <w:t xml:space="preserve"> </w:t>
      </w:r>
      <w:r w:rsidR="00C50916" w:rsidRPr="007B083E">
        <w:rPr>
          <w:sz w:val="20"/>
          <w:szCs w:val="20"/>
          <w:lang w:val="en-US"/>
        </w:rPr>
        <w:t>[3</w:t>
      </w:r>
      <w:r w:rsidR="00A12304" w:rsidRPr="007B083E">
        <w:rPr>
          <w:sz w:val="20"/>
          <w:szCs w:val="20"/>
          <w:lang w:val="en-US"/>
        </w:rPr>
        <w:t>-</w:t>
      </w:r>
      <w:r w:rsidR="00C50916" w:rsidRPr="007B083E">
        <w:rPr>
          <w:sz w:val="20"/>
          <w:szCs w:val="20"/>
          <w:lang w:val="uz-Cyrl-UZ"/>
        </w:rPr>
        <w:t>5</w:t>
      </w:r>
      <w:r w:rsidR="00C50916" w:rsidRPr="007B083E">
        <w:rPr>
          <w:sz w:val="20"/>
          <w:szCs w:val="20"/>
          <w:lang w:val="en-US"/>
        </w:rPr>
        <w:t>]</w:t>
      </w:r>
      <w:r w:rsidR="00A12304" w:rsidRPr="007B083E">
        <w:rPr>
          <w:sz w:val="20"/>
          <w:szCs w:val="20"/>
          <w:lang w:val="en-US"/>
        </w:rPr>
        <w:t>.</w:t>
      </w:r>
    </w:p>
    <w:p w14:paraId="716887B4" w14:textId="2BC35E4C" w:rsidR="00A46103" w:rsidRPr="007B083E" w:rsidRDefault="00A46103" w:rsidP="007B083E">
      <w:pPr>
        <w:tabs>
          <w:tab w:val="left" w:pos="0"/>
        </w:tabs>
        <w:ind w:right="-2" w:firstLine="284"/>
        <w:contextualSpacing/>
        <w:jc w:val="both"/>
        <w:rPr>
          <w:bCs/>
          <w:sz w:val="20"/>
          <w:szCs w:val="20"/>
          <w:shd w:val="clear" w:color="auto" w:fill="FFFFFF"/>
          <w:lang w:val="en-US"/>
        </w:rPr>
      </w:pPr>
      <w:r w:rsidRPr="007B083E">
        <w:rPr>
          <w:bCs/>
          <w:sz w:val="20"/>
          <w:szCs w:val="20"/>
          <w:shd w:val="clear" w:color="auto" w:fill="FFFFFF"/>
          <w:lang w:val="en-US"/>
        </w:rPr>
        <w:t>The physicochemical properties of in-service oil can serve as diagnostic parameters that make it possible to evaluate the technical condition of the engine without disassembly, as well as to assess the potential for further reliable operation over a given service period.</w:t>
      </w:r>
    </w:p>
    <w:p w14:paraId="522AFCCD" w14:textId="01055BCF" w:rsidR="00A46103" w:rsidRPr="007B083E" w:rsidRDefault="00A46103" w:rsidP="007B083E">
      <w:pPr>
        <w:tabs>
          <w:tab w:val="left" w:pos="0"/>
        </w:tabs>
        <w:ind w:right="-2" w:firstLine="284"/>
        <w:contextualSpacing/>
        <w:jc w:val="both"/>
        <w:rPr>
          <w:bCs/>
          <w:sz w:val="20"/>
          <w:szCs w:val="20"/>
          <w:shd w:val="clear" w:color="auto" w:fill="FFFFFF"/>
          <w:lang w:val="en-US"/>
        </w:rPr>
      </w:pPr>
      <w:r w:rsidRPr="007B083E">
        <w:rPr>
          <w:bCs/>
          <w:sz w:val="20"/>
          <w:szCs w:val="20"/>
          <w:shd w:val="clear" w:color="auto" w:fill="FFFFFF"/>
          <w:lang w:val="en-US"/>
        </w:rPr>
        <w:t>Therefore, the general approach to selecting the most significant oil quality indicators involves determining their capacity to assess the intensity of impurity accumulation and additive depletion.</w:t>
      </w:r>
    </w:p>
    <w:p w14:paraId="556AF250" w14:textId="2D6034DC" w:rsidR="006F3AF8" w:rsidRPr="007B083E" w:rsidRDefault="00A46103" w:rsidP="007B083E">
      <w:pPr>
        <w:pStyle w:val="a7"/>
        <w:tabs>
          <w:tab w:val="left" w:pos="0"/>
        </w:tabs>
        <w:ind w:left="0" w:firstLine="284"/>
        <w:contextualSpacing/>
        <w:jc w:val="both"/>
        <w:rPr>
          <w:bCs/>
          <w:shd w:val="clear" w:color="auto" w:fill="FFFFFF"/>
          <w:lang w:val="en-US" w:eastAsia="ru-RU"/>
        </w:rPr>
      </w:pPr>
      <w:r w:rsidRPr="007B083E">
        <w:rPr>
          <w:bCs/>
          <w:shd w:val="clear" w:color="auto" w:fill="FFFFFF"/>
          <w:lang w:val="en-US" w:eastAsia="ru-RU"/>
        </w:rPr>
        <w:t>The key criteria for evaluating the suitability of used engine oil for continued operation are its influence on wear rate, lacquer and deposit formation inside the engine. The most critical factors affecting the wear rate of major engine components and deposit formation are the concentration of insoluble contaminants, the depletion of detergent-dispersant additives, and the accumulation of oxidation products.</w:t>
      </w:r>
    </w:p>
    <w:p w14:paraId="477338A9" w14:textId="77777777" w:rsidR="00E92B04" w:rsidRPr="007B083E" w:rsidRDefault="00E92B04" w:rsidP="007B083E">
      <w:pPr>
        <w:pStyle w:val="a7"/>
        <w:tabs>
          <w:tab w:val="left" w:pos="0"/>
        </w:tabs>
        <w:ind w:left="0" w:firstLine="284"/>
        <w:contextualSpacing/>
        <w:jc w:val="center"/>
        <w:rPr>
          <w:b/>
          <w:sz w:val="24"/>
          <w:szCs w:val="24"/>
          <w:lang w:val="en-US"/>
        </w:rPr>
      </w:pPr>
    </w:p>
    <w:p w14:paraId="244BCFB9" w14:textId="5FBD7322" w:rsidR="000D7A64" w:rsidRPr="007B083E" w:rsidRDefault="00671241" w:rsidP="00E92B04">
      <w:pPr>
        <w:pStyle w:val="a7"/>
        <w:tabs>
          <w:tab w:val="left" w:pos="0"/>
        </w:tabs>
        <w:spacing w:before="240" w:after="240"/>
        <w:ind w:left="0" w:firstLine="284"/>
        <w:contextualSpacing/>
        <w:jc w:val="center"/>
        <w:rPr>
          <w:b/>
          <w:sz w:val="24"/>
          <w:szCs w:val="24"/>
          <w:lang w:val="uz-Cyrl-UZ"/>
        </w:rPr>
      </w:pPr>
      <w:r w:rsidRPr="007B083E">
        <w:rPr>
          <w:b/>
          <w:sz w:val="24"/>
          <w:szCs w:val="24"/>
          <w:lang w:val="uz-Cyrl-UZ"/>
        </w:rPr>
        <w:t>MATERIALS AND METHODS</w:t>
      </w:r>
    </w:p>
    <w:p w14:paraId="47A23FF7" w14:textId="3EC0F939" w:rsidR="00A46103" w:rsidRPr="007B083E" w:rsidRDefault="00A46103" w:rsidP="007B083E">
      <w:pPr>
        <w:ind w:firstLine="284"/>
        <w:contextualSpacing/>
        <w:jc w:val="both"/>
        <w:rPr>
          <w:sz w:val="20"/>
          <w:szCs w:val="20"/>
          <w:lang w:val="en-US"/>
        </w:rPr>
      </w:pPr>
      <w:r w:rsidRPr="007B083E">
        <w:rPr>
          <w:sz w:val="20"/>
          <w:szCs w:val="20"/>
          <w:lang w:val="en-US"/>
        </w:rPr>
        <w:t>The purpose of this study is to investigate the operational characteristics of API CI-4, SAE 15W-40 motor oil used in diesel engines operating in heavy-duty mining and transport equipment. Compliance with API CI-4 requirements ensures that this oil is suitable for use in high-speed, four-stroke diesel engines functioning under severe operating conditions in BELAZ mining dump trucks and other specialized machinery. It is specifically formulated to withstand the harsh operational environments and demanding load conditions of such equipment.</w:t>
      </w:r>
    </w:p>
    <w:p w14:paraId="6D69F663" w14:textId="42D3F12F" w:rsidR="00A46103" w:rsidRPr="007B083E" w:rsidRDefault="00A46103" w:rsidP="007B083E">
      <w:pPr>
        <w:ind w:firstLine="284"/>
        <w:contextualSpacing/>
        <w:jc w:val="both"/>
        <w:rPr>
          <w:sz w:val="20"/>
          <w:szCs w:val="20"/>
          <w:lang w:val="en-US"/>
        </w:rPr>
      </w:pPr>
      <w:r w:rsidRPr="007B083E">
        <w:rPr>
          <w:sz w:val="20"/>
          <w:szCs w:val="20"/>
          <w:lang w:val="en-US"/>
        </w:rPr>
        <w:t>When the oil is used at elevated ambient temperatures exceeding +40 °C, specific failures are observed, primarily caused by the deterioration of its physical and mechanical properties due to increased crankcase oil temperatures. Once the oil temperature in the crankcase exceeds 120 °C, its viscosity decreases, and it can no longer form a reliable lubricating film on friction surfaces or maintain hydrodynamic lubrication in bearings. This leads to accelerated wear of engine components. Furthermore, with every additional 10 °C increase in oil temperature, the oxidation rate doubles, and oil consumption due to evaporation rises significantly. When oil temperatures exceed 190–200 °C, flash and combustion may occur, posing a serious operational hazard</w:t>
      </w:r>
      <w:r w:rsidR="00C50916" w:rsidRPr="007B083E">
        <w:rPr>
          <w:sz w:val="20"/>
          <w:szCs w:val="20"/>
          <w:lang w:val="en-US"/>
        </w:rPr>
        <w:t xml:space="preserve"> [6</w:t>
      </w:r>
      <w:r w:rsidR="00A12304" w:rsidRPr="007B083E">
        <w:rPr>
          <w:sz w:val="20"/>
          <w:szCs w:val="20"/>
          <w:lang w:val="en-US"/>
        </w:rPr>
        <w:t>-8</w:t>
      </w:r>
      <w:r w:rsidR="00C50916" w:rsidRPr="007B083E">
        <w:rPr>
          <w:sz w:val="20"/>
          <w:szCs w:val="20"/>
          <w:lang w:val="en-US"/>
        </w:rPr>
        <w:t>]</w:t>
      </w:r>
      <w:r w:rsidRPr="007B083E">
        <w:rPr>
          <w:sz w:val="20"/>
          <w:szCs w:val="20"/>
          <w:lang w:val="en-US"/>
        </w:rPr>
        <w:t>.</w:t>
      </w:r>
    </w:p>
    <w:p w14:paraId="60700790" w14:textId="64D23E31" w:rsidR="007F22BC" w:rsidRPr="007B083E" w:rsidRDefault="00A46103" w:rsidP="007B083E">
      <w:pPr>
        <w:ind w:firstLine="284"/>
        <w:contextualSpacing/>
        <w:jc w:val="both"/>
        <w:rPr>
          <w:sz w:val="20"/>
          <w:szCs w:val="20"/>
          <w:lang w:val="en-US"/>
        </w:rPr>
      </w:pPr>
      <w:r w:rsidRPr="007B083E">
        <w:rPr>
          <w:sz w:val="20"/>
          <w:szCs w:val="20"/>
          <w:lang w:val="en-US"/>
        </w:rPr>
        <w:t>To establish a reference baseline, fresh API CI-4, SAE 15W-40 motor oil used in diesel engines of heavy-duty mining equipment was analyzed. Laboratory physicochemical and spectral analyses were performed in accordance with standardized methodologies. Experimental data on the quality indicators of the fresh API CI-4, SAE 15W-40 motor oil are presented in Table 1</w:t>
      </w:r>
    </w:p>
    <w:p w14:paraId="63E6BC5D" w14:textId="77777777" w:rsidR="00B25B74" w:rsidRPr="007B083E" w:rsidRDefault="00B25B74" w:rsidP="007B083E">
      <w:pPr>
        <w:ind w:firstLine="284"/>
        <w:contextualSpacing/>
        <w:jc w:val="both"/>
        <w:rPr>
          <w:b/>
          <w:sz w:val="20"/>
          <w:szCs w:val="20"/>
          <w:lang w:val="en-US"/>
        </w:rPr>
      </w:pPr>
    </w:p>
    <w:p w14:paraId="67F12D96" w14:textId="5711299D" w:rsidR="00FE167C" w:rsidRPr="007B083E" w:rsidRDefault="003D7B46" w:rsidP="00BF0ACA">
      <w:pPr>
        <w:ind w:firstLine="284"/>
        <w:contextualSpacing/>
        <w:rPr>
          <w:b/>
          <w:sz w:val="20"/>
          <w:szCs w:val="20"/>
          <w:lang w:val="en-US"/>
        </w:rPr>
      </w:pPr>
      <w:r w:rsidRPr="007B083E">
        <w:rPr>
          <w:b/>
          <w:sz w:val="20"/>
          <w:szCs w:val="20"/>
          <w:lang w:val="en-US"/>
        </w:rPr>
        <w:t>TABLE 1.</w:t>
      </w:r>
      <w:r w:rsidRPr="007B083E">
        <w:rPr>
          <w:b/>
          <w:sz w:val="20"/>
          <w:szCs w:val="20"/>
          <w:lang w:val="uz-Cyrl-UZ"/>
        </w:rPr>
        <w:t xml:space="preserve"> </w:t>
      </w:r>
      <w:r w:rsidR="00A46103" w:rsidRPr="007B083E">
        <w:rPr>
          <w:sz w:val="20"/>
          <w:szCs w:val="20"/>
          <w:lang w:val="en-US"/>
        </w:rPr>
        <w:t xml:space="preserve">Quality </w:t>
      </w:r>
      <w:r w:rsidR="00800C18" w:rsidRPr="007B083E">
        <w:rPr>
          <w:sz w:val="20"/>
          <w:szCs w:val="20"/>
          <w:lang w:val="en-US"/>
        </w:rPr>
        <w:t>Indicators of Fresh Motor Oil—</w:t>
      </w:r>
      <w:r w:rsidR="00A46103" w:rsidRPr="007B083E">
        <w:rPr>
          <w:sz w:val="20"/>
          <w:szCs w:val="20"/>
          <w:lang w:val="en-US"/>
        </w:rPr>
        <w:t>API CI-4, SAE 15W-40</w:t>
      </w:r>
    </w:p>
    <w:tbl>
      <w:tblPr>
        <w:tblW w:w="4884"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92"/>
        <w:gridCol w:w="1729"/>
        <w:gridCol w:w="2138"/>
        <w:gridCol w:w="2083"/>
        <w:gridCol w:w="1614"/>
      </w:tblGrid>
      <w:tr w:rsidR="00C60F64" w:rsidRPr="006F575F" w14:paraId="113905E4" w14:textId="77777777" w:rsidTr="007B083E">
        <w:trPr>
          <w:trHeight w:val="750"/>
        </w:trPr>
        <w:tc>
          <w:tcPr>
            <w:tcW w:w="914" w:type="pct"/>
            <w:tcBorders>
              <w:top w:val="single" w:sz="4" w:space="0" w:color="000000"/>
              <w:left w:val="single" w:sz="4" w:space="0" w:color="000000"/>
              <w:bottom w:val="single" w:sz="4" w:space="0" w:color="000000"/>
              <w:right w:val="single" w:sz="4" w:space="0" w:color="000000"/>
            </w:tcBorders>
            <w:vAlign w:val="center"/>
            <w:hideMark/>
          </w:tcPr>
          <w:p w14:paraId="2A6EB367" w14:textId="1C074FA5" w:rsidR="00C60F64" w:rsidRPr="007B083E" w:rsidRDefault="00A46103" w:rsidP="007B083E">
            <w:pPr>
              <w:jc w:val="center"/>
              <w:rPr>
                <w:b/>
                <w:sz w:val="20"/>
                <w:szCs w:val="20"/>
              </w:rPr>
            </w:pPr>
            <w:r w:rsidRPr="007B083E">
              <w:rPr>
                <w:b/>
                <w:sz w:val="20"/>
                <w:szCs w:val="20"/>
              </w:rPr>
              <w:t>Oil Brand</w:t>
            </w:r>
          </w:p>
        </w:tc>
        <w:tc>
          <w:tcPr>
            <w:tcW w:w="934" w:type="pct"/>
            <w:tcBorders>
              <w:top w:val="single" w:sz="4" w:space="0" w:color="000000"/>
              <w:left w:val="single" w:sz="4" w:space="0" w:color="000000"/>
              <w:bottom w:val="single" w:sz="4" w:space="0" w:color="000000"/>
              <w:right w:val="single" w:sz="4" w:space="0" w:color="000000"/>
            </w:tcBorders>
            <w:vAlign w:val="center"/>
            <w:hideMark/>
          </w:tcPr>
          <w:p w14:paraId="73E53D13" w14:textId="40EFB7EC" w:rsidR="00C60F64" w:rsidRPr="007B083E" w:rsidRDefault="00A46103" w:rsidP="007B083E">
            <w:pPr>
              <w:jc w:val="center"/>
              <w:rPr>
                <w:b/>
                <w:sz w:val="20"/>
                <w:szCs w:val="20"/>
                <w:lang w:val="en-US"/>
              </w:rPr>
            </w:pPr>
            <w:r w:rsidRPr="007B083E">
              <w:rPr>
                <w:b/>
                <w:sz w:val="20"/>
                <w:szCs w:val="20"/>
                <w:lang w:val="en-US"/>
              </w:rPr>
              <w:t>Density at 20°C, kg/m³</w:t>
            </w:r>
          </w:p>
        </w:tc>
        <w:tc>
          <w:tcPr>
            <w:tcW w:w="1155" w:type="pct"/>
            <w:tcBorders>
              <w:top w:val="single" w:sz="4" w:space="0" w:color="000000"/>
              <w:left w:val="single" w:sz="4" w:space="0" w:color="000000"/>
              <w:bottom w:val="single" w:sz="4" w:space="0" w:color="000000"/>
              <w:right w:val="single" w:sz="4" w:space="0" w:color="000000"/>
            </w:tcBorders>
            <w:vAlign w:val="center"/>
            <w:hideMark/>
          </w:tcPr>
          <w:p w14:paraId="05F566D7" w14:textId="200ABA34" w:rsidR="00C60F64" w:rsidRPr="007B083E" w:rsidRDefault="00A46103" w:rsidP="007B083E">
            <w:pPr>
              <w:jc w:val="center"/>
              <w:rPr>
                <w:b/>
                <w:sz w:val="20"/>
                <w:szCs w:val="20"/>
                <w:lang w:val="en-US"/>
              </w:rPr>
            </w:pPr>
            <w:r w:rsidRPr="007B083E">
              <w:rPr>
                <w:b/>
                <w:sz w:val="20"/>
                <w:szCs w:val="20"/>
                <w:lang w:val="en-US"/>
              </w:rPr>
              <w:t>Kinematic Viscosity at 100 °C, cSt</w:t>
            </w:r>
          </w:p>
        </w:tc>
        <w:tc>
          <w:tcPr>
            <w:tcW w:w="1125" w:type="pct"/>
            <w:tcBorders>
              <w:top w:val="single" w:sz="4" w:space="0" w:color="000000"/>
              <w:left w:val="single" w:sz="4" w:space="0" w:color="000000"/>
              <w:bottom w:val="single" w:sz="4" w:space="0" w:color="000000"/>
              <w:right w:val="single" w:sz="4" w:space="0" w:color="000000"/>
            </w:tcBorders>
            <w:vAlign w:val="center"/>
            <w:hideMark/>
          </w:tcPr>
          <w:p w14:paraId="3276E8B9" w14:textId="349F2105" w:rsidR="00C60F64" w:rsidRPr="007B083E" w:rsidRDefault="00A46103" w:rsidP="007B083E">
            <w:pPr>
              <w:jc w:val="center"/>
              <w:rPr>
                <w:b/>
                <w:sz w:val="20"/>
                <w:szCs w:val="20"/>
                <w:lang w:val="en-US"/>
              </w:rPr>
            </w:pPr>
            <w:r w:rsidRPr="007B083E">
              <w:rPr>
                <w:b/>
                <w:sz w:val="20"/>
                <w:szCs w:val="20"/>
                <w:lang w:val="en-US"/>
              </w:rPr>
              <w:t>Flash Point (Open Cup), °C</w:t>
            </w:r>
          </w:p>
        </w:tc>
        <w:tc>
          <w:tcPr>
            <w:tcW w:w="872" w:type="pct"/>
            <w:tcBorders>
              <w:top w:val="single" w:sz="4" w:space="0" w:color="000000"/>
              <w:left w:val="single" w:sz="4" w:space="0" w:color="000000"/>
              <w:bottom w:val="single" w:sz="4" w:space="0" w:color="000000"/>
              <w:right w:val="single" w:sz="4" w:space="0" w:color="000000"/>
            </w:tcBorders>
            <w:vAlign w:val="center"/>
          </w:tcPr>
          <w:p w14:paraId="7EC97276" w14:textId="37852C7A" w:rsidR="00C60F64" w:rsidRPr="007B083E" w:rsidRDefault="00A46103" w:rsidP="007B083E">
            <w:pPr>
              <w:jc w:val="center"/>
              <w:rPr>
                <w:b/>
                <w:sz w:val="20"/>
                <w:szCs w:val="20"/>
                <w:lang w:val="en-US"/>
              </w:rPr>
            </w:pPr>
            <w:r w:rsidRPr="007B083E">
              <w:rPr>
                <w:b/>
                <w:sz w:val="20"/>
                <w:szCs w:val="20"/>
                <w:lang w:val="en-US"/>
              </w:rPr>
              <w:t>Total Base Number, mg KOH/g</w:t>
            </w:r>
          </w:p>
        </w:tc>
      </w:tr>
      <w:tr w:rsidR="00173169" w:rsidRPr="007B083E" w14:paraId="50C5365E" w14:textId="77777777" w:rsidTr="007B083E">
        <w:trPr>
          <w:trHeight w:val="549"/>
        </w:trPr>
        <w:tc>
          <w:tcPr>
            <w:tcW w:w="914" w:type="pct"/>
            <w:tcBorders>
              <w:top w:val="single" w:sz="4" w:space="0" w:color="000000"/>
              <w:left w:val="single" w:sz="4" w:space="0" w:color="000000"/>
              <w:bottom w:val="single" w:sz="4" w:space="0" w:color="000000"/>
              <w:right w:val="single" w:sz="4" w:space="0" w:color="000000"/>
            </w:tcBorders>
            <w:vAlign w:val="center"/>
            <w:hideMark/>
          </w:tcPr>
          <w:p w14:paraId="53A3BA64" w14:textId="77777777" w:rsidR="00173169" w:rsidRPr="007B083E" w:rsidRDefault="004A469A" w:rsidP="007B083E">
            <w:pPr>
              <w:jc w:val="center"/>
              <w:rPr>
                <w:sz w:val="20"/>
                <w:szCs w:val="20"/>
                <w:lang w:val="en-US"/>
              </w:rPr>
            </w:pPr>
            <w:r w:rsidRPr="007B083E">
              <w:rPr>
                <w:bCs/>
                <w:sz w:val="20"/>
                <w:szCs w:val="20"/>
                <w:lang w:val="en-US"/>
              </w:rPr>
              <w:t>SAE</w:t>
            </w:r>
            <w:r w:rsidRPr="007B083E">
              <w:rPr>
                <w:bCs/>
                <w:sz w:val="20"/>
                <w:szCs w:val="20"/>
                <w:lang w:val="uz-Cyrl-UZ"/>
              </w:rPr>
              <w:t>15W-40</w:t>
            </w:r>
            <w:r w:rsidR="00173169" w:rsidRPr="007B083E">
              <w:rPr>
                <w:bCs/>
                <w:sz w:val="20"/>
                <w:szCs w:val="20"/>
                <w:lang w:val="en-US"/>
              </w:rPr>
              <w:t>,</w:t>
            </w:r>
            <w:r w:rsidR="00173169" w:rsidRPr="007B083E">
              <w:rPr>
                <w:bCs/>
                <w:sz w:val="20"/>
                <w:szCs w:val="20"/>
                <w:lang w:val="uz-Cyrl-UZ"/>
              </w:rPr>
              <w:t xml:space="preserve"> API CI-4</w:t>
            </w:r>
          </w:p>
        </w:tc>
        <w:tc>
          <w:tcPr>
            <w:tcW w:w="934" w:type="pct"/>
            <w:tcBorders>
              <w:top w:val="single" w:sz="4" w:space="0" w:color="000000"/>
              <w:left w:val="single" w:sz="4" w:space="0" w:color="000000"/>
              <w:bottom w:val="single" w:sz="4" w:space="0" w:color="000000"/>
              <w:right w:val="single" w:sz="4" w:space="0" w:color="000000"/>
            </w:tcBorders>
            <w:vAlign w:val="center"/>
            <w:hideMark/>
          </w:tcPr>
          <w:p w14:paraId="4B3281DE" w14:textId="77777777" w:rsidR="00173169" w:rsidRPr="007B083E" w:rsidRDefault="00173169" w:rsidP="007B083E">
            <w:pPr>
              <w:jc w:val="center"/>
              <w:rPr>
                <w:sz w:val="20"/>
                <w:szCs w:val="20"/>
              </w:rPr>
            </w:pPr>
            <w:r w:rsidRPr="007B083E">
              <w:rPr>
                <w:sz w:val="20"/>
                <w:szCs w:val="20"/>
              </w:rPr>
              <w:t>886,0</w:t>
            </w:r>
          </w:p>
        </w:tc>
        <w:tc>
          <w:tcPr>
            <w:tcW w:w="1155" w:type="pct"/>
            <w:tcBorders>
              <w:top w:val="single" w:sz="4" w:space="0" w:color="000000"/>
              <w:left w:val="single" w:sz="4" w:space="0" w:color="000000"/>
              <w:bottom w:val="single" w:sz="4" w:space="0" w:color="000000"/>
              <w:right w:val="single" w:sz="4" w:space="0" w:color="000000"/>
            </w:tcBorders>
            <w:vAlign w:val="center"/>
            <w:hideMark/>
          </w:tcPr>
          <w:p w14:paraId="6BACFEEF" w14:textId="77777777" w:rsidR="00173169" w:rsidRPr="007B083E" w:rsidRDefault="00173169" w:rsidP="007B083E">
            <w:pPr>
              <w:jc w:val="center"/>
              <w:rPr>
                <w:sz w:val="20"/>
                <w:szCs w:val="20"/>
              </w:rPr>
            </w:pPr>
            <w:r w:rsidRPr="007B083E">
              <w:rPr>
                <w:sz w:val="20"/>
                <w:szCs w:val="20"/>
              </w:rPr>
              <w:t>15,3</w:t>
            </w:r>
          </w:p>
        </w:tc>
        <w:tc>
          <w:tcPr>
            <w:tcW w:w="1125" w:type="pct"/>
            <w:tcBorders>
              <w:top w:val="single" w:sz="4" w:space="0" w:color="000000"/>
              <w:left w:val="single" w:sz="4" w:space="0" w:color="000000"/>
              <w:bottom w:val="single" w:sz="4" w:space="0" w:color="000000"/>
              <w:right w:val="single" w:sz="4" w:space="0" w:color="000000"/>
            </w:tcBorders>
            <w:vAlign w:val="center"/>
            <w:hideMark/>
          </w:tcPr>
          <w:p w14:paraId="66BCF622" w14:textId="77777777" w:rsidR="00173169" w:rsidRPr="007B083E" w:rsidRDefault="00173169" w:rsidP="007B083E">
            <w:pPr>
              <w:jc w:val="center"/>
              <w:rPr>
                <w:sz w:val="20"/>
                <w:szCs w:val="20"/>
              </w:rPr>
            </w:pPr>
            <w:r w:rsidRPr="007B083E">
              <w:rPr>
                <w:sz w:val="20"/>
                <w:szCs w:val="20"/>
              </w:rPr>
              <w:t>22</w:t>
            </w:r>
            <w:r w:rsidR="007C2DC0" w:rsidRPr="007B083E">
              <w:rPr>
                <w:sz w:val="20"/>
                <w:szCs w:val="20"/>
              </w:rPr>
              <w:t>4</w:t>
            </w:r>
          </w:p>
        </w:tc>
        <w:tc>
          <w:tcPr>
            <w:tcW w:w="872" w:type="pct"/>
            <w:tcBorders>
              <w:top w:val="single" w:sz="4" w:space="0" w:color="000000"/>
              <w:left w:val="single" w:sz="4" w:space="0" w:color="000000"/>
              <w:bottom w:val="single" w:sz="4" w:space="0" w:color="000000"/>
              <w:right w:val="single" w:sz="4" w:space="0" w:color="000000"/>
            </w:tcBorders>
            <w:vAlign w:val="center"/>
          </w:tcPr>
          <w:p w14:paraId="7A3B51FC" w14:textId="77777777" w:rsidR="00173169" w:rsidRPr="007B083E" w:rsidRDefault="00173169" w:rsidP="007B083E">
            <w:pPr>
              <w:jc w:val="center"/>
              <w:rPr>
                <w:sz w:val="20"/>
                <w:szCs w:val="20"/>
                <w:vertAlign w:val="superscript"/>
              </w:rPr>
            </w:pPr>
            <w:r w:rsidRPr="007B083E">
              <w:rPr>
                <w:sz w:val="20"/>
                <w:szCs w:val="20"/>
              </w:rPr>
              <w:t>10,2</w:t>
            </w:r>
          </w:p>
        </w:tc>
      </w:tr>
    </w:tbl>
    <w:p w14:paraId="6170C412" w14:textId="77777777" w:rsidR="003A2B7C" w:rsidRPr="007B083E" w:rsidRDefault="003A2B7C" w:rsidP="00B25B74">
      <w:pPr>
        <w:jc w:val="both"/>
        <w:rPr>
          <w:b/>
          <w:lang w:val="en-US"/>
        </w:rPr>
      </w:pPr>
    </w:p>
    <w:p w14:paraId="326EBDD1" w14:textId="49915113" w:rsidR="00293FA4" w:rsidRPr="007B083E" w:rsidRDefault="00671241" w:rsidP="00674561">
      <w:pPr>
        <w:spacing w:after="240"/>
        <w:ind w:firstLine="284"/>
        <w:jc w:val="center"/>
      </w:pPr>
      <w:r w:rsidRPr="007B083E">
        <w:rPr>
          <w:b/>
        </w:rPr>
        <w:t>RESULTS AND DISCUSSION</w:t>
      </w:r>
    </w:p>
    <w:p w14:paraId="7B114230" w14:textId="459FD1A4" w:rsidR="00144D0B" w:rsidRPr="007B083E" w:rsidRDefault="00144D0B" w:rsidP="00E92B04">
      <w:pPr>
        <w:tabs>
          <w:tab w:val="left" w:pos="-5940"/>
        </w:tabs>
        <w:ind w:firstLine="284"/>
        <w:jc w:val="both"/>
        <w:rPr>
          <w:sz w:val="20"/>
          <w:szCs w:val="20"/>
          <w:lang w:val="uz-Cyrl-UZ"/>
        </w:rPr>
      </w:pPr>
      <w:r w:rsidRPr="007B083E">
        <w:rPr>
          <w:sz w:val="20"/>
          <w:szCs w:val="20"/>
          <w:lang w:val="uz-Cyrl-UZ"/>
        </w:rPr>
        <w:t>Analyzing the causes of changes in individual physicochemical indicators of used motor oil reveals that each parameter responds sensitively and consistently to specific external malfunctions in the engine’s components and systems.</w:t>
      </w:r>
    </w:p>
    <w:p w14:paraId="0CAEE843" w14:textId="1F3A5853" w:rsidR="00144D0B" w:rsidRPr="007B083E" w:rsidRDefault="00144D0B" w:rsidP="00E92B04">
      <w:pPr>
        <w:tabs>
          <w:tab w:val="left" w:pos="-5940"/>
        </w:tabs>
        <w:ind w:firstLine="284"/>
        <w:jc w:val="both"/>
        <w:rPr>
          <w:sz w:val="20"/>
          <w:szCs w:val="20"/>
          <w:lang w:val="uz-Cyrl-UZ"/>
        </w:rPr>
      </w:pPr>
      <w:r w:rsidRPr="007B083E">
        <w:rPr>
          <w:sz w:val="20"/>
          <w:szCs w:val="20"/>
          <w:lang w:val="uz-Cyrl-UZ"/>
        </w:rPr>
        <w:t>Many of these indicators are closely interrelated. For example, an increase in the content of insoluble residues leads to a rise in oil viscosity. A low flash point indicates dilution of the oil with fuel, which in turn results in decreased viscosity. An increase in iron and other metal concentrations in the oil causes higher acidity and a greater amount of mechanical impurities, which again leads to increased viscosity, among other effects.</w:t>
      </w:r>
    </w:p>
    <w:p w14:paraId="02ED7F86" w14:textId="78341BE5" w:rsidR="00144D0B" w:rsidRPr="007B083E" w:rsidRDefault="00144D0B" w:rsidP="00E92B04">
      <w:pPr>
        <w:tabs>
          <w:tab w:val="left" w:pos="-5940"/>
        </w:tabs>
        <w:ind w:firstLine="284"/>
        <w:jc w:val="both"/>
        <w:rPr>
          <w:sz w:val="20"/>
          <w:szCs w:val="20"/>
          <w:lang w:val="uz-Cyrl-UZ"/>
        </w:rPr>
      </w:pPr>
      <w:r w:rsidRPr="007B083E">
        <w:rPr>
          <w:sz w:val="20"/>
          <w:szCs w:val="20"/>
          <w:lang w:val="uz-Cyrl-UZ"/>
        </w:rPr>
        <w:t>For engine diagnostics, it is generally recommended to determine the following oil parameters: kinematic viscosity, flash point, total base number (TBN) and total acid number (TAN), water content, impurity levels, density, and oil color. A comprehensive analysis of these indicators enables relatively quick and reliable assessment of the engine’s technical condition without the need for disassembly</w:t>
      </w:r>
      <w:r w:rsidR="00C50916" w:rsidRPr="007B083E">
        <w:rPr>
          <w:sz w:val="20"/>
          <w:szCs w:val="20"/>
          <w:lang w:val="en-US"/>
        </w:rPr>
        <w:t xml:space="preserve"> [</w:t>
      </w:r>
      <w:r w:rsidR="00A12304" w:rsidRPr="007B083E">
        <w:rPr>
          <w:sz w:val="20"/>
          <w:szCs w:val="20"/>
          <w:lang w:val="en-US"/>
        </w:rPr>
        <w:t>9-10</w:t>
      </w:r>
      <w:r w:rsidR="00C50916" w:rsidRPr="007B083E">
        <w:rPr>
          <w:sz w:val="20"/>
          <w:szCs w:val="20"/>
          <w:lang w:val="en-US"/>
        </w:rPr>
        <w:t>]</w:t>
      </w:r>
      <w:r w:rsidRPr="007B083E">
        <w:rPr>
          <w:sz w:val="20"/>
          <w:szCs w:val="20"/>
          <w:lang w:val="uz-Cyrl-UZ"/>
        </w:rPr>
        <w:t>.</w:t>
      </w:r>
    </w:p>
    <w:p w14:paraId="6A2A6DA6" w14:textId="7AEA9995" w:rsidR="00144D0B" w:rsidRPr="007B083E" w:rsidRDefault="00144D0B" w:rsidP="00B25B74">
      <w:pPr>
        <w:tabs>
          <w:tab w:val="left" w:pos="-5940"/>
        </w:tabs>
        <w:ind w:firstLine="284"/>
        <w:jc w:val="both"/>
        <w:rPr>
          <w:sz w:val="20"/>
          <w:szCs w:val="20"/>
          <w:lang w:val="en-US"/>
        </w:rPr>
      </w:pPr>
      <w:r w:rsidRPr="007B083E">
        <w:rPr>
          <w:sz w:val="20"/>
          <w:szCs w:val="20"/>
          <w:lang w:val="uz-Cyrl-UZ"/>
        </w:rPr>
        <w:lastRenderedPageBreak/>
        <w:t>During the operation of monitored vehicles, samples of fresh, in-use, and used oil were collected and analyzed with recorded mileage. For diagnostics of individual components and assemblies, oil samples of 0.3–0.5 liters were taken. The study focused on key physicochemical properties — kinematic viscosity, total base number, moisture conte</w:t>
      </w:r>
      <w:r w:rsidR="00951C29">
        <w:rPr>
          <w:sz w:val="20"/>
          <w:szCs w:val="20"/>
          <w:lang w:val="uz-Cyrl-UZ"/>
        </w:rPr>
        <w:t>nt, and flash point (open cup) -</w:t>
      </w:r>
      <w:r w:rsidRPr="007B083E">
        <w:rPr>
          <w:sz w:val="20"/>
          <w:szCs w:val="20"/>
          <w:lang w:val="uz-Cyrl-UZ"/>
        </w:rPr>
        <w:t xml:space="preserve"> which have the greatest influence on the operational performance of the oil</w:t>
      </w:r>
      <w:r w:rsidR="00A12304" w:rsidRPr="007B083E">
        <w:rPr>
          <w:sz w:val="20"/>
          <w:szCs w:val="20"/>
          <w:lang w:val="en-US"/>
        </w:rPr>
        <w:t xml:space="preserve"> [11-12]</w:t>
      </w:r>
      <w:r w:rsidRPr="007B083E">
        <w:rPr>
          <w:sz w:val="20"/>
          <w:szCs w:val="20"/>
          <w:lang w:val="uz-Cyrl-UZ"/>
        </w:rPr>
        <w:t>.</w:t>
      </w:r>
    </w:p>
    <w:p w14:paraId="4A7840A1" w14:textId="79141C3A" w:rsidR="00B25B74" w:rsidRPr="007B083E" w:rsidRDefault="00B25B74" w:rsidP="00BB1D65">
      <w:pPr>
        <w:ind w:firstLine="284"/>
        <w:contextualSpacing/>
        <w:jc w:val="both"/>
        <w:rPr>
          <w:sz w:val="20"/>
          <w:szCs w:val="20"/>
          <w:lang w:val="uz-Cyrl-UZ"/>
        </w:rPr>
      </w:pPr>
      <w:r w:rsidRPr="007B083E">
        <w:rPr>
          <w:sz w:val="20"/>
          <w:szCs w:val="20"/>
          <w:lang w:val="en-US"/>
        </w:rPr>
        <w:t>As can be seen from the table, deviations in the quality indicators—such as viscosity, total base number, and flash point—became significant once the operating time of the dump truck exceeded 200 engine hours.</w:t>
      </w:r>
      <w:r w:rsidR="003D7B46" w:rsidRPr="007B083E">
        <w:rPr>
          <w:sz w:val="20"/>
          <w:szCs w:val="20"/>
          <w:lang w:val="uz-Cyrl-UZ"/>
        </w:rPr>
        <w:t xml:space="preserve"> </w:t>
      </w:r>
      <w:r w:rsidR="003D7B46" w:rsidRPr="007B083E">
        <w:rPr>
          <w:sz w:val="20"/>
          <w:szCs w:val="20"/>
          <w:lang w:val="en-US"/>
        </w:rPr>
        <w:t>Viscosity represents the ability of oil to adhere to internal engine surfaces and retain its key physical and chemical properties. For this reason, it is one of the primary parameters used to assess oil quality.</w:t>
      </w:r>
      <w:r w:rsidR="003D7B46" w:rsidRPr="007B083E">
        <w:rPr>
          <w:sz w:val="20"/>
          <w:szCs w:val="20"/>
          <w:lang w:val="uz-Cyrl-UZ"/>
        </w:rPr>
        <w:t xml:space="preserve"> </w:t>
      </w:r>
      <w:r w:rsidR="003D7B46" w:rsidRPr="007B083E">
        <w:rPr>
          <w:sz w:val="20"/>
          <w:szCs w:val="20"/>
          <w:lang w:val="en-US"/>
        </w:rPr>
        <w:t>Viscosity is temperature dependent: if it becomes too low at elevated temperatures, the strength of the oil film between friction pairs and the pressure in the lubrication system will be insufficient, resulting in increased wear of friction surfaces. Conversely, excessive viscosity at low temperatures may prevent the starter from cranking the engine.</w:t>
      </w:r>
    </w:p>
    <w:p w14:paraId="6774BF9F" w14:textId="77777777" w:rsidR="007B083E" w:rsidRDefault="007B083E" w:rsidP="007B083E">
      <w:pPr>
        <w:ind w:firstLine="284"/>
        <w:contextualSpacing/>
        <w:jc w:val="center"/>
        <w:rPr>
          <w:b/>
          <w:sz w:val="20"/>
          <w:szCs w:val="20"/>
          <w:lang w:val="en-US"/>
        </w:rPr>
      </w:pPr>
    </w:p>
    <w:p w14:paraId="455FA0A9" w14:textId="15FB5EE9" w:rsidR="0045616B" w:rsidRPr="007B083E" w:rsidRDefault="00BB1D65" w:rsidP="007B083E">
      <w:pPr>
        <w:tabs>
          <w:tab w:val="left" w:pos="142"/>
        </w:tabs>
        <w:contextualSpacing/>
        <w:jc w:val="center"/>
        <w:rPr>
          <w:b/>
          <w:sz w:val="20"/>
          <w:szCs w:val="20"/>
          <w:lang w:val="en-US"/>
        </w:rPr>
      </w:pPr>
      <w:r w:rsidRPr="007B083E">
        <w:rPr>
          <w:b/>
          <w:sz w:val="20"/>
          <w:szCs w:val="20"/>
          <w:lang w:val="en-US"/>
        </w:rPr>
        <w:t xml:space="preserve">TABLE </w:t>
      </w:r>
      <w:r w:rsidR="003D7B46" w:rsidRPr="007B083E">
        <w:rPr>
          <w:b/>
          <w:sz w:val="20"/>
          <w:szCs w:val="20"/>
          <w:lang w:val="uz-Cyrl-UZ"/>
        </w:rPr>
        <w:t>2</w:t>
      </w:r>
      <w:r w:rsidRPr="007B083E">
        <w:rPr>
          <w:b/>
          <w:sz w:val="20"/>
          <w:szCs w:val="20"/>
          <w:lang w:val="en-US"/>
        </w:rPr>
        <w:t xml:space="preserve">. </w:t>
      </w:r>
      <w:r w:rsidR="00144D0B" w:rsidRPr="007B083E">
        <w:rPr>
          <w:sz w:val="20"/>
          <w:szCs w:val="20"/>
          <w:lang w:val="en-US"/>
        </w:rPr>
        <w:t>Experimental data on the quality indicators of used motor oil — SAE 15W-40, API CI-4</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3"/>
        <w:gridCol w:w="1417"/>
        <w:gridCol w:w="1559"/>
        <w:gridCol w:w="1418"/>
        <w:gridCol w:w="1417"/>
        <w:gridCol w:w="1392"/>
      </w:tblGrid>
      <w:tr w:rsidR="00E6437E" w:rsidRPr="007B083E" w14:paraId="1FA22733" w14:textId="77777777" w:rsidTr="007B083E">
        <w:trPr>
          <w:cantSplit/>
          <w:trHeight w:val="225"/>
          <w:jc w:val="center"/>
        </w:trPr>
        <w:tc>
          <w:tcPr>
            <w:tcW w:w="1453" w:type="dxa"/>
            <w:tcBorders>
              <w:top w:val="single" w:sz="4" w:space="0" w:color="auto"/>
              <w:left w:val="single" w:sz="4" w:space="0" w:color="auto"/>
              <w:right w:val="single" w:sz="4" w:space="0" w:color="auto"/>
            </w:tcBorders>
            <w:vAlign w:val="center"/>
          </w:tcPr>
          <w:p w14:paraId="148060D7" w14:textId="5A343CB5" w:rsidR="00E6437E" w:rsidRPr="007B083E" w:rsidRDefault="00144D0B" w:rsidP="007B083E">
            <w:pPr>
              <w:jc w:val="center"/>
              <w:rPr>
                <w:b/>
                <w:bCs/>
                <w:sz w:val="20"/>
                <w:szCs w:val="20"/>
                <w:lang w:val="en-US"/>
              </w:rPr>
            </w:pPr>
            <w:r w:rsidRPr="007B083E">
              <w:rPr>
                <w:b/>
                <w:bCs/>
                <w:sz w:val="20"/>
                <w:szCs w:val="20"/>
                <w:lang w:val="en-US"/>
              </w:rPr>
              <w:t>Dump truck operating time, h</w:t>
            </w:r>
          </w:p>
        </w:tc>
        <w:tc>
          <w:tcPr>
            <w:tcW w:w="1417" w:type="dxa"/>
            <w:tcBorders>
              <w:top w:val="single" w:sz="4" w:space="0" w:color="auto"/>
              <w:left w:val="single" w:sz="4" w:space="0" w:color="auto"/>
              <w:right w:val="single" w:sz="4" w:space="0" w:color="auto"/>
            </w:tcBorders>
            <w:vAlign w:val="center"/>
          </w:tcPr>
          <w:p w14:paraId="28BF253D" w14:textId="130FFA4D" w:rsidR="00E6437E" w:rsidRPr="007B083E" w:rsidRDefault="00144D0B" w:rsidP="007B083E">
            <w:pPr>
              <w:jc w:val="center"/>
              <w:rPr>
                <w:b/>
                <w:bCs/>
                <w:sz w:val="20"/>
                <w:szCs w:val="20"/>
              </w:rPr>
            </w:pPr>
            <w:r w:rsidRPr="007B083E">
              <w:rPr>
                <w:b/>
                <w:bCs/>
                <w:sz w:val="20"/>
                <w:szCs w:val="20"/>
              </w:rPr>
              <w:t xml:space="preserve">Oil </w:t>
            </w:r>
            <w:r w:rsidRPr="007B083E">
              <w:rPr>
                <w:b/>
                <w:bCs/>
                <w:sz w:val="20"/>
                <w:szCs w:val="20"/>
                <w:lang w:val="en-US"/>
              </w:rPr>
              <w:t>o</w:t>
            </w:r>
            <w:r w:rsidRPr="007B083E">
              <w:rPr>
                <w:b/>
                <w:bCs/>
                <w:sz w:val="20"/>
                <w:szCs w:val="20"/>
              </w:rPr>
              <w:t xml:space="preserve">perating </w:t>
            </w:r>
            <w:r w:rsidRPr="007B083E">
              <w:rPr>
                <w:b/>
                <w:bCs/>
                <w:sz w:val="20"/>
                <w:szCs w:val="20"/>
                <w:lang w:val="en-US"/>
              </w:rPr>
              <w:t>t</w:t>
            </w:r>
            <w:r w:rsidRPr="007B083E">
              <w:rPr>
                <w:b/>
                <w:bCs/>
                <w:sz w:val="20"/>
                <w:szCs w:val="20"/>
              </w:rPr>
              <w:t>ime, h</w:t>
            </w:r>
          </w:p>
        </w:tc>
        <w:tc>
          <w:tcPr>
            <w:tcW w:w="1559" w:type="dxa"/>
            <w:tcBorders>
              <w:top w:val="single" w:sz="4" w:space="0" w:color="auto"/>
              <w:left w:val="single" w:sz="4" w:space="0" w:color="auto"/>
              <w:bottom w:val="single" w:sz="4" w:space="0" w:color="auto"/>
              <w:right w:val="single" w:sz="4" w:space="0" w:color="auto"/>
            </w:tcBorders>
            <w:vAlign w:val="center"/>
          </w:tcPr>
          <w:p w14:paraId="6AD46F3F" w14:textId="122985AD" w:rsidR="00E6437E" w:rsidRPr="007B083E" w:rsidRDefault="00144D0B" w:rsidP="007B083E">
            <w:pPr>
              <w:jc w:val="center"/>
              <w:rPr>
                <w:b/>
                <w:bCs/>
                <w:sz w:val="20"/>
                <w:szCs w:val="20"/>
              </w:rPr>
            </w:pPr>
            <w:r w:rsidRPr="007B083E">
              <w:rPr>
                <w:b/>
                <w:bCs/>
                <w:sz w:val="20"/>
                <w:szCs w:val="20"/>
              </w:rPr>
              <w:t xml:space="preserve">Flash </w:t>
            </w:r>
            <w:r w:rsidR="007F22BC" w:rsidRPr="007B083E">
              <w:rPr>
                <w:b/>
                <w:bCs/>
                <w:sz w:val="20"/>
                <w:szCs w:val="20"/>
                <w:lang w:val="en-US"/>
              </w:rPr>
              <w:t>p</w:t>
            </w:r>
            <w:r w:rsidRPr="007B083E">
              <w:rPr>
                <w:b/>
                <w:bCs/>
                <w:sz w:val="20"/>
                <w:szCs w:val="20"/>
              </w:rPr>
              <w:t>oint, °C</w:t>
            </w:r>
          </w:p>
        </w:tc>
        <w:tc>
          <w:tcPr>
            <w:tcW w:w="1418" w:type="dxa"/>
            <w:tcBorders>
              <w:top w:val="single" w:sz="4" w:space="0" w:color="auto"/>
              <w:left w:val="single" w:sz="4" w:space="0" w:color="auto"/>
              <w:bottom w:val="single" w:sz="4" w:space="0" w:color="auto"/>
              <w:right w:val="single" w:sz="4" w:space="0" w:color="auto"/>
            </w:tcBorders>
            <w:vAlign w:val="center"/>
          </w:tcPr>
          <w:p w14:paraId="4C3A74DE" w14:textId="5704A18C" w:rsidR="00E6437E" w:rsidRPr="007B083E" w:rsidRDefault="00144D0B" w:rsidP="007B083E">
            <w:pPr>
              <w:jc w:val="center"/>
              <w:rPr>
                <w:b/>
                <w:bCs/>
                <w:sz w:val="20"/>
                <w:szCs w:val="20"/>
                <w:lang w:val="en-US"/>
              </w:rPr>
            </w:pPr>
            <w:r w:rsidRPr="007B083E">
              <w:rPr>
                <w:b/>
                <w:bCs/>
                <w:sz w:val="20"/>
                <w:szCs w:val="20"/>
                <w:lang w:val="en-US"/>
              </w:rPr>
              <w:t>Kinematic viscosity at 100 °C, cSt</w:t>
            </w:r>
          </w:p>
        </w:tc>
        <w:tc>
          <w:tcPr>
            <w:tcW w:w="1417" w:type="dxa"/>
            <w:tcBorders>
              <w:top w:val="single" w:sz="4" w:space="0" w:color="auto"/>
              <w:left w:val="single" w:sz="4" w:space="0" w:color="auto"/>
              <w:bottom w:val="single" w:sz="4" w:space="0" w:color="auto"/>
              <w:right w:val="single" w:sz="4" w:space="0" w:color="auto"/>
            </w:tcBorders>
            <w:vAlign w:val="center"/>
          </w:tcPr>
          <w:p w14:paraId="1DE0753B" w14:textId="25F8819B" w:rsidR="00E6437E" w:rsidRPr="007B083E" w:rsidRDefault="00144D0B" w:rsidP="007B083E">
            <w:pPr>
              <w:pStyle w:val="msonormalbullet2gif"/>
              <w:spacing w:before="0" w:beforeAutospacing="0" w:after="0" w:afterAutospacing="0"/>
              <w:contextualSpacing/>
              <w:jc w:val="center"/>
              <w:rPr>
                <w:b/>
                <w:bCs/>
                <w:sz w:val="20"/>
                <w:szCs w:val="20"/>
                <w:lang w:val="en-US"/>
              </w:rPr>
            </w:pPr>
            <w:r w:rsidRPr="007B083E">
              <w:rPr>
                <w:b/>
                <w:bCs/>
                <w:sz w:val="20"/>
                <w:szCs w:val="20"/>
                <w:lang w:val="en-US"/>
              </w:rPr>
              <w:t>Total base number, mg KOH/g</w:t>
            </w:r>
          </w:p>
        </w:tc>
        <w:tc>
          <w:tcPr>
            <w:tcW w:w="1392" w:type="dxa"/>
            <w:tcBorders>
              <w:top w:val="single" w:sz="4" w:space="0" w:color="auto"/>
              <w:left w:val="single" w:sz="4" w:space="0" w:color="auto"/>
              <w:bottom w:val="single" w:sz="4" w:space="0" w:color="auto"/>
              <w:right w:val="single" w:sz="4" w:space="0" w:color="auto"/>
            </w:tcBorders>
          </w:tcPr>
          <w:p w14:paraId="46FE2A1B" w14:textId="63C63F18" w:rsidR="00E6437E" w:rsidRPr="007B083E" w:rsidRDefault="007F22BC" w:rsidP="007B083E">
            <w:pPr>
              <w:pStyle w:val="msonormalbullet2gif"/>
              <w:spacing w:before="0" w:beforeAutospacing="0" w:after="0" w:afterAutospacing="0"/>
              <w:contextualSpacing/>
              <w:jc w:val="center"/>
              <w:rPr>
                <w:b/>
                <w:bCs/>
                <w:sz w:val="20"/>
                <w:szCs w:val="20"/>
                <w:lang w:val="en-US"/>
              </w:rPr>
            </w:pPr>
            <w:r w:rsidRPr="007B083E">
              <w:rPr>
                <w:b/>
                <w:bCs/>
                <w:sz w:val="20"/>
                <w:szCs w:val="20"/>
              </w:rPr>
              <w:t xml:space="preserve">Fe </w:t>
            </w:r>
            <w:r w:rsidRPr="007B083E">
              <w:rPr>
                <w:b/>
                <w:bCs/>
                <w:sz w:val="20"/>
                <w:szCs w:val="20"/>
                <w:lang w:val="en-US"/>
              </w:rPr>
              <w:t>c</w:t>
            </w:r>
            <w:r w:rsidRPr="007B083E">
              <w:rPr>
                <w:b/>
                <w:bCs/>
                <w:sz w:val="20"/>
                <w:szCs w:val="20"/>
              </w:rPr>
              <w:t>oncentration, ppm</w:t>
            </w:r>
          </w:p>
        </w:tc>
      </w:tr>
      <w:tr w:rsidR="00E6437E" w:rsidRPr="007B083E" w14:paraId="231B9A7D" w14:textId="77777777" w:rsidTr="0011094D">
        <w:trPr>
          <w:trHeight w:val="275"/>
          <w:jc w:val="center"/>
        </w:trPr>
        <w:tc>
          <w:tcPr>
            <w:tcW w:w="1453" w:type="dxa"/>
          </w:tcPr>
          <w:p w14:paraId="2AC69DC1" w14:textId="77777777" w:rsidR="00E6437E" w:rsidRPr="007B083E" w:rsidRDefault="0011094D" w:rsidP="007B083E">
            <w:pPr>
              <w:jc w:val="center"/>
              <w:rPr>
                <w:sz w:val="20"/>
                <w:szCs w:val="20"/>
                <w:lang w:val="en-US"/>
              </w:rPr>
            </w:pPr>
            <w:r w:rsidRPr="007B083E">
              <w:rPr>
                <w:sz w:val="20"/>
                <w:szCs w:val="20"/>
                <w:lang w:val="en-US"/>
              </w:rPr>
              <w:t>6620</w:t>
            </w:r>
          </w:p>
        </w:tc>
        <w:tc>
          <w:tcPr>
            <w:tcW w:w="1417" w:type="dxa"/>
            <w:vAlign w:val="center"/>
          </w:tcPr>
          <w:p w14:paraId="209EC0DE" w14:textId="77777777" w:rsidR="00E6437E" w:rsidRPr="007B083E" w:rsidRDefault="00BC76DD" w:rsidP="007B083E">
            <w:pPr>
              <w:jc w:val="center"/>
              <w:rPr>
                <w:sz w:val="20"/>
                <w:szCs w:val="20"/>
                <w:lang w:val="en-US"/>
              </w:rPr>
            </w:pPr>
            <w:r w:rsidRPr="007B083E">
              <w:rPr>
                <w:sz w:val="20"/>
                <w:szCs w:val="20"/>
                <w:lang w:val="en-US"/>
              </w:rPr>
              <w:t>50</w:t>
            </w:r>
          </w:p>
        </w:tc>
        <w:tc>
          <w:tcPr>
            <w:tcW w:w="1559" w:type="dxa"/>
            <w:vAlign w:val="center"/>
          </w:tcPr>
          <w:p w14:paraId="0559D0A1" w14:textId="77777777" w:rsidR="00E6437E" w:rsidRPr="007B083E" w:rsidRDefault="00E6437E" w:rsidP="007B083E">
            <w:pPr>
              <w:jc w:val="center"/>
              <w:rPr>
                <w:sz w:val="20"/>
                <w:szCs w:val="20"/>
                <w:lang w:val="en-US"/>
              </w:rPr>
            </w:pPr>
            <w:r w:rsidRPr="007B083E">
              <w:rPr>
                <w:sz w:val="20"/>
                <w:szCs w:val="20"/>
              </w:rPr>
              <w:t>21</w:t>
            </w:r>
            <w:r w:rsidR="00E06B76" w:rsidRPr="007B083E">
              <w:rPr>
                <w:sz w:val="20"/>
                <w:szCs w:val="20"/>
                <w:lang w:val="en-US"/>
              </w:rPr>
              <w:t>3</w:t>
            </w:r>
          </w:p>
        </w:tc>
        <w:tc>
          <w:tcPr>
            <w:tcW w:w="1418" w:type="dxa"/>
            <w:vAlign w:val="center"/>
          </w:tcPr>
          <w:p w14:paraId="61A56B01" w14:textId="77777777" w:rsidR="00E6437E" w:rsidRPr="007B083E" w:rsidRDefault="00E6437E" w:rsidP="007B083E">
            <w:pPr>
              <w:jc w:val="center"/>
              <w:rPr>
                <w:sz w:val="20"/>
                <w:szCs w:val="20"/>
              </w:rPr>
            </w:pPr>
            <w:r w:rsidRPr="007B083E">
              <w:rPr>
                <w:sz w:val="20"/>
                <w:szCs w:val="20"/>
              </w:rPr>
              <w:t>1</w:t>
            </w:r>
            <w:r w:rsidR="00E06B76" w:rsidRPr="007B083E">
              <w:rPr>
                <w:sz w:val="20"/>
                <w:szCs w:val="20"/>
                <w:lang w:val="en-US"/>
              </w:rPr>
              <w:t>4</w:t>
            </w:r>
            <w:r w:rsidRPr="007B083E">
              <w:rPr>
                <w:sz w:val="20"/>
                <w:szCs w:val="20"/>
              </w:rPr>
              <w:t>,87</w:t>
            </w:r>
          </w:p>
        </w:tc>
        <w:tc>
          <w:tcPr>
            <w:tcW w:w="1417" w:type="dxa"/>
          </w:tcPr>
          <w:p w14:paraId="2207003F" w14:textId="77777777" w:rsidR="00E6437E" w:rsidRPr="007B083E" w:rsidRDefault="00E6437E" w:rsidP="007B083E">
            <w:pPr>
              <w:jc w:val="center"/>
              <w:rPr>
                <w:sz w:val="20"/>
                <w:szCs w:val="20"/>
              </w:rPr>
            </w:pPr>
            <w:r w:rsidRPr="007B083E">
              <w:rPr>
                <w:sz w:val="20"/>
                <w:szCs w:val="20"/>
              </w:rPr>
              <w:t>9,29</w:t>
            </w:r>
          </w:p>
        </w:tc>
        <w:tc>
          <w:tcPr>
            <w:tcW w:w="1392" w:type="dxa"/>
          </w:tcPr>
          <w:p w14:paraId="01A14689" w14:textId="77777777" w:rsidR="00E6437E" w:rsidRPr="007B083E" w:rsidRDefault="00E6437E" w:rsidP="007B083E">
            <w:pPr>
              <w:jc w:val="center"/>
              <w:rPr>
                <w:sz w:val="20"/>
                <w:szCs w:val="20"/>
              </w:rPr>
            </w:pPr>
            <w:r w:rsidRPr="007B083E">
              <w:rPr>
                <w:sz w:val="20"/>
                <w:szCs w:val="20"/>
              </w:rPr>
              <w:t>7,56</w:t>
            </w:r>
          </w:p>
        </w:tc>
      </w:tr>
      <w:tr w:rsidR="00E6437E" w:rsidRPr="007B083E" w14:paraId="27CD48D3" w14:textId="77777777" w:rsidTr="0011094D">
        <w:trPr>
          <w:trHeight w:val="128"/>
          <w:jc w:val="center"/>
        </w:trPr>
        <w:tc>
          <w:tcPr>
            <w:tcW w:w="1453" w:type="dxa"/>
          </w:tcPr>
          <w:p w14:paraId="75026109" w14:textId="77777777" w:rsidR="00E6437E" w:rsidRPr="007B083E" w:rsidRDefault="0011094D" w:rsidP="007B083E">
            <w:pPr>
              <w:jc w:val="center"/>
              <w:rPr>
                <w:sz w:val="20"/>
                <w:szCs w:val="20"/>
                <w:lang w:val="en-US"/>
              </w:rPr>
            </w:pPr>
            <w:r w:rsidRPr="007B083E">
              <w:rPr>
                <w:sz w:val="20"/>
                <w:szCs w:val="20"/>
                <w:lang w:val="en-US"/>
              </w:rPr>
              <w:t>6765</w:t>
            </w:r>
          </w:p>
        </w:tc>
        <w:tc>
          <w:tcPr>
            <w:tcW w:w="1417" w:type="dxa"/>
            <w:vAlign w:val="center"/>
          </w:tcPr>
          <w:p w14:paraId="77518160" w14:textId="77777777" w:rsidR="00E6437E" w:rsidRPr="007B083E" w:rsidRDefault="00BC76DD" w:rsidP="007B083E">
            <w:pPr>
              <w:jc w:val="center"/>
              <w:rPr>
                <w:sz w:val="20"/>
                <w:szCs w:val="20"/>
                <w:lang w:val="en-US"/>
              </w:rPr>
            </w:pPr>
            <w:r w:rsidRPr="007B083E">
              <w:rPr>
                <w:sz w:val="20"/>
                <w:szCs w:val="20"/>
                <w:lang w:val="en-US"/>
              </w:rPr>
              <w:t>125</w:t>
            </w:r>
          </w:p>
        </w:tc>
        <w:tc>
          <w:tcPr>
            <w:tcW w:w="1559" w:type="dxa"/>
            <w:vAlign w:val="center"/>
          </w:tcPr>
          <w:p w14:paraId="0CDD4613" w14:textId="77777777" w:rsidR="00E6437E" w:rsidRPr="007B083E" w:rsidRDefault="00E6437E" w:rsidP="007B083E">
            <w:pPr>
              <w:jc w:val="center"/>
              <w:rPr>
                <w:sz w:val="20"/>
                <w:szCs w:val="20"/>
                <w:lang w:val="en-US"/>
              </w:rPr>
            </w:pPr>
            <w:r w:rsidRPr="007B083E">
              <w:rPr>
                <w:sz w:val="20"/>
                <w:szCs w:val="20"/>
              </w:rPr>
              <w:t>21</w:t>
            </w:r>
            <w:r w:rsidR="00E06B76" w:rsidRPr="007B083E">
              <w:rPr>
                <w:sz w:val="20"/>
                <w:szCs w:val="20"/>
                <w:lang w:val="en-US"/>
              </w:rPr>
              <w:t>4</w:t>
            </w:r>
          </w:p>
        </w:tc>
        <w:tc>
          <w:tcPr>
            <w:tcW w:w="1418" w:type="dxa"/>
            <w:vAlign w:val="center"/>
          </w:tcPr>
          <w:p w14:paraId="1FD606AB" w14:textId="77777777" w:rsidR="00E6437E" w:rsidRPr="007B083E" w:rsidRDefault="00E6437E" w:rsidP="007B083E">
            <w:pPr>
              <w:jc w:val="center"/>
              <w:rPr>
                <w:sz w:val="20"/>
                <w:szCs w:val="20"/>
                <w:lang w:val="en-US"/>
              </w:rPr>
            </w:pPr>
            <w:r w:rsidRPr="007B083E">
              <w:rPr>
                <w:sz w:val="20"/>
                <w:szCs w:val="20"/>
              </w:rPr>
              <w:t>1</w:t>
            </w:r>
            <w:r w:rsidR="00E06B76" w:rsidRPr="007B083E">
              <w:rPr>
                <w:sz w:val="20"/>
                <w:szCs w:val="20"/>
                <w:lang w:val="en-US"/>
              </w:rPr>
              <w:t>4</w:t>
            </w:r>
            <w:r w:rsidRPr="007B083E">
              <w:rPr>
                <w:sz w:val="20"/>
                <w:szCs w:val="20"/>
              </w:rPr>
              <w:t>,</w:t>
            </w:r>
            <w:r w:rsidR="00E06B76" w:rsidRPr="007B083E">
              <w:rPr>
                <w:sz w:val="20"/>
                <w:szCs w:val="20"/>
                <w:lang w:val="en-US"/>
              </w:rPr>
              <w:t>38</w:t>
            </w:r>
          </w:p>
        </w:tc>
        <w:tc>
          <w:tcPr>
            <w:tcW w:w="1417" w:type="dxa"/>
          </w:tcPr>
          <w:p w14:paraId="70CA97B3" w14:textId="77777777" w:rsidR="00E6437E" w:rsidRPr="007B083E" w:rsidRDefault="00E6437E" w:rsidP="007B083E">
            <w:pPr>
              <w:jc w:val="center"/>
              <w:rPr>
                <w:sz w:val="20"/>
                <w:szCs w:val="20"/>
              </w:rPr>
            </w:pPr>
            <w:r w:rsidRPr="007B083E">
              <w:rPr>
                <w:sz w:val="20"/>
                <w:szCs w:val="20"/>
              </w:rPr>
              <w:t>9,14</w:t>
            </w:r>
          </w:p>
        </w:tc>
        <w:tc>
          <w:tcPr>
            <w:tcW w:w="1392" w:type="dxa"/>
          </w:tcPr>
          <w:p w14:paraId="272A961B" w14:textId="77777777" w:rsidR="00E6437E" w:rsidRPr="007B083E" w:rsidRDefault="00E6437E" w:rsidP="007B083E">
            <w:pPr>
              <w:jc w:val="center"/>
              <w:rPr>
                <w:sz w:val="20"/>
                <w:szCs w:val="20"/>
              </w:rPr>
            </w:pPr>
            <w:r w:rsidRPr="007B083E">
              <w:rPr>
                <w:sz w:val="20"/>
                <w:szCs w:val="20"/>
              </w:rPr>
              <w:t>8,38</w:t>
            </w:r>
          </w:p>
        </w:tc>
      </w:tr>
      <w:tr w:rsidR="00E6437E" w:rsidRPr="007B083E" w14:paraId="709DC18D" w14:textId="77777777" w:rsidTr="0011094D">
        <w:trPr>
          <w:trHeight w:val="145"/>
          <w:jc w:val="center"/>
        </w:trPr>
        <w:tc>
          <w:tcPr>
            <w:tcW w:w="1453" w:type="dxa"/>
          </w:tcPr>
          <w:p w14:paraId="096F9747" w14:textId="77777777" w:rsidR="00E6437E" w:rsidRPr="007B083E" w:rsidRDefault="0011094D" w:rsidP="007B083E">
            <w:pPr>
              <w:jc w:val="center"/>
              <w:rPr>
                <w:sz w:val="20"/>
                <w:szCs w:val="20"/>
                <w:lang w:val="en-US"/>
              </w:rPr>
            </w:pPr>
            <w:r w:rsidRPr="007B083E">
              <w:rPr>
                <w:sz w:val="20"/>
                <w:szCs w:val="20"/>
                <w:lang w:val="en-US"/>
              </w:rPr>
              <w:t>6870</w:t>
            </w:r>
          </w:p>
        </w:tc>
        <w:tc>
          <w:tcPr>
            <w:tcW w:w="1417" w:type="dxa"/>
            <w:vAlign w:val="center"/>
          </w:tcPr>
          <w:p w14:paraId="190B435B" w14:textId="77777777" w:rsidR="00E6437E" w:rsidRPr="007B083E" w:rsidRDefault="00BC76DD" w:rsidP="007B083E">
            <w:pPr>
              <w:jc w:val="center"/>
              <w:rPr>
                <w:sz w:val="20"/>
                <w:szCs w:val="20"/>
                <w:lang w:val="en-US"/>
              </w:rPr>
            </w:pPr>
            <w:r w:rsidRPr="007B083E">
              <w:rPr>
                <w:sz w:val="20"/>
                <w:szCs w:val="20"/>
                <w:lang w:val="en-US"/>
              </w:rPr>
              <w:t>198</w:t>
            </w:r>
          </w:p>
        </w:tc>
        <w:tc>
          <w:tcPr>
            <w:tcW w:w="1559" w:type="dxa"/>
            <w:vAlign w:val="center"/>
          </w:tcPr>
          <w:p w14:paraId="6023B540" w14:textId="77777777" w:rsidR="00E6437E" w:rsidRPr="007B083E" w:rsidRDefault="00E6437E" w:rsidP="007B083E">
            <w:pPr>
              <w:jc w:val="center"/>
              <w:rPr>
                <w:sz w:val="20"/>
                <w:szCs w:val="20"/>
                <w:lang w:val="en-US"/>
              </w:rPr>
            </w:pPr>
            <w:r w:rsidRPr="007B083E">
              <w:rPr>
                <w:sz w:val="20"/>
                <w:szCs w:val="20"/>
              </w:rPr>
              <w:t>21</w:t>
            </w:r>
            <w:r w:rsidR="00E06B76" w:rsidRPr="007B083E">
              <w:rPr>
                <w:sz w:val="20"/>
                <w:szCs w:val="20"/>
                <w:lang w:val="en-US"/>
              </w:rPr>
              <w:t>0</w:t>
            </w:r>
          </w:p>
        </w:tc>
        <w:tc>
          <w:tcPr>
            <w:tcW w:w="1418" w:type="dxa"/>
            <w:vAlign w:val="center"/>
          </w:tcPr>
          <w:p w14:paraId="54ED451F" w14:textId="77777777" w:rsidR="00E6437E" w:rsidRPr="007B083E" w:rsidRDefault="00E6437E" w:rsidP="007B083E">
            <w:pPr>
              <w:jc w:val="center"/>
              <w:rPr>
                <w:sz w:val="20"/>
                <w:szCs w:val="20"/>
              </w:rPr>
            </w:pPr>
            <w:r w:rsidRPr="007B083E">
              <w:rPr>
                <w:sz w:val="20"/>
                <w:szCs w:val="20"/>
              </w:rPr>
              <w:t>14,</w:t>
            </w:r>
            <w:r w:rsidR="00E06B76" w:rsidRPr="007B083E">
              <w:rPr>
                <w:sz w:val="20"/>
                <w:szCs w:val="20"/>
                <w:lang w:val="en-US"/>
              </w:rPr>
              <w:t>3</w:t>
            </w:r>
            <w:r w:rsidRPr="007B083E">
              <w:rPr>
                <w:sz w:val="20"/>
                <w:szCs w:val="20"/>
              </w:rPr>
              <w:t>4</w:t>
            </w:r>
          </w:p>
        </w:tc>
        <w:tc>
          <w:tcPr>
            <w:tcW w:w="1417" w:type="dxa"/>
          </w:tcPr>
          <w:p w14:paraId="2D818D2E" w14:textId="77777777" w:rsidR="00E6437E" w:rsidRPr="007B083E" w:rsidRDefault="00E6437E" w:rsidP="007B083E">
            <w:pPr>
              <w:jc w:val="center"/>
              <w:rPr>
                <w:sz w:val="20"/>
                <w:szCs w:val="20"/>
              </w:rPr>
            </w:pPr>
            <w:r w:rsidRPr="007B083E">
              <w:rPr>
                <w:sz w:val="20"/>
                <w:szCs w:val="20"/>
              </w:rPr>
              <w:t>9,11</w:t>
            </w:r>
          </w:p>
        </w:tc>
        <w:tc>
          <w:tcPr>
            <w:tcW w:w="1392" w:type="dxa"/>
          </w:tcPr>
          <w:p w14:paraId="5E11EC29" w14:textId="77777777" w:rsidR="00E6437E" w:rsidRPr="007B083E" w:rsidRDefault="00E6437E" w:rsidP="007B083E">
            <w:pPr>
              <w:jc w:val="center"/>
              <w:rPr>
                <w:sz w:val="20"/>
                <w:szCs w:val="20"/>
              </w:rPr>
            </w:pPr>
            <w:r w:rsidRPr="007B083E">
              <w:rPr>
                <w:sz w:val="20"/>
                <w:szCs w:val="20"/>
              </w:rPr>
              <w:t>8,53</w:t>
            </w:r>
          </w:p>
        </w:tc>
      </w:tr>
      <w:tr w:rsidR="00E6437E" w:rsidRPr="007B083E" w14:paraId="3B1A151B" w14:textId="77777777" w:rsidTr="0011094D">
        <w:trPr>
          <w:trHeight w:val="231"/>
          <w:jc w:val="center"/>
        </w:trPr>
        <w:tc>
          <w:tcPr>
            <w:tcW w:w="1453" w:type="dxa"/>
          </w:tcPr>
          <w:p w14:paraId="6F172433" w14:textId="77777777" w:rsidR="00E6437E" w:rsidRPr="007B083E" w:rsidRDefault="0011094D" w:rsidP="007B083E">
            <w:pPr>
              <w:jc w:val="center"/>
              <w:rPr>
                <w:sz w:val="20"/>
                <w:szCs w:val="20"/>
                <w:lang w:val="en-US"/>
              </w:rPr>
            </w:pPr>
            <w:r w:rsidRPr="007B083E">
              <w:rPr>
                <w:sz w:val="20"/>
                <w:szCs w:val="20"/>
                <w:lang w:val="en-US"/>
              </w:rPr>
              <w:t>6938</w:t>
            </w:r>
          </w:p>
        </w:tc>
        <w:tc>
          <w:tcPr>
            <w:tcW w:w="1417" w:type="dxa"/>
            <w:vAlign w:val="center"/>
          </w:tcPr>
          <w:p w14:paraId="65D49A9B" w14:textId="77777777" w:rsidR="00E6437E" w:rsidRPr="007B083E" w:rsidRDefault="00BC76DD" w:rsidP="007B083E">
            <w:pPr>
              <w:jc w:val="center"/>
              <w:rPr>
                <w:sz w:val="20"/>
                <w:szCs w:val="20"/>
                <w:lang w:val="en-US"/>
              </w:rPr>
            </w:pPr>
            <w:r w:rsidRPr="007B083E">
              <w:rPr>
                <w:sz w:val="20"/>
                <w:szCs w:val="20"/>
                <w:lang w:val="en-US"/>
              </w:rPr>
              <w:t>278</w:t>
            </w:r>
          </w:p>
        </w:tc>
        <w:tc>
          <w:tcPr>
            <w:tcW w:w="1559" w:type="dxa"/>
            <w:vAlign w:val="center"/>
          </w:tcPr>
          <w:p w14:paraId="283C23AC" w14:textId="77777777" w:rsidR="00E6437E" w:rsidRPr="007B083E" w:rsidRDefault="00E6437E" w:rsidP="007B083E">
            <w:pPr>
              <w:jc w:val="center"/>
              <w:rPr>
                <w:sz w:val="20"/>
                <w:szCs w:val="20"/>
                <w:lang w:val="en-US"/>
              </w:rPr>
            </w:pPr>
            <w:r w:rsidRPr="007B083E">
              <w:rPr>
                <w:sz w:val="20"/>
                <w:szCs w:val="20"/>
              </w:rPr>
              <w:t>2</w:t>
            </w:r>
            <w:r w:rsidR="00E06B76" w:rsidRPr="007B083E">
              <w:rPr>
                <w:sz w:val="20"/>
                <w:szCs w:val="20"/>
                <w:lang w:val="en-US"/>
              </w:rPr>
              <w:t>09</w:t>
            </w:r>
          </w:p>
        </w:tc>
        <w:tc>
          <w:tcPr>
            <w:tcW w:w="1418" w:type="dxa"/>
            <w:vAlign w:val="center"/>
          </w:tcPr>
          <w:p w14:paraId="26313E86" w14:textId="77777777" w:rsidR="00E6437E" w:rsidRPr="007B083E" w:rsidRDefault="00E6437E" w:rsidP="007B083E">
            <w:pPr>
              <w:jc w:val="center"/>
              <w:rPr>
                <w:sz w:val="20"/>
                <w:szCs w:val="20"/>
              </w:rPr>
            </w:pPr>
            <w:r w:rsidRPr="007B083E">
              <w:rPr>
                <w:sz w:val="20"/>
                <w:szCs w:val="20"/>
              </w:rPr>
              <w:t>14,</w:t>
            </w:r>
            <w:r w:rsidR="00E06B76" w:rsidRPr="007B083E">
              <w:rPr>
                <w:sz w:val="20"/>
                <w:szCs w:val="20"/>
                <w:lang w:val="en-US"/>
              </w:rPr>
              <w:t>0</w:t>
            </w:r>
            <w:r w:rsidRPr="007B083E">
              <w:rPr>
                <w:sz w:val="20"/>
                <w:szCs w:val="20"/>
              </w:rPr>
              <w:t>4</w:t>
            </w:r>
          </w:p>
        </w:tc>
        <w:tc>
          <w:tcPr>
            <w:tcW w:w="1417" w:type="dxa"/>
          </w:tcPr>
          <w:p w14:paraId="4A3867A1" w14:textId="77777777" w:rsidR="00E6437E" w:rsidRPr="007B083E" w:rsidRDefault="00AC42E1" w:rsidP="007B083E">
            <w:pPr>
              <w:jc w:val="center"/>
              <w:rPr>
                <w:sz w:val="20"/>
                <w:szCs w:val="20"/>
              </w:rPr>
            </w:pPr>
            <w:r w:rsidRPr="007B083E">
              <w:rPr>
                <w:sz w:val="20"/>
                <w:szCs w:val="20"/>
                <w:lang w:val="en-US"/>
              </w:rPr>
              <w:t>8</w:t>
            </w:r>
            <w:r w:rsidR="00E6437E" w:rsidRPr="007B083E">
              <w:rPr>
                <w:sz w:val="20"/>
                <w:szCs w:val="20"/>
              </w:rPr>
              <w:t>,</w:t>
            </w:r>
            <w:r w:rsidRPr="007B083E">
              <w:rPr>
                <w:sz w:val="20"/>
                <w:szCs w:val="20"/>
                <w:lang w:val="en-US"/>
              </w:rPr>
              <w:t>8</w:t>
            </w:r>
            <w:r w:rsidR="00E6437E" w:rsidRPr="007B083E">
              <w:rPr>
                <w:sz w:val="20"/>
                <w:szCs w:val="20"/>
              </w:rPr>
              <w:t>6</w:t>
            </w:r>
          </w:p>
        </w:tc>
        <w:tc>
          <w:tcPr>
            <w:tcW w:w="1392" w:type="dxa"/>
          </w:tcPr>
          <w:p w14:paraId="70EC7A3B" w14:textId="77777777" w:rsidR="00E6437E" w:rsidRPr="007B083E" w:rsidRDefault="00E6437E" w:rsidP="007B083E">
            <w:pPr>
              <w:jc w:val="center"/>
              <w:rPr>
                <w:sz w:val="20"/>
                <w:szCs w:val="20"/>
              </w:rPr>
            </w:pPr>
            <w:r w:rsidRPr="007B083E">
              <w:rPr>
                <w:sz w:val="20"/>
                <w:szCs w:val="20"/>
              </w:rPr>
              <w:t>9,84</w:t>
            </w:r>
          </w:p>
        </w:tc>
      </w:tr>
      <w:tr w:rsidR="007F22BC" w:rsidRPr="006F575F" w14:paraId="465F1EAF" w14:textId="77777777" w:rsidTr="00BA59D7">
        <w:trPr>
          <w:trHeight w:val="231"/>
          <w:jc w:val="center"/>
        </w:trPr>
        <w:tc>
          <w:tcPr>
            <w:tcW w:w="8656" w:type="dxa"/>
            <w:gridSpan w:val="6"/>
          </w:tcPr>
          <w:p w14:paraId="72A88765" w14:textId="2DE4D62B" w:rsidR="007F22BC" w:rsidRPr="007B083E" w:rsidRDefault="007F22BC" w:rsidP="007B083E">
            <w:pPr>
              <w:jc w:val="center"/>
              <w:rPr>
                <w:sz w:val="20"/>
                <w:szCs w:val="20"/>
                <w:lang w:val="en-US"/>
              </w:rPr>
            </w:pPr>
            <w:r w:rsidRPr="007B083E">
              <w:rPr>
                <w:bCs/>
                <w:sz w:val="20"/>
                <w:szCs w:val="20"/>
                <w:lang w:val="en-US"/>
              </w:rPr>
              <w:t>Oil change at 278 engine operating hours</w:t>
            </w:r>
          </w:p>
        </w:tc>
      </w:tr>
      <w:tr w:rsidR="007F22BC" w:rsidRPr="007B083E" w14:paraId="18FA7CCE" w14:textId="77777777" w:rsidTr="0011094D">
        <w:trPr>
          <w:trHeight w:val="231"/>
          <w:jc w:val="center"/>
        </w:trPr>
        <w:tc>
          <w:tcPr>
            <w:tcW w:w="1453" w:type="dxa"/>
          </w:tcPr>
          <w:p w14:paraId="4A28F61E" w14:textId="77777777" w:rsidR="007F22BC" w:rsidRPr="007B083E" w:rsidRDefault="007F22BC" w:rsidP="007B083E">
            <w:pPr>
              <w:jc w:val="center"/>
              <w:rPr>
                <w:sz w:val="20"/>
                <w:szCs w:val="20"/>
                <w:lang w:val="en-US"/>
              </w:rPr>
            </w:pPr>
            <w:r w:rsidRPr="007B083E">
              <w:rPr>
                <w:sz w:val="20"/>
                <w:szCs w:val="20"/>
                <w:lang w:val="en-US"/>
              </w:rPr>
              <w:t>6955</w:t>
            </w:r>
          </w:p>
        </w:tc>
        <w:tc>
          <w:tcPr>
            <w:tcW w:w="1417" w:type="dxa"/>
            <w:vAlign w:val="center"/>
          </w:tcPr>
          <w:p w14:paraId="2076AEDF" w14:textId="77777777" w:rsidR="007F22BC" w:rsidRPr="007B083E" w:rsidRDefault="007F22BC" w:rsidP="007B083E">
            <w:pPr>
              <w:jc w:val="center"/>
              <w:rPr>
                <w:sz w:val="20"/>
                <w:szCs w:val="20"/>
                <w:lang w:val="en-US"/>
              </w:rPr>
            </w:pPr>
            <w:r w:rsidRPr="007B083E">
              <w:rPr>
                <w:sz w:val="20"/>
                <w:szCs w:val="20"/>
                <w:lang w:val="en-US"/>
              </w:rPr>
              <w:t>17</w:t>
            </w:r>
          </w:p>
        </w:tc>
        <w:tc>
          <w:tcPr>
            <w:tcW w:w="1559" w:type="dxa"/>
            <w:vAlign w:val="center"/>
          </w:tcPr>
          <w:p w14:paraId="041F6FEA" w14:textId="77777777" w:rsidR="007F22BC" w:rsidRPr="007B083E" w:rsidRDefault="007F22BC" w:rsidP="007B083E">
            <w:pPr>
              <w:jc w:val="center"/>
              <w:rPr>
                <w:sz w:val="20"/>
                <w:szCs w:val="20"/>
              </w:rPr>
            </w:pPr>
            <w:r w:rsidRPr="007B083E">
              <w:rPr>
                <w:sz w:val="20"/>
                <w:szCs w:val="20"/>
              </w:rPr>
              <w:t>214</w:t>
            </w:r>
          </w:p>
        </w:tc>
        <w:tc>
          <w:tcPr>
            <w:tcW w:w="1418" w:type="dxa"/>
            <w:vAlign w:val="center"/>
          </w:tcPr>
          <w:p w14:paraId="451521C0" w14:textId="77777777" w:rsidR="007F22BC" w:rsidRPr="007B083E" w:rsidRDefault="007F22BC" w:rsidP="007B083E">
            <w:pPr>
              <w:jc w:val="center"/>
              <w:rPr>
                <w:sz w:val="20"/>
                <w:szCs w:val="20"/>
              </w:rPr>
            </w:pPr>
            <w:r w:rsidRPr="007B083E">
              <w:rPr>
                <w:sz w:val="20"/>
                <w:szCs w:val="20"/>
              </w:rPr>
              <w:t>14,</w:t>
            </w:r>
            <w:r w:rsidRPr="007B083E">
              <w:rPr>
                <w:sz w:val="20"/>
                <w:szCs w:val="20"/>
                <w:lang w:val="en-US"/>
              </w:rPr>
              <w:t>4</w:t>
            </w:r>
            <w:r w:rsidRPr="007B083E">
              <w:rPr>
                <w:sz w:val="20"/>
                <w:szCs w:val="20"/>
              </w:rPr>
              <w:t>9</w:t>
            </w:r>
          </w:p>
        </w:tc>
        <w:tc>
          <w:tcPr>
            <w:tcW w:w="1417" w:type="dxa"/>
          </w:tcPr>
          <w:p w14:paraId="56BC9000" w14:textId="77777777" w:rsidR="007F22BC" w:rsidRPr="007B083E" w:rsidRDefault="007F22BC" w:rsidP="007B083E">
            <w:pPr>
              <w:jc w:val="center"/>
              <w:rPr>
                <w:sz w:val="20"/>
                <w:szCs w:val="20"/>
              </w:rPr>
            </w:pPr>
            <w:r w:rsidRPr="007B083E">
              <w:rPr>
                <w:sz w:val="20"/>
                <w:szCs w:val="20"/>
              </w:rPr>
              <w:t>9,05</w:t>
            </w:r>
          </w:p>
        </w:tc>
        <w:tc>
          <w:tcPr>
            <w:tcW w:w="1392" w:type="dxa"/>
          </w:tcPr>
          <w:p w14:paraId="1AED3442" w14:textId="77777777" w:rsidR="007F22BC" w:rsidRPr="007B083E" w:rsidRDefault="007F22BC" w:rsidP="007B083E">
            <w:pPr>
              <w:jc w:val="center"/>
              <w:rPr>
                <w:sz w:val="20"/>
                <w:szCs w:val="20"/>
              </w:rPr>
            </w:pPr>
            <w:r w:rsidRPr="007B083E">
              <w:rPr>
                <w:sz w:val="20"/>
                <w:szCs w:val="20"/>
              </w:rPr>
              <w:t>9,25</w:t>
            </w:r>
          </w:p>
        </w:tc>
      </w:tr>
      <w:tr w:rsidR="007F22BC" w:rsidRPr="007B083E" w14:paraId="6AC5176F" w14:textId="77777777" w:rsidTr="0011094D">
        <w:trPr>
          <w:trHeight w:val="231"/>
          <w:jc w:val="center"/>
        </w:trPr>
        <w:tc>
          <w:tcPr>
            <w:tcW w:w="1453" w:type="dxa"/>
          </w:tcPr>
          <w:p w14:paraId="5C92A07C" w14:textId="77777777" w:rsidR="007F22BC" w:rsidRPr="007B083E" w:rsidRDefault="007F22BC" w:rsidP="007B083E">
            <w:pPr>
              <w:jc w:val="center"/>
              <w:rPr>
                <w:sz w:val="20"/>
                <w:szCs w:val="20"/>
                <w:lang w:val="en-US"/>
              </w:rPr>
            </w:pPr>
            <w:r w:rsidRPr="007B083E">
              <w:rPr>
                <w:sz w:val="20"/>
                <w:szCs w:val="20"/>
                <w:lang w:val="en-US"/>
              </w:rPr>
              <w:t>7105</w:t>
            </w:r>
          </w:p>
        </w:tc>
        <w:tc>
          <w:tcPr>
            <w:tcW w:w="1417" w:type="dxa"/>
            <w:vAlign w:val="center"/>
          </w:tcPr>
          <w:p w14:paraId="002390FD" w14:textId="77777777" w:rsidR="007F22BC" w:rsidRPr="007B083E" w:rsidRDefault="007F22BC" w:rsidP="007B083E">
            <w:pPr>
              <w:jc w:val="center"/>
              <w:rPr>
                <w:sz w:val="20"/>
                <w:szCs w:val="20"/>
                <w:lang w:val="en-US"/>
              </w:rPr>
            </w:pPr>
            <w:r w:rsidRPr="007B083E">
              <w:rPr>
                <w:sz w:val="20"/>
                <w:szCs w:val="20"/>
                <w:lang w:val="en-US"/>
              </w:rPr>
              <w:t>167</w:t>
            </w:r>
          </w:p>
        </w:tc>
        <w:tc>
          <w:tcPr>
            <w:tcW w:w="1559" w:type="dxa"/>
            <w:vAlign w:val="center"/>
          </w:tcPr>
          <w:p w14:paraId="6F7DE883" w14:textId="77777777" w:rsidR="007F22BC" w:rsidRPr="007B083E" w:rsidRDefault="007F22BC" w:rsidP="007B083E">
            <w:pPr>
              <w:jc w:val="center"/>
              <w:rPr>
                <w:sz w:val="20"/>
                <w:szCs w:val="20"/>
                <w:lang w:val="en-US"/>
              </w:rPr>
            </w:pPr>
            <w:r w:rsidRPr="007B083E">
              <w:rPr>
                <w:sz w:val="20"/>
                <w:szCs w:val="20"/>
              </w:rPr>
              <w:t>2</w:t>
            </w:r>
            <w:r w:rsidRPr="007B083E">
              <w:rPr>
                <w:sz w:val="20"/>
                <w:szCs w:val="20"/>
                <w:lang w:val="en-US"/>
              </w:rPr>
              <w:t>07</w:t>
            </w:r>
          </w:p>
        </w:tc>
        <w:tc>
          <w:tcPr>
            <w:tcW w:w="1418" w:type="dxa"/>
            <w:vAlign w:val="center"/>
          </w:tcPr>
          <w:p w14:paraId="4C4DE90B" w14:textId="77777777" w:rsidR="007F22BC" w:rsidRPr="007B083E" w:rsidRDefault="007F22BC" w:rsidP="007B083E">
            <w:pPr>
              <w:jc w:val="center"/>
              <w:rPr>
                <w:sz w:val="20"/>
                <w:szCs w:val="20"/>
              </w:rPr>
            </w:pPr>
            <w:r w:rsidRPr="007B083E">
              <w:rPr>
                <w:sz w:val="20"/>
                <w:szCs w:val="20"/>
              </w:rPr>
              <w:t>14,</w:t>
            </w:r>
            <w:r w:rsidRPr="007B083E">
              <w:rPr>
                <w:sz w:val="20"/>
                <w:szCs w:val="20"/>
                <w:lang w:val="en-US"/>
              </w:rPr>
              <w:t>4</w:t>
            </w:r>
            <w:r w:rsidRPr="007B083E">
              <w:rPr>
                <w:sz w:val="20"/>
                <w:szCs w:val="20"/>
              </w:rPr>
              <w:t>0</w:t>
            </w:r>
          </w:p>
        </w:tc>
        <w:tc>
          <w:tcPr>
            <w:tcW w:w="1417" w:type="dxa"/>
          </w:tcPr>
          <w:p w14:paraId="63F2322C" w14:textId="77777777" w:rsidR="007F22BC" w:rsidRPr="007B083E" w:rsidRDefault="007F22BC" w:rsidP="007B083E">
            <w:pPr>
              <w:jc w:val="center"/>
              <w:rPr>
                <w:sz w:val="20"/>
                <w:szCs w:val="20"/>
              </w:rPr>
            </w:pPr>
            <w:r w:rsidRPr="007B083E">
              <w:rPr>
                <w:sz w:val="20"/>
                <w:szCs w:val="20"/>
              </w:rPr>
              <w:t>8,97</w:t>
            </w:r>
          </w:p>
        </w:tc>
        <w:tc>
          <w:tcPr>
            <w:tcW w:w="1392" w:type="dxa"/>
          </w:tcPr>
          <w:p w14:paraId="5D7BA064" w14:textId="77777777" w:rsidR="007F22BC" w:rsidRPr="007B083E" w:rsidRDefault="007F22BC" w:rsidP="007B083E">
            <w:pPr>
              <w:jc w:val="center"/>
              <w:rPr>
                <w:sz w:val="20"/>
                <w:szCs w:val="20"/>
              </w:rPr>
            </w:pPr>
            <w:r w:rsidRPr="007B083E">
              <w:rPr>
                <w:sz w:val="20"/>
                <w:szCs w:val="20"/>
              </w:rPr>
              <w:t>9,29</w:t>
            </w:r>
          </w:p>
        </w:tc>
      </w:tr>
      <w:tr w:rsidR="007F22BC" w:rsidRPr="007B083E" w14:paraId="0AD27D80" w14:textId="77777777" w:rsidTr="0011094D">
        <w:trPr>
          <w:trHeight w:val="231"/>
          <w:jc w:val="center"/>
        </w:trPr>
        <w:tc>
          <w:tcPr>
            <w:tcW w:w="1453" w:type="dxa"/>
          </w:tcPr>
          <w:p w14:paraId="2620E7E0" w14:textId="77777777" w:rsidR="007F22BC" w:rsidRPr="007B083E" w:rsidRDefault="007F22BC" w:rsidP="007B083E">
            <w:pPr>
              <w:jc w:val="center"/>
              <w:rPr>
                <w:sz w:val="20"/>
                <w:szCs w:val="20"/>
                <w:lang w:val="en-US"/>
              </w:rPr>
            </w:pPr>
            <w:r w:rsidRPr="007B083E">
              <w:rPr>
                <w:sz w:val="20"/>
                <w:szCs w:val="20"/>
                <w:lang w:val="en-US"/>
              </w:rPr>
              <w:t>7212</w:t>
            </w:r>
          </w:p>
        </w:tc>
        <w:tc>
          <w:tcPr>
            <w:tcW w:w="1417" w:type="dxa"/>
            <w:vAlign w:val="center"/>
          </w:tcPr>
          <w:p w14:paraId="576C3B3D" w14:textId="77777777" w:rsidR="007F22BC" w:rsidRPr="007B083E" w:rsidRDefault="007F22BC" w:rsidP="007B083E">
            <w:pPr>
              <w:jc w:val="center"/>
              <w:rPr>
                <w:sz w:val="20"/>
                <w:szCs w:val="20"/>
                <w:lang w:val="en-US"/>
              </w:rPr>
            </w:pPr>
            <w:r w:rsidRPr="007B083E">
              <w:rPr>
                <w:sz w:val="20"/>
                <w:szCs w:val="20"/>
                <w:lang w:val="en-US"/>
              </w:rPr>
              <w:t>274</w:t>
            </w:r>
          </w:p>
        </w:tc>
        <w:tc>
          <w:tcPr>
            <w:tcW w:w="1559" w:type="dxa"/>
            <w:vAlign w:val="center"/>
          </w:tcPr>
          <w:p w14:paraId="6E297C35" w14:textId="77777777" w:rsidR="007F22BC" w:rsidRPr="007B083E" w:rsidRDefault="007F22BC" w:rsidP="007B083E">
            <w:pPr>
              <w:jc w:val="center"/>
              <w:rPr>
                <w:sz w:val="20"/>
                <w:szCs w:val="20"/>
                <w:lang w:val="en-US"/>
              </w:rPr>
            </w:pPr>
            <w:r w:rsidRPr="007B083E">
              <w:rPr>
                <w:sz w:val="20"/>
                <w:szCs w:val="20"/>
              </w:rPr>
              <w:t>20</w:t>
            </w:r>
            <w:r w:rsidRPr="007B083E">
              <w:rPr>
                <w:sz w:val="20"/>
                <w:szCs w:val="20"/>
                <w:lang w:val="en-US"/>
              </w:rPr>
              <w:t>5</w:t>
            </w:r>
          </w:p>
        </w:tc>
        <w:tc>
          <w:tcPr>
            <w:tcW w:w="1418" w:type="dxa"/>
            <w:vAlign w:val="center"/>
          </w:tcPr>
          <w:p w14:paraId="488EF06B" w14:textId="77777777" w:rsidR="007F22BC" w:rsidRPr="007B083E" w:rsidRDefault="007F22BC" w:rsidP="007B083E">
            <w:pPr>
              <w:jc w:val="center"/>
              <w:rPr>
                <w:sz w:val="20"/>
                <w:szCs w:val="20"/>
              </w:rPr>
            </w:pPr>
            <w:r w:rsidRPr="007B083E">
              <w:rPr>
                <w:sz w:val="20"/>
                <w:szCs w:val="20"/>
              </w:rPr>
              <w:t>14,24</w:t>
            </w:r>
          </w:p>
        </w:tc>
        <w:tc>
          <w:tcPr>
            <w:tcW w:w="1417" w:type="dxa"/>
          </w:tcPr>
          <w:p w14:paraId="2EAA19C1" w14:textId="77777777" w:rsidR="007F22BC" w:rsidRPr="007B083E" w:rsidRDefault="007F22BC" w:rsidP="007B083E">
            <w:pPr>
              <w:jc w:val="center"/>
              <w:rPr>
                <w:sz w:val="20"/>
                <w:szCs w:val="20"/>
              </w:rPr>
            </w:pPr>
            <w:r w:rsidRPr="007B083E">
              <w:rPr>
                <w:sz w:val="20"/>
                <w:szCs w:val="20"/>
              </w:rPr>
              <w:t>8,96</w:t>
            </w:r>
          </w:p>
        </w:tc>
        <w:tc>
          <w:tcPr>
            <w:tcW w:w="1392" w:type="dxa"/>
          </w:tcPr>
          <w:p w14:paraId="4EAAD5A2" w14:textId="77777777" w:rsidR="007F22BC" w:rsidRPr="007B083E" w:rsidRDefault="007F22BC" w:rsidP="007B083E">
            <w:pPr>
              <w:jc w:val="center"/>
              <w:rPr>
                <w:sz w:val="20"/>
                <w:szCs w:val="20"/>
              </w:rPr>
            </w:pPr>
            <w:r w:rsidRPr="007B083E">
              <w:rPr>
                <w:sz w:val="20"/>
                <w:szCs w:val="20"/>
              </w:rPr>
              <w:t>9,14</w:t>
            </w:r>
          </w:p>
        </w:tc>
      </w:tr>
      <w:tr w:rsidR="007F22BC" w:rsidRPr="006F575F" w14:paraId="5783E3F8" w14:textId="77777777" w:rsidTr="008146EE">
        <w:trPr>
          <w:trHeight w:val="231"/>
          <w:jc w:val="center"/>
        </w:trPr>
        <w:tc>
          <w:tcPr>
            <w:tcW w:w="8656" w:type="dxa"/>
            <w:gridSpan w:val="6"/>
          </w:tcPr>
          <w:p w14:paraId="48253C37" w14:textId="2099EA53" w:rsidR="007F22BC" w:rsidRPr="007B083E" w:rsidRDefault="007F22BC" w:rsidP="007B083E">
            <w:pPr>
              <w:jc w:val="center"/>
              <w:rPr>
                <w:sz w:val="20"/>
                <w:szCs w:val="20"/>
                <w:lang w:val="en-US"/>
              </w:rPr>
            </w:pPr>
            <w:r w:rsidRPr="007B083E">
              <w:rPr>
                <w:bCs/>
                <w:sz w:val="20"/>
                <w:szCs w:val="20"/>
                <w:lang w:val="en-US"/>
              </w:rPr>
              <w:t>Oil change at 274 engine operating hours</w:t>
            </w:r>
          </w:p>
        </w:tc>
      </w:tr>
      <w:tr w:rsidR="007F22BC" w:rsidRPr="007B083E" w14:paraId="62CFDCD9" w14:textId="77777777" w:rsidTr="0011094D">
        <w:trPr>
          <w:trHeight w:val="231"/>
          <w:jc w:val="center"/>
        </w:trPr>
        <w:tc>
          <w:tcPr>
            <w:tcW w:w="1453" w:type="dxa"/>
          </w:tcPr>
          <w:p w14:paraId="79CD80B3" w14:textId="77777777" w:rsidR="007F22BC" w:rsidRPr="007B083E" w:rsidRDefault="007F22BC" w:rsidP="007B083E">
            <w:pPr>
              <w:jc w:val="center"/>
              <w:rPr>
                <w:sz w:val="20"/>
                <w:szCs w:val="20"/>
                <w:lang w:val="en-US"/>
              </w:rPr>
            </w:pPr>
            <w:r w:rsidRPr="007B083E">
              <w:rPr>
                <w:sz w:val="20"/>
                <w:szCs w:val="20"/>
                <w:lang w:val="en-US"/>
              </w:rPr>
              <w:t>7270</w:t>
            </w:r>
          </w:p>
        </w:tc>
        <w:tc>
          <w:tcPr>
            <w:tcW w:w="1417" w:type="dxa"/>
            <w:vAlign w:val="center"/>
          </w:tcPr>
          <w:p w14:paraId="5BCF4A89" w14:textId="77777777" w:rsidR="007F22BC" w:rsidRPr="007B083E" w:rsidRDefault="007F22BC" w:rsidP="007B083E">
            <w:pPr>
              <w:jc w:val="center"/>
              <w:rPr>
                <w:sz w:val="20"/>
                <w:szCs w:val="20"/>
                <w:lang w:val="en-US"/>
              </w:rPr>
            </w:pPr>
            <w:r w:rsidRPr="007B083E">
              <w:rPr>
                <w:sz w:val="20"/>
                <w:szCs w:val="20"/>
                <w:lang w:val="en-US"/>
              </w:rPr>
              <w:t>58</w:t>
            </w:r>
          </w:p>
        </w:tc>
        <w:tc>
          <w:tcPr>
            <w:tcW w:w="1559" w:type="dxa"/>
            <w:vAlign w:val="center"/>
          </w:tcPr>
          <w:p w14:paraId="3A6B5F2F" w14:textId="77777777" w:rsidR="007F22BC" w:rsidRPr="007B083E" w:rsidRDefault="007F22BC" w:rsidP="007B083E">
            <w:pPr>
              <w:jc w:val="center"/>
              <w:rPr>
                <w:sz w:val="20"/>
                <w:szCs w:val="20"/>
                <w:lang w:val="en-US"/>
              </w:rPr>
            </w:pPr>
            <w:r w:rsidRPr="007B083E">
              <w:rPr>
                <w:sz w:val="20"/>
                <w:szCs w:val="20"/>
              </w:rPr>
              <w:t>21</w:t>
            </w:r>
            <w:r w:rsidRPr="007B083E">
              <w:rPr>
                <w:sz w:val="20"/>
                <w:szCs w:val="20"/>
                <w:lang w:val="en-US"/>
              </w:rPr>
              <w:t>3</w:t>
            </w:r>
          </w:p>
        </w:tc>
        <w:tc>
          <w:tcPr>
            <w:tcW w:w="1418" w:type="dxa"/>
            <w:vAlign w:val="center"/>
          </w:tcPr>
          <w:p w14:paraId="442F59C0" w14:textId="77777777" w:rsidR="007F22BC" w:rsidRPr="007B083E" w:rsidRDefault="007F22BC" w:rsidP="007B083E">
            <w:pPr>
              <w:jc w:val="center"/>
              <w:rPr>
                <w:sz w:val="20"/>
                <w:szCs w:val="20"/>
                <w:lang w:val="en-US"/>
              </w:rPr>
            </w:pPr>
            <w:r w:rsidRPr="007B083E">
              <w:rPr>
                <w:sz w:val="20"/>
                <w:szCs w:val="20"/>
              </w:rPr>
              <w:t>1</w:t>
            </w:r>
            <w:r w:rsidRPr="007B083E">
              <w:rPr>
                <w:sz w:val="20"/>
                <w:szCs w:val="20"/>
                <w:lang w:val="en-US"/>
              </w:rPr>
              <w:t>4</w:t>
            </w:r>
            <w:r w:rsidRPr="007B083E">
              <w:rPr>
                <w:sz w:val="20"/>
                <w:szCs w:val="20"/>
              </w:rPr>
              <w:t>,</w:t>
            </w:r>
            <w:r w:rsidRPr="007B083E">
              <w:rPr>
                <w:sz w:val="20"/>
                <w:szCs w:val="20"/>
                <w:lang w:val="en-US"/>
              </w:rPr>
              <w:t>18</w:t>
            </w:r>
          </w:p>
        </w:tc>
        <w:tc>
          <w:tcPr>
            <w:tcW w:w="1417" w:type="dxa"/>
          </w:tcPr>
          <w:p w14:paraId="6793061F" w14:textId="77777777" w:rsidR="007F22BC" w:rsidRPr="007B083E" w:rsidRDefault="007F22BC" w:rsidP="007B083E">
            <w:pPr>
              <w:jc w:val="center"/>
              <w:rPr>
                <w:sz w:val="20"/>
                <w:szCs w:val="20"/>
              </w:rPr>
            </w:pPr>
            <w:r w:rsidRPr="007B083E">
              <w:rPr>
                <w:sz w:val="20"/>
                <w:szCs w:val="20"/>
              </w:rPr>
              <w:t>8,79</w:t>
            </w:r>
          </w:p>
        </w:tc>
        <w:tc>
          <w:tcPr>
            <w:tcW w:w="1392" w:type="dxa"/>
          </w:tcPr>
          <w:p w14:paraId="0E5EB845" w14:textId="77777777" w:rsidR="007F22BC" w:rsidRPr="007B083E" w:rsidRDefault="007F22BC" w:rsidP="007B083E">
            <w:pPr>
              <w:jc w:val="center"/>
              <w:rPr>
                <w:sz w:val="20"/>
                <w:szCs w:val="20"/>
              </w:rPr>
            </w:pPr>
            <w:r w:rsidRPr="007B083E">
              <w:rPr>
                <w:sz w:val="20"/>
                <w:szCs w:val="20"/>
              </w:rPr>
              <w:t>11,79</w:t>
            </w:r>
          </w:p>
        </w:tc>
      </w:tr>
      <w:tr w:rsidR="007F22BC" w:rsidRPr="007B083E" w14:paraId="4A05BB8B" w14:textId="77777777" w:rsidTr="0011094D">
        <w:trPr>
          <w:trHeight w:val="231"/>
          <w:jc w:val="center"/>
        </w:trPr>
        <w:tc>
          <w:tcPr>
            <w:tcW w:w="1453" w:type="dxa"/>
          </w:tcPr>
          <w:p w14:paraId="5B5849FF" w14:textId="77777777" w:rsidR="007F22BC" w:rsidRPr="007B083E" w:rsidRDefault="007F22BC" w:rsidP="007B083E">
            <w:pPr>
              <w:jc w:val="center"/>
              <w:rPr>
                <w:sz w:val="20"/>
                <w:szCs w:val="20"/>
                <w:lang w:val="en-US"/>
              </w:rPr>
            </w:pPr>
            <w:r w:rsidRPr="007B083E">
              <w:rPr>
                <w:sz w:val="20"/>
                <w:szCs w:val="20"/>
                <w:lang w:val="en-US"/>
              </w:rPr>
              <w:t>7490</w:t>
            </w:r>
          </w:p>
        </w:tc>
        <w:tc>
          <w:tcPr>
            <w:tcW w:w="1417" w:type="dxa"/>
            <w:vAlign w:val="center"/>
          </w:tcPr>
          <w:p w14:paraId="651B9B51" w14:textId="77777777" w:rsidR="007F22BC" w:rsidRPr="007B083E" w:rsidRDefault="007F22BC" w:rsidP="007B083E">
            <w:pPr>
              <w:jc w:val="center"/>
              <w:rPr>
                <w:sz w:val="20"/>
                <w:szCs w:val="20"/>
                <w:lang w:val="en-US"/>
              </w:rPr>
            </w:pPr>
            <w:r w:rsidRPr="007B083E">
              <w:rPr>
                <w:sz w:val="20"/>
                <w:szCs w:val="20"/>
                <w:lang w:val="en-US"/>
              </w:rPr>
              <w:t>228</w:t>
            </w:r>
          </w:p>
        </w:tc>
        <w:tc>
          <w:tcPr>
            <w:tcW w:w="1559" w:type="dxa"/>
            <w:vAlign w:val="center"/>
          </w:tcPr>
          <w:p w14:paraId="6F2270E7" w14:textId="77777777" w:rsidR="007F22BC" w:rsidRPr="007B083E" w:rsidRDefault="007F22BC" w:rsidP="007B083E">
            <w:pPr>
              <w:jc w:val="center"/>
              <w:rPr>
                <w:sz w:val="20"/>
                <w:szCs w:val="20"/>
                <w:lang w:val="en-US"/>
              </w:rPr>
            </w:pPr>
            <w:r w:rsidRPr="007B083E">
              <w:rPr>
                <w:sz w:val="20"/>
                <w:szCs w:val="20"/>
              </w:rPr>
              <w:t>2</w:t>
            </w:r>
            <w:r w:rsidRPr="007B083E">
              <w:rPr>
                <w:sz w:val="20"/>
                <w:szCs w:val="20"/>
                <w:lang w:val="en-US"/>
              </w:rPr>
              <w:t>06</w:t>
            </w:r>
          </w:p>
        </w:tc>
        <w:tc>
          <w:tcPr>
            <w:tcW w:w="1418" w:type="dxa"/>
            <w:vAlign w:val="center"/>
          </w:tcPr>
          <w:p w14:paraId="17523F23" w14:textId="77777777" w:rsidR="007F22BC" w:rsidRPr="007B083E" w:rsidRDefault="007F22BC" w:rsidP="007B083E">
            <w:pPr>
              <w:jc w:val="center"/>
              <w:rPr>
                <w:sz w:val="20"/>
                <w:szCs w:val="20"/>
              </w:rPr>
            </w:pPr>
            <w:r w:rsidRPr="007B083E">
              <w:rPr>
                <w:sz w:val="20"/>
                <w:szCs w:val="20"/>
              </w:rPr>
              <w:t>1</w:t>
            </w:r>
            <w:r w:rsidRPr="007B083E">
              <w:rPr>
                <w:sz w:val="20"/>
                <w:szCs w:val="20"/>
                <w:lang w:val="en-US"/>
              </w:rPr>
              <w:t>4</w:t>
            </w:r>
            <w:r w:rsidRPr="007B083E">
              <w:rPr>
                <w:sz w:val="20"/>
                <w:szCs w:val="20"/>
              </w:rPr>
              <w:t>,</w:t>
            </w:r>
            <w:r w:rsidRPr="007B083E">
              <w:rPr>
                <w:sz w:val="20"/>
                <w:szCs w:val="20"/>
                <w:lang w:val="en-US"/>
              </w:rPr>
              <w:t>1</w:t>
            </w:r>
            <w:r w:rsidRPr="007B083E">
              <w:rPr>
                <w:sz w:val="20"/>
                <w:szCs w:val="20"/>
              </w:rPr>
              <w:t>0</w:t>
            </w:r>
          </w:p>
        </w:tc>
        <w:tc>
          <w:tcPr>
            <w:tcW w:w="1417" w:type="dxa"/>
          </w:tcPr>
          <w:p w14:paraId="494CE6E0" w14:textId="77777777" w:rsidR="007F22BC" w:rsidRPr="007B083E" w:rsidRDefault="007F22BC" w:rsidP="007B083E">
            <w:pPr>
              <w:jc w:val="center"/>
              <w:rPr>
                <w:sz w:val="20"/>
                <w:szCs w:val="20"/>
              </w:rPr>
            </w:pPr>
            <w:r w:rsidRPr="007B083E">
              <w:rPr>
                <w:sz w:val="20"/>
                <w:szCs w:val="20"/>
              </w:rPr>
              <w:t>8,27</w:t>
            </w:r>
          </w:p>
        </w:tc>
        <w:tc>
          <w:tcPr>
            <w:tcW w:w="1392" w:type="dxa"/>
          </w:tcPr>
          <w:p w14:paraId="2641EBF4" w14:textId="77777777" w:rsidR="007F22BC" w:rsidRPr="007B083E" w:rsidRDefault="007F22BC" w:rsidP="007B083E">
            <w:pPr>
              <w:jc w:val="center"/>
              <w:rPr>
                <w:sz w:val="20"/>
                <w:szCs w:val="20"/>
              </w:rPr>
            </w:pPr>
            <w:r w:rsidRPr="007B083E">
              <w:rPr>
                <w:sz w:val="20"/>
                <w:szCs w:val="20"/>
              </w:rPr>
              <w:t>12,24</w:t>
            </w:r>
          </w:p>
        </w:tc>
      </w:tr>
      <w:tr w:rsidR="007F22BC" w:rsidRPr="007B083E" w14:paraId="1CB305CD" w14:textId="77777777" w:rsidTr="0011094D">
        <w:trPr>
          <w:trHeight w:val="231"/>
          <w:jc w:val="center"/>
        </w:trPr>
        <w:tc>
          <w:tcPr>
            <w:tcW w:w="1453" w:type="dxa"/>
          </w:tcPr>
          <w:p w14:paraId="58F89D69" w14:textId="77777777" w:rsidR="007F22BC" w:rsidRPr="007B083E" w:rsidRDefault="007F22BC" w:rsidP="007B083E">
            <w:pPr>
              <w:jc w:val="center"/>
              <w:rPr>
                <w:sz w:val="20"/>
                <w:szCs w:val="20"/>
                <w:lang w:val="en-US"/>
              </w:rPr>
            </w:pPr>
            <w:r w:rsidRPr="007B083E">
              <w:rPr>
                <w:sz w:val="20"/>
                <w:szCs w:val="20"/>
                <w:lang w:val="en-US"/>
              </w:rPr>
              <w:t>7501</w:t>
            </w:r>
          </w:p>
        </w:tc>
        <w:tc>
          <w:tcPr>
            <w:tcW w:w="1417" w:type="dxa"/>
            <w:vAlign w:val="center"/>
          </w:tcPr>
          <w:p w14:paraId="54BB9DC9" w14:textId="77777777" w:rsidR="007F22BC" w:rsidRPr="007B083E" w:rsidRDefault="007F22BC" w:rsidP="007B083E">
            <w:pPr>
              <w:jc w:val="center"/>
              <w:rPr>
                <w:sz w:val="20"/>
                <w:szCs w:val="20"/>
                <w:lang w:val="en-US"/>
              </w:rPr>
            </w:pPr>
            <w:r w:rsidRPr="007B083E">
              <w:rPr>
                <w:sz w:val="20"/>
                <w:szCs w:val="20"/>
                <w:lang w:val="en-US"/>
              </w:rPr>
              <w:t>298</w:t>
            </w:r>
          </w:p>
        </w:tc>
        <w:tc>
          <w:tcPr>
            <w:tcW w:w="1559" w:type="dxa"/>
            <w:vAlign w:val="center"/>
          </w:tcPr>
          <w:p w14:paraId="3CA0FD4A" w14:textId="77777777" w:rsidR="007F22BC" w:rsidRPr="007B083E" w:rsidRDefault="007F22BC" w:rsidP="007B083E">
            <w:pPr>
              <w:jc w:val="center"/>
              <w:rPr>
                <w:sz w:val="20"/>
                <w:szCs w:val="20"/>
                <w:lang w:val="en-US"/>
              </w:rPr>
            </w:pPr>
            <w:r w:rsidRPr="007B083E">
              <w:rPr>
                <w:sz w:val="20"/>
                <w:szCs w:val="20"/>
              </w:rPr>
              <w:t>2</w:t>
            </w:r>
            <w:r w:rsidRPr="007B083E">
              <w:rPr>
                <w:sz w:val="20"/>
                <w:szCs w:val="20"/>
                <w:lang w:val="en-US"/>
              </w:rPr>
              <w:t>03</w:t>
            </w:r>
          </w:p>
        </w:tc>
        <w:tc>
          <w:tcPr>
            <w:tcW w:w="1418" w:type="dxa"/>
            <w:vAlign w:val="center"/>
          </w:tcPr>
          <w:p w14:paraId="0721CE7D" w14:textId="77777777" w:rsidR="007F22BC" w:rsidRPr="007B083E" w:rsidRDefault="007F22BC" w:rsidP="007B083E">
            <w:pPr>
              <w:jc w:val="center"/>
              <w:rPr>
                <w:sz w:val="20"/>
                <w:szCs w:val="20"/>
              </w:rPr>
            </w:pPr>
            <w:r w:rsidRPr="007B083E">
              <w:rPr>
                <w:sz w:val="20"/>
                <w:szCs w:val="20"/>
              </w:rPr>
              <w:t>1</w:t>
            </w:r>
            <w:r w:rsidRPr="007B083E">
              <w:rPr>
                <w:sz w:val="20"/>
                <w:szCs w:val="20"/>
                <w:lang w:val="en-US"/>
              </w:rPr>
              <w:t>4</w:t>
            </w:r>
            <w:r w:rsidRPr="007B083E">
              <w:rPr>
                <w:sz w:val="20"/>
                <w:szCs w:val="20"/>
              </w:rPr>
              <w:t>,24</w:t>
            </w:r>
          </w:p>
        </w:tc>
        <w:tc>
          <w:tcPr>
            <w:tcW w:w="1417" w:type="dxa"/>
          </w:tcPr>
          <w:p w14:paraId="36FB3347" w14:textId="77777777" w:rsidR="007F22BC" w:rsidRPr="007B083E" w:rsidRDefault="007F22BC" w:rsidP="007B083E">
            <w:pPr>
              <w:jc w:val="center"/>
              <w:rPr>
                <w:sz w:val="20"/>
                <w:szCs w:val="20"/>
              </w:rPr>
            </w:pPr>
            <w:r w:rsidRPr="007B083E">
              <w:rPr>
                <w:sz w:val="20"/>
                <w:szCs w:val="20"/>
              </w:rPr>
              <w:t>7,91</w:t>
            </w:r>
          </w:p>
        </w:tc>
        <w:tc>
          <w:tcPr>
            <w:tcW w:w="1392" w:type="dxa"/>
          </w:tcPr>
          <w:p w14:paraId="5DEB0887" w14:textId="77777777" w:rsidR="007F22BC" w:rsidRPr="007B083E" w:rsidRDefault="007F22BC" w:rsidP="007B083E">
            <w:pPr>
              <w:jc w:val="center"/>
              <w:rPr>
                <w:sz w:val="20"/>
                <w:szCs w:val="20"/>
              </w:rPr>
            </w:pPr>
            <w:r w:rsidRPr="007B083E">
              <w:rPr>
                <w:sz w:val="20"/>
                <w:szCs w:val="20"/>
              </w:rPr>
              <w:t>12,78</w:t>
            </w:r>
          </w:p>
        </w:tc>
      </w:tr>
      <w:tr w:rsidR="007F22BC" w:rsidRPr="006F575F" w14:paraId="5C692D4F" w14:textId="77777777" w:rsidTr="0038006A">
        <w:trPr>
          <w:trHeight w:val="231"/>
          <w:jc w:val="center"/>
        </w:trPr>
        <w:tc>
          <w:tcPr>
            <w:tcW w:w="8656" w:type="dxa"/>
            <w:gridSpan w:val="6"/>
          </w:tcPr>
          <w:p w14:paraId="1AF24C63" w14:textId="6EA7C03D" w:rsidR="007F22BC" w:rsidRPr="007B083E" w:rsidRDefault="007F22BC" w:rsidP="007B083E">
            <w:pPr>
              <w:jc w:val="center"/>
              <w:rPr>
                <w:sz w:val="20"/>
                <w:szCs w:val="20"/>
                <w:lang w:val="en-US"/>
              </w:rPr>
            </w:pPr>
            <w:r w:rsidRPr="007B083E">
              <w:rPr>
                <w:bCs/>
                <w:sz w:val="20"/>
                <w:szCs w:val="20"/>
                <w:lang w:val="en-US"/>
              </w:rPr>
              <w:t>Oil change at 298 engine operating hours</w:t>
            </w:r>
          </w:p>
        </w:tc>
      </w:tr>
      <w:tr w:rsidR="007F22BC" w:rsidRPr="007B083E" w14:paraId="7C0C0BBF" w14:textId="77777777" w:rsidTr="0011094D">
        <w:trPr>
          <w:trHeight w:val="231"/>
          <w:jc w:val="center"/>
        </w:trPr>
        <w:tc>
          <w:tcPr>
            <w:tcW w:w="1453" w:type="dxa"/>
          </w:tcPr>
          <w:p w14:paraId="49FC0425" w14:textId="77777777" w:rsidR="007F22BC" w:rsidRPr="007B083E" w:rsidRDefault="007F22BC" w:rsidP="007B083E">
            <w:pPr>
              <w:jc w:val="center"/>
              <w:rPr>
                <w:sz w:val="20"/>
                <w:szCs w:val="20"/>
                <w:lang w:val="en-US"/>
              </w:rPr>
            </w:pPr>
            <w:r w:rsidRPr="007B083E">
              <w:rPr>
                <w:sz w:val="20"/>
                <w:szCs w:val="20"/>
                <w:lang w:val="en-US"/>
              </w:rPr>
              <w:t>7540</w:t>
            </w:r>
          </w:p>
        </w:tc>
        <w:tc>
          <w:tcPr>
            <w:tcW w:w="1417" w:type="dxa"/>
            <w:vAlign w:val="center"/>
          </w:tcPr>
          <w:p w14:paraId="6437CE1D" w14:textId="77777777" w:rsidR="007F22BC" w:rsidRPr="007B083E" w:rsidRDefault="007F22BC" w:rsidP="007B083E">
            <w:pPr>
              <w:jc w:val="center"/>
              <w:rPr>
                <w:sz w:val="20"/>
                <w:szCs w:val="20"/>
                <w:lang w:val="en-US"/>
              </w:rPr>
            </w:pPr>
            <w:r w:rsidRPr="007B083E">
              <w:rPr>
                <w:sz w:val="20"/>
                <w:szCs w:val="20"/>
                <w:lang w:val="en-US"/>
              </w:rPr>
              <w:t>39</w:t>
            </w:r>
          </w:p>
        </w:tc>
        <w:tc>
          <w:tcPr>
            <w:tcW w:w="1559" w:type="dxa"/>
            <w:vAlign w:val="center"/>
          </w:tcPr>
          <w:p w14:paraId="4BEB2419" w14:textId="77777777" w:rsidR="007F22BC" w:rsidRPr="007B083E" w:rsidRDefault="007F22BC" w:rsidP="007B083E">
            <w:pPr>
              <w:jc w:val="center"/>
              <w:rPr>
                <w:sz w:val="20"/>
                <w:szCs w:val="20"/>
                <w:lang w:val="en-US"/>
              </w:rPr>
            </w:pPr>
            <w:r w:rsidRPr="007B083E">
              <w:rPr>
                <w:sz w:val="20"/>
                <w:szCs w:val="20"/>
              </w:rPr>
              <w:t>2</w:t>
            </w:r>
            <w:r w:rsidRPr="007B083E">
              <w:rPr>
                <w:sz w:val="20"/>
                <w:szCs w:val="20"/>
                <w:lang w:val="en-US"/>
              </w:rPr>
              <w:t>14</w:t>
            </w:r>
          </w:p>
        </w:tc>
        <w:tc>
          <w:tcPr>
            <w:tcW w:w="1418" w:type="dxa"/>
            <w:vAlign w:val="center"/>
          </w:tcPr>
          <w:p w14:paraId="16D4ACB3" w14:textId="77777777" w:rsidR="007F22BC" w:rsidRPr="007B083E" w:rsidRDefault="007F22BC" w:rsidP="007B083E">
            <w:pPr>
              <w:jc w:val="center"/>
              <w:rPr>
                <w:sz w:val="20"/>
                <w:szCs w:val="20"/>
              </w:rPr>
            </w:pPr>
            <w:r w:rsidRPr="007B083E">
              <w:rPr>
                <w:sz w:val="20"/>
                <w:szCs w:val="20"/>
              </w:rPr>
              <w:t>1</w:t>
            </w:r>
            <w:r w:rsidRPr="007B083E">
              <w:rPr>
                <w:sz w:val="20"/>
                <w:szCs w:val="20"/>
                <w:lang w:val="en-US"/>
              </w:rPr>
              <w:t>3</w:t>
            </w:r>
            <w:r w:rsidRPr="007B083E">
              <w:rPr>
                <w:sz w:val="20"/>
                <w:szCs w:val="20"/>
              </w:rPr>
              <w:t>,</w:t>
            </w:r>
            <w:r w:rsidRPr="007B083E">
              <w:rPr>
                <w:sz w:val="20"/>
                <w:szCs w:val="20"/>
                <w:lang w:val="en-US"/>
              </w:rPr>
              <w:t>6</w:t>
            </w:r>
            <w:r w:rsidRPr="007B083E">
              <w:rPr>
                <w:sz w:val="20"/>
                <w:szCs w:val="20"/>
              </w:rPr>
              <w:t>4</w:t>
            </w:r>
          </w:p>
        </w:tc>
        <w:tc>
          <w:tcPr>
            <w:tcW w:w="1417" w:type="dxa"/>
          </w:tcPr>
          <w:p w14:paraId="77F20BCB" w14:textId="77777777" w:rsidR="007F22BC" w:rsidRPr="007B083E" w:rsidRDefault="007F22BC" w:rsidP="007B083E">
            <w:pPr>
              <w:jc w:val="center"/>
              <w:rPr>
                <w:sz w:val="20"/>
                <w:szCs w:val="20"/>
              </w:rPr>
            </w:pPr>
            <w:r w:rsidRPr="007B083E">
              <w:rPr>
                <w:sz w:val="20"/>
                <w:szCs w:val="20"/>
              </w:rPr>
              <w:t>9,11</w:t>
            </w:r>
          </w:p>
        </w:tc>
        <w:tc>
          <w:tcPr>
            <w:tcW w:w="1392" w:type="dxa"/>
          </w:tcPr>
          <w:p w14:paraId="1BBB5080" w14:textId="77777777" w:rsidR="007F22BC" w:rsidRPr="007B083E" w:rsidRDefault="007F22BC" w:rsidP="007B083E">
            <w:pPr>
              <w:jc w:val="center"/>
              <w:rPr>
                <w:sz w:val="20"/>
                <w:szCs w:val="20"/>
              </w:rPr>
            </w:pPr>
            <w:r w:rsidRPr="007B083E">
              <w:rPr>
                <w:sz w:val="20"/>
                <w:szCs w:val="20"/>
              </w:rPr>
              <w:t>12,90</w:t>
            </w:r>
          </w:p>
        </w:tc>
      </w:tr>
      <w:tr w:rsidR="007F22BC" w:rsidRPr="007B083E" w14:paraId="3214E7A5" w14:textId="77777777" w:rsidTr="0011094D">
        <w:trPr>
          <w:trHeight w:val="231"/>
          <w:jc w:val="center"/>
        </w:trPr>
        <w:tc>
          <w:tcPr>
            <w:tcW w:w="1453" w:type="dxa"/>
          </w:tcPr>
          <w:p w14:paraId="752BA900" w14:textId="77777777" w:rsidR="007F22BC" w:rsidRPr="007B083E" w:rsidRDefault="007F22BC" w:rsidP="007B083E">
            <w:pPr>
              <w:jc w:val="center"/>
              <w:rPr>
                <w:sz w:val="20"/>
                <w:szCs w:val="20"/>
                <w:lang w:val="en-US"/>
              </w:rPr>
            </w:pPr>
            <w:r w:rsidRPr="007B083E">
              <w:rPr>
                <w:sz w:val="20"/>
                <w:szCs w:val="20"/>
                <w:lang w:val="en-US"/>
              </w:rPr>
              <w:t>7660</w:t>
            </w:r>
          </w:p>
        </w:tc>
        <w:tc>
          <w:tcPr>
            <w:tcW w:w="1417" w:type="dxa"/>
            <w:vAlign w:val="center"/>
          </w:tcPr>
          <w:p w14:paraId="26FF66B4" w14:textId="77777777" w:rsidR="007F22BC" w:rsidRPr="007B083E" w:rsidRDefault="007F22BC" w:rsidP="007B083E">
            <w:pPr>
              <w:jc w:val="center"/>
              <w:rPr>
                <w:sz w:val="20"/>
                <w:szCs w:val="20"/>
                <w:lang w:val="en-US"/>
              </w:rPr>
            </w:pPr>
            <w:r w:rsidRPr="007B083E">
              <w:rPr>
                <w:sz w:val="20"/>
                <w:szCs w:val="20"/>
                <w:lang w:val="en-US"/>
              </w:rPr>
              <w:t>159</w:t>
            </w:r>
          </w:p>
        </w:tc>
        <w:tc>
          <w:tcPr>
            <w:tcW w:w="1559" w:type="dxa"/>
            <w:vAlign w:val="center"/>
          </w:tcPr>
          <w:p w14:paraId="2F13CB0D" w14:textId="77777777" w:rsidR="007F22BC" w:rsidRPr="007B083E" w:rsidRDefault="007F22BC" w:rsidP="007B083E">
            <w:pPr>
              <w:jc w:val="center"/>
              <w:rPr>
                <w:sz w:val="20"/>
                <w:szCs w:val="20"/>
                <w:lang w:val="en-US"/>
              </w:rPr>
            </w:pPr>
            <w:r w:rsidRPr="007B083E">
              <w:rPr>
                <w:sz w:val="20"/>
                <w:szCs w:val="20"/>
                <w:lang w:val="en-US"/>
              </w:rPr>
              <w:t>210</w:t>
            </w:r>
          </w:p>
        </w:tc>
        <w:tc>
          <w:tcPr>
            <w:tcW w:w="1418" w:type="dxa"/>
            <w:vAlign w:val="center"/>
          </w:tcPr>
          <w:p w14:paraId="25618C63" w14:textId="77777777" w:rsidR="007F22BC" w:rsidRPr="007B083E" w:rsidRDefault="007F22BC" w:rsidP="007B083E">
            <w:pPr>
              <w:jc w:val="center"/>
              <w:rPr>
                <w:sz w:val="20"/>
                <w:szCs w:val="20"/>
              </w:rPr>
            </w:pPr>
            <w:r w:rsidRPr="007B083E">
              <w:rPr>
                <w:sz w:val="20"/>
                <w:szCs w:val="20"/>
              </w:rPr>
              <w:t>14,10</w:t>
            </w:r>
          </w:p>
        </w:tc>
        <w:tc>
          <w:tcPr>
            <w:tcW w:w="1417" w:type="dxa"/>
          </w:tcPr>
          <w:p w14:paraId="2A538390" w14:textId="77777777" w:rsidR="007F22BC" w:rsidRPr="007B083E" w:rsidRDefault="007F22BC" w:rsidP="007B083E">
            <w:pPr>
              <w:jc w:val="center"/>
              <w:rPr>
                <w:sz w:val="20"/>
                <w:szCs w:val="20"/>
                <w:lang w:val="en-US"/>
              </w:rPr>
            </w:pPr>
            <w:r w:rsidRPr="007B083E">
              <w:rPr>
                <w:sz w:val="20"/>
                <w:szCs w:val="20"/>
                <w:lang w:val="en-US"/>
              </w:rPr>
              <w:t>8,86</w:t>
            </w:r>
          </w:p>
        </w:tc>
        <w:tc>
          <w:tcPr>
            <w:tcW w:w="1392" w:type="dxa"/>
          </w:tcPr>
          <w:p w14:paraId="60EAFDBB" w14:textId="77777777" w:rsidR="007F22BC" w:rsidRPr="007B083E" w:rsidRDefault="007F22BC" w:rsidP="007B083E">
            <w:pPr>
              <w:jc w:val="center"/>
              <w:rPr>
                <w:sz w:val="20"/>
                <w:szCs w:val="20"/>
              </w:rPr>
            </w:pPr>
            <w:r w:rsidRPr="007B083E">
              <w:rPr>
                <w:sz w:val="20"/>
                <w:szCs w:val="20"/>
              </w:rPr>
              <w:t>13,56</w:t>
            </w:r>
          </w:p>
        </w:tc>
      </w:tr>
      <w:tr w:rsidR="007F22BC" w:rsidRPr="007B083E" w14:paraId="45D40BF7" w14:textId="77777777" w:rsidTr="0011094D">
        <w:trPr>
          <w:trHeight w:val="231"/>
          <w:jc w:val="center"/>
        </w:trPr>
        <w:tc>
          <w:tcPr>
            <w:tcW w:w="1453" w:type="dxa"/>
          </w:tcPr>
          <w:p w14:paraId="67077051" w14:textId="77777777" w:rsidR="007F22BC" w:rsidRPr="007B083E" w:rsidRDefault="007F22BC" w:rsidP="007B083E">
            <w:pPr>
              <w:jc w:val="center"/>
              <w:rPr>
                <w:sz w:val="20"/>
                <w:szCs w:val="20"/>
                <w:lang w:val="en-US"/>
              </w:rPr>
            </w:pPr>
            <w:r w:rsidRPr="007B083E">
              <w:rPr>
                <w:sz w:val="20"/>
                <w:szCs w:val="20"/>
                <w:lang w:val="en-US"/>
              </w:rPr>
              <w:t>7765</w:t>
            </w:r>
          </w:p>
        </w:tc>
        <w:tc>
          <w:tcPr>
            <w:tcW w:w="1417" w:type="dxa"/>
            <w:vAlign w:val="center"/>
          </w:tcPr>
          <w:p w14:paraId="236CC94A" w14:textId="77777777" w:rsidR="007F22BC" w:rsidRPr="007B083E" w:rsidRDefault="007F22BC" w:rsidP="007B083E">
            <w:pPr>
              <w:jc w:val="center"/>
              <w:rPr>
                <w:sz w:val="20"/>
                <w:szCs w:val="20"/>
                <w:lang w:val="en-US"/>
              </w:rPr>
            </w:pPr>
            <w:r w:rsidRPr="007B083E">
              <w:rPr>
                <w:sz w:val="20"/>
                <w:szCs w:val="20"/>
                <w:lang w:val="en-US"/>
              </w:rPr>
              <w:t>264</w:t>
            </w:r>
          </w:p>
        </w:tc>
        <w:tc>
          <w:tcPr>
            <w:tcW w:w="1559" w:type="dxa"/>
            <w:vAlign w:val="center"/>
          </w:tcPr>
          <w:p w14:paraId="1F72EB02" w14:textId="77777777" w:rsidR="007F22BC" w:rsidRPr="007B083E" w:rsidRDefault="007F22BC" w:rsidP="007B083E">
            <w:pPr>
              <w:jc w:val="center"/>
              <w:rPr>
                <w:sz w:val="20"/>
                <w:szCs w:val="20"/>
                <w:lang w:val="en-US"/>
              </w:rPr>
            </w:pPr>
            <w:r w:rsidRPr="007B083E">
              <w:rPr>
                <w:sz w:val="20"/>
                <w:szCs w:val="20"/>
                <w:lang w:val="en-US"/>
              </w:rPr>
              <w:t>201</w:t>
            </w:r>
          </w:p>
        </w:tc>
        <w:tc>
          <w:tcPr>
            <w:tcW w:w="1418" w:type="dxa"/>
            <w:vAlign w:val="center"/>
          </w:tcPr>
          <w:p w14:paraId="16AE7E60" w14:textId="77777777" w:rsidR="007F22BC" w:rsidRPr="007B083E" w:rsidRDefault="007F22BC" w:rsidP="007B083E">
            <w:pPr>
              <w:jc w:val="center"/>
              <w:rPr>
                <w:sz w:val="20"/>
                <w:szCs w:val="20"/>
              </w:rPr>
            </w:pPr>
            <w:r w:rsidRPr="007B083E">
              <w:rPr>
                <w:sz w:val="20"/>
                <w:szCs w:val="20"/>
              </w:rPr>
              <w:t>1</w:t>
            </w:r>
            <w:r w:rsidRPr="007B083E">
              <w:rPr>
                <w:sz w:val="20"/>
                <w:szCs w:val="20"/>
                <w:lang w:val="en-US"/>
              </w:rPr>
              <w:t>3</w:t>
            </w:r>
            <w:r w:rsidRPr="007B083E">
              <w:rPr>
                <w:sz w:val="20"/>
                <w:szCs w:val="20"/>
              </w:rPr>
              <w:t>,93</w:t>
            </w:r>
          </w:p>
        </w:tc>
        <w:tc>
          <w:tcPr>
            <w:tcW w:w="1417" w:type="dxa"/>
          </w:tcPr>
          <w:p w14:paraId="3F32E9C3" w14:textId="77777777" w:rsidR="007F22BC" w:rsidRPr="007B083E" w:rsidRDefault="007F22BC" w:rsidP="007B083E">
            <w:pPr>
              <w:jc w:val="center"/>
              <w:rPr>
                <w:sz w:val="20"/>
                <w:szCs w:val="20"/>
                <w:lang w:val="en-US"/>
              </w:rPr>
            </w:pPr>
            <w:r w:rsidRPr="007B083E">
              <w:rPr>
                <w:sz w:val="20"/>
                <w:szCs w:val="20"/>
                <w:lang w:val="en-US"/>
              </w:rPr>
              <w:t>8</w:t>
            </w:r>
            <w:r w:rsidRPr="007B083E">
              <w:rPr>
                <w:sz w:val="20"/>
                <w:szCs w:val="20"/>
              </w:rPr>
              <w:t>,0</w:t>
            </w:r>
            <w:r w:rsidRPr="007B083E">
              <w:rPr>
                <w:sz w:val="20"/>
                <w:szCs w:val="20"/>
                <w:lang w:val="en-US"/>
              </w:rPr>
              <w:t>1</w:t>
            </w:r>
          </w:p>
        </w:tc>
        <w:tc>
          <w:tcPr>
            <w:tcW w:w="1392" w:type="dxa"/>
          </w:tcPr>
          <w:p w14:paraId="1F3EC338" w14:textId="77777777" w:rsidR="007F22BC" w:rsidRPr="007B083E" w:rsidRDefault="007F22BC" w:rsidP="007B083E">
            <w:pPr>
              <w:jc w:val="center"/>
              <w:rPr>
                <w:sz w:val="20"/>
                <w:szCs w:val="20"/>
              </w:rPr>
            </w:pPr>
            <w:r w:rsidRPr="007B083E">
              <w:rPr>
                <w:sz w:val="20"/>
                <w:szCs w:val="20"/>
              </w:rPr>
              <w:t>15,30</w:t>
            </w:r>
          </w:p>
        </w:tc>
      </w:tr>
      <w:tr w:rsidR="007F22BC" w:rsidRPr="006F575F" w14:paraId="7A390139" w14:textId="77777777" w:rsidTr="0011094D">
        <w:trPr>
          <w:trHeight w:val="231"/>
          <w:jc w:val="center"/>
        </w:trPr>
        <w:tc>
          <w:tcPr>
            <w:tcW w:w="8656" w:type="dxa"/>
            <w:gridSpan w:val="6"/>
          </w:tcPr>
          <w:p w14:paraId="72DBEDA6" w14:textId="7898F50C" w:rsidR="007F22BC" w:rsidRPr="007B083E" w:rsidRDefault="007F22BC" w:rsidP="007B083E">
            <w:pPr>
              <w:jc w:val="center"/>
              <w:rPr>
                <w:sz w:val="20"/>
                <w:szCs w:val="20"/>
                <w:lang w:val="en-US"/>
              </w:rPr>
            </w:pPr>
            <w:r w:rsidRPr="007B083E">
              <w:rPr>
                <w:bCs/>
                <w:sz w:val="20"/>
                <w:szCs w:val="20"/>
                <w:lang w:val="en-US"/>
              </w:rPr>
              <w:t>Oil change at 264 engine operating hours</w:t>
            </w:r>
          </w:p>
        </w:tc>
      </w:tr>
      <w:tr w:rsidR="007F22BC" w:rsidRPr="007B083E" w14:paraId="046740F1" w14:textId="77777777" w:rsidTr="0011094D">
        <w:trPr>
          <w:trHeight w:val="275"/>
          <w:jc w:val="center"/>
        </w:trPr>
        <w:tc>
          <w:tcPr>
            <w:tcW w:w="1453" w:type="dxa"/>
          </w:tcPr>
          <w:p w14:paraId="77F0D4BA" w14:textId="77777777" w:rsidR="007F22BC" w:rsidRPr="007B083E" w:rsidRDefault="007F22BC" w:rsidP="007B083E">
            <w:pPr>
              <w:jc w:val="center"/>
              <w:rPr>
                <w:sz w:val="20"/>
                <w:szCs w:val="20"/>
                <w:lang w:val="en-US"/>
              </w:rPr>
            </w:pPr>
            <w:r w:rsidRPr="007B083E">
              <w:rPr>
                <w:sz w:val="20"/>
                <w:szCs w:val="20"/>
                <w:lang w:val="en-US"/>
              </w:rPr>
              <w:t>7805</w:t>
            </w:r>
          </w:p>
        </w:tc>
        <w:tc>
          <w:tcPr>
            <w:tcW w:w="1417" w:type="dxa"/>
            <w:vAlign w:val="center"/>
          </w:tcPr>
          <w:p w14:paraId="6D1DC87F" w14:textId="77777777" w:rsidR="007F22BC" w:rsidRPr="007B083E" w:rsidRDefault="007F22BC" w:rsidP="007B083E">
            <w:pPr>
              <w:jc w:val="center"/>
              <w:rPr>
                <w:sz w:val="20"/>
                <w:szCs w:val="20"/>
              </w:rPr>
            </w:pPr>
            <w:r w:rsidRPr="007B083E">
              <w:rPr>
                <w:sz w:val="20"/>
                <w:szCs w:val="20"/>
                <w:lang w:val="en-US"/>
              </w:rPr>
              <w:t>4</w:t>
            </w:r>
            <w:r w:rsidRPr="007B083E">
              <w:rPr>
                <w:sz w:val="20"/>
                <w:szCs w:val="20"/>
              </w:rPr>
              <w:t>0</w:t>
            </w:r>
          </w:p>
        </w:tc>
        <w:tc>
          <w:tcPr>
            <w:tcW w:w="1559" w:type="dxa"/>
            <w:vAlign w:val="center"/>
          </w:tcPr>
          <w:p w14:paraId="2AA1A3C1" w14:textId="77777777" w:rsidR="007F22BC" w:rsidRPr="007B083E" w:rsidRDefault="007F22BC" w:rsidP="007B083E">
            <w:pPr>
              <w:jc w:val="center"/>
              <w:rPr>
                <w:sz w:val="20"/>
                <w:szCs w:val="20"/>
                <w:lang w:val="en-US"/>
              </w:rPr>
            </w:pPr>
            <w:r w:rsidRPr="007B083E">
              <w:rPr>
                <w:sz w:val="20"/>
                <w:szCs w:val="20"/>
              </w:rPr>
              <w:t>2</w:t>
            </w:r>
            <w:r w:rsidRPr="007B083E">
              <w:rPr>
                <w:sz w:val="20"/>
                <w:szCs w:val="20"/>
                <w:lang w:val="en-US"/>
              </w:rPr>
              <w:t>13</w:t>
            </w:r>
          </w:p>
        </w:tc>
        <w:tc>
          <w:tcPr>
            <w:tcW w:w="1418" w:type="dxa"/>
            <w:vAlign w:val="center"/>
          </w:tcPr>
          <w:p w14:paraId="1613E115" w14:textId="77777777" w:rsidR="007F22BC" w:rsidRPr="007B083E" w:rsidRDefault="007F22BC" w:rsidP="007B083E">
            <w:pPr>
              <w:jc w:val="center"/>
              <w:rPr>
                <w:sz w:val="20"/>
                <w:szCs w:val="20"/>
              </w:rPr>
            </w:pPr>
            <w:r w:rsidRPr="007B083E">
              <w:rPr>
                <w:sz w:val="20"/>
                <w:szCs w:val="20"/>
              </w:rPr>
              <w:t>1</w:t>
            </w:r>
            <w:r w:rsidRPr="007B083E">
              <w:rPr>
                <w:sz w:val="20"/>
                <w:szCs w:val="20"/>
                <w:lang w:val="en-US"/>
              </w:rPr>
              <w:t>4</w:t>
            </w:r>
            <w:r w:rsidRPr="007B083E">
              <w:rPr>
                <w:sz w:val="20"/>
                <w:szCs w:val="20"/>
              </w:rPr>
              <w:t>,68</w:t>
            </w:r>
          </w:p>
        </w:tc>
        <w:tc>
          <w:tcPr>
            <w:tcW w:w="1417" w:type="dxa"/>
          </w:tcPr>
          <w:p w14:paraId="13AE9E6D" w14:textId="77777777" w:rsidR="007F22BC" w:rsidRPr="007B083E" w:rsidRDefault="007F22BC" w:rsidP="007B083E">
            <w:pPr>
              <w:jc w:val="center"/>
              <w:rPr>
                <w:sz w:val="20"/>
                <w:szCs w:val="20"/>
              </w:rPr>
            </w:pPr>
            <w:r w:rsidRPr="007B083E">
              <w:rPr>
                <w:sz w:val="20"/>
                <w:szCs w:val="20"/>
                <w:lang w:val="en-US"/>
              </w:rPr>
              <w:t>8</w:t>
            </w:r>
            <w:r w:rsidRPr="007B083E">
              <w:rPr>
                <w:sz w:val="20"/>
                <w:szCs w:val="20"/>
              </w:rPr>
              <w:t>,27</w:t>
            </w:r>
          </w:p>
        </w:tc>
        <w:tc>
          <w:tcPr>
            <w:tcW w:w="1392" w:type="dxa"/>
          </w:tcPr>
          <w:p w14:paraId="2D006D20" w14:textId="77777777" w:rsidR="007F22BC" w:rsidRPr="007B083E" w:rsidRDefault="007F22BC" w:rsidP="007B083E">
            <w:pPr>
              <w:jc w:val="center"/>
              <w:rPr>
                <w:sz w:val="20"/>
                <w:szCs w:val="20"/>
              </w:rPr>
            </w:pPr>
            <w:r w:rsidRPr="007B083E">
              <w:rPr>
                <w:sz w:val="20"/>
                <w:szCs w:val="20"/>
              </w:rPr>
              <w:t>5,01</w:t>
            </w:r>
          </w:p>
        </w:tc>
      </w:tr>
      <w:tr w:rsidR="007F22BC" w:rsidRPr="007B083E" w14:paraId="0A3450A2" w14:textId="77777777" w:rsidTr="0011094D">
        <w:trPr>
          <w:trHeight w:val="275"/>
          <w:jc w:val="center"/>
        </w:trPr>
        <w:tc>
          <w:tcPr>
            <w:tcW w:w="1453" w:type="dxa"/>
          </w:tcPr>
          <w:p w14:paraId="083308A3" w14:textId="77777777" w:rsidR="007F22BC" w:rsidRPr="007B083E" w:rsidRDefault="007F22BC" w:rsidP="007B083E">
            <w:pPr>
              <w:jc w:val="center"/>
              <w:rPr>
                <w:sz w:val="20"/>
                <w:szCs w:val="20"/>
                <w:lang w:val="en-US"/>
              </w:rPr>
            </w:pPr>
            <w:r w:rsidRPr="007B083E">
              <w:rPr>
                <w:sz w:val="20"/>
                <w:szCs w:val="20"/>
                <w:lang w:val="en-US"/>
              </w:rPr>
              <w:t>7963</w:t>
            </w:r>
          </w:p>
        </w:tc>
        <w:tc>
          <w:tcPr>
            <w:tcW w:w="1417" w:type="dxa"/>
            <w:vAlign w:val="center"/>
          </w:tcPr>
          <w:p w14:paraId="28DF19B3" w14:textId="77777777" w:rsidR="007F22BC" w:rsidRPr="007B083E" w:rsidRDefault="007F22BC" w:rsidP="007B083E">
            <w:pPr>
              <w:jc w:val="center"/>
              <w:rPr>
                <w:sz w:val="20"/>
                <w:szCs w:val="20"/>
                <w:lang w:val="en-US"/>
              </w:rPr>
            </w:pPr>
            <w:r w:rsidRPr="007B083E">
              <w:rPr>
                <w:sz w:val="20"/>
                <w:szCs w:val="20"/>
                <w:lang w:val="en-US"/>
              </w:rPr>
              <w:t>128</w:t>
            </w:r>
          </w:p>
        </w:tc>
        <w:tc>
          <w:tcPr>
            <w:tcW w:w="1559" w:type="dxa"/>
            <w:vAlign w:val="center"/>
          </w:tcPr>
          <w:p w14:paraId="11E9C29E" w14:textId="77777777" w:rsidR="007F22BC" w:rsidRPr="007B083E" w:rsidRDefault="007F22BC" w:rsidP="007B083E">
            <w:pPr>
              <w:jc w:val="center"/>
              <w:rPr>
                <w:sz w:val="20"/>
                <w:szCs w:val="20"/>
                <w:lang w:val="en-US"/>
              </w:rPr>
            </w:pPr>
            <w:r w:rsidRPr="007B083E">
              <w:rPr>
                <w:sz w:val="20"/>
                <w:szCs w:val="20"/>
              </w:rPr>
              <w:t>21</w:t>
            </w:r>
            <w:r w:rsidRPr="007B083E">
              <w:rPr>
                <w:sz w:val="20"/>
                <w:szCs w:val="20"/>
                <w:lang w:val="en-US"/>
              </w:rPr>
              <w:t>0</w:t>
            </w:r>
          </w:p>
        </w:tc>
        <w:tc>
          <w:tcPr>
            <w:tcW w:w="1418" w:type="dxa"/>
            <w:vAlign w:val="center"/>
          </w:tcPr>
          <w:p w14:paraId="4FDBF207" w14:textId="77777777" w:rsidR="007F22BC" w:rsidRPr="007B083E" w:rsidRDefault="007F22BC" w:rsidP="007B083E">
            <w:pPr>
              <w:jc w:val="center"/>
              <w:rPr>
                <w:sz w:val="20"/>
                <w:szCs w:val="20"/>
              </w:rPr>
            </w:pPr>
            <w:r w:rsidRPr="007B083E">
              <w:rPr>
                <w:sz w:val="20"/>
                <w:szCs w:val="20"/>
              </w:rPr>
              <w:t>1</w:t>
            </w:r>
            <w:r w:rsidRPr="007B083E">
              <w:rPr>
                <w:sz w:val="20"/>
                <w:szCs w:val="20"/>
                <w:lang w:val="en-US"/>
              </w:rPr>
              <w:t>4</w:t>
            </w:r>
            <w:r w:rsidRPr="007B083E">
              <w:rPr>
                <w:sz w:val="20"/>
                <w:szCs w:val="20"/>
              </w:rPr>
              <w:t>,</w:t>
            </w:r>
            <w:r w:rsidRPr="007B083E">
              <w:rPr>
                <w:sz w:val="20"/>
                <w:szCs w:val="20"/>
                <w:lang w:val="en-US"/>
              </w:rPr>
              <w:t>5</w:t>
            </w:r>
            <w:r w:rsidRPr="007B083E">
              <w:rPr>
                <w:sz w:val="20"/>
                <w:szCs w:val="20"/>
              </w:rPr>
              <w:t>7</w:t>
            </w:r>
          </w:p>
        </w:tc>
        <w:tc>
          <w:tcPr>
            <w:tcW w:w="1417" w:type="dxa"/>
          </w:tcPr>
          <w:p w14:paraId="43E0CD16" w14:textId="77777777" w:rsidR="007F22BC" w:rsidRPr="007B083E" w:rsidRDefault="007F22BC" w:rsidP="007B083E">
            <w:pPr>
              <w:jc w:val="center"/>
              <w:rPr>
                <w:sz w:val="20"/>
                <w:szCs w:val="20"/>
              </w:rPr>
            </w:pPr>
            <w:r w:rsidRPr="007B083E">
              <w:rPr>
                <w:sz w:val="20"/>
                <w:szCs w:val="20"/>
                <w:lang w:val="en-US"/>
              </w:rPr>
              <w:t>8</w:t>
            </w:r>
            <w:r w:rsidRPr="007B083E">
              <w:rPr>
                <w:sz w:val="20"/>
                <w:szCs w:val="20"/>
              </w:rPr>
              <w:t>,</w:t>
            </w:r>
            <w:r w:rsidRPr="007B083E">
              <w:rPr>
                <w:sz w:val="20"/>
                <w:szCs w:val="20"/>
                <w:lang w:val="en-US"/>
              </w:rPr>
              <w:t>6</w:t>
            </w:r>
            <w:r w:rsidRPr="007B083E">
              <w:rPr>
                <w:sz w:val="20"/>
                <w:szCs w:val="20"/>
              </w:rPr>
              <w:t>9</w:t>
            </w:r>
          </w:p>
        </w:tc>
        <w:tc>
          <w:tcPr>
            <w:tcW w:w="1392" w:type="dxa"/>
          </w:tcPr>
          <w:p w14:paraId="222896F7" w14:textId="77777777" w:rsidR="007F22BC" w:rsidRPr="007B083E" w:rsidRDefault="007F22BC" w:rsidP="007B083E">
            <w:pPr>
              <w:jc w:val="center"/>
              <w:rPr>
                <w:sz w:val="20"/>
                <w:szCs w:val="20"/>
              </w:rPr>
            </w:pPr>
            <w:r w:rsidRPr="007B083E">
              <w:rPr>
                <w:sz w:val="20"/>
                <w:szCs w:val="20"/>
              </w:rPr>
              <w:t>7,56</w:t>
            </w:r>
          </w:p>
        </w:tc>
      </w:tr>
      <w:tr w:rsidR="007F22BC" w:rsidRPr="007B083E" w14:paraId="348D1F9C" w14:textId="77777777" w:rsidTr="0011094D">
        <w:trPr>
          <w:trHeight w:val="128"/>
          <w:jc w:val="center"/>
        </w:trPr>
        <w:tc>
          <w:tcPr>
            <w:tcW w:w="1453" w:type="dxa"/>
          </w:tcPr>
          <w:p w14:paraId="14061498" w14:textId="77777777" w:rsidR="007F22BC" w:rsidRPr="007B083E" w:rsidRDefault="007F22BC" w:rsidP="007B083E">
            <w:pPr>
              <w:jc w:val="center"/>
              <w:rPr>
                <w:sz w:val="20"/>
                <w:szCs w:val="20"/>
                <w:lang w:val="en-US"/>
              </w:rPr>
            </w:pPr>
            <w:r w:rsidRPr="007B083E">
              <w:rPr>
                <w:sz w:val="20"/>
                <w:szCs w:val="20"/>
                <w:lang w:val="en-US"/>
              </w:rPr>
              <w:t>8120</w:t>
            </w:r>
          </w:p>
        </w:tc>
        <w:tc>
          <w:tcPr>
            <w:tcW w:w="1417" w:type="dxa"/>
            <w:vAlign w:val="center"/>
          </w:tcPr>
          <w:p w14:paraId="4850D878" w14:textId="77777777" w:rsidR="007F22BC" w:rsidRPr="007B083E" w:rsidRDefault="007F22BC" w:rsidP="007B083E">
            <w:pPr>
              <w:jc w:val="center"/>
              <w:rPr>
                <w:sz w:val="20"/>
                <w:szCs w:val="20"/>
              </w:rPr>
            </w:pPr>
            <w:r w:rsidRPr="007B083E">
              <w:rPr>
                <w:sz w:val="20"/>
                <w:szCs w:val="20"/>
                <w:lang w:val="en-US"/>
              </w:rPr>
              <w:t>285</w:t>
            </w:r>
          </w:p>
        </w:tc>
        <w:tc>
          <w:tcPr>
            <w:tcW w:w="1559" w:type="dxa"/>
            <w:vAlign w:val="center"/>
          </w:tcPr>
          <w:p w14:paraId="608D57D9" w14:textId="77777777" w:rsidR="007F22BC" w:rsidRPr="007B083E" w:rsidRDefault="007F22BC" w:rsidP="007B083E">
            <w:pPr>
              <w:jc w:val="center"/>
              <w:rPr>
                <w:sz w:val="20"/>
                <w:szCs w:val="20"/>
                <w:lang w:val="en-US"/>
              </w:rPr>
            </w:pPr>
            <w:r w:rsidRPr="007B083E">
              <w:rPr>
                <w:sz w:val="20"/>
                <w:szCs w:val="20"/>
              </w:rPr>
              <w:t>2</w:t>
            </w:r>
            <w:r w:rsidRPr="007B083E">
              <w:rPr>
                <w:sz w:val="20"/>
                <w:szCs w:val="20"/>
                <w:lang w:val="en-US"/>
              </w:rPr>
              <w:t>05</w:t>
            </w:r>
          </w:p>
        </w:tc>
        <w:tc>
          <w:tcPr>
            <w:tcW w:w="1418" w:type="dxa"/>
            <w:vAlign w:val="center"/>
          </w:tcPr>
          <w:p w14:paraId="296FFB05" w14:textId="77777777" w:rsidR="007F22BC" w:rsidRPr="007B083E" w:rsidRDefault="007F22BC" w:rsidP="007B083E">
            <w:pPr>
              <w:jc w:val="center"/>
              <w:rPr>
                <w:sz w:val="20"/>
                <w:szCs w:val="20"/>
              </w:rPr>
            </w:pPr>
            <w:r w:rsidRPr="007B083E">
              <w:rPr>
                <w:sz w:val="20"/>
                <w:szCs w:val="20"/>
              </w:rPr>
              <w:t>1</w:t>
            </w:r>
            <w:r w:rsidRPr="007B083E">
              <w:rPr>
                <w:sz w:val="20"/>
                <w:szCs w:val="20"/>
                <w:lang w:val="en-US"/>
              </w:rPr>
              <w:t>4</w:t>
            </w:r>
            <w:r w:rsidRPr="007B083E">
              <w:rPr>
                <w:sz w:val="20"/>
                <w:szCs w:val="20"/>
              </w:rPr>
              <w:t>,40</w:t>
            </w:r>
          </w:p>
        </w:tc>
        <w:tc>
          <w:tcPr>
            <w:tcW w:w="1417" w:type="dxa"/>
          </w:tcPr>
          <w:p w14:paraId="47FDCAD4" w14:textId="77777777" w:rsidR="007F22BC" w:rsidRPr="007B083E" w:rsidRDefault="007F22BC" w:rsidP="007B083E">
            <w:pPr>
              <w:jc w:val="center"/>
              <w:rPr>
                <w:sz w:val="20"/>
                <w:szCs w:val="20"/>
              </w:rPr>
            </w:pPr>
            <w:r w:rsidRPr="007B083E">
              <w:rPr>
                <w:sz w:val="20"/>
                <w:szCs w:val="20"/>
                <w:lang w:val="en-US"/>
              </w:rPr>
              <w:t>7</w:t>
            </w:r>
            <w:r w:rsidRPr="007B083E">
              <w:rPr>
                <w:sz w:val="20"/>
                <w:szCs w:val="20"/>
              </w:rPr>
              <w:t>,14</w:t>
            </w:r>
          </w:p>
        </w:tc>
        <w:tc>
          <w:tcPr>
            <w:tcW w:w="1392" w:type="dxa"/>
          </w:tcPr>
          <w:p w14:paraId="6E5B02F3" w14:textId="77777777" w:rsidR="007F22BC" w:rsidRPr="007B083E" w:rsidRDefault="007F22BC" w:rsidP="007B083E">
            <w:pPr>
              <w:jc w:val="center"/>
              <w:rPr>
                <w:sz w:val="20"/>
                <w:szCs w:val="20"/>
              </w:rPr>
            </w:pPr>
            <w:r w:rsidRPr="007B083E">
              <w:rPr>
                <w:sz w:val="20"/>
                <w:szCs w:val="20"/>
              </w:rPr>
              <w:t>8,38</w:t>
            </w:r>
          </w:p>
        </w:tc>
      </w:tr>
      <w:tr w:rsidR="007F22BC" w:rsidRPr="006F575F" w14:paraId="6B7EDD4B" w14:textId="77777777" w:rsidTr="00827C07">
        <w:trPr>
          <w:trHeight w:val="128"/>
          <w:jc w:val="center"/>
        </w:trPr>
        <w:tc>
          <w:tcPr>
            <w:tcW w:w="8656" w:type="dxa"/>
            <w:gridSpan w:val="6"/>
          </w:tcPr>
          <w:p w14:paraId="25027CEA" w14:textId="0CDAAE70" w:rsidR="007F22BC" w:rsidRPr="007B083E" w:rsidRDefault="007F22BC" w:rsidP="007B083E">
            <w:pPr>
              <w:jc w:val="center"/>
              <w:rPr>
                <w:sz w:val="20"/>
                <w:szCs w:val="20"/>
                <w:lang w:val="en-US"/>
              </w:rPr>
            </w:pPr>
            <w:r w:rsidRPr="007B083E">
              <w:rPr>
                <w:bCs/>
                <w:sz w:val="20"/>
                <w:szCs w:val="20"/>
                <w:lang w:val="en-US"/>
              </w:rPr>
              <w:t>Oil change at 285 engine operating hours</w:t>
            </w:r>
          </w:p>
        </w:tc>
      </w:tr>
      <w:tr w:rsidR="007F22BC" w:rsidRPr="007B083E" w14:paraId="5D7977E8" w14:textId="77777777" w:rsidTr="007B083E">
        <w:trPr>
          <w:trHeight w:val="70"/>
          <w:jc w:val="center"/>
        </w:trPr>
        <w:tc>
          <w:tcPr>
            <w:tcW w:w="1453" w:type="dxa"/>
          </w:tcPr>
          <w:p w14:paraId="7CFC809A" w14:textId="77777777" w:rsidR="007F22BC" w:rsidRPr="007B083E" w:rsidRDefault="007F22BC" w:rsidP="007B083E">
            <w:pPr>
              <w:jc w:val="center"/>
              <w:rPr>
                <w:sz w:val="20"/>
                <w:szCs w:val="20"/>
                <w:lang w:val="en-US"/>
              </w:rPr>
            </w:pPr>
            <w:r w:rsidRPr="007B083E">
              <w:rPr>
                <w:sz w:val="20"/>
                <w:szCs w:val="20"/>
                <w:lang w:val="en-US"/>
              </w:rPr>
              <w:t>8398</w:t>
            </w:r>
          </w:p>
        </w:tc>
        <w:tc>
          <w:tcPr>
            <w:tcW w:w="1417" w:type="dxa"/>
            <w:vAlign w:val="center"/>
          </w:tcPr>
          <w:p w14:paraId="7DDE859C" w14:textId="77777777" w:rsidR="007F22BC" w:rsidRPr="007B083E" w:rsidRDefault="007F22BC" w:rsidP="007B083E">
            <w:pPr>
              <w:jc w:val="center"/>
              <w:rPr>
                <w:sz w:val="20"/>
                <w:szCs w:val="20"/>
                <w:lang w:val="en-US"/>
              </w:rPr>
            </w:pPr>
            <w:r w:rsidRPr="007B083E">
              <w:rPr>
                <w:sz w:val="20"/>
                <w:szCs w:val="20"/>
                <w:lang w:val="en-US"/>
              </w:rPr>
              <w:t>55</w:t>
            </w:r>
          </w:p>
        </w:tc>
        <w:tc>
          <w:tcPr>
            <w:tcW w:w="1559" w:type="dxa"/>
            <w:vAlign w:val="center"/>
          </w:tcPr>
          <w:p w14:paraId="5CB8A0A4" w14:textId="77777777" w:rsidR="007F22BC" w:rsidRPr="007B083E" w:rsidRDefault="007F22BC" w:rsidP="007B083E">
            <w:pPr>
              <w:jc w:val="center"/>
              <w:rPr>
                <w:sz w:val="20"/>
                <w:szCs w:val="20"/>
              </w:rPr>
            </w:pPr>
            <w:r w:rsidRPr="007B083E">
              <w:rPr>
                <w:sz w:val="20"/>
                <w:szCs w:val="20"/>
              </w:rPr>
              <w:t>215</w:t>
            </w:r>
          </w:p>
        </w:tc>
        <w:tc>
          <w:tcPr>
            <w:tcW w:w="1418" w:type="dxa"/>
            <w:vAlign w:val="center"/>
          </w:tcPr>
          <w:p w14:paraId="31F78DDE" w14:textId="77777777" w:rsidR="007F22BC" w:rsidRPr="007B083E" w:rsidRDefault="007F22BC" w:rsidP="007B083E">
            <w:pPr>
              <w:jc w:val="center"/>
              <w:rPr>
                <w:sz w:val="20"/>
                <w:szCs w:val="20"/>
              </w:rPr>
            </w:pPr>
            <w:r w:rsidRPr="007B083E">
              <w:rPr>
                <w:sz w:val="20"/>
                <w:szCs w:val="20"/>
              </w:rPr>
              <w:t>14,</w:t>
            </w:r>
            <w:r w:rsidRPr="007B083E">
              <w:rPr>
                <w:sz w:val="20"/>
                <w:szCs w:val="20"/>
                <w:lang w:val="en-US"/>
              </w:rPr>
              <w:t>3</w:t>
            </w:r>
            <w:r w:rsidRPr="007B083E">
              <w:rPr>
                <w:sz w:val="20"/>
                <w:szCs w:val="20"/>
              </w:rPr>
              <w:t>4</w:t>
            </w:r>
          </w:p>
        </w:tc>
        <w:tc>
          <w:tcPr>
            <w:tcW w:w="1417" w:type="dxa"/>
          </w:tcPr>
          <w:p w14:paraId="010A52C5" w14:textId="77777777" w:rsidR="007F22BC" w:rsidRPr="007B083E" w:rsidRDefault="007F22BC" w:rsidP="007B083E">
            <w:pPr>
              <w:jc w:val="center"/>
              <w:rPr>
                <w:sz w:val="20"/>
                <w:szCs w:val="20"/>
              </w:rPr>
            </w:pPr>
            <w:r w:rsidRPr="007B083E">
              <w:rPr>
                <w:sz w:val="20"/>
                <w:szCs w:val="20"/>
              </w:rPr>
              <w:t>8,76</w:t>
            </w:r>
          </w:p>
        </w:tc>
        <w:tc>
          <w:tcPr>
            <w:tcW w:w="1392" w:type="dxa"/>
          </w:tcPr>
          <w:p w14:paraId="0416103C" w14:textId="77777777" w:rsidR="007F22BC" w:rsidRPr="007B083E" w:rsidRDefault="007F22BC" w:rsidP="007B083E">
            <w:pPr>
              <w:jc w:val="center"/>
              <w:rPr>
                <w:sz w:val="20"/>
                <w:szCs w:val="20"/>
              </w:rPr>
            </w:pPr>
            <w:r w:rsidRPr="007B083E">
              <w:rPr>
                <w:sz w:val="20"/>
                <w:szCs w:val="20"/>
              </w:rPr>
              <w:t>8,53</w:t>
            </w:r>
          </w:p>
        </w:tc>
      </w:tr>
      <w:tr w:rsidR="007F22BC" w:rsidRPr="007B083E" w14:paraId="0204D35F" w14:textId="77777777" w:rsidTr="0011094D">
        <w:trPr>
          <w:trHeight w:val="145"/>
          <w:jc w:val="center"/>
        </w:trPr>
        <w:tc>
          <w:tcPr>
            <w:tcW w:w="1453" w:type="dxa"/>
          </w:tcPr>
          <w:p w14:paraId="17F9E7C4" w14:textId="77777777" w:rsidR="007F22BC" w:rsidRPr="007B083E" w:rsidRDefault="007F22BC" w:rsidP="007B083E">
            <w:pPr>
              <w:jc w:val="center"/>
              <w:rPr>
                <w:sz w:val="20"/>
                <w:szCs w:val="20"/>
                <w:lang w:val="en-US"/>
              </w:rPr>
            </w:pPr>
            <w:r w:rsidRPr="007B083E">
              <w:rPr>
                <w:sz w:val="20"/>
                <w:szCs w:val="20"/>
                <w:lang w:val="en-US"/>
              </w:rPr>
              <w:t>8556</w:t>
            </w:r>
          </w:p>
        </w:tc>
        <w:tc>
          <w:tcPr>
            <w:tcW w:w="1417" w:type="dxa"/>
            <w:vAlign w:val="center"/>
          </w:tcPr>
          <w:p w14:paraId="693D14AE" w14:textId="77777777" w:rsidR="007F22BC" w:rsidRPr="007B083E" w:rsidRDefault="007F22BC" w:rsidP="007B083E">
            <w:pPr>
              <w:jc w:val="center"/>
              <w:rPr>
                <w:sz w:val="20"/>
                <w:szCs w:val="20"/>
                <w:lang w:val="en-US"/>
              </w:rPr>
            </w:pPr>
            <w:r w:rsidRPr="007B083E">
              <w:rPr>
                <w:sz w:val="20"/>
                <w:szCs w:val="20"/>
                <w:lang w:val="en-US"/>
              </w:rPr>
              <w:t>125</w:t>
            </w:r>
          </w:p>
        </w:tc>
        <w:tc>
          <w:tcPr>
            <w:tcW w:w="1559" w:type="dxa"/>
            <w:vAlign w:val="center"/>
          </w:tcPr>
          <w:p w14:paraId="674F462D" w14:textId="77777777" w:rsidR="007F22BC" w:rsidRPr="007B083E" w:rsidRDefault="007F22BC" w:rsidP="007B083E">
            <w:pPr>
              <w:jc w:val="center"/>
              <w:rPr>
                <w:sz w:val="20"/>
                <w:szCs w:val="20"/>
                <w:lang w:val="en-US"/>
              </w:rPr>
            </w:pPr>
            <w:r w:rsidRPr="007B083E">
              <w:rPr>
                <w:sz w:val="20"/>
                <w:szCs w:val="20"/>
                <w:lang w:val="en-US"/>
              </w:rPr>
              <w:t>212</w:t>
            </w:r>
          </w:p>
        </w:tc>
        <w:tc>
          <w:tcPr>
            <w:tcW w:w="1418" w:type="dxa"/>
            <w:vAlign w:val="center"/>
          </w:tcPr>
          <w:p w14:paraId="67442CEC" w14:textId="77777777" w:rsidR="007F22BC" w:rsidRPr="007B083E" w:rsidRDefault="007F22BC" w:rsidP="007B083E">
            <w:pPr>
              <w:jc w:val="center"/>
              <w:rPr>
                <w:sz w:val="20"/>
                <w:szCs w:val="20"/>
                <w:lang w:val="en-US"/>
              </w:rPr>
            </w:pPr>
            <w:r w:rsidRPr="007B083E">
              <w:rPr>
                <w:sz w:val="20"/>
                <w:szCs w:val="20"/>
                <w:lang w:val="en-US"/>
              </w:rPr>
              <w:t>14,25</w:t>
            </w:r>
          </w:p>
        </w:tc>
        <w:tc>
          <w:tcPr>
            <w:tcW w:w="1417" w:type="dxa"/>
          </w:tcPr>
          <w:p w14:paraId="3D7C4E40" w14:textId="77777777" w:rsidR="007F22BC" w:rsidRPr="007B083E" w:rsidRDefault="007F22BC" w:rsidP="007B083E">
            <w:pPr>
              <w:jc w:val="center"/>
              <w:rPr>
                <w:sz w:val="20"/>
                <w:szCs w:val="20"/>
              </w:rPr>
            </w:pPr>
            <w:r w:rsidRPr="007B083E">
              <w:rPr>
                <w:sz w:val="20"/>
                <w:szCs w:val="20"/>
              </w:rPr>
              <w:t>8,48</w:t>
            </w:r>
          </w:p>
        </w:tc>
        <w:tc>
          <w:tcPr>
            <w:tcW w:w="1392" w:type="dxa"/>
          </w:tcPr>
          <w:p w14:paraId="64D2B208" w14:textId="77777777" w:rsidR="007F22BC" w:rsidRPr="007B083E" w:rsidRDefault="007F22BC" w:rsidP="007B083E">
            <w:pPr>
              <w:jc w:val="center"/>
              <w:rPr>
                <w:sz w:val="20"/>
                <w:szCs w:val="20"/>
                <w:lang w:val="en-US"/>
              </w:rPr>
            </w:pPr>
            <w:r w:rsidRPr="007B083E">
              <w:rPr>
                <w:sz w:val="20"/>
                <w:szCs w:val="20"/>
                <w:lang w:val="en-US"/>
              </w:rPr>
              <w:t>10,15</w:t>
            </w:r>
          </w:p>
        </w:tc>
      </w:tr>
      <w:tr w:rsidR="007F22BC" w:rsidRPr="007B083E" w14:paraId="637E6AFB" w14:textId="77777777" w:rsidTr="007B083E">
        <w:trPr>
          <w:trHeight w:val="70"/>
          <w:jc w:val="center"/>
        </w:trPr>
        <w:tc>
          <w:tcPr>
            <w:tcW w:w="1453" w:type="dxa"/>
          </w:tcPr>
          <w:p w14:paraId="0E2D9DA9" w14:textId="77777777" w:rsidR="007F22BC" w:rsidRPr="007B083E" w:rsidRDefault="007F22BC" w:rsidP="007B083E">
            <w:pPr>
              <w:jc w:val="center"/>
              <w:rPr>
                <w:sz w:val="20"/>
                <w:szCs w:val="20"/>
                <w:lang w:val="en-US"/>
              </w:rPr>
            </w:pPr>
            <w:r w:rsidRPr="007B083E">
              <w:rPr>
                <w:sz w:val="20"/>
                <w:szCs w:val="20"/>
                <w:lang w:val="en-US"/>
              </w:rPr>
              <w:t>8668</w:t>
            </w:r>
          </w:p>
        </w:tc>
        <w:tc>
          <w:tcPr>
            <w:tcW w:w="1417" w:type="dxa"/>
            <w:vAlign w:val="center"/>
          </w:tcPr>
          <w:p w14:paraId="07060E14" w14:textId="77777777" w:rsidR="007F22BC" w:rsidRPr="007B083E" w:rsidRDefault="007F22BC" w:rsidP="007B083E">
            <w:pPr>
              <w:jc w:val="center"/>
              <w:rPr>
                <w:sz w:val="20"/>
                <w:szCs w:val="20"/>
                <w:lang w:val="en-US"/>
              </w:rPr>
            </w:pPr>
            <w:r w:rsidRPr="007B083E">
              <w:rPr>
                <w:sz w:val="20"/>
                <w:szCs w:val="20"/>
                <w:lang w:val="en-US"/>
              </w:rPr>
              <w:t>278</w:t>
            </w:r>
          </w:p>
        </w:tc>
        <w:tc>
          <w:tcPr>
            <w:tcW w:w="1559" w:type="dxa"/>
            <w:vAlign w:val="center"/>
          </w:tcPr>
          <w:p w14:paraId="0E56C9CB" w14:textId="77777777" w:rsidR="007F22BC" w:rsidRPr="007B083E" w:rsidRDefault="007F22BC" w:rsidP="007B083E">
            <w:pPr>
              <w:jc w:val="center"/>
              <w:rPr>
                <w:sz w:val="20"/>
                <w:szCs w:val="20"/>
                <w:lang w:val="en-US"/>
              </w:rPr>
            </w:pPr>
            <w:r w:rsidRPr="007B083E">
              <w:rPr>
                <w:sz w:val="20"/>
                <w:szCs w:val="20"/>
              </w:rPr>
              <w:t>2</w:t>
            </w:r>
            <w:r w:rsidRPr="007B083E">
              <w:rPr>
                <w:sz w:val="20"/>
                <w:szCs w:val="20"/>
                <w:lang w:val="en-US"/>
              </w:rPr>
              <w:t>04</w:t>
            </w:r>
          </w:p>
        </w:tc>
        <w:tc>
          <w:tcPr>
            <w:tcW w:w="1418" w:type="dxa"/>
            <w:vAlign w:val="center"/>
          </w:tcPr>
          <w:p w14:paraId="328830E3" w14:textId="77777777" w:rsidR="007F22BC" w:rsidRPr="007B083E" w:rsidRDefault="007F22BC" w:rsidP="007B083E">
            <w:pPr>
              <w:jc w:val="center"/>
              <w:rPr>
                <w:sz w:val="20"/>
                <w:szCs w:val="20"/>
              </w:rPr>
            </w:pPr>
            <w:r w:rsidRPr="007B083E">
              <w:rPr>
                <w:sz w:val="20"/>
                <w:szCs w:val="20"/>
              </w:rPr>
              <w:t>1</w:t>
            </w:r>
            <w:r w:rsidRPr="007B083E">
              <w:rPr>
                <w:sz w:val="20"/>
                <w:szCs w:val="20"/>
                <w:lang w:val="en-US"/>
              </w:rPr>
              <w:t>3</w:t>
            </w:r>
            <w:r w:rsidRPr="007B083E">
              <w:rPr>
                <w:sz w:val="20"/>
                <w:szCs w:val="20"/>
              </w:rPr>
              <w:t>,</w:t>
            </w:r>
            <w:r w:rsidRPr="007B083E">
              <w:rPr>
                <w:sz w:val="20"/>
                <w:szCs w:val="20"/>
                <w:lang w:val="en-US"/>
              </w:rPr>
              <w:t>1</w:t>
            </w:r>
            <w:r w:rsidRPr="007B083E">
              <w:rPr>
                <w:sz w:val="20"/>
                <w:szCs w:val="20"/>
              </w:rPr>
              <w:t>4</w:t>
            </w:r>
          </w:p>
        </w:tc>
        <w:tc>
          <w:tcPr>
            <w:tcW w:w="1417" w:type="dxa"/>
          </w:tcPr>
          <w:p w14:paraId="2DC83A86" w14:textId="77777777" w:rsidR="007F22BC" w:rsidRPr="007B083E" w:rsidRDefault="007F22BC" w:rsidP="007B083E">
            <w:pPr>
              <w:jc w:val="center"/>
              <w:rPr>
                <w:sz w:val="20"/>
                <w:szCs w:val="20"/>
              </w:rPr>
            </w:pPr>
            <w:r w:rsidRPr="007B083E">
              <w:rPr>
                <w:sz w:val="20"/>
                <w:szCs w:val="20"/>
              </w:rPr>
              <w:t>8,42</w:t>
            </w:r>
          </w:p>
        </w:tc>
        <w:tc>
          <w:tcPr>
            <w:tcW w:w="1392" w:type="dxa"/>
          </w:tcPr>
          <w:p w14:paraId="7579FA26" w14:textId="77777777" w:rsidR="007F22BC" w:rsidRPr="007B083E" w:rsidRDefault="007F22BC" w:rsidP="007B083E">
            <w:pPr>
              <w:jc w:val="center"/>
              <w:rPr>
                <w:sz w:val="20"/>
                <w:szCs w:val="20"/>
              </w:rPr>
            </w:pPr>
            <w:r w:rsidRPr="007B083E">
              <w:rPr>
                <w:sz w:val="20"/>
                <w:szCs w:val="20"/>
              </w:rPr>
              <w:t>12,84</w:t>
            </w:r>
          </w:p>
        </w:tc>
      </w:tr>
      <w:tr w:rsidR="007F22BC" w:rsidRPr="006F575F" w14:paraId="034264D6" w14:textId="77777777" w:rsidTr="0011094D">
        <w:trPr>
          <w:trHeight w:val="231"/>
          <w:jc w:val="center"/>
        </w:trPr>
        <w:tc>
          <w:tcPr>
            <w:tcW w:w="8656" w:type="dxa"/>
            <w:gridSpan w:val="6"/>
          </w:tcPr>
          <w:p w14:paraId="03DAFDAC" w14:textId="3EBF48C6" w:rsidR="007F22BC" w:rsidRPr="007B083E" w:rsidRDefault="007F22BC" w:rsidP="007B083E">
            <w:pPr>
              <w:jc w:val="center"/>
              <w:rPr>
                <w:sz w:val="20"/>
                <w:szCs w:val="20"/>
                <w:lang w:val="en-US"/>
              </w:rPr>
            </w:pPr>
            <w:r w:rsidRPr="007B083E">
              <w:rPr>
                <w:bCs/>
                <w:sz w:val="20"/>
                <w:szCs w:val="20"/>
                <w:lang w:val="en-US"/>
              </w:rPr>
              <w:t>Oil change at 278 engine operating hours</w:t>
            </w:r>
          </w:p>
        </w:tc>
      </w:tr>
      <w:tr w:rsidR="007F22BC" w:rsidRPr="007B083E" w14:paraId="43565EF2" w14:textId="77777777" w:rsidTr="0011094D">
        <w:trPr>
          <w:trHeight w:val="231"/>
          <w:jc w:val="center"/>
        </w:trPr>
        <w:tc>
          <w:tcPr>
            <w:tcW w:w="1453" w:type="dxa"/>
          </w:tcPr>
          <w:p w14:paraId="252325CF" w14:textId="77777777" w:rsidR="007F22BC" w:rsidRPr="007B083E" w:rsidRDefault="007F22BC" w:rsidP="007B083E">
            <w:pPr>
              <w:jc w:val="center"/>
              <w:rPr>
                <w:sz w:val="20"/>
                <w:szCs w:val="20"/>
              </w:rPr>
            </w:pPr>
            <w:r w:rsidRPr="007B083E">
              <w:rPr>
                <w:sz w:val="20"/>
                <w:szCs w:val="20"/>
              </w:rPr>
              <w:t>8</w:t>
            </w:r>
            <w:r w:rsidRPr="007B083E">
              <w:rPr>
                <w:sz w:val="20"/>
                <w:szCs w:val="20"/>
                <w:lang w:val="en-US"/>
              </w:rPr>
              <w:t>7</w:t>
            </w:r>
            <w:r w:rsidRPr="007B083E">
              <w:rPr>
                <w:sz w:val="20"/>
                <w:szCs w:val="20"/>
              </w:rPr>
              <w:t>20</w:t>
            </w:r>
          </w:p>
        </w:tc>
        <w:tc>
          <w:tcPr>
            <w:tcW w:w="1417" w:type="dxa"/>
            <w:vAlign w:val="center"/>
          </w:tcPr>
          <w:p w14:paraId="506E354A" w14:textId="77777777" w:rsidR="007F22BC" w:rsidRPr="007B083E" w:rsidRDefault="007F22BC" w:rsidP="007B083E">
            <w:pPr>
              <w:jc w:val="center"/>
              <w:rPr>
                <w:sz w:val="20"/>
                <w:szCs w:val="20"/>
              </w:rPr>
            </w:pPr>
            <w:r w:rsidRPr="007B083E">
              <w:rPr>
                <w:sz w:val="20"/>
                <w:szCs w:val="20"/>
              </w:rPr>
              <w:t>48</w:t>
            </w:r>
          </w:p>
        </w:tc>
        <w:tc>
          <w:tcPr>
            <w:tcW w:w="1559" w:type="dxa"/>
            <w:vAlign w:val="center"/>
          </w:tcPr>
          <w:p w14:paraId="2EFF467A" w14:textId="77777777" w:rsidR="007F22BC" w:rsidRPr="007B083E" w:rsidRDefault="007F22BC" w:rsidP="007B083E">
            <w:pPr>
              <w:jc w:val="center"/>
              <w:rPr>
                <w:sz w:val="20"/>
                <w:szCs w:val="20"/>
              </w:rPr>
            </w:pPr>
            <w:r w:rsidRPr="007B083E">
              <w:rPr>
                <w:sz w:val="20"/>
                <w:szCs w:val="20"/>
              </w:rPr>
              <w:t>214</w:t>
            </w:r>
          </w:p>
        </w:tc>
        <w:tc>
          <w:tcPr>
            <w:tcW w:w="1418" w:type="dxa"/>
            <w:vAlign w:val="center"/>
          </w:tcPr>
          <w:p w14:paraId="123F940F" w14:textId="77777777" w:rsidR="007F22BC" w:rsidRPr="007B083E" w:rsidRDefault="007F22BC" w:rsidP="007B083E">
            <w:pPr>
              <w:jc w:val="center"/>
              <w:rPr>
                <w:sz w:val="20"/>
                <w:szCs w:val="20"/>
              </w:rPr>
            </w:pPr>
            <w:r w:rsidRPr="007B083E">
              <w:rPr>
                <w:sz w:val="20"/>
                <w:szCs w:val="20"/>
              </w:rPr>
              <w:t>14,</w:t>
            </w:r>
            <w:r w:rsidRPr="007B083E">
              <w:rPr>
                <w:sz w:val="20"/>
                <w:szCs w:val="20"/>
                <w:lang w:val="en-US"/>
              </w:rPr>
              <w:t>1</w:t>
            </w:r>
            <w:r w:rsidRPr="007B083E">
              <w:rPr>
                <w:sz w:val="20"/>
                <w:szCs w:val="20"/>
              </w:rPr>
              <w:t>4</w:t>
            </w:r>
          </w:p>
        </w:tc>
        <w:tc>
          <w:tcPr>
            <w:tcW w:w="1417" w:type="dxa"/>
          </w:tcPr>
          <w:p w14:paraId="2C1FBFD8" w14:textId="77777777" w:rsidR="007F22BC" w:rsidRPr="007B083E" w:rsidRDefault="007F22BC" w:rsidP="007B083E">
            <w:pPr>
              <w:jc w:val="center"/>
              <w:rPr>
                <w:sz w:val="20"/>
                <w:szCs w:val="20"/>
              </w:rPr>
            </w:pPr>
            <w:r w:rsidRPr="007B083E">
              <w:rPr>
                <w:sz w:val="20"/>
                <w:szCs w:val="20"/>
              </w:rPr>
              <w:t>7,28</w:t>
            </w:r>
          </w:p>
        </w:tc>
        <w:tc>
          <w:tcPr>
            <w:tcW w:w="1392" w:type="dxa"/>
          </w:tcPr>
          <w:p w14:paraId="590F8461" w14:textId="77777777" w:rsidR="007F22BC" w:rsidRPr="007B083E" w:rsidRDefault="007F22BC" w:rsidP="007B083E">
            <w:pPr>
              <w:jc w:val="center"/>
              <w:rPr>
                <w:sz w:val="20"/>
                <w:szCs w:val="20"/>
              </w:rPr>
            </w:pPr>
            <w:r w:rsidRPr="007B083E">
              <w:rPr>
                <w:sz w:val="20"/>
                <w:szCs w:val="20"/>
              </w:rPr>
              <w:t>5,01</w:t>
            </w:r>
          </w:p>
        </w:tc>
      </w:tr>
      <w:tr w:rsidR="007F22BC" w:rsidRPr="007B083E" w14:paraId="0C526AFA" w14:textId="77777777" w:rsidTr="0011094D">
        <w:trPr>
          <w:trHeight w:val="231"/>
          <w:jc w:val="center"/>
        </w:trPr>
        <w:tc>
          <w:tcPr>
            <w:tcW w:w="1453" w:type="dxa"/>
          </w:tcPr>
          <w:p w14:paraId="63853E5B" w14:textId="77777777" w:rsidR="007F22BC" w:rsidRPr="007B083E" w:rsidRDefault="007F22BC" w:rsidP="007B083E">
            <w:pPr>
              <w:jc w:val="center"/>
              <w:rPr>
                <w:sz w:val="20"/>
                <w:szCs w:val="20"/>
              </w:rPr>
            </w:pPr>
            <w:r w:rsidRPr="007B083E">
              <w:rPr>
                <w:sz w:val="20"/>
                <w:szCs w:val="20"/>
              </w:rPr>
              <w:t>8</w:t>
            </w:r>
            <w:r w:rsidRPr="007B083E">
              <w:rPr>
                <w:sz w:val="20"/>
                <w:szCs w:val="20"/>
                <w:lang w:val="en-US"/>
              </w:rPr>
              <w:t>8</w:t>
            </w:r>
            <w:r w:rsidRPr="007B083E">
              <w:rPr>
                <w:sz w:val="20"/>
                <w:szCs w:val="20"/>
              </w:rPr>
              <w:t>50</w:t>
            </w:r>
          </w:p>
        </w:tc>
        <w:tc>
          <w:tcPr>
            <w:tcW w:w="1417" w:type="dxa"/>
            <w:vAlign w:val="center"/>
          </w:tcPr>
          <w:p w14:paraId="09B61E1A" w14:textId="77777777" w:rsidR="007F22BC" w:rsidRPr="007B083E" w:rsidRDefault="007F22BC" w:rsidP="007B083E">
            <w:pPr>
              <w:jc w:val="center"/>
              <w:rPr>
                <w:sz w:val="20"/>
                <w:szCs w:val="20"/>
              </w:rPr>
            </w:pPr>
            <w:r w:rsidRPr="007B083E">
              <w:rPr>
                <w:sz w:val="20"/>
                <w:szCs w:val="20"/>
                <w:lang w:val="en-US"/>
              </w:rPr>
              <w:t>1</w:t>
            </w:r>
            <w:r w:rsidRPr="007B083E">
              <w:rPr>
                <w:sz w:val="20"/>
                <w:szCs w:val="20"/>
              </w:rPr>
              <w:t>53</w:t>
            </w:r>
          </w:p>
        </w:tc>
        <w:tc>
          <w:tcPr>
            <w:tcW w:w="1559" w:type="dxa"/>
            <w:vAlign w:val="center"/>
          </w:tcPr>
          <w:p w14:paraId="2AAD7448" w14:textId="77777777" w:rsidR="007F22BC" w:rsidRPr="007B083E" w:rsidRDefault="007F22BC" w:rsidP="007B083E">
            <w:pPr>
              <w:jc w:val="center"/>
              <w:rPr>
                <w:sz w:val="20"/>
                <w:szCs w:val="20"/>
              </w:rPr>
            </w:pPr>
            <w:r w:rsidRPr="007B083E">
              <w:rPr>
                <w:sz w:val="20"/>
                <w:szCs w:val="20"/>
              </w:rPr>
              <w:t>210</w:t>
            </w:r>
          </w:p>
        </w:tc>
        <w:tc>
          <w:tcPr>
            <w:tcW w:w="1418" w:type="dxa"/>
            <w:vAlign w:val="center"/>
          </w:tcPr>
          <w:p w14:paraId="5B52C7C5" w14:textId="77777777" w:rsidR="007F22BC" w:rsidRPr="007B083E" w:rsidRDefault="007F22BC" w:rsidP="007B083E">
            <w:pPr>
              <w:jc w:val="center"/>
              <w:rPr>
                <w:sz w:val="20"/>
                <w:szCs w:val="20"/>
              </w:rPr>
            </w:pPr>
            <w:r w:rsidRPr="007B083E">
              <w:rPr>
                <w:sz w:val="20"/>
                <w:szCs w:val="20"/>
              </w:rPr>
              <w:t>14,</w:t>
            </w:r>
            <w:r w:rsidRPr="007B083E">
              <w:rPr>
                <w:sz w:val="20"/>
                <w:szCs w:val="20"/>
                <w:lang w:val="en-US"/>
              </w:rPr>
              <w:t>2</w:t>
            </w:r>
            <w:r w:rsidRPr="007B083E">
              <w:rPr>
                <w:sz w:val="20"/>
                <w:szCs w:val="20"/>
              </w:rPr>
              <w:t>6</w:t>
            </w:r>
          </w:p>
        </w:tc>
        <w:tc>
          <w:tcPr>
            <w:tcW w:w="1417" w:type="dxa"/>
          </w:tcPr>
          <w:p w14:paraId="11C6B3B3" w14:textId="77777777" w:rsidR="007F22BC" w:rsidRPr="007B083E" w:rsidRDefault="007F22BC" w:rsidP="007B083E">
            <w:pPr>
              <w:jc w:val="center"/>
              <w:rPr>
                <w:sz w:val="20"/>
                <w:szCs w:val="20"/>
              </w:rPr>
            </w:pPr>
            <w:r w:rsidRPr="007B083E">
              <w:rPr>
                <w:sz w:val="20"/>
                <w:szCs w:val="20"/>
              </w:rPr>
              <w:t>6,89</w:t>
            </w:r>
          </w:p>
        </w:tc>
        <w:tc>
          <w:tcPr>
            <w:tcW w:w="1392" w:type="dxa"/>
          </w:tcPr>
          <w:p w14:paraId="0EE8996C" w14:textId="77777777" w:rsidR="007F22BC" w:rsidRPr="007B083E" w:rsidRDefault="007F22BC" w:rsidP="007B083E">
            <w:pPr>
              <w:jc w:val="center"/>
              <w:rPr>
                <w:sz w:val="20"/>
                <w:szCs w:val="20"/>
              </w:rPr>
            </w:pPr>
            <w:r w:rsidRPr="007B083E">
              <w:rPr>
                <w:sz w:val="20"/>
                <w:szCs w:val="20"/>
              </w:rPr>
              <w:t>9,56</w:t>
            </w:r>
          </w:p>
        </w:tc>
      </w:tr>
      <w:tr w:rsidR="007F22BC" w:rsidRPr="007B083E" w14:paraId="783C5468" w14:textId="77777777" w:rsidTr="007B083E">
        <w:trPr>
          <w:trHeight w:val="70"/>
          <w:jc w:val="center"/>
        </w:trPr>
        <w:tc>
          <w:tcPr>
            <w:tcW w:w="1453" w:type="dxa"/>
          </w:tcPr>
          <w:p w14:paraId="50DEA8C6" w14:textId="77777777" w:rsidR="007F22BC" w:rsidRPr="007B083E" w:rsidRDefault="007F22BC" w:rsidP="007B083E">
            <w:pPr>
              <w:jc w:val="center"/>
              <w:rPr>
                <w:sz w:val="20"/>
                <w:szCs w:val="20"/>
              </w:rPr>
            </w:pPr>
            <w:r w:rsidRPr="007B083E">
              <w:rPr>
                <w:sz w:val="20"/>
                <w:szCs w:val="20"/>
              </w:rPr>
              <w:t>8</w:t>
            </w:r>
            <w:r w:rsidRPr="007B083E">
              <w:rPr>
                <w:sz w:val="20"/>
                <w:szCs w:val="20"/>
                <w:lang w:val="en-US"/>
              </w:rPr>
              <w:t>9</w:t>
            </w:r>
            <w:r w:rsidRPr="007B083E">
              <w:rPr>
                <w:sz w:val="20"/>
                <w:szCs w:val="20"/>
              </w:rPr>
              <w:t>30</w:t>
            </w:r>
          </w:p>
        </w:tc>
        <w:tc>
          <w:tcPr>
            <w:tcW w:w="1417" w:type="dxa"/>
            <w:vAlign w:val="center"/>
          </w:tcPr>
          <w:p w14:paraId="08FD975D" w14:textId="77777777" w:rsidR="007F22BC" w:rsidRPr="007B083E" w:rsidRDefault="007F22BC" w:rsidP="007B083E">
            <w:pPr>
              <w:jc w:val="center"/>
              <w:rPr>
                <w:sz w:val="20"/>
                <w:szCs w:val="20"/>
              </w:rPr>
            </w:pPr>
            <w:r w:rsidRPr="007B083E">
              <w:rPr>
                <w:sz w:val="20"/>
                <w:szCs w:val="20"/>
                <w:lang w:val="en-US"/>
              </w:rPr>
              <w:t>29</w:t>
            </w:r>
            <w:r w:rsidRPr="007B083E">
              <w:rPr>
                <w:sz w:val="20"/>
                <w:szCs w:val="20"/>
              </w:rPr>
              <w:t>5</w:t>
            </w:r>
          </w:p>
        </w:tc>
        <w:tc>
          <w:tcPr>
            <w:tcW w:w="1559" w:type="dxa"/>
            <w:vAlign w:val="center"/>
          </w:tcPr>
          <w:p w14:paraId="03A47FB0" w14:textId="77777777" w:rsidR="007F22BC" w:rsidRPr="007B083E" w:rsidRDefault="007F22BC" w:rsidP="007B083E">
            <w:pPr>
              <w:jc w:val="center"/>
              <w:rPr>
                <w:sz w:val="20"/>
                <w:szCs w:val="20"/>
                <w:lang w:val="en-US"/>
              </w:rPr>
            </w:pPr>
            <w:r w:rsidRPr="007B083E">
              <w:rPr>
                <w:sz w:val="20"/>
                <w:szCs w:val="20"/>
                <w:lang w:val="en-US"/>
              </w:rPr>
              <w:t>195</w:t>
            </w:r>
          </w:p>
        </w:tc>
        <w:tc>
          <w:tcPr>
            <w:tcW w:w="1418" w:type="dxa"/>
            <w:vAlign w:val="center"/>
          </w:tcPr>
          <w:p w14:paraId="58C33F8E" w14:textId="77777777" w:rsidR="007F22BC" w:rsidRPr="007B083E" w:rsidRDefault="007F22BC" w:rsidP="007B083E">
            <w:pPr>
              <w:jc w:val="center"/>
              <w:rPr>
                <w:sz w:val="20"/>
                <w:szCs w:val="20"/>
                <w:lang w:val="en-US"/>
              </w:rPr>
            </w:pPr>
            <w:r w:rsidRPr="007B083E">
              <w:rPr>
                <w:sz w:val="20"/>
                <w:szCs w:val="20"/>
              </w:rPr>
              <w:t>13,</w:t>
            </w:r>
            <w:r w:rsidRPr="007B083E">
              <w:rPr>
                <w:sz w:val="20"/>
                <w:szCs w:val="20"/>
                <w:lang w:val="en-US"/>
              </w:rPr>
              <w:t>15</w:t>
            </w:r>
          </w:p>
        </w:tc>
        <w:tc>
          <w:tcPr>
            <w:tcW w:w="1417" w:type="dxa"/>
          </w:tcPr>
          <w:p w14:paraId="556A0267" w14:textId="77777777" w:rsidR="007F22BC" w:rsidRPr="007B083E" w:rsidRDefault="007F22BC" w:rsidP="007B083E">
            <w:pPr>
              <w:jc w:val="center"/>
              <w:rPr>
                <w:sz w:val="20"/>
                <w:szCs w:val="20"/>
              </w:rPr>
            </w:pPr>
            <w:r w:rsidRPr="007B083E">
              <w:rPr>
                <w:sz w:val="20"/>
                <w:szCs w:val="20"/>
              </w:rPr>
              <w:t>6,56</w:t>
            </w:r>
          </w:p>
        </w:tc>
        <w:tc>
          <w:tcPr>
            <w:tcW w:w="1392" w:type="dxa"/>
          </w:tcPr>
          <w:p w14:paraId="5EEAFEC2" w14:textId="77777777" w:rsidR="007F22BC" w:rsidRPr="007B083E" w:rsidRDefault="007F22BC" w:rsidP="007B083E">
            <w:pPr>
              <w:jc w:val="center"/>
              <w:rPr>
                <w:sz w:val="20"/>
                <w:szCs w:val="20"/>
              </w:rPr>
            </w:pPr>
            <w:r w:rsidRPr="007B083E">
              <w:rPr>
                <w:sz w:val="20"/>
                <w:szCs w:val="20"/>
              </w:rPr>
              <w:t>10,38</w:t>
            </w:r>
          </w:p>
        </w:tc>
      </w:tr>
      <w:tr w:rsidR="007F22BC" w:rsidRPr="006F575F" w14:paraId="4CD30FCC" w14:textId="77777777" w:rsidTr="00E0127C">
        <w:trPr>
          <w:trHeight w:val="231"/>
          <w:jc w:val="center"/>
        </w:trPr>
        <w:tc>
          <w:tcPr>
            <w:tcW w:w="8656" w:type="dxa"/>
            <w:gridSpan w:val="6"/>
          </w:tcPr>
          <w:p w14:paraId="3D7F0441" w14:textId="0C90EDC9" w:rsidR="007F22BC" w:rsidRPr="007B083E" w:rsidRDefault="007F22BC" w:rsidP="007B083E">
            <w:pPr>
              <w:jc w:val="center"/>
              <w:rPr>
                <w:sz w:val="20"/>
                <w:szCs w:val="20"/>
                <w:lang w:val="en-US"/>
              </w:rPr>
            </w:pPr>
            <w:r w:rsidRPr="007B083E">
              <w:rPr>
                <w:bCs/>
                <w:sz w:val="20"/>
                <w:szCs w:val="20"/>
                <w:lang w:val="en-US"/>
              </w:rPr>
              <w:t>Oil change at 295 engine operating hours</w:t>
            </w:r>
          </w:p>
        </w:tc>
      </w:tr>
    </w:tbl>
    <w:p w14:paraId="1C164BB7" w14:textId="630CFD2D" w:rsidR="00144D0B" w:rsidRPr="007B083E" w:rsidRDefault="00144D0B" w:rsidP="003D7B46">
      <w:pPr>
        <w:contextualSpacing/>
        <w:jc w:val="both"/>
        <w:rPr>
          <w:sz w:val="20"/>
          <w:szCs w:val="20"/>
          <w:lang w:val="uz-Cyrl-UZ"/>
        </w:rPr>
      </w:pPr>
    </w:p>
    <w:p w14:paraId="685AEADA" w14:textId="77777777" w:rsidR="00144D0B" w:rsidRPr="007B083E" w:rsidRDefault="00144D0B" w:rsidP="007B083E">
      <w:pPr>
        <w:ind w:firstLine="284"/>
        <w:contextualSpacing/>
        <w:jc w:val="both"/>
        <w:rPr>
          <w:sz w:val="20"/>
          <w:szCs w:val="20"/>
          <w:lang w:val="en-US"/>
        </w:rPr>
      </w:pPr>
      <w:r w:rsidRPr="007B083E">
        <w:rPr>
          <w:sz w:val="20"/>
          <w:szCs w:val="20"/>
          <w:lang w:val="en-US"/>
        </w:rPr>
        <w:t>During operation, the viscosity of the oil decreased to 13.15 cSt. This change affects the oil’s performance, increases wear in the cylinder-piston group, and indirectly reflects the level of organic contamination. Such behavior is typically caused by changes in the structural-group composition of the oil and fuel dilution. The accumulation of oxidation products also significantly impacts the viscosity characteristics of lubricating oils.</w:t>
      </w:r>
    </w:p>
    <w:p w14:paraId="61CF468D" w14:textId="77777777" w:rsidR="00144D0B" w:rsidRPr="007B083E" w:rsidRDefault="00144D0B" w:rsidP="007B083E">
      <w:pPr>
        <w:ind w:firstLine="284"/>
        <w:contextualSpacing/>
        <w:jc w:val="both"/>
        <w:rPr>
          <w:sz w:val="20"/>
          <w:szCs w:val="20"/>
          <w:lang w:val="en-US"/>
        </w:rPr>
      </w:pPr>
      <w:r w:rsidRPr="007B083E">
        <w:rPr>
          <w:sz w:val="20"/>
          <w:szCs w:val="20"/>
          <w:lang w:val="en-US"/>
        </w:rPr>
        <w:t xml:space="preserve">Flash point is an important indicator of the presence of distillate fuel fractions in the oil. It decreases when unburned fuel enters the lubrication system due to leakage or incomplete combustion. For in-service oils, the critical </w:t>
      </w:r>
      <w:r w:rsidRPr="007B083E">
        <w:rPr>
          <w:sz w:val="20"/>
          <w:szCs w:val="20"/>
          <w:lang w:val="en-US"/>
        </w:rPr>
        <w:lastRenderedPageBreak/>
        <w:t>flash point limit is 170–180 °C. For high-viscosity oils with an initially higher flash point, the allowable decrease is 40–50 °C. The entry of just 1% gasoline into the oil lowers the flash point from 200 °C to approximately 170 °C, while 6% gasoline nearly halves it. Dilution of oil with fuel sharply reduces its anti-wear properties, accelerating deposit and lacquer formation on pistons.</w:t>
      </w:r>
    </w:p>
    <w:p w14:paraId="0F4345E9" w14:textId="77777777" w:rsidR="00144D0B" w:rsidRPr="007B083E" w:rsidRDefault="00144D0B" w:rsidP="007B083E">
      <w:pPr>
        <w:ind w:firstLine="284"/>
        <w:contextualSpacing/>
        <w:jc w:val="both"/>
        <w:rPr>
          <w:sz w:val="20"/>
          <w:szCs w:val="20"/>
          <w:lang w:val="en-US"/>
        </w:rPr>
      </w:pPr>
      <w:r w:rsidRPr="007B083E">
        <w:rPr>
          <w:sz w:val="20"/>
          <w:szCs w:val="20"/>
          <w:lang w:val="en-US"/>
        </w:rPr>
        <w:t>In this study, the flash point dropped to 195 °C, approaching the rejection threshold, indicating the need for oil replacement to prevent reduced engine reliability.</w:t>
      </w:r>
    </w:p>
    <w:p w14:paraId="304BAAA3" w14:textId="77777777" w:rsidR="00144D0B" w:rsidRPr="007B083E" w:rsidRDefault="00144D0B" w:rsidP="007B083E">
      <w:pPr>
        <w:ind w:firstLine="284"/>
        <w:contextualSpacing/>
        <w:jc w:val="both"/>
        <w:rPr>
          <w:sz w:val="20"/>
          <w:szCs w:val="20"/>
          <w:lang w:val="en-US"/>
        </w:rPr>
      </w:pPr>
      <w:r w:rsidRPr="007B083E">
        <w:rPr>
          <w:sz w:val="20"/>
          <w:szCs w:val="20"/>
          <w:lang w:val="en-US"/>
        </w:rPr>
        <w:t>Another critical parameter of oil quality and performance is total base number (TBN)—a key indicator of additive depletion. TBN reflects the oil’s capacity to neutralize acids formed during fuel combustion and base oil oxidation. Alkalinity, provided by basic additives, is consumed at varying rates during acid neutralization. The end of oil service life is often defined as the point when TBN equals the total acid number (TAN). The permissible TBN value is typically 1.5–2.0 mg KOH/g, corresponding to 50% of the TBN of fresh oil.</w:t>
      </w:r>
    </w:p>
    <w:p w14:paraId="6831574D" w14:textId="510EDE40" w:rsidR="00144D0B" w:rsidRPr="007B083E" w:rsidRDefault="00144D0B" w:rsidP="007B083E">
      <w:pPr>
        <w:ind w:firstLine="284"/>
        <w:contextualSpacing/>
        <w:jc w:val="both"/>
        <w:rPr>
          <w:sz w:val="20"/>
          <w:szCs w:val="20"/>
          <w:lang w:val="en-US"/>
        </w:rPr>
      </w:pPr>
      <w:r w:rsidRPr="007B083E">
        <w:rPr>
          <w:sz w:val="20"/>
          <w:szCs w:val="20"/>
          <w:lang w:val="en-US"/>
        </w:rPr>
        <w:t>Operating an engine with oil below this TBN threshold accelerates piston ring and cylinder wear and can intensify lacquer and deposit formation. A low TBN also increases the risk of corrosion and failure of vulnerable engine parts, especially crankshaft bearing shells. TBN also provides insight into additive depletion and the oil’s ability to resist corrosive attack.</w:t>
      </w:r>
    </w:p>
    <w:p w14:paraId="47EF1810" w14:textId="77777777" w:rsidR="00144D0B" w:rsidRPr="007B083E" w:rsidRDefault="00144D0B" w:rsidP="007B083E">
      <w:pPr>
        <w:ind w:firstLine="284"/>
        <w:contextualSpacing/>
        <w:jc w:val="both"/>
        <w:rPr>
          <w:sz w:val="20"/>
          <w:szCs w:val="20"/>
          <w:lang w:val="en-US"/>
        </w:rPr>
      </w:pPr>
      <w:r w:rsidRPr="007B083E">
        <w:rPr>
          <w:sz w:val="20"/>
          <w:szCs w:val="20"/>
          <w:lang w:val="en-US"/>
        </w:rPr>
        <w:t>In long-term use, initially added additives may be fully depleted during the neutralization of acids such as carboxylic acids. However, their neutralization products (salts) continue to contribute to the oil’s alkalinity, sometimes temporarily increasing TBN.</w:t>
      </w:r>
    </w:p>
    <w:p w14:paraId="1A7B9358" w14:textId="77777777" w:rsidR="00144D0B" w:rsidRPr="007B083E" w:rsidRDefault="00144D0B" w:rsidP="007B083E">
      <w:pPr>
        <w:ind w:firstLine="284"/>
        <w:contextualSpacing/>
        <w:jc w:val="both"/>
        <w:rPr>
          <w:sz w:val="20"/>
          <w:szCs w:val="20"/>
          <w:lang w:val="en-US"/>
        </w:rPr>
      </w:pPr>
      <w:r w:rsidRPr="007B083E">
        <w:rPr>
          <w:sz w:val="20"/>
          <w:szCs w:val="20"/>
          <w:lang w:val="en-US"/>
        </w:rPr>
        <w:t>Motor oil must maintain sufficient alkalinity to preserve detergent properties, neutralize acids, and suppress corrosion. The higher the TBN, the more acidic by-products can be neutralized during oxidation and combustion. Otherwise, these acids accelerate corrosion and deposit formation. In this study, TBN decreased from 9.31 to 6.56 mg KOH/g during operation.</w:t>
      </w:r>
    </w:p>
    <w:p w14:paraId="7EB389DC" w14:textId="7E9C9378" w:rsidR="00144D0B" w:rsidRPr="007B083E" w:rsidRDefault="00144D0B" w:rsidP="007B083E">
      <w:pPr>
        <w:ind w:firstLine="284"/>
        <w:contextualSpacing/>
        <w:jc w:val="both"/>
        <w:rPr>
          <w:sz w:val="20"/>
          <w:szCs w:val="20"/>
          <w:lang w:val="en-US"/>
        </w:rPr>
      </w:pPr>
      <w:r w:rsidRPr="007B083E">
        <w:rPr>
          <w:sz w:val="20"/>
          <w:szCs w:val="20"/>
          <w:lang w:val="en-US"/>
        </w:rPr>
        <w:tab/>
        <w:t>The service life of the oil is determined primarily by its detergent properties, which are crucial in preventing contamination due to oxidation on hot engine surfaces. Under steady-state diesel operation, the depletion rate of TBN is proportional to fuel consumption</w:t>
      </w:r>
      <w:r w:rsidR="00C50916" w:rsidRPr="007B083E">
        <w:rPr>
          <w:sz w:val="20"/>
          <w:szCs w:val="20"/>
          <w:lang w:val="en-US"/>
        </w:rPr>
        <w:t xml:space="preserve"> [9]</w:t>
      </w:r>
      <w:r w:rsidRPr="007B083E">
        <w:rPr>
          <w:sz w:val="20"/>
          <w:szCs w:val="20"/>
          <w:lang w:val="en-US"/>
        </w:rPr>
        <w:t>.</w:t>
      </w:r>
    </w:p>
    <w:p w14:paraId="0993DEB0" w14:textId="1EE21B49" w:rsidR="00144D0B" w:rsidRPr="007B083E" w:rsidRDefault="00144D0B" w:rsidP="007B083E">
      <w:pPr>
        <w:ind w:firstLine="284"/>
        <w:contextualSpacing/>
        <w:jc w:val="both"/>
        <w:rPr>
          <w:sz w:val="20"/>
          <w:szCs w:val="20"/>
          <w:lang w:val="en-US"/>
        </w:rPr>
      </w:pPr>
      <w:r w:rsidRPr="007B083E">
        <w:rPr>
          <w:sz w:val="20"/>
          <w:szCs w:val="20"/>
          <w:lang w:val="en-US"/>
        </w:rPr>
        <w:t>The key criteria for assessing the suitability of used oil for continued engine operation remain its effect on wear rates, lacquer and deposit formation. As shown above, the most influential factors are the concentration of insoluble contaminants, depletion of detergent-dispersant additives, and accumulation of oxidation products.</w:t>
      </w:r>
    </w:p>
    <w:p w14:paraId="19397100" w14:textId="633D8DD1" w:rsidR="00144D0B" w:rsidRPr="007B083E" w:rsidRDefault="00144D0B" w:rsidP="007B083E">
      <w:pPr>
        <w:ind w:firstLine="284"/>
        <w:contextualSpacing/>
        <w:jc w:val="both"/>
        <w:rPr>
          <w:sz w:val="20"/>
          <w:szCs w:val="20"/>
          <w:lang w:val="en-US"/>
        </w:rPr>
      </w:pPr>
      <w:r w:rsidRPr="007B083E">
        <w:rPr>
          <w:sz w:val="20"/>
          <w:szCs w:val="20"/>
          <w:lang w:val="en-US"/>
        </w:rPr>
        <w:t>An analysis of lubricant aging patterns shows that the concentration of mechanical impurities reaches its critical limit faster than other parameters. The level of contamination depends on external factors, such as dustiness of the work site. Mechanical impurities accumulate in the oil as a result of airborne dust ingress through the intake system or crankcase leaks, as well as through the formation of insoluble oxidation and wear products</w:t>
      </w:r>
      <w:r w:rsidR="00C50916" w:rsidRPr="007B083E">
        <w:rPr>
          <w:sz w:val="20"/>
          <w:szCs w:val="20"/>
          <w:lang w:val="en-US"/>
        </w:rPr>
        <w:t xml:space="preserve"> [</w:t>
      </w:r>
      <w:r w:rsidR="00C50916" w:rsidRPr="007B083E">
        <w:rPr>
          <w:sz w:val="20"/>
          <w:szCs w:val="20"/>
          <w:lang w:val="uz-Cyrl-UZ"/>
        </w:rPr>
        <w:t>1</w:t>
      </w:r>
      <w:r w:rsidR="00C50916" w:rsidRPr="007B083E">
        <w:rPr>
          <w:sz w:val="20"/>
          <w:szCs w:val="20"/>
          <w:lang w:val="en-US"/>
        </w:rPr>
        <w:t>0]</w:t>
      </w:r>
      <w:r w:rsidRPr="007B083E">
        <w:rPr>
          <w:sz w:val="20"/>
          <w:szCs w:val="20"/>
          <w:lang w:val="en-US"/>
        </w:rPr>
        <w:t>.</w:t>
      </w:r>
    </w:p>
    <w:p w14:paraId="56424096" w14:textId="4B768402" w:rsidR="00144D0B" w:rsidRPr="007B083E" w:rsidRDefault="00144D0B" w:rsidP="007B083E">
      <w:pPr>
        <w:ind w:firstLine="284"/>
        <w:contextualSpacing/>
        <w:jc w:val="both"/>
        <w:rPr>
          <w:sz w:val="20"/>
          <w:szCs w:val="20"/>
          <w:lang w:val="en-US"/>
        </w:rPr>
      </w:pPr>
      <w:r w:rsidRPr="007B083E">
        <w:rPr>
          <w:sz w:val="20"/>
          <w:szCs w:val="20"/>
          <w:lang w:val="en-US"/>
        </w:rPr>
        <w:t>The most intensive accumulation of mechanical impurities typically occurs during the first 100–150 engine hours, after which the process stabilizes as an equilibrium is reached between contamination and removal through filtration systems (filters, centrifuges).</w:t>
      </w:r>
    </w:p>
    <w:p w14:paraId="1B5A53A5" w14:textId="1CB32EF3" w:rsidR="00144D0B" w:rsidRPr="007B083E" w:rsidRDefault="00144D0B" w:rsidP="007B083E">
      <w:pPr>
        <w:ind w:firstLine="284"/>
        <w:contextualSpacing/>
        <w:jc w:val="both"/>
        <w:rPr>
          <w:sz w:val="20"/>
          <w:szCs w:val="20"/>
          <w:lang w:val="en-US"/>
        </w:rPr>
      </w:pPr>
      <w:r w:rsidRPr="007B083E">
        <w:rPr>
          <w:sz w:val="20"/>
          <w:szCs w:val="20"/>
          <w:lang w:val="en-US"/>
        </w:rPr>
        <w:t>To study the effect of air dust concentration on engine component wear, an experimental investigation was conducted on three BELAZ dump trucks (models 7513, 75307, and 75310) operating in open-pit conditions. The sampling interval corresponded to approximately 1800–2000 kg of consumed fuel. From each warmed-up engine, 150 ml of oil was periodically collected for analysis.</w:t>
      </w:r>
    </w:p>
    <w:p w14:paraId="1DE469B9" w14:textId="211CDB2C" w:rsidR="00144D0B" w:rsidRPr="007B083E" w:rsidRDefault="00144D0B" w:rsidP="007B083E">
      <w:pPr>
        <w:ind w:firstLine="284"/>
        <w:contextualSpacing/>
        <w:jc w:val="both"/>
        <w:rPr>
          <w:sz w:val="20"/>
          <w:szCs w:val="20"/>
          <w:lang w:val="en-US"/>
        </w:rPr>
      </w:pPr>
      <w:r w:rsidRPr="007B083E">
        <w:rPr>
          <w:sz w:val="20"/>
          <w:szCs w:val="20"/>
          <w:lang w:val="en-US"/>
        </w:rPr>
        <w:t>A widely used diagnostic technique for assessing engine wear involves determining iron concentration in the oil. Spectral analysis was performed to evaluate the Fe content in API CI-4, SAE 15W-40 motor oil from BELAZ dump trucks with QSK-60 engines over time (Fig. 1).</w:t>
      </w:r>
    </w:p>
    <w:p w14:paraId="048F092E" w14:textId="1512EA4F" w:rsidR="00B67378" w:rsidRDefault="00144D0B" w:rsidP="007B083E">
      <w:pPr>
        <w:ind w:firstLine="284"/>
        <w:contextualSpacing/>
        <w:jc w:val="both"/>
        <w:rPr>
          <w:sz w:val="20"/>
          <w:szCs w:val="20"/>
          <w:lang w:val="en-US"/>
        </w:rPr>
      </w:pPr>
      <w:r w:rsidRPr="007B083E">
        <w:rPr>
          <w:sz w:val="20"/>
          <w:szCs w:val="20"/>
          <w:lang w:val="en-US"/>
        </w:rPr>
        <w:t>The degree of wear of engine components can be monitored by analyzing the concentration of wear products in the oil. Figures 1, 2, and 3 present the results of the spectral analysis of the elemental composition of wear particles in SAE 15W-40 oil as a function of operating time in the dump truck engines.</w:t>
      </w:r>
    </w:p>
    <w:p w14:paraId="1A676091" w14:textId="77777777" w:rsidR="004E1075" w:rsidRPr="004E1075" w:rsidRDefault="004E1075" w:rsidP="004E1075">
      <w:pPr>
        <w:ind w:firstLine="284"/>
        <w:contextualSpacing/>
        <w:jc w:val="both"/>
        <w:rPr>
          <w:sz w:val="20"/>
          <w:szCs w:val="20"/>
          <w:lang w:val="en-US"/>
        </w:rPr>
      </w:pPr>
      <w:r w:rsidRPr="004E1075">
        <w:rPr>
          <w:sz w:val="20"/>
          <w:szCs w:val="20"/>
          <w:lang w:val="en-US"/>
        </w:rPr>
        <w:t>The analysis of the research results shows that the average concentration of iron in the oil increases over the course of operation. Elevated iron content indicates an intensification of wear processes. As the iron concentration in the oil rises, the frictional, anti-wear, antioxidant, and detergent properties of the oil deteriorate. This degradation is a direct consequence of disruptions in the lubrication regime of friction pairs, which leads to increased loads and temperatures in contact zones.</w:t>
      </w:r>
    </w:p>
    <w:p w14:paraId="11B391DF" w14:textId="30EFE231" w:rsidR="00951C29" w:rsidRDefault="00951C29" w:rsidP="007B083E">
      <w:pPr>
        <w:ind w:firstLine="284"/>
        <w:contextualSpacing/>
        <w:jc w:val="both"/>
        <w:rPr>
          <w:sz w:val="20"/>
          <w:szCs w:val="20"/>
          <w:lang w:val="en-US"/>
        </w:rPr>
      </w:pPr>
    </w:p>
    <w:p w14:paraId="7DC544E5" w14:textId="13F0EFE4" w:rsidR="00951C29" w:rsidRDefault="00951C29" w:rsidP="007B083E">
      <w:pPr>
        <w:ind w:firstLine="284"/>
        <w:contextualSpacing/>
        <w:jc w:val="both"/>
        <w:rPr>
          <w:sz w:val="20"/>
          <w:szCs w:val="20"/>
          <w:lang w:val="en-US"/>
        </w:rPr>
      </w:pPr>
    </w:p>
    <w:p w14:paraId="1D2FCA7B" w14:textId="4D77A38E" w:rsidR="00951C29" w:rsidRDefault="00951C29" w:rsidP="007B083E">
      <w:pPr>
        <w:ind w:firstLine="284"/>
        <w:contextualSpacing/>
        <w:jc w:val="both"/>
        <w:rPr>
          <w:sz w:val="20"/>
          <w:szCs w:val="20"/>
          <w:lang w:val="en-US"/>
        </w:rPr>
      </w:pPr>
    </w:p>
    <w:p w14:paraId="2CE233B1" w14:textId="116AABBC" w:rsidR="00951C29" w:rsidRDefault="00951C29" w:rsidP="007B083E">
      <w:pPr>
        <w:ind w:firstLine="284"/>
        <w:contextualSpacing/>
        <w:jc w:val="both"/>
        <w:rPr>
          <w:sz w:val="20"/>
          <w:szCs w:val="20"/>
          <w:lang w:val="en-US"/>
        </w:rPr>
      </w:pPr>
    </w:p>
    <w:p w14:paraId="06760C1E" w14:textId="77777777" w:rsidR="0058734D" w:rsidRDefault="0058734D" w:rsidP="007B083E">
      <w:pPr>
        <w:ind w:firstLine="284"/>
        <w:contextualSpacing/>
        <w:jc w:val="both"/>
        <w:rPr>
          <w:sz w:val="20"/>
          <w:szCs w:val="20"/>
          <w:lang w:val="en-US"/>
        </w:rPr>
      </w:pPr>
    </w:p>
    <w:p w14:paraId="47230E79" w14:textId="35EAA984" w:rsidR="00164ABB" w:rsidRDefault="007B083E" w:rsidP="007B083E">
      <w:pPr>
        <w:ind w:firstLine="284"/>
        <w:contextualSpacing/>
        <w:jc w:val="both"/>
        <w:rPr>
          <w:sz w:val="20"/>
          <w:szCs w:val="20"/>
          <w:lang w:val="en-US"/>
        </w:rPr>
      </w:pPr>
      <w:r w:rsidRPr="007B083E">
        <w:rPr>
          <w:noProof/>
          <w:sz w:val="20"/>
          <w:szCs w:val="20"/>
          <w:lang w:val="en-US" w:eastAsia="en-US"/>
        </w:rPr>
        <w:lastRenderedPageBreak/>
        <w:drawing>
          <wp:anchor distT="0" distB="0" distL="114300" distR="114300" simplePos="0" relativeHeight="251658752" behindDoc="0" locked="0" layoutInCell="1" allowOverlap="1" wp14:anchorId="00D0D7EF" wp14:editId="570D3A08">
            <wp:simplePos x="0" y="0"/>
            <wp:positionH relativeFrom="margin">
              <wp:posOffset>610870</wp:posOffset>
            </wp:positionH>
            <wp:positionV relativeFrom="paragraph">
              <wp:posOffset>116205</wp:posOffset>
            </wp:positionV>
            <wp:extent cx="4500438" cy="2433099"/>
            <wp:effectExtent l="0" t="0" r="14605" b="5715"/>
            <wp:wrapNone/>
            <wp:docPr id="1"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14:paraId="0A1A819A" w14:textId="77777777" w:rsidR="0058734D" w:rsidRPr="007B083E" w:rsidRDefault="0058734D" w:rsidP="007B083E">
      <w:pPr>
        <w:ind w:firstLine="284"/>
        <w:contextualSpacing/>
        <w:jc w:val="both"/>
        <w:rPr>
          <w:sz w:val="20"/>
          <w:szCs w:val="20"/>
          <w:lang w:val="en-US"/>
        </w:rPr>
      </w:pPr>
    </w:p>
    <w:p w14:paraId="3B5F9E3B" w14:textId="5E461D6A" w:rsidR="00164ABB" w:rsidRPr="007B083E" w:rsidRDefault="00164ABB" w:rsidP="007B083E">
      <w:pPr>
        <w:ind w:firstLine="284"/>
        <w:contextualSpacing/>
        <w:jc w:val="both"/>
        <w:rPr>
          <w:sz w:val="20"/>
          <w:szCs w:val="20"/>
          <w:lang w:val="en-US"/>
        </w:rPr>
      </w:pPr>
    </w:p>
    <w:p w14:paraId="42E35F7F" w14:textId="41D4B7A0" w:rsidR="00164ABB" w:rsidRPr="007B083E" w:rsidRDefault="00164ABB" w:rsidP="007B083E">
      <w:pPr>
        <w:ind w:firstLine="284"/>
        <w:contextualSpacing/>
        <w:jc w:val="both"/>
        <w:rPr>
          <w:sz w:val="20"/>
          <w:szCs w:val="20"/>
          <w:lang w:val="en-US"/>
        </w:rPr>
      </w:pPr>
    </w:p>
    <w:p w14:paraId="74DE1097" w14:textId="57FCAF70" w:rsidR="00164ABB" w:rsidRPr="007B083E" w:rsidRDefault="00164ABB" w:rsidP="007B083E">
      <w:pPr>
        <w:ind w:firstLine="284"/>
        <w:contextualSpacing/>
        <w:jc w:val="both"/>
        <w:rPr>
          <w:sz w:val="20"/>
          <w:szCs w:val="20"/>
          <w:lang w:val="en-US"/>
        </w:rPr>
      </w:pPr>
    </w:p>
    <w:p w14:paraId="65AC5736" w14:textId="1485BBCD" w:rsidR="00164ABB" w:rsidRPr="007B083E" w:rsidRDefault="00164ABB" w:rsidP="007B083E">
      <w:pPr>
        <w:ind w:firstLine="284"/>
        <w:contextualSpacing/>
        <w:jc w:val="both"/>
        <w:rPr>
          <w:sz w:val="20"/>
          <w:szCs w:val="20"/>
          <w:lang w:val="en-US"/>
        </w:rPr>
      </w:pPr>
    </w:p>
    <w:p w14:paraId="092A7DBD" w14:textId="156CC3A4" w:rsidR="00164ABB" w:rsidRPr="007B083E" w:rsidRDefault="00164ABB" w:rsidP="007B083E">
      <w:pPr>
        <w:ind w:firstLine="284"/>
        <w:contextualSpacing/>
        <w:jc w:val="both"/>
        <w:rPr>
          <w:sz w:val="20"/>
          <w:szCs w:val="20"/>
          <w:lang w:val="en-US"/>
        </w:rPr>
      </w:pPr>
    </w:p>
    <w:p w14:paraId="61B39835" w14:textId="5CCDE969" w:rsidR="00164ABB" w:rsidRPr="007B083E" w:rsidRDefault="00164ABB" w:rsidP="007B083E">
      <w:pPr>
        <w:ind w:firstLine="284"/>
        <w:contextualSpacing/>
        <w:jc w:val="both"/>
        <w:rPr>
          <w:sz w:val="20"/>
          <w:szCs w:val="20"/>
          <w:lang w:val="en-US"/>
        </w:rPr>
      </w:pPr>
    </w:p>
    <w:p w14:paraId="2E995392" w14:textId="10A57683" w:rsidR="0096132C" w:rsidRPr="007B083E" w:rsidRDefault="0096132C" w:rsidP="007B083E">
      <w:pPr>
        <w:tabs>
          <w:tab w:val="left" w:pos="-5940"/>
        </w:tabs>
        <w:ind w:firstLine="284"/>
        <w:jc w:val="both"/>
        <w:rPr>
          <w:sz w:val="20"/>
          <w:szCs w:val="20"/>
          <w:lang w:val="en-US"/>
        </w:rPr>
      </w:pPr>
    </w:p>
    <w:p w14:paraId="4B27E10E" w14:textId="77777777" w:rsidR="0096132C" w:rsidRPr="007B083E" w:rsidRDefault="0096132C" w:rsidP="007B083E">
      <w:pPr>
        <w:tabs>
          <w:tab w:val="left" w:pos="-5940"/>
        </w:tabs>
        <w:ind w:firstLine="284"/>
        <w:jc w:val="both"/>
        <w:rPr>
          <w:sz w:val="20"/>
          <w:szCs w:val="20"/>
          <w:lang w:val="en-US"/>
        </w:rPr>
      </w:pPr>
    </w:p>
    <w:p w14:paraId="53F1A7D5" w14:textId="02498CD4" w:rsidR="0096132C" w:rsidRPr="007B083E" w:rsidRDefault="0096132C" w:rsidP="007B083E">
      <w:pPr>
        <w:tabs>
          <w:tab w:val="left" w:pos="-5940"/>
        </w:tabs>
        <w:ind w:firstLine="284"/>
        <w:jc w:val="both"/>
        <w:rPr>
          <w:sz w:val="20"/>
          <w:szCs w:val="20"/>
          <w:lang w:val="en-US"/>
        </w:rPr>
      </w:pPr>
    </w:p>
    <w:p w14:paraId="78C076BC" w14:textId="77777777" w:rsidR="0096132C" w:rsidRPr="007B083E" w:rsidRDefault="0096132C" w:rsidP="007B083E">
      <w:pPr>
        <w:tabs>
          <w:tab w:val="left" w:pos="-5940"/>
        </w:tabs>
        <w:ind w:firstLine="284"/>
        <w:jc w:val="both"/>
        <w:rPr>
          <w:sz w:val="20"/>
          <w:szCs w:val="20"/>
          <w:lang w:val="en-US"/>
        </w:rPr>
      </w:pPr>
    </w:p>
    <w:p w14:paraId="0A97FAC5" w14:textId="77777777" w:rsidR="0096132C" w:rsidRPr="007B083E" w:rsidRDefault="0096132C" w:rsidP="007B083E">
      <w:pPr>
        <w:tabs>
          <w:tab w:val="left" w:pos="-5940"/>
        </w:tabs>
        <w:ind w:firstLine="284"/>
        <w:jc w:val="both"/>
        <w:rPr>
          <w:sz w:val="20"/>
          <w:szCs w:val="20"/>
          <w:lang w:val="en-US"/>
        </w:rPr>
      </w:pPr>
    </w:p>
    <w:p w14:paraId="037BFD69" w14:textId="77777777" w:rsidR="0096132C" w:rsidRPr="007B083E" w:rsidRDefault="0096132C" w:rsidP="007B083E">
      <w:pPr>
        <w:tabs>
          <w:tab w:val="left" w:pos="-5940"/>
        </w:tabs>
        <w:ind w:firstLine="284"/>
        <w:jc w:val="both"/>
        <w:rPr>
          <w:sz w:val="20"/>
          <w:szCs w:val="20"/>
          <w:lang w:val="en-US"/>
        </w:rPr>
      </w:pPr>
    </w:p>
    <w:p w14:paraId="46B54E35" w14:textId="3A3F33A0" w:rsidR="0096132C" w:rsidRPr="007B083E" w:rsidRDefault="0096132C" w:rsidP="007B083E">
      <w:pPr>
        <w:tabs>
          <w:tab w:val="left" w:pos="-5940"/>
        </w:tabs>
        <w:ind w:firstLine="284"/>
        <w:jc w:val="both"/>
        <w:rPr>
          <w:sz w:val="20"/>
          <w:szCs w:val="20"/>
          <w:lang w:val="en-US"/>
        </w:rPr>
      </w:pPr>
    </w:p>
    <w:p w14:paraId="3A3B2CA1" w14:textId="0496E6CA" w:rsidR="00B67378" w:rsidRDefault="00B67378" w:rsidP="007B083E">
      <w:pPr>
        <w:tabs>
          <w:tab w:val="left" w:pos="-5940"/>
        </w:tabs>
        <w:jc w:val="both"/>
        <w:rPr>
          <w:b/>
          <w:sz w:val="20"/>
          <w:szCs w:val="20"/>
          <w:lang w:val="en-US"/>
        </w:rPr>
      </w:pPr>
    </w:p>
    <w:p w14:paraId="2C20825D" w14:textId="7635FF5A" w:rsidR="004E1075" w:rsidRDefault="004E1075" w:rsidP="007B083E">
      <w:pPr>
        <w:tabs>
          <w:tab w:val="left" w:pos="-5940"/>
        </w:tabs>
        <w:jc w:val="both"/>
        <w:rPr>
          <w:b/>
          <w:sz w:val="20"/>
          <w:szCs w:val="20"/>
          <w:lang w:val="en-US"/>
        </w:rPr>
      </w:pPr>
    </w:p>
    <w:p w14:paraId="10920A2C" w14:textId="77777777" w:rsidR="004E1075" w:rsidRPr="007B083E" w:rsidRDefault="004E1075" w:rsidP="007B083E">
      <w:pPr>
        <w:tabs>
          <w:tab w:val="left" w:pos="-5940"/>
        </w:tabs>
        <w:jc w:val="both"/>
        <w:rPr>
          <w:b/>
          <w:sz w:val="20"/>
          <w:szCs w:val="20"/>
          <w:lang w:val="en-US"/>
        </w:rPr>
      </w:pPr>
    </w:p>
    <w:p w14:paraId="5D042C56" w14:textId="5BE5E2CF" w:rsidR="007F22BC" w:rsidRPr="007B083E" w:rsidRDefault="00B67378" w:rsidP="007B083E">
      <w:pPr>
        <w:tabs>
          <w:tab w:val="left" w:pos="-5940"/>
        </w:tabs>
        <w:ind w:firstLine="284"/>
        <w:jc w:val="center"/>
        <w:rPr>
          <w:sz w:val="20"/>
          <w:szCs w:val="20"/>
          <w:lang w:val="en-US"/>
        </w:rPr>
      </w:pPr>
      <w:r w:rsidRPr="007B083E">
        <w:rPr>
          <w:b/>
          <w:sz w:val="20"/>
          <w:szCs w:val="20"/>
          <w:lang w:val="en-US"/>
        </w:rPr>
        <w:t>FIGURE 1.</w:t>
      </w:r>
      <w:r w:rsidR="007F22BC" w:rsidRPr="007B083E">
        <w:rPr>
          <w:b/>
          <w:sz w:val="20"/>
          <w:szCs w:val="20"/>
          <w:lang w:val="en-US"/>
        </w:rPr>
        <w:t xml:space="preserve"> </w:t>
      </w:r>
      <w:r w:rsidR="007F22BC" w:rsidRPr="007B083E">
        <w:rPr>
          <w:sz w:val="20"/>
          <w:szCs w:val="20"/>
          <w:lang w:val="en-US"/>
        </w:rPr>
        <w:t>Dependence of iron (Fe) concentration in used motor oil on the operating time of dump trucks (engine hours).</w:t>
      </w:r>
    </w:p>
    <w:p w14:paraId="1C86EA4D" w14:textId="77777777" w:rsidR="00643B10" w:rsidRPr="007B083E" w:rsidRDefault="00643B10" w:rsidP="007B083E">
      <w:pPr>
        <w:tabs>
          <w:tab w:val="left" w:pos="-5940"/>
        </w:tabs>
        <w:ind w:firstLine="284"/>
        <w:jc w:val="center"/>
        <w:rPr>
          <w:b/>
          <w:sz w:val="20"/>
          <w:szCs w:val="20"/>
          <w:lang w:val="en-US"/>
        </w:rPr>
      </w:pPr>
    </w:p>
    <w:p w14:paraId="11B6690B" w14:textId="77777777" w:rsidR="00B67378" w:rsidRPr="007B083E" w:rsidRDefault="00B67378" w:rsidP="007B083E">
      <w:pPr>
        <w:shd w:val="clear" w:color="auto" w:fill="FFFFFF"/>
        <w:ind w:firstLine="284"/>
        <w:jc w:val="both"/>
        <w:rPr>
          <w:sz w:val="20"/>
          <w:szCs w:val="20"/>
          <w:lang w:val="en-US"/>
        </w:rPr>
      </w:pPr>
      <w:r w:rsidRPr="007B083E">
        <w:rPr>
          <w:sz w:val="20"/>
          <w:szCs w:val="20"/>
          <w:lang w:val="en-US"/>
        </w:rPr>
        <w:t>The elevated iron content not only reflects intensified wear but also has a negative impact on the reliability, efficiency, and durability of engine performance. Iron concentration is an important indicator of the oil’s anti-wear characteristics, their changes over time, the wear resistance of engine components, and the efficiency of filtration and cleaning systems integrated into the lubrication circuit.</w:t>
      </w:r>
    </w:p>
    <w:p w14:paraId="1DE88B49" w14:textId="77777777" w:rsidR="00B67378" w:rsidRPr="007B083E" w:rsidRDefault="00B67378" w:rsidP="007B083E">
      <w:pPr>
        <w:ind w:firstLine="284"/>
        <w:contextualSpacing/>
        <w:jc w:val="both"/>
        <w:rPr>
          <w:sz w:val="20"/>
          <w:szCs w:val="20"/>
          <w:lang w:val="en-US"/>
        </w:rPr>
      </w:pPr>
      <w:r w:rsidRPr="007B083E">
        <w:rPr>
          <w:sz w:val="20"/>
          <w:szCs w:val="20"/>
          <w:lang w:val="en-US"/>
        </w:rPr>
        <w:t>As the iron content increases, the oil’s functional properties—such as its ability to reduce friction, prevent wear, resist oxidation, and keep engine components clean—deteriorate further. This is the result of inadequate lubrication in high-friction zones, leading to increased mechanical and thermal stress on components.</w:t>
      </w:r>
    </w:p>
    <w:p w14:paraId="7297FB7B" w14:textId="590EEA2E" w:rsidR="00B67378" w:rsidRPr="007B083E" w:rsidRDefault="00B67378" w:rsidP="007B083E">
      <w:pPr>
        <w:ind w:firstLine="284"/>
        <w:contextualSpacing/>
        <w:jc w:val="both"/>
        <w:rPr>
          <w:sz w:val="20"/>
          <w:szCs w:val="20"/>
          <w:lang w:val="en-US"/>
        </w:rPr>
      </w:pPr>
      <w:r w:rsidRPr="007B083E">
        <w:rPr>
          <w:sz w:val="20"/>
          <w:szCs w:val="20"/>
          <w:lang w:val="en-US"/>
        </w:rPr>
        <w:t>The detergency and dispersancy of modern oils—the ability to remove and hold contaminants in suspension—are among their most critical functional properties. Reliable long-term engine operation is possible only when internal components remain clean. In particular, the piston ring grooves must remain free of deposits to preserve ring mobility; the pistons themselves must stay clean to ensure effective heat transfer; and the oil channels, valve train, camshaft lobes, and other friction surfaces must remain free of sludge and varnish.</w:t>
      </w:r>
    </w:p>
    <w:p w14:paraId="4BD551B3" w14:textId="397EA6AB" w:rsidR="00A768B1" w:rsidRPr="007B083E" w:rsidRDefault="007F22BC" w:rsidP="007B083E">
      <w:pPr>
        <w:shd w:val="clear" w:color="auto" w:fill="FFFFFF"/>
        <w:ind w:firstLine="284"/>
        <w:jc w:val="both"/>
        <w:rPr>
          <w:sz w:val="20"/>
          <w:szCs w:val="20"/>
          <w:lang w:val="en-US"/>
        </w:rPr>
      </w:pPr>
      <w:r w:rsidRPr="007B083E">
        <w:rPr>
          <w:sz w:val="20"/>
          <w:szCs w:val="20"/>
          <w:lang w:val="en-US"/>
        </w:rPr>
        <w:t>To identify the most failure-prone components, used SAE 15W-40 motor oil from QSK-60 engines of BELAZ-75310, BELAZ-75307, and BELAZ-7513 dump trucks was subjected to spectral analysis. This made it possible to evaluate the elemental composition of wear products and assess which components were contributing most to iron accumulation in the oil.</w:t>
      </w:r>
    </w:p>
    <w:p w14:paraId="2916413E" w14:textId="77777777" w:rsidR="00B67378" w:rsidRPr="007B083E" w:rsidRDefault="00B67378" w:rsidP="007B083E">
      <w:pPr>
        <w:shd w:val="clear" w:color="auto" w:fill="FFFFFF"/>
        <w:ind w:firstLine="284"/>
        <w:jc w:val="both"/>
        <w:rPr>
          <w:sz w:val="20"/>
          <w:szCs w:val="20"/>
          <w:lang w:val="en-US"/>
        </w:rPr>
      </w:pPr>
    </w:p>
    <w:p w14:paraId="51AC16B8" w14:textId="665064BF" w:rsidR="00A768B1" w:rsidRPr="007B083E" w:rsidRDefault="00DD1210" w:rsidP="007B083E">
      <w:pPr>
        <w:shd w:val="clear" w:color="auto" w:fill="FFFFFF"/>
        <w:jc w:val="center"/>
        <w:rPr>
          <w:sz w:val="20"/>
          <w:szCs w:val="20"/>
        </w:rPr>
      </w:pPr>
      <w:r w:rsidRPr="007B083E">
        <w:rPr>
          <w:noProof/>
          <w:sz w:val="20"/>
          <w:szCs w:val="20"/>
          <w:lang w:val="en-US" w:eastAsia="en-US"/>
        </w:rPr>
        <w:drawing>
          <wp:inline distT="0" distB="0" distL="0" distR="0" wp14:anchorId="67D0E380" wp14:editId="54BDBD49">
            <wp:extent cx="4133850" cy="2148840"/>
            <wp:effectExtent l="0" t="0" r="0" b="3810"/>
            <wp:docPr id="5" name="Диаграмма 5">
              <a:extLst xmlns:a="http://schemas.openxmlformats.org/drawingml/2006/main">
                <a:ext uri="{FF2B5EF4-FFF2-40B4-BE49-F238E27FC236}">
                  <a16:creationId xmlns:a16="http://schemas.microsoft.com/office/drawing/2014/main" id="{F2A869E4-0F82-4080-8CA2-8AFE2D61CE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44B5B42" w14:textId="77777777" w:rsidR="00B67378" w:rsidRPr="007B083E" w:rsidRDefault="00B67378" w:rsidP="007B083E">
      <w:pPr>
        <w:tabs>
          <w:tab w:val="left" w:pos="-5940"/>
        </w:tabs>
        <w:ind w:firstLine="284"/>
        <w:jc w:val="center"/>
        <w:rPr>
          <w:b/>
          <w:sz w:val="20"/>
          <w:szCs w:val="20"/>
          <w:lang w:val="en-US"/>
        </w:rPr>
      </w:pPr>
    </w:p>
    <w:p w14:paraId="709A6971" w14:textId="497EEF37" w:rsidR="00F250B7" w:rsidRPr="007B083E" w:rsidRDefault="00B67378" w:rsidP="007B083E">
      <w:pPr>
        <w:tabs>
          <w:tab w:val="left" w:pos="-5940"/>
        </w:tabs>
        <w:ind w:firstLine="284"/>
        <w:jc w:val="center"/>
        <w:rPr>
          <w:sz w:val="20"/>
          <w:szCs w:val="20"/>
          <w:lang w:val="uz-Cyrl-UZ"/>
        </w:rPr>
      </w:pPr>
      <w:r w:rsidRPr="007B083E">
        <w:rPr>
          <w:b/>
          <w:sz w:val="20"/>
          <w:szCs w:val="20"/>
          <w:lang w:val="en-US"/>
        </w:rPr>
        <w:t>FIGURE 2.</w:t>
      </w:r>
      <w:r w:rsidR="008B55B7" w:rsidRPr="007B083E">
        <w:rPr>
          <w:b/>
          <w:sz w:val="20"/>
          <w:szCs w:val="20"/>
          <w:lang w:val="en-US"/>
        </w:rPr>
        <w:t xml:space="preserve"> </w:t>
      </w:r>
      <w:r w:rsidR="008B55B7" w:rsidRPr="007B083E">
        <w:rPr>
          <w:sz w:val="20"/>
          <w:szCs w:val="20"/>
          <w:lang w:val="en-US"/>
        </w:rPr>
        <w:t>Results of spectral analysis of aluminum (Al) content in used motor oil — API CI-4, SAE 15W-40.</w:t>
      </w:r>
    </w:p>
    <w:p w14:paraId="1F327AC6" w14:textId="77777777" w:rsidR="003D7B46" w:rsidRPr="007B083E" w:rsidRDefault="003D7B46" w:rsidP="007B083E">
      <w:pPr>
        <w:tabs>
          <w:tab w:val="left" w:pos="-5940"/>
        </w:tabs>
        <w:ind w:firstLine="284"/>
        <w:jc w:val="center"/>
        <w:rPr>
          <w:sz w:val="20"/>
          <w:szCs w:val="20"/>
          <w:lang w:val="uz-Cyrl-UZ"/>
        </w:rPr>
      </w:pPr>
    </w:p>
    <w:p w14:paraId="6ECBF574" w14:textId="77777777" w:rsidR="00134C05" w:rsidRPr="007B083E" w:rsidRDefault="00134C05" w:rsidP="007B083E">
      <w:pPr>
        <w:tabs>
          <w:tab w:val="left" w:pos="-5940"/>
        </w:tabs>
        <w:jc w:val="center"/>
        <w:rPr>
          <w:sz w:val="20"/>
          <w:szCs w:val="20"/>
          <w:lang w:val="uz-Cyrl-UZ"/>
        </w:rPr>
      </w:pPr>
      <w:r w:rsidRPr="007B083E">
        <w:rPr>
          <w:noProof/>
          <w:sz w:val="20"/>
          <w:szCs w:val="20"/>
          <w:lang w:val="en-US" w:eastAsia="en-US"/>
        </w:rPr>
        <w:drawing>
          <wp:inline distT="0" distB="0" distL="0" distR="0" wp14:anchorId="53B60287" wp14:editId="3CF01C7E">
            <wp:extent cx="4238045" cy="2377440"/>
            <wp:effectExtent l="0" t="0" r="10160" b="3810"/>
            <wp:docPr id="3" name="Диаграмма 3">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946871" w14:textId="77777777" w:rsidR="00E4645A" w:rsidRPr="007B083E" w:rsidRDefault="00E4645A" w:rsidP="007B083E">
      <w:pPr>
        <w:tabs>
          <w:tab w:val="left" w:pos="-5940"/>
        </w:tabs>
        <w:ind w:firstLine="284"/>
        <w:jc w:val="center"/>
        <w:rPr>
          <w:sz w:val="20"/>
          <w:szCs w:val="20"/>
          <w:lang w:val="uz-Cyrl-UZ"/>
        </w:rPr>
      </w:pPr>
    </w:p>
    <w:p w14:paraId="7C32E2EA" w14:textId="5A9BEEA2" w:rsidR="008B55B7" w:rsidRPr="007B083E" w:rsidRDefault="00B67378" w:rsidP="007B083E">
      <w:pPr>
        <w:tabs>
          <w:tab w:val="left" w:pos="-5940"/>
        </w:tabs>
        <w:ind w:firstLine="284"/>
        <w:jc w:val="center"/>
        <w:rPr>
          <w:sz w:val="20"/>
          <w:szCs w:val="20"/>
          <w:lang w:val="uz-Cyrl-UZ"/>
        </w:rPr>
      </w:pPr>
      <w:r w:rsidRPr="007B083E">
        <w:rPr>
          <w:b/>
          <w:sz w:val="20"/>
          <w:szCs w:val="20"/>
          <w:lang w:val="en-US"/>
        </w:rPr>
        <w:t>FIGURE 3.</w:t>
      </w:r>
      <w:r w:rsidR="008B55B7" w:rsidRPr="007B083E">
        <w:rPr>
          <w:b/>
          <w:sz w:val="20"/>
          <w:szCs w:val="20"/>
          <w:lang w:val="en-US"/>
        </w:rPr>
        <w:t xml:space="preserve"> </w:t>
      </w:r>
      <w:r w:rsidR="008B55B7" w:rsidRPr="007B083E">
        <w:rPr>
          <w:sz w:val="20"/>
          <w:szCs w:val="20"/>
          <w:lang w:val="en-US"/>
        </w:rPr>
        <w:t>Dependence of chromium (Cr) concentration in used motor oil — API CI-4,</w:t>
      </w:r>
      <w:r w:rsidR="008B55B7" w:rsidRPr="007B083E">
        <w:rPr>
          <w:b/>
          <w:sz w:val="20"/>
          <w:szCs w:val="20"/>
          <w:lang w:val="en-US"/>
        </w:rPr>
        <w:t xml:space="preserve"> </w:t>
      </w:r>
      <w:r w:rsidR="007B083E">
        <w:rPr>
          <w:b/>
          <w:sz w:val="20"/>
          <w:szCs w:val="20"/>
          <w:lang w:val="en-US"/>
        </w:rPr>
        <w:t xml:space="preserve">                                         </w:t>
      </w:r>
      <w:r w:rsidR="008B55B7" w:rsidRPr="007B083E">
        <w:rPr>
          <w:sz w:val="20"/>
          <w:szCs w:val="20"/>
          <w:lang w:val="en-US"/>
        </w:rPr>
        <w:t>SAE 15W-40 — on the operating time of dump trucks (engine hours).</w:t>
      </w:r>
    </w:p>
    <w:p w14:paraId="15032A8E" w14:textId="5BC22A71" w:rsidR="003A422D" w:rsidRPr="007B083E" w:rsidRDefault="008B55B7" w:rsidP="007B083E">
      <w:pPr>
        <w:tabs>
          <w:tab w:val="left" w:pos="-5940"/>
        </w:tabs>
        <w:ind w:firstLine="284"/>
        <w:jc w:val="both"/>
        <w:rPr>
          <w:sz w:val="20"/>
          <w:szCs w:val="20"/>
          <w:lang w:val="en-US"/>
        </w:rPr>
      </w:pPr>
      <w:r w:rsidRPr="007B083E">
        <w:rPr>
          <w:sz w:val="20"/>
          <w:szCs w:val="20"/>
          <w:lang w:val="uz-Cyrl-UZ"/>
        </w:rPr>
        <w:t>A significant increase in the concentration of a particular element in the oil indicates intensive wear of the engine components associated with that element.</w:t>
      </w:r>
      <w:r w:rsidR="003A422D" w:rsidRPr="007B083E">
        <w:rPr>
          <w:sz w:val="20"/>
          <w:szCs w:val="20"/>
          <w:lang w:val="uz-Cyrl-UZ"/>
        </w:rPr>
        <w:t xml:space="preserve"> </w:t>
      </w:r>
    </w:p>
    <w:p w14:paraId="358435F2" w14:textId="77777777" w:rsidR="00F250B7" w:rsidRPr="007B083E" w:rsidRDefault="00F250B7" w:rsidP="007B083E">
      <w:pPr>
        <w:tabs>
          <w:tab w:val="left" w:pos="-5940"/>
        </w:tabs>
        <w:ind w:firstLine="284"/>
        <w:jc w:val="center"/>
        <w:rPr>
          <w:noProof/>
          <w:sz w:val="20"/>
          <w:szCs w:val="20"/>
          <w:lang w:val="en-US"/>
        </w:rPr>
      </w:pPr>
    </w:p>
    <w:p w14:paraId="2C164CC6" w14:textId="77777777" w:rsidR="00B2358A" w:rsidRPr="007B083E" w:rsidRDefault="00A141B1" w:rsidP="007B083E">
      <w:pPr>
        <w:tabs>
          <w:tab w:val="left" w:pos="-5940"/>
        </w:tabs>
        <w:jc w:val="center"/>
        <w:rPr>
          <w:noProof/>
          <w:sz w:val="20"/>
          <w:szCs w:val="20"/>
        </w:rPr>
      </w:pPr>
      <w:r w:rsidRPr="007B083E">
        <w:rPr>
          <w:noProof/>
          <w:sz w:val="20"/>
          <w:szCs w:val="20"/>
          <w:lang w:val="en-US" w:eastAsia="en-US"/>
        </w:rPr>
        <w:drawing>
          <wp:inline distT="0" distB="0" distL="0" distR="0" wp14:anchorId="35A87B66" wp14:editId="7FC35AC0">
            <wp:extent cx="4484536" cy="2941983"/>
            <wp:effectExtent l="0" t="0" r="11430" b="10795"/>
            <wp:docPr id="7" name="Диаграмма 7">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8C02D2" w14:textId="77777777" w:rsidR="00B2358A" w:rsidRPr="007B083E" w:rsidRDefault="00B2358A" w:rsidP="007B083E">
      <w:pPr>
        <w:tabs>
          <w:tab w:val="left" w:pos="-5940"/>
        </w:tabs>
        <w:ind w:firstLine="284"/>
        <w:jc w:val="center"/>
        <w:rPr>
          <w:noProof/>
          <w:sz w:val="20"/>
          <w:szCs w:val="20"/>
        </w:rPr>
      </w:pPr>
    </w:p>
    <w:p w14:paraId="5D3AF4CE" w14:textId="6A5D1140" w:rsidR="008B55B7" w:rsidRPr="007B083E" w:rsidRDefault="00B67378" w:rsidP="007B083E">
      <w:pPr>
        <w:tabs>
          <w:tab w:val="left" w:pos="-5940"/>
        </w:tabs>
        <w:jc w:val="center"/>
        <w:rPr>
          <w:sz w:val="20"/>
          <w:szCs w:val="20"/>
          <w:lang w:val="en-US"/>
        </w:rPr>
      </w:pPr>
      <w:r w:rsidRPr="007B083E">
        <w:rPr>
          <w:b/>
          <w:sz w:val="20"/>
          <w:szCs w:val="20"/>
          <w:lang w:val="en-US"/>
        </w:rPr>
        <w:t xml:space="preserve">FIGURE 4. </w:t>
      </w:r>
      <w:r w:rsidR="008B55B7" w:rsidRPr="007B083E">
        <w:rPr>
          <w:sz w:val="20"/>
          <w:szCs w:val="20"/>
          <w:lang w:val="en-US"/>
        </w:rPr>
        <w:t xml:space="preserve">Dependence of lead (Pb) </w:t>
      </w:r>
      <w:r w:rsidR="00041737" w:rsidRPr="007B083E">
        <w:rPr>
          <w:sz w:val="20"/>
          <w:szCs w:val="20"/>
          <w:lang w:val="en-US"/>
        </w:rPr>
        <w:t>concentration in used motor oil—</w:t>
      </w:r>
      <w:r w:rsidR="008B55B7" w:rsidRPr="007B083E">
        <w:rPr>
          <w:sz w:val="20"/>
          <w:szCs w:val="20"/>
          <w:lang w:val="en-US"/>
        </w:rPr>
        <w:t xml:space="preserve">API CI-4, </w:t>
      </w:r>
    </w:p>
    <w:p w14:paraId="72459671" w14:textId="5DEADCCC" w:rsidR="00B2358A" w:rsidRPr="007B083E" w:rsidRDefault="00041737" w:rsidP="007B083E">
      <w:pPr>
        <w:tabs>
          <w:tab w:val="left" w:pos="-5940"/>
        </w:tabs>
        <w:jc w:val="center"/>
        <w:rPr>
          <w:b/>
          <w:sz w:val="20"/>
          <w:szCs w:val="20"/>
          <w:lang w:val="en-US"/>
        </w:rPr>
      </w:pPr>
      <w:r w:rsidRPr="007B083E">
        <w:rPr>
          <w:sz w:val="20"/>
          <w:szCs w:val="20"/>
          <w:lang w:val="en-US"/>
        </w:rPr>
        <w:t>SAE 15W-40—</w:t>
      </w:r>
      <w:r w:rsidR="008B55B7" w:rsidRPr="007B083E">
        <w:rPr>
          <w:sz w:val="20"/>
          <w:szCs w:val="20"/>
          <w:lang w:val="en-US"/>
        </w:rPr>
        <w:t>on the operating time of dump trucks (engine hours).</w:t>
      </w:r>
    </w:p>
    <w:p w14:paraId="72A9720C" w14:textId="77777777" w:rsidR="00F250B7" w:rsidRPr="007B083E" w:rsidRDefault="00F250B7" w:rsidP="007B083E">
      <w:pPr>
        <w:ind w:firstLine="284"/>
        <w:contextualSpacing/>
        <w:jc w:val="center"/>
        <w:rPr>
          <w:sz w:val="20"/>
          <w:szCs w:val="20"/>
          <w:lang w:val="uz-Cyrl-UZ"/>
        </w:rPr>
      </w:pPr>
    </w:p>
    <w:p w14:paraId="6963D579" w14:textId="42E31FCC" w:rsidR="008B55B7" w:rsidRPr="007B083E" w:rsidRDefault="008B55B7" w:rsidP="007B083E">
      <w:pPr>
        <w:tabs>
          <w:tab w:val="left" w:pos="-5940"/>
        </w:tabs>
        <w:ind w:firstLine="284"/>
        <w:jc w:val="both"/>
        <w:rPr>
          <w:sz w:val="20"/>
          <w:szCs w:val="20"/>
          <w:lang w:val="uz-Cyrl-UZ"/>
        </w:rPr>
      </w:pPr>
      <w:r w:rsidRPr="007B083E">
        <w:rPr>
          <w:sz w:val="20"/>
          <w:szCs w:val="20"/>
          <w:lang w:val="uz-Cyrl-UZ"/>
        </w:rPr>
        <w:t>The concentration of specific elements in the oil provides valuable diagnostic information about engine component wear. In particular, aluminum (Al) indicates piston wear, chromium (Cr) reflects the wear of chromium-coated piston rings, and lead (Pb) corresponds to bearing wear.</w:t>
      </w:r>
    </w:p>
    <w:p w14:paraId="6E40650B" w14:textId="1E479A6C" w:rsidR="008B55B7" w:rsidRPr="007B083E" w:rsidRDefault="008B55B7" w:rsidP="007B083E">
      <w:pPr>
        <w:tabs>
          <w:tab w:val="left" w:pos="-5940"/>
        </w:tabs>
        <w:ind w:firstLine="284"/>
        <w:jc w:val="both"/>
        <w:rPr>
          <w:sz w:val="20"/>
          <w:szCs w:val="20"/>
          <w:lang w:val="uz-Cyrl-UZ"/>
        </w:rPr>
      </w:pPr>
      <w:r w:rsidRPr="007B083E">
        <w:rPr>
          <w:sz w:val="20"/>
          <w:szCs w:val="20"/>
          <w:lang w:val="uz-Cyrl-UZ"/>
        </w:rPr>
        <w:t>The intensive accumulation of mechanical impurities during the initial period of oil operation is primarily caused by the oxidation of low-stability hydrocarbons throughout the lubrication system. According to experimental data, mechanical impurities have the most significant impact on engine component wear rates. When their concentration reaches 0.016%, the wear rate is, on average, four times higher compared to operation with clean oil.</w:t>
      </w:r>
    </w:p>
    <w:p w14:paraId="096CF8E0" w14:textId="3BFBD563" w:rsidR="008B55B7" w:rsidRPr="007B083E" w:rsidRDefault="008B55B7" w:rsidP="007B083E">
      <w:pPr>
        <w:tabs>
          <w:tab w:val="left" w:pos="-5940"/>
        </w:tabs>
        <w:ind w:firstLine="284"/>
        <w:jc w:val="both"/>
        <w:rPr>
          <w:sz w:val="20"/>
          <w:szCs w:val="20"/>
          <w:lang w:val="uz-Cyrl-UZ"/>
        </w:rPr>
      </w:pPr>
      <w:r w:rsidRPr="007B083E">
        <w:rPr>
          <w:sz w:val="20"/>
          <w:szCs w:val="20"/>
          <w:lang w:val="uz-Cyrl-UZ"/>
        </w:rPr>
        <w:lastRenderedPageBreak/>
        <w:t>The main factor contributing to the formation of high-temperature deposits in engines is oxidation, which occurs both within the oil volume and on metal surfaces. These deposits negatively affect engine reliability, efficiency, and service life.</w:t>
      </w:r>
    </w:p>
    <w:p w14:paraId="270BA57D" w14:textId="1CBD9312" w:rsidR="00F21E83" w:rsidRPr="007B083E" w:rsidRDefault="008B55B7" w:rsidP="007B083E">
      <w:pPr>
        <w:tabs>
          <w:tab w:val="left" w:pos="-5940"/>
        </w:tabs>
        <w:ind w:firstLine="284"/>
        <w:jc w:val="both"/>
        <w:rPr>
          <w:b/>
          <w:sz w:val="20"/>
          <w:szCs w:val="20"/>
          <w:lang w:val="uz-Cyrl-UZ"/>
        </w:rPr>
      </w:pPr>
      <w:r w:rsidRPr="007B083E">
        <w:rPr>
          <w:sz w:val="20"/>
          <w:szCs w:val="20"/>
          <w:lang w:val="uz-Cyrl-UZ"/>
        </w:rPr>
        <w:t>Currently, further research is being conducted on the effect of the type and concentration of additives on the performance of motor oils used in heavy-duty mining equipment operating under conditions of high airborne dust concentration.</w:t>
      </w:r>
    </w:p>
    <w:p w14:paraId="62043979" w14:textId="1A8257AF" w:rsidR="000619E4" w:rsidRPr="007B083E" w:rsidRDefault="00E92B04" w:rsidP="00E92B04">
      <w:pPr>
        <w:spacing w:before="240" w:after="240"/>
        <w:ind w:firstLine="284"/>
        <w:jc w:val="center"/>
        <w:rPr>
          <w:b/>
          <w:lang w:val="en-US"/>
        </w:rPr>
      </w:pPr>
      <w:r w:rsidRPr="007B083E">
        <w:rPr>
          <w:b/>
          <w:lang w:val="en-US"/>
        </w:rPr>
        <w:t>REFERENCES</w:t>
      </w:r>
    </w:p>
    <w:p w14:paraId="571DB7C3" w14:textId="182AFB08" w:rsidR="000619E4" w:rsidRPr="007B083E" w:rsidRDefault="00A12304" w:rsidP="007B083E">
      <w:pPr>
        <w:pStyle w:val="a7"/>
        <w:numPr>
          <w:ilvl w:val="0"/>
          <w:numId w:val="12"/>
        </w:numPr>
        <w:tabs>
          <w:tab w:val="left" w:pos="284"/>
          <w:tab w:val="left" w:pos="567"/>
        </w:tabs>
        <w:ind w:left="0" w:firstLine="284"/>
        <w:jc w:val="both"/>
        <w:rPr>
          <w:lang w:val="en-US"/>
        </w:rPr>
      </w:pPr>
      <w:r w:rsidRPr="007B083E">
        <w:rPr>
          <w:lang w:val="en-US"/>
        </w:rPr>
        <w:t>Alimova, Z., Karimova, K., Tursunov, S.Research on the quality of motor oils of heavy dump trucks during operation under high temperature conditions.International Conference on Thermal Engineering, 2024, 1 (1)</w:t>
      </w:r>
    </w:p>
    <w:p w14:paraId="2A1FA7C1" w14:textId="1D39F9FD" w:rsidR="000619E4" w:rsidRPr="007B083E" w:rsidRDefault="00A12304" w:rsidP="007B083E">
      <w:pPr>
        <w:pStyle w:val="a7"/>
        <w:numPr>
          <w:ilvl w:val="0"/>
          <w:numId w:val="12"/>
        </w:numPr>
        <w:tabs>
          <w:tab w:val="left" w:pos="284"/>
          <w:tab w:val="left" w:pos="567"/>
        </w:tabs>
        <w:ind w:left="0" w:firstLine="284"/>
        <w:jc w:val="both"/>
        <w:rPr>
          <w:lang w:val="en-US"/>
        </w:rPr>
      </w:pPr>
      <w:r w:rsidRPr="007B083E">
        <w:rPr>
          <w:lang w:val="en-US"/>
        </w:rPr>
        <w:t>N.Umirov, E.Ganiboyeva The results of performance tests of engine oil on Claas tractors taking into account climatic factors AEGIS-III-2023 IOP Conf. Series: Earth and Environmental Science 1231 (2023) 012011</w:t>
      </w:r>
    </w:p>
    <w:p w14:paraId="1B7370E1" w14:textId="77777777" w:rsidR="000619E4" w:rsidRPr="007B083E" w:rsidRDefault="000619E4" w:rsidP="007B083E">
      <w:pPr>
        <w:pStyle w:val="a7"/>
        <w:numPr>
          <w:ilvl w:val="0"/>
          <w:numId w:val="12"/>
        </w:numPr>
        <w:tabs>
          <w:tab w:val="left" w:pos="284"/>
          <w:tab w:val="left" w:pos="567"/>
        </w:tabs>
        <w:ind w:left="0" w:firstLine="284"/>
        <w:jc w:val="both"/>
        <w:rPr>
          <w:lang w:val="en-US"/>
        </w:rPr>
      </w:pPr>
      <w:r w:rsidRPr="007B083E">
        <w:rPr>
          <w:lang w:val="en-US"/>
        </w:rPr>
        <w:t>Kirichenko N.B. Automobile maintenance materials: Textbook. – M.: Publishing Center "Academy" 2012.-208 pp.</w:t>
      </w:r>
    </w:p>
    <w:p w14:paraId="36BE3271" w14:textId="6754CF6C" w:rsidR="000619E4" w:rsidRPr="007B083E" w:rsidRDefault="000619E4" w:rsidP="007B083E">
      <w:pPr>
        <w:pStyle w:val="a7"/>
        <w:numPr>
          <w:ilvl w:val="0"/>
          <w:numId w:val="12"/>
        </w:numPr>
        <w:tabs>
          <w:tab w:val="left" w:pos="284"/>
          <w:tab w:val="left" w:pos="567"/>
        </w:tabs>
        <w:ind w:left="0" w:firstLine="284"/>
        <w:jc w:val="both"/>
        <w:rPr>
          <w:lang w:val="en-US"/>
        </w:rPr>
      </w:pPr>
      <w:r w:rsidRPr="007B083E">
        <w:rPr>
          <w:lang w:val="en-US"/>
        </w:rPr>
        <w:t>Maharramov A.M., Akhmedova R.A., Akhmedova N.F. Petrochemicals and oil refining. Textbook for higher edu</w:t>
      </w:r>
      <w:r w:rsidR="0058734D">
        <w:rPr>
          <w:lang w:val="en-US"/>
        </w:rPr>
        <w:t>Belaz</w:t>
      </w:r>
      <w:r w:rsidR="00E6437E" w:rsidRPr="007B083E">
        <w:rPr>
          <w:lang w:val="en-US"/>
        </w:rPr>
        <w:t xml:space="preserve"> - 75307</w:t>
      </w:r>
      <w:r w:rsidRPr="007B083E">
        <w:rPr>
          <w:lang w:val="en-US"/>
        </w:rPr>
        <w:t>ion. Baku: BakiUniversiteti Publishing House, 2009, 660 p.</w:t>
      </w:r>
    </w:p>
    <w:p w14:paraId="39A1F690" w14:textId="77777777" w:rsidR="008F0766" w:rsidRPr="007B083E" w:rsidRDefault="008F0766" w:rsidP="007B083E">
      <w:pPr>
        <w:pStyle w:val="a7"/>
        <w:numPr>
          <w:ilvl w:val="0"/>
          <w:numId w:val="12"/>
        </w:numPr>
        <w:shd w:val="clear" w:color="auto" w:fill="FFFFFF"/>
        <w:tabs>
          <w:tab w:val="left" w:pos="284"/>
          <w:tab w:val="left" w:pos="567"/>
        </w:tabs>
        <w:ind w:left="0" w:firstLine="284"/>
        <w:jc w:val="both"/>
        <w:outlineLvl w:val="3"/>
        <w:rPr>
          <w:lang w:val="en-US"/>
        </w:rPr>
      </w:pPr>
      <w:hyperlink r:id="rId10" w:history="1">
        <w:r w:rsidRPr="007B083E">
          <w:rPr>
            <w:lang w:val="en-US"/>
          </w:rPr>
          <w:t>Umirov, N.</w:t>
        </w:r>
      </w:hyperlink>
      <w:r w:rsidRPr="007B083E">
        <w:rPr>
          <w:lang w:val="en-US"/>
        </w:rPr>
        <w:t xml:space="preserve">, </w:t>
      </w:r>
      <w:hyperlink r:id="rId11" w:history="1">
        <w:r w:rsidRPr="007B083E">
          <w:rPr>
            <w:lang w:val="en-US"/>
          </w:rPr>
          <w:t>Abdurokhmonov, S.</w:t>
        </w:r>
      </w:hyperlink>
      <w:r w:rsidRPr="007B083E">
        <w:rPr>
          <w:lang w:val="en-US"/>
        </w:rPr>
        <w:t xml:space="preserve">, </w:t>
      </w:r>
      <w:hyperlink r:id="rId12" w:history="1">
        <w:r w:rsidRPr="007B083E">
          <w:rPr>
            <w:lang w:val="en-US"/>
          </w:rPr>
          <w:t>Ganiboyeva, E.</w:t>
        </w:r>
      </w:hyperlink>
      <w:r w:rsidRPr="007B083E">
        <w:rPr>
          <w:lang w:val="en-US"/>
        </w:rPr>
        <w:t xml:space="preserve">, </w:t>
      </w:r>
      <w:hyperlink r:id="rId13" w:history="1">
        <w:r w:rsidRPr="007B083E">
          <w:rPr>
            <w:lang w:val="en-US"/>
          </w:rPr>
          <w:t>Alimova, Z.</w:t>
        </w:r>
      </w:hyperlink>
      <w:r w:rsidRPr="007B083E">
        <w:rPr>
          <w:bCs/>
          <w:lang w:val="en-US"/>
        </w:rPr>
        <w:t>Thermal equilibrium of the tractor and vehicle engines' cooling systems in agriculture technological processes.</w:t>
      </w:r>
      <w:r w:rsidRPr="007B083E">
        <w:rPr>
          <w:lang w:val="en-US" w:eastAsia="ru-RU"/>
        </w:rPr>
        <w:t>BIO Web of Conferences., 2024, 105, 05020</w:t>
      </w:r>
    </w:p>
    <w:p w14:paraId="157CC02A" w14:textId="77777777" w:rsidR="008F0766" w:rsidRPr="007B083E" w:rsidRDefault="008F0766" w:rsidP="007B083E">
      <w:pPr>
        <w:pStyle w:val="a7"/>
        <w:numPr>
          <w:ilvl w:val="0"/>
          <w:numId w:val="12"/>
        </w:numPr>
        <w:shd w:val="clear" w:color="auto" w:fill="FFFFFF"/>
        <w:tabs>
          <w:tab w:val="left" w:pos="284"/>
          <w:tab w:val="left" w:pos="567"/>
        </w:tabs>
        <w:ind w:left="0" w:firstLine="284"/>
        <w:jc w:val="both"/>
        <w:outlineLvl w:val="3"/>
        <w:rPr>
          <w:rStyle w:val="typography-modulelvnit"/>
          <w:lang w:val="en-US"/>
        </w:rPr>
      </w:pPr>
      <w:hyperlink r:id="rId14" w:history="1">
        <w:r w:rsidRPr="007B083E">
          <w:rPr>
            <w:rStyle w:val="typography-modulelvnit"/>
            <w:bdr w:val="none" w:sz="0" w:space="0" w:color="auto" w:frame="1"/>
            <w:lang w:val="en-US"/>
          </w:rPr>
          <w:t>Fozilov, G.</w:t>
        </w:r>
      </w:hyperlink>
      <w:r w:rsidRPr="007B083E">
        <w:rPr>
          <w:rStyle w:val="authors-moduleumr1o"/>
          <w:lang w:val="en-US"/>
        </w:rPr>
        <w:t xml:space="preserve">, </w:t>
      </w:r>
      <w:hyperlink r:id="rId15" w:history="1">
        <w:r w:rsidRPr="007B083E">
          <w:rPr>
            <w:rStyle w:val="typography-modulelvnit"/>
            <w:bdr w:val="none" w:sz="0" w:space="0" w:color="auto" w:frame="1"/>
            <w:lang w:val="en-US"/>
          </w:rPr>
          <w:t>Islam, R.</w:t>
        </w:r>
      </w:hyperlink>
      <w:r w:rsidRPr="007B083E">
        <w:rPr>
          <w:rStyle w:val="authors-moduleumr1o"/>
          <w:lang w:val="en-US"/>
        </w:rPr>
        <w:t xml:space="preserve">, </w:t>
      </w:r>
      <w:hyperlink r:id="rId16" w:history="1">
        <w:r w:rsidRPr="007B083E">
          <w:rPr>
            <w:rStyle w:val="typography-modulelvnit"/>
            <w:bdr w:val="none" w:sz="0" w:space="0" w:color="auto" w:frame="1"/>
            <w:lang w:val="en-US"/>
          </w:rPr>
          <w:t>Akhmedov, A.</w:t>
        </w:r>
      </w:hyperlink>
      <w:r w:rsidRPr="007B083E">
        <w:rPr>
          <w:rStyle w:val="authors-moduleumr1o"/>
          <w:lang w:val="en-US"/>
        </w:rPr>
        <w:t xml:space="preserve">, </w:t>
      </w:r>
      <w:hyperlink r:id="rId17" w:history="1">
        <w:r w:rsidRPr="007B083E">
          <w:rPr>
            <w:rStyle w:val="typography-modulelvnit"/>
            <w:bdr w:val="none" w:sz="0" w:space="0" w:color="auto" w:frame="1"/>
            <w:lang w:val="en-US"/>
          </w:rPr>
          <w:t>Alimova, Z.</w:t>
        </w:r>
      </w:hyperlink>
      <w:r w:rsidRPr="007B083E">
        <w:rPr>
          <w:rStyle w:val="authors-moduleumr1o"/>
          <w:lang w:val="en-US"/>
        </w:rPr>
        <w:t xml:space="preserve">, </w:t>
      </w:r>
      <w:hyperlink r:id="rId18" w:history="1">
        <w:r w:rsidRPr="007B083E">
          <w:rPr>
            <w:rStyle w:val="typography-modulelvnit"/>
            <w:bdr w:val="none" w:sz="0" w:space="0" w:color="auto" w:frame="1"/>
            <w:lang w:val="en-US"/>
          </w:rPr>
          <w:t>Yuldoshev, S.</w:t>
        </w:r>
      </w:hyperlink>
      <w:r w:rsidRPr="007B083E">
        <w:rPr>
          <w:lang w:val="en-US"/>
        </w:rPr>
        <w:t xml:space="preserve">Results of theoretical and experimental researches about determination the corn seed separator sieve parameters of the corn-thresher machine. </w:t>
      </w:r>
      <w:r w:rsidRPr="007B083E">
        <w:rPr>
          <w:rStyle w:val="typography-modulelvnit"/>
          <w:shd w:val="clear" w:color="auto" w:fill="FFFFFF"/>
          <w:lang w:val="en-US"/>
        </w:rPr>
        <w:t>BIO Web of Conferences</w:t>
      </w:r>
      <w:r w:rsidRPr="007B083E">
        <w:rPr>
          <w:rStyle w:val="typography-modulelvnit"/>
          <w:bdr w:val="none" w:sz="0" w:space="0" w:color="auto" w:frame="1"/>
          <w:shd w:val="clear" w:color="auto" w:fill="FFFFFF"/>
          <w:lang w:val="en-US"/>
        </w:rPr>
        <w:t>.</w:t>
      </w:r>
      <w:r w:rsidRPr="007B083E">
        <w:rPr>
          <w:rStyle w:val="typography-modulelvnit"/>
          <w:shd w:val="clear" w:color="auto" w:fill="FFFFFF"/>
          <w:lang w:val="en-US"/>
        </w:rPr>
        <w:t>, 2024, 105, 04009.</w:t>
      </w:r>
    </w:p>
    <w:p w14:paraId="6DE4DA88" w14:textId="77777777" w:rsidR="008F0766" w:rsidRPr="007B083E" w:rsidRDefault="008F0766" w:rsidP="007B083E">
      <w:pPr>
        <w:pStyle w:val="a7"/>
        <w:numPr>
          <w:ilvl w:val="0"/>
          <w:numId w:val="12"/>
        </w:numPr>
        <w:shd w:val="clear" w:color="auto" w:fill="FFFFFF"/>
        <w:tabs>
          <w:tab w:val="left" w:pos="284"/>
          <w:tab w:val="left" w:pos="567"/>
        </w:tabs>
        <w:ind w:left="0" w:firstLine="284"/>
        <w:jc w:val="both"/>
        <w:outlineLvl w:val="3"/>
        <w:rPr>
          <w:rStyle w:val="typography-modulelvnit"/>
          <w:lang w:val="en-US"/>
        </w:rPr>
      </w:pPr>
      <w:hyperlink r:id="rId19" w:history="1">
        <w:r w:rsidRPr="007B083E">
          <w:rPr>
            <w:rStyle w:val="typography-modulelvnit"/>
            <w:bdr w:val="none" w:sz="0" w:space="0" w:color="auto" w:frame="1"/>
            <w:lang w:val="en-US"/>
          </w:rPr>
          <w:t>Razzokov, T.X.</w:t>
        </w:r>
      </w:hyperlink>
      <w:r w:rsidRPr="007B083E">
        <w:rPr>
          <w:rStyle w:val="authors-moduleumr1o"/>
          <w:lang w:val="en-US"/>
        </w:rPr>
        <w:t xml:space="preserve">, </w:t>
      </w:r>
      <w:hyperlink r:id="rId20" w:history="1">
        <w:r w:rsidRPr="007B083E">
          <w:rPr>
            <w:rStyle w:val="typography-modulelvnit"/>
            <w:bdr w:val="none" w:sz="0" w:space="0" w:color="auto" w:frame="1"/>
            <w:lang w:val="en-US"/>
          </w:rPr>
          <w:t>Toshtemirov, S.J.</w:t>
        </w:r>
      </w:hyperlink>
      <w:r w:rsidRPr="007B083E">
        <w:rPr>
          <w:rStyle w:val="authors-moduleumr1o"/>
          <w:lang w:val="en-US"/>
        </w:rPr>
        <w:t xml:space="preserve">, </w:t>
      </w:r>
      <w:hyperlink r:id="rId21" w:history="1">
        <w:r w:rsidRPr="007B083E">
          <w:rPr>
            <w:rStyle w:val="typography-modulelvnit"/>
            <w:bdr w:val="none" w:sz="0" w:space="0" w:color="auto" w:frame="1"/>
            <w:lang w:val="en-US"/>
          </w:rPr>
          <w:t>Ergashov, G.K.</w:t>
        </w:r>
      </w:hyperlink>
      <w:r w:rsidRPr="007B083E">
        <w:rPr>
          <w:rStyle w:val="authors-moduleumr1o"/>
          <w:lang w:val="en-US"/>
        </w:rPr>
        <w:t xml:space="preserve">, ... </w:t>
      </w:r>
      <w:hyperlink r:id="rId22" w:history="1">
        <w:r w:rsidRPr="007B083E">
          <w:rPr>
            <w:rStyle w:val="typography-modulelvnit"/>
            <w:bdr w:val="none" w:sz="0" w:space="0" w:color="auto" w:frame="1"/>
            <w:lang w:val="en-US"/>
          </w:rPr>
          <w:t>Rashidov, N.S.</w:t>
        </w:r>
      </w:hyperlink>
      <w:r w:rsidRPr="007B083E">
        <w:rPr>
          <w:rStyle w:val="authors-moduleumr1o"/>
          <w:lang w:val="en-US"/>
        </w:rPr>
        <w:t xml:space="preserve">, </w:t>
      </w:r>
      <w:hyperlink r:id="rId23" w:history="1">
        <w:r w:rsidRPr="007B083E">
          <w:rPr>
            <w:rStyle w:val="typography-modulelvnit"/>
            <w:bdr w:val="none" w:sz="0" w:space="0" w:color="auto" w:frame="1"/>
            <w:lang w:val="en-US"/>
          </w:rPr>
          <w:t>Alimova, Z.X.</w:t>
        </w:r>
      </w:hyperlink>
      <w:r w:rsidRPr="007B083E">
        <w:rPr>
          <w:lang w:val="en-US"/>
        </w:rPr>
        <w:t>Substantiation of the results of uneven leveling of heaps on the dryer conveyor.</w:t>
      </w:r>
      <w:r w:rsidRPr="007B083E">
        <w:rPr>
          <w:rStyle w:val="typography-modulelvnit"/>
          <w:shd w:val="clear" w:color="auto" w:fill="FFFFFF"/>
          <w:lang w:val="en-US"/>
        </w:rPr>
        <w:t>E3S Web of Conferences</w:t>
      </w:r>
      <w:r w:rsidRPr="007B083E">
        <w:rPr>
          <w:rStyle w:val="typography-modulelvnit"/>
          <w:bdr w:val="none" w:sz="0" w:space="0" w:color="auto" w:frame="1"/>
          <w:shd w:val="clear" w:color="auto" w:fill="FFFFFF"/>
          <w:lang w:val="en-US"/>
        </w:rPr>
        <w:t>.</w:t>
      </w:r>
      <w:r w:rsidRPr="007B083E">
        <w:rPr>
          <w:rStyle w:val="typography-modulelvnit"/>
          <w:shd w:val="clear" w:color="auto" w:fill="FFFFFF"/>
          <w:lang w:val="en-US"/>
        </w:rPr>
        <w:t>, 2024, 494, 04048</w:t>
      </w:r>
    </w:p>
    <w:p w14:paraId="7FA073FC" w14:textId="77777777" w:rsidR="007C5462" w:rsidRPr="007B083E" w:rsidRDefault="007C5462" w:rsidP="007B083E">
      <w:pPr>
        <w:pStyle w:val="a7"/>
        <w:numPr>
          <w:ilvl w:val="0"/>
          <w:numId w:val="12"/>
        </w:numPr>
        <w:shd w:val="clear" w:color="auto" w:fill="FFFFFF"/>
        <w:tabs>
          <w:tab w:val="left" w:pos="284"/>
          <w:tab w:val="left" w:pos="567"/>
        </w:tabs>
        <w:ind w:left="0" w:firstLine="284"/>
        <w:jc w:val="both"/>
        <w:rPr>
          <w:rStyle w:val="typography-modulelvnit"/>
          <w:lang w:val="en-US"/>
        </w:rPr>
      </w:pPr>
      <w:hyperlink r:id="rId24" w:history="1">
        <w:r w:rsidRPr="007B083E">
          <w:rPr>
            <w:rStyle w:val="typography-modulelvnit"/>
            <w:bdr w:val="none" w:sz="0" w:space="0" w:color="auto" w:frame="1"/>
            <w:lang w:val="en-US"/>
          </w:rPr>
          <w:t>Alimova, Z.</w:t>
        </w:r>
      </w:hyperlink>
      <w:r w:rsidRPr="007B083E">
        <w:rPr>
          <w:rStyle w:val="authors-moduleumr1o"/>
          <w:lang w:val="en-US"/>
        </w:rPr>
        <w:t xml:space="preserve">, </w:t>
      </w:r>
      <w:hyperlink r:id="rId25" w:history="1">
        <w:r w:rsidRPr="007B083E">
          <w:rPr>
            <w:rStyle w:val="typography-modulelvnit"/>
            <w:bdr w:val="none" w:sz="0" w:space="0" w:color="auto" w:frame="1"/>
            <w:lang w:val="en-US"/>
          </w:rPr>
          <w:t>Karimova, K.</w:t>
        </w:r>
      </w:hyperlink>
      <w:r w:rsidRPr="007B083E">
        <w:rPr>
          <w:rStyle w:val="authors-moduleumr1o"/>
          <w:lang w:val="en-US"/>
        </w:rPr>
        <w:t xml:space="preserve">, </w:t>
      </w:r>
      <w:hyperlink r:id="rId26" w:history="1">
        <w:r w:rsidRPr="007B083E">
          <w:rPr>
            <w:rStyle w:val="typography-modulelvnit"/>
            <w:bdr w:val="none" w:sz="0" w:space="0" w:color="auto" w:frame="1"/>
            <w:lang w:val="en-US"/>
          </w:rPr>
          <w:t>Tursunov, S.</w:t>
        </w:r>
      </w:hyperlink>
      <w:r w:rsidRPr="007B083E">
        <w:rPr>
          <w:color w:val="2E2E2E"/>
          <w:lang w:val="en-US"/>
        </w:rPr>
        <w:t>Research of the quality of motor oils of heavy dump trucks during operation under conditions of high temperatures.</w:t>
      </w:r>
      <w:r w:rsidRPr="007B083E">
        <w:rPr>
          <w:rStyle w:val="typography-modulelvnit"/>
          <w:color w:val="2E2E2E"/>
          <w:shd w:val="clear" w:color="auto" w:fill="FFFFFF"/>
          <w:lang w:val="en-US"/>
        </w:rPr>
        <w:t>International Conference on Thermal Engineering, 2024, 1(1)</w:t>
      </w:r>
    </w:p>
    <w:p w14:paraId="498E8FFE" w14:textId="77777777" w:rsidR="002B41D3" w:rsidRPr="007B083E" w:rsidRDefault="002B41D3" w:rsidP="007B083E">
      <w:pPr>
        <w:pStyle w:val="a7"/>
        <w:numPr>
          <w:ilvl w:val="0"/>
          <w:numId w:val="12"/>
        </w:numPr>
        <w:tabs>
          <w:tab w:val="left" w:pos="284"/>
          <w:tab w:val="left" w:pos="567"/>
        </w:tabs>
        <w:ind w:left="0" w:firstLine="284"/>
        <w:contextualSpacing/>
        <w:jc w:val="both"/>
        <w:rPr>
          <w:lang w:val="en-US"/>
        </w:rPr>
      </w:pPr>
      <w:r w:rsidRPr="007B083E">
        <w:rPr>
          <w:lang w:val="en-US"/>
        </w:rPr>
        <w:t>Ayrapetov, D. Technology development for producing plastic lubricant with secondary raw materialsE3S Web of Conferences, 2024, 587, 01018</w:t>
      </w:r>
    </w:p>
    <w:p w14:paraId="3FB311D7" w14:textId="77777777" w:rsidR="002B41D3" w:rsidRPr="007B083E" w:rsidRDefault="002B41D3" w:rsidP="007B083E">
      <w:pPr>
        <w:pStyle w:val="a7"/>
        <w:numPr>
          <w:ilvl w:val="0"/>
          <w:numId w:val="12"/>
        </w:numPr>
        <w:tabs>
          <w:tab w:val="left" w:pos="284"/>
          <w:tab w:val="left" w:pos="567"/>
        </w:tabs>
        <w:ind w:left="0" w:firstLine="284"/>
        <w:contextualSpacing/>
        <w:jc w:val="both"/>
        <w:rPr>
          <w:lang w:val="en-US"/>
        </w:rPr>
      </w:pPr>
      <w:r w:rsidRPr="007B083E">
        <w:rPr>
          <w:lang w:val="en-US"/>
        </w:rPr>
        <w:t>Shadimetov, Y., Ayrapetov, D. Current issues in greening the economy E3S Web of Conferences, 2024, 538, 02010</w:t>
      </w:r>
    </w:p>
    <w:p w14:paraId="43ED2F4F" w14:textId="0F6D9CC0" w:rsidR="00A12304" w:rsidRPr="007B083E" w:rsidRDefault="00A12304" w:rsidP="007B083E">
      <w:pPr>
        <w:pStyle w:val="a7"/>
        <w:numPr>
          <w:ilvl w:val="0"/>
          <w:numId w:val="12"/>
        </w:numPr>
        <w:tabs>
          <w:tab w:val="left" w:pos="284"/>
          <w:tab w:val="left" w:pos="567"/>
        </w:tabs>
        <w:ind w:left="0" w:firstLine="284"/>
        <w:contextualSpacing/>
        <w:jc w:val="both"/>
        <w:rPr>
          <w:lang w:val="en-US"/>
        </w:rPr>
      </w:pPr>
      <w:r w:rsidRPr="007B083E">
        <w:rPr>
          <w:lang w:val="en-US" w:eastAsia="ru-RU"/>
        </w:rPr>
        <w:t>E.Ganiboyeva , B.Norov , S.Suyunov and I.Khudaev. Effektive use of motor oil resources of the tractor of the company “Class” in the conditions of Uzbekiston IOP Conference Series Earth and Environmental Science AEGIS-2022</w:t>
      </w:r>
    </w:p>
    <w:p w14:paraId="7B23273F" w14:textId="62CF3101" w:rsidR="00A12304" w:rsidRPr="007B083E" w:rsidRDefault="00A12304" w:rsidP="007B083E">
      <w:pPr>
        <w:pStyle w:val="Reference"/>
        <w:numPr>
          <w:ilvl w:val="0"/>
          <w:numId w:val="12"/>
        </w:numPr>
        <w:tabs>
          <w:tab w:val="left" w:pos="284"/>
          <w:tab w:val="left" w:pos="567"/>
        </w:tabs>
        <w:ind w:left="0" w:firstLine="284"/>
        <w:rPr>
          <w:lang w:eastAsia="ru-RU"/>
        </w:rPr>
      </w:pPr>
      <w:r w:rsidRPr="007B083E">
        <w:rPr>
          <w:lang w:eastAsia="ru-RU"/>
        </w:rPr>
        <w:t>Ganiboyeva,B.Khakimov, X.Shermuxamedov, Yu.Rakhimov Theoretical study of the accumulation of mechanical mixtures in the engine lubrication system. IOP Conference Series Earth and Environmental Science AEGIS-2022</w:t>
      </w:r>
    </w:p>
    <w:sectPr w:rsidR="00A12304" w:rsidRPr="007B083E" w:rsidSect="00BF0ACA">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A87"/>
    <w:multiLevelType w:val="hybridMultilevel"/>
    <w:tmpl w:val="A47C95B4"/>
    <w:lvl w:ilvl="0" w:tplc="0BC49D4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6C606BE"/>
    <w:multiLevelType w:val="hybridMultilevel"/>
    <w:tmpl w:val="BB44CA9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1EB36F29"/>
    <w:multiLevelType w:val="hybridMultilevel"/>
    <w:tmpl w:val="43D484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7506F45"/>
    <w:multiLevelType w:val="hybridMultilevel"/>
    <w:tmpl w:val="FA507D42"/>
    <w:lvl w:ilvl="0" w:tplc="86EC7B36">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80D3497"/>
    <w:multiLevelType w:val="hybridMultilevel"/>
    <w:tmpl w:val="43D484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402F047B"/>
    <w:multiLevelType w:val="hybridMultilevel"/>
    <w:tmpl w:val="43D484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44A112DD"/>
    <w:multiLevelType w:val="hybridMultilevel"/>
    <w:tmpl w:val="C43CB8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670116"/>
    <w:multiLevelType w:val="hybridMultilevel"/>
    <w:tmpl w:val="9E162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5F333A"/>
    <w:multiLevelType w:val="hybridMultilevel"/>
    <w:tmpl w:val="E3B8BD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881228"/>
    <w:multiLevelType w:val="hybridMultilevel"/>
    <w:tmpl w:val="66BA552A"/>
    <w:lvl w:ilvl="0" w:tplc="649ABF6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62B876DB"/>
    <w:multiLevelType w:val="hybridMultilevel"/>
    <w:tmpl w:val="02E0CC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EDA72BB"/>
    <w:multiLevelType w:val="hybridMultilevel"/>
    <w:tmpl w:val="43D484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7EEE44FC"/>
    <w:multiLevelType w:val="hybridMultilevel"/>
    <w:tmpl w:val="BB44CA9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16cid:durableId="86378569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3663366">
    <w:abstractNumId w:val="3"/>
  </w:num>
  <w:num w:numId="3" w16cid:durableId="1127892858">
    <w:abstractNumId w:val="9"/>
  </w:num>
  <w:num w:numId="4" w16cid:durableId="1177380395">
    <w:abstractNumId w:val="5"/>
  </w:num>
  <w:num w:numId="5" w16cid:durableId="1556701934">
    <w:abstractNumId w:val="0"/>
  </w:num>
  <w:num w:numId="6" w16cid:durableId="694235572">
    <w:abstractNumId w:val="2"/>
  </w:num>
  <w:num w:numId="7" w16cid:durableId="128254536">
    <w:abstractNumId w:val="11"/>
  </w:num>
  <w:num w:numId="8" w16cid:durableId="1074277564">
    <w:abstractNumId w:val="4"/>
  </w:num>
  <w:num w:numId="9" w16cid:durableId="1234201156">
    <w:abstractNumId w:val="8"/>
  </w:num>
  <w:num w:numId="10" w16cid:durableId="2109421738">
    <w:abstractNumId w:val="6"/>
  </w:num>
  <w:num w:numId="11" w16cid:durableId="1950819168">
    <w:abstractNumId w:val="10"/>
  </w:num>
  <w:num w:numId="12" w16cid:durableId="1533110090">
    <w:abstractNumId w:val="1"/>
  </w:num>
  <w:num w:numId="13" w16cid:durableId="485628181">
    <w:abstractNumId w:val="12"/>
  </w:num>
  <w:num w:numId="14" w16cid:durableId="844229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A11"/>
    <w:rsid w:val="000169F9"/>
    <w:rsid w:val="00023BA9"/>
    <w:rsid w:val="000358F6"/>
    <w:rsid w:val="00035EFB"/>
    <w:rsid w:val="000377F3"/>
    <w:rsid w:val="00041737"/>
    <w:rsid w:val="00041A11"/>
    <w:rsid w:val="000619E4"/>
    <w:rsid w:val="0007145E"/>
    <w:rsid w:val="00072C2F"/>
    <w:rsid w:val="00097CF9"/>
    <w:rsid w:val="000A70DB"/>
    <w:rsid w:val="000B05E5"/>
    <w:rsid w:val="000C6282"/>
    <w:rsid w:val="000D7A64"/>
    <w:rsid w:val="000F443E"/>
    <w:rsid w:val="0011094D"/>
    <w:rsid w:val="00134C05"/>
    <w:rsid w:val="00144D0B"/>
    <w:rsid w:val="00150429"/>
    <w:rsid w:val="00153D5C"/>
    <w:rsid w:val="00164ABB"/>
    <w:rsid w:val="00173169"/>
    <w:rsid w:val="00176085"/>
    <w:rsid w:val="001878C9"/>
    <w:rsid w:val="0019574A"/>
    <w:rsid w:val="001A7360"/>
    <w:rsid w:val="001C7E63"/>
    <w:rsid w:val="001D120B"/>
    <w:rsid w:val="001D67D7"/>
    <w:rsid w:val="001E1257"/>
    <w:rsid w:val="001E75FC"/>
    <w:rsid w:val="00203F93"/>
    <w:rsid w:val="00204CE7"/>
    <w:rsid w:val="002056D5"/>
    <w:rsid w:val="002218B5"/>
    <w:rsid w:val="002222B6"/>
    <w:rsid w:val="002251CA"/>
    <w:rsid w:val="002322BA"/>
    <w:rsid w:val="0023253E"/>
    <w:rsid w:val="002358A5"/>
    <w:rsid w:val="00241D18"/>
    <w:rsid w:val="00253433"/>
    <w:rsid w:val="0026432A"/>
    <w:rsid w:val="002666DA"/>
    <w:rsid w:val="00275AA3"/>
    <w:rsid w:val="00277587"/>
    <w:rsid w:val="00285072"/>
    <w:rsid w:val="00293D1C"/>
    <w:rsid w:val="00293FA4"/>
    <w:rsid w:val="002B41D3"/>
    <w:rsid w:val="002C471D"/>
    <w:rsid w:val="002D7965"/>
    <w:rsid w:val="002E7507"/>
    <w:rsid w:val="002F6B38"/>
    <w:rsid w:val="003005C9"/>
    <w:rsid w:val="00302194"/>
    <w:rsid w:val="003033AA"/>
    <w:rsid w:val="00316DFC"/>
    <w:rsid w:val="00322755"/>
    <w:rsid w:val="00336878"/>
    <w:rsid w:val="003671D9"/>
    <w:rsid w:val="00384FFA"/>
    <w:rsid w:val="00387811"/>
    <w:rsid w:val="003A2B7C"/>
    <w:rsid w:val="003A33DD"/>
    <w:rsid w:val="003A422D"/>
    <w:rsid w:val="003B0101"/>
    <w:rsid w:val="003B6711"/>
    <w:rsid w:val="003C4BC5"/>
    <w:rsid w:val="003D7B46"/>
    <w:rsid w:val="00401262"/>
    <w:rsid w:val="0042735C"/>
    <w:rsid w:val="004275B3"/>
    <w:rsid w:val="00427962"/>
    <w:rsid w:val="0043761E"/>
    <w:rsid w:val="004534E8"/>
    <w:rsid w:val="0045616B"/>
    <w:rsid w:val="00460472"/>
    <w:rsid w:val="00472B39"/>
    <w:rsid w:val="004A469A"/>
    <w:rsid w:val="004B2FD8"/>
    <w:rsid w:val="004B3B94"/>
    <w:rsid w:val="004E03C8"/>
    <w:rsid w:val="004E1075"/>
    <w:rsid w:val="00506115"/>
    <w:rsid w:val="00522939"/>
    <w:rsid w:val="00525735"/>
    <w:rsid w:val="00536D15"/>
    <w:rsid w:val="0056002D"/>
    <w:rsid w:val="00560B0D"/>
    <w:rsid w:val="0057566A"/>
    <w:rsid w:val="00580C94"/>
    <w:rsid w:val="0058734D"/>
    <w:rsid w:val="00592047"/>
    <w:rsid w:val="005B4B40"/>
    <w:rsid w:val="005E0FF5"/>
    <w:rsid w:val="005F13D0"/>
    <w:rsid w:val="006004B9"/>
    <w:rsid w:val="00602617"/>
    <w:rsid w:val="00611116"/>
    <w:rsid w:val="00622609"/>
    <w:rsid w:val="00632EA6"/>
    <w:rsid w:val="00633D98"/>
    <w:rsid w:val="00634774"/>
    <w:rsid w:val="006348D4"/>
    <w:rsid w:val="006353E0"/>
    <w:rsid w:val="006404BA"/>
    <w:rsid w:val="00643B10"/>
    <w:rsid w:val="00662645"/>
    <w:rsid w:val="0066454E"/>
    <w:rsid w:val="0067108B"/>
    <w:rsid w:val="00671241"/>
    <w:rsid w:val="00674561"/>
    <w:rsid w:val="00692563"/>
    <w:rsid w:val="00696807"/>
    <w:rsid w:val="006C5AC3"/>
    <w:rsid w:val="006D346F"/>
    <w:rsid w:val="006F3AF8"/>
    <w:rsid w:val="006F575F"/>
    <w:rsid w:val="006F5823"/>
    <w:rsid w:val="006F7E78"/>
    <w:rsid w:val="00712E33"/>
    <w:rsid w:val="007437E4"/>
    <w:rsid w:val="0078284E"/>
    <w:rsid w:val="00783290"/>
    <w:rsid w:val="00790D04"/>
    <w:rsid w:val="007B083E"/>
    <w:rsid w:val="007C2DC0"/>
    <w:rsid w:val="007C5462"/>
    <w:rsid w:val="007C615B"/>
    <w:rsid w:val="007F22BC"/>
    <w:rsid w:val="00800C18"/>
    <w:rsid w:val="00814F02"/>
    <w:rsid w:val="00817360"/>
    <w:rsid w:val="00882E83"/>
    <w:rsid w:val="00891927"/>
    <w:rsid w:val="0089292B"/>
    <w:rsid w:val="00897348"/>
    <w:rsid w:val="008A4082"/>
    <w:rsid w:val="008B503A"/>
    <w:rsid w:val="008B55B7"/>
    <w:rsid w:val="008C519F"/>
    <w:rsid w:val="008E3FE9"/>
    <w:rsid w:val="008F0766"/>
    <w:rsid w:val="008F7CA5"/>
    <w:rsid w:val="00900C52"/>
    <w:rsid w:val="00907376"/>
    <w:rsid w:val="00915097"/>
    <w:rsid w:val="009233D4"/>
    <w:rsid w:val="00935E2E"/>
    <w:rsid w:val="00943FD3"/>
    <w:rsid w:val="00946556"/>
    <w:rsid w:val="00951C29"/>
    <w:rsid w:val="0095334E"/>
    <w:rsid w:val="00954318"/>
    <w:rsid w:val="0096132C"/>
    <w:rsid w:val="009748BD"/>
    <w:rsid w:val="00984066"/>
    <w:rsid w:val="00993969"/>
    <w:rsid w:val="009A5E65"/>
    <w:rsid w:val="009A7F63"/>
    <w:rsid w:val="009C5006"/>
    <w:rsid w:val="009C6C64"/>
    <w:rsid w:val="009D6058"/>
    <w:rsid w:val="009E442C"/>
    <w:rsid w:val="00A1163E"/>
    <w:rsid w:val="00A12304"/>
    <w:rsid w:val="00A141B1"/>
    <w:rsid w:val="00A22C5F"/>
    <w:rsid w:val="00A311A9"/>
    <w:rsid w:val="00A46103"/>
    <w:rsid w:val="00A768B1"/>
    <w:rsid w:val="00A86DD5"/>
    <w:rsid w:val="00AA0A32"/>
    <w:rsid w:val="00AA3AEC"/>
    <w:rsid w:val="00AB196A"/>
    <w:rsid w:val="00AC42E1"/>
    <w:rsid w:val="00AE4C87"/>
    <w:rsid w:val="00AF0DB3"/>
    <w:rsid w:val="00B01358"/>
    <w:rsid w:val="00B2358A"/>
    <w:rsid w:val="00B25B74"/>
    <w:rsid w:val="00B31D15"/>
    <w:rsid w:val="00B41E4F"/>
    <w:rsid w:val="00B667BC"/>
    <w:rsid w:val="00B67378"/>
    <w:rsid w:val="00B80A73"/>
    <w:rsid w:val="00B96E54"/>
    <w:rsid w:val="00BB1D65"/>
    <w:rsid w:val="00BB2328"/>
    <w:rsid w:val="00BC76DD"/>
    <w:rsid w:val="00BF0ACA"/>
    <w:rsid w:val="00BF1D6F"/>
    <w:rsid w:val="00BF3201"/>
    <w:rsid w:val="00C00E90"/>
    <w:rsid w:val="00C05183"/>
    <w:rsid w:val="00C33F67"/>
    <w:rsid w:val="00C45FF4"/>
    <w:rsid w:val="00C50916"/>
    <w:rsid w:val="00C60F64"/>
    <w:rsid w:val="00C7236B"/>
    <w:rsid w:val="00C804A8"/>
    <w:rsid w:val="00C839A8"/>
    <w:rsid w:val="00C84E99"/>
    <w:rsid w:val="00CB57B1"/>
    <w:rsid w:val="00CB7A34"/>
    <w:rsid w:val="00CC3632"/>
    <w:rsid w:val="00CF26CF"/>
    <w:rsid w:val="00D067A6"/>
    <w:rsid w:val="00D148E1"/>
    <w:rsid w:val="00D25CDF"/>
    <w:rsid w:val="00D31CFC"/>
    <w:rsid w:val="00D446DE"/>
    <w:rsid w:val="00D44DE6"/>
    <w:rsid w:val="00D53BB8"/>
    <w:rsid w:val="00D56397"/>
    <w:rsid w:val="00D706E8"/>
    <w:rsid w:val="00D83F1A"/>
    <w:rsid w:val="00D86581"/>
    <w:rsid w:val="00DA1CA3"/>
    <w:rsid w:val="00DB38EB"/>
    <w:rsid w:val="00DD1210"/>
    <w:rsid w:val="00DD61C2"/>
    <w:rsid w:val="00DE4F23"/>
    <w:rsid w:val="00DE5628"/>
    <w:rsid w:val="00E002CB"/>
    <w:rsid w:val="00E06B76"/>
    <w:rsid w:val="00E1448F"/>
    <w:rsid w:val="00E33B6F"/>
    <w:rsid w:val="00E37E17"/>
    <w:rsid w:val="00E4645A"/>
    <w:rsid w:val="00E46BD8"/>
    <w:rsid w:val="00E51BC7"/>
    <w:rsid w:val="00E551B8"/>
    <w:rsid w:val="00E6260C"/>
    <w:rsid w:val="00E6437E"/>
    <w:rsid w:val="00E64AC5"/>
    <w:rsid w:val="00E83D93"/>
    <w:rsid w:val="00E92B04"/>
    <w:rsid w:val="00E94180"/>
    <w:rsid w:val="00EB5CB9"/>
    <w:rsid w:val="00EC4832"/>
    <w:rsid w:val="00EC7D20"/>
    <w:rsid w:val="00ED15A3"/>
    <w:rsid w:val="00ED4FBB"/>
    <w:rsid w:val="00EE04D7"/>
    <w:rsid w:val="00EE246F"/>
    <w:rsid w:val="00EE3C20"/>
    <w:rsid w:val="00F05BE7"/>
    <w:rsid w:val="00F21E83"/>
    <w:rsid w:val="00F250B7"/>
    <w:rsid w:val="00F434EF"/>
    <w:rsid w:val="00F55597"/>
    <w:rsid w:val="00F736CA"/>
    <w:rsid w:val="00F823F5"/>
    <w:rsid w:val="00FB3D62"/>
    <w:rsid w:val="00FB6B5F"/>
    <w:rsid w:val="00FD18BA"/>
    <w:rsid w:val="00FD7DD3"/>
    <w:rsid w:val="00FE16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AE006"/>
  <w15:docId w15:val="{4FE19D58-289D-45FE-B5D9-8407A53B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1262"/>
    <w:rPr>
      <w:sz w:val="24"/>
      <w:szCs w:val="24"/>
    </w:rPr>
  </w:style>
  <w:style w:type="paragraph" w:styleId="4">
    <w:name w:val="heading 4"/>
    <w:basedOn w:val="a"/>
    <w:link w:val="40"/>
    <w:uiPriority w:val="9"/>
    <w:qFormat/>
    <w:rsid w:val="008F0766"/>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E0CAC"/>
    <w:rPr>
      <w:rFonts w:ascii="Courier New" w:hAnsi="Courier New" w:cs="Courier New"/>
      <w:sz w:val="20"/>
      <w:szCs w:val="20"/>
    </w:rPr>
  </w:style>
  <w:style w:type="table" w:styleId="a4">
    <w:name w:val="Table Grid"/>
    <w:basedOn w:val="a1"/>
    <w:rsid w:val="00035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nhideWhenUsed/>
    <w:rsid w:val="006353E0"/>
    <w:rPr>
      <w:color w:val="0000FF"/>
      <w:u w:val="single"/>
    </w:rPr>
  </w:style>
  <w:style w:type="paragraph" w:customStyle="1" w:styleId="a6">
    <w:name w:val="Основной текст диссертации"/>
    <w:basedOn w:val="a"/>
    <w:qFormat/>
    <w:rsid w:val="006353E0"/>
    <w:pPr>
      <w:ind w:firstLine="709"/>
      <w:jc w:val="both"/>
    </w:pPr>
    <w:rPr>
      <w:sz w:val="28"/>
      <w:szCs w:val="28"/>
      <w:lang w:eastAsia="zh-CN"/>
    </w:rPr>
  </w:style>
  <w:style w:type="character" w:customStyle="1" w:styleId="FontStyle56">
    <w:name w:val="Font Style56"/>
    <w:rsid w:val="00EC4832"/>
    <w:rPr>
      <w:rFonts w:ascii="Times New Roman" w:hAnsi="Times New Roman" w:cs="Times New Roman"/>
      <w:sz w:val="18"/>
      <w:szCs w:val="18"/>
    </w:rPr>
  </w:style>
  <w:style w:type="paragraph" w:customStyle="1" w:styleId="FR4">
    <w:name w:val="FR4"/>
    <w:rsid w:val="00EC4832"/>
    <w:pPr>
      <w:widowControl w:val="0"/>
      <w:autoSpaceDE w:val="0"/>
      <w:autoSpaceDN w:val="0"/>
      <w:adjustRightInd w:val="0"/>
      <w:spacing w:line="360" w:lineRule="auto"/>
      <w:ind w:left="40" w:firstLine="560"/>
    </w:pPr>
    <w:rPr>
      <w:rFonts w:ascii="Courier New" w:hAnsi="Courier New" w:cs="Courier New"/>
      <w:sz w:val="24"/>
      <w:szCs w:val="24"/>
    </w:rPr>
  </w:style>
  <w:style w:type="paragraph" w:styleId="a7">
    <w:name w:val="List Paragraph"/>
    <w:basedOn w:val="a"/>
    <w:uiPriority w:val="34"/>
    <w:qFormat/>
    <w:rsid w:val="00EC4832"/>
    <w:pPr>
      <w:ind w:left="708"/>
    </w:pPr>
    <w:rPr>
      <w:sz w:val="20"/>
      <w:szCs w:val="20"/>
      <w:lang w:eastAsia="en-US"/>
    </w:rPr>
  </w:style>
  <w:style w:type="paragraph" w:customStyle="1" w:styleId="msonormalbullet2gif">
    <w:name w:val="msonormalbullet2.gif"/>
    <w:basedOn w:val="a"/>
    <w:rsid w:val="00384FFA"/>
    <w:pPr>
      <w:spacing w:before="100" w:beforeAutospacing="1" w:after="100" w:afterAutospacing="1"/>
    </w:pPr>
  </w:style>
  <w:style w:type="paragraph" w:customStyle="1" w:styleId="a8">
    <w:name w:val="жидкостной (гидродинамический) и грани"/>
    <w:basedOn w:val="a"/>
    <w:rsid w:val="006D346F"/>
    <w:pPr>
      <w:spacing w:line="360" w:lineRule="auto"/>
      <w:ind w:firstLine="567"/>
    </w:pPr>
    <w:rPr>
      <w:sz w:val="27"/>
      <w:szCs w:val="27"/>
    </w:rPr>
  </w:style>
  <w:style w:type="paragraph" w:styleId="a9">
    <w:name w:val="Normal (Web)"/>
    <w:basedOn w:val="a"/>
    <w:uiPriority w:val="99"/>
    <w:unhideWhenUsed/>
    <w:rsid w:val="00173169"/>
    <w:pPr>
      <w:spacing w:before="100" w:beforeAutospacing="1" w:after="100" w:afterAutospacing="1"/>
    </w:pPr>
  </w:style>
  <w:style w:type="paragraph" w:styleId="aa">
    <w:name w:val="Balloon Text"/>
    <w:basedOn w:val="a"/>
    <w:link w:val="ab"/>
    <w:rsid w:val="00F434EF"/>
    <w:rPr>
      <w:rFonts w:ascii="Tahoma" w:hAnsi="Tahoma" w:cs="Tahoma"/>
      <w:sz w:val="16"/>
      <w:szCs w:val="16"/>
    </w:rPr>
  </w:style>
  <w:style w:type="character" w:customStyle="1" w:styleId="ab">
    <w:name w:val="Текст выноски Знак"/>
    <w:basedOn w:val="a0"/>
    <w:link w:val="aa"/>
    <w:rsid w:val="00F434EF"/>
    <w:rPr>
      <w:rFonts w:ascii="Tahoma" w:hAnsi="Tahoma" w:cs="Tahoma"/>
      <w:sz w:val="16"/>
      <w:szCs w:val="16"/>
    </w:rPr>
  </w:style>
  <w:style w:type="character" w:customStyle="1" w:styleId="ac">
    <w:name w:val="Основной текст_"/>
    <w:basedOn w:val="a0"/>
    <w:link w:val="1"/>
    <w:uiPriority w:val="99"/>
    <w:rsid w:val="00F55597"/>
    <w:rPr>
      <w:sz w:val="28"/>
      <w:szCs w:val="28"/>
      <w:shd w:val="clear" w:color="auto" w:fill="FFFFFF"/>
    </w:rPr>
  </w:style>
  <w:style w:type="paragraph" w:customStyle="1" w:styleId="1">
    <w:name w:val="Основной текст1"/>
    <w:basedOn w:val="a"/>
    <w:link w:val="ac"/>
    <w:uiPriority w:val="99"/>
    <w:rsid w:val="00F55597"/>
    <w:pPr>
      <w:widowControl w:val="0"/>
      <w:shd w:val="clear" w:color="auto" w:fill="FFFFFF"/>
      <w:spacing w:line="360" w:lineRule="auto"/>
      <w:ind w:firstLine="400"/>
    </w:pPr>
    <w:rPr>
      <w:sz w:val="28"/>
      <w:szCs w:val="28"/>
    </w:rPr>
  </w:style>
  <w:style w:type="character" w:customStyle="1" w:styleId="ad">
    <w:name w:val="Подпись к таблице_"/>
    <w:basedOn w:val="a0"/>
    <w:link w:val="ae"/>
    <w:uiPriority w:val="99"/>
    <w:rsid w:val="00F55597"/>
    <w:rPr>
      <w:sz w:val="28"/>
      <w:szCs w:val="28"/>
      <w:shd w:val="clear" w:color="auto" w:fill="FFFFFF"/>
    </w:rPr>
  </w:style>
  <w:style w:type="character" w:customStyle="1" w:styleId="af">
    <w:name w:val="Другое_"/>
    <w:basedOn w:val="a0"/>
    <w:link w:val="af0"/>
    <w:uiPriority w:val="99"/>
    <w:rsid w:val="00F55597"/>
    <w:rPr>
      <w:sz w:val="28"/>
      <w:szCs w:val="28"/>
      <w:shd w:val="clear" w:color="auto" w:fill="FFFFFF"/>
    </w:rPr>
  </w:style>
  <w:style w:type="paragraph" w:customStyle="1" w:styleId="ae">
    <w:name w:val="Подпись к таблице"/>
    <w:basedOn w:val="a"/>
    <w:link w:val="ad"/>
    <w:uiPriority w:val="99"/>
    <w:rsid w:val="00F55597"/>
    <w:pPr>
      <w:widowControl w:val="0"/>
      <w:shd w:val="clear" w:color="auto" w:fill="FFFFFF"/>
    </w:pPr>
    <w:rPr>
      <w:sz w:val="28"/>
      <w:szCs w:val="28"/>
    </w:rPr>
  </w:style>
  <w:style w:type="paragraph" w:customStyle="1" w:styleId="af0">
    <w:name w:val="Другое"/>
    <w:basedOn w:val="a"/>
    <w:link w:val="af"/>
    <w:uiPriority w:val="99"/>
    <w:rsid w:val="00F55597"/>
    <w:pPr>
      <w:widowControl w:val="0"/>
      <w:shd w:val="clear" w:color="auto" w:fill="FFFFFF"/>
      <w:spacing w:line="360" w:lineRule="auto"/>
      <w:ind w:firstLine="400"/>
    </w:pPr>
    <w:rPr>
      <w:sz w:val="28"/>
      <w:szCs w:val="28"/>
    </w:rPr>
  </w:style>
  <w:style w:type="character" w:customStyle="1" w:styleId="40">
    <w:name w:val="Заголовок 4 Знак"/>
    <w:basedOn w:val="a0"/>
    <w:link w:val="4"/>
    <w:uiPriority w:val="9"/>
    <w:rsid w:val="008F0766"/>
    <w:rPr>
      <w:b/>
      <w:bCs/>
      <w:sz w:val="24"/>
      <w:szCs w:val="24"/>
    </w:rPr>
  </w:style>
  <w:style w:type="character" w:customStyle="1" w:styleId="authors-moduleumr1o">
    <w:name w:val="authors-module__umr1o"/>
    <w:basedOn w:val="a0"/>
    <w:rsid w:val="008F0766"/>
  </w:style>
  <w:style w:type="character" w:customStyle="1" w:styleId="typography-modulelvnit">
    <w:name w:val="typography-module__lvnit"/>
    <w:basedOn w:val="a0"/>
    <w:rsid w:val="008F0766"/>
  </w:style>
  <w:style w:type="paragraph" w:styleId="af1">
    <w:name w:val="caption"/>
    <w:basedOn w:val="a"/>
    <w:next w:val="a"/>
    <w:unhideWhenUsed/>
    <w:qFormat/>
    <w:rsid w:val="00A768B1"/>
    <w:pPr>
      <w:spacing w:after="200"/>
    </w:pPr>
    <w:rPr>
      <w:i/>
      <w:iCs/>
      <w:color w:val="1F497D" w:themeColor="text2"/>
      <w:sz w:val="18"/>
      <w:szCs w:val="18"/>
    </w:rPr>
  </w:style>
  <w:style w:type="paragraph" w:customStyle="1" w:styleId="Addresses">
    <w:name w:val="Addresses"/>
    <w:next w:val="a"/>
    <w:uiPriority w:val="99"/>
    <w:rsid w:val="00525735"/>
    <w:pPr>
      <w:spacing w:after="240"/>
      <w:ind w:left="1418"/>
    </w:pPr>
    <w:rPr>
      <w:rFonts w:ascii="Times" w:eastAsia="Calibri" w:hAnsi="Times"/>
      <w:sz w:val="22"/>
      <w:szCs w:val="22"/>
      <w:lang w:val="en-GB" w:eastAsia="en-US"/>
    </w:rPr>
  </w:style>
  <w:style w:type="paragraph" w:customStyle="1" w:styleId="Reference">
    <w:name w:val="Reference"/>
    <w:basedOn w:val="a"/>
    <w:rsid w:val="00A12304"/>
    <w:pPr>
      <w:ind w:left="426" w:hanging="426"/>
      <w:jc w:val="both"/>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9487">
      <w:bodyDiv w:val="1"/>
      <w:marLeft w:val="0"/>
      <w:marRight w:val="0"/>
      <w:marTop w:val="0"/>
      <w:marBottom w:val="0"/>
      <w:divBdr>
        <w:top w:val="none" w:sz="0" w:space="0" w:color="auto"/>
        <w:left w:val="none" w:sz="0" w:space="0" w:color="auto"/>
        <w:bottom w:val="none" w:sz="0" w:space="0" w:color="auto"/>
        <w:right w:val="none" w:sz="0" w:space="0" w:color="auto"/>
      </w:divBdr>
    </w:div>
    <w:div w:id="189270510">
      <w:bodyDiv w:val="1"/>
      <w:marLeft w:val="0"/>
      <w:marRight w:val="0"/>
      <w:marTop w:val="0"/>
      <w:marBottom w:val="0"/>
      <w:divBdr>
        <w:top w:val="none" w:sz="0" w:space="0" w:color="auto"/>
        <w:left w:val="none" w:sz="0" w:space="0" w:color="auto"/>
        <w:bottom w:val="none" w:sz="0" w:space="0" w:color="auto"/>
        <w:right w:val="none" w:sz="0" w:space="0" w:color="auto"/>
      </w:divBdr>
    </w:div>
    <w:div w:id="592394824">
      <w:bodyDiv w:val="1"/>
      <w:marLeft w:val="0"/>
      <w:marRight w:val="0"/>
      <w:marTop w:val="0"/>
      <w:marBottom w:val="0"/>
      <w:divBdr>
        <w:top w:val="none" w:sz="0" w:space="0" w:color="auto"/>
        <w:left w:val="none" w:sz="0" w:space="0" w:color="auto"/>
        <w:bottom w:val="none" w:sz="0" w:space="0" w:color="auto"/>
        <w:right w:val="none" w:sz="0" w:space="0" w:color="auto"/>
      </w:divBdr>
    </w:div>
    <w:div w:id="1079013253">
      <w:bodyDiv w:val="1"/>
      <w:marLeft w:val="0"/>
      <w:marRight w:val="0"/>
      <w:marTop w:val="0"/>
      <w:marBottom w:val="0"/>
      <w:divBdr>
        <w:top w:val="none" w:sz="0" w:space="0" w:color="auto"/>
        <w:left w:val="none" w:sz="0" w:space="0" w:color="auto"/>
        <w:bottom w:val="none" w:sz="0" w:space="0" w:color="auto"/>
        <w:right w:val="none" w:sz="0" w:space="0" w:color="auto"/>
      </w:divBdr>
      <w:divsChild>
        <w:div w:id="539053093">
          <w:marLeft w:val="0"/>
          <w:marRight w:val="0"/>
          <w:marTop w:val="0"/>
          <w:marBottom w:val="540"/>
          <w:divBdr>
            <w:top w:val="none" w:sz="0" w:space="0" w:color="auto"/>
            <w:left w:val="none" w:sz="0" w:space="0" w:color="auto"/>
            <w:bottom w:val="none" w:sz="0" w:space="0" w:color="auto"/>
            <w:right w:val="none" w:sz="0" w:space="0" w:color="auto"/>
          </w:divBdr>
        </w:div>
      </w:divsChild>
    </w:div>
    <w:div w:id="1294168933">
      <w:bodyDiv w:val="1"/>
      <w:marLeft w:val="0"/>
      <w:marRight w:val="0"/>
      <w:marTop w:val="0"/>
      <w:marBottom w:val="0"/>
      <w:divBdr>
        <w:top w:val="none" w:sz="0" w:space="0" w:color="auto"/>
        <w:left w:val="none" w:sz="0" w:space="0" w:color="auto"/>
        <w:bottom w:val="none" w:sz="0" w:space="0" w:color="auto"/>
        <w:right w:val="none" w:sz="0" w:space="0" w:color="auto"/>
      </w:divBdr>
    </w:div>
    <w:div w:id="2037583232">
      <w:bodyDiv w:val="1"/>
      <w:marLeft w:val="0"/>
      <w:marRight w:val="0"/>
      <w:marTop w:val="0"/>
      <w:marBottom w:val="0"/>
      <w:divBdr>
        <w:top w:val="none" w:sz="0" w:space="0" w:color="auto"/>
        <w:left w:val="none" w:sz="0" w:space="0" w:color="auto"/>
        <w:bottom w:val="none" w:sz="0" w:space="0" w:color="auto"/>
        <w:right w:val="none" w:sz="0" w:space="0" w:color="auto"/>
      </w:divBdr>
    </w:div>
    <w:div w:id="213224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www.scopus.com/authid/detail.uri?authorId=58951756100" TargetMode="External"/><Relationship Id="rId18" Type="http://schemas.openxmlformats.org/officeDocument/2006/relationships/hyperlink" Target="https://www.scopus.com/authid/detail.uri?authorId=59090943400" TargetMode="External"/><Relationship Id="rId26" Type="http://schemas.openxmlformats.org/officeDocument/2006/relationships/hyperlink" Target="https://www.scopus.com/authid/detail.uri?authorId=58951424200" TargetMode="External"/><Relationship Id="rId3" Type="http://schemas.openxmlformats.org/officeDocument/2006/relationships/settings" Target="settings.xml"/><Relationship Id="rId21" Type="http://schemas.openxmlformats.org/officeDocument/2006/relationships/hyperlink" Target="https://www.scopus.com/authid/detail.uri?authorId=57218244690" TargetMode="External"/><Relationship Id="rId7" Type="http://schemas.openxmlformats.org/officeDocument/2006/relationships/chart" Target="charts/chart2.xml"/><Relationship Id="rId12" Type="http://schemas.openxmlformats.org/officeDocument/2006/relationships/hyperlink" Target="https://www.scopus.com/authid/detail.uri?authorId=57874218100" TargetMode="External"/><Relationship Id="rId17" Type="http://schemas.openxmlformats.org/officeDocument/2006/relationships/hyperlink" Target="https://www.scopus.com/authid/detail.uri?authorId=58951756100" TargetMode="External"/><Relationship Id="rId25" Type="http://schemas.openxmlformats.org/officeDocument/2006/relationships/hyperlink" Target="https://www.scopus.com/authid/detail.uri?authorId=57217679484" TargetMode="External"/><Relationship Id="rId2" Type="http://schemas.openxmlformats.org/officeDocument/2006/relationships/styles" Target="styles.xml"/><Relationship Id="rId16" Type="http://schemas.openxmlformats.org/officeDocument/2006/relationships/hyperlink" Target="https://www.scopus.com/authid/detail.uri?authorId=59093196200" TargetMode="External"/><Relationship Id="rId20" Type="http://schemas.openxmlformats.org/officeDocument/2006/relationships/hyperlink" Target="https://www.scopus.com/authid/detail.uri?authorId=57219123476"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www.scopus.com/authid/detail.uri?authorId=57219129790" TargetMode="External"/><Relationship Id="rId24" Type="http://schemas.openxmlformats.org/officeDocument/2006/relationships/hyperlink" Target="https://www.scopus.com/authid/detail.uri?authorId=58951756100" TargetMode="External"/><Relationship Id="rId5" Type="http://schemas.openxmlformats.org/officeDocument/2006/relationships/hyperlink" Target="mailto:zeboalimova7841@mail.ru" TargetMode="External"/><Relationship Id="rId15" Type="http://schemas.openxmlformats.org/officeDocument/2006/relationships/hyperlink" Target="https://www.scopus.com/authid/detail.uri?authorId=59090943300" TargetMode="External"/><Relationship Id="rId23" Type="http://schemas.openxmlformats.org/officeDocument/2006/relationships/hyperlink" Target="https://www.scopus.com/authid/detail.uri?authorId=58951756100" TargetMode="External"/><Relationship Id="rId28" Type="http://schemas.openxmlformats.org/officeDocument/2006/relationships/theme" Target="theme/theme1.xml"/><Relationship Id="rId10" Type="http://schemas.openxmlformats.org/officeDocument/2006/relationships/hyperlink" Target="https://www.scopus.com/authid/detail.uri?authorId=57219307489" TargetMode="External"/><Relationship Id="rId19" Type="http://schemas.openxmlformats.org/officeDocument/2006/relationships/hyperlink" Target="https://www.scopus.com/authid/detail.uri?authorId=57224732069" TargetMode="Externa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hyperlink" Target="https://www.scopus.com/authid/detail.uri?authorId=54782549600" TargetMode="External"/><Relationship Id="rId22" Type="http://schemas.openxmlformats.org/officeDocument/2006/relationships/hyperlink" Target="https://www.scopus.com/authid/detail.uri?authorId=57219123544"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1\Desktop\&#1050;&#1085;&#1080;&#1075;&#1072;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Professor%20%20Alimova\Desktop\&#1050;&#1085;&#1080;&#1075;&#1072;%20Belaz.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Professor%20%20Alimova\Desktop\&#1050;&#1085;&#1080;&#1075;&#1072;2%20&#1093;&#1093;&#1093;&#1093;.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Professor%20%20Alimova\Desktop\&#1050;&#1085;&#1080;&#1075;&#1072;2%20&#1093;&#1093;&#1093;&#109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336272608431843"/>
          <c:y val="8.0709625897448761E-2"/>
          <c:w val="0.77393529831759533"/>
          <c:h val="0.70069719062894964"/>
        </c:manualLayout>
      </c:layout>
      <c:scatterChart>
        <c:scatterStyle val="lineMarker"/>
        <c:varyColors val="0"/>
        <c:ser>
          <c:idx val="0"/>
          <c:order val="0"/>
          <c:tx>
            <c:strRef>
              <c:f>Лист1!$A$2</c:f>
              <c:strCache>
                <c:ptCount val="1"/>
                <c:pt idx="0">
                  <c:v>Белаз75310</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numRef>
              <c:f>Лист1!$B$1:$H$1</c:f>
              <c:numCache>
                <c:formatCode>General</c:formatCode>
                <c:ptCount val="7"/>
                <c:pt idx="0">
                  <c:v>50</c:v>
                </c:pt>
                <c:pt idx="1">
                  <c:v>100</c:v>
                </c:pt>
                <c:pt idx="2">
                  <c:v>150</c:v>
                </c:pt>
                <c:pt idx="3">
                  <c:v>200</c:v>
                </c:pt>
                <c:pt idx="4">
                  <c:v>250</c:v>
                </c:pt>
                <c:pt idx="5">
                  <c:v>300</c:v>
                </c:pt>
                <c:pt idx="6">
                  <c:v>350</c:v>
                </c:pt>
              </c:numCache>
            </c:numRef>
          </c:xVal>
          <c:yVal>
            <c:numRef>
              <c:f>Лист1!$B$2:$H$2</c:f>
              <c:numCache>
                <c:formatCode>General</c:formatCode>
                <c:ptCount val="7"/>
                <c:pt idx="0">
                  <c:v>1.9800000000000062</c:v>
                </c:pt>
                <c:pt idx="1">
                  <c:v>2.36</c:v>
                </c:pt>
                <c:pt idx="2">
                  <c:v>3.8899999999999997</c:v>
                </c:pt>
                <c:pt idx="3">
                  <c:v>5.23</c:v>
                </c:pt>
                <c:pt idx="4">
                  <c:v>8.08</c:v>
                </c:pt>
                <c:pt idx="5">
                  <c:v>9.5300000000000011</c:v>
                </c:pt>
                <c:pt idx="6">
                  <c:v>11.05</c:v>
                </c:pt>
              </c:numCache>
            </c:numRef>
          </c:yVal>
          <c:smooth val="0"/>
          <c:extLst>
            <c:ext xmlns:c16="http://schemas.microsoft.com/office/drawing/2014/chart" uri="{C3380CC4-5D6E-409C-BE32-E72D297353CC}">
              <c16:uniqueId val="{00000000-0390-4092-B2DC-95803682A901}"/>
            </c:ext>
          </c:extLst>
        </c:ser>
        <c:ser>
          <c:idx val="1"/>
          <c:order val="1"/>
          <c:tx>
            <c:strRef>
              <c:f>Лист1!$A$3</c:f>
              <c:strCache>
                <c:ptCount val="1"/>
                <c:pt idx="0">
                  <c:v>Белаз75307</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xVal>
            <c:numRef>
              <c:f>Лист1!$B$1:$H$1</c:f>
              <c:numCache>
                <c:formatCode>General</c:formatCode>
                <c:ptCount val="7"/>
                <c:pt idx="0">
                  <c:v>50</c:v>
                </c:pt>
                <c:pt idx="1">
                  <c:v>100</c:v>
                </c:pt>
                <c:pt idx="2">
                  <c:v>150</c:v>
                </c:pt>
                <c:pt idx="3">
                  <c:v>200</c:v>
                </c:pt>
                <c:pt idx="4">
                  <c:v>250</c:v>
                </c:pt>
                <c:pt idx="5">
                  <c:v>300</c:v>
                </c:pt>
                <c:pt idx="6">
                  <c:v>350</c:v>
                </c:pt>
              </c:numCache>
            </c:numRef>
          </c:xVal>
          <c:yVal>
            <c:numRef>
              <c:f>Лист1!$B$3:$H$3</c:f>
              <c:numCache>
                <c:formatCode>General</c:formatCode>
                <c:ptCount val="7"/>
                <c:pt idx="0">
                  <c:v>1.6500000000000001</c:v>
                </c:pt>
                <c:pt idx="1">
                  <c:v>2.9299999999999997</c:v>
                </c:pt>
                <c:pt idx="2">
                  <c:v>3.27</c:v>
                </c:pt>
                <c:pt idx="3">
                  <c:v>6.23</c:v>
                </c:pt>
                <c:pt idx="4">
                  <c:v>9.98</c:v>
                </c:pt>
                <c:pt idx="5">
                  <c:v>10.02</c:v>
                </c:pt>
                <c:pt idx="6">
                  <c:v>11.84</c:v>
                </c:pt>
              </c:numCache>
            </c:numRef>
          </c:yVal>
          <c:smooth val="0"/>
          <c:extLst>
            <c:ext xmlns:c16="http://schemas.microsoft.com/office/drawing/2014/chart" uri="{C3380CC4-5D6E-409C-BE32-E72D297353CC}">
              <c16:uniqueId val="{00000001-0390-4092-B2DC-95803682A901}"/>
            </c:ext>
          </c:extLst>
        </c:ser>
        <c:ser>
          <c:idx val="2"/>
          <c:order val="2"/>
          <c:tx>
            <c:strRef>
              <c:f>Лист1!$A$4</c:f>
              <c:strCache>
                <c:ptCount val="1"/>
                <c:pt idx="0">
                  <c:v>Белаз7513</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xVal>
            <c:numRef>
              <c:f>Лист1!$B$1:$H$1</c:f>
              <c:numCache>
                <c:formatCode>General</c:formatCode>
                <c:ptCount val="7"/>
                <c:pt idx="0">
                  <c:v>50</c:v>
                </c:pt>
                <c:pt idx="1">
                  <c:v>100</c:v>
                </c:pt>
                <c:pt idx="2">
                  <c:v>150</c:v>
                </c:pt>
                <c:pt idx="3">
                  <c:v>200</c:v>
                </c:pt>
                <c:pt idx="4">
                  <c:v>250</c:v>
                </c:pt>
                <c:pt idx="5">
                  <c:v>300</c:v>
                </c:pt>
                <c:pt idx="6">
                  <c:v>350</c:v>
                </c:pt>
              </c:numCache>
            </c:numRef>
          </c:xVal>
          <c:yVal>
            <c:numRef>
              <c:f>Лист1!$B$4:$H$4</c:f>
              <c:numCache>
                <c:formatCode>General</c:formatCode>
                <c:ptCount val="7"/>
                <c:pt idx="0">
                  <c:v>1.75</c:v>
                </c:pt>
                <c:pt idx="1">
                  <c:v>2.69</c:v>
                </c:pt>
                <c:pt idx="2">
                  <c:v>3.84</c:v>
                </c:pt>
                <c:pt idx="3">
                  <c:v>4.21</c:v>
                </c:pt>
                <c:pt idx="4">
                  <c:v>6.6899999999999995</c:v>
                </c:pt>
                <c:pt idx="5">
                  <c:v>7.84</c:v>
                </c:pt>
                <c:pt idx="6">
                  <c:v>9.5300000000000011</c:v>
                </c:pt>
              </c:numCache>
            </c:numRef>
          </c:yVal>
          <c:smooth val="0"/>
          <c:extLst>
            <c:ext xmlns:c16="http://schemas.microsoft.com/office/drawing/2014/chart" uri="{C3380CC4-5D6E-409C-BE32-E72D297353CC}">
              <c16:uniqueId val="{00000002-0390-4092-B2DC-95803682A901}"/>
            </c:ext>
          </c:extLst>
        </c:ser>
        <c:dLbls>
          <c:showLegendKey val="0"/>
          <c:showVal val="0"/>
          <c:showCatName val="0"/>
          <c:showSerName val="0"/>
          <c:showPercent val="0"/>
          <c:showBubbleSize val="0"/>
        </c:dLbls>
        <c:axId val="171729664"/>
        <c:axId val="171732352"/>
      </c:scatterChart>
      <c:valAx>
        <c:axId val="171729664"/>
        <c:scaling>
          <c:orientation val="minMax"/>
        </c:scaling>
        <c:delete val="0"/>
        <c:axPos val="b"/>
        <c:majorGridlines>
          <c:spPr>
            <a:ln w="9525" cap="flat" cmpd="sng" algn="ctr">
              <a:solidFill>
                <a:schemeClr val="accent1">
                  <a:shade val="95000"/>
                  <a:satMod val="105000"/>
                </a:schemeClr>
              </a:solidFill>
              <a:prstDash val="solid"/>
              <a:round/>
            </a:ln>
            <a:effectLst/>
          </c:spPr>
        </c:majorGridlines>
        <c:title>
          <c:tx>
            <c:rich>
              <a:bodyPr rot="0" vert="horz"/>
              <a:lstStyle/>
              <a:p>
                <a:pPr>
                  <a:defRPr/>
                </a:pPr>
                <a:r>
                  <a:rPr lang="la-Latn"/>
                  <a:t>Oil consumption, engine hours</a:t>
                </a:r>
                <a:endParaRPr lang="ru-RU"/>
              </a:p>
            </c:rich>
          </c:tx>
          <c:layout>
            <c:manualLayout>
              <c:xMode val="edge"/>
              <c:yMode val="edge"/>
              <c:x val="0.55617581030219321"/>
              <c:y val="0.85804357135416864"/>
            </c:manualLayout>
          </c:layout>
          <c:overlay val="0"/>
          <c:spPr>
            <a:noFill/>
            <a:ln>
              <a:noFill/>
            </a:ln>
            <a:effectLst/>
          </c:spPr>
        </c:title>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vert="horz"/>
          <a:lstStyle/>
          <a:p>
            <a:pPr>
              <a:defRPr/>
            </a:pPr>
            <a:endParaRPr lang="en-US"/>
          </a:p>
        </c:txPr>
        <c:crossAx val="171732352"/>
        <c:crosses val="autoZero"/>
        <c:crossBetween val="midCat"/>
      </c:valAx>
      <c:valAx>
        <c:axId val="171732352"/>
        <c:scaling>
          <c:orientation val="minMax"/>
        </c:scaling>
        <c:delete val="0"/>
        <c:axPos val="l"/>
        <c:majorGridlines>
          <c:spPr>
            <a:ln w="9525" cap="flat" cmpd="sng" algn="ctr">
              <a:solidFill>
                <a:schemeClr val="accent1">
                  <a:shade val="95000"/>
                  <a:satMod val="105000"/>
                </a:schemeClr>
              </a:solidFill>
              <a:prstDash val="solid"/>
              <a:round/>
            </a:ln>
            <a:effectLst/>
          </c:spPr>
        </c:majorGridlines>
        <c:title>
          <c:tx>
            <c:rich>
              <a:bodyPr rot="0"/>
              <a:lstStyle/>
              <a:p>
                <a:pPr>
                  <a:defRPr/>
                </a:pPr>
                <a:r>
                  <a:rPr lang="en-US"/>
                  <a:t>Fe, ppm</a:t>
                </a:r>
                <a:endParaRPr lang="ru-RU"/>
              </a:p>
            </c:rich>
          </c:tx>
          <c:layout>
            <c:manualLayout>
              <c:xMode val="edge"/>
              <c:yMode val="edge"/>
              <c:x val="1.1453206558506722E-2"/>
              <c:y val="6.0453614292823948E-4"/>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en-US"/>
          </a:p>
        </c:txPr>
        <c:crossAx val="171729664"/>
        <c:crosses val="autoZero"/>
        <c:crossBetween val="midCat"/>
      </c:valAx>
      <c:spPr>
        <a:solidFill>
          <a:schemeClr val="accent3">
            <a:lumMod val="60000"/>
            <a:lumOff val="40000"/>
          </a:schemeClr>
        </a:solidFill>
        <a:ln>
          <a:noFill/>
        </a:ln>
        <a:effectLst/>
      </c:spPr>
    </c:plotArea>
    <c:plotVisOnly val="1"/>
    <c:dispBlanksAs val="gap"/>
    <c:showDLblsOverMax val="0"/>
  </c:chart>
  <c:spPr>
    <a:solidFill>
      <a:schemeClr val="accent3">
        <a:lumMod val="20000"/>
        <a:lumOff val="80000"/>
      </a:schemeClr>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la-Latn"/>
              <a:t>Changes in Al (ppm) in the composition of working engine oil depending on the engine hour</a:t>
            </a:r>
            <a:endParaRPr lang="uz-Cyrl-UZ"/>
          </a:p>
        </c:rich>
      </c:tx>
      <c:layout>
        <c:manualLayout>
          <c:xMode val="edge"/>
          <c:yMode val="edge"/>
          <c:x val="0.15530030753269849"/>
          <c:y val="2.7815472409288501E-4"/>
        </c:manualLayout>
      </c:layout>
      <c:overlay val="0"/>
      <c:spPr>
        <a:noFill/>
        <a:ln>
          <a:noFill/>
        </a:ln>
        <a:effectLst/>
      </c:spPr>
    </c:title>
    <c:autoTitleDeleted val="0"/>
    <c:plotArea>
      <c:layout>
        <c:manualLayout>
          <c:layoutTarget val="inner"/>
          <c:xMode val="edge"/>
          <c:yMode val="edge"/>
          <c:x val="0.11964684024708479"/>
          <c:y val="0.21073660351555495"/>
          <c:w val="0.78272959547125365"/>
          <c:h val="0.66229281983316513"/>
        </c:manualLayout>
      </c:layout>
      <c:scatterChart>
        <c:scatterStyle val="lineMarker"/>
        <c:varyColors val="0"/>
        <c:ser>
          <c:idx val="0"/>
          <c:order val="0"/>
          <c:tx>
            <c:v>Белаз 75310</c:v>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numRef>
              <c:f>Лист1!$B$1:$H$1</c:f>
              <c:numCache>
                <c:formatCode>General</c:formatCode>
                <c:ptCount val="7"/>
                <c:pt idx="0">
                  <c:v>50</c:v>
                </c:pt>
                <c:pt idx="1">
                  <c:v>100</c:v>
                </c:pt>
                <c:pt idx="2">
                  <c:v>150</c:v>
                </c:pt>
                <c:pt idx="3">
                  <c:v>200</c:v>
                </c:pt>
                <c:pt idx="4">
                  <c:v>250</c:v>
                </c:pt>
                <c:pt idx="5">
                  <c:v>300</c:v>
                </c:pt>
                <c:pt idx="6">
                  <c:v>350</c:v>
                </c:pt>
              </c:numCache>
            </c:numRef>
          </c:xVal>
          <c:yVal>
            <c:numRef>
              <c:f>Лист1!$B$2:$H$2</c:f>
              <c:numCache>
                <c:formatCode>General</c:formatCode>
                <c:ptCount val="7"/>
                <c:pt idx="0">
                  <c:v>0.52</c:v>
                </c:pt>
                <c:pt idx="1">
                  <c:v>0.85000000000000042</c:v>
                </c:pt>
                <c:pt idx="2">
                  <c:v>1.06</c:v>
                </c:pt>
                <c:pt idx="3">
                  <c:v>1.87</c:v>
                </c:pt>
                <c:pt idx="4">
                  <c:v>2.02</c:v>
                </c:pt>
                <c:pt idx="5">
                  <c:v>2.2599999999999998</c:v>
                </c:pt>
                <c:pt idx="6">
                  <c:v>2.5299999999999998</c:v>
                </c:pt>
              </c:numCache>
            </c:numRef>
          </c:yVal>
          <c:smooth val="0"/>
          <c:extLst>
            <c:ext xmlns:c16="http://schemas.microsoft.com/office/drawing/2014/chart" uri="{C3380CC4-5D6E-409C-BE32-E72D297353CC}">
              <c16:uniqueId val="{00000000-83A0-46D4-BF84-4E5D9D7A0278}"/>
            </c:ext>
          </c:extLst>
        </c:ser>
        <c:ser>
          <c:idx val="1"/>
          <c:order val="1"/>
          <c:tx>
            <c:v>Белаз 75307</c:v>
          </c:tx>
          <c:spPr>
            <a:ln w="22225" cap="rnd">
              <a:solidFill>
                <a:schemeClr val="accent2"/>
              </a:solidFill>
              <a:round/>
            </a:ln>
            <a:effectLst/>
          </c:spPr>
          <c:marker>
            <c:symbol val="square"/>
            <c:size val="6"/>
            <c:spPr>
              <a:solidFill>
                <a:schemeClr val="accent2"/>
              </a:solidFill>
              <a:ln w="9525">
                <a:solidFill>
                  <a:schemeClr val="accent2"/>
                </a:solidFill>
                <a:round/>
              </a:ln>
              <a:effectLst/>
            </c:spPr>
          </c:marker>
          <c:xVal>
            <c:numRef>
              <c:f>Лист1!$B$1:$H$1</c:f>
              <c:numCache>
                <c:formatCode>General</c:formatCode>
                <c:ptCount val="7"/>
                <c:pt idx="0">
                  <c:v>50</c:v>
                </c:pt>
                <c:pt idx="1">
                  <c:v>100</c:v>
                </c:pt>
                <c:pt idx="2">
                  <c:v>150</c:v>
                </c:pt>
                <c:pt idx="3">
                  <c:v>200</c:v>
                </c:pt>
                <c:pt idx="4">
                  <c:v>250</c:v>
                </c:pt>
                <c:pt idx="5">
                  <c:v>300</c:v>
                </c:pt>
                <c:pt idx="6">
                  <c:v>350</c:v>
                </c:pt>
              </c:numCache>
            </c:numRef>
          </c:xVal>
          <c:yVal>
            <c:numRef>
              <c:f>Лист1!$B$3:$H$3</c:f>
              <c:numCache>
                <c:formatCode>General</c:formatCode>
                <c:ptCount val="7"/>
                <c:pt idx="0">
                  <c:v>0.55000000000000004</c:v>
                </c:pt>
                <c:pt idx="1">
                  <c:v>0.79</c:v>
                </c:pt>
                <c:pt idx="2">
                  <c:v>1.1000000000000001</c:v>
                </c:pt>
                <c:pt idx="3">
                  <c:v>1.77</c:v>
                </c:pt>
                <c:pt idx="4">
                  <c:v>2.25</c:v>
                </c:pt>
                <c:pt idx="5">
                  <c:v>2.36</c:v>
                </c:pt>
                <c:pt idx="6">
                  <c:v>2.5299999999999998</c:v>
                </c:pt>
              </c:numCache>
            </c:numRef>
          </c:yVal>
          <c:smooth val="0"/>
          <c:extLst>
            <c:ext xmlns:c16="http://schemas.microsoft.com/office/drawing/2014/chart" uri="{C3380CC4-5D6E-409C-BE32-E72D297353CC}">
              <c16:uniqueId val="{00000001-83A0-46D4-BF84-4E5D9D7A0278}"/>
            </c:ext>
          </c:extLst>
        </c:ser>
        <c:ser>
          <c:idx val="2"/>
          <c:order val="2"/>
          <c:tx>
            <c:v>Белаз 7513</c:v>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xVal>
            <c:numRef>
              <c:f>Лист1!$B$1:$H$1</c:f>
              <c:numCache>
                <c:formatCode>General</c:formatCode>
                <c:ptCount val="7"/>
                <c:pt idx="0">
                  <c:v>50</c:v>
                </c:pt>
                <c:pt idx="1">
                  <c:v>100</c:v>
                </c:pt>
                <c:pt idx="2">
                  <c:v>150</c:v>
                </c:pt>
                <c:pt idx="3">
                  <c:v>200</c:v>
                </c:pt>
                <c:pt idx="4">
                  <c:v>250</c:v>
                </c:pt>
                <c:pt idx="5">
                  <c:v>300</c:v>
                </c:pt>
                <c:pt idx="6">
                  <c:v>350</c:v>
                </c:pt>
              </c:numCache>
            </c:numRef>
          </c:xVal>
          <c:yVal>
            <c:numRef>
              <c:f>Лист1!$B$4:$H$4</c:f>
              <c:numCache>
                <c:formatCode>General</c:formatCode>
                <c:ptCount val="7"/>
                <c:pt idx="0">
                  <c:v>0.58000000000000007</c:v>
                </c:pt>
                <c:pt idx="1">
                  <c:v>0.7000000000000004</c:v>
                </c:pt>
                <c:pt idx="2">
                  <c:v>1.1900000000000008</c:v>
                </c:pt>
                <c:pt idx="3">
                  <c:v>1.47</c:v>
                </c:pt>
                <c:pt idx="4">
                  <c:v>2.06</c:v>
                </c:pt>
                <c:pt idx="5">
                  <c:v>2.2599999999999998</c:v>
                </c:pt>
                <c:pt idx="6">
                  <c:v>2.73</c:v>
                </c:pt>
              </c:numCache>
            </c:numRef>
          </c:yVal>
          <c:smooth val="0"/>
          <c:extLst>
            <c:ext xmlns:c16="http://schemas.microsoft.com/office/drawing/2014/chart" uri="{C3380CC4-5D6E-409C-BE32-E72D297353CC}">
              <c16:uniqueId val="{00000002-83A0-46D4-BF84-4E5D9D7A0278}"/>
            </c:ext>
          </c:extLst>
        </c:ser>
        <c:dLbls>
          <c:showLegendKey val="0"/>
          <c:showVal val="0"/>
          <c:showCatName val="0"/>
          <c:showSerName val="0"/>
          <c:showPercent val="0"/>
          <c:showBubbleSize val="0"/>
        </c:dLbls>
        <c:axId val="187815040"/>
        <c:axId val="187816960"/>
      </c:scatterChart>
      <c:valAx>
        <c:axId val="187815040"/>
        <c:scaling>
          <c:orientation val="minMax"/>
        </c:scaling>
        <c:delete val="0"/>
        <c:axPos val="b"/>
        <c:majorGridlines>
          <c:spPr>
            <a:ln w="9525" cap="flat" cmpd="sng" algn="ctr">
              <a:solidFill>
                <a:schemeClr val="accent1">
                  <a:shade val="95000"/>
                  <a:satMod val="105000"/>
                </a:schemeClr>
              </a:solidFill>
              <a:prstDash val="solid"/>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en-US"/>
          </a:p>
        </c:txPr>
        <c:crossAx val="187816960"/>
        <c:crossesAt val="0"/>
        <c:crossBetween val="midCat"/>
      </c:valAx>
      <c:valAx>
        <c:axId val="187816960"/>
        <c:scaling>
          <c:orientation val="minMax"/>
        </c:scaling>
        <c:delete val="0"/>
        <c:axPos val="l"/>
        <c:majorGridlines>
          <c:spPr>
            <a:ln w="9525" cap="flat" cmpd="sng" algn="ctr">
              <a:solidFill>
                <a:schemeClr val="accent1">
                  <a:shade val="95000"/>
                  <a:satMod val="105000"/>
                </a:schemeClr>
              </a:solidFill>
              <a:prstDash val="solid"/>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en-US"/>
          </a:p>
        </c:txPr>
        <c:crossAx val="187815040"/>
        <c:crosses val="autoZero"/>
        <c:crossBetween val="midCat"/>
        <c:majorUnit val="0.25"/>
      </c:valAx>
      <c:spPr>
        <a:solidFill>
          <a:schemeClr val="accent3">
            <a:lumMod val="60000"/>
            <a:lumOff val="40000"/>
          </a:schemeClr>
        </a:solidFill>
        <a:ln>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3">
        <a:lumMod val="20000"/>
        <a:lumOff val="80000"/>
      </a:schemeClr>
    </a:solidFill>
    <a:ln w="9525" cap="flat" cmpd="sng" algn="ctr">
      <a:solidFill>
        <a:schemeClr val="tx1">
          <a:lumMod val="15000"/>
          <a:lumOff val="85000"/>
        </a:schemeClr>
      </a:solidFill>
      <a:round/>
    </a:ln>
    <a:effectLst/>
  </c:spPr>
  <c:txPr>
    <a:bodyPr/>
    <a:lstStyle/>
    <a:p>
      <a:pPr>
        <a:defRPr sz="6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158433686687673E-2"/>
          <c:y val="0.15399657599998723"/>
          <c:w val="0.80277129781018897"/>
          <c:h val="0.7018935626467756"/>
        </c:manualLayout>
      </c:layout>
      <c:scatterChart>
        <c:scatterStyle val="lineMarker"/>
        <c:varyColors val="0"/>
        <c:ser>
          <c:idx val="0"/>
          <c:order val="0"/>
          <c:tx>
            <c:strRef>
              <c:f>Лист1!$A$2</c:f>
              <c:strCache>
                <c:ptCount val="1"/>
                <c:pt idx="0">
                  <c:v>Белаз75310</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numRef>
              <c:f>Лист1!$B$1:$H$1</c:f>
              <c:numCache>
                <c:formatCode>General</c:formatCode>
                <c:ptCount val="7"/>
                <c:pt idx="0">
                  <c:v>50</c:v>
                </c:pt>
                <c:pt idx="1">
                  <c:v>100</c:v>
                </c:pt>
                <c:pt idx="2">
                  <c:v>150</c:v>
                </c:pt>
                <c:pt idx="3">
                  <c:v>200</c:v>
                </c:pt>
                <c:pt idx="4">
                  <c:v>250</c:v>
                </c:pt>
                <c:pt idx="5">
                  <c:v>300</c:v>
                </c:pt>
                <c:pt idx="6">
                  <c:v>350</c:v>
                </c:pt>
              </c:numCache>
            </c:numRef>
          </c:xVal>
          <c:yVal>
            <c:numRef>
              <c:f>Лист1!$B$2:$H$2</c:f>
              <c:numCache>
                <c:formatCode>General</c:formatCode>
                <c:ptCount val="7"/>
                <c:pt idx="0">
                  <c:v>0.52</c:v>
                </c:pt>
                <c:pt idx="1">
                  <c:v>0.85000000000000042</c:v>
                </c:pt>
                <c:pt idx="2">
                  <c:v>1.06</c:v>
                </c:pt>
                <c:pt idx="3">
                  <c:v>1.87</c:v>
                </c:pt>
                <c:pt idx="4">
                  <c:v>2.02</c:v>
                </c:pt>
                <c:pt idx="5">
                  <c:v>2.2599999999999998</c:v>
                </c:pt>
                <c:pt idx="6">
                  <c:v>2.5299999999999998</c:v>
                </c:pt>
              </c:numCache>
            </c:numRef>
          </c:yVal>
          <c:smooth val="0"/>
          <c:extLst>
            <c:ext xmlns:c16="http://schemas.microsoft.com/office/drawing/2014/chart" uri="{C3380CC4-5D6E-409C-BE32-E72D297353CC}">
              <c16:uniqueId val="{00000000-3FBC-488A-A26C-BD478DBE0FC4}"/>
            </c:ext>
          </c:extLst>
        </c:ser>
        <c:ser>
          <c:idx val="1"/>
          <c:order val="1"/>
          <c:tx>
            <c:strRef>
              <c:f>Лист1!$A$3</c:f>
              <c:strCache>
                <c:ptCount val="1"/>
                <c:pt idx="0">
                  <c:v>Белаз75307</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xVal>
            <c:numRef>
              <c:f>Лист1!$B$1:$H$1</c:f>
              <c:numCache>
                <c:formatCode>General</c:formatCode>
                <c:ptCount val="7"/>
                <c:pt idx="0">
                  <c:v>50</c:v>
                </c:pt>
                <c:pt idx="1">
                  <c:v>100</c:v>
                </c:pt>
                <c:pt idx="2">
                  <c:v>150</c:v>
                </c:pt>
                <c:pt idx="3">
                  <c:v>200</c:v>
                </c:pt>
                <c:pt idx="4">
                  <c:v>250</c:v>
                </c:pt>
                <c:pt idx="5">
                  <c:v>300</c:v>
                </c:pt>
                <c:pt idx="6">
                  <c:v>350</c:v>
                </c:pt>
              </c:numCache>
            </c:numRef>
          </c:xVal>
          <c:yVal>
            <c:numRef>
              <c:f>Лист1!$B$3:$H$3</c:f>
              <c:numCache>
                <c:formatCode>General</c:formatCode>
                <c:ptCount val="7"/>
                <c:pt idx="0">
                  <c:v>0.55000000000000004</c:v>
                </c:pt>
                <c:pt idx="1">
                  <c:v>0.79</c:v>
                </c:pt>
                <c:pt idx="2">
                  <c:v>1.1000000000000001</c:v>
                </c:pt>
                <c:pt idx="3">
                  <c:v>1.77</c:v>
                </c:pt>
                <c:pt idx="4">
                  <c:v>2.25</c:v>
                </c:pt>
                <c:pt idx="5">
                  <c:v>2.36</c:v>
                </c:pt>
                <c:pt idx="6">
                  <c:v>2.5299999999999998</c:v>
                </c:pt>
              </c:numCache>
            </c:numRef>
          </c:yVal>
          <c:smooth val="0"/>
          <c:extLst>
            <c:ext xmlns:c16="http://schemas.microsoft.com/office/drawing/2014/chart" uri="{C3380CC4-5D6E-409C-BE32-E72D297353CC}">
              <c16:uniqueId val="{00000001-3FBC-488A-A26C-BD478DBE0FC4}"/>
            </c:ext>
          </c:extLst>
        </c:ser>
        <c:ser>
          <c:idx val="2"/>
          <c:order val="2"/>
          <c:tx>
            <c:strRef>
              <c:f>Лист1!$A$4</c:f>
              <c:strCache>
                <c:ptCount val="1"/>
                <c:pt idx="0">
                  <c:v>Белаз7513</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xVal>
            <c:numRef>
              <c:f>Лист1!$B$1:$H$1</c:f>
              <c:numCache>
                <c:formatCode>General</c:formatCode>
                <c:ptCount val="7"/>
                <c:pt idx="0">
                  <c:v>50</c:v>
                </c:pt>
                <c:pt idx="1">
                  <c:v>100</c:v>
                </c:pt>
                <c:pt idx="2">
                  <c:v>150</c:v>
                </c:pt>
                <c:pt idx="3">
                  <c:v>200</c:v>
                </c:pt>
                <c:pt idx="4">
                  <c:v>250</c:v>
                </c:pt>
                <c:pt idx="5">
                  <c:v>300</c:v>
                </c:pt>
                <c:pt idx="6">
                  <c:v>350</c:v>
                </c:pt>
              </c:numCache>
            </c:numRef>
          </c:xVal>
          <c:yVal>
            <c:numRef>
              <c:f>Лист1!$B$4:$H$4</c:f>
              <c:numCache>
                <c:formatCode>General</c:formatCode>
                <c:ptCount val="7"/>
                <c:pt idx="0">
                  <c:v>0.58000000000000007</c:v>
                </c:pt>
                <c:pt idx="1">
                  <c:v>0.7000000000000004</c:v>
                </c:pt>
                <c:pt idx="2">
                  <c:v>1.1900000000000008</c:v>
                </c:pt>
                <c:pt idx="3">
                  <c:v>1.47</c:v>
                </c:pt>
                <c:pt idx="4">
                  <c:v>2.06</c:v>
                </c:pt>
                <c:pt idx="5">
                  <c:v>2.2599999999999998</c:v>
                </c:pt>
                <c:pt idx="6">
                  <c:v>2.73</c:v>
                </c:pt>
              </c:numCache>
            </c:numRef>
          </c:yVal>
          <c:smooth val="0"/>
          <c:extLst>
            <c:ext xmlns:c16="http://schemas.microsoft.com/office/drawing/2014/chart" uri="{C3380CC4-5D6E-409C-BE32-E72D297353CC}">
              <c16:uniqueId val="{00000002-3FBC-488A-A26C-BD478DBE0FC4}"/>
            </c:ext>
          </c:extLst>
        </c:ser>
        <c:dLbls>
          <c:showLegendKey val="0"/>
          <c:showVal val="0"/>
          <c:showCatName val="0"/>
          <c:showSerName val="0"/>
          <c:showPercent val="0"/>
          <c:showBubbleSize val="0"/>
        </c:dLbls>
        <c:axId val="219125248"/>
        <c:axId val="225809536"/>
      </c:scatterChart>
      <c:valAx>
        <c:axId val="219125248"/>
        <c:scaling>
          <c:orientation val="minMax"/>
        </c:scaling>
        <c:delete val="0"/>
        <c:axPos val="b"/>
        <c:majorGridlines>
          <c:spPr>
            <a:ln w="9525" cap="flat" cmpd="sng" algn="ctr">
              <a:solidFill>
                <a:schemeClr val="accent1">
                  <a:shade val="95000"/>
                  <a:satMod val="105000"/>
                </a:schemeClr>
              </a:solidFill>
              <a:prstDash val="solid"/>
              <a:round/>
            </a:ln>
            <a:effectLst/>
          </c:spPr>
        </c:majorGridlines>
        <c:title>
          <c:tx>
            <c:rich>
              <a:bodyPr rot="0" vert="horz"/>
              <a:lstStyle/>
              <a:p>
                <a:pPr>
                  <a:defRPr/>
                </a:pPr>
                <a:r>
                  <a:rPr lang="la-Latn"/>
                  <a:t>Engine</a:t>
                </a:r>
                <a:r>
                  <a:rPr lang="en-US"/>
                  <a:t>/</a:t>
                </a:r>
                <a:r>
                  <a:rPr lang="la-Latn"/>
                  <a:t>hours</a:t>
                </a:r>
                <a:endParaRPr lang="ru-RU"/>
              </a:p>
            </c:rich>
          </c:tx>
          <c:layout>
            <c:manualLayout>
              <c:xMode val="edge"/>
              <c:yMode val="edge"/>
              <c:x val="0.79882997902792607"/>
              <c:y val="0.92314239831531042"/>
            </c:manualLayout>
          </c:layout>
          <c:overlay val="0"/>
          <c:spPr>
            <a:noFill/>
            <a:ln>
              <a:noFill/>
            </a:ln>
            <a:effectLst/>
          </c:spPr>
        </c:title>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vert="horz"/>
          <a:lstStyle/>
          <a:p>
            <a:pPr>
              <a:defRPr/>
            </a:pPr>
            <a:endParaRPr lang="en-US"/>
          </a:p>
        </c:txPr>
        <c:crossAx val="225809536"/>
        <c:crosses val="autoZero"/>
        <c:crossBetween val="midCat"/>
      </c:valAx>
      <c:valAx>
        <c:axId val="225809536"/>
        <c:scaling>
          <c:orientation val="minMax"/>
          <c:max val="3"/>
        </c:scaling>
        <c:delete val="0"/>
        <c:axPos val="l"/>
        <c:majorGridlines>
          <c:spPr>
            <a:ln w="9525" cap="flat" cmpd="sng" algn="ctr">
              <a:solidFill>
                <a:schemeClr val="accent1">
                  <a:shade val="95000"/>
                  <a:satMod val="105000"/>
                </a:schemeClr>
              </a:solidFill>
              <a:prstDash val="solid"/>
              <a:round/>
            </a:ln>
            <a:effectLst/>
          </c:spPr>
        </c:majorGridlines>
        <c:title>
          <c:tx>
            <c:rich>
              <a:bodyPr rot="0"/>
              <a:lstStyle/>
              <a:p>
                <a:pPr>
                  <a:defRPr/>
                </a:pPr>
                <a:r>
                  <a:rPr lang="en-US"/>
                  <a:t>Cr, ppm</a:t>
                </a:r>
                <a:endParaRPr lang="ru-RU"/>
              </a:p>
            </c:rich>
          </c:tx>
          <c:layout>
            <c:manualLayout>
              <c:xMode val="edge"/>
              <c:yMode val="edge"/>
              <c:x val="2.5252525252525249E-2"/>
              <c:y val="4.3148790032502063E-2"/>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en-US"/>
          </a:p>
        </c:txPr>
        <c:crossAx val="219125248"/>
        <c:crosses val="autoZero"/>
        <c:crossBetween val="midCat"/>
        <c:majorUnit val="0.5"/>
        <c:minorUnit val="0.1"/>
      </c:valAx>
      <c:spPr>
        <a:solidFill>
          <a:schemeClr val="accent3">
            <a:lumMod val="60000"/>
            <a:lumOff val="40000"/>
          </a:schemeClr>
        </a:solidFill>
        <a:ln>
          <a:noFill/>
        </a:ln>
        <a:effectLst/>
      </c:spPr>
    </c:plotArea>
    <c:plotVisOnly val="1"/>
    <c:dispBlanksAs val="gap"/>
    <c:showDLblsOverMax val="0"/>
  </c:chart>
  <c:spPr>
    <a:solidFill>
      <a:schemeClr val="accent3">
        <a:lumMod val="20000"/>
        <a:lumOff val="80000"/>
      </a:schemeClr>
    </a:solidFill>
    <a:ln w="9525" cap="flat" cmpd="sng" algn="ctr">
      <a:solidFill>
        <a:schemeClr val="tx1">
          <a:lumMod val="15000"/>
          <a:lumOff val="85000"/>
        </a:schemeClr>
      </a:solidFill>
      <a:round/>
    </a:ln>
    <a:effectLst/>
  </c:spPr>
  <c:txPr>
    <a:bodyPr/>
    <a:lstStyle/>
    <a:p>
      <a:pPr>
        <a:defRPr sz="6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158433686687673E-2"/>
          <c:y val="0.15399657599998723"/>
          <c:w val="0.81567959969576176"/>
          <c:h val="0.7018935626467756"/>
        </c:manualLayout>
      </c:layout>
      <c:scatterChart>
        <c:scatterStyle val="lineMarker"/>
        <c:varyColors val="0"/>
        <c:ser>
          <c:idx val="0"/>
          <c:order val="0"/>
          <c:tx>
            <c:strRef>
              <c:f>Лист1!$A$2</c:f>
              <c:strCache>
                <c:ptCount val="1"/>
                <c:pt idx="0">
                  <c:v>Белаз75310</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numRef>
              <c:f>Лист1!$B$1:$H$1</c:f>
              <c:numCache>
                <c:formatCode>General</c:formatCode>
                <c:ptCount val="7"/>
                <c:pt idx="0">
                  <c:v>50</c:v>
                </c:pt>
                <c:pt idx="1">
                  <c:v>100</c:v>
                </c:pt>
                <c:pt idx="2">
                  <c:v>150</c:v>
                </c:pt>
                <c:pt idx="3">
                  <c:v>200</c:v>
                </c:pt>
                <c:pt idx="4">
                  <c:v>250</c:v>
                </c:pt>
                <c:pt idx="5">
                  <c:v>300</c:v>
                </c:pt>
                <c:pt idx="6">
                  <c:v>350</c:v>
                </c:pt>
              </c:numCache>
            </c:numRef>
          </c:xVal>
          <c:yVal>
            <c:numRef>
              <c:f>Лист1!$B$2:$H$2</c:f>
              <c:numCache>
                <c:formatCode>General</c:formatCode>
                <c:ptCount val="7"/>
                <c:pt idx="0">
                  <c:v>0.52</c:v>
                </c:pt>
                <c:pt idx="1">
                  <c:v>0.85000000000000042</c:v>
                </c:pt>
                <c:pt idx="2">
                  <c:v>1.06</c:v>
                </c:pt>
                <c:pt idx="3">
                  <c:v>1.87</c:v>
                </c:pt>
                <c:pt idx="4">
                  <c:v>2.02</c:v>
                </c:pt>
                <c:pt idx="5">
                  <c:v>2.2599999999999998</c:v>
                </c:pt>
                <c:pt idx="6">
                  <c:v>2.5299999999999998</c:v>
                </c:pt>
              </c:numCache>
            </c:numRef>
          </c:yVal>
          <c:smooth val="0"/>
          <c:extLst>
            <c:ext xmlns:c16="http://schemas.microsoft.com/office/drawing/2014/chart" uri="{C3380CC4-5D6E-409C-BE32-E72D297353CC}">
              <c16:uniqueId val="{00000000-BA85-4D5E-BA5A-D5B1F58F723E}"/>
            </c:ext>
          </c:extLst>
        </c:ser>
        <c:ser>
          <c:idx val="1"/>
          <c:order val="1"/>
          <c:tx>
            <c:strRef>
              <c:f>Лист1!$A$3</c:f>
              <c:strCache>
                <c:ptCount val="1"/>
                <c:pt idx="0">
                  <c:v>Белаз75307</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xVal>
            <c:numRef>
              <c:f>Лист1!$B$1:$H$1</c:f>
              <c:numCache>
                <c:formatCode>General</c:formatCode>
                <c:ptCount val="7"/>
                <c:pt idx="0">
                  <c:v>50</c:v>
                </c:pt>
                <c:pt idx="1">
                  <c:v>100</c:v>
                </c:pt>
                <c:pt idx="2">
                  <c:v>150</c:v>
                </c:pt>
                <c:pt idx="3">
                  <c:v>200</c:v>
                </c:pt>
                <c:pt idx="4">
                  <c:v>250</c:v>
                </c:pt>
                <c:pt idx="5">
                  <c:v>300</c:v>
                </c:pt>
                <c:pt idx="6">
                  <c:v>350</c:v>
                </c:pt>
              </c:numCache>
            </c:numRef>
          </c:xVal>
          <c:yVal>
            <c:numRef>
              <c:f>Лист1!$B$3:$H$3</c:f>
              <c:numCache>
                <c:formatCode>General</c:formatCode>
                <c:ptCount val="7"/>
                <c:pt idx="0">
                  <c:v>0.55000000000000004</c:v>
                </c:pt>
                <c:pt idx="1">
                  <c:v>0.79</c:v>
                </c:pt>
                <c:pt idx="2">
                  <c:v>1.1000000000000001</c:v>
                </c:pt>
                <c:pt idx="3">
                  <c:v>1.77</c:v>
                </c:pt>
                <c:pt idx="4">
                  <c:v>2.25</c:v>
                </c:pt>
                <c:pt idx="5">
                  <c:v>2.36</c:v>
                </c:pt>
                <c:pt idx="6">
                  <c:v>2.5299999999999998</c:v>
                </c:pt>
              </c:numCache>
            </c:numRef>
          </c:yVal>
          <c:smooth val="0"/>
          <c:extLst>
            <c:ext xmlns:c16="http://schemas.microsoft.com/office/drawing/2014/chart" uri="{C3380CC4-5D6E-409C-BE32-E72D297353CC}">
              <c16:uniqueId val="{00000001-BA85-4D5E-BA5A-D5B1F58F723E}"/>
            </c:ext>
          </c:extLst>
        </c:ser>
        <c:ser>
          <c:idx val="2"/>
          <c:order val="2"/>
          <c:tx>
            <c:strRef>
              <c:f>Лист1!$A$4</c:f>
              <c:strCache>
                <c:ptCount val="1"/>
                <c:pt idx="0">
                  <c:v>Белаз7513</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xVal>
            <c:numRef>
              <c:f>Лист1!$B$1:$H$1</c:f>
              <c:numCache>
                <c:formatCode>General</c:formatCode>
                <c:ptCount val="7"/>
                <c:pt idx="0">
                  <c:v>50</c:v>
                </c:pt>
                <c:pt idx="1">
                  <c:v>100</c:v>
                </c:pt>
                <c:pt idx="2">
                  <c:v>150</c:v>
                </c:pt>
                <c:pt idx="3">
                  <c:v>200</c:v>
                </c:pt>
                <c:pt idx="4">
                  <c:v>250</c:v>
                </c:pt>
                <c:pt idx="5">
                  <c:v>300</c:v>
                </c:pt>
                <c:pt idx="6">
                  <c:v>350</c:v>
                </c:pt>
              </c:numCache>
            </c:numRef>
          </c:xVal>
          <c:yVal>
            <c:numRef>
              <c:f>Лист1!$B$4:$H$4</c:f>
              <c:numCache>
                <c:formatCode>General</c:formatCode>
                <c:ptCount val="7"/>
                <c:pt idx="0">
                  <c:v>0.58000000000000007</c:v>
                </c:pt>
                <c:pt idx="1">
                  <c:v>0.7000000000000004</c:v>
                </c:pt>
                <c:pt idx="2">
                  <c:v>1.1900000000000008</c:v>
                </c:pt>
                <c:pt idx="3">
                  <c:v>1.47</c:v>
                </c:pt>
                <c:pt idx="4">
                  <c:v>2.06</c:v>
                </c:pt>
                <c:pt idx="5">
                  <c:v>2.2599999999999998</c:v>
                </c:pt>
                <c:pt idx="6">
                  <c:v>2.73</c:v>
                </c:pt>
              </c:numCache>
            </c:numRef>
          </c:yVal>
          <c:smooth val="0"/>
          <c:extLst>
            <c:ext xmlns:c16="http://schemas.microsoft.com/office/drawing/2014/chart" uri="{C3380CC4-5D6E-409C-BE32-E72D297353CC}">
              <c16:uniqueId val="{00000002-BA85-4D5E-BA5A-D5B1F58F723E}"/>
            </c:ext>
          </c:extLst>
        </c:ser>
        <c:dLbls>
          <c:showLegendKey val="0"/>
          <c:showVal val="0"/>
          <c:showCatName val="0"/>
          <c:showSerName val="0"/>
          <c:showPercent val="0"/>
          <c:showBubbleSize val="0"/>
        </c:dLbls>
        <c:axId val="226880128"/>
        <c:axId val="247064064"/>
      </c:scatterChart>
      <c:valAx>
        <c:axId val="226880128"/>
        <c:scaling>
          <c:orientation val="minMax"/>
        </c:scaling>
        <c:delete val="0"/>
        <c:axPos val="b"/>
        <c:majorGridlines>
          <c:spPr>
            <a:ln w="9525" cap="flat" cmpd="sng" algn="ctr">
              <a:solidFill>
                <a:schemeClr val="accent1">
                  <a:shade val="95000"/>
                  <a:satMod val="105000"/>
                </a:schemeClr>
              </a:solidFill>
              <a:prstDash val="solid"/>
              <a:round/>
            </a:ln>
            <a:effectLst/>
          </c:spPr>
        </c:majorGridlines>
        <c:title>
          <c:tx>
            <c:rich>
              <a:bodyPr rot="0" vert="horz"/>
              <a:lstStyle/>
              <a:p>
                <a:pPr>
                  <a:defRPr/>
                </a:pPr>
                <a:r>
                  <a:rPr lang="la-Latn"/>
                  <a:t>Engine hours</a:t>
                </a:r>
                <a:endParaRPr lang="ru-RU"/>
              </a:p>
            </c:rich>
          </c:tx>
          <c:layout>
            <c:manualLayout>
              <c:xMode val="edge"/>
              <c:yMode val="edge"/>
              <c:x val="0.80413945197608838"/>
              <c:y val="0.92534204724409452"/>
            </c:manualLayout>
          </c:layout>
          <c:overlay val="0"/>
          <c:spPr>
            <a:noFill/>
            <a:ln>
              <a:noFill/>
            </a:ln>
            <a:effectLst/>
          </c:spPr>
        </c:title>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vert="horz"/>
          <a:lstStyle/>
          <a:p>
            <a:pPr>
              <a:defRPr/>
            </a:pPr>
            <a:endParaRPr lang="en-US"/>
          </a:p>
        </c:txPr>
        <c:crossAx val="247064064"/>
        <c:crosses val="autoZero"/>
        <c:crossBetween val="midCat"/>
      </c:valAx>
      <c:valAx>
        <c:axId val="247064064"/>
        <c:scaling>
          <c:orientation val="minMax"/>
        </c:scaling>
        <c:delete val="0"/>
        <c:axPos val="l"/>
        <c:majorGridlines>
          <c:spPr>
            <a:ln w="9525" cap="flat" cmpd="sng" algn="ctr">
              <a:solidFill>
                <a:schemeClr val="accent1">
                  <a:shade val="95000"/>
                  <a:satMod val="105000"/>
                </a:schemeClr>
              </a:solidFill>
              <a:prstDash val="solid"/>
              <a:round/>
            </a:ln>
            <a:effectLst/>
          </c:spPr>
        </c:majorGridlines>
        <c:title>
          <c:tx>
            <c:rich>
              <a:bodyPr rot="0"/>
              <a:lstStyle/>
              <a:p>
                <a:pPr>
                  <a:defRPr/>
                </a:pPr>
                <a:r>
                  <a:rPr lang="en-US"/>
                  <a:t>Pb, ppm</a:t>
                </a:r>
                <a:endParaRPr lang="ru-RU"/>
              </a:p>
            </c:rich>
          </c:tx>
          <c:layout>
            <c:manualLayout>
              <c:xMode val="edge"/>
              <c:yMode val="edge"/>
              <c:x val="2.5252525252525249E-2"/>
              <c:y val="4.3148790032502063E-2"/>
            </c:manualLayout>
          </c:layout>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en-US"/>
          </a:p>
        </c:txPr>
        <c:crossAx val="226880128"/>
        <c:crosses val="autoZero"/>
        <c:crossBetween val="midCat"/>
      </c:valAx>
      <c:spPr>
        <a:solidFill>
          <a:schemeClr val="accent3">
            <a:lumMod val="60000"/>
            <a:lumOff val="40000"/>
          </a:schemeClr>
        </a:solidFill>
        <a:ln>
          <a:noFill/>
        </a:ln>
        <a:effectLst/>
      </c:spPr>
    </c:plotArea>
    <c:plotVisOnly val="1"/>
    <c:dispBlanksAs val="gap"/>
    <c:showDLblsOverMax val="0"/>
  </c:chart>
  <c:spPr>
    <a:solidFill>
      <a:schemeClr val="accent3">
        <a:lumMod val="20000"/>
        <a:lumOff val="80000"/>
      </a:schemeClr>
    </a:solidFill>
    <a:ln w="9525" cap="flat" cmpd="sng" algn="ctr">
      <a:solidFill>
        <a:schemeClr val="tx1">
          <a:lumMod val="15000"/>
          <a:lumOff val="85000"/>
        </a:schemeClr>
      </a:solidFill>
      <a:round/>
    </a:ln>
    <a:effectLst/>
  </c:spPr>
  <c:txPr>
    <a:bodyPr/>
    <a:lstStyle/>
    <a:p>
      <a:pPr>
        <a:defRPr sz="700">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0.12795</cdr:x>
      <cdr:y>0.91519</cdr:y>
    </cdr:from>
    <cdr:to>
      <cdr:x>0.6377</cdr:x>
      <cdr:y>0.98366</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75787" y="2226366"/>
          <a:ext cx="2294024" cy="166563"/>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0.25642</cdr:x>
      <cdr:y>0.11972</cdr:y>
    </cdr:from>
    <cdr:to>
      <cdr:x>0.73244</cdr:x>
      <cdr:y>0.18856</cdr:y>
    </cdr:to>
    <cdr:pic>
      <cdr:nvPicPr>
        <cdr:cNvPr id="2" name="chart"/>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235544" y="289340"/>
          <a:ext cx="2293620" cy="166370"/>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0.224</cdr:x>
      <cdr:y>0.04143</cdr:y>
    </cdr:from>
    <cdr:to>
      <cdr:x>0.7652</cdr:x>
      <cdr:y>0.11141</cdr:y>
    </cdr:to>
    <cdr:pic>
      <cdr:nvPicPr>
        <cdr:cNvPr id="2" name="chart"/>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949297" y="98507"/>
          <a:ext cx="2293620" cy="166370"/>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0.23297</cdr:x>
      <cdr:y>0.047</cdr:y>
    </cdr:from>
    <cdr:to>
      <cdr:x>0.74444</cdr:x>
      <cdr:y>0.10355</cdr:y>
    </cdr:to>
    <cdr:pic>
      <cdr:nvPicPr>
        <cdr:cNvPr id="2" name="chart"/>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044713" y="138264"/>
          <a:ext cx="2293620" cy="166370"/>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7</Pages>
  <Words>3453</Words>
  <Characters>19684</Characters>
  <Application>Microsoft Office Word</Application>
  <DocSecurity>0</DocSecurity>
  <Lines>164</Lines>
  <Paragraphs>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Cellular</Company>
  <LinksUpToDate>false</LinksUpToDate>
  <CharactersWithSpaces>23091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Mavrin</dc:creator>
  <cp:lastModifiedBy>Пользователь</cp:lastModifiedBy>
  <cp:revision>61</cp:revision>
  <cp:lastPrinted>2000-01-01T01:05:00Z</cp:lastPrinted>
  <dcterms:created xsi:type="dcterms:W3CDTF">2025-10-24T05:09:00Z</dcterms:created>
  <dcterms:modified xsi:type="dcterms:W3CDTF">2026-01-08T05:27:00Z</dcterms:modified>
</cp:coreProperties>
</file>