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07C326" w14:textId="5265BF87" w:rsidR="0093554C" w:rsidRPr="004945AD" w:rsidRDefault="0093554C" w:rsidP="005D009E">
      <w:pPr>
        <w:spacing w:before="1200" w:after="200"/>
        <w:jc w:val="center"/>
        <w:rPr>
          <w:rFonts w:cs="Times New Roman"/>
          <w:b/>
          <w:kern w:val="0"/>
          <w:sz w:val="36"/>
          <w:szCs w:val="36"/>
          <w:lang w:val="en-US"/>
          <w14:ligatures w14:val="none"/>
        </w:rPr>
      </w:pPr>
      <w:r w:rsidRPr="0093554C">
        <w:rPr>
          <w:rFonts w:cs="Times New Roman"/>
          <w:b/>
          <w:kern w:val="0"/>
          <w:sz w:val="36"/>
          <w:szCs w:val="36"/>
          <w:lang w:val="en-US"/>
          <w14:ligatures w14:val="none"/>
        </w:rPr>
        <w:t>Road</w:t>
      </w:r>
      <w:r w:rsidR="005D009E" w:rsidRPr="0093554C">
        <w:rPr>
          <w:rFonts w:cs="Times New Roman"/>
          <w:b/>
          <w:kern w:val="0"/>
          <w:sz w:val="36"/>
          <w:szCs w:val="36"/>
          <w:lang w:val="en-US"/>
          <w14:ligatures w14:val="none"/>
        </w:rPr>
        <w:t>-Related Flood Risk</w:t>
      </w:r>
      <w:r w:rsidR="005D009E">
        <w:rPr>
          <w:rFonts w:cs="Times New Roman"/>
          <w:b/>
          <w:kern w:val="0"/>
          <w:sz w:val="36"/>
          <w:szCs w:val="36"/>
          <w:lang w:val="en-US"/>
          <w14:ligatures w14:val="none"/>
        </w:rPr>
        <w:t xml:space="preserve"> Disaster</w:t>
      </w:r>
      <w:r w:rsidR="005D009E" w:rsidRPr="0093554C">
        <w:rPr>
          <w:rFonts w:cs="Times New Roman"/>
          <w:b/>
          <w:kern w:val="0"/>
          <w:sz w:val="36"/>
          <w:szCs w:val="36"/>
          <w:lang w:val="en-US"/>
          <w14:ligatures w14:val="none"/>
        </w:rPr>
        <w:t xml:space="preserve"> </w:t>
      </w:r>
      <w:proofErr w:type="spellStart"/>
      <w:r w:rsidR="005D009E" w:rsidRPr="0093554C">
        <w:rPr>
          <w:rFonts w:cs="Times New Roman"/>
          <w:b/>
          <w:kern w:val="0"/>
          <w:sz w:val="36"/>
          <w:szCs w:val="36"/>
          <w:lang w:val="en-US"/>
          <w14:ligatures w14:val="none"/>
        </w:rPr>
        <w:t>Zonification</w:t>
      </w:r>
      <w:proofErr w:type="spellEnd"/>
      <w:r w:rsidR="005D009E" w:rsidRPr="0093554C">
        <w:rPr>
          <w:rFonts w:cs="Times New Roman"/>
          <w:b/>
          <w:kern w:val="0"/>
          <w:sz w:val="36"/>
          <w:szCs w:val="36"/>
          <w:lang w:val="en-US"/>
          <w14:ligatures w14:val="none"/>
        </w:rPr>
        <w:t xml:space="preserve"> </w:t>
      </w:r>
      <w:r w:rsidR="005D009E">
        <w:rPr>
          <w:rFonts w:cs="Times New Roman"/>
          <w:b/>
          <w:kern w:val="0"/>
          <w:sz w:val="36"/>
          <w:szCs w:val="36"/>
          <w:lang w:val="en-US"/>
          <w14:ligatures w14:val="none"/>
        </w:rPr>
        <w:t>o</w:t>
      </w:r>
      <w:r w:rsidR="005D009E" w:rsidRPr="0093554C">
        <w:rPr>
          <w:rFonts w:cs="Times New Roman"/>
          <w:b/>
          <w:kern w:val="0"/>
          <w:sz w:val="36"/>
          <w:szCs w:val="36"/>
          <w:lang w:val="en-US"/>
          <w14:ligatures w14:val="none"/>
        </w:rPr>
        <w:t xml:space="preserve">f </w:t>
      </w:r>
      <w:r w:rsidR="005D009E">
        <w:rPr>
          <w:rFonts w:cs="Times New Roman"/>
          <w:b/>
          <w:kern w:val="0"/>
          <w:sz w:val="36"/>
          <w:szCs w:val="36"/>
          <w:lang w:val="en-US"/>
          <w14:ligatures w14:val="none"/>
        </w:rPr>
        <w:t>t</w:t>
      </w:r>
      <w:r w:rsidR="005D009E" w:rsidRPr="0093554C">
        <w:rPr>
          <w:rFonts w:cs="Times New Roman"/>
          <w:b/>
          <w:kern w:val="0"/>
          <w:sz w:val="36"/>
          <w:szCs w:val="36"/>
          <w:lang w:val="en-US"/>
          <w14:ligatures w14:val="none"/>
        </w:rPr>
        <w:t xml:space="preserve">he Territory </w:t>
      </w:r>
      <w:r w:rsidR="005D009E">
        <w:rPr>
          <w:rFonts w:cs="Times New Roman"/>
          <w:b/>
          <w:kern w:val="0"/>
          <w:sz w:val="36"/>
          <w:szCs w:val="36"/>
          <w:lang w:val="en-US"/>
          <w14:ligatures w14:val="none"/>
        </w:rPr>
        <w:t>o</w:t>
      </w:r>
      <w:r w:rsidR="005D009E" w:rsidRPr="0093554C">
        <w:rPr>
          <w:rFonts w:cs="Times New Roman"/>
          <w:b/>
          <w:kern w:val="0"/>
          <w:sz w:val="36"/>
          <w:szCs w:val="36"/>
          <w:lang w:val="en-US"/>
          <w14:ligatures w14:val="none"/>
        </w:rPr>
        <w:t xml:space="preserve">f </w:t>
      </w:r>
      <w:r w:rsidR="00AB21A2">
        <w:rPr>
          <w:rFonts w:cs="Times New Roman"/>
          <w:b/>
          <w:kern w:val="0"/>
          <w:sz w:val="36"/>
          <w:szCs w:val="36"/>
          <w:lang w:val="en-US"/>
          <w14:ligatures w14:val="none"/>
        </w:rPr>
        <w:t>N</w:t>
      </w:r>
      <w:r w:rsidRPr="0093554C">
        <w:rPr>
          <w:rFonts w:cs="Times New Roman"/>
          <w:b/>
          <w:kern w:val="0"/>
          <w:sz w:val="36"/>
          <w:szCs w:val="36"/>
          <w:lang w:val="en-US"/>
          <w14:ligatures w14:val="none"/>
        </w:rPr>
        <w:t xml:space="preserve">amangan </w:t>
      </w:r>
      <w:r w:rsidR="005D009E" w:rsidRPr="0093554C">
        <w:rPr>
          <w:rFonts w:cs="Times New Roman"/>
          <w:b/>
          <w:kern w:val="0"/>
          <w:sz w:val="36"/>
          <w:szCs w:val="36"/>
          <w:lang w:val="en-US"/>
          <w14:ligatures w14:val="none"/>
        </w:rPr>
        <w:t xml:space="preserve">Region Using </w:t>
      </w:r>
      <w:r w:rsidR="005D009E">
        <w:rPr>
          <w:rFonts w:cs="Times New Roman"/>
          <w:b/>
          <w:kern w:val="0"/>
          <w:sz w:val="36"/>
          <w:szCs w:val="36"/>
          <w:lang w:val="en-US"/>
          <w14:ligatures w14:val="none"/>
        </w:rPr>
        <w:t>t</w:t>
      </w:r>
      <w:r w:rsidR="005D009E" w:rsidRPr="0093554C">
        <w:rPr>
          <w:rFonts w:cs="Times New Roman"/>
          <w:b/>
          <w:kern w:val="0"/>
          <w:sz w:val="36"/>
          <w:szCs w:val="36"/>
          <w:lang w:val="en-US"/>
          <w14:ligatures w14:val="none"/>
        </w:rPr>
        <w:t xml:space="preserve">he Method </w:t>
      </w:r>
      <w:r w:rsidR="005D009E">
        <w:rPr>
          <w:rFonts w:cs="Times New Roman"/>
          <w:b/>
          <w:kern w:val="0"/>
          <w:sz w:val="36"/>
          <w:szCs w:val="36"/>
          <w:lang w:val="en-US"/>
          <w14:ligatures w14:val="none"/>
        </w:rPr>
        <w:t>o</w:t>
      </w:r>
      <w:r w:rsidR="005D009E" w:rsidRPr="0093554C">
        <w:rPr>
          <w:rFonts w:cs="Times New Roman"/>
          <w:b/>
          <w:kern w:val="0"/>
          <w:sz w:val="36"/>
          <w:szCs w:val="36"/>
          <w:lang w:val="en-US"/>
          <w14:ligatures w14:val="none"/>
        </w:rPr>
        <w:t>f Supplementing Component</w:t>
      </w:r>
      <w:r w:rsidRPr="0093554C">
        <w:rPr>
          <w:rFonts w:cs="Times New Roman"/>
          <w:b/>
          <w:kern w:val="0"/>
          <w:sz w:val="36"/>
          <w:szCs w:val="36"/>
          <w:lang w:val="en-US"/>
          <w14:ligatures w14:val="none"/>
        </w:rPr>
        <w:t>s</w:t>
      </w:r>
    </w:p>
    <w:p w14:paraId="174E0565" w14:textId="2C423FB3" w:rsidR="0093554C" w:rsidRPr="0093554C" w:rsidRDefault="0093554C" w:rsidP="0093554C">
      <w:pPr>
        <w:pStyle w:val="AuthorName"/>
        <w:spacing w:before="240" w:after="200"/>
      </w:pPr>
      <w:r w:rsidRPr="0093554C">
        <w:t>Azizjon Namozov</w:t>
      </w:r>
      <w:r w:rsidRPr="0093554C">
        <w:rPr>
          <w:vertAlign w:val="superscript"/>
        </w:rPr>
        <w:t>1</w:t>
      </w:r>
      <w:r w:rsidR="005D009E">
        <w:rPr>
          <w:vertAlign w:val="superscript"/>
        </w:rPr>
        <w:t xml:space="preserve">, </w:t>
      </w:r>
      <w:r w:rsidRPr="0093554C">
        <w:rPr>
          <w:vertAlign w:val="superscript"/>
        </w:rPr>
        <w:t>a</w:t>
      </w:r>
      <w:r w:rsidRPr="0093554C">
        <w:t>, Barno Salimova</w:t>
      </w:r>
      <w:r w:rsidRPr="0093554C">
        <w:rPr>
          <w:vertAlign w:val="superscript"/>
        </w:rPr>
        <w:t>1</w:t>
      </w:r>
      <w:r w:rsidRPr="0093554C">
        <w:t xml:space="preserve">, </w:t>
      </w:r>
      <w:proofErr w:type="spellStart"/>
      <w:r w:rsidRPr="0093554C">
        <w:t>Rashidbek</w:t>
      </w:r>
      <w:proofErr w:type="spellEnd"/>
      <w:r w:rsidRPr="0093554C">
        <w:t xml:space="preserve"> </w:t>
      </w:r>
      <w:r w:rsidR="003279A2">
        <w:t>H</w:t>
      </w:r>
      <w:r w:rsidRPr="0093554C">
        <w:t>udaykulov</w:t>
      </w:r>
      <w:r w:rsidRPr="0093554C">
        <w:rPr>
          <w:vertAlign w:val="superscript"/>
        </w:rPr>
        <w:t>1</w:t>
      </w:r>
      <w:r w:rsidRPr="0093554C">
        <w:t>, Dilshod Aralov</w:t>
      </w:r>
      <w:r w:rsidRPr="003279A2">
        <w:rPr>
          <w:vertAlign w:val="superscript"/>
        </w:rPr>
        <w:t>1</w:t>
      </w:r>
      <w:r w:rsidRPr="0093554C">
        <w:t xml:space="preserve">, </w:t>
      </w:r>
      <w:proofErr w:type="spellStart"/>
      <w:r w:rsidR="003279A2">
        <w:t>Erkinbek</w:t>
      </w:r>
      <w:proofErr w:type="spellEnd"/>
      <w:r w:rsidR="003279A2">
        <w:t xml:space="preserve"> </w:t>
      </w:r>
      <w:r w:rsidRPr="0093554C">
        <w:t>K</w:t>
      </w:r>
      <w:r w:rsidR="003279A2">
        <w:t>a</w:t>
      </w:r>
      <w:r w:rsidRPr="0093554C">
        <w:t>rimov</w:t>
      </w:r>
      <w:r w:rsidRPr="003279A2">
        <w:rPr>
          <w:vertAlign w:val="superscript"/>
        </w:rPr>
        <w:t>2</w:t>
      </w:r>
    </w:p>
    <w:p w14:paraId="79C79283" w14:textId="68A16D75" w:rsidR="0093554C" w:rsidRPr="005D009E" w:rsidRDefault="003279A2" w:rsidP="002638BF">
      <w:pPr>
        <w:pStyle w:val="AuthorAffiliation"/>
      </w:pPr>
      <w:r w:rsidRPr="002638BF">
        <w:rPr>
          <w:vertAlign w:val="superscript"/>
          <w:lang w:val="uz-Latn-UZ"/>
        </w:rPr>
        <w:t>1</w:t>
      </w:r>
      <w:r w:rsidR="005D009E">
        <w:rPr>
          <w:vertAlign w:val="superscript"/>
          <w:lang w:val="uz-Latn-UZ"/>
        </w:rPr>
        <w:t xml:space="preserve"> </w:t>
      </w:r>
      <w:r w:rsidR="0093554C" w:rsidRPr="002638BF">
        <w:rPr>
          <w:lang w:val="uz-Cyrl-UZ"/>
        </w:rPr>
        <w:t>Tashkent State Transport University</w:t>
      </w:r>
      <w:r w:rsidR="002638BF" w:rsidRPr="00287E0A">
        <w:t>,</w:t>
      </w:r>
      <w:r w:rsidR="002638BF">
        <w:t xml:space="preserve"> Tashkent,</w:t>
      </w:r>
      <w:r w:rsidR="002638BF" w:rsidRPr="00287E0A">
        <w:t xml:space="preserve"> Uzbekistan</w:t>
      </w:r>
      <w:r w:rsidR="002638BF">
        <w:rPr>
          <w:lang w:val="uz-Cyrl-UZ"/>
        </w:rPr>
        <w:t xml:space="preserve"> </w:t>
      </w:r>
    </w:p>
    <w:p w14:paraId="6E072C1A" w14:textId="2BD1CA6D" w:rsidR="0093554C" w:rsidRPr="002638BF" w:rsidRDefault="003279A2" w:rsidP="003279A2">
      <w:pPr>
        <w:pStyle w:val="AuthorAffiliation"/>
      </w:pPr>
      <w:r w:rsidRPr="002638BF">
        <w:rPr>
          <w:vertAlign w:val="superscript"/>
          <w:lang w:val="uz-Latn-UZ"/>
        </w:rPr>
        <w:t>2</w:t>
      </w:r>
      <w:r w:rsidR="0093554C" w:rsidRPr="002638BF">
        <w:rPr>
          <w:lang w:val="uz-Cyrl-UZ"/>
        </w:rPr>
        <w:t>Osh Technological University named after M.M.Adyshev</w:t>
      </w:r>
      <w:r w:rsidR="002638BF" w:rsidRPr="002638BF">
        <w:t>,</w:t>
      </w:r>
      <w:r w:rsidR="002638BF">
        <w:t xml:space="preserve"> Osh, Kyrgyz</w:t>
      </w:r>
    </w:p>
    <w:p w14:paraId="7DD85B4F" w14:textId="568184F1" w:rsidR="003279A2" w:rsidRDefault="005D009E" w:rsidP="005D009E">
      <w:pPr>
        <w:pStyle w:val="AuthorAffiliation"/>
        <w:spacing w:before="240" w:after="240"/>
        <w:rPr>
          <w:szCs w:val="18"/>
        </w:rPr>
      </w:pPr>
      <w:r>
        <w:rPr>
          <w:lang w:val="uz-Latn-UZ"/>
        </w:rPr>
        <w:t xml:space="preserve">a) </w:t>
      </w:r>
      <w:r w:rsidR="003279A2" w:rsidRPr="00FE6DBA">
        <w:rPr>
          <w:szCs w:val="18"/>
        </w:rPr>
        <w:t>Corresponding author:</w:t>
      </w:r>
      <w:r w:rsidR="003279A2">
        <w:rPr>
          <w:szCs w:val="18"/>
        </w:rPr>
        <w:t xml:space="preserve"> </w:t>
      </w:r>
      <w:hyperlink r:id="rId5" w:history="1">
        <w:r w:rsidR="003279A2" w:rsidRPr="00774029">
          <w:rPr>
            <w:rStyle w:val="ae"/>
            <w:szCs w:val="18"/>
          </w:rPr>
          <w:t>azizjonnamozov1239@mail.com</w:t>
        </w:r>
      </w:hyperlink>
    </w:p>
    <w:p w14:paraId="54486240" w14:textId="3774CFA0" w:rsidR="00B10D32" w:rsidRPr="00C225FD" w:rsidRDefault="00B10D32" w:rsidP="005979D3">
      <w:pPr>
        <w:spacing w:before="360" w:after="360"/>
        <w:ind w:left="284" w:right="284" w:firstLine="284"/>
        <w:jc w:val="both"/>
        <w:rPr>
          <w:rFonts w:cs="Times New Roman"/>
          <w:iCs/>
          <w:kern w:val="0"/>
          <w:sz w:val="20"/>
          <w:szCs w:val="20"/>
          <w:lang w:val="uz-Latn-UZ"/>
          <w14:ligatures w14:val="none"/>
        </w:rPr>
      </w:pPr>
      <w:r w:rsidRPr="00C225FD">
        <w:rPr>
          <w:b/>
          <w:bCs/>
          <w:i/>
          <w:iCs/>
          <w:sz w:val="20"/>
          <w:szCs w:val="20"/>
          <w:lang w:val="en-GB"/>
        </w:rPr>
        <w:t>Abstract:</w:t>
      </w:r>
      <w:r w:rsidRPr="00C225FD">
        <w:rPr>
          <w:sz w:val="20"/>
          <w:szCs w:val="20"/>
          <w:lang w:val="en-GB"/>
        </w:rPr>
        <w:t xml:space="preserve"> </w:t>
      </w:r>
      <w:r w:rsidRPr="00C225FD">
        <w:rPr>
          <w:rFonts w:cs="Times New Roman"/>
          <w:iCs/>
          <w:kern w:val="0"/>
          <w:sz w:val="20"/>
          <w:szCs w:val="20"/>
          <w:lang w:val="uz-Cyrl-UZ"/>
          <w14:ligatures w14:val="none"/>
        </w:rPr>
        <w:t>This article uses the geomorphological and hydrometeorological characteristics of the Namangan region, as well as archival data on flash floods from Uzgidromet, to zone Namangan region according to flood risk by using the method of interrelated component analysis (overlay) and determine the distribution of the Namangan region's highway network by district and region according to flood risk.</w:t>
      </w:r>
    </w:p>
    <w:p w14:paraId="4031DF95" w14:textId="77777777" w:rsidR="003279A2" w:rsidRPr="003279A2" w:rsidRDefault="003279A2" w:rsidP="003279A2">
      <w:pPr>
        <w:pStyle w:val="a7"/>
        <w:spacing w:before="240" w:after="240"/>
        <w:jc w:val="center"/>
        <w:rPr>
          <w:rFonts w:cs="Times New Roman"/>
          <w:b/>
          <w:sz w:val="24"/>
          <w:szCs w:val="24"/>
          <w:lang w:val="en-GB"/>
        </w:rPr>
      </w:pPr>
      <w:r w:rsidRPr="003279A2">
        <w:rPr>
          <w:rFonts w:cs="Times New Roman"/>
          <w:b/>
          <w:sz w:val="24"/>
          <w:szCs w:val="24"/>
          <w:lang w:val="en-GB"/>
        </w:rPr>
        <w:t>INTRODUCTION</w:t>
      </w:r>
    </w:p>
    <w:p w14:paraId="2EA6887C" w14:textId="41211799" w:rsidR="00B10D32" w:rsidRPr="003279A2" w:rsidRDefault="00B10D32" w:rsidP="003279A2">
      <w:pPr>
        <w:pStyle w:val="Default"/>
        <w:ind w:firstLine="284"/>
        <w:jc w:val="both"/>
        <w:rPr>
          <w:sz w:val="20"/>
          <w:lang w:val="en-US"/>
        </w:rPr>
      </w:pPr>
      <w:r w:rsidRPr="003279A2">
        <w:rPr>
          <w:sz w:val="20"/>
          <w:lang w:val="en-US"/>
        </w:rPr>
        <w:t>In recent years, due to global climate change, humanity has faced many problems caused by unexpected natural disasters. It is no secret that the natural disaster occurring today in the mountainous and foothill regions of the Republic of Uzbekistan is mudflows. In order to develop measures against such natural disasters, the Resolution of the President of the Republic of Uzbekistan dated November 21, 2022 No. PP-585 "On measures to prevent emergencies related to floods, mudflows, avalanches and landslides, as well as to eliminate their consequences" was adopted. The resolution provides for targeted and systematic measures to ensure the safe passage of flood waters and mudflows, and to reduce the risk of avalanches and landslides. [1</w:t>
      </w:r>
      <w:r w:rsidR="00731BCC" w:rsidRPr="003279A2">
        <w:rPr>
          <w:sz w:val="20"/>
          <w:lang w:val="en-US"/>
        </w:rPr>
        <w:t>,2,3</w:t>
      </w:r>
      <w:r w:rsidRPr="003279A2">
        <w:rPr>
          <w:sz w:val="20"/>
          <w:lang w:val="en-US"/>
        </w:rPr>
        <w:t>]</w:t>
      </w:r>
    </w:p>
    <w:p w14:paraId="6F1E728E" w14:textId="6FFCC990" w:rsidR="00F12C76" w:rsidRDefault="00B10D32" w:rsidP="003279A2">
      <w:pPr>
        <w:pStyle w:val="Default"/>
        <w:ind w:firstLine="284"/>
        <w:jc w:val="both"/>
        <w:rPr>
          <w:sz w:val="20"/>
          <w:lang w:val="en-US"/>
        </w:rPr>
      </w:pPr>
      <w:r w:rsidRPr="003279A2">
        <w:rPr>
          <w:sz w:val="20"/>
          <w:lang w:val="en-US"/>
        </w:rPr>
        <w:t>As a result of mudflows in various regions of our republic, as well as in the Namangan region, as a result of years of complete or partial damage to roads and other similar artificial structures, many socio-economic problems have arisen in the region [</w:t>
      </w:r>
      <w:r w:rsidR="00731BCC" w:rsidRPr="003279A2">
        <w:rPr>
          <w:sz w:val="20"/>
          <w:lang w:val="en-US"/>
        </w:rPr>
        <w:t>4,5,6</w:t>
      </w:r>
      <w:r w:rsidRPr="003279A2">
        <w:rPr>
          <w:sz w:val="20"/>
          <w:lang w:val="en-US"/>
        </w:rPr>
        <w:t>]. One of the important tasks is the zoning of the region based on the risk of mudflows in the Namangan region in order to minimize the possible impact of mudflows on roads, bridges, and water-conducting structures, or, if possible, to completely eliminate the risk of impact</w:t>
      </w:r>
      <w:r w:rsidR="005D009E">
        <w:rPr>
          <w:sz w:val="20"/>
          <w:lang w:val="en-US"/>
        </w:rPr>
        <w:t xml:space="preserve"> </w:t>
      </w:r>
      <w:r w:rsidRPr="003279A2">
        <w:rPr>
          <w:sz w:val="20"/>
          <w:lang w:val="en-US"/>
        </w:rPr>
        <w:t>[</w:t>
      </w:r>
      <w:r w:rsidR="00731BCC" w:rsidRPr="003279A2">
        <w:rPr>
          <w:sz w:val="20"/>
          <w:lang w:val="en-US"/>
        </w:rPr>
        <w:t>7,8,9,10</w:t>
      </w:r>
      <w:r w:rsidRPr="003279A2">
        <w:rPr>
          <w:sz w:val="20"/>
          <w:lang w:val="en-US"/>
        </w:rPr>
        <w:t>]. Geomorphological features (relief, slope, soil layer, etc.) and hydrometeorological features (annual precipitation, mudflow basins, etc.) of the region were studied as factors influencing the formation of mudflows during regionalization work.</w:t>
      </w:r>
    </w:p>
    <w:p w14:paraId="413B21B6" w14:textId="70DA3214" w:rsidR="00AA1F4D" w:rsidRPr="00AA1F4D" w:rsidRDefault="00AA1F4D" w:rsidP="00AA1F4D">
      <w:pPr>
        <w:pStyle w:val="a7"/>
        <w:keepNext/>
        <w:overflowPunct w:val="0"/>
        <w:autoSpaceDE w:val="0"/>
        <w:autoSpaceDN w:val="0"/>
        <w:adjustRightInd w:val="0"/>
        <w:spacing w:before="240" w:after="240"/>
        <w:ind w:left="0" w:firstLine="284"/>
        <w:jc w:val="center"/>
        <w:textAlignment w:val="baseline"/>
        <w:outlineLvl w:val="5"/>
        <w:rPr>
          <w:rFonts w:eastAsia="Times New Roman" w:cs="Times New Roman"/>
          <w:b/>
          <w:sz w:val="24"/>
          <w:szCs w:val="24"/>
          <w:lang w:val="uz-Latn-UZ" w:eastAsia="ru-RU"/>
        </w:rPr>
      </w:pPr>
      <w:r>
        <w:rPr>
          <w:rFonts w:cs="Times New Roman"/>
          <w:b/>
          <w:sz w:val="24"/>
          <w:szCs w:val="24"/>
          <w:lang w:val="uz-Latn-UZ"/>
        </w:rPr>
        <w:t>METODOLOGY</w:t>
      </w:r>
      <w:r w:rsidR="00C225FD">
        <w:rPr>
          <w:rFonts w:cs="Times New Roman"/>
          <w:b/>
          <w:sz w:val="24"/>
          <w:szCs w:val="24"/>
          <w:lang w:val="uz-Latn-UZ"/>
        </w:rPr>
        <w:t xml:space="preserve"> OF </w:t>
      </w:r>
      <w:r w:rsidR="00C225FD" w:rsidRPr="00C225FD">
        <w:rPr>
          <w:rFonts w:cs="Times New Roman"/>
          <w:b/>
          <w:sz w:val="24"/>
          <w:szCs w:val="24"/>
          <w:lang w:val="uz-Latn-UZ"/>
        </w:rPr>
        <w:t>ROAD-RELATED FLOOD</w:t>
      </w:r>
      <w:r w:rsidR="00C225FD">
        <w:rPr>
          <w:rFonts w:cs="Times New Roman"/>
          <w:b/>
          <w:sz w:val="24"/>
          <w:szCs w:val="24"/>
          <w:lang w:val="uz-Latn-UZ"/>
        </w:rPr>
        <w:t xml:space="preserve"> DISASTER</w:t>
      </w:r>
      <w:r w:rsidR="00C225FD" w:rsidRPr="00C225FD">
        <w:rPr>
          <w:rFonts w:cs="Times New Roman"/>
          <w:b/>
          <w:sz w:val="24"/>
          <w:szCs w:val="24"/>
          <w:lang w:val="uz-Latn-UZ"/>
        </w:rPr>
        <w:t xml:space="preserve"> RISK ZONIFICATION</w:t>
      </w:r>
    </w:p>
    <w:p w14:paraId="3BE7F373" w14:textId="5A12745E" w:rsidR="00C225FD" w:rsidRDefault="005C42D8" w:rsidP="005C42D8">
      <w:pPr>
        <w:pStyle w:val="Default"/>
        <w:ind w:firstLine="284"/>
        <w:jc w:val="both"/>
        <w:rPr>
          <w:sz w:val="20"/>
          <w:lang w:val="en-US"/>
        </w:rPr>
      </w:pPr>
      <w:r w:rsidRPr="005C42D8">
        <w:rPr>
          <w:sz w:val="20"/>
          <w:lang w:val="en-US"/>
        </w:rPr>
        <w:t>The superposition of several factors influencing the occurrence of mudflows determines the power of floods and their destructive nature. One of these factors is the orography of the flood-prone area, i.e., the relief and shape of the relief mainly reflect the slopes of the terrain, the degree of relief waviness, as well as the degree of surface erosion and cutting and fragmentation, etc., which directly or indirectly affects the formation of surface runoff, which is one of the necessary conditions for the destruction of mudflows caused by erosion of the earth's surface under the influence of floods and the destruction of roads.</w:t>
      </w:r>
    </w:p>
    <w:p w14:paraId="5C0EAF1C" w14:textId="4EBC3A1C" w:rsidR="005C42D8" w:rsidRDefault="005C42D8" w:rsidP="00431B0C">
      <w:pPr>
        <w:pStyle w:val="Default"/>
        <w:ind w:firstLine="284"/>
        <w:jc w:val="both"/>
        <w:rPr>
          <w:sz w:val="20"/>
          <w:lang w:val="en-US"/>
        </w:rPr>
      </w:pPr>
      <w:r w:rsidRPr="005C42D8">
        <w:rPr>
          <w:sz w:val="20"/>
          <w:lang w:val="en-US"/>
        </w:rPr>
        <w:t xml:space="preserve">The main part of the territory of the Namangan region is located on the right bank of the Syr Darya River, in the northwestern part of the Fergana Valley. The Earth's surface is mainly flat, surrounded in the north by a series of hills and the </w:t>
      </w:r>
      <w:proofErr w:type="spellStart"/>
      <w:r w:rsidRPr="005C42D8">
        <w:rPr>
          <w:sz w:val="20"/>
          <w:lang w:val="en-US"/>
        </w:rPr>
        <w:t>Chatkal</w:t>
      </w:r>
      <w:proofErr w:type="spellEnd"/>
      <w:r w:rsidRPr="005C42D8">
        <w:rPr>
          <w:sz w:val="20"/>
          <w:lang w:val="en-US"/>
        </w:rPr>
        <w:t xml:space="preserve"> and Kurama mountains. The relief of the region decreases from north to south and from east to west. </w:t>
      </w:r>
      <w:r w:rsidRPr="005C42D8">
        <w:rPr>
          <w:sz w:val="20"/>
          <w:lang w:val="en-US"/>
        </w:rPr>
        <w:lastRenderedPageBreak/>
        <w:t>This, in turn, means that the flow of small rivers and streams moves along this relief location. As shown in the second figure above, the lowest point of the region's territory is located at an altitude of 358 m above sea level, and the highest part is 3979 m above sea level. Also, the height is 350-800 m. Mountains and hills, narrow valleys, and oases were formed by the activity of large and small rivers and streams of the Quaternary geological period.</w:t>
      </w:r>
    </w:p>
    <w:p w14:paraId="39D134E3" w14:textId="77777777" w:rsidR="005C42D8" w:rsidRPr="003279A2" w:rsidRDefault="005C42D8" w:rsidP="00AA1F4D">
      <w:pPr>
        <w:pStyle w:val="Default"/>
        <w:jc w:val="both"/>
        <w:rPr>
          <w:sz w:val="20"/>
          <w:lang w:val="en-US"/>
        </w:rPr>
      </w:pPr>
    </w:p>
    <w:tbl>
      <w:tblPr>
        <w:tblStyle w:val="ad"/>
        <w:tblW w:w="9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52"/>
        <w:gridCol w:w="4757"/>
      </w:tblGrid>
      <w:tr w:rsidR="00B10D32" w:rsidRPr="0093554C" w14:paraId="59E87F05" w14:textId="77777777" w:rsidTr="005D009E">
        <w:trPr>
          <w:jc w:val="center"/>
        </w:trPr>
        <w:tc>
          <w:tcPr>
            <w:tcW w:w="4452" w:type="dxa"/>
          </w:tcPr>
          <w:p w14:paraId="62DA1C58" w14:textId="77777777" w:rsidR="00B10D32" w:rsidRPr="0093554C" w:rsidRDefault="00B10D32" w:rsidP="00C54246">
            <w:pPr>
              <w:spacing w:line="360" w:lineRule="auto"/>
              <w:jc w:val="both"/>
              <w:rPr>
                <w:sz w:val="20"/>
                <w:szCs w:val="20"/>
              </w:rPr>
            </w:pPr>
            <w:r w:rsidRPr="0093554C">
              <w:rPr>
                <w:noProof/>
                <w:sz w:val="20"/>
                <w:szCs w:val="20"/>
                <w:lang w:val="en-US"/>
              </w:rPr>
              <w:drawing>
                <wp:inline distT="0" distB="0" distL="0" distR="0" wp14:anchorId="413E88D6" wp14:editId="171461E5">
                  <wp:extent cx="2667000" cy="1668780"/>
                  <wp:effectExtent l="0" t="0" r="0" b="7620"/>
                  <wp:docPr id="14005552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pic:cNvPicPr>
                            <a:picLocks noChangeAspect="1"/>
                          </pic:cNvPicPr>
                        </pic:nvPicPr>
                        <pic:blipFill>
                          <a:blip r:embed="rId6"/>
                          <a:stretch>
                            <a:fillRect/>
                          </a:stretch>
                        </pic:blipFill>
                        <pic:spPr>
                          <a:xfrm>
                            <a:off x="0" y="0"/>
                            <a:ext cx="2674829" cy="1673679"/>
                          </a:xfrm>
                          <a:prstGeom prst="rect">
                            <a:avLst/>
                          </a:prstGeom>
                        </pic:spPr>
                      </pic:pic>
                    </a:graphicData>
                  </a:graphic>
                </wp:inline>
              </w:drawing>
            </w:r>
          </w:p>
          <w:p w14:paraId="647E3535" w14:textId="41D76212" w:rsidR="00B10D32" w:rsidRPr="004F0262" w:rsidRDefault="000C620F" w:rsidP="004F0262">
            <w:pPr>
              <w:pStyle w:val="a7"/>
              <w:numPr>
                <w:ilvl w:val="0"/>
                <w:numId w:val="3"/>
              </w:numPr>
              <w:spacing w:line="360" w:lineRule="auto"/>
              <w:jc w:val="center"/>
              <w:rPr>
                <w:sz w:val="20"/>
                <w:szCs w:val="20"/>
                <w:lang w:val="uz-Latn-UZ"/>
              </w:rPr>
            </w:pPr>
            <w:r w:rsidRPr="004F0262">
              <w:rPr>
                <w:sz w:val="20"/>
                <w:szCs w:val="20"/>
                <w:lang w:val="uz-Latn-UZ"/>
              </w:rPr>
              <w:t xml:space="preserve">Contours </w:t>
            </w:r>
          </w:p>
        </w:tc>
        <w:tc>
          <w:tcPr>
            <w:tcW w:w="4757" w:type="dxa"/>
          </w:tcPr>
          <w:p w14:paraId="58CC18E8" w14:textId="77777777" w:rsidR="00B10D32" w:rsidRPr="0093554C" w:rsidRDefault="00B10D32" w:rsidP="00C54246">
            <w:pPr>
              <w:spacing w:line="360" w:lineRule="auto"/>
              <w:jc w:val="both"/>
              <w:rPr>
                <w:sz w:val="20"/>
                <w:szCs w:val="20"/>
              </w:rPr>
            </w:pPr>
            <w:r w:rsidRPr="0093554C">
              <w:rPr>
                <w:noProof/>
                <w:sz w:val="20"/>
                <w:szCs w:val="20"/>
                <w:lang w:val="en-US"/>
              </w:rPr>
              <w:drawing>
                <wp:inline distT="0" distB="0" distL="0" distR="0" wp14:anchorId="03FC541A" wp14:editId="02332EFC">
                  <wp:extent cx="3046730" cy="1686382"/>
                  <wp:effectExtent l="0" t="0" r="1270" b="9525"/>
                  <wp:docPr id="8733365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986071" name=""/>
                          <pic:cNvPicPr/>
                        </pic:nvPicPr>
                        <pic:blipFill>
                          <a:blip r:embed="rId7"/>
                          <a:stretch>
                            <a:fillRect/>
                          </a:stretch>
                        </pic:blipFill>
                        <pic:spPr>
                          <a:xfrm>
                            <a:off x="0" y="0"/>
                            <a:ext cx="3064516" cy="1696227"/>
                          </a:xfrm>
                          <a:prstGeom prst="rect">
                            <a:avLst/>
                          </a:prstGeom>
                        </pic:spPr>
                      </pic:pic>
                    </a:graphicData>
                  </a:graphic>
                </wp:inline>
              </w:drawing>
            </w:r>
          </w:p>
          <w:p w14:paraId="28E45047" w14:textId="78B56FF5" w:rsidR="00B10D32" w:rsidRPr="004F0262" w:rsidRDefault="000C620F" w:rsidP="004F0262">
            <w:pPr>
              <w:pStyle w:val="a7"/>
              <w:numPr>
                <w:ilvl w:val="0"/>
                <w:numId w:val="3"/>
              </w:numPr>
              <w:spacing w:line="360" w:lineRule="auto"/>
              <w:jc w:val="center"/>
              <w:rPr>
                <w:sz w:val="20"/>
                <w:szCs w:val="20"/>
                <w:lang w:val="uz-Latn-UZ"/>
              </w:rPr>
            </w:pPr>
            <w:r w:rsidRPr="004F0262">
              <w:rPr>
                <w:sz w:val="20"/>
                <w:szCs w:val="20"/>
                <w:lang w:val="uz-Latn-UZ"/>
              </w:rPr>
              <w:t>Slope</w:t>
            </w:r>
          </w:p>
        </w:tc>
      </w:tr>
      <w:tr w:rsidR="00B10D32" w:rsidRPr="0093554C" w14:paraId="21E3F519" w14:textId="77777777" w:rsidTr="005D009E">
        <w:trPr>
          <w:jc w:val="center"/>
        </w:trPr>
        <w:tc>
          <w:tcPr>
            <w:tcW w:w="4452" w:type="dxa"/>
          </w:tcPr>
          <w:p w14:paraId="475DCABE" w14:textId="77777777" w:rsidR="00B10D32" w:rsidRPr="0093554C" w:rsidRDefault="00B10D32" w:rsidP="00C54246">
            <w:pPr>
              <w:spacing w:line="360" w:lineRule="auto"/>
              <w:jc w:val="both"/>
              <w:rPr>
                <w:sz w:val="20"/>
                <w:szCs w:val="20"/>
              </w:rPr>
            </w:pPr>
            <w:r w:rsidRPr="0093554C">
              <w:rPr>
                <w:noProof/>
                <w:sz w:val="20"/>
                <w:szCs w:val="20"/>
                <w:lang w:val="en-US"/>
              </w:rPr>
              <w:drawing>
                <wp:inline distT="0" distB="0" distL="0" distR="0" wp14:anchorId="009E1C3E" wp14:editId="4AC03E43">
                  <wp:extent cx="2689176" cy="1542553"/>
                  <wp:effectExtent l="0" t="0" r="0" b="635"/>
                  <wp:docPr id="3609760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506518" name=""/>
                          <pic:cNvPicPr/>
                        </pic:nvPicPr>
                        <pic:blipFill>
                          <a:blip r:embed="rId8"/>
                          <a:stretch>
                            <a:fillRect/>
                          </a:stretch>
                        </pic:blipFill>
                        <pic:spPr>
                          <a:xfrm>
                            <a:off x="0" y="0"/>
                            <a:ext cx="2719253" cy="1559805"/>
                          </a:xfrm>
                          <a:prstGeom prst="rect">
                            <a:avLst/>
                          </a:prstGeom>
                        </pic:spPr>
                      </pic:pic>
                    </a:graphicData>
                  </a:graphic>
                </wp:inline>
              </w:drawing>
            </w:r>
          </w:p>
          <w:p w14:paraId="7437B263" w14:textId="1F020744" w:rsidR="00B10D32" w:rsidRPr="004F0262" w:rsidRDefault="00105AB0" w:rsidP="004F0262">
            <w:pPr>
              <w:pStyle w:val="a7"/>
              <w:numPr>
                <w:ilvl w:val="0"/>
                <w:numId w:val="3"/>
              </w:numPr>
              <w:spacing w:line="360" w:lineRule="auto"/>
              <w:jc w:val="center"/>
              <w:rPr>
                <w:sz w:val="20"/>
                <w:szCs w:val="20"/>
                <w:lang w:val="uz-Latn-UZ"/>
              </w:rPr>
            </w:pPr>
            <w:r w:rsidRPr="004F0262">
              <w:rPr>
                <w:sz w:val="20"/>
                <w:szCs w:val="20"/>
                <w:lang w:val="uz-Latn-UZ"/>
              </w:rPr>
              <w:t>Watershed</w:t>
            </w:r>
            <w:r w:rsidR="000C620F" w:rsidRPr="004F0262">
              <w:rPr>
                <w:sz w:val="20"/>
                <w:szCs w:val="20"/>
                <w:lang w:val="uz-Latn-UZ"/>
              </w:rPr>
              <w:t xml:space="preserve"> areas</w:t>
            </w:r>
          </w:p>
        </w:tc>
        <w:tc>
          <w:tcPr>
            <w:tcW w:w="4757" w:type="dxa"/>
          </w:tcPr>
          <w:p w14:paraId="17C3783A" w14:textId="77777777" w:rsidR="00B10D32" w:rsidRPr="0093554C" w:rsidRDefault="00B10D32" w:rsidP="00C54246">
            <w:pPr>
              <w:spacing w:line="360" w:lineRule="auto"/>
              <w:jc w:val="both"/>
              <w:rPr>
                <w:sz w:val="20"/>
                <w:szCs w:val="20"/>
              </w:rPr>
            </w:pPr>
            <w:r w:rsidRPr="0093554C">
              <w:rPr>
                <w:noProof/>
                <w:sz w:val="20"/>
                <w:szCs w:val="20"/>
                <w:lang w:val="en-US"/>
              </w:rPr>
              <w:drawing>
                <wp:inline distT="0" distB="0" distL="0" distR="0" wp14:anchorId="5120C413" wp14:editId="18703AC6">
                  <wp:extent cx="2985770" cy="1527728"/>
                  <wp:effectExtent l="0" t="0" r="5080" b="0"/>
                  <wp:docPr id="18033487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135376" name=""/>
                          <pic:cNvPicPr/>
                        </pic:nvPicPr>
                        <pic:blipFill rotWithShape="1">
                          <a:blip r:embed="rId9"/>
                          <a:srcRect l="15906" t="21893" r="12645" b="13113"/>
                          <a:stretch>
                            <a:fillRect/>
                          </a:stretch>
                        </pic:blipFill>
                        <pic:spPr bwMode="auto">
                          <a:xfrm>
                            <a:off x="0" y="0"/>
                            <a:ext cx="3042743" cy="1556880"/>
                          </a:xfrm>
                          <a:prstGeom prst="rect">
                            <a:avLst/>
                          </a:prstGeom>
                          <a:ln>
                            <a:noFill/>
                          </a:ln>
                          <a:extLst>
                            <a:ext uri="{53640926-AAD7-44D8-BBD7-CCE9431645EC}">
                              <a14:shadowObscured xmlns:a14="http://schemas.microsoft.com/office/drawing/2010/main"/>
                            </a:ext>
                          </a:extLst>
                        </pic:spPr>
                      </pic:pic>
                    </a:graphicData>
                  </a:graphic>
                </wp:inline>
              </w:drawing>
            </w:r>
          </w:p>
          <w:p w14:paraId="40E81114" w14:textId="3236BEAD" w:rsidR="00B10D32" w:rsidRPr="004F0262" w:rsidRDefault="00105AB0" w:rsidP="004F0262">
            <w:pPr>
              <w:pStyle w:val="a7"/>
              <w:numPr>
                <w:ilvl w:val="0"/>
                <w:numId w:val="3"/>
              </w:numPr>
              <w:spacing w:line="360" w:lineRule="auto"/>
              <w:jc w:val="center"/>
              <w:rPr>
                <w:sz w:val="20"/>
                <w:szCs w:val="20"/>
                <w:lang w:val="uz-Latn-UZ"/>
              </w:rPr>
            </w:pPr>
            <w:r w:rsidRPr="004F0262">
              <w:rPr>
                <w:sz w:val="20"/>
                <w:szCs w:val="20"/>
                <w:lang w:val="uz-Latn-UZ"/>
              </w:rPr>
              <w:t>Observed mudflow areas in 2017-2023</w:t>
            </w:r>
          </w:p>
        </w:tc>
      </w:tr>
    </w:tbl>
    <w:p w14:paraId="25F9EE48" w14:textId="77777777" w:rsidR="00B10D32" w:rsidRPr="0093554C" w:rsidRDefault="00B10D32" w:rsidP="00B10D32">
      <w:pPr>
        <w:spacing w:after="0"/>
        <w:jc w:val="both"/>
        <w:rPr>
          <w:sz w:val="20"/>
          <w:szCs w:val="20"/>
          <w:lang w:val="en-GB"/>
        </w:rPr>
      </w:pPr>
    </w:p>
    <w:p w14:paraId="076DD858" w14:textId="67DD0C3D" w:rsidR="003279A2" w:rsidRDefault="003279A2" w:rsidP="00B10D32">
      <w:pPr>
        <w:spacing w:after="0"/>
        <w:ind w:firstLine="708"/>
        <w:jc w:val="both"/>
        <w:rPr>
          <w:sz w:val="20"/>
          <w:szCs w:val="20"/>
          <w:lang w:val="uz-Latn-UZ"/>
        </w:rPr>
      </w:pPr>
      <w:r w:rsidRPr="003279A2">
        <w:rPr>
          <w:b/>
          <w:bCs/>
          <w:sz w:val="20"/>
          <w:szCs w:val="20"/>
          <w:lang w:val="en-GB"/>
        </w:rPr>
        <w:t xml:space="preserve">FIGURE 1. </w:t>
      </w:r>
      <w:r w:rsidR="004F0262" w:rsidRPr="004F0262">
        <w:rPr>
          <w:sz w:val="20"/>
          <w:szCs w:val="20"/>
          <w:lang w:val="en-GB"/>
        </w:rPr>
        <w:t>Data processing resalts</w:t>
      </w:r>
      <w:r w:rsidR="004F0262">
        <w:rPr>
          <w:sz w:val="20"/>
          <w:szCs w:val="20"/>
          <w:lang w:val="en-GB"/>
        </w:rPr>
        <w:t xml:space="preserve">. </w:t>
      </w:r>
      <w:r w:rsidR="004F0262" w:rsidRPr="004F0262">
        <w:rPr>
          <w:b/>
          <w:bCs/>
          <w:sz w:val="20"/>
          <w:szCs w:val="20"/>
          <w:lang w:val="en-GB"/>
        </w:rPr>
        <w:t>a)</w:t>
      </w:r>
      <w:r w:rsidR="004F0262">
        <w:rPr>
          <w:sz w:val="20"/>
          <w:szCs w:val="20"/>
          <w:lang w:val="en-GB"/>
        </w:rPr>
        <w:t xml:space="preserve"> </w:t>
      </w:r>
      <w:r w:rsidR="004F0262">
        <w:rPr>
          <w:sz w:val="20"/>
          <w:szCs w:val="20"/>
          <w:lang w:val="uz-Latn-UZ"/>
        </w:rPr>
        <w:t>c</w:t>
      </w:r>
      <w:r w:rsidR="004F0262" w:rsidRPr="004F0262">
        <w:rPr>
          <w:sz w:val="20"/>
          <w:szCs w:val="20"/>
          <w:lang w:val="uz-Latn-UZ"/>
        </w:rPr>
        <w:t>ontours</w:t>
      </w:r>
      <w:r w:rsidR="004F0262">
        <w:rPr>
          <w:sz w:val="20"/>
          <w:szCs w:val="20"/>
          <w:lang w:val="uz-Latn-UZ"/>
        </w:rPr>
        <w:t xml:space="preserve">, </w:t>
      </w:r>
      <w:r w:rsidR="004F0262" w:rsidRPr="004F0262">
        <w:rPr>
          <w:b/>
          <w:bCs/>
          <w:sz w:val="20"/>
          <w:szCs w:val="20"/>
          <w:lang w:val="uz-Latn-UZ"/>
        </w:rPr>
        <w:t>b)</w:t>
      </w:r>
      <w:r w:rsidR="004F0262">
        <w:rPr>
          <w:sz w:val="20"/>
          <w:szCs w:val="20"/>
          <w:lang w:val="uz-Latn-UZ"/>
        </w:rPr>
        <w:t xml:space="preserve"> slope, </w:t>
      </w:r>
      <w:r w:rsidR="004F0262" w:rsidRPr="004F0262">
        <w:rPr>
          <w:b/>
          <w:bCs/>
          <w:sz w:val="20"/>
          <w:szCs w:val="20"/>
          <w:lang w:val="uz-Latn-UZ"/>
        </w:rPr>
        <w:t>c)</w:t>
      </w:r>
      <w:r w:rsidR="004F0262">
        <w:rPr>
          <w:sz w:val="20"/>
          <w:szCs w:val="20"/>
          <w:lang w:val="uz-Latn-UZ"/>
        </w:rPr>
        <w:t xml:space="preserve"> watershed areas, </w:t>
      </w:r>
      <w:r w:rsidR="004F0262" w:rsidRPr="004F0262">
        <w:rPr>
          <w:b/>
          <w:bCs/>
          <w:sz w:val="20"/>
          <w:szCs w:val="20"/>
          <w:lang w:val="uz-Latn-UZ"/>
        </w:rPr>
        <w:t>d)</w:t>
      </w:r>
      <w:r w:rsidR="004F0262">
        <w:rPr>
          <w:sz w:val="20"/>
          <w:szCs w:val="20"/>
          <w:lang w:val="uz-Latn-UZ"/>
        </w:rPr>
        <w:t xml:space="preserve"> observed mudflow areas.</w:t>
      </w:r>
    </w:p>
    <w:p w14:paraId="6B36607E" w14:textId="77777777" w:rsidR="004F0262" w:rsidRPr="003279A2" w:rsidRDefault="004F0262" w:rsidP="00B10D32">
      <w:pPr>
        <w:spacing w:after="0"/>
        <w:ind w:firstLine="708"/>
        <w:jc w:val="both"/>
        <w:rPr>
          <w:b/>
          <w:bCs/>
          <w:sz w:val="20"/>
          <w:szCs w:val="20"/>
          <w:lang w:val="en-GB"/>
        </w:rPr>
      </w:pPr>
    </w:p>
    <w:p w14:paraId="1D51F226" w14:textId="45EBF048" w:rsidR="00B10D32" w:rsidRDefault="00B10D32" w:rsidP="00431B0C">
      <w:pPr>
        <w:spacing w:after="0"/>
        <w:ind w:firstLine="426"/>
        <w:jc w:val="both"/>
        <w:rPr>
          <w:rFonts w:eastAsia="Calibri" w:cs="Times New Roman"/>
          <w:color w:val="000000"/>
          <w:kern w:val="0"/>
          <w:sz w:val="20"/>
          <w:szCs w:val="24"/>
          <w:lang w:val="en-US"/>
          <w14:ligatures w14:val="none"/>
        </w:rPr>
      </w:pPr>
      <w:r w:rsidRPr="003279A2">
        <w:rPr>
          <w:rFonts w:eastAsia="Calibri" w:cs="Times New Roman"/>
          <w:color w:val="000000"/>
          <w:kern w:val="0"/>
          <w:sz w:val="20"/>
          <w:szCs w:val="24"/>
          <w:lang w:val="en-US"/>
          <w14:ligatures w14:val="none"/>
        </w:rPr>
        <w:t xml:space="preserve">Using the QGIS-2.28.3 program, based on a layered map of the factors influencing mudflow formation and archival data of </w:t>
      </w:r>
      <w:proofErr w:type="spellStart"/>
      <w:r w:rsidRPr="003279A2">
        <w:rPr>
          <w:rFonts w:eastAsia="Calibri" w:cs="Times New Roman"/>
          <w:color w:val="000000"/>
          <w:kern w:val="0"/>
          <w:sz w:val="20"/>
          <w:szCs w:val="24"/>
          <w:lang w:val="en-US"/>
          <w14:ligatures w14:val="none"/>
        </w:rPr>
        <w:t>Uzhydromet</w:t>
      </w:r>
      <w:proofErr w:type="spellEnd"/>
      <w:r w:rsidRPr="003279A2">
        <w:rPr>
          <w:rFonts w:eastAsia="Calibri" w:cs="Times New Roman"/>
          <w:color w:val="000000"/>
          <w:kern w:val="0"/>
          <w:sz w:val="20"/>
          <w:szCs w:val="24"/>
          <w:lang w:val="en-US"/>
          <w14:ligatures w14:val="none"/>
        </w:rPr>
        <w:t>, a map of the location of mudflows observed in the region in 2017-2023 was developed, and using the method of component analysis, a zoning map of the mudflow hazard of the Namangan region was developed.</w:t>
      </w:r>
    </w:p>
    <w:p w14:paraId="7A85C39F" w14:textId="713AFAD3" w:rsidR="005C42D8" w:rsidRDefault="005C42D8" w:rsidP="00431B0C">
      <w:pPr>
        <w:spacing w:after="0"/>
        <w:ind w:firstLine="426"/>
        <w:jc w:val="both"/>
        <w:rPr>
          <w:rFonts w:eastAsia="Calibri" w:cs="Times New Roman"/>
          <w:color w:val="000000"/>
          <w:kern w:val="0"/>
          <w:sz w:val="20"/>
          <w:szCs w:val="24"/>
          <w:lang w:val="en-US"/>
          <w14:ligatures w14:val="none"/>
        </w:rPr>
      </w:pPr>
      <w:r w:rsidRPr="005C42D8">
        <w:rPr>
          <w:rFonts w:eastAsia="Calibri" w:cs="Times New Roman"/>
          <w:color w:val="000000"/>
          <w:kern w:val="0"/>
          <w:sz w:val="20"/>
          <w:szCs w:val="24"/>
          <w:lang w:val="en-US"/>
          <w14:ligatures w14:val="none"/>
        </w:rPr>
        <w:t xml:space="preserve">Due to the increase in the vertical relief of the Namangan region, the amount of precipitation in the highlands will also increase. We can see that the amount of precipitation recorded in 2017-2023 in the Namangan region, shown in Figure 2, is clearly higher at the </w:t>
      </w:r>
      <w:proofErr w:type="spellStart"/>
      <w:r w:rsidRPr="005C42D8">
        <w:rPr>
          <w:rFonts w:eastAsia="Calibri" w:cs="Times New Roman"/>
          <w:color w:val="000000"/>
          <w:kern w:val="0"/>
          <w:sz w:val="20"/>
          <w:szCs w:val="24"/>
          <w:lang w:val="en-US"/>
          <w14:ligatures w14:val="none"/>
        </w:rPr>
        <w:t>Kamchik</w:t>
      </w:r>
      <w:proofErr w:type="spellEnd"/>
      <w:r w:rsidRPr="005C42D8">
        <w:rPr>
          <w:rFonts w:eastAsia="Calibri" w:cs="Times New Roman"/>
          <w:color w:val="000000"/>
          <w:kern w:val="0"/>
          <w:sz w:val="20"/>
          <w:szCs w:val="24"/>
          <w:lang w:val="en-US"/>
          <w14:ligatures w14:val="none"/>
        </w:rPr>
        <w:t xml:space="preserve"> observation station located on the </w:t>
      </w:r>
      <w:proofErr w:type="spellStart"/>
      <w:r w:rsidRPr="005C42D8">
        <w:rPr>
          <w:rFonts w:eastAsia="Calibri" w:cs="Times New Roman"/>
          <w:color w:val="000000"/>
          <w:kern w:val="0"/>
          <w:sz w:val="20"/>
          <w:szCs w:val="24"/>
          <w:lang w:val="en-US"/>
          <w14:ligatures w14:val="none"/>
        </w:rPr>
        <w:t>Kamchik</w:t>
      </w:r>
      <w:proofErr w:type="spellEnd"/>
      <w:r w:rsidRPr="005C42D8">
        <w:rPr>
          <w:rFonts w:eastAsia="Calibri" w:cs="Times New Roman"/>
          <w:color w:val="000000"/>
          <w:kern w:val="0"/>
          <w:sz w:val="20"/>
          <w:szCs w:val="24"/>
          <w:lang w:val="en-US"/>
          <w14:ligatures w14:val="none"/>
        </w:rPr>
        <w:t xml:space="preserve"> </w:t>
      </w:r>
      <w:r w:rsidR="00AB21A2">
        <w:rPr>
          <w:rFonts w:eastAsia="Calibri" w:cs="Times New Roman"/>
          <w:color w:val="000000"/>
          <w:kern w:val="0"/>
          <w:sz w:val="20"/>
          <w:szCs w:val="24"/>
          <w:lang w:val="en-US"/>
          <w14:ligatures w14:val="none"/>
        </w:rPr>
        <w:t>p</w:t>
      </w:r>
      <w:r w:rsidRPr="005C42D8">
        <w:rPr>
          <w:rFonts w:eastAsia="Calibri" w:cs="Times New Roman"/>
          <w:color w:val="000000"/>
          <w:kern w:val="0"/>
          <w:sz w:val="20"/>
          <w:szCs w:val="24"/>
          <w:lang w:val="en-US"/>
          <w14:ligatures w14:val="none"/>
        </w:rPr>
        <w:t>ass than at other observation stations of the region in Pap and Namangan.</w:t>
      </w:r>
    </w:p>
    <w:p w14:paraId="58D40897" w14:textId="77777777" w:rsidR="005C42D8" w:rsidRDefault="005C42D8" w:rsidP="00B10D32">
      <w:pPr>
        <w:spacing w:after="0"/>
        <w:ind w:firstLine="708"/>
        <w:jc w:val="both"/>
        <w:rPr>
          <w:rFonts w:eastAsia="Calibri" w:cs="Times New Roman"/>
          <w:color w:val="000000"/>
          <w:kern w:val="0"/>
          <w:sz w:val="20"/>
          <w:szCs w:val="24"/>
          <w:lang w:val="en-US"/>
          <w14:ligatures w14:val="none"/>
        </w:rPr>
      </w:pPr>
    </w:p>
    <w:p w14:paraId="14D308D6" w14:textId="64919CED" w:rsidR="005C42D8" w:rsidRDefault="005C42D8" w:rsidP="005C42D8">
      <w:pPr>
        <w:spacing w:after="0"/>
        <w:ind w:firstLine="708"/>
        <w:jc w:val="center"/>
        <w:rPr>
          <w:rFonts w:eastAsia="Calibri" w:cs="Times New Roman"/>
          <w:color w:val="000000"/>
          <w:kern w:val="0"/>
          <w:sz w:val="20"/>
          <w:szCs w:val="24"/>
          <w:lang w:val="en-US"/>
          <w14:ligatures w14:val="none"/>
        </w:rPr>
      </w:pPr>
      <w:r w:rsidRPr="00F26D47">
        <w:rPr>
          <w:noProof/>
          <w:lang w:val="en-US"/>
        </w:rPr>
        <w:lastRenderedPageBreak/>
        <w:drawing>
          <wp:inline distT="0" distB="0" distL="0" distR="0" wp14:anchorId="413E224A" wp14:editId="0A5CA3B7">
            <wp:extent cx="4267200" cy="2560320"/>
            <wp:effectExtent l="0" t="0" r="0" b="11430"/>
            <wp:docPr id="332315372" name="Диаграмма 1">
              <a:extLst xmlns:a="http://schemas.openxmlformats.org/drawingml/2006/main">
                <a:ext uri="{FF2B5EF4-FFF2-40B4-BE49-F238E27FC236}">
                  <a16:creationId xmlns:a16="http://schemas.microsoft.com/office/drawing/2014/main" id="{3E733D6A-5F5E-A1D2-712C-0558F4EAA3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A4607AE" w14:textId="779C5744" w:rsidR="004F0262" w:rsidRPr="003279A2" w:rsidRDefault="00196F43" w:rsidP="00B10D32">
      <w:pPr>
        <w:spacing w:after="0"/>
        <w:ind w:firstLine="708"/>
        <w:jc w:val="both"/>
        <w:rPr>
          <w:rFonts w:eastAsia="Calibri" w:cs="Times New Roman"/>
          <w:color w:val="000000"/>
          <w:kern w:val="0"/>
          <w:sz w:val="20"/>
          <w:szCs w:val="24"/>
          <w:lang w:val="en-US"/>
          <w14:ligatures w14:val="none"/>
        </w:rPr>
      </w:pPr>
      <w:r w:rsidRPr="00196F43">
        <w:rPr>
          <w:rFonts w:eastAsia="Calibri" w:cs="Times New Roman"/>
          <w:b/>
          <w:bCs/>
          <w:color w:val="000000"/>
          <w:kern w:val="0"/>
          <w:sz w:val="20"/>
          <w:szCs w:val="24"/>
          <w:lang w:val="en-US"/>
          <w14:ligatures w14:val="none"/>
        </w:rPr>
        <w:t xml:space="preserve">FIGURE </w:t>
      </w:r>
      <w:r w:rsidR="00860D08">
        <w:rPr>
          <w:rFonts w:eastAsia="Calibri" w:cs="Times New Roman"/>
          <w:b/>
          <w:bCs/>
          <w:color w:val="000000"/>
          <w:kern w:val="0"/>
          <w:sz w:val="20"/>
          <w:szCs w:val="24"/>
          <w:lang w:val="en-US"/>
          <w14:ligatures w14:val="none"/>
        </w:rPr>
        <w:t>2</w:t>
      </w:r>
      <w:r w:rsidRPr="00196F43">
        <w:rPr>
          <w:rFonts w:eastAsia="Calibri" w:cs="Times New Roman"/>
          <w:b/>
          <w:bCs/>
          <w:color w:val="000000"/>
          <w:kern w:val="0"/>
          <w:sz w:val="20"/>
          <w:szCs w:val="24"/>
          <w:lang w:val="en-US"/>
          <w14:ligatures w14:val="none"/>
        </w:rPr>
        <w:t>.</w:t>
      </w:r>
      <w:r>
        <w:rPr>
          <w:rFonts w:eastAsia="Calibri" w:cs="Times New Roman"/>
          <w:color w:val="000000"/>
          <w:kern w:val="0"/>
          <w:sz w:val="20"/>
          <w:szCs w:val="24"/>
          <w:lang w:val="en-US"/>
          <w14:ligatures w14:val="none"/>
        </w:rPr>
        <w:t xml:space="preserve"> </w:t>
      </w:r>
      <w:r w:rsidRPr="00196F43">
        <w:rPr>
          <w:rFonts w:eastAsia="Calibri" w:cs="Times New Roman"/>
          <w:color w:val="000000"/>
          <w:kern w:val="0"/>
          <w:sz w:val="20"/>
          <w:szCs w:val="24"/>
          <w:lang w:val="en-US"/>
          <w14:ligatures w14:val="none"/>
        </w:rPr>
        <w:t>Amount of precipitation observed in Namangan region in 2017-2023 (in months, mm)</w:t>
      </w:r>
    </w:p>
    <w:p w14:paraId="10EB9D02" w14:textId="2C58A170" w:rsidR="00BB2BE5" w:rsidRPr="0093554C" w:rsidRDefault="00BB2BE5" w:rsidP="004945AD">
      <w:pPr>
        <w:spacing w:after="0"/>
        <w:jc w:val="center"/>
        <w:rPr>
          <w:sz w:val="20"/>
          <w:szCs w:val="20"/>
          <w:lang w:val="en-GB"/>
        </w:rPr>
      </w:pPr>
      <w:r w:rsidRPr="0093554C">
        <w:rPr>
          <w:noProof/>
          <w:sz w:val="20"/>
          <w:szCs w:val="20"/>
          <w:lang w:val="en-US"/>
        </w:rPr>
        <w:drawing>
          <wp:inline distT="0" distB="0" distL="0" distR="0" wp14:anchorId="5F361722" wp14:editId="5EC368C7">
            <wp:extent cx="4117284" cy="2301240"/>
            <wp:effectExtent l="0" t="0" r="0" b="3810"/>
            <wp:docPr id="2892485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48578" name=""/>
                    <pic:cNvPicPr/>
                  </pic:nvPicPr>
                  <pic:blipFill rotWithShape="1">
                    <a:blip r:embed="rId11"/>
                    <a:srcRect l="24069" t="24019" r="24952" b="18893"/>
                    <a:stretch>
                      <a:fillRect/>
                    </a:stretch>
                  </pic:blipFill>
                  <pic:spPr bwMode="auto">
                    <a:xfrm>
                      <a:off x="0" y="0"/>
                      <a:ext cx="4158078" cy="2324041"/>
                    </a:xfrm>
                    <a:prstGeom prst="rect">
                      <a:avLst/>
                    </a:prstGeom>
                    <a:ln>
                      <a:noFill/>
                    </a:ln>
                    <a:extLst>
                      <a:ext uri="{53640926-AAD7-44D8-BBD7-CCE9431645EC}">
                        <a14:shadowObscured xmlns:a14="http://schemas.microsoft.com/office/drawing/2010/main"/>
                      </a:ext>
                    </a:extLst>
                  </pic:spPr>
                </pic:pic>
              </a:graphicData>
            </a:graphic>
          </wp:inline>
        </w:drawing>
      </w:r>
    </w:p>
    <w:p w14:paraId="62F425A7" w14:textId="3559FE92" w:rsidR="00B10D32" w:rsidRPr="0093554C" w:rsidRDefault="00B10D32" w:rsidP="00B10D32">
      <w:pPr>
        <w:spacing w:after="0"/>
        <w:jc w:val="both"/>
        <w:rPr>
          <w:sz w:val="20"/>
          <w:szCs w:val="20"/>
          <w:lang w:val="en-GB"/>
        </w:rPr>
      </w:pPr>
    </w:p>
    <w:p w14:paraId="17C708B0" w14:textId="7189D1F8" w:rsidR="00B10D32" w:rsidRDefault="003279A2" w:rsidP="00BB2BE5">
      <w:pPr>
        <w:spacing w:after="0"/>
        <w:jc w:val="center"/>
        <w:rPr>
          <w:sz w:val="20"/>
          <w:szCs w:val="20"/>
          <w:lang w:val="en-GB"/>
        </w:rPr>
      </w:pPr>
      <w:r w:rsidRPr="003279A2">
        <w:rPr>
          <w:b/>
          <w:bCs/>
          <w:sz w:val="20"/>
          <w:szCs w:val="20"/>
          <w:lang w:val="en-GB"/>
        </w:rPr>
        <w:t>FIGURE</w:t>
      </w:r>
      <w:r>
        <w:rPr>
          <w:b/>
          <w:bCs/>
          <w:sz w:val="20"/>
          <w:szCs w:val="20"/>
          <w:lang w:val="en-GB"/>
        </w:rPr>
        <w:t xml:space="preserve"> </w:t>
      </w:r>
      <w:r w:rsidR="00341601">
        <w:rPr>
          <w:b/>
          <w:bCs/>
          <w:sz w:val="20"/>
          <w:szCs w:val="20"/>
          <w:lang w:val="en-GB"/>
        </w:rPr>
        <w:t>3</w:t>
      </w:r>
      <w:r w:rsidRPr="003279A2">
        <w:rPr>
          <w:b/>
          <w:bCs/>
          <w:sz w:val="20"/>
          <w:szCs w:val="20"/>
          <w:lang w:val="en-GB"/>
        </w:rPr>
        <w:t>.</w:t>
      </w:r>
      <w:r>
        <w:rPr>
          <w:sz w:val="20"/>
          <w:szCs w:val="20"/>
          <w:lang w:val="en-GB"/>
        </w:rPr>
        <w:t xml:space="preserve"> </w:t>
      </w:r>
      <w:r w:rsidR="00B10D32" w:rsidRPr="0093554C">
        <w:rPr>
          <w:sz w:val="20"/>
          <w:szCs w:val="20"/>
          <w:lang w:val="en-GB"/>
        </w:rPr>
        <w:t>Map of mudflow hazard zoning of the Namangan region using the method of component analysis(superimposition)</w:t>
      </w:r>
    </w:p>
    <w:p w14:paraId="14A13E2B" w14:textId="77777777" w:rsidR="00AA1F4D" w:rsidRDefault="00AA1F4D" w:rsidP="00AA1F4D">
      <w:pPr>
        <w:overflowPunct w:val="0"/>
        <w:autoSpaceDE w:val="0"/>
        <w:autoSpaceDN w:val="0"/>
        <w:adjustRightInd w:val="0"/>
        <w:spacing w:before="240" w:after="240"/>
        <w:jc w:val="center"/>
        <w:textAlignment w:val="baseline"/>
        <w:rPr>
          <w:rFonts w:eastAsia="Times New Roman" w:cs="Times New Roman"/>
          <w:b/>
          <w:sz w:val="24"/>
          <w:szCs w:val="24"/>
          <w:lang w:val="uz-Latn-UZ" w:eastAsia="de-DE"/>
        </w:rPr>
      </w:pPr>
      <w:r w:rsidRPr="009521DC">
        <w:rPr>
          <w:rFonts w:eastAsia="Times New Roman" w:cs="Times New Roman"/>
          <w:b/>
          <w:sz w:val="24"/>
          <w:szCs w:val="24"/>
          <w:lang w:val="en-GB" w:eastAsia="de-DE"/>
        </w:rPr>
        <w:t>RESEARCH RESULTS</w:t>
      </w:r>
    </w:p>
    <w:p w14:paraId="0EB57AA3" w14:textId="58A1535F" w:rsidR="00860D08" w:rsidRDefault="00860D08" w:rsidP="00431B0C">
      <w:pPr>
        <w:spacing w:after="0"/>
        <w:ind w:firstLine="284"/>
        <w:jc w:val="both"/>
        <w:rPr>
          <w:rFonts w:eastAsia="Calibri" w:cs="Times New Roman"/>
          <w:color w:val="000000"/>
          <w:kern w:val="0"/>
          <w:sz w:val="20"/>
          <w:szCs w:val="24"/>
          <w:lang w:val="en-US"/>
          <w14:ligatures w14:val="none"/>
        </w:rPr>
      </w:pPr>
      <w:r w:rsidRPr="00860D08">
        <w:rPr>
          <w:rFonts w:eastAsia="Calibri" w:cs="Times New Roman"/>
          <w:color w:val="000000"/>
          <w:kern w:val="0"/>
          <w:sz w:val="20"/>
          <w:szCs w:val="24"/>
          <w:lang w:val="en-US"/>
          <w14:ligatures w14:val="none"/>
        </w:rPr>
        <w:t>Topographic and geomorphological factors are factors influencing the occurrence of mudflows and their impact on roads and other civilian facilities. It is necessary to take into account the geographical location of the regionalized territory, its relief and slope, mudflow basins, their area and slope, and the stability and infiltration properties of the soil and the amount of water lost in them. The topographic and geomorphological features of the area where mudflows may occur provide dynamic energy for mudflows, i.e., the speed of the mudflow, the type of solid phase in its composition, and the proportion of its composition.</w:t>
      </w:r>
    </w:p>
    <w:p w14:paraId="19DF0E17" w14:textId="38B0DADB" w:rsidR="00860D08" w:rsidRPr="00860D08" w:rsidRDefault="00860D08" w:rsidP="00431B0C">
      <w:pPr>
        <w:spacing w:after="0"/>
        <w:ind w:firstLine="284"/>
        <w:jc w:val="both"/>
        <w:rPr>
          <w:rFonts w:eastAsia="Calibri" w:cs="Times New Roman"/>
          <w:color w:val="000000"/>
          <w:kern w:val="0"/>
          <w:sz w:val="20"/>
          <w:szCs w:val="24"/>
          <w:lang w:val="en-US"/>
          <w14:ligatures w14:val="none"/>
        </w:rPr>
      </w:pPr>
      <w:r w:rsidRPr="00860D08">
        <w:rPr>
          <w:rFonts w:eastAsia="Calibri" w:cs="Times New Roman"/>
          <w:color w:val="000000"/>
          <w:kern w:val="0"/>
          <w:sz w:val="20"/>
          <w:szCs w:val="24"/>
          <w:lang w:val="en-US"/>
          <w14:ligatures w14:val="none"/>
        </w:rPr>
        <w:t>As a result of studying and analyzing the above-mentioned geomorphological and hydrometeorological features of the Namangan region, maps were developed using the QGIS 2.28.3 program, and a zoning map of the Namangan region for mudflow hazard was developed using the method of component analysis for the effective design and operation of roads and artificial structures for the impact of mudflows on highways.</w:t>
      </w:r>
    </w:p>
    <w:p w14:paraId="78DBE36D" w14:textId="77777777" w:rsidR="004945AD" w:rsidRPr="0093554C" w:rsidRDefault="004945AD" w:rsidP="00BB2BE5">
      <w:pPr>
        <w:spacing w:after="0"/>
        <w:jc w:val="center"/>
        <w:rPr>
          <w:sz w:val="20"/>
          <w:szCs w:val="20"/>
          <w:lang w:val="en-GB"/>
        </w:rPr>
      </w:pPr>
    </w:p>
    <w:p w14:paraId="60FEA518" w14:textId="110866C9" w:rsidR="00B10D32" w:rsidRPr="0093554C" w:rsidRDefault="000D5B5D" w:rsidP="004945AD">
      <w:pPr>
        <w:spacing w:after="0"/>
        <w:jc w:val="center"/>
        <w:rPr>
          <w:sz w:val="20"/>
          <w:szCs w:val="20"/>
          <w:lang w:val="en-GB"/>
        </w:rPr>
      </w:pPr>
      <w:r w:rsidRPr="0093554C">
        <w:rPr>
          <w:noProof/>
          <w:sz w:val="20"/>
          <w:szCs w:val="20"/>
          <w:lang w:val="en-US"/>
        </w:rPr>
        <w:lastRenderedPageBreak/>
        <w:drawing>
          <wp:inline distT="0" distB="0" distL="0" distR="0" wp14:anchorId="0A5BEF2F" wp14:editId="6F7F9DF1">
            <wp:extent cx="4244340" cy="3106345"/>
            <wp:effectExtent l="0" t="0" r="3810" b="0"/>
            <wp:docPr id="4660895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089549" name=""/>
                    <pic:cNvPicPr/>
                  </pic:nvPicPr>
                  <pic:blipFill>
                    <a:blip r:embed="rId12"/>
                    <a:stretch>
                      <a:fillRect/>
                    </a:stretch>
                  </pic:blipFill>
                  <pic:spPr>
                    <a:xfrm>
                      <a:off x="0" y="0"/>
                      <a:ext cx="4266338" cy="3122445"/>
                    </a:xfrm>
                    <a:prstGeom prst="rect">
                      <a:avLst/>
                    </a:prstGeom>
                  </pic:spPr>
                </pic:pic>
              </a:graphicData>
            </a:graphic>
          </wp:inline>
        </w:drawing>
      </w:r>
    </w:p>
    <w:p w14:paraId="68041045" w14:textId="7EB1451D" w:rsidR="00B10D32" w:rsidRDefault="003279A2" w:rsidP="00B10D32">
      <w:pPr>
        <w:spacing w:after="0"/>
        <w:jc w:val="center"/>
        <w:rPr>
          <w:sz w:val="20"/>
          <w:szCs w:val="20"/>
          <w:lang w:val="en-GB"/>
        </w:rPr>
      </w:pPr>
      <w:r w:rsidRPr="003279A2">
        <w:rPr>
          <w:b/>
          <w:bCs/>
          <w:sz w:val="20"/>
          <w:szCs w:val="20"/>
          <w:lang w:val="en-GB"/>
        </w:rPr>
        <w:t xml:space="preserve">FIGURE </w:t>
      </w:r>
      <w:r w:rsidR="00341601">
        <w:rPr>
          <w:b/>
          <w:bCs/>
          <w:sz w:val="20"/>
          <w:szCs w:val="20"/>
          <w:lang w:val="en-GB"/>
        </w:rPr>
        <w:t>4</w:t>
      </w:r>
      <w:r w:rsidRPr="003279A2">
        <w:rPr>
          <w:b/>
          <w:bCs/>
          <w:sz w:val="20"/>
          <w:szCs w:val="20"/>
          <w:lang w:val="en-GB"/>
        </w:rPr>
        <w:t>.</w:t>
      </w:r>
      <w:r>
        <w:rPr>
          <w:sz w:val="20"/>
          <w:szCs w:val="20"/>
          <w:lang w:val="en-GB"/>
        </w:rPr>
        <w:t xml:space="preserve"> </w:t>
      </w:r>
      <w:r w:rsidR="00B10D32" w:rsidRPr="0093554C">
        <w:rPr>
          <w:sz w:val="20"/>
          <w:szCs w:val="20"/>
          <w:lang w:val="en-GB"/>
        </w:rPr>
        <w:t>Zoning map of the Namangan region based on the risk of mudflows</w:t>
      </w:r>
    </w:p>
    <w:p w14:paraId="226B34D4" w14:textId="77777777" w:rsidR="004F0262" w:rsidRPr="0093554C" w:rsidRDefault="004F0262" w:rsidP="00B10D32">
      <w:pPr>
        <w:spacing w:after="0"/>
        <w:jc w:val="center"/>
        <w:rPr>
          <w:sz w:val="20"/>
          <w:szCs w:val="20"/>
          <w:lang w:val="en-GB"/>
        </w:rPr>
      </w:pPr>
    </w:p>
    <w:p w14:paraId="7EF11F9F" w14:textId="7EB55534" w:rsidR="00B10D32" w:rsidRPr="0093554C" w:rsidRDefault="00B10D32" w:rsidP="00431B0C">
      <w:pPr>
        <w:spacing w:after="0"/>
        <w:ind w:firstLine="284"/>
        <w:jc w:val="both"/>
        <w:rPr>
          <w:sz w:val="20"/>
          <w:szCs w:val="20"/>
          <w:lang w:val="en-GB"/>
        </w:rPr>
      </w:pPr>
      <w:r w:rsidRPr="0093554C">
        <w:rPr>
          <w:sz w:val="20"/>
          <w:szCs w:val="20"/>
          <w:lang w:val="en-GB"/>
        </w:rPr>
        <w:t>Figure is divided into four groups according to the danger of the impact of mudflows on highways;</w:t>
      </w:r>
    </w:p>
    <w:p w14:paraId="035720EF" w14:textId="77777777" w:rsidR="00B10D32" w:rsidRPr="0093554C" w:rsidRDefault="00B10D32" w:rsidP="00431B0C">
      <w:pPr>
        <w:spacing w:after="0"/>
        <w:ind w:firstLine="284"/>
        <w:jc w:val="both"/>
        <w:rPr>
          <w:sz w:val="20"/>
          <w:szCs w:val="20"/>
          <w:lang w:val="en-GB"/>
        </w:rPr>
      </w:pPr>
      <w:r w:rsidRPr="0093554C">
        <w:rPr>
          <w:sz w:val="20"/>
          <w:szCs w:val="20"/>
          <w:lang w:val="en-GB"/>
        </w:rPr>
        <w:t>1) low-risk areas - areas where the probability of mudflows occurring is rare, where mudflows do not pose a threat to transport communications, traffic intensity, and human life and health;</w:t>
      </w:r>
    </w:p>
    <w:p w14:paraId="40972234" w14:textId="589B536D" w:rsidR="00B10D32" w:rsidRPr="0093554C" w:rsidRDefault="00B10D32" w:rsidP="00431B0C">
      <w:pPr>
        <w:spacing w:after="0"/>
        <w:ind w:firstLine="284"/>
        <w:jc w:val="both"/>
        <w:rPr>
          <w:sz w:val="20"/>
          <w:szCs w:val="20"/>
          <w:lang w:val="en-GB"/>
        </w:rPr>
      </w:pPr>
      <w:r w:rsidRPr="0093554C">
        <w:rPr>
          <w:sz w:val="20"/>
          <w:szCs w:val="20"/>
          <w:lang w:val="en-GB"/>
        </w:rPr>
        <w:t>2) hazardous areas - areas where mudflows can pose a threat to the operational indicators of transport communications, as well as to human life and health;</w:t>
      </w:r>
    </w:p>
    <w:p w14:paraId="09C32AD2" w14:textId="0107F345" w:rsidR="00B10D32" w:rsidRPr="0093554C" w:rsidRDefault="00B10D32" w:rsidP="00431B0C">
      <w:pPr>
        <w:spacing w:after="0"/>
        <w:ind w:firstLine="284"/>
        <w:jc w:val="both"/>
        <w:rPr>
          <w:sz w:val="20"/>
          <w:szCs w:val="20"/>
          <w:lang w:val="en-GB"/>
        </w:rPr>
      </w:pPr>
      <w:r w:rsidRPr="0093554C">
        <w:rPr>
          <w:sz w:val="20"/>
          <w:szCs w:val="20"/>
          <w:lang w:val="en-GB"/>
        </w:rPr>
        <w:t>3) medium-risk - areas where there is a possibility of mudflows and which can cause serious damage to the operational indicators of transport communications, as well as areas where there is a threat to human life and health;</w:t>
      </w:r>
    </w:p>
    <w:p w14:paraId="09665B0A" w14:textId="50479F7E" w:rsidR="00B10D32" w:rsidRDefault="00B10D32" w:rsidP="00431B0C">
      <w:pPr>
        <w:spacing w:after="0"/>
        <w:ind w:firstLine="284"/>
        <w:jc w:val="both"/>
        <w:rPr>
          <w:sz w:val="20"/>
          <w:szCs w:val="20"/>
          <w:lang w:val="en-GB"/>
        </w:rPr>
      </w:pPr>
      <w:r w:rsidRPr="0093554C">
        <w:rPr>
          <w:sz w:val="20"/>
          <w:szCs w:val="20"/>
          <w:lang w:val="en-GB"/>
        </w:rPr>
        <w:t>4) high-risk - areas with a high probability of frequent mudflows and serious damage to transport communications, as well as a high risk to human life and health.</w:t>
      </w:r>
    </w:p>
    <w:p w14:paraId="2B258EF7" w14:textId="77777777" w:rsidR="004945AD" w:rsidRPr="0093554C" w:rsidRDefault="004945AD" w:rsidP="00B10D32">
      <w:pPr>
        <w:spacing w:after="0"/>
        <w:ind w:firstLine="708"/>
        <w:jc w:val="both"/>
        <w:rPr>
          <w:sz w:val="20"/>
          <w:szCs w:val="20"/>
          <w:lang w:val="en-GB"/>
        </w:rPr>
      </w:pPr>
    </w:p>
    <w:p w14:paraId="745142FE" w14:textId="472E777E" w:rsidR="00B10D32" w:rsidRDefault="00B10D32" w:rsidP="00B10D32">
      <w:pPr>
        <w:spacing w:after="0"/>
        <w:jc w:val="center"/>
        <w:rPr>
          <w:sz w:val="20"/>
          <w:szCs w:val="20"/>
          <w:lang w:val="en-GB"/>
        </w:rPr>
      </w:pPr>
      <w:r w:rsidRPr="0093554C">
        <w:rPr>
          <w:noProof/>
          <w:sz w:val="20"/>
          <w:szCs w:val="20"/>
          <w:lang w:val="en-US"/>
        </w:rPr>
        <w:lastRenderedPageBreak/>
        <w:drawing>
          <wp:inline distT="0" distB="0" distL="0" distR="0" wp14:anchorId="5CAB05D2" wp14:editId="29D0631C">
            <wp:extent cx="4572000" cy="3356610"/>
            <wp:effectExtent l="0" t="0" r="0" b="15240"/>
            <wp:docPr id="702807553" name="Диаграмма 1">
              <a:extLst xmlns:a="http://schemas.openxmlformats.org/drawingml/2006/main">
                <a:ext uri="{FF2B5EF4-FFF2-40B4-BE49-F238E27FC236}">
                  <a16:creationId xmlns:a16="http://schemas.microsoft.com/office/drawing/2014/main" id="{45D740E8-F688-9A3B-8D65-6204B088C2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A767236" w14:textId="77777777" w:rsidR="004945AD" w:rsidRDefault="004945AD" w:rsidP="00B10D32">
      <w:pPr>
        <w:spacing w:after="0"/>
        <w:jc w:val="center"/>
        <w:rPr>
          <w:sz w:val="20"/>
          <w:szCs w:val="20"/>
          <w:lang w:val="en-GB"/>
        </w:rPr>
      </w:pPr>
    </w:p>
    <w:p w14:paraId="2036FBAC" w14:textId="558701EC" w:rsidR="000C620F" w:rsidRDefault="004945AD" w:rsidP="000C620F">
      <w:pPr>
        <w:spacing w:after="0"/>
        <w:jc w:val="center"/>
        <w:rPr>
          <w:sz w:val="20"/>
          <w:szCs w:val="20"/>
          <w:lang w:val="en-GB"/>
        </w:rPr>
      </w:pPr>
      <w:r w:rsidRPr="004945AD">
        <w:rPr>
          <w:b/>
          <w:bCs/>
          <w:sz w:val="20"/>
          <w:szCs w:val="20"/>
          <w:lang w:val="en-GB"/>
        </w:rPr>
        <w:t xml:space="preserve">FIGURE </w:t>
      </w:r>
      <w:r w:rsidR="00341601">
        <w:rPr>
          <w:b/>
          <w:bCs/>
          <w:sz w:val="20"/>
          <w:szCs w:val="20"/>
          <w:lang w:val="en-GB"/>
        </w:rPr>
        <w:t>5</w:t>
      </w:r>
      <w:r>
        <w:rPr>
          <w:sz w:val="20"/>
          <w:szCs w:val="20"/>
          <w:lang w:val="en-GB"/>
        </w:rPr>
        <w:t xml:space="preserve">. </w:t>
      </w:r>
      <w:r w:rsidR="000C620F" w:rsidRPr="0093554C">
        <w:rPr>
          <w:sz w:val="20"/>
          <w:szCs w:val="20"/>
          <w:lang w:val="en-GB"/>
        </w:rPr>
        <w:t xml:space="preserve">Distribution of </w:t>
      </w:r>
      <w:r>
        <w:rPr>
          <w:sz w:val="20"/>
          <w:szCs w:val="20"/>
          <w:lang w:val="en-GB"/>
        </w:rPr>
        <w:t>motorways</w:t>
      </w:r>
      <w:r w:rsidR="000C620F" w:rsidRPr="0093554C">
        <w:rPr>
          <w:sz w:val="20"/>
          <w:szCs w:val="20"/>
          <w:lang w:val="en-GB"/>
        </w:rPr>
        <w:t xml:space="preserve"> in </w:t>
      </w:r>
      <w:r w:rsidRPr="004945AD">
        <w:rPr>
          <w:sz w:val="20"/>
          <w:szCs w:val="20"/>
          <w:lang w:val="en-GB"/>
        </w:rPr>
        <w:t>areas zoned</w:t>
      </w:r>
      <w:r w:rsidR="000C620F" w:rsidRPr="0093554C">
        <w:rPr>
          <w:sz w:val="20"/>
          <w:szCs w:val="20"/>
          <w:lang w:val="en-GB"/>
        </w:rPr>
        <w:t xml:space="preserve"> Namangan region by mudflow hazard</w:t>
      </w:r>
    </w:p>
    <w:p w14:paraId="3953719F" w14:textId="77777777" w:rsidR="00341601" w:rsidRPr="0093554C" w:rsidRDefault="00341601" w:rsidP="000C620F">
      <w:pPr>
        <w:spacing w:after="0"/>
        <w:jc w:val="center"/>
        <w:rPr>
          <w:sz w:val="20"/>
          <w:szCs w:val="20"/>
          <w:lang w:val="en-GB"/>
        </w:rPr>
      </w:pPr>
    </w:p>
    <w:p w14:paraId="6D6E9191" w14:textId="49F823A4" w:rsidR="000C620F" w:rsidRDefault="000C620F" w:rsidP="00431B0C">
      <w:pPr>
        <w:spacing w:after="0"/>
        <w:ind w:firstLine="284"/>
        <w:jc w:val="both"/>
        <w:rPr>
          <w:sz w:val="20"/>
          <w:szCs w:val="20"/>
          <w:lang w:val="en-GB"/>
        </w:rPr>
      </w:pPr>
      <w:r w:rsidRPr="0093554C">
        <w:rPr>
          <w:sz w:val="20"/>
          <w:szCs w:val="20"/>
          <w:lang w:val="en-GB"/>
        </w:rPr>
        <w:t>In the histogram of the distribution of roads by the territory of the region by the danger of mudflows, the largest share of roads passing through the territory of the region is located in mudflow-prone areas. There is a high probability that destructive damage from mudflows will be expected on the highways located in the region in the next 10-20 years. Considering that this causes significant economic and social problems, it is recommended to implement measures to protect highways and artificial structures from the effects of mudflows using the zoning map of the Namangan region for the risk of mudflows.</w:t>
      </w:r>
    </w:p>
    <w:p w14:paraId="20F045A9" w14:textId="77777777" w:rsidR="00341601" w:rsidRPr="00341601" w:rsidRDefault="00341601" w:rsidP="00341601">
      <w:pPr>
        <w:overflowPunct w:val="0"/>
        <w:autoSpaceDE w:val="0"/>
        <w:autoSpaceDN w:val="0"/>
        <w:adjustRightInd w:val="0"/>
        <w:spacing w:before="240" w:after="240"/>
        <w:ind w:firstLine="284"/>
        <w:jc w:val="center"/>
        <w:textAlignment w:val="baseline"/>
        <w:rPr>
          <w:rFonts w:cs="Times New Roman"/>
          <w:b/>
          <w:sz w:val="24"/>
          <w:szCs w:val="24"/>
          <w:lang w:val="en-GB"/>
        </w:rPr>
      </w:pPr>
      <w:r w:rsidRPr="00341601">
        <w:rPr>
          <w:rFonts w:cs="Times New Roman"/>
          <w:b/>
          <w:sz w:val="24"/>
          <w:szCs w:val="24"/>
          <w:lang w:val="en-GB"/>
        </w:rPr>
        <w:t>CONCLUSIONS</w:t>
      </w:r>
    </w:p>
    <w:p w14:paraId="70C06BB0" w14:textId="2E53118A" w:rsidR="00341601" w:rsidRDefault="00341601" w:rsidP="00431B0C">
      <w:pPr>
        <w:spacing w:after="0"/>
        <w:ind w:firstLine="284"/>
        <w:jc w:val="both"/>
        <w:rPr>
          <w:sz w:val="20"/>
          <w:szCs w:val="20"/>
          <w:lang w:val="en-GB"/>
        </w:rPr>
      </w:pPr>
      <w:r w:rsidRPr="00341601">
        <w:rPr>
          <w:sz w:val="20"/>
          <w:szCs w:val="20"/>
          <w:lang w:val="en-GB"/>
        </w:rPr>
        <w:t xml:space="preserve">In this study, the 12.5 m resolution DEM data were used in the </w:t>
      </w:r>
      <w:r>
        <w:rPr>
          <w:sz w:val="20"/>
          <w:szCs w:val="20"/>
          <w:lang w:val="en-GB"/>
        </w:rPr>
        <w:t>QGIS-2.28.3</w:t>
      </w:r>
      <w:r w:rsidRPr="00341601">
        <w:rPr>
          <w:sz w:val="20"/>
          <w:szCs w:val="20"/>
          <w:lang w:val="en-GB"/>
        </w:rPr>
        <w:t xml:space="preserve"> to identify the regional debris flow susceptibility. The results were first validated using the actual disaster point data combined with remote sensing images, and then the regional disaster risk was further evaluated. The main conclusions reached are follows:</w:t>
      </w:r>
    </w:p>
    <w:p w14:paraId="05978351" w14:textId="77777777" w:rsidR="00431B0C" w:rsidRPr="00431B0C" w:rsidRDefault="00431B0C" w:rsidP="00431B0C">
      <w:pPr>
        <w:spacing w:after="0"/>
        <w:ind w:firstLine="284"/>
        <w:jc w:val="both"/>
        <w:rPr>
          <w:sz w:val="20"/>
          <w:szCs w:val="20"/>
          <w:lang w:val="en-GB"/>
        </w:rPr>
      </w:pPr>
      <w:r w:rsidRPr="00431B0C">
        <w:rPr>
          <w:sz w:val="20"/>
          <w:szCs w:val="20"/>
          <w:lang w:val="en-GB"/>
        </w:rPr>
        <w:t>The formation of mudflows and their orographic features were determined. At the same time, it was established that 60% of the region's territory is up to 1000 m above sea level, 18% up to 2000 m, and 22% above 2000 m;</w:t>
      </w:r>
    </w:p>
    <w:p w14:paraId="20955E8B" w14:textId="77777777" w:rsidR="00431B0C" w:rsidRPr="00431B0C" w:rsidRDefault="00431B0C" w:rsidP="00431B0C">
      <w:pPr>
        <w:spacing w:after="0"/>
        <w:ind w:firstLine="284"/>
        <w:jc w:val="both"/>
        <w:rPr>
          <w:sz w:val="20"/>
          <w:szCs w:val="20"/>
          <w:lang w:val="en-GB"/>
        </w:rPr>
      </w:pPr>
      <w:r w:rsidRPr="00431B0C">
        <w:rPr>
          <w:sz w:val="20"/>
          <w:szCs w:val="20"/>
          <w:lang w:val="en-GB"/>
        </w:rPr>
        <w:t>It was established that the amount of precipitation observed in the northwestern regions of the region is 1.5-3 times higher than in other regions;</w:t>
      </w:r>
    </w:p>
    <w:p w14:paraId="1D58C31B" w14:textId="77777777" w:rsidR="00431B0C" w:rsidRPr="00431B0C" w:rsidRDefault="00431B0C" w:rsidP="00431B0C">
      <w:pPr>
        <w:spacing w:after="0"/>
        <w:ind w:firstLine="284"/>
        <w:jc w:val="both"/>
        <w:rPr>
          <w:sz w:val="20"/>
          <w:szCs w:val="20"/>
          <w:lang w:val="en-GB"/>
        </w:rPr>
      </w:pPr>
      <w:r w:rsidRPr="00431B0C">
        <w:rPr>
          <w:sz w:val="20"/>
          <w:szCs w:val="20"/>
          <w:lang w:val="en-GB"/>
        </w:rPr>
        <w:t>From the northern regions of the large and high-water flood basins of the region, the confluence of the Syr Darya River into the south was observed;</w:t>
      </w:r>
    </w:p>
    <w:p w14:paraId="714196A8" w14:textId="77777777" w:rsidR="00431B0C" w:rsidRPr="00431B0C" w:rsidRDefault="00431B0C" w:rsidP="00431B0C">
      <w:pPr>
        <w:spacing w:after="0"/>
        <w:ind w:firstLine="284"/>
        <w:jc w:val="both"/>
        <w:rPr>
          <w:sz w:val="20"/>
          <w:szCs w:val="20"/>
          <w:lang w:val="en-GB"/>
        </w:rPr>
      </w:pPr>
      <w:r w:rsidRPr="00431B0C">
        <w:rPr>
          <w:sz w:val="20"/>
          <w:szCs w:val="20"/>
          <w:lang w:val="en-GB"/>
        </w:rPr>
        <w:t xml:space="preserve">It was established that destructive mudflows are observed in the southwestern part of the region and in the </w:t>
      </w:r>
      <w:proofErr w:type="spellStart"/>
      <w:r w:rsidRPr="00431B0C">
        <w:rPr>
          <w:sz w:val="20"/>
          <w:szCs w:val="20"/>
          <w:lang w:val="en-GB"/>
        </w:rPr>
        <w:t>Kasansay</w:t>
      </w:r>
      <w:proofErr w:type="spellEnd"/>
      <w:r w:rsidRPr="00431B0C">
        <w:rPr>
          <w:sz w:val="20"/>
          <w:szCs w:val="20"/>
          <w:lang w:val="en-GB"/>
        </w:rPr>
        <w:t xml:space="preserve"> mudflow basin;</w:t>
      </w:r>
    </w:p>
    <w:p w14:paraId="77E2DEBD" w14:textId="7C3D9F8B" w:rsidR="00431B0C" w:rsidRDefault="00431B0C" w:rsidP="00431B0C">
      <w:pPr>
        <w:spacing w:after="0"/>
        <w:ind w:firstLine="284"/>
        <w:jc w:val="both"/>
        <w:rPr>
          <w:sz w:val="20"/>
          <w:szCs w:val="20"/>
          <w:lang w:val="en-GB"/>
        </w:rPr>
      </w:pPr>
      <w:r w:rsidRPr="00431B0C">
        <w:rPr>
          <w:sz w:val="20"/>
          <w:szCs w:val="20"/>
          <w:lang w:val="en-GB"/>
        </w:rPr>
        <w:t>It was established that in terms of the scale of damage and the level of danger of mudflows to transport communications, they are most often observed in the Pap district;</w:t>
      </w:r>
    </w:p>
    <w:p w14:paraId="038D0351" w14:textId="77777777" w:rsidR="00431B0C" w:rsidRPr="00431B0C" w:rsidRDefault="00431B0C" w:rsidP="00431B0C">
      <w:pPr>
        <w:spacing w:after="0"/>
        <w:ind w:firstLine="284"/>
        <w:jc w:val="both"/>
        <w:rPr>
          <w:sz w:val="20"/>
          <w:szCs w:val="20"/>
          <w:lang w:val="en-GB"/>
        </w:rPr>
      </w:pPr>
      <w:r w:rsidRPr="00431B0C">
        <w:rPr>
          <w:sz w:val="20"/>
          <w:szCs w:val="20"/>
          <w:lang w:val="en-GB"/>
        </w:rPr>
        <w:t>During the study, areas with a high impact of mudflows on highways in the Namangan region were identified;</w:t>
      </w:r>
    </w:p>
    <w:p w14:paraId="50E0BEE9" w14:textId="46DBB216" w:rsidR="00AA1F4D" w:rsidRPr="0093554C" w:rsidRDefault="00431B0C" w:rsidP="00431B0C">
      <w:pPr>
        <w:spacing w:after="0"/>
        <w:ind w:firstLine="284"/>
        <w:jc w:val="both"/>
        <w:rPr>
          <w:sz w:val="20"/>
          <w:szCs w:val="20"/>
          <w:lang w:val="en-GB"/>
        </w:rPr>
      </w:pPr>
      <w:r w:rsidRPr="00431B0C">
        <w:rPr>
          <w:sz w:val="20"/>
          <w:szCs w:val="20"/>
          <w:lang w:val="en-GB"/>
        </w:rPr>
        <w:t>A regionalization map of the Namangan region has been developed according to the degree of danger of mudflows to highways. The distribution of the road network by districts has been determined.</w:t>
      </w:r>
    </w:p>
    <w:p w14:paraId="26C114F1" w14:textId="77777777" w:rsidR="001208F8" w:rsidRDefault="001208F8">
      <w:pPr>
        <w:spacing w:line="259" w:lineRule="auto"/>
        <w:rPr>
          <w:rFonts w:cs="Times New Roman"/>
          <w:b/>
          <w:kern w:val="0"/>
          <w:sz w:val="24"/>
          <w:szCs w:val="24"/>
          <w:lang w:val="en-US"/>
          <w14:ligatures w14:val="none"/>
        </w:rPr>
      </w:pPr>
      <w:r>
        <w:rPr>
          <w:rFonts w:cs="Times New Roman"/>
          <w:b/>
          <w:kern w:val="0"/>
          <w:sz w:val="24"/>
          <w:szCs w:val="24"/>
          <w:lang w:val="en-US"/>
          <w14:ligatures w14:val="none"/>
        </w:rPr>
        <w:br w:type="page"/>
      </w:r>
    </w:p>
    <w:p w14:paraId="62223222" w14:textId="5320A75A" w:rsidR="000C620F" w:rsidRPr="004945AD" w:rsidRDefault="000C620F" w:rsidP="004945AD">
      <w:pPr>
        <w:overflowPunct w:val="0"/>
        <w:autoSpaceDE w:val="0"/>
        <w:autoSpaceDN w:val="0"/>
        <w:adjustRightInd w:val="0"/>
        <w:spacing w:before="240" w:after="240"/>
        <w:ind w:firstLine="284"/>
        <w:jc w:val="center"/>
        <w:textAlignment w:val="baseline"/>
        <w:rPr>
          <w:rFonts w:cs="Times New Roman"/>
          <w:b/>
          <w:kern w:val="0"/>
          <w:sz w:val="24"/>
          <w:szCs w:val="24"/>
          <w:lang w:val="en-US"/>
          <w14:ligatures w14:val="none"/>
        </w:rPr>
      </w:pPr>
      <w:r w:rsidRPr="004945AD">
        <w:rPr>
          <w:rFonts w:cs="Times New Roman"/>
          <w:b/>
          <w:kern w:val="0"/>
          <w:sz w:val="24"/>
          <w:szCs w:val="24"/>
          <w:lang w:val="en-US"/>
          <w14:ligatures w14:val="none"/>
        </w:rPr>
        <w:lastRenderedPageBreak/>
        <w:t>REFERENCES</w:t>
      </w:r>
    </w:p>
    <w:p w14:paraId="1C412DC1" w14:textId="7C2871F4" w:rsidR="000D5B5D" w:rsidRPr="005D009E" w:rsidRDefault="00406DCE" w:rsidP="005D009E">
      <w:pPr>
        <w:pStyle w:val="a7"/>
        <w:numPr>
          <w:ilvl w:val="0"/>
          <w:numId w:val="1"/>
        </w:numPr>
        <w:tabs>
          <w:tab w:val="left" w:pos="284"/>
        </w:tabs>
        <w:spacing w:after="0"/>
        <w:ind w:left="0" w:firstLine="0"/>
        <w:jc w:val="both"/>
        <w:rPr>
          <w:sz w:val="20"/>
          <w:szCs w:val="20"/>
          <w:lang w:val="en-GB"/>
        </w:rPr>
      </w:pPr>
      <w:r w:rsidRPr="0093554C">
        <w:rPr>
          <w:sz w:val="20"/>
          <w:szCs w:val="20"/>
          <w:lang w:val="en-GB"/>
        </w:rPr>
        <w:t xml:space="preserve">R. </w:t>
      </w:r>
      <w:r w:rsidRPr="005D009E">
        <w:rPr>
          <w:sz w:val="20"/>
          <w:szCs w:val="20"/>
          <w:lang w:val="en-GB"/>
        </w:rPr>
        <w:t xml:space="preserve">Hudaykulov, D. </w:t>
      </w:r>
      <w:proofErr w:type="spellStart"/>
      <w:r w:rsidRPr="005D009E">
        <w:rPr>
          <w:sz w:val="20"/>
          <w:szCs w:val="20"/>
          <w:lang w:val="en-GB"/>
        </w:rPr>
        <w:t>Makhmudova</w:t>
      </w:r>
      <w:proofErr w:type="spellEnd"/>
      <w:r w:rsidRPr="005D009E">
        <w:rPr>
          <w:sz w:val="20"/>
          <w:szCs w:val="20"/>
          <w:lang w:val="en-GB"/>
        </w:rPr>
        <w:t xml:space="preserve">, D. </w:t>
      </w:r>
      <w:proofErr w:type="spellStart"/>
      <w:r w:rsidRPr="005D009E">
        <w:rPr>
          <w:sz w:val="20"/>
          <w:szCs w:val="20"/>
          <w:lang w:val="en-GB"/>
        </w:rPr>
        <w:t>Kayumov</w:t>
      </w:r>
      <w:proofErr w:type="spellEnd"/>
      <w:r w:rsidRPr="005D009E">
        <w:rPr>
          <w:sz w:val="20"/>
          <w:szCs w:val="20"/>
          <w:lang w:val="en-GB"/>
        </w:rPr>
        <w:t xml:space="preserve"> and O. </w:t>
      </w:r>
      <w:proofErr w:type="spellStart"/>
      <w:r w:rsidRPr="005D009E">
        <w:rPr>
          <w:sz w:val="20"/>
          <w:szCs w:val="20"/>
          <w:lang w:val="en-GB"/>
        </w:rPr>
        <w:t>Zafarov</w:t>
      </w:r>
      <w:proofErr w:type="spellEnd"/>
      <w:r w:rsidRPr="005D009E">
        <w:rPr>
          <w:sz w:val="20"/>
          <w:szCs w:val="20"/>
          <w:lang w:val="en-GB"/>
        </w:rPr>
        <w:t xml:space="preserve"> Filter leaching of salt soils of automobile roads, E3S Web of Conferences 264, 02032 (2021) </w:t>
      </w:r>
      <w:hyperlink r:id="rId14" w:history="1">
        <w:r w:rsidRPr="005D009E">
          <w:rPr>
            <w:rStyle w:val="ae"/>
            <w:sz w:val="20"/>
            <w:szCs w:val="20"/>
            <w:lang w:val="en-GB"/>
          </w:rPr>
          <w:t>https://doi.org/10.1051/e3sconf/202126402032</w:t>
        </w:r>
      </w:hyperlink>
    </w:p>
    <w:p w14:paraId="7201166B" w14:textId="416AAA43" w:rsidR="00406DCE" w:rsidRPr="005D009E" w:rsidRDefault="00406DCE" w:rsidP="005D009E">
      <w:pPr>
        <w:pStyle w:val="a7"/>
        <w:numPr>
          <w:ilvl w:val="0"/>
          <w:numId w:val="1"/>
        </w:numPr>
        <w:tabs>
          <w:tab w:val="left" w:pos="284"/>
        </w:tabs>
        <w:spacing w:after="0"/>
        <w:ind w:left="0" w:firstLine="0"/>
        <w:jc w:val="both"/>
        <w:rPr>
          <w:sz w:val="20"/>
          <w:szCs w:val="20"/>
          <w:lang w:val="en-GB"/>
        </w:rPr>
      </w:pPr>
      <w:r w:rsidRPr="005D009E">
        <w:rPr>
          <w:sz w:val="20"/>
          <w:szCs w:val="20"/>
          <w:lang w:val="en-GB"/>
        </w:rPr>
        <w:t xml:space="preserve">A. Kayumov, B. Salimova, R. </w:t>
      </w:r>
      <w:proofErr w:type="spellStart"/>
      <w:r w:rsidRPr="005D009E">
        <w:rPr>
          <w:sz w:val="20"/>
          <w:szCs w:val="20"/>
          <w:lang w:val="en-GB"/>
        </w:rPr>
        <w:t>Khakimova</w:t>
      </w:r>
      <w:proofErr w:type="spellEnd"/>
      <w:r w:rsidRPr="005D009E">
        <w:rPr>
          <w:sz w:val="20"/>
          <w:szCs w:val="20"/>
          <w:lang w:val="en-GB"/>
        </w:rPr>
        <w:t xml:space="preserve"> and A. </w:t>
      </w:r>
      <w:proofErr w:type="spellStart"/>
      <w:r w:rsidRPr="005D009E">
        <w:rPr>
          <w:sz w:val="20"/>
          <w:szCs w:val="20"/>
          <w:lang w:val="en-GB"/>
        </w:rPr>
        <w:t>Kayumov</w:t>
      </w:r>
      <w:proofErr w:type="spellEnd"/>
      <w:r w:rsidRPr="005D009E">
        <w:rPr>
          <w:sz w:val="20"/>
          <w:szCs w:val="20"/>
          <w:lang w:val="en-GB"/>
        </w:rPr>
        <w:t xml:space="preserve"> Strengthening the roadbed of highways using soil stabilizers, E3S Web of Conferences 264, 02012 (2021) </w:t>
      </w:r>
      <w:hyperlink r:id="rId15" w:history="1">
        <w:r w:rsidRPr="005D009E">
          <w:rPr>
            <w:rStyle w:val="ae"/>
            <w:sz w:val="20"/>
            <w:szCs w:val="20"/>
            <w:lang w:val="en-US"/>
          </w:rPr>
          <w:t>https://doi.org/10.1051/e3sconf/202126402012</w:t>
        </w:r>
      </w:hyperlink>
    </w:p>
    <w:p w14:paraId="3867B765" w14:textId="3A35D273" w:rsidR="00406DCE" w:rsidRPr="005D009E" w:rsidRDefault="00406DCE" w:rsidP="005D009E">
      <w:pPr>
        <w:pStyle w:val="a7"/>
        <w:numPr>
          <w:ilvl w:val="0"/>
          <w:numId w:val="1"/>
        </w:numPr>
        <w:tabs>
          <w:tab w:val="left" w:pos="284"/>
        </w:tabs>
        <w:spacing w:after="0"/>
        <w:ind w:left="0" w:firstLine="0"/>
        <w:jc w:val="both"/>
        <w:rPr>
          <w:sz w:val="20"/>
          <w:szCs w:val="20"/>
          <w:lang w:val="en-GB"/>
        </w:rPr>
      </w:pPr>
      <w:r w:rsidRPr="005D009E">
        <w:rPr>
          <w:sz w:val="20"/>
          <w:szCs w:val="20"/>
          <w:lang w:val="en-GB"/>
        </w:rPr>
        <w:t xml:space="preserve">B. Salimova, A. Tulyaganov, R. </w:t>
      </w:r>
      <w:proofErr w:type="spellStart"/>
      <w:r w:rsidRPr="005D009E">
        <w:rPr>
          <w:sz w:val="20"/>
          <w:szCs w:val="20"/>
          <w:lang w:val="en-GB"/>
        </w:rPr>
        <w:t>Khakimova</w:t>
      </w:r>
      <w:proofErr w:type="spellEnd"/>
      <w:r w:rsidRPr="005D009E">
        <w:rPr>
          <w:sz w:val="20"/>
          <w:szCs w:val="20"/>
          <w:lang w:val="en-GB"/>
        </w:rPr>
        <w:t xml:space="preserve"> and P. </w:t>
      </w:r>
      <w:proofErr w:type="spellStart"/>
      <w:r w:rsidRPr="005D009E">
        <w:rPr>
          <w:sz w:val="20"/>
          <w:szCs w:val="20"/>
          <w:lang w:val="en-GB"/>
        </w:rPr>
        <w:t>Muslimova</w:t>
      </w:r>
      <w:proofErr w:type="spellEnd"/>
      <w:r w:rsidRPr="005D009E">
        <w:rPr>
          <w:sz w:val="20"/>
          <w:szCs w:val="20"/>
          <w:lang w:val="en-GB"/>
        </w:rPr>
        <w:t xml:space="preserve"> Methods of determination of morphological indicators in hydrological calculations in the design of roads and road structures, E3S Web of Conferences 264, 02014 (2021) </w:t>
      </w:r>
      <w:hyperlink r:id="rId16" w:history="1">
        <w:r w:rsidRPr="005D009E">
          <w:rPr>
            <w:rStyle w:val="ae"/>
            <w:sz w:val="20"/>
            <w:szCs w:val="20"/>
            <w:lang w:val="en-US"/>
          </w:rPr>
          <w:t>https://doi.org/10.1051/e3sconf/202126402014</w:t>
        </w:r>
      </w:hyperlink>
    </w:p>
    <w:p w14:paraId="78549B3A" w14:textId="5871FE65" w:rsidR="00406DCE" w:rsidRPr="005D009E" w:rsidRDefault="00406DCE" w:rsidP="005D009E">
      <w:pPr>
        <w:pStyle w:val="a7"/>
        <w:numPr>
          <w:ilvl w:val="0"/>
          <w:numId w:val="1"/>
        </w:numPr>
        <w:tabs>
          <w:tab w:val="left" w:pos="284"/>
        </w:tabs>
        <w:spacing w:after="0"/>
        <w:ind w:left="0" w:firstLine="0"/>
        <w:jc w:val="both"/>
        <w:rPr>
          <w:sz w:val="20"/>
          <w:szCs w:val="20"/>
          <w:lang w:val="en-GB"/>
        </w:rPr>
      </w:pPr>
      <w:r w:rsidRPr="005D009E">
        <w:rPr>
          <w:sz w:val="20"/>
          <w:szCs w:val="20"/>
          <w:lang w:val="en-GB"/>
        </w:rPr>
        <w:t xml:space="preserve">A. Kayumov, R. Hudaykulov, B. Salimova, A. </w:t>
      </w:r>
      <w:proofErr w:type="spellStart"/>
      <w:r w:rsidRPr="005D009E">
        <w:rPr>
          <w:sz w:val="20"/>
          <w:szCs w:val="20"/>
          <w:lang w:val="en-GB"/>
        </w:rPr>
        <w:t>Kayumov</w:t>
      </w:r>
      <w:proofErr w:type="spellEnd"/>
      <w:r w:rsidRPr="005D009E">
        <w:rPr>
          <w:sz w:val="20"/>
          <w:szCs w:val="20"/>
          <w:lang w:val="en-GB"/>
        </w:rPr>
        <w:t xml:space="preserve"> Influence of saline soils on smoothness of road surfaces, AIP Conf. Proc. 2432, 030020 (2022) </w:t>
      </w:r>
      <w:hyperlink r:id="rId17" w:history="1">
        <w:r w:rsidRPr="005D009E">
          <w:rPr>
            <w:rStyle w:val="ae"/>
            <w:sz w:val="20"/>
            <w:szCs w:val="20"/>
          </w:rPr>
          <w:t>https://doi.org/10.1063/5.0090257</w:t>
        </w:r>
      </w:hyperlink>
    </w:p>
    <w:p w14:paraId="001E7B56" w14:textId="4299BDD3" w:rsidR="00406DCE" w:rsidRPr="005D009E" w:rsidRDefault="00406DCE" w:rsidP="005D009E">
      <w:pPr>
        <w:pStyle w:val="a7"/>
        <w:numPr>
          <w:ilvl w:val="0"/>
          <w:numId w:val="1"/>
        </w:numPr>
        <w:tabs>
          <w:tab w:val="left" w:pos="284"/>
        </w:tabs>
        <w:spacing w:after="0"/>
        <w:ind w:left="0" w:firstLine="0"/>
        <w:jc w:val="both"/>
        <w:rPr>
          <w:sz w:val="20"/>
          <w:szCs w:val="20"/>
          <w:lang w:val="en-GB"/>
        </w:rPr>
      </w:pPr>
      <w:r w:rsidRPr="005D009E">
        <w:rPr>
          <w:sz w:val="20"/>
          <w:szCs w:val="20"/>
          <w:lang w:val="en-GB"/>
        </w:rPr>
        <w:t xml:space="preserve">B.D. Salimova, R.M. Hudaykulov, D.A. Mahmudova, </w:t>
      </w:r>
      <w:proofErr w:type="spellStart"/>
      <w:r w:rsidRPr="005D009E">
        <w:rPr>
          <w:sz w:val="20"/>
          <w:szCs w:val="20"/>
          <w:lang w:val="en-GB"/>
        </w:rPr>
        <w:t>Kh.D</w:t>
      </w:r>
      <w:proofErr w:type="spellEnd"/>
      <w:r w:rsidRPr="005D009E">
        <w:rPr>
          <w:sz w:val="20"/>
          <w:szCs w:val="20"/>
          <w:lang w:val="en-GB"/>
        </w:rPr>
        <w:t xml:space="preserve">. Abdullaev and X.X. </w:t>
      </w:r>
      <w:proofErr w:type="spellStart"/>
      <w:r w:rsidRPr="005D009E">
        <w:rPr>
          <w:sz w:val="20"/>
          <w:szCs w:val="20"/>
          <w:lang w:val="en-GB"/>
        </w:rPr>
        <w:t>Xayitov</w:t>
      </w:r>
      <w:proofErr w:type="spellEnd"/>
      <w:r w:rsidRPr="005D009E">
        <w:rPr>
          <w:sz w:val="20"/>
          <w:szCs w:val="20"/>
          <w:lang w:val="en-GB"/>
        </w:rPr>
        <w:t xml:space="preserve"> Methods of stabilization of mountain slopes near highways against landslides, E3S Web of Conferences 525, 01004 (2024) </w:t>
      </w:r>
      <w:hyperlink r:id="rId18" w:history="1">
        <w:r w:rsidRPr="005D009E">
          <w:rPr>
            <w:rStyle w:val="ae"/>
            <w:sz w:val="20"/>
            <w:szCs w:val="20"/>
            <w:lang w:val="en-US"/>
          </w:rPr>
          <w:t>https://doi.org/10.1051/e3sconf/202452501004</w:t>
        </w:r>
      </w:hyperlink>
    </w:p>
    <w:p w14:paraId="3783E952" w14:textId="5B917A50" w:rsidR="00406DCE" w:rsidRPr="005D009E" w:rsidRDefault="00406DCE" w:rsidP="005D009E">
      <w:pPr>
        <w:pStyle w:val="a7"/>
        <w:numPr>
          <w:ilvl w:val="0"/>
          <w:numId w:val="1"/>
        </w:numPr>
        <w:tabs>
          <w:tab w:val="left" w:pos="284"/>
        </w:tabs>
        <w:spacing w:after="0"/>
        <w:ind w:left="0" w:firstLine="0"/>
        <w:jc w:val="both"/>
        <w:rPr>
          <w:sz w:val="20"/>
          <w:szCs w:val="20"/>
          <w:lang w:val="en-GB"/>
        </w:rPr>
      </w:pPr>
      <w:r w:rsidRPr="005D009E">
        <w:rPr>
          <w:sz w:val="20"/>
          <w:szCs w:val="20"/>
          <w:lang w:val="en-GB"/>
        </w:rPr>
        <w:t xml:space="preserve">R. Hudaykulov, B. Salimova, D. Aralov, A. </w:t>
      </w:r>
      <w:proofErr w:type="spellStart"/>
      <w:r w:rsidRPr="005D009E">
        <w:rPr>
          <w:sz w:val="20"/>
          <w:szCs w:val="20"/>
          <w:lang w:val="en-GB"/>
        </w:rPr>
        <w:t>Kurbanbaev</w:t>
      </w:r>
      <w:proofErr w:type="spellEnd"/>
      <w:r w:rsidRPr="005D009E">
        <w:rPr>
          <w:sz w:val="20"/>
          <w:szCs w:val="20"/>
          <w:lang w:val="en-GB"/>
        </w:rPr>
        <w:t xml:space="preserve">, and N. Osmonkanov, Review of chemical methods for road pavement stabilization: prospects for application in Uzbekistan, </w:t>
      </w:r>
      <w:proofErr w:type="spellStart"/>
      <w:r w:rsidRPr="005D009E">
        <w:rPr>
          <w:sz w:val="20"/>
          <w:szCs w:val="20"/>
          <w:lang w:val="en-GB"/>
        </w:rPr>
        <w:t>Vibroengineering</w:t>
      </w:r>
      <w:proofErr w:type="spellEnd"/>
      <w:r w:rsidRPr="005D009E">
        <w:rPr>
          <w:sz w:val="20"/>
          <w:szCs w:val="20"/>
          <w:lang w:val="en-GB"/>
        </w:rPr>
        <w:t xml:space="preserve"> Procedia, Vol. 58, pp. 340–346, May 2025, </w:t>
      </w:r>
      <w:hyperlink r:id="rId19" w:history="1">
        <w:r w:rsidRPr="005D009E">
          <w:rPr>
            <w:rStyle w:val="ae"/>
            <w:sz w:val="20"/>
            <w:szCs w:val="20"/>
            <w:lang w:val="en-US"/>
          </w:rPr>
          <w:t>https://doi.org/10.21595/vp.2025.24997</w:t>
        </w:r>
      </w:hyperlink>
    </w:p>
    <w:p w14:paraId="1F04BA6D" w14:textId="20C9CF7A" w:rsidR="00731BCC" w:rsidRPr="005D009E" w:rsidRDefault="00406DCE" w:rsidP="005D009E">
      <w:pPr>
        <w:pStyle w:val="a7"/>
        <w:numPr>
          <w:ilvl w:val="0"/>
          <w:numId w:val="1"/>
        </w:numPr>
        <w:tabs>
          <w:tab w:val="left" w:pos="284"/>
        </w:tabs>
        <w:spacing w:after="0"/>
        <w:ind w:left="0" w:firstLine="0"/>
        <w:jc w:val="both"/>
        <w:rPr>
          <w:sz w:val="20"/>
          <w:szCs w:val="20"/>
          <w:lang w:val="en-GB"/>
        </w:rPr>
      </w:pPr>
      <w:r w:rsidRPr="005D009E">
        <w:rPr>
          <w:sz w:val="20"/>
          <w:szCs w:val="20"/>
          <w:lang w:val="en-GB"/>
        </w:rPr>
        <w:t xml:space="preserve">R. Hudaykulov, B. Salimova, D. Maxmudova, D. </w:t>
      </w:r>
      <w:proofErr w:type="spellStart"/>
      <w:r w:rsidRPr="005D009E">
        <w:rPr>
          <w:sz w:val="20"/>
          <w:szCs w:val="20"/>
          <w:lang w:val="en-GB"/>
        </w:rPr>
        <w:t>Aralov</w:t>
      </w:r>
      <w:proofErr w:type="spellEnd"/>
      <w:r w:rsidRPr="005D009E">
        <w:rPr>
          <w:sz w:val="20"/>
          <w:szCs w:val="20"/>
          <w:lang w:val="en-GB"/>
        </w:rPr>
        <w:t xml:space="preserve"> Effect of modifier on reinforced soil of subgrade, AIP Conf. Proc. 3256, 030002 (2025) </w:t>
      </w:r>
      <w:hyperlink r:id="rId20" w:history="1">
        <w:r w:rsidRPr="005D009E">
          <w:rPr>
            <w:rStyle w:val="ae"/>
            <w:sz w:val="20"/>
            <w:szCs w:val="20"/>
          </w:rPr>
          <w:t>https://doi.org/10.1063/5.0266800</w:t>
        </w:r>
      </w:hyperlink>
    </w:p>
    <w:p w14:paraId="24348D3F" w14:textId="1553B317" w:rsidR="00406DCE" w:rsidRPr="005D009E" w:rsidRDefault="00406DCE" w:rsidP="005D009E">
      <w:pPr>
        <w:pStyle w:val="a7"/>
        <w:numPr>
          <w:ilvl w:val="0"/>
          <w:numId w:val="1"/>
        </w:numPr>
        <w:tabs>
          <w:tab w:val="left" w:pos="284"/>
        </w:tabs>
        <w:spacing w:after="0"/>
        <w:ind w:left="0" w:firstLine="0"/>
        <w:jc w:val="both"/>
        <w:rPr>
          <w:sz w:val="20"/>
          <w:szCs w:val="20"/>
          <w:lang w:val="en-GB"/>
        </w:rPr>
      </w:pPr>
      <w:r w:rsidRPr="005D009E">
        <w:rPr>
          <w:sz w:val="20"/>
          <w:szCs w:val="20"/>
          <w:lang w:val="en-GB"/>
        </w:rPr>
        <w:t xml:space="preserve">S. Djabbarov, Kh. Abdullaev, R. Hudaykulov, M. </w:t>
      </w:r>
      <w:proofErr w:type="spellStart"/>
      <w:r w:rsidRPr="005D009E">
        <w:rPr>
          <w:sz w:val="20"/>
          <w:szCs w:val="20"/>
          <w:lang w:val="en-GB"/>
        </w:rPr>
        <w:t>Muhammadjonov</w:t>
      </w:r>
      <w:proofErr w:type="spellEnd"/>
      <w:r w:rsidRPr="005D009E">
        <w:rPr>
          <w:sz w:val="20"/>
          <w:szCs w:val="20"/>
          <w:lang w:val="en-GB"/>
        </w:rPr>
        <w:t xml:space="preserve"> </w:t>
      </w:r>
      <w:proofErr w:type="spellStart"/>
      <w:r w:rsidRPr="005D009E">
        <w:rPr>
          <w:sz w:val="20"/>
          <w:szCs w:val="20"/>
          <w:lang w:val="en-GB"/>
        </w:rPr>
        <w:t>Modeling</w:t>
      </w:r>
      <w:proofErr w:type="spellEnd"/>
      <w:r w:rsidRPr="005D009E">
        <w:rPr>
          <w:sz w:val="20"/>
          <w:szCs w:val="20"/>
          <w:lang w:val="en-GB"/>
        </w:rPr>
        <w:t xml:space="preserve"> of sand transport through vertical protective barriers protecting roads from moving sands, AIP Conf. Proc. 3256, 030020 (2025) </w:t>
      </w:r>
      <w:hyperlink r:id="rId21" w:history="1">
        <w:r w:rsidR="00731BCC" w:rsidRPr="005D009E">
          <w:rPr>
            <w:rStyle w:val="ae"/>
            <w:sz w:val="20"/>
            <w:szCs w:val="20"/>
            <w:lang w:val="en-GB"/>
          </w:rPr>
          <w:t>https://doi.org/10.1063/5.0266807</w:t>
        </w:r>
      </w:hyperlink>
    </w:p>
    <w:p w14:paraId="6BEDA578" w14:textId="6D231665" w:rsidR="00731BCC" w:rsidRPr="005D009E" w:rsidRDefault="00731BCC" w:rsidP="005D009E">
      <w:pPr>
        <w:pStyle w:val="a7"/>
        <w:numPr>
          <w:ilvl w:val="0"/>
          <w:numId w:val="1"/>
        </w:numPr>
        <w:tabs>
          <w:tab w:val="left" w:pos="284"/>
        </w:tabs>
        <w:spacing w:after="0"/>
        <w:ind w:left="0" w:firstLine="0"/>
        <w:jc w:val="both"/>
        <w:rPr>
          <w:sz w:val="20"/>
          <w:szCs w:val="20"/>
          <w:lang w:val="en-GB"/>
        </w:rPr>
      </w:pPr>
      <w:r w:rsidRPr="005D009E">
        <w:rPr>
          <w:sz w:val="20"/>
          <w:szCs w:val="20"/>
          <w:lang w:val="en-GB"/>
        </w:rPr>
        <w:t xml:space="preserve">A. Kayumov, R. Hudaykulov, D. </w:t>
      </w:r>
      <w:proofErr w:type="spellStart"/>
      <w:r w:rsidRPr="005D009E">
        <w:rPr>
          <w:sz w:val="20"/>
          <w:szCs w:val="20"/>
          <w:lang w:val="en-GB"/>
        </w:rPr>
        <w:t>Kayumov</w:t>
      </w:r>
      <w:proofErr w:type="spellEnd"/>
      <w:r w:rsidRPr="005D009E">
        <w:rPr>
          <w:sz w:val="20"/>
          <w:szCs w:val="20"/>
          <w:lang w:val="en-GB"/>
        </w:rPr>
        <w:t xml:space="preserve"> Methods for preserving soil moisture when constructing the Earth weave, AIP Conf. Proc. 2612, 040010 (2023) https://doi.org/10.1063/5.0113376</w:t>
      </w:r>
    </w:p>
    <w:p w14:paraId="77809D58" w14:textId="77777777" w:rsidR="00731BCC" w:rsidRPr="005D009E" w:rsidRDefault="00731BCC" w:rsidP="005D009E">
      <w:pPr>
        <w:pStyle w:val="a7"/>
        <w:tabs>
          <w:tab w:val="left" w:pos="284"/>
        </w:tabs>
        <w:spacing w:after="0"/>
        <w:ind w:left="0"/>
        <w:jc w:val="both"/>
        <w:rPr>
          <w:sz w:val="20"/>
          <w:szCs w:val="20"/>
          <w:lang w:val="en-GB"/>
        </w:rPr>
      </w:pPr>
    </w:p>
    <w:sectPr w:rsidR="00731BCC" w:rsidRPr="005D009E" w:rsidSect="005979D3">
      <w:pgSz w:w="12242" w:h="15842" w:code="1"/>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D19D0"/>
    <w:multiLevelType w:val="hybridMultilevel"/>
    <w:tmpl w:val="CE38C7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DD655D4"/>
    <w:multiLevelType w:val="hybridMultilevel"/>
    <w:tmpl w:val="7BB69AD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E794DB6"/>
    <w:multiLevelType w:val="hybridMultilevel"/>
    <w:tmpl w:val="0706DCC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299913571">
    <w:abstractNumId w:val="0"/>
  </w:num>
  <w:num w:numId="2" w16cid:durableId="41053876">
    <w:abstractNumId w:val="1"/>
  </w:num>
  <w:num w:numId="3" w16cid:durableId="21102728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D32"/>
    <w:rsid w:val="000C620F"/>
    <w:rsid w:val="000D5B5D"/>
    <w:rsid w:val="00105AB0"/>
    <w:rsid w:val="001066D4"/>
    <w:rsid w:val="001208F8"/>
    <w:rsid w:val="00196F43"/>
    <w:rsid w:val="002638BF"/>
    <w:rsid w:val="003279A2"/>
    <w:rsid w:val="00341601"/>
    <w:rsid w:val="00406DCE"/>
    <w:rsid w:val="00431B0C"/>
    <w:rsid w:val="0047209A"/>
    <w:rsid w:val="004945AD"/>
    <w:rsid w:val="004F0262"/>
    <w:rsid w:val="005952A9"/>
    <w:rsid w:val="005979D3"/>
    <w:rsid w:val="005B67D3"/>
    <w:rsid w:val="005C42D8"/>
    <w:rsid w:val="005D009E"/>
    <w:rsid w:val="005E28A2"/>
    <w:rsid w:val="006C0B77"/>
    <w:rsid w:val="00731BCC"/>
    <w:rsid w:val="007413DA"/>
    <w:rsid w:val="00775F96"/>
    <w:rsid w:val="007D5D0D"/>
    <w:rsid w:val="008126F5"/>
    <w:rsid w:val="008242FF"/>
    <w:rsid w:val="00860D08"/>
    <w:rsid w:val="00870751"/>
    <w:rsid w:val="00882E83"/>
    <w:rsid w:val="00920930"/>
    <w:rsid w:val="00922C48"/>
    <w:rsid w:val="0093554C"/>
    <w:rsid w:val="00951B09"/>
    <w:rsid w:val="009521DC"/>
    <w:rsid w:val="00954E20"/>
    <w:rsid w:val="00A55EF8"/>
    <w:rsid w:val="00AA1F4D"/>
    <w:rsid w:val="00AB21A2"/>
    <w:rsid w:val="00B10D32"/>
    <w:rsid w:val="00B915B7"/>
    <w:rsid w:val="00BA4C55"/>
    <w:rsid w:val="00BB2BE5"/>
    <w:rsid w:val="00BC43E2"/>
    <w:rsid w:val="00C225FD"/>
    <w:rsid w:val="00E27A68"/>
    <w:rsid w:val="00EA59DF"/>
    <w:rsid w:val="00EB779C"/>
    <w:rsid w:val="00EE4070"/>
    <w:rsid w:val="00F12C76"/>
    <w:rsid w:val="00F736CA"/>
    <w:rsid w:val="00FB58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40D75"/>
  <w15:chartTrackingRefBased/>
  <w15:docId w15:val="{6A4DCB44-16D8-4E19-AF31-2ACB4BE8F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sz w:val="28"/>
    </w:rPr>
  </w:style>
  <w:style w:type="paragraph" w:styleId="1">
    <w:name w:val="heading 1"/>
    <w:basedOn w:val="a"/>
    <w:next w:val="a"/>
    <w:link w:val="10"/>
    <w:uiPriority w:val="9"/>
    <w:qFormat/>
    <w:rsid w:val="00B10D32"/>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semiHidden/>
    <w:unhideWhenUsed/>
    <w:qFormat/>
    <w:rsid w:val="00B10D32"/>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B10D32"/>
    <w:pPr>
      <w:keepNext/>
      <w:keepLines/>
      <w:spacing w:before="160" w:after="80"/>
      <w:outlineLvl w:val="2"/>
    </w:pPr>
    <w:rPr>
      <w:rFonts w:asciiTheme="minorHAnsi" w:eastAsiaTheme="majorEastAsia" w:hAnsiTheme="minorHAnsi" w:cstheme="majorBidi"/>
      <w:color w:val="2E74B5" w:themeColor="accent1" w:themeShade="BF"/>
      <w:szCs w:val="28"/>
    </w:rPr>
  </w:style>
  <w:style w:type="paragraph" w:styleId="4">
    <w:name w:val="heading 4"/>
    <w:basedOn w:val="a"/>
    <w:next w:val="a"/>
    <w:link w:val="40"/>
    <w:uiPriority w:val="9"/>
    <w:semiHidden/>
    <w:unhideWhenUsed/>
    <w:qFormat/>
    <w:rsid w:val="00B10D32"/>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5">
    <w:name w:val="heading 5"/>
    <w:basedOn w:val="a"/>
    <w:next w:val="a"/>
    <w:link w:val="50"/>
    <w:uiPriority w:val="9"/>
    <w:semiHidden/>
    <w:unhideWhenUsed/>
    <w:qFormat/>
    <w:rsid w:val="00B10D32"/>
    <w:pPr>
      <w:keepNext/>
      <w:keepLines/>
      <w:spacing w:before="80" w:after="40"/>
      <w:outlineLvl w:val="4"/>
    </w:pPr>
    <w:rPr>
      <w:rFonts w:asciiTheme="minorHAnsi" w:eastAsiaTheme="majorEastAsia" w:hAnsiTheme="minorHAnsi" w:cstheme="majorBidi"/>
      <w:color w:val="2E74B5" w:themeColor="accent1" w:themeShade="BF"/>
    </w:rPr>
  </w:style>
  <w:style w:type="paragraph" w:styleId="6">
    <w:name w:val="heading 6"/>
    <w:basedOn w:val="a"/>
    <w:next w:val="a"/>
    <w:link w:val="60"/>
    <w:uiPriority w:val="9"/>
    <w:semiHidden/>
    <w:unhideWhenUsed/>
    <w:qFormat/>
    <w:rsid w:val="00B10D32"/>
    <w:pPr>
      <w:keepNext/>
      <w:keepLines/>
      <w:spacing w:before="40" w:after="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B10D32"/>
    <w:pPr>
      <w:keepNext/>
      <w:keepLines/>
      <w:spacing w:before="40" w:after="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B10D32"/>
    <w:pPr>
      <w:keepNext/>
      <w:keepLines/>
      <w:spacing w:after="0"/>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B10D32"/>
    <w:pPr>
      <w:keepNext/>
      <w:keepLines/>
      <w:spacing w:after="0"/>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10D32"/>
    <w:rPr>
      <w:rFonts w:asciiTheme="majorHAnsi" w:eastAsiaTheme="majorEastAsia" w:hAnsiTheme="majorHAnsi" w:cstheme="majorBidi"/>
      <w:color w:val="2E74B5" w:themeColor="accent1" w:themeShade="BF"/>
      <w:sz w:val="40"/>
      <w:szCs w:val="40"/>
    </w:rPr>
  </w:style>
  <w:style w:type="character" w:customStyle="1" w:styleId="20">
    <w:name w:val="Заголовок 2 Знак"/>
    <w:basedOn w:val="a0"/>
    <w:link w:val="2"/>
    <w:uiPriority w:val="9"/>
    <w:semiHidden/>
    <w:rsid w:val="00B10D32"/>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semiHidden/>
    <w:rsid w:val="00B10D32"/>
    <w:rPr>
      <w:rFonts w:eastAsiaTheme="majorEastAsia" w:cstheme="majorBidi"/>
      <w:color w:val="2E74B5" w:themeColor="accent1" w:themeShade="BF"/>
      <w:sz w:val="28"/>
      <w:szCs w:val="28"/>
    </w:rPr>
  </w:style>
  <w:style w:type="character" w:customStyle="1" w:styleId="40">
    <w:name w:val="Заголовок 4 Знак"/>
    <w:basedOn w:val="a0"/>
    <w:link w:val="4"/>
    <w:uiPriority w:val="9"/>
    <w:semiHidden/>
    <w:rsid w:val="00B10D32"/>
    <w:rPr>
      <w:rFonts w:eastAsiaTheme="majorEastAsia" w:cstheme="majorBidi"/>
      <w:i/>
      <w:iCs/>
      <w:color w:val="2E74B5" w:themeColor="accent1" w:themeShade="BF"/>
      <w:sz w:val="28"/>
    </w:rPr>
  </w:style>
  <w:style w:type="character" w:customStyle="1" w:styleId="50">
    <w:name w:val="Заголовок 5 Знак"/>
    <w:basedOn w:val="a0"/>
    <w:link w:val="5"/>
    <w:uiPriority w:val="9"/>
    <w:semiHidden/>
    <w:rsid w:val="00B10D32"/>
    <w:rPr>
      <w:rFonts w:eastAsiaTheme="majorEastAsia" w:cstheme="majorBidi"/>
      <w:color w:val="2E74B5" w:themeColor="accent1" w:themeShade="BF"/>
      <w:sz w:val="28"/>
    </w:rPr>
  </w:style>
  <w:style w:type="character" w:customStyle="1" w:styleId="60">
    <w:name w:val="Заголовок 6 Знак"/>
    <w:basedOn w:val="a0"/>
    <w:link w:val="6"/>
    <w:uiPriority w:val="9"/>
    <w:semiHidden/>
    <w:rsid w:val="00B10D32"/>
    <w:rPr>
      <w:rFonts w:eastAsiaTheme="majorEastAsia" w:cstheme="majorBidi"/>
      <w:i/>
      <w:iCs/>
      <w:color w:val="595959" w:themeColor="text1" w:themeTint="A6"/>
      <w:sz w:val="28"/>
    </w:rPr>
  </w:style>
  <w:style w:type="character" w:customStyle="1" w:styleId="70">
    <w:name w:val="Заголовок 7 Знак"/>
    <w:basedOn w:val="a0"/>
    <w:link w:val="7"/>
    <w:uiPriority w:val="9"/>
    <w:semiHidden/>
    <w:rsid w:val="00B10D32"/>
    <w:rPr>
      <w:rFonts w:eastAsiaTheme="majorEastAsia" w:cstheme="majorBidi"/>
      <w:color w:val="595959" w:themeColor="text1" w:themeTint="A6"/>
      <w:sz w:val="28"/>
    </w:rPr>
  </w:style>
  <w:style w:type="character" w:customStyle="1" w:styleId="80">
    <w:name w:val="Заголовок 8 Знак"/>
    <w:basedOn w:val="a0"/>
    <w:link w:val="8"/>
    <w:uiPriority w:val="9"/>
    <w:semiHidden/>
    <w:rsid w:val="00B10D32"/>
    <w:rPr>
      <w:rFonts w:eastAsiaTheme="majorEastAsia" w:cstheme="majorBidi"/>
      <w:i/>
      <w:iCs/>
      <w:color w:val="272727" w:themeColor="text1" w:themeTint="D8"/>
      <w:sz w:val="28"/>
    </w:rPr>
  </w:style>
  <w:style w:type="character" w:customStyle="1" w:styleId="90">
    <w:name w:val="Заголовок 9 Знак"/>
    <w:basedOn w:val="a0"/>
    <w:link w:val="9"/>
    <w:uiPriority w:val="9"/>
    <w:semiHidden/>
    <w:rsid w:val="00B10D32"/>
    <w:rPr>
      <w:rFonts w:eastAsiaTheme="majorEastAsia" w:cstheme="majorBidi"/>
      <w:color w:val="272727" w:themeColor="text1" w:themeTint="D8"/>
      <w:sz w:val="28"/>
    </w:rPr>
  </w:style>
  <w:style w:type="paragraph" w:styleId="a3">
    <w:name w:val="Title"/>
    <w:basedOn w:val="a"/>
    <w:next w:val="a"/>
    <w:link w:val="a4"/>
    <w:uiPriority w:val="10"/>
    <w:qFormat/>
    <w:rsid w:val="00B10D32"/>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B10D3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10D32"/>
    <w:pPr>
      <w:numPr>
        <w:ilvl w:val="1"/>
      </w:numPr>
    </w:pPr>
    <w:rPr>
      <w:rFonts w:asciiTheme="minorHAnsi" w:eastAsiaTheme="majorEastAsia" w:hAnsiTheme="minorHAnsi" w:cstheme="majorBidi"/>
      <w:color w:val="595959" w:themeColor="text1" w:themeTint="A6"/>
      <w:spacing w:val="15"/>
      <w:szCs w:val="28"/>
    </w:rPr>
  </w:style>
  <w:style w:type="character" w:customStyle="1" w:styleId="a6">
    <w:name w:val="Подзаголовок Знак"/>
    <w:basedOn w:val="a0"/>
    <w:link w:val="a5"/>
    <w:uiPriority w:val="11"/>
    <w:rsid w:val="00B10D32"/>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B10D32"/>
    <w:pPr>
      <w:spacing w:before="160"/>
      <w:jc w:val="center"/>
    </w:pPr>
    <w:rPr>
      <w:i/>
      <w:iCs/>
      <w:color w:val="404040" w:themeColor="text1" w:themeTint="BF"/>
    </w:rPr>
  </w:style>
  <w:style w:type="character" w:customStyle="1" w:styleId="22">
    <w:name w:val="Цитата 2 Знак"/>
    <w:basedOn w:val="a0"/>
    <w:link w:val="21"/>
    <w:uiPriority w:val="29"/>
    <w:rsid w:val="00B10D32"/>
    <w:rPr>
      <w:rFonts w:ascii="Times New Roman" w:hAnsi="Times New Roman"/>
      <w:i/>
      <w:iCs/>
      <w:color w:val="404040" w:themeColor="text1" w:themeTint="BF"/>
      <w:sz w:val="28"/>
    </w:rPr>
  </w:style>
  <w:style w:type="paragraph" w:styleId="a7">
    <w:name w:val="List Paragraph"/>
    <w:aliases w:val="Абзац вправо-1,List Paragraph1"/>
    <w:basedOn w:val="a"/>
    <w:link w:val="a8"/>
    <w:uiPriority w:val="34"/>
    <w:qFormat/>
    <w:rsid w:val="00B10D32"/>
    <w:pPr>
      <w:ind w:left="720"/>
      <w:contextualSpacing/>
    </w:pPr>
  </w:style>
  <w:style w:type="character" w:styleId="a9">
    <w:name w:val="Intense Emphasis"/>
    <w:basedOn w:val="a0"/>
    <w:uiPriority w:val="21"/>
    <w:qFormat/>
    <w:rsid w:val="00B10D32"/>
    <w:rPr>
      <w:i/>
      <w:iCs/>
      <w:color w:val="2E74B5" w:themeColor="accent1" w:themeShade="BF"/>
    </w:rPr>
  </w:style>
  <w:style w:type="paragraph" w:styleId="aa">
    <w:name w:val="Intense Quote"/>
    <w:basedOn w:val="a"/>
    <w:next w:val="a"/>
    <w:link w:val="ab"/>
    <w:uiPriority w:val="30"/>
    <w:qFormat/>
    <w:rsid w:val="00B10D32"/>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b">
    <w:name w:val="Выделенная цитата Знак"/>
    <w:basedOn w:val="a0"/>
    <w:link w:val="aa"/>
    <w:uiPriority w:val="30"/>
    <w:rsid w:val="00B10D32"/>
    <w:rPr>
      <w:rFonts w:ascii="Times New Roman" w:hAnsi="Times New Roman"/>
      <w:i/>
      <w:iCs/>
      <w:color w:val="2E74B5" w:themeColor="accent1" w:themeShade="BF"/>
      <w:sz w:val="28"/>
    </w:rPr>
  </w:style>
  <w:style w:type="character" w:styleId="ac">
    <w:name w:val="Intense Reference"/>
    <w:basedOn w:val="a0"/>
    <w:uiPriority w:val="32"/>
    <w:qFormat/>
    <w:rsid w:val="00B10D32"/>
    <w:rPr>
      <w:b/>
      <w:bCs/>
      <w:smallCaps/>
      <w:color w:val="2E74B5" w:themeColor="accent1" w:themeShade="BF"/>
      <w:spacing w:val="5"/>
    </w:rPr>
  </w:style>
  <w:style w:type="table" w:styleId="ad">
    <w:name w:val="Table Grid"/>
    <w:basedOn w:val="a1"/>
    <w:uiPriority w:val="39"/>
    <w:rsid w:val="00B10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105AB0"/>
    <w:rPr>
      <w:color w:val="0563C1" w:themeColor="hyperlink"/>
      <w:u w:val="single"/>
    </w:rPr>
  </w:style>
  <w:style w:type="character" w:customStyle="1" w:styleId="11">
    <w:name w:val="Неразрешенное упоминание1"/>
    <w:basedOn w:val="a0"/>
    <w:uiPriority w:val="99"/>
    <w:semiHidden/>
    <w:unhideWhenUsed/>
    <w:rsid w:val="00406DCE"/>
    <w:rPr>
      <w:color w:val="605E5C"/>
      <w:shd w:val="clear" w:color="auto" w:fill="E1DFDD"/>
    </w:rPr>
  </w:style>
  <w:style w:type="paragraph" w:customStyle="1" w:styleId="AuthorName">
    <w:name w:val="Author Name"/>
    <w:basedOn w:val="a"/>
    <w:next w:val="a"/>
    <w:rsid w:val="0093554C"/>
    <w:pPr>
      <w:spacing w:before="360" w:after="360"/>
      <w:jc w:val="center"/>
    </w:pPr>
    <w:rPr>
      <w:rFonts w:eastAsia="Times New Roman" w:cs="Times New Roman"/>
      <w:kern w:val="0"/>
      <w:szCs w:val="20"/>
      <w:lang w:val="en-US"/>
      <w14:ligatures w14:val="none"/>
    </w:rPr>
  </w:style>
  <w:style w:type="paragraph" w:customStyle="1" w:styleId="AuthorAffiliation">
    <w:name w:val="Author Affiliation"/>
    <w:basedOn w:val="a"/>
    <w:rsid w:val="003279A2"/>
    <w:pPr>
      <w:spacing w:after="0"/>
      <w:jc w:val="center"/>
    </w:pPr>
    <w:rPr>
      <w:rFonts w:eastAsia="Times New Roman" w:cs="Times New Roman"/>
      <w:i/>
      <w:kern w:val="0"/>
      <w:sz w:val="20"/>
      <w:szCs w:val="20"/>
      <w:lang w:val="en-US"/>
      <w14:ligatures w14:val="none"/>
    </w:rPr>
  </w:style>
  <w:style w:type="paragraph" w:customStyle="1" w:styleId="Default">
    <w:name w:val="Default"/>
    <w:rsid w:val="003279A2"/>
    <w:pPr>
      <w:autoSpaceDE w:val="0"/>
      <w:autoSpaceDN w:val="0"/>
      <w:adjustRightInd w:val="0"/>
      <w:spacing w:after="0" w:line="240" w:lineRule="auto"/>
    </w:pPr>
    <w:rPr>
      <w:rFonts w:ascii="Times New Roman" w:eastAsia="Calibri" w:hAnsi="Times New Roman" w:cs="Times New Roman"/>
      <w:color w:val="000000"/>
      <w:kern w:val="0"/>
      <w:sz w:val="24"/>
      <w:szCs w:val="24"/>
      <w14:ligatures w14:val="none"/>
    </w:rPr>
  </w:style>
  <w:style w:type="character" w:customStyle="1" w:styleId="a8">
    <w:name w:val="Абзац списка Знак"/>
    <w:aliases w:val="Абзац вправо-1 Знак,List Paragraph1 Знак"/>
    <w:link w:val="a7"/>
    <w:uiPriority w:val="34"/>
    <w:locked/>
    <w:rsid w:val="00AA1F4D"/>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2.xml"/><Relationship Id="rId18" Type="http://schemas.openxmlformats.org/officeDocument/2006/relationships/hyperlink" Target="https://doi.org/10.1051/e3sconf/202452501004" TargetMode="External"/><Relationship Id="rId3" Type="http://schemas.openxmlformats.org/officeDocument/2006/relationships/settings" Target="settings.xml"/><Relationship Id="rId21" Type="http://schemas.openxmlformats.org/officeDocument/2006/relationships/hyperlink" Target="https://doi.org/10.1063/5.0266807"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s://doi.org/10.1063/5.0090257" TargetMode="External"/><Relationship Id="rId2" Type="http://schemas.openxmlformats.org/officeDocument/2006/relationships/styles" Target="styles.xml"/><Relationship Id="rId16" Type="http://schemas.openxmlformats.org/officeDocument/2006/relationships/hyperlink" Target="https://doi.org/10.1051/e3sconf/202126402014" TargetMode="External"/><Relationship Id="rId20" Type="http://schemas.openxmlformats.org/officeDocument/2006/relationships/hyperlink" Target="https://doi.org/10.1063/5.0266800"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mailto:azizjonnamozov1239@mail.com" TargetMode="External"/><Relationship Id="rId15" Type="http://schemas.openxmlformats.org/officeDocument/2006/relationships/hyperlink" Target="https://doi.org/10.1051/e3sconf/202126402012" TargetMode="External"/><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hyperlink" Target="https://doi.org/10.21595/vp.2025.24997"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doi.org/10.1051/e3sconf/202126402032"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D:\IT%20ishim\Ma'lumot%20Namangan\Yog'ingarchilik.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IT%20ishim\Ma'lumot%20Namangan\Yog'ingarchilik.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Лист1!$P$45</c:f>
              <c:strCache>
                <c:ptCount val="1"/>
                <c:pt idx="0">
                  <c:v>Namangan FAMS</c:v>
                </c:pt>
              </c:strCache>
            </c:strRef>
          </c:tx>
          <c:spPr>
            <a:ln w="15875" cap="rnd">
              <a:solidFill>
                <a:schemeClr val="accent1"/>
              </a:solidFill>
              <a:round/>
            </a:ln>
            <a:effectLst/>
          </c:spPr>
          <c:marker>
            <c:symbol val="none"/>
          </c:marker>
          <c:cat>
            <c:strRef>
              <c:f>Лист1!$Q$44:$AB$44</c:f>
              <c:strCache>
                <c:ptCount val="12"/>
                <c:pt idx="0">
                  <c:v>Yanvar</c:v>
                </c:pt>
                <c:pt idx="1">
                  <c:v>Fevral</c:v>
                </c:pt>
                <c:pt idx="2">
                  <c:v>Mart</c:v>
                </c:pt>
                <c:pt idx="3">
                  <c:v>Aprel</c:v>
                </c:pt>
                <c:pt idx="4">
                  <c:v>May</c:v>
                </c:pt>
                <c:pt idx="5">
                  <c:v>Iyun</c:v>
                </c:pt>
                <c:pt idx="6">
                  <c:v>Iyul</c:v>
                </c:pt>
                <c:pt idx="7">
                  <c:v>Avgust</c:v>
                </c:pt>
                <c:pt idx="8">
                  <c:v>Seniyabr</c:v>
                </c:pt>
                <c:pt idx="9">
                  <c:v>Oktiyabr</c:v>
                </c:pt>
                <c:pt idx="10">
                  <c:v>Noyabr</c:v>
                </c:pt>
                <c:pt idx="11">
                  <c:v>Dekabr</c:v>
                </c:pt>
              </c:strCache>
            </c:strRef>
          </c:cat>
          <c:val>
            <c:numRef>
              <c:f>Лист1!$Q$45:$AB$45</c:f>
              <c:numCache>
                <c:formatCode>General</c:formatCode>
                <c:ptCount val="12"/>
                <c:pt idx="0">
                  <c:v>12.77</c:v>
                </c:pt>
                <c:pt idx="1">
                  <c:v>24.98</c:v>
                </c:pt>
                <c:pt idx="2">
                  <c:v>32.07</c:v>
                </c:pt>
                <c:pt idx="3">
                  <c:v>19.95</c:v>
                </c:pt>
                <c:pt idx="4">
                  <c:v>22.82</c:v>
                </c:pt>
                <c:pt idx="5">
                  <c:v>8.02</c:v>
                </c:pt>
                <c:pt idx="6">
                  <c:v>6.82</c:v>
                </c:pt>
                <c:pt idx="7">
                  <c:v>4.16</c:v>
                </c:pt>
                <c:pt idx="8">
                  <c:v>4.54</c:v>
                </c:pt>
                <c:pt idx="9">
                  <c:v>19.3</c:v>
                </c:pt>
                <c:pt idx="10">
                  <c:v>21.37</c:v>
                </c:pt>
                <c:pt idx="11">
                  <c:v>20.74</c:v>
                </c:pt>
              </c:numCache>
            </c:numRef>
          </c:val>
          <c:extLst>
            <c:ext xmlns:c16="http://schemas.microsoft.com/office/drawing/2014/chart" uri="{C3380CC4-5D6E-409C-BE32-E72D297353CC}">
              <c16:uniqueId val="{00000000-B3FF-4EBB-8E88-A3428FEDCC5B}"/>
            </c:ext>
          </c:extLst>
        </c:ser>
        <c:ser>
          <c:idx val="1"/>
          <c:order val="1"/>
          <c:tx>
            <c:strRef>
              <c:f>Лист1!$P$46</c:f>
              <c:strCache>
                <c:ptCount val="1"/>
                <c:pt idx="0">
                  <c:v>Pop MS</c:v>
                </c:pt>
              </c:strCache>
            </c:strRef>
          </c:tx>
          <c:spPr>
            <a:ln w="15875" cap="rnd">
              <a:solidFill>
                <a:schemeClr val="accent2"/>
              </a:solidFill>
              <a:round/>
            </a:ln>
            <a:effectLst/>
          </c:spPr>
          <c:marker>
            <c:symbol val="none"/>
          </c:marker>
          <c:cat>
            <c:strRef>
              <c:f>Лист1!$Q$44:$AB$44</c:f>
              <c:strCache>
                <c:ptCount val="12"/>
                <c:pt idx="0">
                  <c:v>Yanvar</c:v>
                </c:pt>
                <c:pt idx="1">
                  <c:v>Fevral</c:v>
                </c:pt>
                <c:pt idx="2">
                  <c:v>Mart</c:v>
                </c:pt>
                <c:pt idx="3">
                  <c:v>Aprel</c:v>
                </c:pt>
                <c:pt idx="4">
                  <c:v>May</c:v>
                </c:pt>
                <c:pt idx="5">
                  <c:v>Iyun</c:v>
                </c:pt>
                <c:pt idx="6">
                  <c:v>Iyul</c:v>
                </c:pt>
                <c:pt idx="7">
                  <c:v>Avgust</c:v>
                </c:pt>
                <c:pt idx="8">
                  <c:v>Seniyabr</c:v>
                </c:pt>
                <c:pt idx="9">
                  <c:v>Oktiyabr</c:v>
                </c:pt>
                <c:pt idx="10">
                  <c:v>Noyabr</c:v>
                </c:pt>
                <c:pt idx="11">
                  <c:v>Dekabr</c:v>
                </c:pt>
              </c:strCache>
            </c:strRef>
          </c:cat>
          <c:val>
            <c:numRef>
              <c:f>Лист1!$Q$46:$AB$46</c:f>
              <c:numCache>
                <c:formatCode>General</c:formatCode>
                <c:ptCount val="12"/>
                <c:pt idx="0">
                  <c:v>11.08</c:v>
                </c:pt>
                <c:pt idx="1">
                  <c:v>21.83</c:v>
                </c:pt>
                <c:pt idx="2">
                  <c:v>30.97</c:v>
                </c:pt>
                <c:pt idx="3">
                  <c:v>17.059999999999999</c:v>
                </c:pt>
                <c:pt idx="4">
                  <c:v>15.12</c:v>
                </c:pt>
                <c:pt idx="5">
                  <c:v>12.51</c:v>
                </c:pt>
                <c:pt idx="6">
                  <c:v>5.74</c:v>
                </c:pt>
                <c:pt idx="7">
                  <c:v>3.68</c:v>
                </c:pt>
                <c:pt idx="8">
                  <c:v>3.45</c:v>
                </c:pt>
                <c:pt idx="9">
                  <c:v>14.98</c:v>
                </c:pt>
                <c:pt idx="10">
                  <c:v>18.3</c:v>
                </c:pt>
                <c:pt idx="11">
                  <c:v>17.38</c:v>
                </c:pt>
              </c:numCache>
            </c:numRef>
          </c:val>
          <c:extLst>
            <c:ext xmlns:c16="http://schemas.microsoft.com/office/drawing/2014/chart" uri="{C3380CC4-5D6E-409C-BE32-E72D297353CC}">
              <c16:uniqueId val="{00000001-B3FF-4EBB-8E88-A3428FEDCC5B}"/>
            </c:ext>
          </c:extLst>
        </c:ser>
        <c:ser>
          <c:idx val="2"/>
          <c:order val="2"/>
          <c:tx>
            <c:strRef>
              <c:f>Лист1!$P$47</c:f>
              <c:strCache>
                <c:ptCount val="1"/>
                <c:pt idx="0">
                  <c:v>Qamchiq MS</c:v>
                </c:pt>
              </c:strCache>
            </c:strRef>
          </c:tx>
          <c:spPr>
            <a:ln w="15875" cap="rnd">
              <a:solidFill>
                <a:schemeClr val="accent3"/>
              </a:solidFill>
              <a:round/>
            </a:ln>
            <a:effectLst/>
          </c:spPr>
          <c:marker>
            <c:symbol val="none"/>
          </c:marker>
          <c:cat>
            <c:strRef>
              <c:f>Лист1!$Q$44:$AB$44</c:f>
              <c:strCache>
                <c:ptCount val="12"/>
                <c:pt idx="0">
                  <c:v>Yanvar</c:v>
                </c:pt>
                <c:pt idx="1">
                  <c:v>Fevral</c:v>
                </c:pt>
                <c:pt idx="2">
                  <c:v>Mart</c:v>
                </c:pt>
                <c:pt idx="3">
                  <c:v>Aprel</c:v>
                </c:pt>
                <c:pt idx="4">
                  <c:v>May</c:v>
                </c:pt>
                <c:pt idx="5">
                  <c:v>Iyun</c:v>
                </c:pt>
                <c:pt idx="6">
                  <c:v>Iyul</c:v>
                </c:pt>
                <c:pt idx="7">
                  <c:v>Avgust</c:v>
                </c:pt>
                <c:pt idx="8">
                  <c:v>Seniyabr</c:v>
                </c:pt>
                <c:pt idx="9">
                  <c:v>Oktiyabr</c:v>
                </c:pt>
                <c:pt idx="10">
                  <c:v>Noyabr</c:v>
                </c:pt>
                <c:pt idx="11">
                  <c:v>Dekabr</c:v>
                </c:pt>
              </c:strCache>
            </c:strRef>
          </c:cat>
          <c:val>
            <c:numRef>
              <c:f>Лист1!$Q$47:$AB$47</c:f>
              <c:numCache>
                <c:formatCode>General</c:formatCode>
                <c:ptCount val="12"/>
                <c:pt idx="0">
                  <c:v>69</c:v>
                </c:pt>
                <c:pt idx="1">
                  <c:v>73.88</c:v>
                </c:pt>
                <c:pt idx="2">
                  <c:v>92.63</c:v>
                </c:pt>
                <c:pt idx="3">
                  <c:v>82</c:v>
                </c:pt>
                <c:pt idx="4">
                  <c:v>71.37</c:v>
                </c:pt>
                <c:pt idx="5">
                  <c:v>38.83</c:v>
                </c:pt>
                <c:pt idx="6">
                  <c:v>21.9</c:v>
                </c:pt>
                <c:pt idx="7">
                  <c:v>15.36</c:v>
                </c:pt>
                <c:pt idx="8">
                  <c:v>16.68</c:v>
                </c:pt>
                <c:pt idx="9">
                  <c:v>54.23</c:v>
                </c:pt>
                <c:pt idx="10">
                  <c:v>77.47</c:v>
                </c:pt>
                <c:pt idx="11">
                  <c:v>73.03</c:v>
                </c:pt>
              </c:numCache>
            </c:numRef>
          </c:val>
          <c:extLst>
            <c:ext xmlns:c16="http://schemas.microsoft.com/office/drawing/2014/chart" uri="{C3380CC4-5D6E-409C-BE32-E72D297353CC}">
              <c16:uniqueId val="{00000002-B3FF-4EBB-8E88-A3428FEDCC5B}"/>
            </c:ext>
          </c:extLst>
        </c:ser>
        <c:dLbls>
          <c:showLegendKey val="0"/>
          <c:showVal val="0"/>
          <c:showCatName val="0"/>
          <c:showSerName val="0"/>
          <c:showPercent val="0"/>
          <c:showBubbleSize val="0"/>
        </c:dLbls>
        <c:axId val="328122767"/>
        <c:axId val="328121327"/>
      </c:radarChart>
      <c:catAx>
        <c:axId val="328122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28121327"/>
        <c:crosses val="autoZero"/>
        <c:auto val="1"/>
        <c:lblAlgn val="ctr"/>
        <c:lblOffset val="100"/>
        <c:noMultiLvlLbl val="0"/>
      </c:catAx>
      <c:valAx>
        <c:axId val="3281213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28122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Лист4!$E$138</c:f>
              <c:strCache>
                <c:ptCount val="1"/>
                <c:pt idx="0">
                  <c:v>International roads length, km</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Лист4!$D$139:$D$142</c:f>
              <c:strCache>
                <c:ptCount val="4"/>
                <c:pt idx="0">
                  <c:v>Low</c:v>
                </c:pt>
                <c:pt idx="1">
                  <c:v>Medium</c:v>
                </c:pt>
                <c:pt idx="2">
                  <c:v>High</c:v>
                </c:pt>
                <c:pt idx="3">
                  <c:v>Very high</c:v>
                </c:pt>
              </c:strCache>
            </c:strRef>
          </c:cat>
          <c:val>
            <c:numRef>
              <c:f>Лист4!$E$139:$E$142</c:f>
              <c:numCache>
                <c:formatCode>General</c:formatCode>
                <c:ptCount val="4"/>
                <c:pt idx="0">
                  <c:v>30</c:v>
                </c:pt>
                <c:pt idx="1">
                  <c:v>0</c:v>
                </c:pt>
                <c:pt idx="3">
                  <c:v>37.5</c:v>
                </c:pt>
              </c:numCache>
            </c:numRef>
          </c:val>
          <c:extLst>
            <c:ext xmlns:c16="http://schemas.microsoft.com/office/drawing/2014/chart" uri="{C3380CC4-5D6E-409C-BE32-E72D297353CC}">
              <c16:uniqueId val="{00000000-A552-4F40-9730-2F0AB0579CDE}"/>
            </c:ext>
          </c:extLst>
        </c:ser>
        <c:ser>
          <c:idx val="1"/>
          <c:order val="1"/>
          <c:tx>
            <c:strRef>
              <c:f>Лист4!$F$138</c:f>
              <c:strCache>
                <c:ptCount val="1"/>
                <c:pt idx="0">
                  <c:v>State importance roads length, km</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Лист4!$D$139:$D$142</c:f>
              <c:strCache>
                <c:ptCount val="4"/>
                <c:pt idx="0">
                  <c:v>Low</c:v>
                </c:pt>
                <c:pt idx="1">
                  <c:v>Medium</c:v>
                </c:pt>
                <c:pt idx="2">
                  <c:v>High</c:v>
                </c:pt>
                <c:pt idx="3">
                  <c:v>Very high</c:v>
                </c:pt>
              </c:strCache>
            </c:strRef>
          </c:cat>
          <c:val>
            <c:numRef>
              <c:f>Лист4!$F$139:$F$142</c:f>
              <c:numCache>
                <c:formatCode>General</c:formatCode>
                <c:ptCount val="4"/>
                <c:pt idx="0">
                  <c:v>170</c:v>
                </c:pt>
                <c:pt idx="1">
                  <c:v>441</c:v>
                </c:pt>
                <c:pt idx="2">
                  <c:v>211</c:v>
                </c:pt>
                <c:pt idx="3">
                  <c:v>204</c:v>
                </c:pt>
              </c:numCache>
            </c:numRef>
          </c:val>
          <c:extLst>
            <c:ext xmlns:c16="http://schemas.microsoft.com/office/drawing/2014/chart" uri="{C3380CC4-5D6E-409C-BE32-E72D297353CC}">
              <c16:uniqueId val="{00000001-A552-4F40-9730-2F0AB0579CDE}"/>
            </c:ext>
          </c:extLst>
        </c:ser>
        <c:ser>
          <c:idx val="2"/>
          <c:order val="2"/>
          <c:tx>
            <c:strRef>
              <c:f>Лист4!$G$138</c:f>
              <c:strCache>
                <c:ptCount val="1"/>
                <c:pt idx="0">
                  <c:v>Province importance length, km</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Лист4!$D$139:$D$142</c:f>
              <c:strCache>
                <c:ptCount val="4"/>
                <c:pt idx="0">
                  <c:v>Low</c:v>
                </c:pt>
                <c:pt idx="1">
                  <c:v>Medium</c:v>
                </c:pt>
                <c:pt idx="2">
                  <c:v>High</c:v>
                </c:pt>
                <c:pt idx="3">
                  <c:v>Very high</c:v>
                </c:pt>
              </c:strCache>
            </c:strRef>
          </c:cat>
          <c:val>
            <c:numRef>
              <c:f>Лист4!$G$139:$G$142</c:f>
              <c:numCache>
                <c:formatCode>General</c:formatCode>
                <c:ptCount val="4"/>
                <c:pt idx="0">
                  <c:v>375</c:v>
                </c:pt>
                <c:pt idx="1">
                  <c:v>1465</c:v>
                </c:pt>
                <c:pt idx="2">
                  <c:v>322</c:v>
                </c:pt>
                <c:pt idx="3">
                  <c:v>98</c:v>
                </c:pt>
              </c:numCache>
            </c:numRef>
          </c:val>
          <c:extLst>
            <c:ext xmlns:c16="http://schemas.microsoft.com/office/drawing/2014/chart" uri="{C3380CC4-5D6E-409C-BE32-E72D297353CC}">
              <c16:uniqueId val="{00000002-A552-4F40-9730-2F0AB0579CDE}"/>
            </c:ext>
          </c:extLst>
        </c:ser>
        <c:ser>
          <c:idx val="3"/>
          <c:order val="3"/>
          <c:tx>
            <c:strRef>
              <c:f>Лист4!$H$138</c:f>
              <c:strCache>
                <c:ptCount val="1"/>
                <c:pt idx="0">
                  <c:v>Local roads length, km</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Лист4!$D$139:$D$142</c:f>
              <c:strCache>
                <c:ptCount val="4"/>
                <c:pt idx="0">
                  <c:v>Low</c:v>
                </c:pt>
                <c:pt idx="1">
                  <c:v>Medium</c:v>
                </c:pt>
                <c:pt idx="2">
                  <c:v>High</c:v>
                </c:pt>
                <c:pt idx="3">
                  <c:v>Very high</c:v>
                </c:pt>
              </c:strCache>
            </c:strRef>
          </c:cat>
          <c:val>
            <c:numRef>
              <c:f>Лист4!$H$139:$H$142</c:f>
              <c:numCache>
                <c:formatCode>General</c:formatCode>
                <c:ptCount val="4"/>
                <c:pt idx="0">
                  <c:v>2310</c:v>
                </c:pt>
                <c:pt idx="1">
                  <c:v>5554</c:v>
                </c:pt>
                <c:pt idx="2">
                  <c:v>1320</c:v>
                </c:pt>
                <c:pt idx="3">
                  <c:v>1450</c:v>
                </c:pt>
              </c:numCache>
            </c:numRef>
          </c:val>
          <c:extLst>
            <c:ext xmlns:c16="http://schemas.microsoft.com/office/drawing/2014/chart" uri="{C3380CC4-5D6E-409C-BE32-E72D297353CC}">
              <c16:uniqueId val="{00000003-A552-4F40-9730-2F0AB0579CDE}"/>
            </c:ext>
          </c:extLst>
        </c:ser>
        <c:dLbls>
          <c:dLblPos val="outEnd"/>
          <c:showLegendKey val="0"/>
          <c:showVal val="1"/>
          <c:showCatName val="0"/>
          <c:showSerName val="0"/>
          <c:showPercent val="0"/>
          <c:showBubbleSize val="0"/>
        </c:dLbls>
        <c:gapWidth val="219"/>
        <c:overlap val="-27"/>
        <c:axId val="328110287"/>
        <c:axId val="328123247"/>
      </c:barChart>
      <c:catAx>
        <c:axId val="328110287"/>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z-Latn-UZ" sz="1100" b="1" i="0">
                    <a:effectLst/>
                  </a:rPr>
                  <a:t>Areas with mudflow hazards</a:t>
                </a:r>
              </a:p>
            </c:rich>
          </c:tx>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28123247"/>
        <c:crosses val="autoZero"/>
        <c:auto val="1"/>
        <c:lblAlgn val="ctr"/>
        <c:lblOffset val="100"/>
        <c:noMultiLvlLbl val="0"/>
      </c:catAx>
      <c:valAx>
        <c:axId val="328123247"/>
        <c:scaling>
          <c:orientation val="minMax"/>
          <c:max val="1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z-Latn-UZ" sz="1100" b="1" baseline="0">
                    <a:solidFill>
                      <a:sysClr val="windowText" lastClr="000000"/>
                    </a:solidFill>
                    <a:latin typeface="Times New Roman" panose="02020603050405020304" pitchFamily="18" charset="0"/>
                    <a:cs typeface="Times New Roman" panose="02020603050405020304" pitchFamily="18" charset="0"/>
                  </a:rPr>
                  <a:t>Motorway length, km</a:t>
                </a:r>
                <a:endParaRPr lang="ru-RU" sz="11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281102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275</TotalTime>
  <Pages>6</Pages>
  <Words>1729</Words>
  <Characters>9858</Characters>
  <Application>Microsoft Office Word</Application>
  <DocSecurity>0</DocSecurity>
  <Lines>82</Lines>
  <Paragraphs>23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11564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Пользователь</cp:lastModifiedBy>
  <cp:revision>21</cp:revision>
  <dcterms:created xsi:type="dcterms:W3CDTF">2025-10-26T14:12:00Z</dcterms:created>
  <dcterms:modified xsi:type="dcterms:W3CDTF">2026-01-08T05:38:00Z</dcterms:modified>
</cp:coreProperties>
</file>