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D2264" w14:textId="5BF41A46" w:rsidR="007F55CA" w:rsidRDefault="007F55CA" w:rsidP="002D73E1">
      <w:pPr>
        <w:pStyle w:val="AuthorName"/>
        <w:spacing w:before="1200" w:after="200"/>
        <w:rPr>
          <w:rFonts w:eastAsiaTheme="minorHAnsi"/>
          <w:b/>
          <w:sz w:val="36"/>
          <w:szCs w:val="36"/>
        </w:rPr>
      </w:pPr>
      <w:r w:rsidRPr="007F55CA">
        <w:rPr>
          <w:rFonts w:eastAsiaTheme="minorHAnsi"/>
          <w:b/>
          <w:sz w:val="36"/>
          <w:szCs w:val="36"/>
        </w:rPr>
        <w:t>Mathematical analysis of pressure and radial forces in centrifugal pumps with respect to fluid density (case of Zarafshan region)</w:t>
      </w:r>
    </w:p>
    <w:p w14:paraId="1F5E1B4F" w14:textId="18AF1A77" w:rsidR="00CA398A" w:rsidRPr="001970E3" w:rsidRDefault="006C768E" w:rsidP="002D73E1">
      <w:pPr>
        <w:pStyle w:val="AuthorName"/>
        <w:spacing w:before="240" w:after="200"/>
        <w:rPr>
          <w:sz w:val="20"/>
          <w:lang w:val="uz-Cyrl-UZ" w:eastAsia="en-GB"/>
        </w:rPr>
      </w:pPr>
      <w:proofErr w:type="spellStart"/>
      <w:r>
        <w:t>Ismatov</w:t>
      </w:r>
      <w:proofErr w:type="spellEnd"/>
      <w:r>
        <w:t xml:space="preserve"> Adkhamjon</w:t>
      </w:r>
      <w:r w:rsidRPr="006C768E">
        <w:rPr>
          <w:szCs w:val="36"/>
          <w:vertAlign w:val="superscript"/>
        </w:rPr>
        <w:t xml:space="preserve"> </w:t>
      </w:r>
      <w:r>
        <w:rPr>
          <w:szCs w:val="36"/>
          <w:vertAlign w:val="superscript"/>
        </w:rPr>
        <w:t>a)</w:t>
      </w:r>
      <w:r w:rsidR="007F55CA">
        <w:t xml:space="preserve">, </w:t>
      </w:r>
      <w:proofErr w:type="spellStart"/>
      <w:r w:rsidR="007F55CA">
        <w:t>Orifjon</w:t>
      </w:r>
      <w:proofErr w:type="spellEnd"/>
      <w:r w:rsidR="007F55CA">
        <w:t xml:space="preserve"> </w:t>
      </w:r>
      <w:proofErr w:type="spellStart"/>
      <w:r w:rsidR="007F55CA">
        <w:t>Kakharov</w:t>
      </w:r>
      <w:proofErr w:type="spellEnd"/>
      <w:r w:rsidR="00CC779E">
        <w:rPr>
          <w:lang w:val="uz-Cyrl-UZ"/>
        </w:rPr>
        <w:t>,</w:t>
      </w:r>
      <w:r w:rsidR="008745D5">
        <w:t xml:space="preserve"> </w:t>
      </w:r>
      <w:r w:rsidR="007F55CA">
        <w:t>Asadbek Yuldashev</w:t>
      </w:r>
    </w:p>
    <w:p w14:paraId="4709ED4E" w14:textId="560899BC" w:rsidR="008745D5" w:rsidRDefault="006C768E" w:rsidP="00A4691D">
      <w:pPr>
        <w:pStyle w:val="AuthorAffiliation"/>
      </w:pPr>
      <w:bookmarkStart w:id="0" w:name="_Hlk212275463"/>
      <w:r>
        <w:t>Navai State Mining and Technology University</w:t>
      </w:r>
      <w:r w:rsidR="00CA398A" w:rsidRPr="00287E0A">
        <w:t>,</w:t>
      </w:r>
      <w:r>
        <w:t xml:space="preserve"> Navai</w:t>
      </w:r>
      <w:r w:rsidR="004622A3">
        <w:t>,</w:t>
      </w:r>
      <w:r w:rsidR="00CA398A" w:rsidRPr="00287E0A">
        <w:t xml:space="preserve"> Uzbekistan</w:t>
      </w:r>
      <w:r w:rsidR="001970E3">
        <w:rPr>
          <w:lang w:val="uz-Cyrl-UZ"/>
        </w:rPr>
        <w:t xml:space="preserve"> </w:t>
      </w:r>
      <w:bookmarkEnd w:id="0"/>
    </w:p>
    <w:p w14:paraId="1397C91D" w14:textId="7F6E3553"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r w:rsidR="008A3672" w:rsidRPr="008A3672">
        <w:rPr>
          <w:rStyle w:val="a6"/>
        </w:rPr>
        <w:t>olympic9492@gmail.com</w:t>
      </w:r>
    </w:p>
    <w:p w14:paraId="729670E0" w14:textId="19FC0087" w:rsidR="008A3672" w:rsidRPr="007F55CA" w:rsidRDefault="00E25282" w:rsidP="008A3672">
      <w:pPr>
        <w:spacing w:before="360" w:after="360" w:line="240" w:lineRule="auto"/>
        <w:ind w:left="284" w:right="284"/>
        <w:jc w:val="both"/>
        <w:rPr>
          <w:rFonts w:ascii="Times New Roman" w:hAnsi="Times New Roman" w:cs="Times New Roman"/>
          <w:iCs/>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7F55CA" w:rsidRPr="007F55CA">
        <w:rPr>
          <w:rFonts w:ascii="Times New Roman" w:hAnsi="Times New Roman" w:cs="Times New Roman"/>
          <w:iCs/>
          <w:sz w:val="18"/>
          <w:szCs w:val="18"/>
          <w:lang w:val="uz-Cyrl-UZ"/>
        </w:rPr>
        <w:t>This paper analyzes the performance of centrifugal pumps with emphasis on fluid density effects. Based on Euler’s equations, simplified mathematical expressions were derived to describe pressure rise and pressure distribution in the impeller. The results show that increasing fluid density leads to higher radial forces and pressure rise, which significantly affect pump efficiency and reliability. The proposed model, adapted to the conditions of the Zarafshan region, provides theoretical insights for predicting pump behavior under varying fluid properties</w:t>
      </w:r>
      <w:r w:rsidR="007F55CA">
        <w:rPr>
          <w:rFonts w:ascii="Times New Roman" w:hAnsi="Times New Roman" w:cs="Times New Roman"/>
          <w:iCs/>
          <w:sz w:val="18"/>
          <w:szCs w:val="18"/>
        </w:rPr>
        <w:t>.</w:t>
      </w:r>
    </w:p>
    <w:p w14:paraId="61870707" w14:textId="10753E82" w:rsidR="008A22AB" w:rsidRPr="00287E0A" w:rsidRDefault="00CA398A" w:rsidP="008A3672">
      <w:pPr>
        <w:spacing w:before="360" w:after="360" w:line="240" w:lineRule="auto"/>
        <w:ind w:left="284" w:right="284"/>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EFEA8BE" w14:textId="77777777" w:rsidR="007F55CA" w:rsidRDefault="007F55CA" w:rsidP="007F55CA">
      <w:pPr>
        <w:pStyle w:val="Paragraph"/>
      </w:pPr>
      <w:r>
        <w:t xml:space="preserve">Centrifugal pumps are widely used in the Zarafshan region for pumping various liquids (water, mineral solutions, petroleum products, etc.). During the operation of the pump, the main forces acting on the impeller are directly related to the liquid density, and the change in these forces affects the reliability and efficiency of the device. It is especially important to conduct a mathematical analysis of this issue under conditions of high temperature and different density indicators of liquids in the </w:t>
      </w:r>
      <w:proofErr w:type="spellStart"/>
      <w:r>
        <w:t>region.Determination</w:t>
      </w:r>
      <w:proofErr w:type="spellEnd"/>
      <w:r>
        <w:t xml:space="preserve"> of pressure, force, and blade rotation frequency depending on the density of the liquid based on the mathematical analysis of centrifugal pumps.</w:t>
      </w:r>
    </w:p>
    <w:p w14:paraId="2A9C5060" w14:textId="77777777" w:rsidR="007F55CA" w:rsidRDefault="007F55CA" w:rsidP="007F55CA">
      <w:pPr>
        <w:pStyle w:val="Paragraph"/>
      </w:pPr>
      <w:r>
        <w:t>Problems with fluid density change</w:t>
      </w:r>
    </w:p>
    <w:p w14:paraId="49C44B11" w14:textId="223BB190" w:rsidR="007F55CA" w:rsidRPr="00436684" w:rsidRDefault="007F55CA" w:rsidP="007F55CA">
      <w:pPr>
        <w:pStyle w:val="Paragraph"/>
      </w:pPr>
      <w:r>
        <w:t>The pump's load increases. As the density increases, the centrifugal force also increases, resulting in an increase in the mechanical load and pressure on the impeller (wheel). This causes additional vibrations and wear in the bearing and shaft</w:t>
      </w:r>
      <w:r w:rsidR="002D73E1">
        <w:rPr>
          <w:lang w:val="uz-Cyrl-UZ"/>
        </w:rPr>
        <w:t xml:space="preserve"> </w:t>
      </w:r>
      <w:r w:rsidR="00A36F3E">
        <w:t>[1,2,3</w:t>
      </w:r>
      <w:r w:rsidR="00A249B4" w:rsidRPr="00E94495">
        <w:t>-</w:t>
      </w:r>
      <w:r w:rsidR="00E94495" w:rsidRPr="00E94495">
        <w:t>15</w:t>
      </w:r>
      <w:r w:rsidR="00A36F3E">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236E4FAA" w14:textId="77777777" w:rsidR="007F55CA" w:rsidRPr="002D73E1" w:rsidRDefault="007F55CA" w:rsidP="002D73E1">
      <w:pPr>
        <w:pStyle w:val="Paragraph"/>
      </w:pPr>
      <w:r w:rsidRPr="002D73E1">
        <w:t>Energy consumption will change. For the discharge of heavier (higher density) liquids, more power is required, which negatively affects the pump's efficiency.</w:t>
      </w:r>
    </w:p>
    <w:p w14:paraId="59F2F669" w14:textId="77777777" w:rsidR="007F55CA" w:rsidRPr="002D73E1" w:rsidRDefault="007F55CA" w:rsidP="002D73E1">
      <w:pPr>
        <w:pStyle w:val="Paragraph"/>
      </w:pPr>
      <w:r w:rsidRPr="002D73E1">
        <w:t>Cavitation risk. A decrease in density or temperature change can accelerate cavitation processes.</w:t>
      </w:r>
    </w:p>
    <w:p w14:paraId="58E40930" w14:textId="77777777" w:rsidR="007F55CA" w:rsidRPr="002D73E1" w:rsidRDefault="007F55CA" w:rsidP="002D73E1">
      <w:pPr>
        <w:pStyle w:val="Paragraph"/>
      </w:pPr>
      <w:r w:rsidRPr="002D73E1">
        <w:t>Disruption of the pressure regime. Depending on the density, the pressure increase also changes, as a result of which hydraulic stability in the system is disrupted, and unexpected emergency situations may occur.</w:t>
      </w:r>
    </w:p>
    <w:p w14:paraId="3F41579F" w14:textId="3900C718" w:rsidR="007F55CA" w:rsidRPr="002D73E1" w:rsidRDefault="007F55CA" w:rsidP="002D73E1">
      <w:pPr>
        <w:pStyle w:val="Paragraph"/>
      </w:pPr>
      <w:r w:rsidRPr="002D73E1">
        <w:t>In the initial case, based on the analysis of energies in the liquid, we express the equality of energies through the following equality.</w:t>
      </w:r>
      <w:r w:rsidR="00A36F3E" w:rsidRPr="002D73E1">
        <w:t xml:space="preserve"> [4,5</w:t>
      </w:r>
      <w:r w:rsidR="00E94495" w:rsidRPr="002D73E1">
        <w:t>-30</w:t>
      </w:r>
      <w:r w:rsidR="00A36F3E" w:rsidRPr="002D73E1">
        <w:t>].</w:t>
      </w:r>
    </w:p>
    <w:p w14:paraId="48CB38CA" w14:textId="77777777" w:rsidR="007F55CA" w:rsidRPr="002D73E1" w:rsidRDefault="00000000" w:rsidP="002D73E1">
      <w:pPr>
        <w:spacing w:after="0" w:line="240" w:lineRule="auto"/>
        <w:jc w:val="right"/>
        <w:rPr>
          <w:rFonts w:ascii="Times New Roman" w:eastAsiaTheme="minorEastAsia"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K</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E</m:t>
            </m:r>
          </m:e>
          <m:sub>
            <m:r>
              <w:rPr>
                <w:rFonts w:ascii="Cambria Math" w:hAnsi="Cambria Math" w:cs="Times New Roman"/>
                <w:sz w:val="20"/>
                <w:szCs w:val="20"/>
              </w:rPr>
              <m:t>P</m:t>
            </m:r>
          </m:sub>
        </m:sSub>
      </m:oMath>
      <w:r w:rsidR="007F55CA" w:rsidRPr="002D73E1">
        <w:rPr>
          <w:rFonts w:ascii="Times New Roman" w:eastAsiaTheme="minorEastAsia" w:hAnsi="Times New Roman" w:cs="Times New Roman"/>
          <w:sz w:val="20"/>
          <w:szCs w:val="20"/>
        </w:rPr>
        <w:t xml:space="preserve">                                                                                 (1)</w:t>
      </w:r>
    </w:p>
    <w:p w14:paraId="374E88E8"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We construct the expression for the frequency of the working wheels of the above equation 1 in the following way.</w:t>
      </w:r>
    </w:p>
    <w:p w14:paraId="5AE6F8DB" w14:textId="77777777" w:rsidR="007F55CA" w:rsidRPr="002D73E1" w:rsidRDefault="00000000" w:rsidP="002D73E1">
      <w:pPr>
        <w:spacing w:after="0" w:line="240" w:lineRule="auto"/>
        <w:ind w:firstLine="284"/>
        <w:jc w:val="right"/>
        <w:rPr>
          <w:rFonts w:ascii="Times New Roman" w:eastAsiaTheme="minorEastAsia" w:hAnsi="Times New Roman" w:cs="Times New Roman"/>
          <w:sz w:val="20"/>
          <w:szCs w:val="20"/>
        </w:rPr>
      </w:pPr>
      <m:oMath>
        <m:f>
          <m:fPr>
            <m:ctrlPr>
              <w:rPr>
                <w:rFonts w:ascii="Cambria Math" w:hAnsi="Cambria Math" w:cs="Times New Roman"/>
                <w:i/>
                <w:sz w:val="20"/>
                <w:szCs w:val="20"/>
              </w:rPr>
            </m:ctrlPr>
          </m:fPr>
          <m:num>
            <m:sSup>
              <m:sSupPr>
                <m:ctrlPr>
                  <w:rPr>
                    <w:rFonts w:ascii="Cambria Math" w:hAnsi="Cambria Math" w:cs="Times New Roman"/>
                    <w:i/>
                    <w:sz w:val="20"/>
                    <w:szCs w:val="20"/>
                  </w:rPr>
                </m:ctrlPr>
              </m:sSupPr>
              <m:e>
                <m:r>
                  <w:rPr>
                    <w:rFonts w:ascii="Cambria Math" w:hAnsi="Cambria Math" w:cs="Times New Roman"/>
                    <w:sz w:val="20"/>
                    <w:szCs w:val="20"/>
                  </w:rPr>
                  <m:t>mϑ</m:t>
                </m:r>
              </m:e>
              <m:sup>
                <m:r>
                  <w:rPr>
                    <w:rFonts w:ascii="Cambria Math" w:hAnsi="Cambria Math" w:cs="Times New Roman"/>
                    <w:sz w:val="20"/>
                    <w:szCs w:val="20"/>
                  </w:rPr>
                  <m:t>2</m:t>
                </m:r>
              </m:sup>
            </m:sSup>
          </m:num>
          <m:den>
            <m:r>
              <w:rPr>
                <w:rFonts w:ascii="Cambria Math" w:hAnsi="Cambria Math" w:cs="Times New Roman"/>
                <w:sz w:val="20"/>
                <w:szCs w:val="20"/>
              </w:rPr>
              <m:t>2</m:t>
            </m:r>
          </m:den>
        </m:f>
        <m:r>
          <w:rPr>
            <w:rFonts w:ascii="Cambria Math" w:hAnsi="Cambria Math" w:cs="Times New Roman"/>
            <w:sz w:val="20"/>
            <w:szCs w:val="20"/>
          </w:rPr>
          <m:t>=mgh</m:t>
        </m:r>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ϑ</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=2gh</m:t>
        </m:r>
      </m:oMath>
      <w:r w:rsidR="007F55CA" w:rsidRPr="002D73E1">
        <w:rPr>
          <w:rFonts w:ascii="Times New Roman" w:eastAsiaTheme="minorEastAsia" w:hAnsi="Times New Roman" w:cs="Times New Roman"/>
          <w:sz w:val="20"/>
          <w:szCs w:val="20"/>
        </w:rPr>
        <w:t xml:space="preserve">                                                                (2)</w:t>
      </w:r>
    </w:p>
    <w:p w14:paraId="69E5DBD2"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ϑ=ωr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=2gh </m:t>
        </m:r>
      </m:oMath>
      <w:proofErr w:type="gramStart"/>
      <w:r w:rsidRPr="002D73E1">
        <w:rPr>
          <w:rFonts w:ascii="Times New Roman" w:eastAsiaTheme="minorEastAsia" w:hAnsi="Times New Roman" w:cs="Times New Roman"/>
          <w:sz w:val="20"/>
          <w:szCs w:val="20"/>
        </w:rPr>
        <w:t xml:space="preserve">if;   </w:t>
      </w:r>
      <w:proofErr w:type="gramEnd"/>
      <w:r w:rsidRPr="002D73E1">
        <w:rPr>
          <w:rFonts w:ascii="Times New Roman" w:eastAsiaTheme="minorEastAsia" w:hAnsi="Times New Roman" w:cs="Times New Roman"/>
          <w:sz w:val="20"/>
          <w:szCs w:val="20"/>
        </w:rPr>
        <w:t xml:space="preserve">                                                         </w:t>
      </w:r>
      <w:proofErr w:type="gramStart"/>
      <w:r w:rsidRPr="002D73E1">
        <w:rPr>
          <w:rFonts w:ascii="Times New Roman" w:eastAsiaTheme="minorEastAsia" w:hAnsi="Times New Roman" w:cs="Times New Roman"/>
          <w:sz w:val="20"/>
          <w:szCs w:val="20"/>
        </w:rPr>
        <w:t xml:space="preserve">   (</w:t>
      </w:r>
      <w:proofErr w:type="gramEnd"/>
      <w:r w:rsidRPr="002D73E1">
        <w:rPr>
          <w:rFonts w:ascii="Times New Roman" w:eastAsiaTheme="minorEastAsia" w:hAnsi="Times New Roman" w:cs="Times New Roman"/>
          <w:sz w:val="20"/>
          <w:szCs w:val="20"/>
        </w:rPr>
        <w:t>3)</w:t>
      </w:r>
    </w:p>
    <w:p w14:paraId="322F0791"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ω=2πν ⇒4</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π</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 xml:space="preserve">=2gh ⇒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v</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2gh</m:t>
            </m:r>
          </m:num>
          <m:den>
            <m:r>
              <w:rPr>
                <w:rFonts w:ascii="Cambria Math" w:eastAsiaTheme="minorEastAsia" w:hAnsi="Cambria Math" w:cs="Times New Roman"/>
                <w:sz w:val="20"/>
                <w:szCs w:val="20"/>
              </w:rPr>
              <m:t>4</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π</m:t>
                </m:r>
              </m:e>
              <m:sup>
                <m:r>
                  <w:rPr>
                    <w:rFonts w:ascii="Cambria Math" w:eastAsiaTheme="minorEastAsia" w:hAnsi="Cambria Math" w:cs="Times New Roman"/>
                    <w:sz w:val="20"/>
                    <w:szCs w:val="20"/>
                  </w:rPr>
                  <m:t>2</m:t>
                </m:r>
              </m:sup>
            </m:sSup>
          </m:den>
        </m:f>
        <m:r>
          <w:rPr>
            <w:rFonts w:ascii="Cambria Math" w:eastAsiaTheme="minorEastAsia" w:hAnsi="Cambria Math" w:cs="Times New Roman"/>
            <w:sz w:val="20"/>
            <w:szCs w:val="20"/>
          </w:rPr>
          <m:t>⇒ ν=</m:t>
        </m:r>
        <m:f>
          <m:fPr>
            <m:ctrlPr>
              <w:rPr>
                <w:rFonts w:ascii="Cambria Math" w:eastAsiaTheme="minorEastAsia" w:hAnsi="Cambria Math" w:cs="Times New Roman"/>
                <w:i/>
                <w:sz w:val="20"/>
                <w:szCs w:val="20"/>
              </w:rPr>
            </m:ctrlPr>
          </m:fPr>
          <m:num>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2gh</m:t>
                </m:r>
              </m:e>
            </m:rad>
          </m:num>
          <m:den>
            <m:r>
              <w:rPr>
                <w:rFonts w:ascii="Cambria Math" w:eastAsiaTheme="minorEastAsia" w:hAnsi="Cambria Math" w:cs="Times New Roman"/>
                <w:sz w:val="20"/>
                <w:szCs w:val="20"/>
              </w:rPr>
              <m:t>2πr</m:t>
            </m:r>
          </m:den>
        </m:f>
      </m:oMath>
      <w:r w:rsidRPr="002D73E1">
        <w:rPr>
          <w:rFonts w:ascii="Times New Roman" w:eastAsiaTheme="minorEastAsia" w:hAnsi="Times New Roman" w:cs="Times New Roman"/>
          <w:sz w:val="20"/>
          <w:szCs w:val="20"/>
        </w:rPr>
        <w:t xml:space="preserve">                                       (4)</w:t>
      </w:r>
    </w:p>
    <w:p w14:paraId="51421E51" w14:textId="77777777" w:rsidR="007F55CA" w:rsidRPr="002D73E1" w:rsidRDefault="007F55CA" w:rsidP="002D73E1">
      <w:pPr>
        <w:pStyle w:val="Paragraph"/>
      </w:pPr>
      <w:r w:rsidRPr="002D73E1">
        <w:lastRenderedPageBreak/>
        <w:t xml:space="preserve">where: </w:t>
      </w:r>
      <w:proofErr w:type="spellStart"/>
      <w:r w:rsidRPr="002D73E1">
        <w:t>E</w:t>
      </w:r>
      <w:r w:rsidRPr="002D73E1">
        <w:rPr>
          <w:vertAlign w:val="subscript"/>
        </w:rPr>
        <w:t>k</w:t>
      </w:r>
      <w:r w:rsidRPr="002D73E1">
        <w:t>,E</w:t>
      </w:r>
      <w:r w:rsidRPr="002D73E1">
        <w:rPr>
          <w:vertAlign w:val="subscript"/>
        </w:rPr>
        <w:t>p</w:t>
      </w:r>
      <w:proofErr w:type="spellEnd"/>
      <w:r w:rsidRPr="002D73E1">
        <w:t xml:space="preserve"> - kinetic and potential energies of the liquid (J), m - unit mass of the liquid (kg), g - acceleration due to gravity (m/s</w:t>
      </w:r>
      <w:r w:rsidRPr="002D73E1">
        <w:rPr>
          <w:vertAlign w:val="superscript"/>
        </w:rPr>
        <w:t>2</w:t>
      </w:r>
      <w:r w:rsidRPr="002D73E1">
        <w:t>), h - height of the liquid (m), ϑ -liquid velocity (m/s), ω- angular velocity of the impeller (rad/s), ν- rotational speed of the impeller (s</w:t>
      </w:r>
      <w:r w:rsidRPr="002D73E1">
        <w:rPr>
          <w:vertAlign w:val="superscript"/>
        </w:rPr>
        <w:t>-1</w:t>
      </w:r>
      <w:r w:rsidRPr="002D73E1">
        <w:t>).</w:t>
      </w:r>
    </w:p>
    <w:p w14:paraId="7091DEB1" w14:textId="7E316EA7" w:rsidR="007F55CA" w:rsidRPr="002D73E1" w:rsidRDefault="007F55CA" w:rsidP="002D73E1">
      <w:pPr>
        <w:pStyle w:val="Paragraph"/>
      </w:pPr>
      <w:r w:rsidRPr="002D73E1">
        <w:t>We introduce the blade rotation frequency as a function with the following variables.</w:t>
      </w:r>
      <w:r w:rsidR="00E94495" w:rsidRPr="002D73E1">
        <w:t xml:space="preserve"> [6-10,13-30</w:t>
      </w:r>
      <w:r w:rsidR="00A36F3E" w:rsidRPr="002D73E1">
        <w:t>]</w:t>
      </w:r>
    </w:p>
    <w:p w14:paraId="27192144"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ν(r,h)=</m:t>
        </m:r>
        <m:f>
          <m:fPr>
            <m:ctrlPr>
              <w:rPr>
                <w:rFonts w:ascii="Cambria Math" w:eastAsiaTheme="minorEastAsia" w:hAnsi="Cambria Math" w:cs="Times New Roman"/>
                <w:i/>
                <w:sz w:val="20"/>
                <w:szCs w:val="20"/>
              </w:rPr>
            </m:ctrlPr>
          </m:fPr>
          <m:num>
            <m:rad>
              <m:radPr>
                <m:degHide m:val="1"/>
                <m:ctrlPr>
                  <w:rPr>
                    <w:rFonts w:ascii="Cambria Math" w:eastAsiaTheme="minorEastAsia" w:hAnsi="Cambria Math" w:cs="Times New Roman"/>
                    <w:i/>
                    <w:sz w:val="20"/>
                    <w:szCs w:val="20"/>
                  </w:rPr>
                </m:ctrlPr>
              </m:radPr>
              <m:deg/>
              <m:e>
                <m:r>
                  <w:rPr>
                    <w:rFonts w:ascii="Cambria Math" w:eastAsiaTheme="minorEastAsia" w:hAnsi="Cambria Math" w:cs="Times New Roman"/>
                    <w:sz w:val="20"/>
                    <w:szCs w:val="20"/>
                  </w:rPr>
                  <m:t>2gh</m:t>
                </m:r>
              </m:e>
            </m:rad>
          </m:num>
          <m:den>
            <m:r>
              <w:rPr>
                <w:rFonts w:ascii="Cambria Math" w:eastAsiaTheme="minorEastAsia" w:hAnsi="Cambria Math" w:cs="Times New Roman"/>
                <w:sz w:val="20"/>
                <w:szCs w:val="20"/>
              </w:rPr>
              <m:t>2πr</m:t>
            </m:r>
          </m:den>
        </m:f>
      </m:oMath>
      <w:r w:rsidRPr="002D73E1">
        <w:rPr>
          <w:rFonts w:ascii="Times New Roman" w:eastAsiaTheme="minorEastAsia" w:hAnsi="Times New Roman" w:cs="Times New Roman"/>
          <w:sz w:val="20"/>
          <w:szCs w:val="20"/>
        </w:rPr>
        <w:t xml:space="preserve">                                                                                (5)</w:t>
      </w:r>
    </w:p>
    <w:p w14:paraId="0A1DF603" w14:textId="77777777" w:rsidR="007F55CA" w:rsidRPr="002D73E1" w:rsidRDefault="007F55CA" w:rsidP="002D73E1">
      <w:pPr>
        <w:spacing w:after="0" w:line="240" w:lineRule="auto"/>
        <w:ind w:firstLine="284"/>
        <w:jc w:val="both"/>
        <w:rPr>
          <w:rFonts w:ascii="Times New Roman" w:eastAsiaTheme="minorEastAsia" w:hAnsi="Times New Roman" w:cs="Times New Roman"/>
          <w:sz w:val="20"/>
          <w:szCs w:val="20"/>
        </w:rPr>
      </w:pPr>
      <w:r w:rsidRPr="002D73E1">
        <w:rPr>
          <w:rFonts w:ascii="Times New Roman" w:eastAsiaTheme="minorEastAsia" w:hAnsi="Times New Roman" w:cs="Times New Roman"/>
          <w:sz w:val="20"/>
          <w:szCs w:val="20"/>
        </w:rPr>
        <w:t>Due to the hydrostatic pressure force, we express the pressure through the following formula in terms of the blade rotation frequency and radius.</w:t>
      </w:r>
    </w:p>
    <w:p w14:paraId="3A738F6E"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P=</m:t>
        </m:r>
        <m:r>
          <w:rPr>
            <w:rFonts w:ascii="Cambria Math" w:hAnsi="Cambria Math" w:cs="Times New Roman"/>
            <w:sz w:val="20"/>
            <w:szCs w:val="20"/>
            <w:lang w:val="uz-Cyrl-UZ"/>
          </w:rPr>
          <m:t>ρ</m:t>
        </m:r>
        <m:r>
          <w:rPr>
            <w:rFonts w:ascii="Cambria Math" w:eastAsiaTheme="minorEastAsia" w:hAnsi="Cambria Math" w:cs="Times New Roman"/>
            <w:sz w:val="20"/>
            <w:szCs w:val="20"/>
          </w:rPr>
          <m:t xml:space="preserve">⇒ </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=2gh⇒h=</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2g</m:t>
            </m:r>
          </m:den>
        </m:f>
      </m:oMath>
      <w:r w:rsidRPr="002D73E1">
        <w:rPr>
          <w:rFonts w:ascii="Times New Roman" w:eastAsiaTheme="minorEastAsia" w:hAnsi="Times New Roman" w:cs="Times New Roman"/>
          <w:i/>
          <w:sz w:val="20"/>
          <w:szCs w:val="20"/>
        </w:rPr>
        <w:t xml:space="preserve">gh </w:t>
      </w:r>
      <w:r w:rsidRPr="002D73E1">
        <w:rPr>
          <w:rFonts w:ascii="Times New Roman" w:eastAsiaTheme="minorEastAsia" w:hAnsi="Times New Roman" w:cs="Times New Roman"/>
          <w:sz w:val="20"/>
          <w:szCs w:val="20"/>
        </w:rPr>
        <w:t xml:space="preserve">                                                      </w:t>
      </w:r>
      <w:proofErr w:type="gramStart"/>
      <w:r w:rsidRPr="002D73E1">
        <w:rPr>
          <w:rFonts w:ascii="Times New Roman" w:eastAsiaTheme="minorEastAsia" w:hAnsi="Times New Roman" w:cs="Times New Roman"/>
          <w:sz w:val="20"/>
          <w:szCs w:val="20"/>
        </w:rPr>
        <w:t xml:space="preserve">   (</w:t>
      </w:r>
      <w:proofErr w:type="gramEnd"/>
      <w:r w:rsidRPr="002D73E1">
        <w:rPr>
          <w:rFonts w:ascii="Times New Roman" w:eastAsiaTheme="minorEastAsia" w:hAnsi="Times New Roman" w:cs="Times New Roman"/>
          <w:sz w:val="20"/>
          <w:szCs w:val="20"/>
        </w:rPr>
        <w:t xml:space="preserve">6) </w:t>
      </w:r>
    </w:p>
    <w:p w14:paraId="7E524D98"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P(</m:t>
        </m:r>
        <m:r>
          <w:rPr>
            <w:rFonts w:ascii="Cambria Math" w:eastAsiaTheme="minorEastAsia" w:hAnsi="Cambria Math" w:cs="Times New Roman"/>
            <w:sz w:val="20"/>
            <w:szCs w:val="20"/>
          </w:rPr>
          <m:t>ω,r,</m:t>
        </m:r>
        <m:r>
          <w:rPr>
            <w:rFonts w:ascii="Cambria Math" w:hAnsi="Cambria Math" w:cs="Times New Roman"/>
            <w:sz w:val="20"/>
            <w:szCs w:val="20"/>
          </w:rPr>
          <m:t>ρ</m:t>
        </m:r>
        <m:r>
          <w:rPr>
            <w:rFonts w:ascii="Cambria Math" w:eastAsiaTheme="minorEastAsia" w:hAnsi="Cambria Math" w:cs="Times New Roman"/>
            <w:sz w:val="20"/>
            <w:szCs w:val="20"/>
          </w:rPr>
          <m:t>)</m:t>
        </m:r>
        <m:r>
          <w:rPr>
            <w:rFonts w:ascii="Cambria Math" w:hAnsi="Cambria Math" w:cs="Times New Roman"/>
            <w:sz w:val="20"/>
            <w:szCs w:val="20"/>
          </w:rPr>
          <m:t>=ρ</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 xml:space="preserve">   </m:t>
        </m:r>
      </m:oMath>
      <w:r w:rsidRPr="002D73E1">
        <w:rPr>
          <w:rFonts w:ascii="Times New Roman" w:eastAsiaTheme="minorEastAsia" w:hAnsi="Times New Roman" w:cs="Times New Roman"/>
          <w:sz w:val="20"/>
          <w:szCs w:val="20"/>
        </w:rPr>
        <w:t xml:space="preserve">                                                                          (7)</w:t>
      </w:r>
    </w:p>
    <w:p w14:paraId="3677A9DE" w14:textId="77777777" w:rsidR="007F55CA" w:rsidRPr="002D73E1" w:rsidRDefault="007F55CA" w:rsidP="002D73E1">
      <w:pPr>
        <w:spacing w:after="0" w:line="240" w:lineRule="auto"/>
        <w:ind w:firstLine="284"/>
        <w:rPr>
          <w:rFonts w:ascii="Times New Roman" w:eastAsiaTheme="minorEastAsia" w:hAnsi="Times New Roman" w:cs="Times New Roman"/>
          <w:sz w:val="20"/>
          <w:szCs w:val="20"/>
        </w:rPr>
      </w:pPr>
      <w:proofErr w:type="gramStart"/>
      <w:r w:rsidRPr="002D73E1">
        <w:rPr>
          <w:rFonts w:ascii="Times New Roman" w:eastAsiaTheme="minorEastAsia" w:hAnsi="Times New Roman" w:cs="Times New Roman"/>
          <w:sz w:val="20"/>
          <w:szCs w:val="20"/>
        </w:rPr>
        <w:t xml:space="preserve">if;   </w:t>
      </w:r>
      <w:proofErr w:type="gramEnd"/>
      <m:oMath>
        <m:r>
          <w:rPr>
            <w:rFonts w:ascii="Cambria Math" w:hAnsi="Cambria Math" w:cs="Times New Roman"/>
            <w:sz w:val="20"/>
            <w:szCs w:val="20"/>
          </w:rPr>
          <m:t>∆d→0</m:t>
        </m:r>
      </m:oMath>
      <w:r w:rsidRPr="002D73E1">
        <w:rPr>
          <w:rFonts w:ascii="Times New Roman" w:eastAsiaTheme="minorEastAsia" w:hAnsi="Times New Roman" w:cs="Times New Roman"/>
          <w:sz w:val="20"/>
          <w:szCs w:val="20"/>
        </w:rPr>
        <w:t xml:space="preserve">   R+r</w:t>
      </w:r>
      <m:oMath>
        <m:r>
          <w:rPr>
            <w:rFonts w:ascii="Cambria Math" w:eastAsiaTheme="minorEastAsia" w:hAnsi="Cambria Math" w:cs="Times New Roman"/>
            <w:sz w:val="20"/>
            <w:szCs w:val="20"/>
          </w:rPr>
          <m:t>≈2R</m:t>
        </m:r>
      </m:oMath>
      <w:r w:rsidRPr="002D73E1">
        <w:rPr>
          <w:rFonts w:ascii="Times New Roman" w:eastAsiaTheme="minorEastAsia" w:hAnsi="Times New Roman" w:cs="Times New Roman"/>
          <w:sz w:val="20"/>
          <w:szCs w:val="20"/>
        </w:rPr>
        <w:t xml:space="preserve"> R-r=</w:t>
      </w:r>
      <m:oMath>
        <m:r>
          <w:rPr>
            <w:rFonts w:ascii="Cambria Math" w:hAnsi="Cambria Math" w:cs="Times New Roman"/>
            <w:sz w:val="20"/>
            <w:szCs w:val="20"/>
          </w:rPr>
          <m:t>∆d</m:t>
        </m:r>
      </m:oMath>
    </w:p>
    <w:p w14:paraId="27BC87FC"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F=S</m:t>
        </m:r>
        <m:d>
          <m:dPr>
            <m:ctrlPr>
              <w:rPr>
                <w:rFonts w:ascii="Cambria Math" w:eastAsiaTheme="minorEastAsia" w:hAnsi="Cambria Math" w:cs="Times New Roman"/>
                <w:i/>
                <w:sz w:val="20"/>
                <w:szCs w:val="20"/>
              </w:rPr>
            </m:ctrlPr>
          </m:dPr>
          <m:e>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1</m:t>
                </m:r>
              </m:sub>
            </m:sSub>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P</m:t>
                </m:r>
              </m:e>
              <m:sub>
                <m:r>
                  <w:rPr>
                    <w:rFonts w:ascii="Cambria Math" w:hAnsi="Cambria Math" w:cs="Times New Roman"/>
                    <w:sz w:val="20"/>
                    <w:szCs w:val="20"/>
                  </w:rPr>
                  <m:t>2</m:t>
                </m:r>
              </m:sub>
            </m:sSub>
          </m:e>
        </m:d>
        <m:r>
          <w:rPr>
            <w:rFonts w:ascii="Cambria Math" w:eastAsiaTheme="minorEastAsia" w:hAnsi="Cambria Math" w:cs="Times New Roman"/>
            <w:sz w:val="20"/>
            <w:szCs w:val="20"/>
          </w:rPr>
          <m:t>⇒F=S</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den>
            </m:f>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den>
            </m:f>
          </m:e>
        </m:d>
        <m:r>
          <w:rPr>
            <w:rFonts w:ascii="Cambria Math" w:eastAsiaTheme="minorEastAsia" w:hAnsi="Cambria Math" w:cs="Times New Roman"/>
            <w:sz w:val="20"/>
            <w:szCs w:val="20"/>
          </w:rPr>
          <m:t>=Sρ</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den>
        </m:f>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e>
        </m:d>
      </m:oMath>
      <w:r w:rsidRPr="002D73E1">
        <w:rPr>
          <w:rFonts w:ascii="Times New Roman" w:eastAsiaTheme="minorEastAsia" w:hAnsi="Times New Roman" w:cs="Times New Roman"/>
          <w:sz w:val="20"/>
          <w:szCs w:val="20"/>
        </w:rPr>
        <w:t xml:space="preserve">                                      (8)</w:t>
      </w:r>
    </w:p>
    <w:p w14:paraId="06B99C54"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F=S</m:t>
        </m:r>
        <m:r>
          <w:rPr>
            <w:rFonts w:ascii="Cambria Math" w:hAnsi="Cambria Math" w:cs="Times New Roman"/>
            <w:sz w:val="20"/>
            <w:szCs w:val="20"/>
          </w:rPr>
          <m:t>∆d</m:t>
        </m:r>
        <m:r>
          <w:rPr>
            <w:rFonts w:ascii="Cambria Math" w:eastAsiaTheme="minorEastAsia" w:hAnsi="Cambria Math" w:cs="Times New Roman"/>
            <w:sz w:val="20"/>
            <w:szCs w:val="20"/>
          </w:rPr>
          <m:t>ρ</m:t>
        </m:r>
        <m:f>
          <m:fPr>
            <m:ctrlPr>
              <w:rPr>
                <w:rFonts w:ascii="Cambria Math" w:eastAsiaTheme="minorEastAsia" w:hAnsi="Cambria Math" w:cs="Times New Roman"/>
                <w:i/>
                <w:sz w:val="20"/>
                <w:szCs w:val="20"/>
              </w:rPr>
            </m:ctrlPr>
          </m:fPr>
          <m:num>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num>
          <m:den>
            <m:r>
              <w:rPr>
                <w:rFonts w:ascii="Cambria Math" w:eastAsiaTheme="minorEastAsia" w:hAnsi="Cambria Math" w:cs="Times New Roman"/>
                <w:sz w:val="20"/>
                <w:szCs w:val="20"/>
              </w:rPr>
              <m:t>2</m:t>
            </m:r>
          </m:den>
        </m:f>
        <m:r>
          <w:rPr>
            <w:rFonts w:ascii="Cambria Math" w:eastAsiaTheme="minorEastAsia" w:hAnsi="Cambria Math" w:cs="Times New Roman"/>
            <w:sz w:val="20"/>
            <w:szCs w:val="20"/>
          </w:rPr>
          <m:t>2R⇒F=</m:t>
        </m:r>
        <m:r>
          <w:rPr>
            <w:rFonts w:ascii="Cambria Math" w:hAnsi="Cambria Math" w:cs="Times New Roman"/>
            <w:sz w:val="20"/>
            <w:szCs w:val="20"/>
          </w:rPr>
          <m:t>∆V</m:t>
        </m:r>
        <m:r>
          <w:rPr>
            <w:rFonts w:ascii="Cambria Math" w:eastAsiaTheme="minorEastAsia" w:hAnsi="Cambria Math" w:cs="Times New Roman"/>
            <w:sz w:val="20"/>
            <w:szCs w:val="20"/>
          </w:rPr>
          <m:t>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R</m:t>
        </m:r>
      </m:oMath>
      <w:r w:rsidRPr="002D73E1">
        <w:rPr>
          <w:rFonts w:ascii="Times New Roman" w:eastAsiaTheme="minorEastAsia" w:hAnsi="Times New Roman" w:cs="Times New Roman"/>
          <w:sz w:val="20"/>
          <w:szCs w:val="20"/>
        </w:rPr>
        <w:t xml:space="preserve">                                                                (9)</w:t>
      </w:r>
    </w:p>
    <w:p w14:paraId="19AEE476"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eastAsiaTheme="minorEastAsia" w:hAnsi="Cambria Math" w:cs="Times New Roman"/>
            <w:sz w:val="20"/>
            <w:szCs w:val="20"/>
          </w:rPr>
          <m:t>F</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ω,R</m:t>
            </m:r>
          </m:e>
        </m:d>
        <m:r>
          <w:rPr>
            <w:rFonts w:ascii="Cambria Math" w:eastAsiaTheme="minorEastAsia" w:hAnsi="Cambria Math" w:cs="Times New Roman"/>
            <w:sz w:val="20"/>
            <w:szCs w:val="20"/>
          </w:rPr>
          <m:t>=m</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R</m:t>
        </m:r>
      </m:oMath>
      <w:r w:rsidRPr="002D73E1">
        <w:rPr>
          <w:rFonts w:ascii="Times New Roman" w:eastAsiaTheme="minorEastAsia" w:hAnsi="Times New Roman" w:cs="Times New Roman"/>
          <w:sz w:val="20"/>
          <w:szCs w:val="20"/>
        </w:rPr>
        <w:t xml:space="preserve">                                                                           (10)</w:t>
      </w:r>
    </w:p>
    <w:p w14:paraId="657F4135"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eastAsiaTheme="minorEastAsia" w:hAnsi="Times New Roman" w:cs="Times New Roman"/>
          <w:sz w:val="20"/>
          <w:szCs w:val="20"/>
        </w:rPr>
        <w:t xml:space="preserve">where: </w:t>
      </w:r>
      <w:r w:rsidRPr="002D73E1">
        <w:rPr>
          <w:rFonts w:ascii="Times New Roman" w:hAnsi="Times New Roman" w:cs="Times New Roman"/>
          <w:i/>
          <w:sz w:val="20"/>
          <w:szCs w:val="20"/>
        </w:rPr>
        <w:t>P</w:t>
      </w:r>
      <w:r w:rsidRPr="002D73E1">
        <w:rPr>
          <w:rFonts w:ascii="Times New Roman" w:hAnsi="Times New Roman" w:cs="Times New Roman"/>
          <w:sz w:val="20"/>
          <w:szCs w:val="20"/>
        </w:rPr>
        <w:t xml:space="preserve"> - pressure (N/m), </w:t>
      </w:r>
      <m:oMath>
        <m:r>
          <w:rPr>
            <w:rFonts w:ascii="Cambria Math" w:eastAsiaTheme="minorEastAsia" w:hAnsi="Cambria Math" w:cs="Times New Roman"/>
            <w:sz w:val="20"/>
            <w:szCs w:val="20"/>
          </w:rPr>
          <m:t>ρ</m:t>
        </m:r>
      </m:oMath>
      <w:r w:rsidRPr="002D73E1">
        <w:rPr>
          <w:rFonts w:ascii="Times New Roman" w:hAnsi="Times New Roman" w:cs="Times New Roman"/>
          <w:sz w:val="20"/>
          <w:szCs w:val="20"/>
        </w:rPr>
        <w:t xml:space="preserve"> -liquid density (kg/m</w:t>
      </w:r>
      <w:r w:rsidRPr="002D73E1">
        <w:rPr>
          <w:rFonts w:ascii="Times New Roman" w:hAnsi="Times New Roman" w:cs="Times New Roman"/>
          <w:sz w:val="20"/>
          <w:szCs w:val="20"/>
          <w:vertAlign w:val="superscript"/>
        </w:rPr>
        <w:t>3</w:t>
      </w:r>
      <w:r w:rsidRPr="002D73E1">
        <w:rPr>
          <w:rFonts w:ascii="Times New Roman" w:hAnsi="Times New Roman" w:cs="Times New Roman"/>
          <w:sz w:val="20"/>
          <w:szCs w:val="20"/>
        </w:rPr>
        <w:t xml:space="preserve">), </w:t>
      </w:r>
      <w:r w:rsidRPr="002D73E1">
        <w:rPr>
          <w:rFonts w:ascii="Times New Roman" w:hAnsi="Times New Roman" w:cs="Times New Roman"/>
          <w:i/>
          <w:sz w:val="20"/>
          <w:szCs w:val="20"/>
        </w:rPr>
        <w:t>R</w:t>
      </w:r>
      <w:r w:rsidRPr="002D73E1">
        <w:rPr>
          <w:rFonts w:ascii="Times New Roman" w:hAnsi="Times New Roman" w:cs="Times New Roman"/>
          <w:sz w:val="20"/>
          <w:szCs w:val="20"/>
        </w:rPr>
        <w:t xml:space="preserve"> - outer radius - the maximum radius of the impeller, the distance to the outlet edge (m),  </w:t>
      </w:r>
      <w:r w:rsidRPr="002D73E1">
        <w:rPr>
          <w:rFonts w:ascii="Times New Roman" w:hAnsi="Times New Roman" w:cs="Times New Roman"/>
          <w:i/>
          <w:sz w:val="20"/>
          <w:szCs w:val="20"/>
        </w:rPr>
        <w:t>r</w:t>
      </w:r>
      <w:r w:rsidRPr="002D73E1">
        <w:rPr>
          <w:rFonts w:ascii="Times New Roman" w:hAnsi="Times New Roman" w:cs="Times New Roman"/>
          <w:sz w:val="20"/>
          <w:szCs w:val="20"/>
        </w:rPr>
        <w:t xml:space="preserve"> - inner radius - the area close to the center of the impeller, i.e., the radius of the inlet (m), </w:t>
      </w:r>
      <m:oMath>
        <m:r>
          <w:rPr>
            <w:rFonts w:ascii="Cambria Math" w:hAnsi="Cambria Math" w:cs="Times New Roman"/>
            <w:sz w:val="20"/>
            <w:szCs w:val="20"/>
          </w:rPr>
          <m:t>∆d</m:t>
        </m:r>
      </m:oMath>
      <w:r w:rsidRPr="002D73E1">
        <w:rPr>
          <w:rFonts w:ascii="Times New Roman" w:eastAsiaTheme="minorEastAsia" w:hAnsi="Times New Roman" w:cs="Times New Roman"/>
          <w:sz w:val="20"/>
          <w:szCs w:val="20"/>
        </w:rPr>
        <w:t xml:space="preserve">  </w:t>
      </w:r>
      <w:r w:rsidRPr="002D73E1">
        <w:rPr>
          <w:rFonts w:ascii="Times New Roman" w:hAnsi="Times New Roman" w:cs="Times New Roman"/>
          <w:sz w:val="20"/>
          <w:szCs w:val="20"/>
        </w:rPr>
        <w:t xml:space="preserve">- radial width of the impeller channel, i.e.,  -the radial difference in wing length (m), </w:t>
      </w:r>
      <w:r w:rsidRPr="002D73E1">
        <w:rPr>
          <w:rFonts w:ascii="Times New Roman" w:hAnsi="Times New Roman" w:cs="Times New Roman"/>
          <w:i/>
          <w:sz w:val="20"/>
          <w:szCs w:val="20"/>
        </w:rPr>
        <w:t>F</w:t>
      </w:r>
      <w:r w:rsidRPr="002D73E1">
        <w:rPr>
          <w:rFonts w:ascii="Times New Roman" w:hAnsi="Times New Roman" w:cs="Times New Roman"/>
          <w:sz w:val="20"/>
          <w:szCs w:val="20"/>
        </w:rPr>
        <w:t xml:space="preserve"> - force (N), </w:t>
      </w:r>
      <w:r w:rsidRPr="002D73E1">
        <w:rPr>
          <w:rFonts w:ascii="Times New Roman" w:hAnsi="Times New Roman" w:cs="Times New Roman"/>
          <w:i/>
          <w:sz w:val="20"/>
          <w:szCs w:val="20"/>
        </w:rPr>
        <w:t>S</w:t>
      </w:r>
      <w:r w:rsidRPr="002D73E1">
        <w:rPr>
          <w:rFonts w:ascii="Times New Roman" w:hAnsi="Times New Roman" w:cs="Times New Roman"/>
          <w:sz w:val="20"/>
          <w:szCs w:val="20"/>
        </w:rPr>
        <w:t xml:space="preserve"> - area of impact of the impeller (m</w:t>
      </w:r>
      <w:r w:rsidRPr="002D73E1">
        <w:rPr>
          <w:rFonts w:ascii="Times New Roman" w:hAnsi="Times New Roman" w:cs="Times New Roman"/>
          <w:sz w:val="20"/>
          <w:szCs w:val="20"/>
          <w:vertAlign w:val="superscript"/>
        </w:rPr>
        <w:t>2</w:t>
      </w:r>
      <w:r w:rsidRPr="002D73E1">
        <w:rPr>
          <w:rFonts w:ascii="Times New Roman" w:hAnsi="Times New Roman" w:cs="Times New Roman"/>
          <w:sz w:val="20"/>
          <w:szCs w:val="20"/>
        </w:rPr>
        <w:t xml:space="preserve">), </w:t>
      </w:r>
      <w:r w:rsidRPr="002D73E1">
        <w:rPr>
          <w:rFonts w:ascii="Times New Roman" w:hAnsi="Times New Roman" w:cs="Times New Roman"/>
          <w:i/>
          <w:sz w:val="20"/>
          <w:szCs w:val="20"/>
        </w:rPr>
        <w:t>P</w:t>
      </w:r>
      <w:r w:rsidRPr="002D73E1">
        <w:rPr>
          <w:rFonts w:ascii="Times New Roman" w:hAnsi="Times New Roman" w:cs="Times New Roman"/>
          <w:i/>
          <w:sz w:val="20"/>
          <w:szCs w:val="20"/>
          <w:vertAlign w:val="subscript"/>
        </w:rPr>
        <w:t>1</w:t>
      </w:r>
      <w:r w:rsidRPr="002D73E1">
        <w:rPr>
          <w:rFonts w:ascii="Times New Roman" w:hAnsi="Times New Roman" w:cs="Times New Roman"/>
          <w:i/>
          <w:sz w:val="20"/>
          <w:szCs w:val="20"/>
        </w:rPr>
        <w:t>,P</w:t>
      </w:r>
      <w:r w:rsidRPr="002D73E1">
        <w:rPr>
          <w:rFonts w:ascii="Times New Roman" w:hAnsi="Times New Roman" w:cs="Times New Roman"/>
          <w:i/>
          <w:sz w:val="20"/>
          <w:szCs w:val="20"/>
          <w:vertAlign w:val="subscript"/>
        </w:rPr>
        <w:t>2</w:t>
      </w:r>
      <w:r w:rsidRPr="002D73E1">
        <w:rPr>
          <w:rFonts w:ascii="Times New Roman" w:hAnsi="Times New Roman" w:cs="Times New Roman"/>
          <w:sz w:val="20"/>
          <w:szCs w:val="20"/>
        </w:rPr>
        <w:t xml:space="preserve"> - inlet and outlet pressures (Pascal),  </w:t>
      </w:r>
      <m:oMath>
        <m:r>
          <w:rPr>
            <w:rFonts w:ascii="Cambria Math" w:hAnsi="Cambria Math" w:cs="Times New Roman"/>
            <w:sz w:val="20"/>
            <w:szCs w:val="20"/>
          </w:rPr>
          <m:t>∆V</m:t>
        </m:r>
      </m:oMath>
      <w:r w:rsidRPr="002D73E1">
        <w:rPr>
          <w:rFonts w:ascii="Times New Roman" w:eastAsiaTheme="minorEastAsia" w:hAnsi="Times New Roman" w:cs="Times New Roman"/>
          <w:sz w:val="20"/>
          <w:szCs w:val="20"/>
        </w:rPr>
        <w:t xml:space="preserve">  </w:t>
      </w:r>
      <w:r w:rsidRPr="002D73E1">
        <w:rPr>
          <w:rFonts w:ascii="Times New Roman" w:hAnsi="Times New Roman" w:cs="Times New Roman"/>
          <w:sz w:val="20"/>
          <w:szCs w:val="20"/>
        </w:rPr>
        <w:t>-volume change (m</w:t>
      </w:r>
      <w:r w:rsidRPr="002D73E1">
        <w:rPr>
          <w:rFonts w:ascii="Times New Roman" w:hAnsi="Times New Roman" w:cs="Times New Roman"/>
          <w:sz w:val="20"/>
          <w:szCs w:val="20"/>
          <w:vertAlign w:val="superscript"/>
        </w:rPr>
        <w:t>3</w:t>
      </w:r>
      <w:r w:rsidRPr="002D73E1">
        <w:rPr>
          <w:rFonts w:ascii="Times New Roman" w:hAnsi="Times New Roman" w:cs="Times New Roman"/>
          <w:sz w:val="20"/>
          <w:szCs w:val="20"/>
        </w:rPr>
        <w:t>)</w:t>
      </w:r>
    </w:p>
    <w:p w14:paraId="5DF56CE3"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Newton's second law for an elementary ring inside a centrifugal pump:</w:t>
      </w:r>
    </w:p>
    <w:p w14:paraId="2B5F2A1E"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dF=ρ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rdV</m:t>
        </m:r>
      </m:oMath>
      <w:r w:rsidRPr="002D73E1">
        <w:rPr>
          <w:rFonts w:ascii="Times New Roman" w:eastAsiaTheme="minorEastAsia" w:hAnsi="Times New Roman" w:cs="Times New Roman"/>
          <w:sz w:val="20"/>
          <w:szCs w:val="20"/>
        </w:rPr>
        <w:t xml:space="preserve">                                                                          (11)</w:t>
      </w:r>
    </w:p>
    <w:p w14:paraId="7CDF78B7"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dP=ρ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rdr</m:t>
        </m:r>
      </m:oMath>
      <w:r w:rsidRPr="002D73E1">
        <w:rPr>
          <w:rFonts w:ascii="Times New Roman" w:eastAsiaTheme="minorEastAsia" w:hAnsi="Times New Roman" w:cs="Times New Roman"/>
          <w:sz w:val="20"/>
          <w:szCs w:val="20"/>
        </w:rPr>
        <w:t xml:space="preserve">                                                                           (12)</w:t>
      </w:r>
    </w:p>
    <w:p w14:paraId="2427110C"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Integrating:</w:t>
      </w:r>
    </w:p>
    <w:p w14:paraId="09C5C9E9" w14:textId="77777777" w:rsidR="007F55CA" w:rsidRPr="002D73E1" w:rsidRDefault="007F55CA" w:rsidP="002D73E1">
      <w:pPr>
        <w:spacing w:after="0" w:line="240" w:lineRule="auto"/>
        <w:ind w:firstLine="284"/>
        <w:jc w:val="right"/>
        <w:rPr>
          <w:rFonts w:ascii="Times New Roman" w:eastAsiaTheme="minorEastAsia" w:hAnsi="Times New Roman" w:cs="Times New Roman"/>
          <w:sz w:val="20"/>
          <w:szCs w:val="20"/>
        </w:rPr>
      </w:pPr>
      <m:oMath>
        <m:r>
          <w:rPr>
            <w:rFonts w:ascii="Cambria Math" w:hAnsi="Cambria Math" w:cs="Times New Roman"/>
            <w:sz w:val="20"/>
            <w:szCs w:val="20"/>
          </w:rPr>
          <m:t>P</m:t>
        </m:r>
        <m:d>
          <m:dPr>
            <m:ctrlPr>
              <w:rPr>
                <w:rFonts w:ascii="Cambria Math" w:hAnsi="Cambria Math" w:cs="Times New Roman"/>
                <w:i/>
                <w:sz w:val="20"/>
                <w:szCs w:val="20"/>
              </w:rPr>
            </m:ctrlPr>
          </m:dPr>
          <m:e>
            <m:r>
              <w:rPr>
                <w:rFonts w:ascii="Cambria Math" w:hAnsi="Cambria Math" w:cs="Times New Roman"/>
                <w:sz w:val="20"/>
                <w:szCs w:val="20"/>
              </w:rPr>
              <m:t>r</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ρ</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ω</m:t>
                </m:r>
              </m:e>
              <m:sup>
                <m:r>
                  <w:rPr>
                    <w:rFonts w:ascii="Cambria Math" w:eastAsiaTheme="minorEastAsia" w:hAnsi="Cambria Math" w:cs="Times New Roman"/>
                    <w:sz w:val="20"/>
                    <w:szCs w:val="20"/>
                  </w:rPr>
                  <m:t>2</m:t>
                </m:r>
              </m:sup>
            </m:sSup>
          </m:num>
          <m:den>
            <m:r>
              <w:rPr>
                <w:rFonts w:ascii="Cambria Math" w:hAnsi="Cambria Math" w:cs="Times New Roman"/>
                <w:sz w:val="20"/>
                <w:szCs w:val="20"/>
              </w:rPr>
              <m:t>2</m:t>
            </m:r>
          </m:den>
        </m:f>
        <m:r>
          <w:rPr>
            <w:rFonts w:ascii="Cambria Math" w:hAnsi="Cambria Math" w:cs="Times New Roman"/>
            <w:sz w:val="20"/>
            <w:szCs w:val="20"/>
          </w:rPr>
          <m:t xml:space="preserve"> </m:t>
        </m:r>
        <m:d>
          <m:dPr>
            <m:ctrlPr>
              <w:rPr>
                <w:rFonts w:ascii="Cambria Math" w:eastAsiaTheme="minorEastAsia" w:hAnsi="Cambria Math" w:cs="Times New Roman"/>
                <w:i/>
                <w:sz w:val="20"/>
                <w:szCs w:val="20"/>
              </w:rPr>
            </m:ctrlPr>
          </m:dPr>
          <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r</m:t>
                </m:r>
              </m:e>
              <m:sup>
                <m:r>
                  <w:rPr>
                    <w:rFonts w:ascii="Cambria Math" w:eastAsiaTheme="minorEastAsia" w:hAnsi="Cambria Math" w:cs="Times New Roman"/>
                    <w:sz w:val="20"/>
                    <w:szCs w:val="20"/>
                  </w:rPr>
                  <m:t>2</m:t>
                </m:r>
              </m:sup>
            </m:sSup>
          </m:e>
        </m:d>
      </m:oMath>
      <w:r w:rsidRPr="002D73E1">
        <w:rPr>
          <w:rFonts w:ascii="Times New Roman" w:eastAsiaTheme="minorEastAsia" w:hAnsi="Times New Roman" w:cs="Times New Roman"/>
          <w:sz w:val="20"/>
          <w:szCs w:val="20"/>
        </w:rPr>
        <w:t xml:space="preserve">                                                                   (13)</w:t>
      </w:r>
    </w:p>
    <w:p w14:paraId="5DD2632D" w14:textId="77777777" w:rsidR="006B7D97" w:rsidRDefault="006520BC" w:rsidP="006B7D97">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4397446A" w14:textId="77777777" w:rsidR="007F55CA" w:rsidRPr="002D73E1" w:rsidRDefault="007F55CA" w:rsidP="002D73E1">
      <w:pPr>
        <w:pStyle w:val="Paragraph"/>
      </w:pPr>
      <w:r w:rsidRPr="002D73E1">
        <w:t>Calculating the forces acting on the impeller of a centrifugal pump based on the density of various liquids found in the Zarafshan region, we construct the following graph using Formula 10.</w:t>
      </w:r>
    </w:p>
    <w:p w14:paraId="1D285D18" w14:textId="77777777" w:rsidR="007F55CA" w:rsidRPr="002D73E1" w:rsidRDefault="007F55CA" w:rsidP="002D73E1">
      <w:pPr>
        <w:pStyle w:val="Paragraph"/>
      </w:pPr>
    </w:p>
    <w:p w14:paraId="3088193E" w14:textId="77777777" w:rsidR="007F55CA" w:rsidRPr="002D73E1" w:rsidRDefault="007F55CA" w:rsidP="002D73E1">
      <w:pPr>
        <w:pStyle w:val="Paragraph"/>
        <w:jc w:val="center"/>
      </w:pPr>
      <w:r w:rsidRPr="002D73E1">
        <w:rPr>
          <w:noProof/>
          <w:lang w:val="ru-RU" w:eastAsia="ru-RU"/>
        </w:rPr>
        <w:drawing>
          <wp:inline distT="0" distB="0" distL="0" distR="0" wp14:anchorId="2D0F57D7" wp14:editId="51C63544">
            <wp:extent cx="5114925" cy="2085975"/>
            <wp:effectExtent l="0" t="0" r="9525"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03D29DA" w14:textId="77777777" w:rsidR="007F55CA" w:rsidRPr="002D73E1" w:rsidRDefault="007F55CA" w:rsidP="002D73E1">
      <w:pPr>
        <w:pStyle w:val="Paragraph"/>
        <w:jc w:val="center"/>
      </w:pPr>
      <w:r w:rsidRPr="002D73E1">
        <w:rPr>
          <w:b/>
        </w:rPr>
        <w:t xml:space="preserve">Figure 1. </w:t>
      </w:r>
      <w:r w:rsidRPr="002D73E1">
        <w:t>Graph of inertia, partial pressure, and total forces acting on the impeller of the pump to determine the density of the liquid.</w:t>
      </w:r>
    </w:p>
    <w:p w14:paraId="757B7139" w14:textId="77777777" w:rsidR="007F55CA" w:rsidRPr="002D73E1" w:rsidRDefault="007F55CA" w:rsidP="002D73E1">
      <w:pPr>
        <w:pStyle w:val="Paragraph"/>
        <w:jc w:val="center"/>
      </w:pPr>
    </w:p>
    <w:p w14:paraId="1BB3A09B"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Results table (sample):</w:t>
      </w:r>
    </w:p>
    <w:p w14:paraId="55250863"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 xml:space="preserve">Pure water (1000 kg/m3):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inertia</w:t>
      </w:r>
      <w:proofErr w:type="spellEnd"/>
      <w:r w:rsidRPr="002D73E1">
        <w:rPr>
          <w:rFonts w:ascii="Times New Roman" w:hAnsi="Times New Roman" w:cs="Times New Roman"/>
          <w:sz w:val="20"/>
          <w:szCs w:val="20"/>
        </w:rPr>
        <w:t xml:space="preserve"> ≈ 1659 (N),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pressure</w:t>
      </w:r>
      <w:proofErr w:type="spellEnd"/>
      <w:r w:rsidRPr="002D73E1">
        <w:rPr>
          <w:rFonts w:ascii="Times New Roman" w:hAnsi="Times New Roman" w:cs="Times New Roman"/>
          <w:sz w:val="20"/>
          <w:szCs w:val="20"/>
        </w:rPr>
        <w:t xml:space="preserve"> ≈ 62 (N),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total</w:t>
      </w:r>
      <w:proofErr w:type="spellEnd"/>
      <w:r w:rsidRPr="002D73E1">
        <w:rPr>
          <w:rFonts w:ascii="Times New Roman" w:hAnsi="Times New Roman" w:cs="Times New Roman"/>
          <w:sz w:val="20"/>
          <w:szCs w:val="20"/>
        </w:rPr>
        <w:t xml:space="preserve"> ≈ 1721 (N).</w:t>
      </w:r>
    </w:p>
    <w:p w14:paraId="08BFB302"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 xml:space="preserve">Light oil (820 kg/m3):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inertial</w:t>
      </w:r>
      <w:proofErr w:type="spellEnd"/>
      <w:r w:rsidRPr="002D73E1">
        <w:rPr>
          <w:rFonts w:ascii="Times New Roman" w:hAnsi="Times New Roman" w:cs="Times New Roman"/>
          <w:sz w:val="20"/>
          <w:szCs w:val="20"/>
        </w:rPr>
        <w:t xml:space="preserve">≈ 1361 (N),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pressure</w:t>
      </w:r>
      <w:proofErr w:type="spellEnd"/>
      <w:r w:rsidRPr="002D73E1">
        <w:rPr>
          <w:rFonts w:ascii="Times New Roman" w:hAnsi="Times New Roman" w:cs="Times New Roman"/>
          <w:sz w:val="20"/>
          <w:szCs w:val="20"/>
          <w:vertAlign w:val="subscript"/>
        </w:rPr>
        <w:t xml:space="preserve"> </w:t>
      </w:r>
      <w:r w:rsidRPr="002D73E1">
        <w:rPr>
          <w:rFonts w:ascii="Times New Roman" w:hAnsi="Times New Roman" w:cs="Times New Roman"/>
          <w:sz w:val="20"/>
          <w:szCs w:val="20"/>
        </w:rPr>
        <w:t xml:space="preserve">≈ 51 (N),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total</w:t>
      </w:r>
      <w:proofErr w:type="spellEnd"/>
      <w:r w:rsidRPr="002D73E1">
        <w:rPr>
          <w:rFonts w:ascii="Times New Roman" w:hAnsi="Times New Roman" w:cs="Times New Roman"/>
          <w:sz w:val="20"/>
          <w:szCs w:val="20"/>
        </w:rPr>
        <w:t>≈ 1412 (N).</w:t>
      </w:r>
    </w:p>
    <w:p w14:paraId="3D42FC90"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 xml:space="preserve">Meltwater (1050 kg/m3):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inertial</w:t>
      </w:r>
      <w:proofErr w:type="spellEnd"/>
      <w:r w:rsidRPr="002D73E1">
        <w:rPr>
          <w:rFonts w:ascii="Times New Roman" w:hAnsi="Times New Roman" w:cs="Times New Roman"/>
          <w:sz w:val="20"/>
          <w:szCs w:val="20"/>
        </w:rPr>
        <w:t xml:space="preserve">≈ 1745 (N),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pressure</w:t>
      </w:r>
      <w:proofErr w:type="spellEnd"/>
      <w:r w:rsidRPr="002D73E1">
        <w:rPr>
          <w:rFonts w:ascii="Times New Roman" w:hAnsi="Times New Roman" w:cs="Times New Roman"/>
          <w:sz w:val="20"/>
          <w:szCs w:val="20"/>
          <w:vertAlign w:val="subscript"/>
        </w:rPr>
        <w:t xml:space="preserve"> </w:t>
      </w:r>
      <w:r w:rsidRPr="002D73E1">
        <w:rPr>
          <w:rFonts w:ascii="Times New Roman" w:hAnsi="Times New Roman" w:cs="Times New Roman"/>
          <w:sz w:val="20"/>
          <w:szCs w:val="20"/>
        </w:rPr>
        <w:t xml:space="preserve">≈ 65 (N),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total</w:t>
      </w:r>
      <w:proofErr w:type="spellEnd"/>
      <w:r w:rsidRPr="002D73E1">
        <w:rPr>
          <w:rFonts w:ascii="Times New Roman" w:hAnsi="Times New Roman" w:cs="Times New Roman"/>
          <w:sz w:val="20"/>
          <w:szCs w:val="20"/>
        </w:rPr>
        <w:t>≈ 1810 (N).</w:t>
      </w:r>
    </w:p>
    <w:p w14:paraId="4DDFF9ED"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 xml:space="preserve">Salt solution (1200 kg/m3):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inertia</w:t>
      </w:r>
      <w:proofErr w:type="spellEnd"/>
      <w:r w:rsidRPr="002D73E1">
        <w:rPr>
          <w:rFonts w:ascii="Times New Roman" w:hAnsi="Times New Roman" w:cs="Times New Roman"/>
          <w:sz w:val="20"/>
          <w:szCs w:val="20"/>
        </w:rPr>
        <w:t xml:space="preserve">≈ 1996 (N), F </w:t>
      </w:r>
      <w:r w:rsidRPr="002D73E1">
        <w:rPr>
          <w:rFonts w:ascii="Times New Roman" w:hAnsi="Times New Roman" w:cs="Times New Roman"/>
          <w:sz w:val="20"/>
          <w:szCs w:val="20"/>
          <w:vertAlign w:val="subscript"/>
        </w:rPr>
        <w:t xml:space="preserve">pressure </w:t>
      </w:r>
      <w:r w:rsidRPr="002D73E1">
        <w:rPr>
          <w:rFonts w:ascii="Times New Roman" w:hAnsi="Times New Roman" w:cs="Times New Roman"/>
          <w:sz w:val="20"/>
          <w:szCs w:val="20"/>
        </w:rPr>
        <w:t xml:space="preserve">res ≈ 79 (N),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total</w:t>
      </w:r>
      <w:proofErr w:type="spellEnd"/>
      <w:r w:rsidRPr="002D73E1">
        <w:rPr>
          <w:rFonts w:ascii="Times New Roman" w:hAnsi="Times New Roman" w:cs="Times New Roman"/>
          <w:sz w:val="20"/>
          <w:szCs w:val="20"/>
        </w:rPr>
        <w:t>≈ 2075 (N).</w:t>
      </w:r>
    </w:p>
    <w:p w14:paraId="2483DC3B"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lastRenderedPageBreak/>
        <w:t xml:space="preserve">Mineral waters (1300 kg/m3):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inertia</w:t>
      </w:r>
      <w:proofErr w:type="spellEnd"/>
      <w:r w:rsidRPr="002D73E1">
        <w:rPr>
          <w:rFonts w:ascii="Times New Roman" w:hAnsi="Times New Roman" w:cs="Times New Roman"/>
          <w:sz w:val="20"/>
          <w:szCs w:val="20"/>
        </w:rPr>
        <w:t xml:space="preserve">≈ 2162 (N),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pressure</w:t>
      </w:r>
      <w:proofErr w:type="spellEnd"/>
      <w:r w:rsidRPr="002D73E1">
        <w:rPr>
          <w:rFonts w:ascii="Times New Roman" w:hAnsi="Times New Roman" w:cs="Times New Roman"/>
          <w:sz w:val="20"/>
          <w:szCs w:val="20"/>
          <w:vertAlign w:val="subscript"/>
        </w:rPr>
        <w:t xml:space="preserve"> </w:t>
      </w:r>
      <w:r w:rsidRPr="002D73E1">
        <w:rPr>
          <w:rFonts w:ascii="Times New Roman" w:hAnsi="Times New Roman" w:cs="Times New Roman"/>
          <w:sz w:val="20"/>
          <w:szCs w:val="20"/>
        </w:rPr>
        <w:t xml:space="preserve">≈ 86 (N), </w:t>
      </w:r>
      <w:proofErr w:type="spellStart"/>
      <w:r w:rsidRPr="002D73E1">
        <w:rPr>
          <w:rFonts w:ascii="Times New Roman" w:hAnsi="Times New Roman" w:cs="Times New Roman"/>
          <w:sz w:val="20"/>
          <w:szCs w:val="20"/>
        </w:rPr>
        <w:t>F</w:t>
      </w:r>
      <w:r w:rsidRPr="002D73E1">
        <w:rPr>
          <w:rFonts w:ascii="Times New Roman" w:hAnsi="Times New Roman" w:cs="Times New Roman"/>
          <w:sz w:val="20"/>
          <w:szCs w:val="20"/>
          <w:vertAlign w:val="subscript"/>
        </w:rPr>
        <w:t>total</w:t>
      </w:r>
      <w:proofErr w:type="spellEnd"/>
      <w:r w:rsidRPr="002D73E1">
        <w:rPr>
          <w:rFonts w:ascii="Times New Roman" w:hAnsi="Times New Roman" w:cs="Times New Roman"/>
          <w:sz w:val="20"/>
          <w:szCs w:val="20"/>
        </w:rPr>
        <w:t>≈ 2248 (N).</w:t>
      </w:r>
    </w:p>
    <w:p w14:paraId="71A482D2"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 xml:space="preserve">The main forces acting on the impeller of centrifugal pumps are directly related to the liquid </w:t>
      </w:r>
      <w:proofErr w:type="gramStart"/>
      <w:r w:rsidRPr="002D73E1">
        <w:rPr>
          <w:rFonts w:ascii="Times New Roman" w:hAnsi="Times New Roman" w:cs="Times New Roman"/>
          <w:sz w:val="20"/>
          <w:szCs w:val="20"/>
        </w:rPr>
        <w:t>density .</w:t>
      </w:r>
      <w:proofErr w:type="gramEnd"/>
      <w:r w:rsidRPr="002D73E1">
        <w:rPr>
          <w:rFonts w:ascii="Times New Roman" w:hAnsi="Times New Roman" w:cs="Times New Roman"/>
          <w:sz w:val="20"/>
          <w:szCs w:val="20"/>
        </w:rPr>
        <w:t xml:space="preserve"> Analytic integrals (radial resultant from inertial force and pressure) show that the components of inertial forces and pressure flow increase linearly in density; as a result, the total radial load </w:t>
      </w:r>
    </w:p>
    <w:p w14:paraId="4F3BA5C1"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This means that high-density liquids used in the Zarafshan region (for example, saline solutions or mineral liquors) impose significant radial loads on the pump impeller, rudder, and shaft - requiring a re-planning of material selection and service intervals. Based on the density of various liquids found in the Zarafshan region, we calculate the pressures acting on the impeller of the centrifugal pump in ideal and real conditions and construct the following graph using formula 12.</w:t>
      </w:r>
    </w:p>
    <w:p w14:paraId="3E52B382" w14:textId="77777777" w:rsidR="007F55CA" w:rsidRPr="002D73E1" w:rsidRDefault="007F55CA" w:rsidP="002D73E1">
      <w:pPr>
        <w:pStyle w:val="Paragraph"/>
        <w:jc w:val="center"/>
      </w:pPr>
      <w:r w:rsidRPr="002D73E1">
        <w:rPr>
          <w:noProof/>
          <w:lang w:val="ru-RU" w:eastAsia="ru-RU"/>
        </w:rPr>
        <w:drawing>
          <wp:inline distT="0" distB="0" distL="0" distR="0" wp14:anchorId="463A75A9" wp14:editId="72C7384A">
            <wp:extent cx="5133975" cy="2476500"/>
            <wp:effectExtent l="0" t="0" r="9525"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05BD4644" w14:textId="5CC7116B" w:rsidR="007F55CA" w:rsidRPr="002D73E1" w:rsidRDefault="007F55CA" w:rsidP="002D73E1">
      <w:pPr>
        <w:pStyle w:val="Paragraph"/>
        <w:jc w:val="center"/>
      </w:pPr>
      <w:r w:rsidRPr="002D73E1">
        <w:rPr>
          <w:b/>
        </w:rPr>
        <w:t xml:space="preserve">Figure 2. </w:t>
      </w:r>
      <w:r w:rsidRPr="002D73E1">
        <w:t xml:space="preserve">Pressure </w:t>
      </w:r>
      <w:r w:rsidR="002D73E1" w:rsidRPr="002D73E1">
        <w:t>increases</w:t>
      </w:r>
      <w:r w:rsidRPr="002D73E1">
        <w:t xml:space="preserve"> on the impeller of a centrifugal pump depending on the liquid density</w:t>
      </w:r>
    </w:p>
    <w:p w14:paraId="493D4F7B" w14:textId="77777777" w:rsidR="007F55CA" w:rsidRPr="002D73E1" w:rsidRDefault="007F55CA" w:rsidP="002D73E1">
      <w:pPr>
        <w:pStyle w:val="Paragraph"/>
        <w:jc w:val="center"/>
      </w:pPr>
    </w:p>
    <w:p w14:paraId="501F050A" w14:textId="77777777" w:rsidR="007F55CA" w:rsidRPr="002D73E1" w:rsidRDefault="007F55CA" w:rsidP="002D73E1">
      <w:pPr>
        <w:pStyle w:val="Paragraph"/>
      </w:pPr>
      <w:r w:rsidRPr="002D73E1">
        <w:t>The ideal model is based on Euler's formula, calculated without taking losses into account.</w:t>
      </w:r>
    </w:p>
    <w:p w14:paraId="511124ED" w14:textId="77777777" w:rsidR="007F55CA" w:rsidRPr="002D73E1" w:rsidRDefault="007F55CA" w:rsidP="002D73E1">
      <w:pPr>
        <w:pStyle w:val="Paragraph"/>
      </w:pPr>
      <w:r w:rsidRPr="002D73E1">
        <w:t>Real model - taking into account the coefficients of change in internal and external radii, hydraulic efficiency, and flow losses. Analysis of the graph shows that the actual pressure rise occurs at significantly lower values compared to the ideal model. This indicates the need for structural optimization of pumps when working with liquids of various densities in the Zarafshan oasis. This indicates the need to substantiate the radial pressure distribution in the centrifugal field. It shows how the pressure changes radially inside the pump impeller, we construct the following graph using formula 13 in graph 3 below.</w:t>
      </w:r>
    </w:p>
    <w:p w14:paraId="19C27F34" w14:textId="77777777" w:rsidR="007F55CA" w:rsidRPr="002D73E1" w:rsidRDefault="007F55CA" w:rsidP="002D73E1">
      <w:pPr>
        <w:pStyle w:val="Paragraph"/>
      </w:pPr>
    </w:p>
    <w:p w14:paraId="55969EF8" w14:textId="77777777" w:rsidR="007F55CA" w:rsidRPr="002D73E1" w:rsidRDefault="007F55CA" w:rsidP="002D73E1">
      <w:pPr>
        <w:spacing w:after="0" w:line="240" w:lineRule="auto"/>
        <w:ind w:firstLine="284"/>
        <w:jc w:val="center"/>
        <w:rPr>
          <w:rFonts w:ascii="Times New Roman" w:hAnsi="Times New Roman" w:cs="Times New Roman"/>
          <w:b/>
          <w:sz w:val="20"/>
          <w:szCs w:val="20"/>
        </w:rPr>
      </w:pPr>
      <w:r w:rsidRPr="002D73E1">
        <w:rPr>
          <w:rFonts w:ascii="Times New Roman" w:hAnsi="Times New Roman" w:cs="Times New Roman"/>
          <w:noProof/>
          <w:lang w:val="ru-RU" w:eastAsia="ru-RU"/>
        </w:rPr>
        <w:drawing>
          <wp:inline distT="0" distB="0" distL="0" distR="0" wp14:anchorId="38A43415" wp14:editId="636C759A">
            <wp:extent cx="5572125" cy="2609850"/>
            <wp:effectExtent l="0" t="0" r="9525"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0E5D68F6" w14:textId="3ECB8EB2" w:rsidR="007F55CA" w:rsidRPr="002D73E1" w:rsidRDefault="007F55CA" w:rsidP="002D73E1">
      <w:pPr>
        <w:spacing w:after="0" w:line="240" w:lineRule="auto"/>
        <w:ind w:firstLine="284"/>
        <w:jc w:val="center"/>
        <w:rPr>
          <w:rFonts w:ascii="Times New Roman" w:hAnsi="Times New Roman" w:cs="Times New Roman"/>
          <w:sz w:val="20"/>
          <w:szCs w:val="20"/>
        </w:rPr>
      </w:pPr>
      <w:r w:rsidRPr="002D73E1">
        <w:rPr>
          <w:rFonts w:ascii="Times New Roman" w:hAnsi="Times New Roman" w:cs="Times New Roman"/>
          <w:b/>
          <w:sz w:val="20"/>
          <w:szCs w:val="20"/>
        </w:rPr>
        <w:t>Figure 3.</w:t>
      </w:r>
      <w:r w:rsidRPr="002D73E1">
        <w:rPr>
          <w:rFonts w:ascii="Times New Roman" w:hAnsi="Times New Roman" w:cs="Times New Roman"/>
          <w:sz w:val="20"/>
          <w:szCs w:val="20"/>
        </w:rPr>
        <w:t xml:space="preserve"> Radial pressure distribution in the impeller of a centrifugal pump</w:t>
      </w:r>
    </w:p>
    <w:p w14:paraId="3090692E"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lastRenderedPageBreak/>
        <w:t>The results presented in Fig. 2 and Fig. 3 above show a clear mathematical relationship between the fluid density and the pressure distribution along the radius in the impeller of the centrifugal pump. As can be seen from Fig. 2, the increase in pressure is directly proportional to the density. This confirms that liquids of different densities (water, saline solution, mineral slurry, etc.), found in the Zarafshan oasis, impose different loads on the pump impeller.</w:t>
      </w:r>
    </w:p>
    <w:p w14:paraId="2F1FCBF3"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Based on the pressure distribution model in Figure 3 above, it was precisely calculated by radius. This result shows that the pressure is maximal at the center and zero at the outer radius. Also, as the density increases, the entire pressure profile shifts upward.</w:t>
      </w:r>
    </w:p>
    <w:p w14:paraId="71DFF2A1"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The novelty of the research is that this mathematical model, combining the parameters of liquid density, radius, and angular velocity, allows for a preliminary assessment of the actual operating modes of pumps used in the Zarafshan oasis. While previous works usually assessed the total hydraulic head or efficiency, in this approach, a precise mathematical expression of the pressure distribution along the radius and density-dependent forces was given. This can serve as a basis for optimizing the design of new pumps by calibrating them with experimental measurements.</w:t>
      </w:r>
    </w:p>
    <w:p w14:paraId="376C0406"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In this study, a mathematical modeling of the operation of centrifugal pumps was carried out in the conditions of the Zarafshan oasis. The main attention was paid to the density of the working fluid, and the following results were obtained:</w:t>
      </w:r>
    </w:p>
    <w:p w14:paraId="45E325A2"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Radial force - density dependence. The obtained results showed that the total radial force acting on the pump impeller is directly proportional to the liquid density. This allows for a preliminary assessment of the pump's additional load in high-density liquids (e.g., brine or mineral suspensions).</w:t>
      </w:r>
    </w:p>
    <w:p w14:paraId="36278E52"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Pressure rise - density dependence. It was found that the increase in pressure in the pump increases in density linearly. This means that the pump's height indicators and energy consumption strongly depend on the liquid composition.</w:t>
      </w:r>
    </w:p>
    <w:p w14:paraId="268BAACB"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Pressure distribution along the radius. The obtained mathematical expression showed a parabolic distribution of pressure along the radius. At the center, the pressure is greatest, and at the outer radius it decreases to zero. This revealed an uneven distribution of forces along the pump channel.</w:t>
      </w:r>
    </w:p>
    <w:p w14:paraId="572400C4"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Scientific novelty lies in the fact that in this work, the mathematical model of centrifugal pumps was considered for the first time using a density-based integrated approach. That is, the relationship between the density of the liquid and the radial force, the increase in pressure, and the pressure distribution along the radius were analyzed.</w:t>
      </w:r>
    </w:p>
    <w:p w14:paraId="1B3E42EF"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This approach creates a scientific basis for the preliminary assessment and optimization of the efficiency of pumps operating with liquids of various densities in the Zarafshan oasis. The presented graphs and mathematical results will serve as a basis for further experimental studies and practical projects.</w:t>
      </w:r>
    </w:p>
    <w:p w14:paraId="3E9A9B99"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Why was the emphasis placed specifically on density?</w:t>
      </w:r>
    </w:p>
    <w:p w14:paraId="4C500F14"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 xml:space="preserve">Density - the main factor </w:t>
      </w:r>
      <w:proofErr w:type="spellStart"/>
      <w:r w:rsidRPr="002D73E1">
        <w:rPr>
          <w:rFonts w:ascii="Times New Roman" w:hAnsi="Times New Roman" w:cs="Times New Roman"/>
          <w:sz w:val="20"/>
          <w:szCs w:val="20"/>
        </w:rPr>
        <w:t>factor</w:t>
      </w:r>
      <w:proofErr w:type="spellEnd"/>
      <w:r w:rsidRPr="002D73E1">
        <w:rPr>
          <w:rFonts w:ascii="Times New Roman" w:hAnsi="Times New Roman" w:cs="Times New Roman"/>
          <w:sz w:val="20"/>
          <w:szCs w:val="20"/>
        </w:rPr>
        <w:t xml:space="preserve"> of centrifugal force (</w:t>
      </w:r>
      <w:proofErr w:type="spellStart"/>
      <w:r w:rsidRPr="002D73E1">
        <w:rPr>
          <w:rFonts w:ascii="Times New Roman" w:hAnsi="Times New Roman" w:cs="Times New Roman"/>
          <w:sz w:val="20"/>
          <w:szCs w:val="20"/>
        </w:rPr>
        <w:t>F</w:t>
      </w:r>
      <w:r w:rsidRPr="002D73E1">
        <w:rPr>
          <w:rFonts w:ascii="Cambria Math" w:hAnsi="Cambria Math" w:cs="Cambria Math"/>
          <w:sz w:val="20"/>
          <w:szCs w:val="20"/>
        </w:rPr>
        <w:t>∼</w:t>
      </w:r>
      <w:r w:rsidRPr="002D73E1">
        <w:rPr>
          <w:rFonts w:ascii="Times New Roman" w:hAnsi="Times New Roman" w:cs="Times New Roman"/>
          <w:sz w:val="20"/>
          <w:szCs w:val="20"/>
        </w:rPr>
        <w:t>ρ</w:t>
      </w:r>
      <w:proofErr w:type="spellEnd"/>
      <w:r w:rsidRPr="002D73E1">
        <w:rPr>
          <w:rFonts w:ascii="Times New Roman" w:hAnsi="Times New Roman" w:cs="Times New Roman"/>
          <w:sz w:val="20"/>
          <w:szCs w:val="20"/>
        </w:rPr>
        <w:t xml:space="preserve">) </w:t>
      </w:r>
    </w:p>
    <w:p w14:paraId="365F4B95"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The main parameters of the pump (pressure, power, efficiency) are directly proportional to density.</w:t>
      </w:r>
    </w:p>
    <w:p w14:paraId="00E35A64" w14:textId="77777777" w:rsidR="007F55CA" w:rsidRPr="002D73E1" w:rsidRDefault="007F55CA" w:rsidP="002D73E1">
      <w:pPr>
        <w:spacing w:after="0" w:line="240" w:lineRule="auto"/>
        <w:ind w:firstLine="284"/>
        <w:jc w:val="both"/>
        <w:rPr>
          <w:rFonts w:ascii="Times New Roman" w:hAnsi="Times New Roman" w:cs="Times New Roman"/>
          <w:sz w:val="20"/>
          <w:szCs w:val="20"/>
        </w:rPr>
      </w:pPr>
      <w:r w:rsidRPr="002D73E1">
        <w:rPr>
          <w:rFonts w:ascii="Times New Roman" w:hAnsi="Times New Roman" w:cs="Times New Roman"/>
          <w:sz w:val="20"/>
          <w:szCs w:val="20"/>
        </w:rPr>
        <w:t>Liquids of varying densities (salt waters, technological solutions, mineral suspensions in mines) are widespread in the Zarafshan oasis. Therefore, it is this parameter that plays the most decisive role in solving regional problems.</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51BC72ED" w14:textId="703983B3" w:rsidR="00A36F3E" w:rsidRPr="00A36F3E" w:rsidRDefault="007F55CA" w:rsidP="002D73E1">
      <w:pPr>
        <w:spacing w:after="0" w:line="240" w:lineRule="auto"/>
        <w:ind w:firstLine="284"/>
        <w:jc w:val="both"/>
        <w:rPr>
          <w:rFonts w:ascii="Times New Roman" w:hAnsi="Times New Roman" w:cs="Times New Roman"/>
          <w:sz w:val="20"/>
          <w:szCs w:val="20"/>
        </w:rPr>
      </w:pPr>
      <w:r w:rsidRPr="005835AC">
        <w:rPr>
          <w:rFonts w:ascii="Times New Roman" w:hAnsi="Times New Roman" w:cs="Times New Roman"/>
          <w:sz w:val="20"/>
          <w:szCs w:val="20"/>
        </w:rPr>
        <w:t>Other parameters (speed, radius, number of wings) are selected by the designer and are stable; however, density is a variable parameter depending on natural conditions and the technological process. Therefore, the mathematical model emphasized density as a novelty. The scientific novelty of the research lies in the fact that in previous models, more emphasis was placed on geometric and velocity parameters, while in our study, the influence of the density of various liquids found in the Zarafshan oasis on the parameters of the centrifugal field was analyzed on a mathematical basis.</w:t>
      </w:r>
      <w:r w:rsidR="00A36F3E">
        <w:rPr>
          <w:rFonts w:ascii="Times New Roman" w:hAnsi="Times New Roman" w:cs="Times New Roman"/>
          <w:sz w:val="20"/>
          <w:szCs w:val="20"/>
        </w:rPr>
        <w:t xml:space="preserve"> </w:t>
      </w:r>
      <w:r w:rsidR="00A36F3E" w:rsidRPr="00A36F3E">
        <w:rPr>
          <w:rFonts w:ascii="Times New Roman" w:hAnsi="Times New Roman" w:cs="Times New Roman"/>
          <w:sz w:val="20"/>
          <w:szCs w:val="20"/>
        </w:rPr>
        <w:t>The conducted research provides a comprehensive mathematical and analytical assessment of the influence of liquid density on the operating parameters of centrifugal pumps used in the Zarafshan region. The results prove that density is one of the dominant factors determining the hydraulic, mechanical, and energy characteristics of pump operation. Mathematical models developed through energy balance, rotational frequency, radial force formation, and pressure distribution provide clear theoretical justification for practical challenges observed in real</w:t>
      </w:r>
      <w:r w:rsidR="00A36F3E">
        <w:rPr>
          <w:rFonts w:ascii="Times New Roman" w:hAnsi="Times New Roman" w:cs="Times New Roman"/>
          <w:sz w:val="20"/>
          <w:szCs w:val="20"/>
        </w:rPr>
        <w:t xml:space="preserve"> pumping systems of the region.</w:t>
      </w:r>
    </w:p>
    <w:p w14:paraId="05A18900" w14:textId="4E045B0A" w:rsidR="00A36F3E" w:rsidRPr="00A36F3E" w:rsidRDefault="00A36F3E" w:rsidP="002D73E1">
      <w:pPr>
        <w:spacing w:after="0" w:line="240" w:lineRule="auto"/>
        <w:ind w:firstLine="284"/>
        <w:jc w:val="both"/>
        <w:rPr>
          <w:rFonts w:ascii="Times New Roman" w:hAnsi="Times New Roman" w:cs="Times New Roman"/>
          <w:sz w:val="20"/>
          <w:szCs w:val="20"/>
        </w:rPr>
      </w:pPr>
      <w:r w:rsidRPr="00A36F3E">
        <w:rPr>
          <w:rFonts w:ascii="Times New Roman" w:hAnsi="Times New Roman" w:cs="Times New Roman"/>
          <w:sz w:val="20"/>
          <w:szCs w:val="20"/>
        </w:rPr>
        <w:t xml:space="preserve">The study demonstrated that an increase in liquid density leads to proportional growth in inertial forces and radial hydraulic loads acting on the impeller. This effect significantly increases the mechanical stress on critical components such as the impeller blades, bearings, and shafts. Consequently, higher-density liquids—common in the Zarafshan oasis (saline waters, mineral solutions, brines, technological suspensions)—create elevated operational </w:t>
      </w:r>
      <w:r w:rsidRPr="00A36F3E">
        <w:rPr>
          <w:rFonts w:ascii="Times New Roman" w:hAnsi="Times New Roman" w:cs="Times New Roman"/>
          <w:sz w:val="20"/>
          <w:szCs w:val="20"/>
        </w:rPr>
        <w:lastRenderedPageBreak/>
        <w:t>risks, accelerate wear, and require more frequent maintenance intervals. The results emphasize the necessity for improved material selection, enhanced strength margins, and optimized stru</w:t>
      </w:r>
      <w:r>
        <w:rPr>
          <w:rFonts w:ascii="Times New Roman" w:hAnsi="Times New Roman" w:cs="Times New Roman"/>
          <w:sz w:val="20"/>
          <w:szCs w:val="20"/>
        </w:rPr>
        <w:t>ctural design of pump elements.</w:t>
      </w:r>
    </w:p>
    <w:p w14:paraId="3613F452" w14:textId="5B230AE2" w:rsidR="00A36F3E" w:rsidRPr="00A36F3E" w:rsidRDefault="00A36F3E" w:rsidP="002D73E1">
      <w:pPr>
        <w:spacing w:after="0" w:line="240" w:lineRule="auto"/>
        <w:ind w:firstLine="284"/>
        <w:jc w:val="both"/>
        <w:rPr>
          <w:rFonts w:ascii="Times New Roman" w:hAnsi="Times New Roman" w:cs="Times New Roman"/>
          <w:sz w:val="20"/>
          <w:szCs w:val="20"/>
        </w:rPr>
      </w:pPr>
      <w:r w:rsidRPr="00A36F3E">
        <w:rPr>
          <w:rFonts w:ascii="Times New Roman" w:hAnsi="Times New Roman" w:cs="Times New Roman"/>
          <w:sz w:val="20"/>
          <w:szCs w:val="20"/>
        </w:rPr>
        <w:t>The pressure rise inside the pump, derived from Euler’s equation and refined through a real-loss model, showed that actual pressure is notably lower than theoretical predictions. This reveals the importance of accounting for hydraulic losses, turbulence, uneven flow distribution, and viscous drag when designing pumps for diverse-density liquids. The pressure distribution model across the impeller radius identified a parabolic profile where maximum pressure forms near the central zone and decreases toward the outlet edge. This uneven pressure field induces nonuniform loading, which can initiate fatigue f</w:t>
      </w:r>
      <w:r>
        <w:rPr>
          <w:rFonts w:ascii="Times New Roman" w:hAnsi="Times New Roman" w:cs="Times New Roman"/>
          <w:sz w:val="20"/>
          <w:szCs w:val="20"/>
        </w:rPr>
        <w:t>ailures in long-term operation.</w:t>
      </w:r>
    </w:p>
    <w:p w14:paraId="6AD44255" w14:textId="405A4953" w:rsidR="00A36F3E" w:rsidRPr="00A36F3E" w:rsidRDefault="00A36F3E" w:rsidP="002D73E1">
      <w:pPr>
        <w:spacing w:after="0" w:line="240" w:lineRule="auto"/>
        <w:ind w:firstLine="284"/>
        <w:jc w:val="both"/>
        <w:rPr>
          <w:rFonts w:ascii="Times New Roman" w:hAnsi="Times New Roman" w:cs="Times New Roman"/>
          <w:sz w:val="20"/>
          <w:szCs w:val="20"/>
        </w:rPr>
      </w:pPr>
      <w:r w:rsidRPr="00A36F3E">
        <w:rPr>
          <w:rFonts w:ascii="Times New Roman" w:hAnsi="Times New Roman" w:cs="Times New Roman"/>
          <w:sz w:val="20"/>
          <w:szCs w:val="20"/>
        </w:rPr>
        <w:t>A key scientific novelty of the research lies in integrating density as the central variable within the centrifugal field equations—offering a refined interpretation of pump behavior under region-specific conditions. Previous studies emphasized geometric parameters or velocity fields, while this work demonstrates that density variations fundamentally reshape the pump’s mechanical load, hydraulic performance, and energy demand. This approach provides a deeper understanding of how environmental and technological factors in the Zarafshan oasis directly influence p</w:t>
      </w:r>
      <w:r>
        <w:rPr>
          <w:rFonts w:ascii="Times New Roman" w:hAnsi="Times New Roman" w:cs="Times New Roman"/>
          <w:sz w:val="20"/>
          <w:szCs w:val="20"/>
        </w:rPr>
        <w:t>ump reliability and efficiency.</w:t>
      </w:r>
    </w:p>
    <w:p w14:paraId="130FDB99" w14:textId="6C019BA8" w:rsidR="007F55CA" w:rsidRPr="005835AC" w:rsidRDefault="00A36F3E" w:rsidP="002D73E1">
      <w:pPr>
        <w:spacing w:after="0" w:line="240" w:lineRule="auto"/>
        <w:ind w:firstLine="284"/>
        <w:jc w:val="both"/>
        <w:rPr>
          <w:rFonts w:ascii="Times New Roman" w:hAnsi="Times New Roman" w:cs="Times New Roman"/>
          <w:sz w:val="20"/>
          <w:szCs w:val="20"/>
        </w:rPr>
      </w:pPr>
      <w:r w:rsidRPr="00A36F3E">
        <w:rPr>
          <w:rFonts w:ascii="Times New Roman" w:hAnsi="Times New Roman" w:cs="Times New Roman"/>
          <w:sz w:val="20"/>
          <w:szCs w:val="20"/>
        </w:rPr>
        <w:t>Overall, the findings create a solid theoretical and analytical foundation for optimizing pump design, selecting appropriate materials, predicting operational risks, and enhancing efficiency when working with liquids of different densities. The developed mathematical models and graphs will serve as a basis for further experimental validation and engineering design improvements in hydraulic transport systems operating under diverse natural and industrial conditions of Uzbekistan.</w:t>
      </w:r>
    </w:p>
    <w:p w14:paraId="5FF2BC5A" w14:textId="737B8E82" w:rsidR="00F84944" w:rsidRPr="003165A5" w:rsidRDefault="00CA398A" w:rsidP="003165A5">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REFERENCES</w:t>
      </w:r>
    </w:p>
    <w:p w14:paraId="7E30BE2E" w14:textId="7A557AF4" w:rsidR="00CA398A" w:rsidRPr="002D73E1" w:rsidRDefault="00F76675" w:rsidP="00F76675">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r w:rsidRPr="002D73E1">
        <w:rPr>
          <w:rFonts w:ascii="Times New Roman" w:hAnsi="Times New Roman" w:cs="Times New Roman"/>
          <w:sz w:val="20"/>
          <w:szCs w:val="20"/>
          <w:lang w:val="uz-Cyrl-UZ"/>
        </w:rPr>
        <w:t>Xiuliang Liu, Jianye Yang, Qifan Zou, Yongyan Hu, Pengkun Li, Li Tan, Nenad Miljkovic, and Ronggui Yang</w:t>
      </w:r>
      <w:r w:rsidRPr="002D73E1">
        <w:rPr>
          <w:rFonts w:ascii="Times New Roman" w:hAnsi="Times New Roman" w:cs="Times New Roman"/>
          <w:sz w:val="20"/>
          <w:szCs w:val="20"/>
        </w:rPr>
        <w:t xml:space="preserve"> </w:t>
      </w:r>
      <w:r w:rsidRPr="002D73E1">
        <w:rPr>
          <w:rFonts w:ascii="Times New Roman" w:hAnsi="Times New Roman" w:cs="Times New Roman"/>
          <w:sz w:val="20"/>
          <w:szCs w:val="20"/>
          <w:lang w:val="uz-Cyrl-UZ"/>
        </w:rPr>
        <w:t>ACS Nano 2025 19 (10), 9513-9589</w:t>
      </w:r>
      <w:r w:rsidRPr="002D73E1">
        <w:rPr>
          <w:rFonts w:ascii="Times New Roman" w:hAnsi="Times New Roman" w:cs="Times New Roman"/>
          <w:sz w:val="20"/>
          <w:szCs w:val="20"/>
        </w:rPr>
        <w:t xml:space="preserve"> </w:t>
      </w:r>
      <w:r w:rsidRPr="002D73E1">
        <w:rPr>
          <w:rFonts w:ascii="Times New Roman" w:hAnsi="Times New Roman" w:cs="Times New Roman"/>
          <w:sz w:val="20"/>
          <w:szCs w:val="20"/>
          <w:lang w:val="uz-Cyrl-UZ"/>
        </w:rPr>
        <w:t>DOI: 10.1021/acsnano.4c15277</w:t>
      </w:r>
      <w:r w:rsidR="00C04377" w:rsidRPr="002D73E1">
        <w:rPr>
          <w:rFonts w:ascii="Times New Roman" w:hAnsi="Times New Roman" w:cs="Times New Roman"/>
          <w:sz w:val="20"/>
          <w:szCs w:val="20"/>
          <w:lang w:val="uz-Cyrl-UZ"/>
        </w:rPr>
        <w:t>R. Schürhuber, B. R. Oswald,</w:t>
      </w:r>
      <w:r w:rsidRPr="002D73E1">
        <w:rPr>
          <w:rFonts w:ascii="Times New Roman" w:hAnsi="Times New Roman" w:cs="Times New Roman"/>
          <w:sz w:val="20"/>
          <w:szCs w:val="20"/>
        </w:rPr>
        <w:t xml:space="preserve"> </w:t>
      </w:r>
      <w:r w:rsidR="00C04377" w:rsidRPr="002D73E1">
        <w:rPr>
          <w:rFonts w:ascii="Times New Roman" w:hAnsi="Times New Roman" w:cs="Times New Roman"/>
          <w:sz w:val="20"/>
          <w:szCs w:val="20"/>
          <w:lang w:val="uz-Cyrl-UZ"/>
        </w:rPr>
        <w:t>L. Fickert, J. Fortmann. Verhalten von Windkraftanlagen mit</w:t>
      </w:r>
      <w:r w:rsidR="00C04377" w:rsidRPr="002D73E1">
        <w:rPr>
          <w:rFonts w:ascii="Times New Roman" w:hAnsi="Times New Roman" w:cs="Times New Roman"/>
          <w:sz w:val="20"/>
          <w:szCs w:val="20"/>
        </w:rPr>
        <w:t xml:space="preserve"> </w:t>
      </w:r>
      <w:r w:rsidR="00C04377" w:rsidRPr="002D73E1">
        <w:rPr>
          <w:rFonts w:ascii="Times New Roman" w:hAnsi="Times New Roman" w:cs="Times New Roman"/>
          <w:sz w:val="20"/>
          <w:szCs w:val="20"/>
          <w:lang w:val="uz-Cyrl-UZ"/>
        </w:rPr>
        <w:t>doppelt speisenden Asynchrongeneratoren</w:t>
      </w:r>
      <w:r w:rsidR="00C04377" w:rsidRPr="002D73E1">
        <w:rPr>
          <w:rFonts w:ascii="Times New Roman" w:hAnsi="Times New Roman" w:cs="Times New Roman"/>
          <w:sz w:val="20"/>
          <w:szCs w:val="20"/>
        </w:rPr>
        <w:t xml:space="preserve"> </w:t>
      </w:r>
      <w:r w:rsidR="00C04377" w:rsidRPr="002D73E1">
        <w:rPr>
          <w:rFonts w:ascii="Times New Roman" w:hAnsi="Times New Roman" w:cs="Times New Roman"/>
          <w:sz w:val="20"/>
          <w:szCs w:val="20"/>
          <w:lang w:val="uz-Cyrl-UZ"/>
        </w:rPr>
        <w:t>(DFIG) bei Kurzschlüssen und anderen</w:t>
      </w:r>
      <w:r w:rsidR="00C04377" w:rsidRPr="002D73E1">
        <w:rPr>
          <w:rFonts w:ascii="Times New Roman" w:hAnsi="Times New Roman" w:cs="Times New Roman"/>
          <w:sz w:val="20"/>
          <w:szCs w:val="20"/>
        </w:rPr>
        <w:t xml:space="preserve"> </w:t>
      </w:r>
      <w:r w:rsidR="00C04377" w:rsidRPr="002D73E1">
        <w:rPr>
          <w:rFonts w:ascii="Times New Roman" w:hAnsi="Times New Roman" w:cs="Times New Roman"/>
          <w:sz w:val="20"/>
          <w:szCs w:val="20"/>
          <w:lang w:val="uz-Cyrl-UZ"/>
        </w:rPr>
        <w:t>Netzfehlern</w:t>
      </w:r>
      <w:r w:rsidR="00C04377" w:rsidRPr="002D73E1">
        <w:rPr>
          <w:rFonts w:ascii="Times New Roman" w:hAnsi="Times New Roman" w:cs="Times New Roman"/>
          <w:sz w:val="20"/>
          <w:szCs w:val="20"/>
        </w:rPr>
        <w:t xml:space="preserve">. </w:t>
      </w:r>
      <w:r w:rsidR="00C04377" w:rsidRPr="002D73E1">
        <w:rPr>
          <w:rFonts w:ascii="Times New Roman" w:hAnsi="Times New Roman" w:cs="Times New Roman"/>
          <w:sz w:val="20"/>
          <w:szCs w:val="20"/>
          <w:lang w:val="uz-Cyrl-UZ"/>
        </w:rPr>
        <w:t xml:space="preserve">Elektrotechnik &amp; Informationstechnik (2020) 137/8: 415–424. </w:t>
      </w:r>
      <w:hyperlink r:id="rId8" w:history="1">
        <w:r w:rsidR="00CA36BF" w:rsidRPr="002D73E1">
          <w:rPr>
            <w:rStyle w:val="a6"/>
            <w:rFonts w:ascii="Times New Roman" w:hAnsi="Times New Roman" w:cs="Times New Roman"/>
            <w:sz w:val="20"/>
            <w:szCs w:val="20"/>
            <w:lang w:val="uz-Cyrl-UZ"/>
          </w:rPr>
          <w:t>https://doi.org/10.1007/s00502-020-00829-2</w:t>
        </w:r>
      </w:hyperlink>
    </w:p>
    <w:p w14:paraId="1EEBB313" w14:textId="638BE424" w:rsidR="00D746C9" w:rsidRPr="002D73E1" w:rsidRDefault="00F76675" w:rsidP="006A4554">
      <w:pPr>
        <w:pStyle w:val="a4"/>
        <w:numPr>
          <w:ilvl w:val="0"/>
          <w:numId w:val="3"/>
        </w:numPr>
        <w:tabs>
          <w:tab w:val="left" w:pos="284"/>
          <w:tab w:val="left" w:pos="993"/>
        </w:tabs>
        <w:spacing w:after="0" w:line="240" w:lineRule="auto"/>
        <w:ind w:left="0" w:firstLine="0"/>
        <w:jc w:val="both"/>
        <w:rPr>
          <w:rStyle w:val="a6"/>
          <w:rFonts w:ascii="Times New Roman" w:hAnsi="Times New Roman" w:cs="Times New Roman"/>
          <w:sz w:val="20"/>
          <w:szCs w:val="20"/>
          <w:lang w:val="uz-Cyrl-UZ"/>
        </w:rPr>
      </w:pPr>
      <w:r w:rsidRPr="002D73E1">
        <w:rPr>
          <w:rFonts w:ascii="Times New Roman" w:hAnsi="Times New Roman" w:cs="Times New Roman"/>
          <w:sz w:val="20"/>
          <w:szCs w:val="20"/>
        </w:rPr>
        <w:t xml:space="preserve">Abduazizov, </w:t>
      </w:r>
      <w:proofErr w:type="spellStart"/>
      <w:r w:rsidRPr="002D73E1">
        <w:rPr>
          <w:rFonts w:ascii="Times New Roman" w:hAnsi="Times New Roman" w:cs="Times New Roman"/>
          <w:sz w:val="20"/>
          <w:szCs w:val="20"/>
        </w:rPr>
        <w:t>Nabijon</w:t>
      </w:r>
      <w:proofErr w:type="spellEnd"/>
      <w:r w:rsidRPr="002D73E1">
        <w:rPr>
          <w:rFonts w:ascii="Times New Roman" w:hAnsi="Times New Roman" w:cs="Times New Roman"/>
          <w:sz w:val="20"/>
          <w:szCs w:val="20"/>
        </w:rPr>
        <w:t xml:space="preserve">, et al. "Analysis of the dependence of the hydraulic system training coefficient in quarry excavators on the concentration of contaminated particles in the working fluid." E3S Web of Conferences. Vol. 627. EDP Sciences, 2025. </w:t>
      </w:r>
      <w:hyperlink r:id="rId9" w:history="1">
        <w:r w:rsidRPr="002D73E1">
          <w:rPr>
            <w:rStyle w:val="a6"/>
            <w:rFonts w:ascii="Times New Roman" w:hAnsi="Times New Roman" w:cs="Times New Roman"/>
            <w:sz w:val="20"/>
            <w:szCs w:val="20"/>
            <w:lang w:val="uz-Cyrl-UZ"/>
          </w:rPr>
          <w:t>https://doi.org/10.1051/e3sconf/202562705022</w:t>
        </w:r>
      </w:hyperlink>
    </w:p>
    <w:p w14:paraId="4A677176" w14:textId="764905EF" w:rsidR="00D746C9" w:rsidRPr="002D73E1" w:rsidRDefault="000E2B56" w:rsidP="006A4554">
      <w:pPr>
        <w:pStyle w:val="a4"/>
        <w:numPr>
          <w:ilvl w:val="0"/>
          <w:numId w:val="3"/>
        </w:numPr>
        <w:tabs>
          <w:tab w:val="left" w:pos="284"/>
          <w:tab w:val="left" w:pos="993"/>
        </w:tabs>
        <w:spacing w:after="0" w:line="240" w:lineRule="auto"/>
        <w:ind w:left="0" w:firstLine="0"/>
        <w:jc w:val="both"/>
        <w:rPr>
          <w:rFonts w:ascii="Times New Roman" w:hAnsi="Times New Roman" w:cs="Times New Roman"/>
          <w:color w:val="0070C0"/>
          <w:sz w:val="20"/>
          <w:szCs w:val="20"/>
          <w:u w:val="single"/>
        </w:rPr>
      </w:pPr>
      <w:r w:rsidRPr="002D73E1">
        <w:rPr>
          <w:rFonts w:ascii="Times New Roman" w:hAnsi="Times New Roman" w:cs="Times New Roman"/>
          <w:sz w:val="20"/>
          <w:szCs w:val="20"/>
          <w:lang w:val="de-DE"/>
        </w:rPr>
        <w:t xml:space="preserve">Wang, </w:t>
      </w:r>
      <w:proofErr w:type="spellStart"/>
      <w:r w:rsidRPr="002D73E1">
        <w:rPr>
          <w:rFonts w:ascii="Times New Roman" w:hAnsi="Times New Roman" w:cs="Times New Roman"/>
          <w:sz w:val="20"/>
          <w:szCs w:val="20"/>
          <w:lang w:val="de-DE"/>
        </w:rPr>
        <w:t>Cuihua</w:t>
      </w:r>
      <w:proofErr w:type="spellEnd"/>
      <w:r w:rsidRPr="002D73E1">
        <w:rPr>
          <w:rFonts w:ascii="Times New Roman" w:hAnsi="Times New Roman" w:cs="Times New Roman"/>
          <w:sz w:val="20"/>
          <w:szCs w:val="20"/>
          <w:lang w:val="de-DE"/>
        </w:rPr>
        <w:t>, et al. "</w:t>
      </w:r>
      <w:proofErr w:type="spellStart"/>
      <w:r w:rsidRPr="002D73E1">
        <w:rPr>
          <w:rFonts w:ascii="Times New Roman" w:hAnsi="Times New Roman" w:cs="Times New Roman"/>
          <w:sz w:val="20"/>
          <w:szCs w:val="20"/>
          <w:lang w:val="de-DE"/>
        </w:rPr>
        <w:t>Effects</w:t>
      </w:r>
      <w:proofErr w:type="spellEnd"/>
      <w:r w:rsidRPr="002D73E1">
        <w:rPr>
          <w:rFonts w:ascii="Times New Roman" w:hAnsi="Times New Roman" w:cs="Times New Roman"/>
          <w:sz w:val="20"/>
          <w:szCs w:val="20"/>
          <w:lang w:val="de-DE"/>
        </w:rPr>
        <w:t xml:space="preserve"> </w:t>
      </w:r>
      <w:proofErr w:type="spellStart"/>
      <w:r w:rsidRPr="002D73E1">
        <w:rPr>
          <w:rFonts w:ascii="Times New Roman" w:hAnsi="Times New Roman" w:cs="Times New Roman"/>
          <w:sz w:val="20"/>
          <w:szCs w:val="20"/>
          <w:lang w:val="de-DE"/>
        </w:rPr>
        <w:t>of</w:t>
      </w:r>
      <w:proofErr w:type="spellEnd"/>
      <w:r w:rsidRPr="002D73E1">
        <w:rPr>
          <w:rFonts w:ascii="Times New Roman" w:hAnsi="Times New Roman" w:cs="Times New Roman"/>
          <w:sz w:val="20"/>
          <w:szCs w:val="20"/>
          <w:lang w:val="de-DE"/>
        </w:rPr>
        <w:t xml:space="preserve"> </w:t>
      </w:r>
      <w:proofErr w:type="spellStart"/>
      <w:r w:rsidRPr="002D73E1">
        <w:rPr>
          <w:rFonts w:ascii="Times New Roman" w:hAnsi="Times New Roman" w:cs="Times New Roman"/>
          <w:sz w:val="20"/>
          <w:szCs w:val="20"/>
          <w:lang w:val="de-DE"/>
        </w:rPr>
        <w:t>temperature-dependent</w:t>
      </w:r>
      <w:proofErr w:type="spellEnd"/>
      <w:r w:rsidRPr="002D73E1">
        <w:rPr>
          <w:rFonts w:ascii="Times New Roman" w:hAnsi="Times New Roman" w:cs="Times New Roman"/>
          <w:sz w:val="20"/>
          <w:szCs w:val="20"/>
          <w:lang w:val="de-DE"/>
        </w:rPr>
        <w:t xml:space="preserve"> </w:t>
      </w:r>
      <w:proofErr w:type="spellStart"/>
      <w:r w:rsidRPr="002D73E1">
        <w:rPr>
          <w:rFonts w:ascii="Times New Roman" w:hAnsi="Times New Roman" w:cs="Times New Roman"/>
          <w:sz w:val="20"/>
          <w:szCs w:val="20"/>
          <w:lang w:val="de-DE"/>
        </w:rPr>
        <w:t>viscosity</w:t>
      </w:r>
      <w:proofErr w:type="spellEnd"/>
      <w:r w:rsidRPr="002D73E1">
        <w:rPr>
          <w:rFonts w:ascii="Times New Roman" w:hAnsi="Times New Roman" w:cs="Times New Roman"/>
          <w:sz w:val="20"/>
          <w:szCs w:val="20"/>
          <w:lang w:val="de-DE"/>
        </w:rPr>
        <w:t xml:space="preserve"> on fluid </w:t>
      </w:r>
      <w:proofErr w:type="spellStart"/>
      <w:r w:rsidRPr="002D73E1">
        <w:rPr>
          <w:rFonts w:ascii="Times New Roman" w:hAnsi="Times New Roman" w:cs="Times New Roman"/>
          <w:sz w:val="20"/>
          <w:szCs w:val="20"/>
          <w:lang w:val="de-DE"/>
        </w:rPr>
        <w:t>flow</w:t>
      </w:r>
      <w:proofErr w:type="spellEnd"/>
      <w:r w:rsidRPr="002D73E1">
        <w:rPr>
          <w:rFonts w:ascii="Times New Roman" w:hAnsi="Times New Roman" w:cs="Times New Roman"/>
          <w:sz w:val="20"/>
          <w:szCs w:val="20"/>
          <w:lang w:val="de-DE"/>
        </w:rPr>
        <w:t xml:space="preserve"> and </w:t>
      </w:r>
      <w:proofErr w:type="spellStart"/>
      <w:r w:rsidRPr="002D73E1">
        <w:rPr>
          <w:rFonts w:ascii="Times New Roman" w:hAnsi="Times New Roman" w:cs="Times New Roman"/>
          <w:sz w:val="20"/>
          <w:szCs w:val="20"/>
          <w:lang w:val="de-DE"/>
        </w:rPr>
        <w:t>heat</w:t>
      </w:r>
      <w:proofErr w:type="spellEnd"/>
      <w:r w:rsidRPr="002D73E1">
        <w:rPr>
          <w:rFonts w:ascii="Times New Roman" w:hAnsi="Times New Roman" w:cs="Times New Roman"/>
          <w:sz w:val="20"/>
          <w:szCs w:val="20"/>
          <w:lang w:val="de-DE"/>
        </w:rPr>
        <w:t xml:space="preserve"> </w:t>
      </w:r>
      <w:proofErr w:type="spellStart"/>
      <w:r w:rsidRPr="002D73E1">
        <w:rPr>
          <w:rFonts w:ascii="Times New Roman" w:hAnsi="Times New Roman" w:cs="Times New Roman"/>
          <w:sz w:val="20"/>
          <w:szCs w:val="20"/>
          <w:lang w:val="de-DE"/>
        </w:rPr>
        <w:t>transfer</w:t>
      </w:r>
      <w:proofErr w:type="spellEnd"/>
      <w:r w:rsidRPr="002D73E1">
        <w:rPr>
          <w:rFonts w:ascii="Times New Roman" w:hAnsi="Times New Roman" w:cs="Times New Roman"/>
          <w:sz w:val="20"/>
          <w:szCs w:val="20"/>
          <w:lang w:val="de-DE"/>
        </w:rPr>
        <w:t xml:space="preserve"> in a </w:t>
      </w:r>
      <w:proofErr w:type="spellStart"/>
      <w:r w:rsidRPr="002D73E1">
        <w:rPr>
          <w:rFonts w:ascii="Times New Roman" w:hAnsi="Times New Roman" w:cs="Times New Roman"/>
          <w:sz w:val="20"/>
          <w:szCs w:val="20"/>
          <w:lang w:val="de-DE"/>
        </w:rPr>
        <w:t>helical</w:t>
      </w:r>
      <w:proofErr w:type="spellEnd"/>
      <w:r w:rsidRPr="002D73E1">
        <w:rPr>
          <w:rFonts w:ascii="Times New Roman" w:hAnsi="Times New Roman" w:cs="Times New Roman"/>
          <w:sz w:val="20"/>
          <w:szCs w:val="20"/>
          <w:lang w:val="de-DE"/>
        </w:rPr>
        <w:t xml:space="preserve"> </w:t>
      </w:r>
      <w:proofErr w:type="spellStart"/>
      <w:r w:rsidRPr="002D73E1">
        <w:rPr>
          <w:rFonts w:ascii="Times New Roman" w:hAnsi="Times New Roman" w:cs="Times New Roman"/>
          <w:sz w:val="20"/>
          <w:szCs w:val="20"/>
          <w:lang w:val="de-DE"/>
        </w:rPr>
        <w:t>rectangular</w:t>
      </w:r>
      <w:proofErr w:type="spellEnd"/>
      <w:r w:rsidRPr="002D73E1">
        <w:rPr>
          <w:rFonts w:ascii="Times New Roman" w:hAnsi="Times New Roman" w:cs="Times New Roman"/>
          <w:sz w:val="20"/>
          <w:szCs w:val="20"/>
          <w:lang w:val="de-DE"/>
        </w:rPr>
        <w:t xml:space="preserve"> </w:t>
      </w:r>
      <w:proofErr w:type="spellStart"/>
      <w:r w:rsidRPr="002D73E1">
        <w:rPr>
          <w:rFonts w:ascii="Times New Roman" w:hAnsi="Times New Roman" w:cs="Times New Roman"/>
          <w:sz w:val="20"/>
          <w:szCs w:val="20"/>
          <w:lang w:val="de-DE"/>
        </w:rPr>
        <w:t>duct</w:t>
      </w:r>
      <w:proofErr w:type="spellEnd"/>
      <w:r w:rsidRPr="002D73E1">
        <w:rPr>
          <w:rFonts w:ascii="Times New Roman" w:hAnsi="Times New Roman" w:cs="Times New Roman"/>
          <w:sz w:val="20"/>
          <w:szCs w:val="20"/>
          <w:lang w:val="de-DE"/>
        </w:rPr>
        <w:t xml:space="preserve"> </w:t>
      </w:r>
      <w:proofErr w:type="spellStart"/>
      <w:r w:rsidRPr="002D73E1">
        <w:rPr>
          <w:rFonts w:ascii="Times New Roman" w:hAnsi="Times New Roman" w:cs="Times New Roman"/>
          <w:sz w:val="20"/>
          <w:szCs w:val="20"/>
          <w:lang w:val="de-DE"/>
        </w:rPr>
        <w:t>with</w:t>
      </w:r>
      <w:proofErr w:type="spellEnd"/>
      <w:r w:rsidRPr="002D73E1">
        <w:rPr>
          <w:rFonts w:ascii="Times New Roman" w:hAnsi="Times New Roman" w:cs="Times New Roman"/>
          <w:sz w:val="20"/>
          <w:szCs w:val="20"/>
          <w:lang w:val="de-DE"/>
        </w:rPr>
        <w:t xml:space="preserve"> a finite pitch." Brazilian Journal </w:t>
      </w:r>
      <w:proofErr w:type="spellStart"/>
      <w:r w:rsidRPr="002D73E1">
        <w:rPr>
          <w:rFonts w:ascii="Times New Roman" w:hAnsi="Times New Roman" w:cs="Times New Roman"/>
          <w:sz w:val="20"/>
          <w:szCs w:val="20"/>
          <w:lang w:val="de-DE"/>
        </w:rPr>
        <w:t>of</w:t>
      </w:r>
      <w:proofErr w:type="spellEnd"/>
      <w:r w:rsidRPr="002D73E1">
        <w:rPr>
          <w:rFonts w:ascii="Times New Roman" w:hAnsi="Times New Roman" w:cs="Times New Roman"/>
          <w:sz w:val="20"/>
          <w:szCs w:val="20"/>
          <w:lang w:val="de-DE"/>
        </w:rPr>
        <w:t xml:space="preserve"> Chemical Engineering 31 (2014): 787-797. </w:t>
      </w:r>
      <w:hyperlink r:id="rId10" w:history="1">
        <w:r w:rsidR="00F14118" w:rsidRPr="002D73E1">
          <w:rPr>
            <w:rStyle w:val="a6"/>
            <w:rFonts w:ascii="Times New Roman" w:hAnsi="Times New Roman" w:cs="Times New Roman"/>
            <w:sz w:val="20"/>
            <w:szCs w:val="20"/>
            <w:lang w:val="uz-Cyrl-UZ"/>
          </w:rPr>
          <w:t>https://doi.org/10.1590/0104-6632.20140313s00002676</w:t>
        </w:r>
      </w:hyperlink>
      <w:r w:rsidRPr="002D73E1">
        <w:rPr>
          <w:rStyle w:val="a6"/>
          <w:rFonts w:ascii="Times New Roman" w:hAnsi="Times New Roman" w:cs="Times New Roman"/>
          <w:sz w:val="20"/>
          <w:szCs w:val="20"/>
        </w:rPr>
        <w:t>.</w:t>
      </w:r>
      <w:r w:rsidR="00F14118" w:rsidRPr="002D73E1">
        <w:rPr>
          <w:rStyle w:val="a6"/>
          <w:rFonts w:ascii="Times New Roman" w:hAnsi="Times New Roman" w:cs="Times New Roman"/>
          <w:sz w:val="20"/>
          <w:szCs w:val="20"/>
        </w:rPr>
        <w:t xml:space="preserve"> </w:t>
      </w:r>
    </w:p>
    <w:p w14:paraId="23AC7B1B" w14:textId="6C796FAE" w:rsidR="006A4554" w:rsidRPr="002D73E1" w:rsidRDefault="000E2B56"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bookmarkStart w:id="1" w:name="_Hlk133650480"/>
      <w:r w:rsidRPr="002D73E1">
        <w:rPr>
          <w:rFonts w:ascii="Times New Roman" w:hAnsi="Times New Roman" w:cs="Times New Roman"/>
          <w:sz w:val="20"/>
          <w:szCs w:val="20"/>
          <w:lang w:val="uz-Cyrl-UZ"/>
        </w:rPr>
        <w:t>Kholbaev, G. ., Shermukhammadov, U. ., Toshboev, Z. ., Eshmirzaev, D. ., Arziqulov, M. ., &amp; Achilov, J. . (2025). DISTRIBUTION OF EFFECTIVE</w:t>
      </w:r>
      <w:r w:rsidR="00F14118" w:rsidRPr="002D73E1">
        <w:rPr>
          <w:rFonts w:ascii="Times New Roman" w:hAnsi="Times New Roman" w:cs="Times New Roman"/>
          <w:sz w:val="20"/>
          <w:szCs w:val="20"/>
        </w:rPr>
        <w:t xml:space="preserve"> </w:t>
      </w:r>
      <w:r w:rsidRPr="002D73E1">
        <w:rPr>
          <w:rFonts w:ascii="Times New Roman" w:hAnsi="Times New Roman" w:cs="Times New Roman"/>
          <w:sz w:val="20"/>
          <w:szCs w:val="20"/>
          <w:lang w:val="uz-Cyrl-UZ"/>
        </w:rPr>
        <w:t xml:space="preserve"> TEMPERATURE SUMS ABOVE 15.0°C. Journal of Geography and Natural Resources, 5(03), 16–29. </w:t>
      </w:r>
      <w:r w:rsidRPr="002D73E1">
        <w:rPr>
          <w:rStyle w:val="a6"/>
          <w:rFonts w:ascii="Times New Roman" w:hAnsi="Times New Roman" w:cs="Times New Roman"/>
          <w:sz w:val="20"/>
          <w:szCs w:val="20"/>
          <w:lang w:val="uz-Cyrl-UZ"/>
        </w:rPr>
        <w:t>https://doi.org/10.37547/supsci-jgnr-05-03-04</w:t>
      </w:r>
    </w:p>
    <w:bookmarkEnd w:id="1"/>
    <w:p w14:paraId="2AFB6DD6" w14:textId="6F409961" w:rsidR="006A4554" w:rsidRPr="002D73E1" w:rsidRDefault="000E2B56"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2D73E1">
        <w:rPr>
          <w:rFonts w:ascii="Times New Roman" w:hAnsi="Times New Roman" w:cs="Times New Roman"/>
          <w:sz w:val="20"/>
          <w:szCs w:val="20"/>
          <w:lang w:val="uz-Cyrl-UZ"/>
        </w:rPr>
        <w:t xml:space="preserve">Kholmatjanov, B.M.; Petrov, Y.V.; Khujanazarov, T.; Sulaymonova, N.N.; Abdikulov, F.I.; Tanaka, K. Analysis of Temperature Change in Uzbekistan and the Regional Atmospheric Circulation of Middle Asia during 1961–2016. Climate 2020, 8, 101. </w:t>
      </w:r>
      <w:hyperlink r:id="rId11" w:history="1">
        <w:r w:rsidR="00F14118" w:rsidRPr="002D73E1">
          <w:rPr>
            <w:rStyle w:val="a6"/>
            <w:rFonts w:ascii="Times New Roman" w:hAnsi="Times New Roman" w:cs="Times New Roman"/>
            <w:sz w:val="20"/>
            <w:szCs w:val="20"/>
            <w:lang w:val="uz-Cyrl-UZ"/>
          </w:rPr>
          <w:t>https://doi.org/10.3390/cli8090101</w:t>
        </w:r>
      </w:hyperlink>
      <w:r w:rsidR="00F14118" w:rsidRPr="002D73E1">
        <w:rPr>
          <w:rStyle w:val="a6"/>
          <w:rFonts w:ascii="Times New Roman" w:hAnsi="Times New Roman" w:cs="Times New Roman"/>
          <w:sz w:val="20"/>
          <w:szCs w:val="20"/>
        </w:rPr>
        <w:t xml:space="preserve"> </w:t>
      </w:r>
    </w:p>
    <w:p w14:paraId="0AB178F9" w14:textId="7EBEC8C0" w:rsidR="006A4554" w:rsidRPr="002D73E1" w:rsidRDefault="000E2B56" w:rsidP="006A455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2D73E1">
        <w:rPr>
          <w:rFonts w:ascii="Times New Roman" w:hAnsi="Times New Roman" w:cs="Times New Roman"/>
          <w:sz w:val="20"/>
          <w:szCs w:val="20"/>
          <w:lang w:val="uz-Cyrl-UZ"/>
        </w:rPr>
        <w:t xml:space="preserve">A. S. Zhuraev, S. A. Turdiyev, S. T. Jurayev, and S.S. Q. Salimova, "Characteristics of packing gland seals in hydraulic systems of quarry excavators and results of comparative analysis of experimental tests," Vibroengineering Procedia, Vol. 54, pp. 252–257, Apr. 2024, </w:t>
      </w:r>
      <w:hyperlink r:id="rId12" w:history="1">
        <w:r w:rsidRPr="002D73E1">
          <w:rPr>
            <w:rStyle w:val="a6"/>
            <w:rFonts w:ascii="Times New Roman" w:hAnsi="Times New Roman" w:cs="Times New Roman"/>
            <w:sz w:val="20"/>
            <w:szCs w:val="20"/>
            <w:lang w:val="uz-Cyrl-UZ"/>
          </w:rPr>
          <w:t>https://doi.org/10.21595/vp.2024.24051</w:t>
        </w:r>
      </w:hyperlink>
      <w:r w:rsidR="006A4554" w:rsidRPr="002D73E1">
        <w:rPr>
          <w:rStyle w:val="a6"/>
          <w:rFonts w:ascii="Times New Roman" w:hAnsi="Times New Roman" w:cs="Times New Roman"/>
          <w:sz w:val="20"/>
          <w:szCs w:val="20"/>
          <w:lang w:val="uz-Cyrl-UZ"/>
        </w:rPr>
        <w:t>.</w:t>
      </w:r>
      <w:r w:rsidR="00F14118" w:rsidRPr="002D73E1">
        <w:rPr>
          <w:rStyle w:val="a6"/>
          <w:rFonts w:ascii="Times New Roman" w:hAnsi="Times New Roman" w:cs="Times New Roman"/>
          <w:sz w:val="20"/>
          <w:szCs w:val="20"/>
        </w:rPr>
        <w:t xml:space="preserve"> </w:t>
      </w:r>
    </w:p>
    <w:p w14:paraId="2CE1EF48" w14:textId="3394A185" w:rsidR="00D80C1F" w:rsidRPr="002D73E1" w:rsidRDefault="0020797F" w:rsidP="0020797F">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proofErr w:type="spellStart"/>
      <w:r w:rsidRPr="002D73E1">
        <w:rPr>
          <w:rFonts w:ascii="Times New Roman" w:hAnsi="Times New Roman" w:cs="Times New Roman"/>
          <w:color w:val="222222"/>
          <w:sz w:val="20"/>
          <w:szCs w:val="20"/>
          <w:shd w:val="clear" w:color="auto" w:fill="FFFFFF"/>
        </w:rPr>
        <w:t>Ismatov</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Adxamjon</w:t>
      </w:r>
      <w:proofErr w:type="spellEnd"/>
      <w:r w:rsidRPr="002D73E1">
        <w:rPr>
          <w:rFonts w:ascii="Times New Roman" w:hAnsi="Times New Roman" w:cs="Times New Roman"/>
          <w:color w:val="222222"/>
          <w:sz w:val="20"/>
          <w:szCs w:val="20"/>
          <w:shd w:val="clear" w:color="auto" w:fill="FFFFFF"/>
        </w:rPr>
        <w:t xml:space="preserve"> Alibek </w:t>
      </w:r>
      <w:proofErr w:type="spellStart"/>
      <w:proofErr w:type="gramStart"/>
      <w:r w:rsidRPr="002D73E1">
        <w:rPr>
          <w:rFonts w:ascii="Times New Roman" w:hAnsi="Times New Roman" w:cs="Times New Roman"/>
          <w:color w:val="222222"/>
          <w:sz w:val="20"/>
          <w:szCs w:val="20"/>
          <w:shd w:val="clear" w:color="auto" w:fill="FFFFFF"/>
        </w:rPr>
        <w:t>o‘g‘</w:t>
      </w:r>
      <w:proofErr w:type="gramEnd"/>
      <w:r w:rsidRPr="002D73E1">
        <w:rPr>
          <w:rFonts w:ascii="Times New Roman" w:hAnsi="Times New Roman" w:cs="Times New Roman"/>
          <w:color w:val="222222"/>
          <w:sz w:val="20"/>
          <w:szCs w:val="20"/>
          <w:shd w:val="clear" w:color="auto" w:fill="FFFFFF"/>
        </w:rPr>
        <w:t>li</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Raxmatov</w:t>
      </w:r>
      <w:proofErr w:type="spellEnd"/>
      <w:r w:rsidRPr="002D73E1">
        <w:rPr>
          <w:rFonts w:ascii="Times New Roman" w:hAnsi="Times New Roman" w:cs="Times New Roman"/>
          <w:color w:val="222222"/>
          <w:sz w:val="20"/>
          <w:szCs w:val="20"/>
          <w:shd w:val="clear" w:color="auto" w:fill="FFFFFF"/>
        </w:rPr>
        <w:t xml:space="preserve"> Ramazonjon Ravshan </w:t>
      </w:r>
      <w:proofErr w:type="spellStart"/>
      <w:proofErr w:type="gramStart"/>
      <w:r w:rsidRPr="002D73E1">
        <w:rPr>
          <w:rFonts w:ascii="Times New Roman" w:hAnsi="Times New Roman" w:cs="Times New Roman"/>
          <w:color w:val="222222"/>
          <w:sz w:val="20"/>
          <w:szCs w:val="20"/>
          <w:shd w:val="clear" w:color="auto" w:fill="FFFFFF"/>
        </w:rPr>
        <w:t>o‘g‘</w:t>
      </w:r>
      <w:proofErr w:type="gramEnd"/>
      <w:r w:rsidRPr="002D73E1">
        <w:rPr>
          <w:rFonts w:ascii="Times New Roman" w:hAnsi="Times New Roman" w:cs="Times New Roman"/>
          <w:color w:val="222222"/>
          <w:sz w:val="20"/>
          <w:szCs w:val="20"/>
          <w:shd w:val="clear" w:color="auto" w:fill="FFFFFF"/>
        </w:rPr>
        <w:t>li</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Gidravlik</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tizimlardagi</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ichki</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nosozliklardan</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suyuqlik</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oqib</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chiqishini</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ishqalanish</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kuchlari</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asosida</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matematik</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modelini</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ishlab</w:t>
      </w:r>
      <w:proofErr w:type="spellEnd"/>
      <w:r w:rsidRPr="002D73E1">
        <w:rPr>
          <w:rFonts w:ascii="Times New Roman" w:hAnsi="Times New Roman" w:cs="Times New Roman"/>
          <w:color w:val="222222"/>
          <w:sz w:val="20"/>
          <w:szCs w:val="20"/>
          <w:shd w:val="clear" w:color="auto" w:fill="FFFFFF"/>
        </w:rPr>
        <w:t xml:space="preserve"> </w:t>
      </w:r>
      <w:proofErr w:type="spellStart"/>
      <w:r w:rsidRPr="002D73E1">
        <w:rPr>
          <w:rFonts w:ascii="Times New Roman" w:hAnsi="Times New Roman" w:cs="Times New Roman"/>
          <w:color w:val="222222"/>
          <w:sz w:val="20"/>
          <w:szCs w:val="20"/>
          <w:shd w:val="clear" w:color="auto" w:fill="FFFFFF"/>
        </w:rPr>
        <w:t>chiqish</w:t>
      </w:r>
      <w:proofErr w:type="spellEnd"/>
      <w:r w:rsidRPr="002D73E1">
        <w:rPr>
          <w:rFonts w:ascii="Times New Roman" w:hAnsi="Times New Roman" w:cs="Times New Roman"/>
          <w:color w:val="222222"/>
          <w:sz w:val="20"/>
          <w:szCs w:val="20"/>
          <w:shd w:val="clear" w:color="auto" w:fill="FFFFFF"/>
        </w:rPr>
        <w:t xml:space="preserve">. Diversity Research: Journal of Analysis and Trends. </w:t>
      </w:r>
      <w:r w:rsidRPr="002D73E1">
        <w:rPr>
          <w:rFonts w:ascii="Times New Roman" w:hAnsi="Times New Roman" w:cs="Times New Roman"/>
          <w:sz w:val="20"/>
          <w:szCs w:val="20"/>
          <w:lang w:val="uz-Cyrl-UZ"/>
        </w:rPr>
        <w:t xml:space="preserve">Vol. 2, pp. </w:t>
      </w:r>
      <w:r w:rsidRPr="002D73E1">
        <w:rPr>
          <w:rFonts w:ascii="Times New Roman" w:hAnsi="Times New Roman" w:cs="Times New Roman"/>
          <w:color w:val="222222"/>
          <w:sz w:val="20"/>
          <w:szCs w:val="20"/>
          <w:shd w:val="clear" w:color="auto" w:fill="FFFFFF"/>
        </w:rPr>
        <w:t>46-49</w:t>
      </w:r>
      <w:r w:rsidRPr="002D73E1">
        <w:rPr>
          <w:rFonts w:ascii="Times New Roman" w:hAnsi="Times New Roman" w:cs="Times New Roman"/>
          <w:sz w:val="20"/>
          <w:szCs w:val="20"/>
          <w:lang w:val="uz-Cyrl-UZ"/>
        </w:rPr>
        <w:t>,</w:t>
      </w:r>
      <w:r w:rsidRPr="002D73E1">
        <w:rPr>
          <w:rFonts w:ascii="Times New Roman" w:hAnsi="Times New Roman" w:cs="Times New Roman"/>
          <w:sz w:val="20"/>
          <w:szCs w:val="20"/>
        </w:rPr>
        <w:t xml:space="preserve"> </w:t>
      </w:r>
      <w:hyperlink r:id="rId13" w:history="1">
        <w:r w:rsidR="00F14118" w:rsidRPr="002D73E1">
          <w:rPr>
            <w:rStyle w:val="a6"/>
            <w:rFonts w:ascii="Times New Roman" w:hAnsi="Times New Roman" w:cs="Times New Roman"/>
            <w:sz w:val="20"/>
            <w:szCs w:val="20"/>
            <w:lang w:val="uz-Cyrl-UZ"/>
          </w:rPr>
          <w:t>https://academiaone.org/index.php/2/article/view/854</w:t>
        </w:r>
      </w:hyperlink>
    </w:p>
    <w:p w14:paraId="06ACC515" w14:textId="77777777" w:rsidR="00A249B4" w:rsidRPr="002D73E1" w:rsidRDefault="00F14118" w:rsidP="00A249B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proofErr w:type="spellStart"/>
      <w:r w:rsidRPr="002D73E1">
        <w:rPr>
          <w:rFonts w:ascii="Times New Roman" w:hAnsi="Times New Roman" w:cs="Times New Roman"/>
          <w:color w:val="222222"/>
          <w:sz w:val="20"/>
          <w:szCs w:val="20"/>
          <w:shd w:val="clear" w:color="auto" w:fill="FFFFFF"/>
        </w:rPr>
        <w:t>Nabijon</w:t>
      </w:r>
      <w:proofErr w:type="spellEnd"/>
      <w:r w:rsidRPr="002D73E1">
        <w:rPr>
          <w:rFonts w:ascii="Times New Roman" w:hAnsi="Times New Roman" w:cs="Times New Roman"/>
          <w:color w:val="222222"/>
          <w:sz w:val="20"/>
          <w:szCs w:val="20"/>
          <w:shd w:val="clear" w:color="auto" w:fill="FFFFFF"/>
        </w:rPr>
        <w:t xml:space="preserve"> Abduazizov, Kamol Xakimov, Sardor Turdiyev, Akbar Zhuraev, Adham Ismatov. </w:t>
      </w:r>
      <w:r w:rsidRPr="002D73E1">
        <w:rPr>
          <w:rFonts w:ascii="Times New Roman" w:hAnsi="Times New Roman" w:cs="Times New Roman"/>
          <w:sz w:val="20"/>
          <w:szCs w:val="20"/>
        </w:rPr>
        <w:t xml:space="preserve">The impact of the amount of pollution of the fluid in the hydraulic system on the working resource of the quarry excavator. </w:t>
      </w:r>
      <w:r w:rsidRPr="002D73E1">
        <w:rPr>
          <w:rFonts w:ascii="Times New Roman" w:hAnsi="Times New Roman" w:cs="Times New Roman"/>
          <w:color w:val="222222"/>
          <w:sz w:val="20"/>
          <w:szCs w:val="20"/>
          <w:shd w:val="clear" w:color="auto" w:fill="FFFFFF"/>
        </w:rPr>
        <w:t xml:space="preserve">E3S Web of Conferences, 2025. </w:t>
      </w:r>
      <w:hyperlink r:id="rId14" w:history="1">
        <w:r w:rsidR="00A249B4" w:rsidRPr="002D73E1">
          <w:rPr>
            <w:rStyle w:val="a6"/>
            <w:rFonts w:ascii="Times New Roman" w:hAnsi="Times New Roman" w:cs="Times New Roman"/>
            <w:sz w:val="20"/>
            <w:szCs w:val="20"/>
          </w:rPr>
          <w:t>https://doi.org/10.1051/e3sconf/202562705001</w:t>
        </w:r>
      </w:hyperlink>
    </w:p>
    <w:p w14:paraId="464B7F35"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proofErr w:type="spellStart"/>
      <w:r w:rsidRPr="002D73E1">
        <w:rPr>
          <w:rFonts w:ascii="Times New Roman" w:eastAsia="Times New Roman" w:hAnsi="Times New Roman" w:cs="Times New Roman"/>
          <w:sz w:val="20"/>
          <w:szCs w:val="20"/>
          <w:lang w:eastAsia="ru-RU"/>
        </w:rPr>
        <w:t>Rabatuly</w:t>
      </w:r>
      <w:proofErr w:type="spellEnd"/>
      <w:r w:rsidRPr="002D73E1">
        <w:rPr>
          <w:rFonts w:ascii="Times New Roman" w:eastAsia="Times New Roman" w:hAnsi="Times New Roman" w:cs="Times New Roman"/>
          <w:sz w:val="20"/>
          <w:szCs w:val="20"/>
          <w:lang w:eastAsia="ru-RU"/>
        </w:rPr>
        <w:t xml:space="preserve"> M., </w:t>
      </w:r>
      <w:proofErr w:type="spellStart"/>
      <w:r w:rsidRPr="002D73E1">
        <w:rPr>
          <w:rFonts w:ascii="Times New Roman" w:eastAsia="Times New Roman" w:hAnsi="Times New Roman" w:cs="Times New Roman"/>
          <w:sz w:val="20"/>
          <w:szCs w:val="20"/>
          <w:lang w:eastAsia="ru-RU"/>
        </w:rPr>
        <w:t>Myrzathan</w:t>
      </w:r>
      <w:proofErr w:type="spellEnd"/>
      <w:r w:rsidRPr="002D73E1">
        <w:rPr>
          <w:rFonts w:ascii="Times New Roman" w:eastAsia="Times New Roman" w:hAnsi="Times New Roman" w:cs="Times New Roman"/>
          <w:sz w:val="20"/>
          <w:szCs w:val="20"/>
          <w:lang w:eastAsia="ru-RU"/>
        </w:rPr>
        <w:t xml:space="preserve"> S.A., </w:t>
      </w:r>
      <w:proofErr w:type="spellStart"/>
      <w:r w:rsidRPr="002D73E1">
        <w:rPr>
          <w:rFonts w:ascii="Times New Roman" w:eastAsia="Times New Roman" w:hAnsi="Times New Roman" w:cs="Times New Roman"/>
          <w:sz w:val="20"/>
          <w:szCs w:val="20"/>
          <w:lang w:eastAsia="ru-RU"/>
        </w:rPr>
        <w:t>Toshov</w:t>
      </w:r>
      <w:proofErr w:type="spellEnd"/>
      <w:r w:rsidRPr="002D73E1">
        <w:rPr>
          <w:rFonts w:ascii="Times New Roman" w:eastAsia="Times New Roman" w:hAnsi="Times New Roman" w:cs="Times New Roman"/>
          <w:sz w:val="20"/>
          <w:szCs w:val="20"/>
          <w:lang w:eastAsia="ru-RU"/>
        </w:rPr>
        <w:t xml:space="preserve"> J.B., </w:t>
      </w:r>
      <w:proofErr w:type="spellStart"/>
      <w:r w:rsidRPr="002D73E1">
        <w:rPr>
          <w:rFonts w:ascii="Times New Roman" w:eastAsia="Times New Roman" w:hAnsi="Times New Roman" w:cs="Times New Roman"/>
          <w:sz w:val="20"/>
          <w:szCs w:val="20"/>
          <w:lang w:eastAsia="ru-RU"/>
        </w:rPr>
        <w:t>Nasimov</w:t>
      </w:r>
      <w:proofErr w:type="spellEnd"/>
      <w:r w:rsidRPr="002D73E1">
        <w:rPr>
          <w:rFonts w:ascii="Times New Roman" w:eastAsia="Times New Roman" w:hAnsi="Times New Roman" w:cs="Times New Roman"/>
          <w:sz w:val="20"/>
          <w:szCs w:val="20"/>
          <w:lang w:eastAsia="ru-RU"/>
        </w:rPr>
        <w:t xml:space="preserve"> J., </w:t>
      </w:r>
      <w:proofErr w:type="spellStart"/>
      <w:r w:rsidRPr="002D73E1">
        <w:rPr>
          <w:rFonts w:ascii="Times New Roman" w:eastAsia="Times New Roman" w:hAnsi="Times New Roman" w:cs="Times New Roman"/>
          <w:sz w:val="20"/>
          <w:szCs w:val="20"/>
          <w:lang w:eastAsia="ru-RU"/>
        </w:rPr>
        <w:t>Khamzaev</w:t>
      </w:r>
      <w:proofErr w:type="spellEnd"/>
      <w:r w:rsidRPr="002D73E1">
        <w:rPr>
          <w:rFonts w:ascii="Times New Roman" w:eastAsia="Times New Roman" w:hAnsi="Times New Roman" w:cs="Times New Roman"/>
          <w:sz w:val="20"/>
          <w:szCs w:val="20"/>
          <w:lang w:eastAsia="ru-RU"/>
        </w:rPr>
        <w:t xml:space="preserve"> A. Views on drilling effectiveness and sampling estimation for solid ore minerals. Integrated Use of Mineral Raw Materials. №1(336), 2026.</w:t>
      </w:r>
      <w:r w:rsidRPr="002D73E1">
        <w:rPr>
          <w:rFonts w:ascii="Times New Roman" w:hAnsi="Times New Roman" w:cs="Times New Roman"/>
          <w:sz w:val="20"/>
          <w:szCs w:val="20"/>
        </w:rPr>
        <w:t xml:space="preserve"> </w:t>
      </w:r>
      <w:hyperlink r:id="rId15" w:history="1">
        <w:r w:rsidRPr="002D73E1">
          <w:rPr>
            <w:rStyle w:val="a6"/>
            <w:rFonts w:ascii="Times New Roman" w:hAnsi="Times New Roman" w:cs="Times New Roman"/>
            <w:bCs/>
            <w:color w:val="004BA1"/>
            <w:sz w:val="20"/>
            <w:szCs w:val="20"/>
            <w:shd w:val="clear" w:color="auto" w:fill="FFFFFF"/>
          </w:rPr>
          <w:t>https://doi.org/10.31643/2026/6445.01</w:t>
        </w:r>
      </w:hyperlink>
      <w:r w:rsidRPr="002D73E1">
        <w:rPr>
          <w:rFonts w:ascii="Times New Roman" w:hAnsi="Times New Roman" w:cs="Times New Roman"/>
          <w:sz w:val="20"/>
          <w:szCs w:val="20"/>
        </w:rPr>
        <w:t xml:space="preserve"> </w:t>
      </w:r>
      <w:r w:rsidRPr="002D73E1">
        <w:rPr>
          <w:rFonts w:ascii="Times New Roman" w:eastAsia="Times New Roman" w:hAnsi="Times New Roman" w:cs="Times New Roman"/>
          <w:sz w:val="20"/>
          <w:szCs w:val="20"/>
          <w:lang w:eastAsia="ru-RU"/>
        </w:rPr>
        <w:t xml:space="preserve"> </w:t>
      </w:r>
    </w:p>
    <w:p w14:paraId="70AD686B"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proofErr w:type="spellStart"/>
      <w:r w:rsidRPr="002D73E1">
        <w:rPr>
          <w:rFonts w:ascii="Times New Roman" w:eastAsia="Times New Roman" w:hAnsi="Times New Roman" w:cs="Times New Roman"/>
          <w:sz w:val="20"/>
          <w:szCs w:val="20"/>
          <w:lang w:eastAsia="ru-RU"/>
        </w:rPr>
        <w:t>Toshov</w:t>
      </w:r>
      <w:proofErr w:type="spellEnd"/>
      <w:r w:rsidRPr="002D73E1">
        <w:rPr>
          <w:rFonts w:ascii="Times New Roman" w:eastAsia="Times New Roman" w:hAnsi="Times New Roman" w:cs="Times New Roman"/>
          <w:sz w:val="20"/>
          <w:szCs w:val="20"/>
          <w:lang w:eastAsia="ru-RU"/>
        </w:rPr>
        <w:t xml:space="preserve"> J.B.</w:t>
      </w:r>
      <w:proofErr w:type="gramStart"/>
      <w:r w:rsidRPr="002D73E1">
        <w:rPr>
          <w:rFonts w:ascii="Times New Roman" w:eastAsia="Times New Roman" w:hAnsi="Times New Roman" w:cs="Times New Roman"/>
          <w:sz w:val="20"/>
          <w:szCs w:val="20"/>
          <w:lang w:eastAsia="ru-RU"/>
        </w:rPr>
        <w:t xml:space="preserve">,  </w:t>
      </w:r>
      <w:proofErr w:type="spellStart"/>
      <w:r w:rsidRPr="002D73E1">
        <w:rPr>
          <w:rFonts w:ascii="Times New Roman" w:eastAsia="Times New Roman" w:hAnsi="Times New Roman" w:cs="Times New Roman"/>
          <w:sz w:val="20"/>
          <w:szCs w:val="20"/>
          <w:lang w:eastAsia="ru-RU"/>
        </w:rPr>
        <w:t>Rabatuly</w:t>
      </w:r>
      <w:proofErr w:type="spellEnd"/>
      <w:proofErr w:type="gramEnd"/>
      <w:r w:rsidRPr="002D73E1">
        <w:rPr>
          <w:rFonts w:ascii="Times New Roman" w:eastAsia="Times New Roman" w:hAnsi="Times New Roman" w:cs="Times New Roman"/>
          <w:sz w:val="20"/>
          <w:szCs w:val="20"/>
          <w:lang w:eastAsia="ru-RU"/>
        </w:rPr>
        <w:t xml:space="preserve"> M., </w:t>
      </w:r>
      <w:proofErr w:type="spellStart"/>
      <w:r w:rsidRPr="002D73E1">
        <w:rPr>
          <w:rFonts w:ascii="Times New Roman" w:eastAsia="Times New Roman" w:hAnsi="Times New Roman" w:cs="Times New Roman"/>
          <w:sz w:val="20"/>
          <w:szCs w:val="20"/>
          <w:lang w:eastAsia="ru-RU"/>
        </w:rPr>
        <w:t>Khaydarov</w:t>
      </w:r>
      <w:proofErr w:type="spellEnd"/>
      <w:r w:rsidRPr="002D73E1">
        <w:rPr>
          <w:rFonts w:ascii="Times New Roman" w:eastAsia="Times New Roman" w:hAnsi="Times New Roman" w:cs="Times New Roman"/>
          <w:sz w:val="20"/>
          <w:szCs w:val="20"/>
          <w:lang w:eastAsia="ru-RU"/>
        </w:rPr>
        <w:t xml:space="preserve"> Sh., </w:t>
      </w:r>
      <w:proofErr w:type="spellStart"/>
      <w:r w:rsidRPr="002D73E1">
        <w:rPr>
          <w:rFonts w:ascii="Times New Roman" w:eastAsia="Times New Roman" w:hAnsi="Times New Roman" w:cs="Times New Roman"/>
          <w:sz w:val="20"/>
          <w:szCs w:val="20"/>
          <w:lang w:eastAsia="ru-RU"/>
        </w:rPr>
        <w:t>Kenetayeva</w:t>
      </w:r>
      <w:proofErr w:type="spellEnd"/>
      <w:r w:rsidRPr="002D73E1">
        <w:rPr>
          <w:rFonts w:ascii="Times New Roman" w:eastAsia="Times New Roman" w:hAnsi="Times New Roman" w:cs="Times New Roman"/>
          <w:sz w:val="20"/>
          <w:szCs w:val="20"/>
          <w:lang w:eastAsia="ru-RU"/>
        </w:rPr>
        <w:t xml:space="preserve"> A.A., </w:t>
      </w:r>
      <w:proofErr w:type="spellStart"/>
      <w:r w:rsidRPr="002D73E1">
        <w:rPr>
          <w:rFonts w:ascii="Times New Roman" w:eastAsia="Times New Roman" w:hAnsi="Times New Roman" w:cs="Times New Roman"/>
          <w:sz w:val="20"/>
          <w:szCs w:val="20"/>
          <w:lang w:eastAsia="ru-RU"/>
        </w:rPr>
        <w:t>Khamzayev</w:t>
      </w:r>
      <w:proofErr w:type="spellEnd"/>
      <w:r w:rsidRPr="002D73E1">
        <w:rPr>
          <w:rFonts w:ascii="Times New Roman" w:eastAsia="Times New Roman" w:hAnsi="Times New Roman" w:cs="Times New Roman"/>
          <w:sz w:val="20"/>
          <w:szCs w:val="20"/>
          <w:lang w:eastAsia="ru-RU"/>
        </w:rPr>
        <w:t xml:space="preserve"> A., Usmonov M., </w:t>
      </w:r>
      <w:proofErr w:type="spellStart"/>
      <w:r w:rsidRPr="002D73E1">
        <w:rPr>
          <w:rFonts w:ascii="Times New Roman" w:eastAsia="Times New Roman" w:hAnsi="Times New Roman" w:cs="Times New Roman"/>
          <w:sz w:val="20"/>
          <w:szCs w:val="20"/>
          <w:lang w:eastAsia="ru-RU"/>
        </w:rPr>
        <w:t>Zheldikbayeva</w:t>
      </w:r>
      <w:proofErr w:type="spellEnd"/>
      <w:r w:rsidRPr="002D73E1">
        <w:rPr>
          <w:rFonts w:ascii="Times New Roman" w:eastAsia="Times New Roman" w:hAnsi="Times New Roman" w:cs="Times New Roman"/>
          <w:sz w:val="20"/>
          <w:szCs w:val="20"/>
          <w:lang w:eastAsia="ru-RU"/>
        </w:rPr>
        <w:t xml:space="preserve"> A.T. Methods for Analysis and Improvement of Dynamic Loads on the Steel Wire Rope Holding the Boom of Steel Wire </w:t>
      </w:r>
      <w:r w:rsidRPr="002D73E1">
        <w:rPr>
          <w:rFonts w:ascii="Times New Roman" w:eastAsia="Times New Roman" w:hAnsi="Times New Roman" w:cs="Times New Roman"/>
          <w:sz w:val="20"/>
          <w:szCs w:val="20"/>
          <w:lang w:eastAsia="ru-RU"/>
        </w:rPr>
        <w:lastRenderedPageBreak/>
        <w:t xml:space="preserve">Rope Excavators. Integrated Use of Mineral Raw Materials Complex Use of Mineral Resources 2026; 339(4):87-96 </w:t>
      </w:r>
      <w:hyperlink r:id="rId16" w:history="1">
        <w:r w:rsidRPr="002D73E1">
          <w:rPr>
            <w:rStyle w:val="a6"/>
            <w:rFonts w:ascii="Times New Roman" w:eastAsia="Times New Roman" w:hAnsi="Times New Roman" w:cs="Times New Roman"/>
            <w:sz w:val="20"/>
            <w:szCs w:val="20"/>
            <w:lang w:eastAsia="ru-RU"/>
          </w:rPr>
          <w:t>https://doi.org/10.31643/2026/6445.43</w:t>
        </w:r>
      </w:hyperlink>
    </w:p>
    <w:p w14:paraId="1D360792" w14:textId="4EE78B6C"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proofErr w:type="spellStart"/>
      <w:r w:rsidRPr="002D73E1">
        <w:rPr>
          <w:rFonts w:ascii="Times New Roman" w:eastAsia="Times New Roman" w:hAnsi="Times New Roman" w:cs="Times New Roman"/>
          <w:sz w:val="20"/>
          <w:szCs w:val="20"/>
          <w:lang w:eastAsia="ru-RU"/>
        </w:rPr>
        <w:t>Zokhidov</w:t>
      </w:r>
      <w:proofErr w:type="spellEnd"/>
      <w:r w:rsidRPr="002D73E1">
        <w:rPr>
          <w:rFonts w:ascii="Times New Roman" w:eastAsia="Times New Roman" w:hAnsi="Times New Roman" w:cs="Times New Roman"/>
          <w:sz w:val="20"/>
          <w:szCs w:val="20"/>
          <w:lang w:eastAsia="ru-RU"/>
        </w:rPr>
        <w:t xml:space="preserve"> O.U., </w:t>
      </w:r>
      <w:proofErr w:type="spellStart"/>
      <w:r w:rsidRPr="002D73E1">
        <w:rPr>
          <w:rFonts w:ascii="Times New Roman" w:eastAsia="Times New Roman" w:hAnsi="Times New Roman" w:cs="Times New Roman"/>
          <w:sz w:val="20"/>
          <w:szCs w:val="20"/>
          <w:lang w:eastAsia="ru-RU"/>
        </w:rPr>
        <w:t>Khoshimov</w:t>
      </w:r>
      <w:proofErr w:type="spellEnd"/>
      <w:r w:rsidRPr="002D73E1">
        <w:rPr>
          <w:rFonts w:ascii="Times New Roman" w:eastAsia="Times New Roman" w:hAnsi="Times New Roman" w:cs="Times New Roman"/>
          <w:sz w:val="20"/>
          <w:szCs w:val="20"/>
          <w:lang w:eastAsia="ru-RU"/>
        </w:rPr>
        <w:t xml:space="preserve"> O.O., Khalilov </w:t>
      </w:r>
      <w:proofErr w:type="spellStart"/>
      <w:r w:rsidRPr="002D73E1">
        <w:rPr>
          <w:rFonts w:ascii="Times New Roman" w:eastAsia="Times New Roman" w:hAnsi="Times New Roman" w:cs="Times New Roman"/>
          <w:sz w:val="20"/>
          <w:szCs w:val="20"/>
          <w:lang w:eastAsia="ru-RU"/>
        </w:rPr>
        <w:t>Sh.Sh</w:t>
      </w:r>
      <w:proofErr w:type="spellEnd"/>
      <w:r w:rsidRPr="002D73E1">
        <w:rPr>
          <w:rFonts w:ascii="Times New Roman" w:eastAsia="Times New Roman" w:hAnsi="Times New Roman" w:cs="Times New Roman"/>
          <w:sz w:val="20"/>
          <w:szCs w:val="20"/>
          <w:lang w:eastAsia="ru-RU"/>
        </w:rPr>
        <w:t xml:space="preserve">. Experimental analysis of </w:t>
      </w:r>
      <w:proofErr w:type="spellStart"/>
      <w:r w:rsidRPr="002D73E1">
        <w:rPr>
          <w:rFonts w:ascii="Times New Roman" w:eastAsia="Times New Roman" w:hAnsi="Times New Roman" w:cs="Times New Roman"/>
          <w:sz w:val="20"/>
          <w:szCs w:val="20"/>
          <w:lang w:eastAsia="ru-RU"/>
        </w:rPr>
        <w:t>microges</w:t>
      </w:r>
      <w:proofErr w:type="spellEnd"/>
      <w:r w:rsidRPr="002D73E1">
        <w:rPr>
          <w:rFonts w:ascii="Times New Roman" w:eastAsia="Times New Roman" w:hAnsi="Times New Roman" w:cs="Times New Roman"/>
          <w:sz w:val="20"/>
          <w:szCs w:val="20"/>
          <w:lang w:eastAsia="ru-RU"/>
        </w:rPr>
        <w:t xml:space="preserve"> installation for existing water flows in industrial plants. III International Conference on Improving Energy Efficiency, Environmental Safety and Sustainable Development in Agriculture (EESTE2023), E3S Web of Conferences. </w:t>
      </w:r>
      <w:r w:rsidR="00030BB7">
        <w:rPr>
          <w:rFonts w:ascii="Times New Roman" w:eastAsia="Times New Roman" w:hAnsi="Times New Roman" w:cs="Times New Roman"/>
          <w:sz w:val="20"/>
          <w:szCs w:val="20"/>
          <w:lang w:eastAsia="ru-RU"/>
        </w:rPr>
        <w:t>Volume</w:t>
      </w:r>
      <w:r w:rsidRPr="002D73E1">
        <w:rPr>
          <w:rFonts w:ascii="Times New Roman" w:eastAsia="Times New Roman" w:hAnsi="Times New Roman" w:cs="Times New Roman"/>
          <w:sz w:val="20"/>
          <w:szCs w:val="20"/>
          <w:lang w:eastAsia="ru-RU"/>
        </w:rPr>
        <w:t xml:space="preserve"> 463. 02023. 2023.  </w:t>
      </w:r>
      <w:hyperlink r:id="rId17" w:history="1">
        <w:r w:rsidRPr="002D73E1">
          <w:rPr>
            <w:rStyle w:val="a6"/>
            <w:rFonts w:ascii="Times New Roman" w:eastAsia="Times New Roman" w:hAnsi="Times New Roman" w:cs="Times New Roman"/>
            <w:sz w:val="20"/>
            <w:szCs w:val="20"/>
            <w:lang w:eastAsia="ru-RU"/>
          </w:rPr>
          <w:t>https://doi.org/10.1051/e3sconf/202346302023</w:t>
        </w:r>
      </w:hyperlink>
      <w:r w:rsidRPr="002D73E1">
        <w:rPr>
          <w:rFonts w:ascii="Times New Roman" w:eastAsia="Times New Roman" w:hAnsi="Times New Roman" w:cs="Times New Roman"/>
          <w:sz w:val="20"/>
          <w:szCs w:val="20"/>
          <w:lang w:eastAsia="ru-RU"/>
        </w:rPr>
        <w:t xml:space="preserve"> </w:t>
      </w:r>
    </w:p>
    <w:p w14:paraId="1EFAEBF1"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proofErr w:type="spellStart"/>
      <w:r w:rsidRPr="002D73E1">
        <w:rPr>
          <w:rFonts w:ascii="Times New Roman" w:eastAsia="Times New Roman" w:hAnsi="Times New Roman" w:cs="Times New Roman"/>
          <w:sz w:val="20"/>
          <w:szCs w:val="20"/>
          <w:lang w:eastAsia="ru-RU"/>
        </w:rPr>
        <w:t>Zokhidov</w:t>
      </w:r>
      <w:proofErr w:type="spellEnd"/>
      <w:r w:rsidRPr="002D73E1">
        <w:rPr>
          <w:rFonts w:ascii="Times New Roman" w:eastAsia="Times New Roman" w:hAnsi="Times New Roman" w:cs="Times New Roman"/>
          <w:sz w:val="20"/>
          <w:szCs w:val="20"/>
          <w:lang w:eastAsia="ru-RU"/>
        </w:rPr>
        <w:t xml:space="preserve"> O.U., </w:t>
      </w:r>
      <w:proofErr w:type="spellStart"/>
      <w:r w:rsidRPr="002D73E1">
        <w:rPr>
          <w:rFonts w:ascii="Times New Roman" w:eastAsia="Times New Roman" w:hAnsi="Times New Roman" w:cs="Times New Roman"/>
          <w:sz w:val="20"/>
          <w:szCs w:val="20"/>
          <w:lang w:eastAsia="ru-RU"/>
        </w:rPr>
        <w:t>Khoshimov</w:t>
      </w:r>
      <w:proofErr w:type="spellEnd"/>
      <w:r w:rsidRPr="002D73E1">
        <w:rPr>
          <w:rFonts w:ascii="Times New Roman" w:eastAsia="Times New Roman" w:hAnsi="Times New Roman" w:cs="Times New Roman"/>
          <w:sz w:val="20"/>
          <w:szCs w:val="20"/>
          <w:lang w:eastAsia="ru-RU"/>
        </w:rPr>
        <w:t xml:space="preserve"> O.O., </w:t>
      </w:r>
      <w:proofErr w:type="spellStart"/>
      <w:r w:rsidRPr="002D73E1">
        <w:rPr>
          <w:rFonts w:ascii="Times New Roman" w:eastAsia="Times New Roman" w:hAnsi="Times New Roman" w:cs="Times New Roman"/>
          <w:sz w:val="20"/>
          <w:szCs w:val="20"/>
          <w:lang w:eastAsia="ru-RU"/>
        </w:rPr>
        <w:t>Sunnatov</w:t>
      </w:r>
      <w:proofErr w:type="spellEnd"/>
      <w:r w:rsidRPr="002D73E1">
        <w:rPr>
          <w:rFonts w:ascii="Times New Roman" w:eastAsia="Times New Roman" w:hAnsi="Times New Roman" w:cs="Times New Roman"/>
          <w:sz w:val="20"/>
          <w:szCs w:val="20"/>
          <w:lang w:eastAsia="ru-RU"/>
        </w:rPr>
        <w:t xml:space="preserve"> S.Z. Selection of the type and design of special water turbines based on the nominal parameters of Navoi mine metallurgical combine engineering structures.  AIP Conf. Proc. 3331, 050022 (2025). </w:t>
      </w:r>
      <w:hyperlink r:id="rId18" w:history="1">
        <w:r w:rsidRPr="002D73E1">
          <w:rPr>
            <w:rStyle w:val="a6"/>
            <w:rFonts w:ascii="Times New Roman" w:eastAsia="Times New Roman" w:hAnsi="Times New Roman" w:cs="Times New Roman"/>
            <w:sz w:val="20"/>
            <w:szCs w:val="20"/>
            <w:lang w:eastAsia="ru-RU"/>
          </w:rPr>
          <w:t>https://doi.org/10.1063/5.0306554</w:t>
        </w:r>
      </w:hyperlink>
      <w:r w:rsidRPr="002D73E1">
        <w:rPr>
          <w:rFonts w:ascii="Times New Roman" w:eastAsia="Times New Roman" w:hAnsi="Times New Roman" w:cs="Times New Roman"/>
          <w:sz w:val="20"/>
          <w:szCs w:val="20"/>
          <w:lang w:eastAsia="ru-RU"/>
        </w:rPr>
        <w:t xml:space="preserve"> </w:t>
      </w:r>
    </w:p>
    <w:p w14:paraId="30E6A90D"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Style w:val="fontstyle01"/>
          <w:rFonts w:ascii="Times New Roman" w:hAnsi="Times New Roman" w:cs="Times New Roman"/>
          <w:b w:val="0"/>
          <w:bCs w:val="0"/>
          <w:color w:val="0563C1" w:themeColor="hyperlink"/>
          <w:sz w:val="20"/>
          <w:szCs w:val="20"/>
          <w:u w:val="single"/>
        </w:rPr>
      </w:pPr>
      <w:proofErr w:type="spellStart"/>
      <w:r w:rsidRPr="002D73E1">
        <w:rPr>
          <w:rFonts w:ascii="Times New Roman" w:hAnsi="Times New Roman" w:cs="Times New Roman"/>
          <w:sz w:val="20"/>
          <w:szCs w:val="20"/>
        </w:rPr>
        <w:t>Khamzaev</w:t>
      </w:r>
      <w:proofErr w:type="spellEnd"/>
      <w:r w:rsidRPr="002D73E1">
        <w:rPr>
          <w:rFonts w:ascii="Times New Roman" w:hAnsi="Times New Roman" w:cs="Times New Roman"/>
          <w:sz w:val="20"/>
          <w:szCs w:val="20"/>
        </w:rPr>
        <w:t xml:space="preserve"> A.A., </w:t>
      </w:r>
      <w:proofErr w:type="spellStart"/>
      <w:r w:rsidRPr="002D73E1">
        <w:rPr>
          <w:rFonts w:ascii="Times New Roman" w:hAnsi="Times New Roman" w:cs="Times New Roman"/>
          <w:sz w:val="20"/>
          <w:szCs w:val="20"/>
        </w:rPr>
        <w:t>Mambetsheripova</w:t>
      </w:r>
      <w:proofErr w:type="spellEnd"/>
      <w:r w:rsidRPr="002D73E1">
        <w:rPr>
          <w:rFonts w:ascii="Times New Roman" w:hAnsi="Times New Roman" w:cs="Times New Roman"/>
          <w:sz w:val="20"/>
          <w:szCs w:val="20"/>
        </w:rPr>
        <w:t xml:space="preserve"> A., </w:t>
      </w:r>
      <w:proofErr w:type="spellStart"/>
      <w:r w:rsidRPr="002D73E1">
        <w:rPr>
          <w:rFonts w:ascii="Times New Roman" w:hAnsi="Times New Roman" w:cs="Times New Roman"/>
          <w:sz w:val="20"/>
          <w:szCs w:val="20"/>
        </w:rPr>
        <w:t>Arislanbek</w:t>
      </w:r>
      <w:proofErr w:type="spellEnd"/>
      <w:r w:rsidRPr="002D73E1">
        <w:rPr>
          <w:rFonts w:ascii="Times New Roman" w:hAnsi="Times New Roman" w:cs="Times New Roman"/>
          <w:sz w:val="20"/>
          <w:szCs w:val="20"/>
        </w:rPr>
        <w:t xml:space="preserve"> N. </w:t>
      </w:r>
      <w:r w:rsidRPr="002D73E1">
        <w:rPr>
          <w:rStyle w:val="fontstyle01"/>
          <w:rFonts w:ascii="Times New Roman" w:hAnsi="Times New Roman" w:cs="Times New Roman"/>
          <w:b w:val="0"/>
          <w:sz w:val="20"/>
          <w:szCs w:val="20"/>
        </w:rPr>
        <w:t>Thyristor-based control for high-power and high-voltage synchronous electric drives in ball mill operations/</w:t>
      </w:r>
      <w:r w:rsidRPr="002D73E1">
        <w:rPr>
          <w:rFonts w:ascii="Times New Roman" w:hAnsi="Times New Roman" w:cs="Times New Roman"/>
          <w:b/>
          <w:sz w:val="20"/>
          <w:szCs w:val="20"/>
        </w:rPr>
        <w:t xml:space="preserve"> </w:t>
      </w:r>
      <w:r w:rsidRPr="002D73E1">
        <w:rPr>
          <w:rStyle w:val="fontstyle01"/>
          <w:rFonts w:ascii="Times New Roman" w:hAnsi="Times New Roman" w:cs="Times New Roman"/>
          <w:b w:val="0"/>
          <w:sz w:val="20"/>
          <w:szCs w:val="20"/>
        </w:rPr>
        <w:t>E3S Web Conf. Volume 498, 2024/ III International Conference on Actual Problems of the Energy Complex: Mining, Production, Transmission, Processing and Environmental Protection (ICAPE2024) DOI</w:t>
      </w:r>
      <w:r w:rsidRPr="002D73E1">
        <w:rPr>
          <w:rStyle w:val="fontstyle01"/>
          <w:rFonts w:ascii="Times New Roman" w:hAnsi="Times New Roman" w:cs="Times New Roman"/>
          <w:sz w:val="20"/>
          <w:szCs w:val="20"/>
        </w:rPr>
        <w:t xml:space="preserve">: </w:t>
      </w:r>
      <w:hyperlink r:id="rId19" w:history="1">
        <w:r w:rsidRPr="002D73E1">
          <w:rPr>
            <w:rStyle w:val="a6"/>
            <w:rFonts w:ascii="Times New Roman" w:hAnsi="Times New Roman" w:cs="Times New Roman"/>
            <w:sz w:val="20"/>
            <w:szCs w:val="20"/>
          </w:rPr>
          <w:t>https://doi.org/10.1051/e3sconf/202449801011</w:t>
        </w:r>
      </w:hyperlink>
      <w:r w:rsidRPr="002D73E1">
        <w:rPr>
          <w:rStyle w:val="fontstyle01"/>
          <w:rFonts w:ascii="Times New Roman" w:hAnsi="Times New Roman" w:cs="Times New Roman"/>
          <w:sz w:val="20"/>
          <w:szCs w:val="20"/>
        </w:rPr>
        <w:t xml:space="preserve"> </w:t>
      </w:r>
    </w:p>
    <w:p w14:paraId="28DA6EAF"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Style w:val="highlight-module1p2so"/>
          <w:rFonts w:ascii="Times New Roman" w:hAnsi="Times New Roman" w:cs="Times New Roman"/>
          <w:color w:val="0563C1" w:themeColor="hyperlink"/>
          <w:sz w:val="20"/>
          <w:szCs w:val="20"/>
          <w:u w:val="single"/>
        </w:rPr>
      </w:pPr>
      <w:proofErr w:type="spellStart"/>
      <w:r w:rsidRPr="002D73E1">
        <w:rPr>
          <w:rFonts w:ascii="Times New Roman" w:hAnsi="Times New Roman" w:cs="Times New Roman"/>
          <w:sz w:val="20"/>
          <w:szCs w:val="20"/>
        </w:rPr>
        <w:t>Toshov</w:t>
      </w:r>
      <w:proofErr w:type="spellEnd"/>
      <w:r w:rsidRPr="002D73E1">
        <w:rPr>
          <w:rFonts w:ascii="Times New Roman" w:hAnsi="Times New Roman" w:cs="Times New Roman"/>
          <w:sz w:val="20"/>
          <w:szCs w:val="20"/>
        </w:rPr>
        <w:t xml:space="preserve"> B.R., </w:t>
      </w:r>
      <w:proofErr w:type="spellStart"/>
      <w:r w:rsidRPr="002D73E1">
        <w:rPr>
          <w:rFonts w:ascii="Times New Roman" w:hAnsi="Times New Roman" w:cs="Times New Roman"/>
          <w:sz w:val="20"/>
          <w:szCs w:val="20"/>
        </w:rPr>
        <w:t>Khamzaev</w:t>
      </w:r>
      <w:proofErr w:type="spellEnd"/>
      <w:r w:rsidRPr="002D73E1">
        <w:rPr>
          <w:rFonts w:ascii="Times New Roman" w:hAnsi="Times New Roman" w:cs="Times New Roman"/>
          <w:sz w:val="20"/>
          <w:szCs w:val="20"/>
        </w:rPr>
        <w:t xml:space="preserve"> A.A. </w:t>
      </w:r>
      <w:r w:rsidRPr="002D73E1">
        <w:rPr>
          <w:rStyle w:val="highlight-module1p2so"/>
          <w:rFonts w:ascii="Times New Roman" w:hAnsi="Times New Roman" w:cs="Times New Roman"/>
          <w:bCs/>
          <w:sz w:val="20"/>
          <w:szCs w:val="20"/>
        </w:rPr>
        <w:t xml:space="preserve">Development of Technical Solutions for the Improvement of the Smooth Starting Method of High Voltage and Powerful Asynchronous Motors/AIP Conference Proceedings 2552, 040018 (2023); </w:t>
      </w:r>
      <w:hyperlink r:id="rId20" w:history="1">
        <w:r w:rsidRPr="002D73E1">
          <w:rPr>
            <w:rStyle w:val="a6"/>
            <w:rFonts w:ascii="Times New Roman" w:hAnsi="Times New Roman" w:cs="Times New Roman"/>
            <w:bCs/>
            <w:sz w:val="20"/>
            <w:szCs w:val="20"/>
          </w:rPr>
          <w:t>https://doi.org/10.1063/5.0116131</w:t>
        </w:r>
      </w:hyperlink>
      <w:r w:rsidRPr="002D73E1">
        <w:rPr>
          <w:rStyle w:val="highlight-module1p2so"/>
          <w:rFonts w:ascii="Times New Roman" w:hAnsi="Times New Roman" w:cs="Times New Roman"/>
          <w:bCs/>
          <w:sz w:val="20"/>
          <w:szCs w:val="20"/>
        </w:rPr>
        <w:t xml:space="preserve">   Volume 2552, Issue 1; 5 January 2023  </w:t>
      </w:r>
    </w:p>
    <w:p w14:paraId="3E24A630"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proofErr w:type="spellStart"/>
      <w:r w:rsidRPr="002D73E1">
        <w:rPr>
          <w:rFonts w:ascii="Times New Roman" w:hAnsi="Times New Roman" w:cs="Times New Roman"/>
          <w:sz w:val="20"/>
          <w:szCs w:val="20"/>
        </w:rPr>
        <w:t>Toshov</w:t>
      </w:r>
      <w:proofErr w:type="spellEnd"/>
      <w:r w:rsidRPr="002D73E1">
        <w:rPr>
          <w:rFonts w:ascii="Times New Roman" w:hAnsi="Times New Roman" w:cs="Times New Roman"/>
          <w:sz w:val="20"/>
          <w:szCs w:val="20"/>
        </w:rPr>
        <w:t xml:space="preserve"> B.R., </w:t>
      </w:r>
      <w:proofErr w:type="spellStart"/>
      <w:r w:rsidRPr="002D73E1">
        <w:rPr>
          <w:rFonts w:ascii="Times New Roman" w:hAnsi="Times New Roman" w:cs="Times New Roman"/>
          <w:sz w:val="20"/>
          <w:szCs w:val="20"/>
        </w:rPr>
        <w:t>Khamzaev</w:t>
      </w:r>
      <w:proofErr w:type="spellEnd"/>
      <w:r w:rsidRPr="002D73E1">
        <w:rPr>
          <w:rFonts w:ascii="Times New Roman" w:hAnsi="Times New Roman" w:cs="Times New Roman"/>
          <w:sz w:val="20"/>
          <w:szCs w:val="20"/>
        </w:rPr>
        <w:t xml:space="preserve"> A.A.,</w:t>
      </w:r>
      <w:r w:rsidRPr="002D73E1">
        <w:rPr>
          <w:rFonts w:ascii="Times New Roman" w:hAnsi="Times New Roman" w:cs="Times New Roman"/>
          <w:color w:val="000000"/>
          <w:sz w:val="20"/>
          <w:szCs w:val="20"/>
        </w:rPr>
        <w:t xml:space="preserve"> </w:t>
      </w:r>
      <w:proofErr w:type="spellStart"/>
      <w:r w:rsidRPr="002D73E1">
        <w:rPr>
          <w:rFonts w:ascii="Times New Roman" w:hAnsi="Times New Roman" w:cs="Times New Roman"/>
          <w:color w:val="000000"/>
          <w:sz w:val="20"/>
          <w:szCs w:val="20"/>
        </w:rPr>
        <w:t>Sadovnikov</w:t>
      </w:r>
      <w:proofErr w:type="spellEnd"/>
      <w:r w:rsidRPr="002D73E1">
        <w:rPr>
          <w:rFonts w:ascii="Times New Roman" w:hAnsi="Times New Roman" w:cs="Times New Roman"/>
          <w:color w:val="000000"/>
          <w:sz w:val="20"/>
          <w:szCs w:val="20"/>
        </w:rPr>
        <w:t xml:space="preserve"> M.E., </w:t>
      </w:r>
      <w:proofErr w:type="spellStart"/>
      <w:r w:rsidRPr="002D73E1">
        <w:rPr>
          <w:rFonts w:ascii="Times New Roman" w:hAnsi="Times New Roman" w:cs="Times New Roman"/>
          <w:color w:val="000000"/>
          <w:sz w:val="20"/>
          <w:szCs w:val="20"/>
        </w:rPr>
        <w:t>Rakhmatov</w:t>
      </w:r>
      <w:proofErr w:type="spellEnd"/>
      <w:r w:rsidRPr="002D73E1">
        <w:rPr>
          <w:rFonts w:ascii="Times New Roman" w:hAnsi="Times New Roman" w:cs="Times New Roman"/>
          <w:color w:val="000000"/>
          <w:sz w:val="20"/>
          <w:szCs w:val="20"/>
        </w:rPr>
        <w:t xml:space="preserve"> B., Abdurakhmanov U./</w:t>
      </w:r>
      <w:r w:rsidRPr="002D73E1">
        <w:rPr>
          <w:rFonts w:ascii="Times New Roman" w:hAnsi="Times New Roman" w:cs="Times New Roman"/>
          <w:bCs/>
          <w:color w:val="111111"/>
          <w:sz w:val="20"/>
          <w:szCs w:val="20"/>
          <w:shd w:val="clear" w:color="auto" w:fill="FFFFFF"/>
        </w:rPr>
        <w:t xml:space="preserve"> Automation measures for mine fan</w:t>
      </w:r>
      <w:r w:rsidRPr="002D73E1">
        <w:rPr>
          <w:rFonts w:ascii="Times New Roman" w:hAnsi="Times New Roman" w:cs="Times New Roman"/>
          <w:bCs/>
          <w:i/>
          <w:iCs/>
          <w:color w:val="111111"/>
          <w:sz w:val="20"/>
          <w:szCs w:val="20"/>
          <w:shd w:val="clear" w:color="auto" w:fill="FFFFFF"/>
        </w:rPr>
        <w:t xml:space="preserve"> </w:t>
      </w:r>
      <w:r w:rsidRPr="002D73E1">
        <w:rPr>
          <w:rFonts w:ascii="Times New Roman" w:hAnsi="Times New Roman" w:cs="Times New Roman"/>
          <w:bCs/>
          <w:color w:val="111111"/>
          <w:sz w:val="20"/>
          <w:szCs w:val="20"/>
          <w:shd w:val="clear" w:color="auto" w:fill="FFFFFF"/>
        </w:rPr>
        <w:t>installations/</w:t>
      </w:r>
      <w:r w:rsidRPr="002D73E1">
        <w:rPr>
          <w:rFonts w:ascii="Times New Roman" w:hAnsi="Times New Roman" w:cs="Times New Roman"/>
          <w:color w:val="000000"/>
          <w:sz w:val="20"/>
          <w:szCs w:val="20"/>
        </w:rPr>
        <w:t xml:space="preserve"> SPIE 12986, Third International Scientific and Practical Symposium on Materials Science and Technology (MST-III 2023), 129860R (19 January 2024); </w:t>
      </w:r>
      <w:proofErr w:type="spellStart"/>
      <w:r w:rsidRPr="002D73E1">
        <w:rPr>
          <w:rFonts w:ascii="Times New Roman" w:hAnsi="Times New Roman" w:cs="Times New Roman"/>
          <w:color w:val="000000"/>
          <w:sz w:val="20"/>
          <w:szCs w:val="20"/>
        </w:rPr>
        <w:t>doi</w:t>
      </w:r>
      <w:proofErr w:type="spellEnd"/>
      <w:r w:rsidRPr="002D73E1">
        <w:rPr>
          <w:rFonts w:ascii="Times New Roman" w:hAnsi="Times New Roman" w:cs="Times New Roman"/>
          <w:color w:val="000000"/>
          <w:sz w:val="20"/>
          <w:szCs w:val="20"/>
        </w:rPr>
        <w:t>: 10.1117/12.3017728. Third International Scientific and Practical Symposium on Materials Science and Technology (MST-III 2023), 2023, Dushanbe, Tajikistan.</w:t>
      </w:r>
    </w:p>
    <w:p w14:paraId="5214F7C7"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proofErr w:type="spellStart"/>
      <w:r w:rsidRPr="002D73E1">
        <w:rPr>
          <w:rFonts w:ascii="Times New Roman" w:hAnsi="Times New Roman" w:cs="Times New Roman"/>
          <w:bCs/>
          <w:color w:val="111111"/>
          <w:sz w:val="20"/>
          <w:szCs w:val="20"/>
          <w:shd w:val="clear" w:color="auto" w:fill="FFFFFF"/>
        </w:rPr>
        <w:t>Toshov</w:t>
      </w:r>
      <w:proofErr w:type="spellEnd"/>
      <w:r w:rsidRPr="002D73E1">
        <w:rPr>
          <w:rFonts w:ascii="Times New Roman" w:hAnsi="Times New Roman" w:cs="Times New Roman"/>
          <w:bCs/>
          <w:color w:val="111111"/>
          <w:sz w:val="20"/>
          <w:szCs w:val="20"/>
          <w:shd w:val="clear" w:color="auto" w:fill="FFFFFF"/>
        </w:rPr>
        <w:t xml:space="preserve"> B.R., </w:t>
      </w:r>
      <w:proofErr w:type="spellStart"/>
      <w:r w:rsidRPr="002D73E1">
        <w:rPr>
          <w:rFonts w:ascii="Times New Roman" w:hAnsi="Times New Roman" w:cs="Times New Roman"/>
          <w:sz w:val="20"/>
          <w:szCs w:val="20"/>
        </w:rPr>
        <w:t>Khamzaev</w:t>
      </w:r>
      <w:proofErr w:type="spellEnd"/>
      <w:r w:rsidRPr="002D73E1">
        <w:rPr>
          <w:rFonts w:ascii="Times New Roman" w:hAnsi="Times New Roman" w:cs="Times New Roman"/>
          <w:sz w:val="20"/>
          <w:szCs w:val="20"/>
        </w:rPr>
        <w:t xml:space="preserve"> A.A., </w:t>
      </w:r>
      <w:proofErr w:type="spellStart"/>
      <w:r w:rsidRPr="002D73E1">
        <w:rPr>
          <w:rFonts w:ascii="Times New Roman" w:hAnsi="Times New Roman" w:cs="Times New Roman"/>
          <w:bCs/>
          <w:color w:val="111111"/>
          <w:sz w:val="20"/>
          <w:szCs w:val="20"/>
          <w:shd w:val="clear" w:color="auto" w:fill="FFFFFF"/>
        </w:rPr>
        <w:t>Namozova</w:t>
      </w:r>
      <w:proofErr w:type="spellEnd"/>
      <w:r w:rsidRPr="002D73E1">
        <w:rPr>
          <w:rFonts w:ascii="Times New Roman" w:hAnsi="Times New Roman" w:cs="Times New Roman"/>
          <w:bCs/>
          <w:color w:val="111111"/>
          <w:sz w:val="20"/>
          <w:szCs w:val="20"/>
          <w:shd w:val="clear" w:color="auto" w:fill="FFFFFF"/>
        </w:rPr>
        <w:t xml:space="preserve"> </w:t>
      </w:r>
      <w:proofErr w:type="spellStart"/>
      <w:r w:rsidRPr="002D73E1">
        <w:rPr>
          <w:rFonts w:ascii="Times New Roman" w:hAnsi="Times New Roman" w:cs="Times New Roman"/>
          <w:bCs/>
          <w:color w:val="111111"/>
          <w:sz w:val="20"/>
          <w:szCs w:val="20"/>
          <w:shd w:val="clear" w:color="auto" w:fill="FFFFFF"/>
        </w:rPr>
        <w:t>Sh.</w:t>
      </w:r>
      <w:proofErr w:type="gramStart"/>
      <w:r w:rsidRPr="002D73E1">
        <w:rPr>
          <w:rFonts w:ascii="Times New Roman" w:hAnsi="Times New Roman" w:cs="Times New Roman"/>
          <w:bCs/>
          <w:color w:val="111111"/>
          <w:sz w:val="20"/>
          <w:szCs w:val="20"/>
          <w:shd w:val="clear" w:color="auto" w:fill="FFFFFF"/>
        </w:rPr>
        <w:t>R.Development</w:t>
      </w:r>
      <w:proofErr w:type="spellEnd"/>
      <w:proofErr w:type="gramEnd"/>
      <w:r w:rsidRPr="002D73E1">
        <w:rPr>
          <w:rFonts w:ascii="Times New Roman" w:hAnsi="Times New Roman" w:cs="Times New Roman"/>
          <w:bCs/>
          <w:color w:val="111111"/>
          <w:sz w:val="20"/>
          <w:szCs w:val="20"/>
          <w:shd w:val="clear" w:color="auto" w:fill="FFFFFF"/>
        </w:rPr>
        <w:t xml:space="preserve"> of a circuit for automatic control of an electric ball mill drive. AIP Conference Proceedings 2552, 040017 (2023) Volume 2552, Issue 1; 5 January 2023.</w:t>
      </w:r>
    </w:p>
    <w:p w14:paraId="4E8773F3"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hyperlink r:id="rId21" w:history="1">
        <w:r w:rsidRPr="002D73E1">
          <w:rPr>
            <w:rStyle w:val="typography-modulelvnit"/>
            <w:rFonts w:ascii="Times New Roman" w:hAnsi="Times New Roman" w:cs="Times New Roman"/>
            <w:sz w:val="20"/>
            <w:szCs w:val="20"/>
            <w:bdr w:val="none" w:sz="0" w:space="0" w:color="auto" w:frame="1"/>
            <w:shd w:val="clear" w:color="auto" w:fill="FFFFFF"/>
          </w:rPr>
          <w:t>Toirov, O.</w:t>
        </w:r>
      </w:hyperlink>
      <w:r w:rsidRPr="002D73E1">
        <w:rPr>
          <w:rFonts w:ascii="Times New Roman" w:hAnsi="Times New Roman" w:cs="Times New Roman"/>
          <w:sz w:val="20"/>
          <w:szCs w:val="20"/>
          <w:shd w:val="clear" w:color="auto" w:fill="FFFFFF"/>
        </w:rPr>
        <w:t>,</w:t>
      </w:r>
      <w:proofErr w:type="spellStart"/>
      <w:r w:rsidRPr="002D73E1">
        <w:rPr>
          <w:rFonts w:ascii="Times New Roman" w:hAnsi="Times New Roman" w:cs="Times New Roman"/>
          <w:sz w:val="20"/>
          <w:szCs w:val="20"/>
          <w:shd w:val="clear" w:color="auto" w:fill="FFFFFF"/>
        </w:rPr>
        <w:fldChar w:fldCharType="begin"/>
      </w:r>
      <w:r w:rsidRPr="002D73E1">
        <w:rPr>
          <w:rFonts w:ascii="Times New Roman" w:hAnsi="Times New Roman" w:cs="Times New Roman"/>
          <w:sz w:val="20"/>
          <w:szCs w:val="20"/>
          <w:shd w:val="clear" w:color="auto" w:fill="FFFFFF"/>
        </w:rPr>
        <w:instrText xml:space="preserve"> HYPERLINK "https://www.scopus.com/authid/detail.uri?authorId=6506281501" </w:instrText>
      </w:r>
      <w:r w:rsidRPr="002D73E1">
        <w:rPr>
          <w:rFonts w:ascii="Times New Roman" w:hAnsi="Times New Roman" w:cs="Times New Roman"/>
          <w:sz w:val="20"/>
          <w:szCs w:val="20"/>
          <w:shd w:val="clear" w:color="auto" w:fill="FFFFFF"/>
        </w:rPr>
      </w:r>
      <w:r w:rsidRPr="002D73E1">
        <w:rPr>
          <w:rFonts w:ascii="Times New Roman" w:hAnsi="Times New Roman" w:cs="Times New Roman"/>
          <w:sz w:val="20"/>
          <w:szCs w:val="20"/>
          <w:shd w:val="clear" w:color="auto" w:fill="FFFFFF"/>
        </w:rPr>
        <w:fldChar w:fldCharType="separate"/>
      </w:r>
      <w:r w:rsidRPr="002D73E1">
        <w:rPr>
          <w:rStyle w:val="typography-modulelvnit"/>
          <w:rFonts w:ascii="Times New Roman" w:hAnsi="Times New Roman" w:cs="Times New Roman"/>
          <w:sz w:val="20"/>
          <w:szCs w:val="20"/>
          <w:bdr w:val="none" w:sz="0" w:space="0" w:color="auto" w:frame="1"/>
          <w:shd w:val="clear" w:color="auto" w:fill="FFFFFF"/>
        </w:rPr>
        <w:t>Pirmatov</w:t>
      </w:r>
      <w:proofErr w:type="spellEnd"/>
      <w:r w:rsidRPr="002D73E1">
        <w:rPr>
          <w:rStyle w:val="typography-modulelvnit"/>
          <w:rFonts w:ascii="Times New Roman" w:hAnsi="Times New Roman" w:cs="Times New Roman"/>
          <w:sz w:val="20"/>
          <w:szCs w:val="20"/>
          <w:bdr w:val="none" w:sz="0" w:space="0" w:color="auto" w:frame="1"/>
          <w:shd w:val="clear" w:color="auto" w:fill="FFFFFF"/>
        </w:rPr>
        <w:t>, N.</w:t>
      </w:r>
      <w:r w:rsidRPr="002D73E1">
        <w:rPr>
          <w:rFonts w:ascii="Times New Roman" w:hAnsi="Times New Roman" w:cs="Times New Roman"/>
          <w:sz w:val="20"/>
          <w:szCs w:val="20"/>
          <w:shd w:val="clear" w:color="auto" w:fill="FFFFFF"/>
        </w:rPr>
        <w:fldChar w:fldCharType="end"/>
      </w:r>
      <w:r w:rsidRPr="002D73E1">
        <w:rPr>
          <w:rFonts w:ascii="Times New Roman" w:hAnsi="Times New Roman" w:cs="Times New Roman"/>
          <w:sz w:val="20"/>
          <w:szCs w:val="20"/>
          <w:shd w:val="clear" w:color="auto" w:fill="FFFFFF"/>
        </w:rPr>
        <w:t>,</w:t>
      </w:r>
      <w:proofErr w:type="spellStart"/>
      <w:r w:rsidRPr="002D73E1">
        <w:rPr>
          <w:rFonts w:ascii="Times New Roman" w:hAnsi="Times New Roman" w:cs="Times New Roman"/>
          <w:sz w:val="20"/>
          <w:szCs w:val="20"/>
          <w:shd w:val="clear" w:color="auto" w:fill="FFFFFF"/>
        </w:rPr>
        <w:fldChar w:fldCharType="begin"/>
      </w:r>
      <w:r w:rsidRPr="002D73E1">
        <w:rPr>
          <w:rFonts w:ascii="Times New Roman" w:hAnsi="Times New Roman" w:cs="Times New Roman"/>
          <w:sz w:val="20"/>
          <w:szCs w:val="20"/>
          <w:shd w:val="clear" w:color="auto" w:fill="FFFFFF"/>
        </w:rPr>
        <w:instrText xml:space="preserve"> HYPERLINK "https://www.scopus.com/authid/detail.uri?authorId=58561258700" </w:instrText>
      </w:r>
      <w:r w:rsidRPr="002D73E1">
        <w:rPr>
          <w:rFonts w:ascii="Times New Roman" w:hAnsi="Times New Roman" w:cs="Times New Roman"/>
          <w:sz w:val="20"/>
          <w:szCs w:val="20"/>
          <w:shd w:val="clear" w:color="auto" w:fill="FFFFFF"/>
        </w:rPr>
      </w:r>
      <w:r w:rsidRPr="002D73E1">
        <w:rPr>
          <w:rFonts w:ascii="Times New Roman" w:hAnsi="Times New Roman" w:cs="Times New Roman"/>
          <w:sz w:val="20"/>
          <w:szCs w:val="20"/>
          <w:shd w:val="clear" w:color="auto" w:fill="FFFFFF"/>
        </w:rPr>
        <w:fldChar w:fldCharType="separate"/>
      </w:r>
      <w:r w:rsidRPr="002D73E1">
        <w:rPr>
          <w:rStyle w:val="typography-modulelvnit"/>
          <w:rFonts w:ascii="Times New Roman" w:hAnsi="Times New Roman" w:cs="Times New Roman"/>
          <w:sz w:val="20"/>
          <w:szCs w:val="20"/>
          <w:bdr w:val="none" w:sz="0" w:space="0" w:color="auto" w:frame="1"/>
          <w:shd w:val="clear" w:color="auto" w:fill="FFFFFF"/>
        </w:rPr>
        <w:t>Khalbutaeva</w:t>
      </w:r>
      <w:proofErr w:type="spellEnd"/>
      <w:r w:rsidRPr="002D73E1">
        <w:rPr>
          <w:rStyle w:val="typography-modulelvnit"/>
          <w:rFonts w:ascii="Times New Roman" w:hAnsi="Times New Roman" w:cs="Times New Roman"/>
          <w:sz w:val="20"/>
          <w:szCs w:val="20"/>
          <w:bdr w:val="none" w:sz="0" w:space="0" w:color="auto" w:frame="1"/>
          <w:shd w:val="clear" w:color="auto" w:fill="FFFFFF"/>
        </w:rPr>
        <w:t>, A.</w:t>
      </w:r>
      <w:r w:rsidRPr="002D73E1">
        <w:rPr>
          <w:rFonts w:ascii="Times New Roman" w:hAnsi="Times New Roman" w:cs="Times New Roman"/>
          <w:sz w:val="20"/>
          <w:szCs w:val="20"/>
          <w:shd w:val="clear" w:color="auto" w:fill="FFFFFF"/>
        </w:rPr>
        <w:fldChar w:fldCharType="end"/>
      </w:r>
      <w:r w:rsidRPr="002D73E1">
        <w:rPr>
          <w:rFonts w:ascii="Times New Roman" w:hAnsi="Times New Roman" w:cs="Times New Roman"/>
          <w:sz w:val="20"/>
          <w:szCs w:val="20"/>
          <w:shd w:val="clear" w:color="auto" w:fill="FFFFFF"/>
        </w:rPr>
        <w:t>,</w:t>
      </w:r>
      <w:proofErr w:type="spellStart"/>
      <w:r w:rsidRPr="002D73E1">
        <w:rPr>
          <w:rFonts w:ascii="Times New Roman" w:hAnsi="Times New Roman" w:cs="Times New Roman"/>
          <w:sz w:val="20"/>
          <w:szCs w:val="20"/>
          <w:shd w:val="clear" w:color="auto" w:fill="FFFFFF"/>
        </w:rPr>
        <w:fldChar w:fldCharType="begin"/>
      </w:r>
      <w:r w:rsidRPr="002D73E1">
        <w:rPr>
          <w:rFonts w:ascii="Times New Roman" w:hAnsi="Times New Roman" w:cs="Times New Roman"/>
          <w:sz w:val="20"/>
          <w:szCs w:val="20"/>
          <w:shd w:val="clear" w:color="auto" w:fill="FFFFFF"/>
        </w:rPr>
        <w:instrText xml:space="preserve"> HYPERLINK "https://www.scopus.com/authid/detail.uri?authorId=57729949300" </w:instrText>
      </w:r>
      <w:r w:rsidRPr="002D73E1">
        <w:rPr>
          <w:rFonts w:ascii="Times New Roman" w:hAnsi="Times New Roman" w:cs="Times New Roman"/>
          <w:sz w:val="20"/>
          <w:szCs w:val="20"/>
          <w:shd w:val="clear" w:color="auto" w:fill="FFFFFF"/>
        </w:rPr>
      </w:r>
      <w:r w:rsidRPr="002D73E1">
        <w:rPr>
          <w:rFonts w:ascii="Times New Roman" w:hAnsi="Times New Roman" w:cs="Times New Roman"/>
          <w:sz w:val="20"/>
          <w:szCs w:val="20"/>
          <w:shd w:val="clear" w:color="auto" w:fill="FFFFFF"/>
        </w:rPr>
        <w:fldChar w:fldCharType="separate"/>
      </w:r>
      <w:r w:rsidRPr="002D73E1">
        <w:rPr>
          <w:rStyle w:val="typography-modulelvnit"/>
          <w:rFonts w:ascii="Times New Roman" w:hAnsi="Times New Roman" w:cs="Times New Roman"/>
          <w:sz w:val="20"/>
          <w:szCs w:val="20"/>
          <w:bdr w:val="none" w:sz="0" w:space="0" w:color="auto" w:frame="1"/>
          <w:shd w:val="clear" w:color="auto" w:fill="FFFFFF"/>
        </w:rPr>
        <w:t>Jumaeva</w:t>
      </w:r>
      <w:proofErr w:type="spellEnd"/>
      <w:r w:rsidRPr="002D73E1">
        <w:rPr>
          <w:rStyle w:val="typography-modulelvnit"/>
          <w:rFonts w:ascii="Times New Roman" w:hAnsi="Times New Roman" w:cs="Times New Roman"/>
          <w:sz w:val="20"/>
          <w:szCs w:val="20"/>
          <w:bdr w:val="none" w:sz="0" w:space="0" w:color="auto" w:frame="1"/>
          <w:shd w:val="clear" w:color="auto" w:fill="FFFFFF"/>
        </w:rPr>
        <w:t>, D.</w:t>
      </w:r>
      <w:r w:rsidRPr="002D73E1">
        <w:rPr>
          <w:rFonts w:ascii="Times New Roman" w:hAnsi="Times New Roman" w:cs="Times New Roman"/>
          <w:sz w:val="20"/>
          <w:szCs w:val="20"/>
          <w:shd w:val="clear" w:color="auto" w:fill="FFFFFF"/>
        </w:rPr>
        <w:fldChar w:fldCharType="end"/>
      </w:r>
      <w:r w:rsidRPr="002D73E1">
        <w:rPr>
          <w:rFonts w:ascii="Times New Roman" w:hAnsi="Times New Roman" w:cs="Times New Roman"/>
          <w:sz w:val="20"/>
          <w:szCs w:val="20"/>
          <w:shd w:val="clear" w:color="auto" w:fill="FFFFFF"/>
        </w:rPr>
        <w:t>,</w:t>
      </w:r>
      <w:proofErr w:type="spellStart"/>
      <w:r w:rsidRPr="002D73E1">
        <w:rPr>
          <w:rFonts w:ascii="Times New Roman" w:hAnsi="Times New Roman" w:cs="Times New Roman"/>
          <w:sz w:val="20"/>
          <w:szCs w:val="20"/>
          <w:shd w:val="clear" w:color="auto" w:fill="FFFFFF"/>
        </w:rPr>
        <w:fldChar w:fldCharType="begin"/>
      </w:r>
      <w:r w:rsidRPr="002D73E1">
        <w:rPr>
          <w:rFonts w:ascii="Times New Roman" w:hAnsi="Times New Roman" w:cs="Times New Roman"/>
          <w:sz w:val="20"/>
          <w:szCs w:val="20"/>
          <w:shd w:val="clear" w:color="auto" w:fill="FFFFFF"/>
        </w:rPr>
        <w:instrText xml:space="preserve"> HYPERLINK "https://www.scopus.com/authid/detail.uri?authorId=58947489500" </w:instrText>
      </w:r>
      <w:r w:rsidRPr="002D73E1">
        <w:rPr>
          <w:rFonts w:ascii="Times New Roman" w:hAnsi="Times New Roman" w:cs="Times New Roman"/>
          <w:sz w:val="20"/>
          <w:szCs w:val="20"/>
          <w:shd w:val="clear" w:color="auto" w:fill="FFFFFF"/>
        </w:rPr>
      </w:r>
      <w:r w:rsidRPr="002D73E1">
        <w:rPr>
          <w:rFonts w:ascii="Times New Roman" w:hAnsi="Times New Roman" w:cs="Times New Roman"/>
          <w:sz w:val="20"/>
          <w:szCs w:val="20"/>
          <w:shd w:val="clear" w:color="auto" w:fill="FFFFFF"/>
        </w:rPr>
        <w:fldChar w:fldCharType="separate"/>
      </w:r>
      <w:r w:rsidRPr="002D73E1">
        <w:rPr>
          <w:rStyle w:val="typography-modulelvnit"/>
          <w:rFonts w:ascii="Times New Roman" w:hAnsi="Times New Roman" w:cs="Times New Roman"/>
          <w:sz w:val="20"/>
          <w:szCs w:val="20"/>
          <w:bdr w:val="none" w:sz="0" w:space="0" w:color="auto" w:frame="1"/>
          <w:shd w:val="clear" w:color="auto" w:fill="FFFFFF"/>
        </w:rPr>
        <w:t>Khamzaev</w:t>
      </w:r>
      <w:proofErr w:type="spellEnd"/>
      <w:r w:rsidRPr="002D73E1">
        <w:rPr>
          <w:rStyle w:val="typography-modulelvnit"/>
          <w:rFonts w:ascii="Times New Roman" w:hAnsi="Times New Roman" w:cs="Times New Roman"/>
          <w:sz w:val="20"/>
          <w:szCs w:val="20"/>
          <w:bdr w:val="none" w:sz="0" w:space="0" w:color="auto" w:frame="1"/>
          <w:shd w:val="clear" w:color="auto" w:fill="FFFFFF"/>
        </w:rPr>
        <w:t>, A.</w:t>
      </w:r>
      <w:r w:rsidRPr="002D73E1">
        <w:rPr>
          <w:rFonts w:ascii="Times New Roman" w:hAnsi="Times New Roman" w:cs="Times New Roman"/>
          <w:sz w:val="20"/>
          <w:szCs w:val="20"/>
          <w:shd w:val="clear" w:color="auto" w:fill="FFFFFF"/>
        </w:rPr>
        <w:fldChar w:fldCharType="end"/>
      </w:r>
      <w:r w:rsidRPr="002D73E1">
        <w:rPr>
          <w:rFonts w:ascii="Times New Roman" w:hAnsi="Times New Roman" w:cs="Times New Roman"/>
          <w:sz w:val="20"/>
          <w:szCs w:val="20"/>
          <w:shd w:val="clear" w:color="auto" w:fill="FFFFFF"/>
        </w:rPr>
        <w:t xml:space="preserve"> Method of calculation of the magnetic induction of the stator winding of a spiritual synchronous motor. E3S Web of Conferences., 2023, 401, 04033</w:t>
      </w:r>
    </w:p>
    <w:p w14:paraId="3D276B4C"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2D73E1">
        <w:rPr>
          <w:rFonts w:ascii="Times New Roman" w:hAnsi="Times New Roman" w:cs="Times New Roman"/>
          <w:sz w:val="20"/>
          <w:szCs w:val="20"/>
        </w:rPr>
        <w:t xml:space="preserve">A. S. Zhuraev, S. A. Turdiyev, S. T. Jurayev, and S.S. Q. Salimova, "Characteristics of packing gland seals in hydraulic systems of quarry excavators and results of comparative analysis of experimental tests," </w:t>
      </w:r>
      <w:proofErr w:type="spellStart"/>
      <w:r w:rsidRPr="002D73E1">
        <w:rPr>
          <w:rFonts w:ascii="Times New Roman" w:hAnsi="Times New Roman" w:cs="Times New Roman"/>
          <w:sz w:val="20"/>
          <w:szCs w:val="20"/>
        </w:rPr>
        <w:t>Vibroengineering</w:t>
      </w:r>
      <w:proofErr w:type="spellEnd"/>
      <w:r w:rsidRPr="002D73E1">
        <w:rPr>
          <w:rFonts w:ascii="Times New Roman" w:hAnsi="Times New Roman" w:cs="Times New Roman"/>
          <w:sz w:val="20"/>
          <w:szCs w:val="20"/>
        </w:rPr>
        <w:t xml:space="preserve"> Procedia, Vol. 54, pp. 252–257, Apr. 2024, </w:t>
      </w:r>
      <w:hyperlink r:id="rId22" w:history="1">
        <w:r w:rsidRPr="002D73E1">
          <w:rPr>
            <w:rStyle w:val="a6"/>
            <w:rFonts w:ascii="Times New Roman" w:hAnsi="Times New Roman" w:cs="Times New Roman"/>
            <w:sz w:val="20"/>
            <w:szCs w:val="20"/>
          </w:rPr>
          <w:t>https://doi.org/10.21595/vp.2024.24051</w:t>
        </w:r>
      </w:hyperlink>
    </w:p>
    <w:p w14:paraId="033FE19B"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2D73E1">
        <w:rPr>
          <w:rFonts w:ascii="Times New Roman" w:hAnsi="Times New Roman" w:cs="Times New Roman"/>
          <w:sz w:val="20"/>
          <w:szCs w:val="20"/>
        </w:rPr>
        <w:t xml:space="preserve">Akbar Zhuraev, </w:t>
      </w:r>
      <w:proofErr w:type="spellStart"/>
      <w:r w:rsidRPr="002D73E1">
        <w:rPr>
          <w:rFonts w:ascii="Times New Roman" w:hAnsi="Times New Roman" w:cs="Times New Roman"/>
          <w:sz w:val="20"/>
          <w:szCs w:val="20"/>
        </w:rPr>
        <w:t>Sardorjon</w:t>
      </w:r>
      <w:proofErr w:type="spellEnd"/>
      <w:r w:rsidRPr="002D73E1">
        <w:rPr>
          <w:rFonts w:ascii="Times New Roman" w:hAnsi="Times New Roman" w:cs="Times New Roman"/>
          <w:sz w:val="20"/>
          <w:szCs w:val="20"/>
        </w:rPr>
        <w:t xml:space="preserve"> Turdiyev; Analyses and studies of working fluid flow in the hydraulic system of hydraulic excavators at the Auminzo-Amantaytau open pit mine. AIP Conf. Proc. 4 November 2025; 3331 (1): 030067. </w:t>
      </w:r>
      <w:hyperlink r:id="rId23" w:history="1">
        <w:r w:rsidRPr="002D73E1">
          <w:rPr>
            <w:rStyle w:val="a6"/>
            <w:rFonts w:ascii="Times New Roman" w:hAnsi="Times New Roman" w:cs="Times New Roman"/>
            <w:sz w:val="20"/>
            <w:szCs w:val="20"/>
          </w:rPr>
          <w:t>https://doi.org/10.1063/5.0305703</w:t>
        </w:r>
      </w:hyperlink>
    </w:p>
    <w:p w14:paraId="22220D0D"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proofErr w:type="spellStart"/>
      <w:r w:rsidRPr="002D73E1">
        <w:rPr>
          <w:rFonts w:ascii="Times New Roman" w:hAnsi="Times New Roman" w:cs="Times New Roman"/>
          <w:color w:val="000000"/>
          <w:sz w:val="20"/>
          <w:szCs w:val="20"/>
        </w:rPr>
        <w:t>Mislibaev</w:t>
      </w:r>
      <w:proofErr w:type="spellEnd"/>
      <w:r w:rsidRPr="002D73E1">
        <w:rPr>
          <w:rFonts w:ascii="Times New Roman" w:hAnsi="Times New Roman" w:cs="Times New Roman"/>
          <w:color w:val="000000"/>
          <w:sz w:val="20"/>
          <w:szCs w:val="20"/>
        </w:rPr>
        <w:t xml:space="preserve"> I.T., Makhmudov A.M., Makhmudov </w:t>
      </w:r>
      <w:proofErr w:type="spellStart"/>
      <w:r w:rsidRPr="002D73E1">
        <w:rPr>
          <w:rFonts w:ascii="Times New Roman" w:hAnsi="Times New Roman" w:cs="Times New Roman"/>
          <w:color w:val="000000"/>
          <w:sz w:val="20"/>
          <w:szCs w:val="20"/>
        </w:rPr>
        <w:t>Sh.A</w:t>
      </w:r>
      <w:proofErr w:type="spellEnd"/>
      <w:r w:rsidRPr="002D73E1">
        <w:rPr>
          <w:rFonts w:ascii="Times New Roman" w:hAnsi="Times New Roman" w:cs="Times New Roman"/>
          <w:color w:val="000000"/>
          <w:sz w:val="20"/>
          <w:szCs w:val="20"/>
        </w:rPr>
        <w:t xml:space="preserve">. Theoretical </w:t>
      </w:r>
      <w:proofErr w:type="spellStart"/>
      <w:r w:rsidRPr="002D73E1">
        <w:rPr>
          <w:rFonts w:ascii="Times New Roman" w:hAnsi="Times New Roman" w:cs="Times New Roman"/>
          <w:sz w:val="20"/>
          <w:szCs w:val="20"/>
        </w:rPr>
        <w:t>generalisation</w:t>
      </w:r>
      <w:proofErr w:type="spellEnd"/>
      <w:r w:rsidRPr="002D73E1">
        <w:rPr>
          <w:rFonts w:ascii="Times New Roman" w:hAnsi="Times New Roman" w:cs="Times New Roman"/>
          <w:color w:val="000000"/>
          <w:sz w:val="20"/>
          <w:szCs w:val="20"/>
        </w:rPr>
        <w:t xml:space="preserve"> of functioning modes and modelling of operational indicators of excavators. // Mining information-analytical bulletin. - 2021. №1. p. </w:t>
      </w:r>
      <w:r w:rsidRPr="002D73E1">
        <w:rPr>
          <w:rFonts w:ascii="Times New Roman" w:hAnsi="Times New Roman" w:cs="Times New Roman"/>
          <w:b/>
          <w:color w:val="000000"/>
          <w:sz w:val="20"/>
          <w:szCs w:val="20"/>
        </w:rPr>
        <w:t>102-110</w:t>
      </w:r>
      <w:r w:rsidRPr="002D73E1">
        <w:rPr>
          <w:rFonts w:ascii="Times New Roman" w:hAnsi="Times New Roman" w:cs="Times New Roman"/>
          <w:color w:val="000000"/>
          <w:sz w:val="20"/>
          <w:szCs w:val="20"/>
        </w:rPr>
        <w:t xml:space="preserve">. </w:t>
      </w:r>
      <w:r w:rsidRPr="002D73E1">
        <w:rPr>
          <w:rStyle w:val="a6"/>
          <w:rFonts w:ascii="Times New Roman" w:hAnsi="Times New Roman" w:cs="Times New Roman"/>
          <w:color w:val="0066CC"/>
          <w:sz w:val="20"/>
          <w:szCs w:val="20"/>
          <w:bdr w:val="none" w:sz="0" w:space="0" w:color="auto" w:frame="1"/>
          <w:shd w:val="clear" w:color="auto" w:fill="FFFFFF"/>
        </w:rPr>
        <w:t>DOI: 10.25018/0236-1493-2021-1-0-102-110</w:t>
      </w:r>
    </w:p>
    <w:p w14:paraId="0BACC3FE"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Fonts w:ascii="Times New Roman" w:hAnsi="Times New Roman" w:cs="Times New Roman"/>
          <w:color w:val="0563C1" w:themeColor="hyperlink"/>
          <w:sz w:val="20"/>
          <w:szCs w:val="20"/>
          <w:u w:val="single"/>
        </w:rPr>
      </w:pPr>
      <w:r w:rsidRPr="002D73E1">
        <w:rPr>
          <w:rFonts w:ascii="Times New Roman" w:hAnsi="Times New Roman" w:cs="Times New Roman"/>
          <w:color w:val="000000"/>
          <w:sz w:val="20"/>
          <w:szCs w:val="20"/>
        </w:rPr>
        <w:t xml:space="preserve">Makhmudov </w:t>
      </w:r>
      <w:proofErr w:type="spellStart"/>
      <w:r w:rsidRPr="002D73E1">
        <w:rPr>
          <w:rFonts w:ascii="Times New Roman" w:hAnsi="Times New Roman" w:cs="Times New Roman"/>
          <w:color w:val="000000"/>
          <w:sz w:val="20"/>
          <w:szCs w:val="20"/>
        </w:rPr>
        <w:t>Sh</w:t>
      </w:r>
      <w:proofErr w:type="spellEnd"/>
      <w:r w:rsidRPr="002D73E1">
        <w:rPr>
          <w:rFonts w:ascii="Times New Roman" w:hAnsi="Times New Roman" w:cs="Times New Roman"/>
          <w:color w:val="000000"/>
          <w:sz w:val="20"/>
          <w:szCs w:val="20"/>
        </w:rPr>
        <w:t xml:space="preserve">, Makhmudov A, </w:t>
      </w:r>
      <w:proofErr w:type="spellStart"/>
      <w:r w:rsidRPr="002D73E1">
        <w:rPr>
          <w:rFonts w:ascii="Times New Roman" w:hAnsi="Times New Roman" w:cs="Times New Roman"/>
          <w:color w:val="000000"/>
          <w:sz w:val="20"/>
          <w:szCs w:val="20"/>
        </w:rPr>
        <w:t>Khudojberdiev</w:t>
      </w:r>
      <w:proofErr w:type="spellEnd"/>
      <w:r w:rsidRPr="002D73E1">
        <w:rPr>
          <w:rFonts w:ascii="Times New Roman" w:hAnsi="Times New Roman" w:cs="Times New Roman"/>
          <w:color w:val="000000"/>
          <w:sz w:val="20"/>
          <w:szCs w:val="20"/>
        </w:rPr>
        <w:t xml:space="preserve"> L, Izzat Rakhmonov, “Criteria for assessing the performance of mining and transport equipment of mining enterprises,” Proc. SPIE 12986, Third International Scientific and Practical Symposium on Materials Science and Technology (MST-III 2023), 129860P (19 January 2024); </w:t>
      </w:r>
      <w:proofErr w:type="spellStart"/>
      <w:r w:rsidRPr="002D73E1">
        <w:rPr>
          <w:rStyle w:val="a6"/>
          <w:rFonts w:ascii="Times New Roman" w:hAnsi="Times New Roman" w:cs="Times New Roman"/>
          <w:color w:val="0066CC"/>
          <w:sz w:val="20"/>
          <w:szCs w:val="20"/>
          <w:bdr w:val="none" w:sz="0" w:space="0" w:color="auto" w:frame="1"/>
          <w:shd w:val="clear" w:color="auto" w:fill="FFFFFF"/>
        </w:rPr>
        <w:t>doi</w:t>
      </w:r>
      <w:proofErr w:type="spellEnd"/>
      <w:r w:rsidRPr="002D73E1">
        <w:rPr>
          <w:rStyle w:val="a6"/>
          <w:rFonts w:ascii="Times New Roman" w:hAnsi="Times New Roman" w:cs="Times New Roman"/>
          <w:color w:val="0066CC"/>
          <w:sz w:val="20"/>
          <w:szCs w:val="20"/>
          <w:bdr w:val="none" w:sz="0" w:space="0" w:color="auto" w:frame="1"/>
          <w:shd w:val="clear" w:color="auto" w:fill="FFFFFF"/>
        </w:rPr>
        <w:t>: 10.1117/12.3017722</w:t>
      </w:r>
      <w:r w:rsidRPr="002D73E1">
        <w:rPr>
          <w:rFonts w:ascii="Times New Roman" w:hAnsi="Times New Roman" w:cs="Times New Roman"/>
          <w:color w:val="000000"/>
          <w:sz w:val="20"/>
          <w:szCs w:val="20"/>
        </w:rPr>
        <w:t xml:space="preserve"> </w:t>
      </w:r>
    </w:p>
    <w:p w14:paraId="4D2993F4"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proofErr w:type="spellStart"/>
      <w:r w:rsidRPr="002D73E1">
        <w:rPr>
          <w:rFonts w:ascii="Times New Roman" w:hAnsi="Times New Roman" w:cs="Times New Roman"/>
          <w:sz w:val="20"/>
          <w:szCs w:val="20"/>
        </w:rPr>
        <w:t>Ataqulov</w:t>
      </w:r>
      <w:proofErr w:type="spellEnd"/>
      <w:r w:rsidRPr="002D73E1">
        <w:rPr>
          <w:rFonts w:ascii="Times New Roman" w:hAnsi="Times New Roman" w:cs="Times New Roman"/>
          <w:sz w:val="20"/>
          <w:szCs w:val="20"/>
        </w:rPr>
        <w:t xml:space="preserve"> L.N., Haydarov </w:t>
      </w:r>
      <w:proofErr w:type="spellStart"/>
      <w:r w:rsidRPr="002D73E1">
        <w:rPr>
          <w:rFonts w:ascii="Times New Roman" w:hAnsi="Times New Roman" w:cs="Times New Roman"/>
          <w:sz w:val="20"/>
          <w:szCs w:val="20"/>
        </w:rPr>
        <w:t>Sh.B</w:t>
      </w:r>
      <w:proofErr w:type="spellEnd"/>
      <w:r w:rsidRPr="002D73E1">
        <w:rPr>
          <w:rFonts w:ascii="Times New Roman" w:hAnsi="Times New Roman" w:cs="Times New Roman"/>
          <w:sz w:val="20"/>
          <w:szCs w:val="20"/>
        </w:rPr>
        <w:t xml:space="preserve">., </w:t>
      </w:r>
      <w:proofErr w:type="spellStart"/>
      <w:r w:rsidRPr="002D73E1">
        <w:rPr>
          <w:rFonts w:ascii="Times New Roman" w:hAnsi="Times New Roman" w:cs="Times New Roman"/>
          <w:sz w:val="20"/>
          <w:szCs w:val="20"/>
        </w:rPr>
        <w:t>Polvonov</w:t>
      </w:r>
      <w:proofErr w:type="spellEnd"/>
      <w:r w:rsidRPr="002D73E1">
        <w:rPr>
          <w:rFonts w:ascii="Times New Roman" w:hAnsi="Times New Roman" w:cs="Times New Roman"/>
          <w:sz w:val="20"/>
          <w:szCs w:val="20"/>
        </w:rPr>
        <w:t xml:space="preserve"> N.O. Impact forces on side and middle rollers. SPIE 12986, Third International Scientific and Practical Symposium on Materials Science and Technology (MST-III 2023), 129860Q (19 January 2024); </w:t>
      </w:r>
      <w:proofErr w:type="spellStart"/>
      <w:r w:rsidRPr="002D73E1">
        <w:rPr>
          <w:rStyle w:val="a6"/>
          <w:rFonts w:ascii="Times New Roman" w:hAnsi="Times New Roman" w:cs="Times New Roman"/>
          <w:sz w:val="20"/>
          <w:szCs w:val="20"/>
        </w:rPr>
        <w:t>doi</w:t>
      </w:r>
      <w:proofErr w:type="spellEnd"/>
      <w:r w:rsidRPr="002D73E1">
        <w:rPr>
          <w:rStyle w:val="a6"/>
          <w:rFonts w:ascii="Times New Roman" w:hAnsi="Times New Roman" w:cs="Times New Roman"/>
          <w:sz w:val="20"/>
          <w:szCs w:val="20"/>
        </w:rPr>
        <w:t>: 10.1117/12.3017724</w:t>
      </w:r>
    </w:p>
    <w:p w14:paraId="0DB1270A" w14:textId="77777777"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proofErr w:type="spellStart"/>
      <w:r w:rsidRPr="002D73E1">
        <w:rPr>
          <w:rFonts w:ascii="Times New Roman" w:hAnsi="Times New Roman" w:cs="Times New Roman"/>
          <w:sz w:val="20"/>
          <w:szCs w:val="20"/>
        </w:rPr>
        <w:t>Atakulov</w:t>
      </w:r>
      <w:proofErr w:type="spellEnd"/>
      <w:r w:rsidRPr="002D73E1">
        <w:rPr>
          <w:rFonts w:ascii="Times New Roman" w:hAnsi="Times New Roman" w:cs="Times New Roman"/>
          <w:sz w:val="20"/>
          <w:szCs w:val="20"/>
        </w:rPr>
        <w:t xml:space="preserve"> L.N., </w:t>
      </w:r>
      <w:proofErr w:type="spellStart"/>
      <w:r w:rsidRPr="002D73E1">
        <w:rPr>
          <w:rFonts w:ascii="Times New Roman" w:hAnsi="Times New Roman" w:cs="Times New Roman"/>
          <w:sz w:val="20"/>
          <w:szCs w:val="20"/>
        </w:rPr>
        <w:t>Kakharov</w:t>
      </w:r>
      <w:proofErr w:type="spellEnd"/>
      <w:r w:rsidRPr="002D73E1">
        <w:rPr>
          <w:rFonts w:ascii="Times New Roman" w:hAnsi="Times New Roman" w:cs="Times New Roman"/>
          <w:sz w:val="20"/>
          <w:szCs w:val="20"/>
        </w:rPr>
        <w:t xml:space="preserve"> S.K., </w:t>
      </w:r>
      <w:proofErr w:type="spellStart"/>
      <w:r w:rsidRPr="002D73E1">
        <w:rPr>
          <w:rFonts w:ascii="Times New Roman" w:hAnsi="Times New Roman" w:cs="Times New Roman"/>
          <w:sz w:val="20"/>
          <w:szCs w:val="20"/>
        </w:rPr>
        <w:t>Khaidarov</w:t>
      </w:r>
      <w:proofErr w:type="spellEnd"/>
      <w:r w:rsidRPr="002D73E1">
        <w:rPr>
          <w:rFonts w:ascii="Times New Roman" w:hAnsi="Times New Roman" w:cs="Times New Roman"/>
          <w:sz w:val="20"/>
          <w:szCs w:val="20"/>
        </w:rPr>
        <w:t xml:space="preserve"> S.B. Selection of optimal jointing method for rubber conveyor belts. </w:t>
      </w:r>
      <w:proofErr w:type="spellStart"/>
      <w:r w:rsidRPr="002D73E1">
        <w:rPr>
          <w:rFonts w:ascii="Times New Roman" w:hAnsi="Times New Roman" w:cs="Times New Roman"/>
          <w:sz w:val="20"/>
          <w:szCs w:val="20"/>
        </w:rPr>
        <w:t>Gornyl</w:t>
      </w:r>
      <w:proofErr w:type="spellEnd"/>
      <w:r w:rsidRPr="002D73E1">
        <w:rPr>
          <w:rFonts w:ascii="Times New Roman" w:hAnsi="Times New Roman" w:cs="Times New Roman"/>
          <w:sz w:val="20"/>
          <w:szCs w:val="20"/>
        </w:rPr>
        <w:t xml:space="preserve"> </w:t>
      </w:r>
      <w:proofErr w:type="spellStart"/>
      <w:r w:rsidRPr="002D73E1">
        <w:rPr>
          <w:rFonts w:ascii="Times New Roman" w:hAnsi="Times New Roman" w:cs="Times New Roman"/>
          <w:sz w:val="20"/>
          <w:szCs w:val="20"/>
        </w:rPr>
        <w:t>Zhurnal</w:t>
      </w:r>
      <w:proofErr w:type="spellEnd"/>
      <w:r w:rsidRPr="002D73E1">
        <w:rPr>
          <w:rFonts w:ascii="Times New Roman" w:hAnsi="Times New Roman" w:cs="Times New Roman"/>
          <w:sz w:val="20"/>
          <w:szCs w:val="20"/>
        </w:rPr>
        <w:t>, 2018. (9</w:t>
      </w:r>
      <w:proofErr w:type="gramStart"/>
      <w:r w:rsidRPr="002D73E1">
        <w:rPr>
          <w:rFonts w:ascii="Times New Roman" w:hAnsi="Times New Roman" w:cs="Times New Roman"/>
          <w:sz w:val="20"/>
          <w:szCs w:val="20"/>
        </w:rPr>
        <w:t xml:space="preserve">),  </w:t>
      </w:r>
      <w:r w:rsidRPr="002D73E1">
        <w:rPr>
          <w:rFonts w:ascii="Times New Roman" w:hAnsi="Times New Roman" w:cs="Times New Roman"/>
          <w:b/>
          <w:sz w:val="20"/>
          <w:szCs w:val="20"/>
        </w:rPr>
        <w:t>97</w:t>
      </w:r>
      <w:proofErr w:type="gramEnd"/>
      <w:r w:rsidRPr="002D73E1">
        <w:rPr>
          <w:rFonts w:ascii="Times New Roman" w:hAnsi="Times New Roman" w:cs="Times New Roman"/>
          <w:b/>
          <w:sz w:val="20"/>
          <w:szCs w:val="20"/>
        </w:rPr>
        <w:t xml:space="preserve">-100. </w:t>
      </w:r>
      <w:r w:rsidRPr="002D73E1">
        <w:rPr>
          <w:rStyle w:val="a6"/>
          <w:rFonts w:ascii="Times New Roman" w:hAnsi="Times New Roman" w:cs="Times New Roman"/>
          <w:sz w:val="20"/>
          <w:szCs w:val="20"/>
        </w:rPr>
        <w:t>DOI:10.17580/gzh.2018.09.16</w:t>
      </w:r>
    </w:p>
    <w:p w14:paraId="49D2A1D6" w14:textId="603358F0" w:rsidR="00A249B4" w:rsidRPr="002D73E1" w:rsidRDefault="00A249B4" w:rsidP="00A249B4">
      <w:pPr>
        <w:pStyle w:val="a4"/>
        <w:numPr>
          <w:ilvl w:val="0"/>
          <w:numId w:val="3"/>
        </w:numPr>
        <w:tabs>
          <w:tab w:val="left" w:pos="284"/>
          <w:tab w:val="left" w:pos="851"/>
          <w:tab w:val="left" w:pos="993"/>
        </w:tabs>
        <w:spacing w:after="0" w:line="240" w:lineRule="auto"/>
        <w:ind w:left="0" w:firstLine="0"/>
        <w:jc w:val="both"/>
        <w:rPr>
          <w:rStyle w:val="a6"/>
          <w:rFonts w:ascii="Times New Roman" w:hAnsi="Times New Roman" w:cs="Times New Roman"/>
          <w:sz w:val="20"/>
          <w:szCs w:val="20"/>
        </w:rPr>
      </w:pPr>
      <w:r w:rsidRPr="002D73E1">
        <w:rPr>
          <w:rFonts w:ascii="Times New Roman" w:hAnsi="Times New Roman" w:cs="Times New Roman"/>
          <w:sz w:val="20"/>
          <w:szCs w:val="20"/>
        </w:rPr>
        <w:t xml:space="preserve">Mahmudov A, </w:t>
      </w:r>
      <w:proofErr w:type="spellStart"/>
      <w:r w:rsidRPr="002D73E1">
        <w:rPr>
          <w:rFonts w:ascii="Times New Roman" w:hAnsi="Times New Roman" w:cs="Times New Roman"/>
          <w:sz w:val="20"/>
          <w:szCs w:val="20"/>
        </w:rPr>
        <w:t>Musurmanov</w:t>
      </w:r>
      <w:proofErr w:type="spellEnd"/>
      <w:r w:rsidRPr="002D73E1">
        <w:rPr>
          <w:rFonts w:ascii="Times New Roman" w:hAnsi="Times New Roman" w:cs="Times New Roman"/>
          <w:sz w:val="20"/>
          <w:szCs w:val="20"/>
        </w:rPr>
        <w:t xml:space="preserve"> E, </w:t>
      </w:r>
      <w:proofErr w:type="spellStart"/>
      <w:r w:rsidRPr="002D73E1">
        <w:rPr>
          <w:rFonts w:ascii="Times New Roman" w:hAnsi="Times New Roman" w:cs="Times New Roman"/>
          <w:sz w:val="20"/>
          <w:szCs w:val="20"/>
        </w:rPr>
        <w:t>Chorikulov</w:t>
      </w:r>
      <w:proofErr w:type="spellEnd"/>
      <w:r w:rsidRPr="002D73E1">
        <w:rPr>
          <w:rFonts w:ascii="Times New Roman" w:hAnsi="Times New Roman" w:cs="Times New Roman"/>
          <w:sz w:val="20"/>
          <w:szCs w:val="20"/>
        </w:rPr>
        <w:t xml:space="preserve"> A, </w:t>
      </w:r>
      <w:proofErr w:type="spellStart"/>
      <w:r w:rsidRPr="002D73E1">
        <w:rPr>
          <w:rFonts w:ascii="Times New Roman" w:hAnsi="Times New Roman" w:cs="Times New Roman"/>
          <w:sz w:val="20"/>
          <w:szCs w:val="20"/>
        </w:rPr>
        <w:t>Tukhtaev</w:t>
      </w:r>
      <w:proofErr w:type="spellEnd"/>
      <w:r w:rsidRPr="002D73E1">
        <w:rPr>
          <w:rFonts w:ascii="Times New Roman" w:hAnsi="Times New Roman" w:cs="Times New Roman"/>
          <w:sz w:val="20"/>
          <w:szCs w:val="20"/>
        </w:rPr>
        <w:t xml:space="preserve"> Sh. Justification of the development of the ventilation network and increasing the efficiency of ventilation equipment by controlling </w:t>
      </w:r>
      <w:proofErr w:type="spellStart"/>
      <w:r w:rsidRPr="002D73E1">
        <w:rPr>
          <w:rFonts w:ascii="Times New Roman" w:hAnsi="Times New Roman" w:cs="Times New Roman"/>
          <w:sz w:val="20"/>
          <w:szCs w:val="20"/>
        </w:rPr>
        <w:t>themovement</w:t>
      </w:r>
      <w:proofErr w:type="spellEnd"/>
      <w:r w:rsidRPr="002D73E1">
        <w:rPr>
          <w:rFonts w:ascii="Times New Roman" w:hAnsi="Times New Roman" w:cs="Times New Roman"/>
          <w:sz w:val="20"/>
          <w:szCs w:val="20"/>
        </w:rPr>
        <w:t xml:space="preserve"> of air flow. Third International Scientific and Practical Symposium on Materials Science and Technology (MST-III 2023), Proc. of SPIE Vol. 12986, 1298610. </w:t>
      </w:r>
      <w:proofErr w:type="spellStart"/>
      <w:r w:rsidRPr="002D73E1">
        <w:rPr>
          <w:rStyle w:val="a6"/>
          <w:rFonts w:ascii="Times New Roman" w:hAnsi="Times New Roman" w:cs="Times New Roman"/>
          <w:sz w:val="20"/>
          <w:szCs w:val="20"/>
        </w:rPr>
        <w:t>doi</w:t>
      </w:r>
      <w:proofErr w:type="spellEnd"/>
      <w:r w:rsidRPr="002D73E1">
        <w:rPr>
          <w:rStyle w:val="a6"/>
          <w:rFonts w:ascii="Times New Roman" w:hAnsi="Times New Roman" w:cs="Times New Roman"/>
          <w:sz w:val="20"/>
          <w:szCs w:val="20"/>
        </w:rPr>
        <w:t>: 10.1117/12.3017914</w:t>
      </w:r>
    </w:p>
    <w:p w14:paraId="6108550B" w14:textId="77777777" w:rsidR="00A249B4" w:rsidRPr="002D73E1" w:rsidRDefault="00A249B4" w:rsidP="00A249B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proofErr w:type="gramStart"/>
      <w:r w:rsidRPr="002D73E1">
        <w:rPr>
          <w:rFonts w:ascii="Times New Roman" w:hAnsi="Times New Roman" w:cs="Times New Roman"/>
          <w:sz w:val="20"/>
          <w:szCs w:val="20"/>
        </w:rPr>
        <w:t>A.Tovboyev</w:t>
      </w:r>
      <w:proofErr w:type="spellEnd"/>
      <w:proofErr w:type="gramEnd"/>
      <w:r w:rsidRPr="002D73E1">
        <w:rPr>
          <w:rFonts w:ascii="Times New Roman" w:hAnsi="Times New Roman" w:cs="Times New Roman"/>
          <w:sz w:val="20"/>
          <w:szCs w:val="20"/>
        </w:rPr>
        <w:t xml:space="preserve">, </w:t>
      </w:r>
      <w:proofErr w:type="spellStart"/>
      <w:proofErr w:type="gramStart"/>
      <w:r w:rsidRPr="002D73E1">
        <w:rPr>
          <w:rFonts w:ascii="Times New Roman" w:hAnsi="Times New Roman" w:cs="Times New Roman"/>
          <w:sz w:val="20"/>
          <w:szCs w:val="20"/>
        </w:rPr>
        <w:t>I.Togayev</w:t>
      </w:r>
      <w:proofErr w:type="spellEnd"/>
      <w:proofErr w:type="gramEnd"/>
      <w:r w:rsidRPr="002D73E1">
        <w:rPr>
          <w:rFonts w:ascii="Times New Roman" w:hAnsi="Times New Roman" w:cs="Times New Roman"/>
          <w:sz w:val="20"/>
          <w:szCs w:val="20"/>
        </w:rPr>
        <w:t xml:space="preserve">, </w:t>
      </w:r>
      <w:proofErr w:type="spellStart"/>
      <w:proofErr w:type="gramStart"/>
      <w:r w:rsidRPr="002D73E1">
        <w:rPr>
          <w:rFonts w:ascii="Times New Roman" w:hAnsi="Times New Roman" w:cs="Times New Roman"/>
          <w:sz w:val="20"/>
          <w:szCs w:val="20"/>
        </w:rPr>
        <w:t>I.Uzoqov</w:t>
      </w:r>
      <w:proofErr w:type="spellEnd"/>
      <w:proofErr w:type="gramEnd"/>
      <w:r w:rsidRPr="002D73E1">
        <w:rPr>
          <w:rFonts w:ascii="Times New Roman" w:hAnsi="Times New Roman" w:cs="Times New Roman"/>
          <w:sz w:val="20"/>
          <w:szCs w:val="20"/>
        </w:rPr>
        <w:t xml:space="preserve">, G. Nodirov, Use of reactive power sources in improving the quality of electricity, E3S Web of Conferences 417, 03001 (2023) </w:t>
      </w:r>
      <w:hyperlink r:id="rId24" w:history="1">
        <w:r w:rsidRPr="002D73E1">
          <w:rPr>
            <w:rStyle w:val="a6"/>
            <w:rFonts w:ascii="Times New Roman" w:hAnsi="Times New Roman" w:cs="Times New Roman"/>
            <w:sz w:val="20"/>
            <w:szCs w:val="20"/>
          </w:rPr>
          <w:t>https://doi.org/10.1051/e3sconf/202341703001</w:t>
        </w:r>
      </w:hyperlink>
      <w:r w:rsidRPr="002D73E1">
        <w:rPr>
          <w:rFonts w:ascii="Times New Roman" w:hAnsi="Times New Roman" w:cs="Times New Roman"/>
          <w:sz w:val="20"/>
          <w:szCs w:val="20"/>
        </w:rPr>
        <w:t xml:space="preserve">  </w:t>
      </w:r>
    </w:p>
    <w:p w14:paraId="17B36E40" w14:textId="77777777" w:rsidR="00A249B4" w:rsidRPr="002D73E1" w:rsidRDefault="00A249B4" w:rsidP="00A249B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r w:rsidRPr="002D73E1">
        <w:rPr>
          <w:rFonts w:ascii="Times New Roman" w:hAnsi="Times New Roman" w:cs="Times New Roman"/>
          <w:sz w:val="20"/>
          <w:szCs w:val="20"/>
        </w:rPr>
        <w:t>I.Togayev</w:t>
      </w:r>
      <w:proofErr w:type="spellEnd"/>
      <w:r w:rsidRPr="002D73E1">
        <w:rPr>
          <w:rFonts w:ascii="Times New Roman" w:hAnsi="Times New Roman" w:cs="Times New Roman"/>
          <w:sz w:val="20"/>
          <w:szCs w:val="20"/>
        </w:rPr>
        <w:t xml:space="preserve">, </w:t>
      </w:r>
      <w:proofErr w:type="spellStart"/>
      <w:proofErr w:type="gramStart"/>
      <w:r w:rsidRPr="002D73E1">
        <w:rPr>
          <w:rFonts w:ascii="Times New Roman" w:hAnsi="Times New Roman" w:cs="Times New Roman"/>
          <w:sz w:val="20"/>
          <w:szCs w:val="20"/>
        </w:rPr>
        <w:t>A.Tovbaev</w:t>
      </w:r>
      <w:proofErr w:type="spellEnd"/>
      <w:proofErr w:type="gramEnd"/>
      <w:r w:rsidRPr="002D73E1">
        <w:rPr>
          <w:rFonts w:ascii="Times New Roman" w:hAnsi="Times New Roman" w:cs="Times New Roman"/>
          <w:sz w:val="20"/>
          <w:szCs w:val="20"/>
        </w:rPr>
        <w:t xml:space="preserve">, G. Nodirov, Assessment of the quality of electricity by applying reactive power sources, E3S Web of Conferences, 525, 03004 (2024) </w:t>
      </w:r>
      <w:hyperlink r:id="rId25" w:history="1">
        <w:r w:rsidRPr="002D73E1">
          <w:rPr>
            <w:rStyle w:val="a6"/>
            <w:rFonts w:ascii="Times New Roman" w:hAnsi="Times New Roman" w:cs="Times New Roman"/>
            <w:sz w:val="20"/>
            <w:szCs w:val="20"/>
          </w:rPr>
          <w:t>https://doi.org/10.1051/e3sconf/202452503004</w:t>
        </w:r>
      </w:hyperlink>
      <w:r w:rsidRPr="002D73E1">
        <w:rPr>
          <w:rFonts w:ascii="Times New Roman" w:hAnsi="Times New Roman" w:cs="Times New Roman"/>
          <w:sz w:val="20"/>
          <w:szCs w:val="20"/>
        </w:rPr>
        <w:t xml:space="preserve"> </w:t>
      </w:r>
    </w:p>
    <w:p w14:paraId="59994C43" w14:textId="77777777" w:rsidR="00A249B4" w:rsidRPr="002D73E1" w:rsidRDefault="00A249B4" w:rsidP="00A249B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proofErr w:type="spellStart"/>
      <w:proofErr w:type="gramStart"/>
      <w:r w:rsidRPr="002D73E1">
        <w:rPr>
          <w:rFonts w:ascii="Times New Roman" w:hAnsi="Times New Roman" w:cs="Times New Roman"/>
          <w:sz w:val="20"/>
          <w:szCs w:val="20"/>
        </w:rPr>
        <w:t>G.Boynazarov</w:t>
      </w:r>
      <w:proofErr w:type="spellEnd"/>
      <w:proofErr w:type="gramEnd"/>
      <w:r w:rsidRPr="002D73E1">
        <w:rPr>
          <w:rFonts w:ascii="Times New Roman" w:hAnsi="Times New Roman" w:cs="Times New Roman"/>
          <w:sz w:val="20"/>
          <w:szCs w:val="20"/>
        </w:rPr>
        <w:t xml:space="preserve">, A. Tovbaev, U. Usarov, </w:t>
      </w:r>
      <w:proofErr w:type="spellStart"/>
      <w:r w:rsidRPr="002D73E1">
        <w:rPr>
          <w:rFonts w:ascii="Times New Roman" w:hAnsi="Times New Roman" w:cs="Times New Roman"/>
          <w:sz w:val="20"/>
          <w:szCs w:val="20"/>
        </w:rPr>
        <w:t>Methology</w:t>
      </w:r>
      <w:proofErr w:type="spellEnd"/>
      <w:r w:rsidRPr="002D73E1">
        <w:rPr>
          <w:rFonts w:ascii="Times New Roman" w:hAnsi="Times New Roman" w:cs="Times New Roman"/>
          <w:sz w:val="20"/>
          <w:szCs w:val="20"/>
        </w:rPr>
        <w:t xml:space="preserve"> of experimental research of voltage quality in electrical circuit, E3S Web of Conferences 548, 03009 (2024) </w:t>
      </w:r>
      <w:hyperlink r:id="rId26" w:history="1">
        <w:r w:rsidRPr="002D73E1">
          <w:rPr>
            <w:rStyle w:val="a6"/>
            <w:rFonts w:ascii="Times New Roman" w:hAnsi="Times New Roman" w:cs="Times New Roman"/>
            <w:sz w:val="20"/>
            <w:szCs w:val="20"/>
          </w:rPr>
          <w:t>https://doi.org/10.1051/e3sconf/202454803009</w:t>
        </w:r>
      </w:hyperlink>
      <w:r w:rsidRPr="002D73E1">
        <w:rPr>
          <w:rFonts w:ascii="Times New Roman" w:hAnsi="Times New Roman" w:cs="Times New Roman"/>
          <w:sz w:val="20"/>
          <w:szCs w:val="20"/>
        </w:rPr>
        <w:t xml:space="preserve">  </w:t>
      </w:r>
    </w:p>
    <w:p w14:paraId="690F9D53" w14:textId="77777777" w:rsidR="00A249B4" w:rsidRPr="002D73E1" w:rsidRDefault="00A249B4" w:rsidP="00A249B4">
      <w:pPr>
        <w:pStyle w:val="a4"/>
        <w:numPr>
          <w:ilvl w:val="0"/>
          <w:numId w:val="3"/>
        </w:numPr>
        <w:tabs>
          <w:tab w:val="left" w:pos="284"/>
        </w:tabs>
        <w:spacing w:after="0" w:line="240" w:lineRule="auto"/>
        <w:ind w:left="0" w:firstLine="0"/>
        <w:jc w:val="both"/>
        <w:rPr>
          <w:rFonts w:ascii="Times New Roman" w:hAnsi="Times New Roman" w:cs="Times New Roman"/>
          <w:sz w:val="20"/>
          <w:szCs w:val="20"/>
        </w:rPr>
      </w:pPr>
      <w:proofErr w:type="spellStart"/>
      <w:r w:rsidRPr="002D73E1">
        <w:rPr>
          <w:rFonts w:ascii="Times New Roman" w:hAnsi="Times New Roman" w:cs="Times New Roman"/>
          <w:sz w:val="20"/>
          <w:szCs w:val="20"/>
        </w:rPr>
        <w:t>Ataullayev</w:t>
      </w:r>
      <w:proofErr w:type="spellEnd"/>
      <w:r w:rsidRPr="002D73E1">
        <w:rPr>
          <w:rFonts w:ascii="Times New Roman" w:hAnsi="Times New Roman" w:cs="Times New Roman"/>
          <w:sz w:val="20"/>
          <w:szCs w:val="20"/>
        </w:rPr>
        <w:t xml:space="preserve"> N.O., </w:t>
      </w:r>
      <w:proofErr w:type="spellStart"/>
      <w:r w:rsidRPr="002D73E1">
        <w:rPr>
          <w:rFonts w:ascii="Times New Roman" w:hAnsi="Times New Roman" w:cs="Times New Roman"/>
          <w:sz w:val="20"/>
          <w:szCs w:val="20"/>
        </w:rPr>
        <w:t>Muxammadov</w:t>
      </w:r>
      <w:proofErr w:type="spellEnd"/>
      <w:r w:rsidRPr="002D73E1">
        <w:rPr>
          <w:rFonts w:ascii="Times New Roman" w:hAnsi="Times New Roman" w:cs="Times New Roman"/>
          <w:sz w:val="20"/>
          <w:szCs w:val="20"/>
        </w:rPr>
        <w:t xml:space="preserve"> B.Q., </w:t>
      </w:r>
      <w:proofErr w:type="spellStart"/>
      <w:r w:rsidRPr="002D73E1">
        <w:rPr>
          <w:rFonts w:ascii="Times New Roman" w:hAnsi="Times New Roman" w:cs="Times New Roman"/>
          <w:sz w:val="20"/>
          <w:szCs w:val="20"/>
        </w:rPr>
        <w:t>Idieva</w:t>
      </w:r>
      <w:proofErr w:type="spellEnd"/>
      <w:r w:rsidRPr="002D73E1">
        <w:rPr>
          <w:rFonts w:ascii="Times New Roman" w:hAnsi="Times New Roman" w:cs="Times New Roman"/>
          <w:sz w:val="20"/>
          <w:szCs w:val="20"/>
        </w:rPr>
        <w:t xml:space="preserve"> A.A., Research of dynamic characteristics of magnetic modulation current converter with negative feedback // International Journal of Advanced Research in Science, Engineering and </w:t>
      </w:r>
      <w:r w:rsidRPr="002D73E1">
        <w:rPr>
          <w:rFonts w:ascii="Times New Roman" w:hAnsi="Times New Roman" w:cs="Times New Roman"/>
          <w:sz w:val="20"/>
          <w:szCs w:val="20"/>
        </w:rPr>
        <w:lastRenderedPageBreak/>
        <w:t xml:space="preserve">Technology, India, 2020, November, Vol. 7, Issue 11. – P. 15749-15752. </w:t>
      </w:r>
      <w:hyperlink r:id="rId27" w:history="1">
        <w:r w:rsidRPr="002D73E1">
          <w:rPr>
            <w:rStyle w:val="a6"/>
            <w:rFonts w:ascii="Times New Roman" w:hAnsi="Times New Roman" w:cs="Times New Roman"/>
            <w:sz w:val="20"/>
            <w:szCs w:val="20"/>
          </w:rPr>
          <w:t>http://www.ijarset.com/volume-7-issue-11.html?utm_source=chatgpt.com</w:t>
        </w:r>
      </w:hyperlink>
      <w:r w:rsidRPr="002D73E1">
        <w:rPr>
          <w:rFonts w:ascii="Times New Roman" w:hAnsi="Times New Roman" w:cs="Times New Roman"/>
          <w:sz w:val="20"/>
          <w:szCs w:val="20"/>
        </w:rPr>
        <w:t xml:space="preserve">   </w:t>
      </w:r>
    </w:p>
    <w:p w14:paraId="17136414" w14:textId="77777777" w:rsidR="00A249B4" w:rsidRPr="002D73E1" w:rsidRDefault="00A249B4" w:rsidP="00A249B4">
      <w:pPr>
        <w:pStyle w:val="Reference"/>
        <w:numPr>
          <w:ilvl w:val="0"/>
          <w:numId w:val="3"/>
        </w:numPr>
        <w:tabs>
          <w:tab w:val="left" w:pos="142"/>
          <w:tab w:val="left" w:pos="284"/>
          <w:tab w:val="left" w:pos="567"/>
        </w:tabs>
        <w:spacing w:before="0" w:beforeAutospacing="0" w:after="0" w:afterAutospacing="0"/>
        <w:ind w:left="0" w:firstLine="0"/>
        <w:rPr>
          <w:sz w:val="20"/>
          <w:szCs w:val="20"/>
        </w:rPr>
      </w:pPr>
      <w:r w:rsidRPr="002D73E1">
        <w:rPr>
          <w:rFonts w:eastAsia="Calibri"/>
          <w:sz w:val="20"/>
          <w:szCs w:val="20"/>
          <w:lang w:val="en-US"/>
        </w:rPr>
        <w:t xml:space="preserve">Bobur Narzullayev; </w:t>
      </w:r>
      <w:proofErr w:type="spellStart"/>
      <w:r w:rsidRPr="002D73E1">
        <w:rPr>
          <w:rFonts w:eastAsia="Calibri"/>
          <w:sz w:val="20"/>
          <w:szCs w:val="20"/>
          <w:lang w:val="en-US"/>
        </w:rPr>
        <w:t>Javokhir</w:t>
      </w:r>
      <w:proofErr w:type="spellEnd"/>
      <w:r w:rsidRPr="002D73E1">
        <w:rPr>
          <w:rFonts w:eastAsia="Calibri"/>
          <w:sz w:val="20"/>
          <w:szCs w:val="20"/>
          <w:lang w:val="en-US"/>
        </w:rPr>
        <w:t xml:space="preserve"> Boboqulov, </w:t>
      </w:r>
      <w:proofErr w:type="gramStart"/>
      <w:r w:rsidRPr="002D73E1">
        <w:rPr>
          <w:rFonts w:eastAsia="Calibri"/>
          <w:sz w:val="20"/>
          <w:szCs w:val="20"/>
          <w:lang w:val="en-US"/>
        </w:rPr>
        <w:t>Improving</w:t>
      </w:r>
      <w:proofErr w:type="gramEnd"/>
      <w:r w:rsidRPr="002D73E1">
        <w:rPr>
          <w:rFonts w:eastAsia="Calibri"/>
          <w:sz w:val="20"/>
          <w:szCs w:val="20"/>
          <w:lang w:val="en-US"/>
        </w:rPr>
        <w:t xml:space="preserve"> reliability based on diagnostics of the technical condition of electric motor stator gutters, AIP Conf. Proc. </w:t>
      </w:r>
      <w:r w:rsidRPr="002D73E1">
        <w:rPr>
          <w:rFonts w:eastAsia="Calibri"/>
          <w:b/>
          <w:sz w:val="20"/>
          <w:szCs w:val="20"/>
          <w:lang w:val="en-US"/>
        </w:rPr>
        <w:t>3331</w:t>
      </w:r>
      <w:r w:rsidRPr="002D73E1">
        <w:rPr>
          <w:rFonts w:eastAsia="Calibri"/>
          <w:sz w:val="20"/>
          <w:szCs w:val="20"/>
          <w:lang w:val="en-US"/>
        </w:rPr>
        <w:t>, 030032 (2025).</w:t>
      </w:r>
      <w:r w:rsidRPr="002D73E1">
        <w:rPr>
          <w:sz w:val="20"/>
          <w:szCs w:val="20"/>
          <w:lang w:val="en-US"/>
        </w:rPr>
        <w:t xml:space="preserve"> </w:t>
      </w:r>
      <w:hyperlink r:id="rId28" w:history="1">
        <w:r w:rsidRPr="002D73E1">
          <w:rPr>
            <w:rStyle w:val="a6"/>
            <w:rFonts w:eastAsia="Calibri"/>
            <w:sz w:val="20"/>
            <w:szCs w:val="20"/>
            <w:lang w:val="en-US"/>
          </w:rPr>
          <w:t>https</w:t>
        </w:r>
        <w:r w:rsidRPr="002D73E1">
          <w:rPr>
            <w:rStyle w:val="a6"/>
            <w:rFonts w:eastAsia="Calibri"/>
            <w:sz w:val="20"/>
            <w:szCs w:val="20"/>
          </w:rPr>
          <w:t>://</w:t>
        </w:r>
        <w:proofErr w:type="spellStart"/>
        <w:r w:rsidRPr="002D73E1">
          <w:rPr>
            <w:rStyle w:val="a6"/>
            <w:rFonts w:eastAsia="Calibri"/>
            <w:sz w:val="20"/>
            <w:szCs w:val="20"/>
            <w:lang w:val="en-US"/>
          </w:rPr>
          <w:t>doi</w:t>
        </w:r>
        <w:proofErr w:type="spellEnd"/>
        <w:r w:rsidRPr="002D73E1">
          <w:rPr>
            <w:rStyle w:val="a6"/>
            <w:rFonts w:eastAsia="Calibri"/>
            <w:sz w:val="20"/>
            <w:szCs w:val="20"/>
          </w:rPr>
          <w:t>.</w:t>
        </w:r>
        <w:r w:rsidRPr="002D73E1">
          <w:rPr>
            <w:rStyle w:val="a6"/>
            <w:rFonts w:eastAsia="Calibri"/>
            <w:sz w:val="20"/>
            <w:szCs w:val="20"/>
            <w:lang w:val="en-US"/>
          </w:rPr>
          <w:t>org</w:t>
        </w:r>
        <w:r w:rsidRPr="002D73E1">
          <w:rPr>
            <w:rStyle w:val="a6"/>
            <w:rFonts w:eastAsia="Calibri"/>
            <w:sz w:val="20"/>
            <w:szCs w:val="20"/>
          </w:rPr>
          <w:t>/10.1063/5.0305735</w:t>
        </w:r>
      </w:hyperlink>
      <w:r w:rsidRPr="002D73E1">
        <w:rPr>
          <w:rFonts w:eastAsia="Calibri"/>
          <w:sz w:val="20"/>
          <w:szCs w:val="20"/>
        </w:rPr>
        <w:t xml:space="preserve"> </w:t>
      </w:r>
    </w:p>
    <w:p w14:paraId="03614877" w14:textId="4DFD7F52" w:rsidR="00A249B4" w:rsidRPr="002D73E1" w:rsidRDefault="00A249B4" w:rsidP="00A249B4">
      <w:pPr>
        <w:pStyle w:val="a4"/>
        <w:numPr>
          <w:ilvl w:val="0"/>
          <w:numId w:val="3"/>
        </w:numPr>
        <w:tabs>
          <w:tab w:val="left" w:pos="284"/>
          <w:tab w:val="left" w:pos="993"/>
        </w:tabs>
        <w:spacing w:after="0" w:line="240" w:lineRule="auto"/>
        <w:ind w:left="0" w:firstLine="0"/>
        <w:jc w:val="both"/>
        <w:rPr>
          <w:rFonts w:ascii="Times New Roman" w:hAnsi="Times New Roman" w:cs="Times New Roman"/>
          <w:sz w:val="20"/>
          <w:szCs w:val="20"/>
        </w:rPr>
      </w:pPr>
      <w:r w:rsidRPr="002D73E1">
        <w:rPr>
          <w:rFonts w:ascii="Times New Roman" w:hAnsi="Times New Roman" w:cs="Times New Roman"/>
          <w:sz w:val="20"/>
          <w:szCs w:val="20"/>
        </w:rPr>
        <w:t xml:space="preserve">Boboqulov J., </w:t>
      </w:r>
      <w:proofErr w:type="spellStart"/>
      <w:r w:rsidRPr="002D73E1">
        <w:rPr>
          <w:rFonts w:ascii="Times New Roman" w:hAnsi="Times New Roman" w:cs="Times New Roman"/>
          <w:sz w:val="20"/>
          <w:szCs w:val="20"/>
        </w:rPr>
        <w:t>Narzullayev</w:t>
      </w:r>
      <w:proofErr w:type="spellEnd"/>
      <w:r w:rsidRPr="002D73E1">
        <w:rPr>
          <w:rFonts w:ascii="Times New Roman" w:hAnsi="Times New Roman" w:cs="Times New Roman"/>
          <w:sz w:val="20"/>
          <w:szCs w:val="20"/>
        </w:rPr>
        <w:t xml:space="preserve"> B. Development of a model for diagnosing rotor conditions in the parallel connection of synchronous generators with the network // E3S Web of Conferences. – EDP Sciences, 2024. – Т. 525. – С. 06001. </w:t>
      </w:r>
      <w:hyperlink r:id="rId29" w:history="1">
        <w:r w:rsidRPr="002D73E1">
          <w:rPr>
            <w:rStyle w:val="a6"/>
            <w:rFonts w:ascii="Times New Roman" w:hAnsi="Times New Roman" w:cs="Times New Roman"/>
            <w:sz w:val="20"/>
            <w:szCs w:val="20"/>
          </w:rPr>
          <w:t>https://doi.org/10.1051/e3sconf/202452506001</w:t>
        </w:r>
      </w:hyperlink>
    </w:p>
    <w:sectPr w:rsidR="00A249B4" w:rsidRPr="002D73E1" w:rsidSect="00030BB7">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A38B0"/>
    <w:multiLevelType w:val="multilevel"/>
    <w:tmpl w:val="0CF6A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57054BB"/>
    <w:multiLevelType w:val="hybridMultilevel"/>
    <w:tmpl w:val="AC6C4AFA"/>
    <w:lvl w:ilvl="0" w:tplc="EDB27460">
      <w:start w:val="1"/>
      <w:numFmt w:val="decimal"/>
      <w:lvlText w:val="%1."/>
      <w:lvlJc w:val="left"/>
      <w:pPr>
        <w:ind w:left="644" w:hanging="360"/>
      </w:pPr>
      <w:rPr>
        <w:rFonts w:hint="default"/>
        <w:b/>
        <w:bCs/>
        <w:color w:val="000000" w:themeColor="text1"/>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42853688">
    <w:abstractNumId w:val="2"/>
  </w:num>
  <w:num w:numId="2" w16cid:durableId="1788043622">
    <w:abstractNumId w:val="1"/>
  </w:num>
  <w:num w:numId="3" w16cid:durableId="1574967761">
    <w:abstractNumId w:val="6"/>
  </w:num>
  <w:num w:numId="4" w16cid:durableId="254361155">
    <w:abstractNumId w:val="4"/>
  </w:num>
  <w:num w:numId="5" w16cid:durableId="1613971897">
    <w:abstractNumId w:val="3"/>
  </w:num>
  <w:num w:numId="6" w16cid:durableId="1777750123">
    <w:abstractNumId w:val="5"/>
  </w:num>
  <w:num w:numId="7" w16cid:durableId="101260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5F35"/>
    <w:rsid w:val="0001623C"/>
    <w:rsid w:val="00016345"/>
    <w:rsid w:val="00020836"/>
    <w:rsid w:val="00021B81"/>
    <w:rsid w:val="00021CB5"/>
    <w:rsid w:val="0002386B"/>
    <w:rsid w:val="00025826"/>
    <w:rsid w:val="00025BFC"/>
    <w:rsid w:val="00026F3C"/>
    <w:rsid w:val="00027027"/>
    <w:rsid w:val="00027F63"/>
    <w:rsid w:val="00030131"/>
    <w:rsid w:val="000301A2"/>
    <w:rsid w:val="00030BB7"/>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B4"/>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DFC"/>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B56"/>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48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AD7"/>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0797F"/>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D73E1"/>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5A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61A"/>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E1C"/>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6335"/>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B7D97"/>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68E"/>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2BF9"/>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7F55CA"/>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3672"/>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37C"/>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67732"/>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7F7"/>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B776E"/>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9B4"/>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6F3E"/>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3E"/>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158"/>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77A"/>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9F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1DE9"/>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495"/>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1BDE"/>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118"/>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675"/>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docId w15:val="{67E75CDD-D585-4AAE-AF9D-B03ECD8F7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7">
    <w:name w:val="Strong"/>
    <w:basedOn w:val="a0"/>
    <w:uiPriority w:val="22"/>
    <w:qFormat/>
    <w:rsid w:val="00656335"/>
    <w:rPr>
      <w:b/>
      <w:bCs/>
    </w:rPr>
  </w:style>
  <w:style w:type="paragraph" w:customStyle="1" w:styleId="leading-8">
    <w:name w:val="leading-8"/>
    <w:basedOn w:val="a"/>
    <w:rsid w:val="006B7D9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4D261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Paragraph">
    <w:name w:val="Paragraph"/>
    <w:basedOn w:val="a"/>
    <w:uiPriority w:val="99"/>
    <w:rsid w:val="007F55CA"/>
    <w:pPr>
      <w:spacing w:after="0" w:line="240" w:lineRule="auto"/>
      <w:ind w:firstLine="284"/>
      <w:jc w:val="both"/>
    </w:pPr>
    <w:rPr>
      <w:rFonts w:ascii="Times New Roman" w:eastAsia="Times New Roman" w:hAnsi="Times New Roman" w:cs="Times New Roman"/>
      <w:sz w:val="20"/>
      <w:szCs w:val="20"/>
    </w:rPr>
  </w:style>
  <w:style w:type="paragraph" w:styleId="a9">
    <w:name w:val="Balloon Text"/>
    <w:basedOn w:val="a"/>
    <w:link w:val="aa"/>
    <w:uiPriority w:val="99"/>
    <w:semiHidden/>
    <w:unhideWhenUsed/>
    <w:rsid w:val="00A249B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249B4"/>
    <w:rPr>
      <w:rFonts w:ascii="Tahoma" w:hAnsi="Tahoma" w:cs="Tahoma"/>
      <w:sz w:val="16"/>
      <w:szCs w:val="16"/>
    </w:rPr>
  </w:style>
  <w:style w:type="character" w:customStyle="1" w:styleId="fontstyle01">
    <w:name w:val="fontstyle01"/>
    <w:basedOn w:val="a0"/>
    <w:rsid w:val="00A249B4"/>
    <w:rPr>
      <w:rFonts w:ascii="TimesNewRomanPS-BoldMT" w:hAnsi="TimesNewRomanPS-BoldMT" w:hint="default"/>
      <w:b/>
      <w:bCs/>
      <w:i w:val="0"/>
      <w:iCs w:val="0"/>
      <w:color w:val="242021"/>
      <w:sz w:val="24"/>
      <w:szCs w:val="24"/>
    </w:rPr>
  </w:style>
  <w:style w:type="character" w:customStyle="1" w:styleId="highlight-module1p2so">
    <w:name w:val="highlight-module__1p2so"/>
    <w:basedOn w:val="a0"/>
    <w:rsid w:val="00A249B4"/>
  </w:style>
  <w:style w:type="character" w:customStyle="1" w:styleId="typography-modulelvnit">
    <w:name w:val="typography-module__lvnit"/>
    <w:basedOn w:val="a0"/>
    <w:rsid w:val="00A249B4"/>
  </w:style>
  <w:style w:type="paragraph" w:customStyle="1" w:styleId="ReferencesBody">
    <w:name w:val="References Body"/>
    <w:basedOn w:val="a"/>
    <w:uiPriority w:val="99"/>
    <w:rsid w:val="00A249B4"/>
    <w:pPr>
      <w:suppressAutoHyphens/>
      <w:spacing w:before="60" w:after="0" w:line="240" w:lineRule="auto"/>
    </w:pPr>
    <w:rPr>
      <w:rFonts w:ascii="Times New Roman" w:eastAsia="Times New Roman" w:hAnsi="Times New Roman" w:cs="New York"/>
      <w:sz w:val="20"/>
      <w:szCs w:val="20"/>
      <w:lang w:val="en-GB" w:eastAsia="ar-SA"/>
    </w:rPr>
  </w:style>
  <w:style w:type="paragraph" w:customStyle="1" w:styleId="Reference">
    <w:name w:val="Reference"/>
    <w:basedOn w:val="a"/>
    <w:rsid w:val="00A249B4"/>
    <w:pPr>
      <w:spacing w:before="100" w:beforeAutospacing="1" w:after="100" w:afterAutospacing="1" w:line="240" w:lineRule="auto"/>
      <w:jc w:val="both"/>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592132416">
      <w:bodyDiv w:val="1"/>
      <w:marLeft w:val="0"/>
      <w:marRight w:val="0"/>
      <w:marTop w:val="0"/>
      <w:marBottom w:val="0"/>
      <w:divBdr>
        <w:top w:val="none" w:sz="0" w:space="0" w:color="auto"/>
        <w:left w:val="none" w:sz="0" w:space="0" w:color="auto"/>
        <w:bottom w:val="none" w:sz="0" w:space="0" w:color="auto"/>
        <w:right w:val="none" w:sz="0" w:space="0" w:color="auto"/>
      </w:divBdr>
    </w:div>
    <w:div w:id="757096619">
      <w:bodyDiv w:val="1"/>
      <w:marLeft w:val="0"/>
      <w:marRight w:val="0"/>
      <w:marTop w:val="0"/>
      <w:marBottom w:val="0"/>
      <w:divBdr>
        <w:top w:val="none" w:sz="0" w:space="0" w:color="auto"/>
        <w:left w:val="none" w:sz="0" w:space="0" w:color="auto"/>
        <w:bottom w:val="none" w:sz="0" w:space="0" w:color="auto"/>
        <w:right w:val="none" w:sz="0" w:space="0" w:color="auto"/>
      </w:divBdr>
    </w:div>
    <w:div w:id="1060593310">
      <w:bodyDiv w:val="1"/>
      <w:marLeft w:val="0"/>
      <w:marRight w:val="0"/>
      <w:marTop w:val="0"/>
      <w:marBottom w:val="0"/>
      <w:divBdr>
        <w:top w:val="none" w:sz="0" w:space="0" w:color="auto"/>
        <w:left w:val="none" w:sz="0" w:space="0" w:color="auto"/>
        <w:bottom w:val="none" w:sz="0" w:space="0" w:color="auto"/>
        <w:right w:val="none" w:sz="0" w:space="0" w:color="auto"/>
      </w:divBdr>
      <w:divsChild>
        <w:div w:id="442382233">
          <w:marLeft w:val="0"/>
          <w:marRight w:val="0"/>
          <w:marTop w:val="0"/>
          <w:marBottom w:val="0"/>
          <w:divBdr>
            <w:top w:val="none" w:sz="0" w:space="0" w:color="auto"/>
            <w:left w:val="none" w:sz="0" w:space="0" w:color="auto"/>
            <w:bottom w:val="none" w:sz="0" w:space="0" w:color="auto"/>
            <w:right w:val="none" w:sz="0" w:space="0" w:color="auto"/>
          </w:divBdr>
        </w:div>
        <w:div w:id="168956697">
          <w:marLeft w:val="0"/>
          <w:marRight w:val="0"/>
          <w:marTop w:val="0"/>
          <w:marBottom w:val="0"/>
          <w:divBdr>
            <w:top w:val="none" w:sz="0" w:space="0" w:color="auto"/>
            <w:left w:val="none" w:sz="0" w:space="0" w:color="auto"/>
            <w:bottom w:val="none" w:sz="0" w:space="0" w:color="auto"/>
            <w:right w:val="none" w:sz="0" w:space="0" w:color="auto"/>
          </w:divBdr>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40127712">
      <w:bodyDiv w:val="1"/>
      <w:marLeft w:val="0"/>
      <w:marRight w:val="0"/>
      <w:marTop w:val="0"/>
      <w:marBottom w:val="0"/>
      <w:divBdr>
        <w:top w:val="none" w:sz="0" w:space="0" w:color="auto"/>
        <w:left w:val="none" w:sz="0" w:space="0" w:color="auto"/>
        <w:bottom w:val="none" w:sz="0" w:space="0" w:color="auto"/>
        <w:right w:val="none" w:sz="0" w:space="0" w:color="auto"/>
      </w:divBdr>
    </w:div>
    <w:div w:id="1806969184">
      <w:bodyDiv w:val="1"/>
      <w:marLeft w:val="0"/>
      <w:marRight w:val="0"/>
      <w:marTop w:val="0"/>
      <w:marBottom w:val="0"/>
      <w:divBdr>
        <w:top w:val="none" w:sz="0" w:space="0" w:color="auto"/>
        <w:left w:val="none" w:sz="0" w:space="0" w:color="auto"/>
        <w:bottom w:val="none" w:sz="0" w:space="0" w:color="auto"/>
        <w:right w:val="none" w:sz="0" w:space="0" w:color="auto"/>
      </w:divBdr>
      <w:divsChild>
        <w:div w:id="1991057774">
          <w:marLeft w:val="0"/>
          <w:marRight w:val="0"/>
          <w:marTop w:val="0"/>
          <w:marBottom w:val="0"/>
          <w:divBdr>
            <w:top w:val="none" w:sz="0" w:space="0" w:color="auto"/>
            <w:left w:val="none" w:sz="0" w:space="0" w:color="auto"/>
            <w:bottom w:val="none" w:sz="0" w:space="0" w:color="auto"/>
            <w:right w:val="none" w:sz="0" w:space="0" w:color="auto"/>
          </w:divBdr>
        </w:div>
        <w:div w:id="171723160">
          <w:marLeft w:val="0"/>
          <w:marRight w:val="0"/>
          <w:marTop w:val="0"/>
          <w:marBottom w:val="0"/>
          <w:divBdr>
            <w:top w:val="none" w:sz="0" w:space="0" w:color="auto"/>
            <w:left w:val="none" w:sz="0" w:space="0" w:color="auto"/>
            <w:bottom w:val="none" w:sz="0" w:space="0" w:color="auto"/>
            <w:right w:val="none" w:sz="0" w:space="0" w:color="auto"/>
          </w:divBdr>
        </w:div>
      </w:divsChild>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 w:id="2032224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502-020-00829-2" TargetMode="External"/><Relationship Id="rId13" Type="http://schemas.openxmlformats.org/officeDocument/2006/relationships/hyperlink" Target="https://academiaone.org/index.php/2/article/view/854" TargetMode="External"/><Relationship Id="rId18" Type="http://schemas.openxmlformats.org/officeDocument/2006/relationships/hyperlink" Target="https://doi.org/10.1063/5.0306554" TargetMode="External"/><Relationship Id="rId26" Type="http://schemas.openxmlformats.org/officeDocument/2006/relationships/hyperlink" Target="https://doi.org/10.1051/e3sconf/202454803009" TargetMode="External"/><Relationship Id="rId3" Type="http://schemas.openxmlformats.org/officeDocument/2006/relationships/settings" Target="settings.xml"/><Relationship Id="rId21" Type="http://schemas.openxmlformats.org/officeDocument/2006/relationships/hyperlink" Target="https://www.scopus.com/authid/detail.uri?authorId=58029828400" TargetMode="External"/><Relationship Id="rId7" Type="http://schemas.openxmlformats.org/officeDocument/2006/relationships/chart" Target="charts/chart3.xml"/><Relationship Id="rId12" Type="http://schemas.openxmlformats.org/officeDocument/2006/relationships/hyperlink" Target="https://doi.org/10.21595/vp.2024.24051" TargetMode="External"/><Relationship Id="rId17" Type="http://schemas.openxmlformats.org/officeDocument/2006/relationships/hyperlink" Target="https://doi.org/10.1051/e3sconf/202346302023" TargetMode="External"/><Relationship Id="rId25" Type="http://schemas.openxmlformats.org/officeDocument/2006/relationships/hyperlink" Target="https://doi.org/10.1051/e3sconf/202452503004" TargetMode="External"/><Relationship Id="rId2" Type="http://schemas.openxmlformats.org/officeDocument/2006/relationships/styles" Target="styles.xml"/><Relationship Id="rId16" Type="http://schemas.openxmlformats.org/officeDocument/2006/relationships/hyperlink" Target="https://doi.org/10.31643/2026/6445.43" TargetMode="External"/><Relationship Id="rId20" Type="http://schemas.openxmlformats.org/officeDocument/2006/relationships/hyperlink" Target="https://doi.org/10.1063/5.0116131" TargetMode="External"/><Relationship Id="rId29" Type="http://schemas.openxmlformats.org/officeDocument/2006/relationships/hyperlink" Target="https://doi.org/10.1051/e3sconf/202452506001" TargetMode="Externa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doi.org/10.3390/cli8090101" TargetMode="External"/><Relationship Id="rId24" Type="http://schemas.openxmlformats.org/officeDocument/2006/relationships/hyperlink" Target="https://doi.org/10.1051/e3sconf/202341703001" TargetMode="External"/><Relationship Id="rId5" Type="http://schemas.openxmlformats.org/officeDocument/2006/relationships/chart" Target="charts/chart1.xml"/><Relationship Id="rId15" Type="http://schemas.openxmlformats.org/officeDocument/2006/relationships/hyperlink" Target="https://doi.org/10.31643/2026/6445.01" TargetMode="External"/><Relationship Id="rId23" Type="http://schemas.openxmlformats.org/officeDocument/2006/relationships/hyperlink" Target="https://doi.org/10.1063/5.0305703" TargetMode="External"/><Relationship Id="rId28" Type="http://schemas.openxmlformats.org/officeDocument/2006/relationships/hyperlink" Target="https://doi.org/10.1063/5.0305735" TargetMode="External"/><Relationship Id="rId10" Type="http://schemas.openxmlformats.org/officeDocument/2006/relationships/hyperlink" Target="https://doi.org/10.1590/0104-6632.20140313s00002676" TargetMode="External"/><Relationship Id="rId19" Type="http://schemas.openxmlformats.org/officeDocument/2006/relationships/hyperlink" Target="https://doi.org/10.1051/e3sconf/20244980101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51/e3sconf/202562705022" TargetMode="External"/><Relationship Id="rId14" Type="http://schemas.openxmlformats.org/officeDocument/2006/relationships/hyperlink" Target="https://doi.org/10.1051/e3sconf/202562705001" TargetMode="External"/><Relationship Id="rId22" Type="http://schemas.openxmlformats.org/officeDocument/2006/relationships/hyperlink" Target="https://doi.org/10.21595/vp.2024.24051" TargetMode="External"/><Relationship Id="rId27" Type="http://schemas.openxmlformats.org/officeDocument/2006/relationships/hyperlink" Target="http://www.ijarset.com/volume-7-issue-11.html?utm_source=chatgpt.com"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User\Desktop\Microsoft%20Excel%20Workshee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User\Downloads\Telegram%20Desktop\&#1051;&#1080;&#1089;&#1090;%20Microsoft%20Excel%20(2)%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User\Downloads\Telegram%20Desktop\&#1051;&#1080;&#1089;&#1090;%20Microsoft%20Excel%20(2)%20(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Лист2!$E$2:$E$8</c:f>
              <c:numCache>
                <c:formatCode>General</c:formatCode>
                <c:ptCount val="7"/>
                <c:pt idx="0">
                  <c:v>1200</c:v>
                </c:pt>
                <c:pt idx="1">
                  <c:v>1400</c:v>
                </c:pt>
                <c:pt idx="2">
                  <c:v>1600</c:v>
                </c:pt>
                <c:pt idx="3">
                  <c:v>1800</c:v>
                </c:pt>
                <c:pt idx="4">
                  <c:v>2000</c:v>
                </c:pt>
                <c:pt idx="5">
                  <c:v>2200</c:v>
                </c:pt>
                <c:pt idx="6">
                  <c:v>2400</c:v>
                </c:pt>
              </c:numCache>
            </c:numRef>
          </c:xVal>
          <c:yVal>
            <c:numRef>
              <c:f>Лист2!$F$2:$F$8</c:f>
              <c:numCache>
                <c:formatCode>General</c:formatCode>
                <c:ptCount val="7"/>
                <c:pt idx="0">
                  <c:v>700</c:v>
                </c:pt>
                <c:pt idx="1">
                  <c:v>816.66</c:v>
                </c:pt>
                <c:pt idx="2">
                  <c:v>933.33299999999997</c:v>
                </c:pt>
                <c:pt idx="3">
                  <c:v>1066.6666</c:v>
                </c:pt>
                <c:pt idx="4">
                  <c:v>1142.8399999999999</c:v>
                </c:pt>
                <c:pt idx="5">
                  <c:v>1283.3333</c:v>
                </c:pt>
                <c:pt idx="6">
                  <c:v>1400</c:v>
                </c:pt>
              </c:numCache>
            </c:numRef>
          </c:yVal>
          <c:smooth val="1"/>
          <c:extLst>
            <c:ext xmlns:c16="http://schemas.microsoft.com/office/drawing/2014/chart" uri="{C3380CC4-5D6E-409C-BE32-E72D297353CC}">
              <c16:uniqueId val="{00000000-5795-4C61-B036-C575D427F1A8}"/>
            </c:ext>
          </c:extLst>
        </c:ser>
        <c:dLbls>
          <c:showLegendKey val="0"/>
          <c:showVal val="0"/>
          <c:showCatName val="0"/>
          <c:showSerName val="0"/>
          <c:showPercent val="0"/>
          <c:showBubbleSize val="0"/>
        </c:dLbls>
        <c:axId val="127234432"/>
        <c:axId val="127236736"/>
      </c:scatterChart>
      <c:valAx>
        <c:axId val="127234432"/>
        <c:scaling>
          <c:orientation val="minMax"/>
          <c:max val="2500"/>
          <c:min val="1000"/>
        </c:scaling>
        <c:delete val="0"/>
        <c:axPos val="b"/>
        <c:majorGridlines>
          <c:spPr>
            <a:ln w="9525" cap="flat" cmpd="sng" algn="ctr">
              <a:solidFill>
                <a:schemeClr val="tx1">
                  <a:lumMod val="15000"/>
                  <a:lumOff val="85000"/>
                </a:schemeClr>
              </a:solidFill>
              <a:round/>
            </a:ln>
            <a:effectLst/>
          </c:spPr>
        </c:majorGridlines>
        <c:title>
          <c:tx>
            <c:rich>
              <a:bodyPr rot="0" vert="horz"/>
              <a:lstStyle/>
              <a:p>
                <a:pPr algn="ctr" rtl="0">
                  <a:defRPr/>
                </a:pPr>
                <a:r>
                  <a:rPr lang="en-US"/>
                  <a:t>Total force (N)</a:t>
                </a:r>
              </a:p>
            </c:rich>
          </c:tx>
          <c:layout>
            <c:manualLayout>
              <c:xMode val="edge"/>
              <c:yMode val="edge"/>
              <c:x val="0.4180044887813375"/>
              <c:y val="0.868273017596938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sz="900"/>
            </a:pPr>
            <a:endParaRPr lang="ru-RU"/>
          </a:p>
        </c:txPr>
        <c:crossAx val="127236736"/>
        <c:crosses val="autoZero"/>
        <c:crossBetween val="midCat"/>
        <c:majorUnit val="100"/>
        <c:minorUnit val="50"/>
      </c:valAx>
      <c:valAx>
        <c:axId val="127236736"/>
        <c:scaling>
          <c:orientation val="minMax"/>
          <c:min val="60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lgn="ctr" rtl="0">
                  <a:defRPr/>
                </a:pPr>
                <a:r>
                  <a:rPr lang="en-US"/>
                  <a:t>Liquid density (kg/m3)</a:t>
                </a:r>
              </a:p>
            </c:rich>
          </c:tx>
          <c:layout>
            <c:manualLayout>
              <c:xMode val="edge"/>
              <c:yMode val="edge"/>
              <c:x val="1.7751528620917369E-2"/>
              <c:y val="2.8534191846708811E-2"/>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ru-RU"/>
          </a:p>
        </c:txPr>
        <c:crossAx val="127234432"/>
        <c:crossesAt val="0"/>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 Microsoft Excel (2) (2).xlsx]Лист1'!$L$18</c:f>
              <c:strCache>
                <c:ptCount val="1"/>
              </c:strCache>
            </c:strRef>
          </c:tx>
          <c:spPr>
            <a:ln w="28575" cap="rnd">
              <a:solidFill>
                <a:schemeClr val="accent1"/>
              </a:solidFill>
              <a:prstDash val="dash"/>
              <a:round/>
            </a:ln>
            <a:effectLst/>
          </c:spPr>
          <c:marker>
            <c:symbol val="none"/>
          </c:marker>
          <c:cat>
            <c:numRef>
              <c:f>'[Лист Microsoft Excel (2) (2).xlsx]Лист1'!$K$19:$K$26</c:f>
              <c:numCache>
                <c:formatCode>General</c:formatCode>
                <c:ptCount val="8"/>
                <c:pt idx="0">
                  <c:v>700</c:v>
                </c:pt>
                <c:pt idx="1">
                  <c:v>800</c:v>
                </c:pt>
                <c:pt idx="2">
                  <c:v>900</c:v>
                </c:pt>
                <c:pt idx="3">
                  <c:v>1000</c:v>
                </c:pt>
                <c:pt idx="4">
                  <c:v>1100</c:v>
                </c:pt>
                <c:pt idx="5">
                  <c:v>1200</c:v>
                </c:pt>
                <c:pt idx="6">
                  <c:v>1300</c:v>
                </c:pt>
                <c:pt idx="7">
                  <c:v>1400</c:v>
                </c:pt>
              </c:numCache>
            </c:numRef>
          </c:cat>
          <c:val>
            <c:numRef>
              <c:f>'[Лист Microsoft Excel (2) (2).xlsx]Лист1'!$L$19:$L$26</c:f>
              <c:numCache>
                <c:formatCode>General</c:formatCode>
                <c:ptCount val="8"/>
                <c:pt idx="0">
                  <c:v>140000</c:v>
                </c:pt>
                <c:pt idx="1">
                  <c:v>160000</c:v>
                </c:pt>
                <c:pt idx="2">
                  <c:v>180000</c:v>
                </c:pt>
                <c:pt idx="3">
                  <c:v>200000</c:v>
                </c:pt>
                <c:pt idx="4">
                  <c:v>220000</c:v>
                </c:pt>
                <c:pt idx="5">
                  <c:v>240000</c:v>
                </c:pt>
                <c:pt idx="6">
                  <c:v>260000</c:v>
                </c:pt>
                <c:pt idx="7">
                  <c:v>275000</c:v>
                </c:pt>
              </c:numCache>
            </c:numRef>
          </c:val>
          <c:smooth val="0"/>
          <c:extLst>
            <c:ext xmlns:c16="http://schemas.microsoft.com/office/drawing/2014/chart" uri="{C3380CC4-5D6E-409C-BE32-E72D297353CC}">
              <c16:uniqueId val="{00000000-8381-4CF4-A125-080ED78F749B}"/>
            </c:ext>
          </c:extLst>
        </c:ser>
        <c:ser>
          <c:idx val="1"/>
          <c:order val="1"/>
          <c:tx>
            <c:strRef>
              <c:f>'[Лист Microsoft Excel (2) (2).xlsx]Лист1'!$M$18</c:f>
              <c:strCache>
                <c:ptCount val="1"/>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linear"/>
            <c:dispRSqr val="0"/>
            <c:dispEq val="0"/>
          </c:trendline>
          <c:cat>
            <c:numRef>
              <c:f>'[Лист Microsoft Excel (2) (2).xlsx]Лист1'!$K$19:$K$26</c:f>
              <c:numCache>
                <c:formatCode>General</c:formatCode>
                <c:ptCount val="8"/>
                <c:pt idx="0">
                  <c:v>700</c:v>
                </c:pt>
                <c:pt idx="1">
                  <c:v>800</c:v>
                </c:pt>
                <c:pt idx="2">
                  <c:v>900</c:v>
                </c:pt>
                <c:pt idx="3">
                  <c:v>1000</c:v>
                </c:pt>
                <c:pt idx="4">
                  <c:v>1100</c:v>
                </c:pt>
                <c:pt idx="5">
                  <c:v>1200</c:v>
                </c:pt>
                <c:pt idx="6">
                  <c:v>1300</c:v>
                </c:pt>
                <c:pt idx="7">
                  <c:v>1400</c:v>
                </c:pt>
              </c:numCache>
            </c:numRef>
          </c:cat>
          <c:val>
            <c:numRef>
              <c:f>'[Лист Microsoft Excel (2) (2).xlsx]Лист1'!$M$19:$M$26</c:f>
              <c:numCache>
                <c:formatCode>General</c:formatCode>
                <c:ptCount val="8"/>
                <c:pt idx="0">
                  <c:v>100000</c:v>
                </c:pt>
                <c:pt idx="1">
                  <c:v>110000</c:v>
                </c:pt>
                <c:pt idx="2">
                  <c:v>120000</c:v>
                </c:pt>
                <c:pt idx="3">
                  <c:v>130000</c:v>
                </c:pt>
                <c:pt idx="4">
                  <c:v>140000</c:v>
                </c:pt>
                <c:pt idx="5">
                  <c:v>150000</c:v>
                </c:pt>
                <c:pt idx="6">
                  <c:v>160000</c:v>
                </c:pt>
                <c:pt idx="7">
                  <c:v>170000</c:v>
                </c:pt>
              </c:numCache>
            </c:numRef>
          </c:val>
          <c:smooth val="0"/>
          <c:extLst>
            <c:ext xmlns:c16="http://schemas.microsoft.com/office/drawing/2014/chart" uri="{C3380CC4-5D6E-409C-BE32-E72D297353CC}">
              <c16:uniqueId val="{00000001-8381-4CF4-A125-080ED78F749B}"/>
            </c:ext>
          </c:extLst>
        </c:ser>
        <c:dLbls>
          <c:showLegendKey val="0"/>
          <c:showVal val="0"/>
          <c:showCatName val="0"/>
          <c:showSerName val="0"/>
          <c:showPercent val="0"/>
          <c:showBubbleSize val="0"/>
        </c:dLbls>
        <c:smooth val="0"/>
        <c:axId val="129254528"/>
        <c:axId val="129256448"/>
      </c:lineChart>
      <c:catAx>
        <c:axId val="129254528"/>
        <c:scaling>
          <c:orientation val="minMax"/>
        </c:scaling>
        <c:delete val="0"/>
        <c:axPos val="b"/>
        <c:title>
          <c:tx>
            <c:rich>
              <a:bodyPr rot="0" vert="horz"/>
              <a:lstStyle/>
              <a:p>
                <a:pPr algn="ctr" rtl="0">
                  <a:defRPr/>
                </a:pPr>
                <a:r>
                  <a:rPr lang="en-US"/>
                  <a:t>Liquid density (kg/m3)</a:t>
                </a:r>
                <a:endParaRPr lang="ru-RU"/>
              </a:p>
            </c:rich>
          </c:tx>
          <c:layout>
            <c:manualLayout>
              <c:xMode val="edge"/>
              <c:yMode val="edge"/>
              <c:x val="0.35032696565103277"/>
              <c:y val="0.9101111180000137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29256448"/>
        <c:crosses val="autoZero"/>
        <c:auto val="1"/>
        <c:lblAlgn val="ctr"/>
        <c:lblOffset val="100"/>
        <c:noMultiLvlLbl val="0"/>
      </c:catAx>
      <c:valAx>
        <c:axId val="129256448"/>
        <c:scaling>
          <c:orientation val="minMax"/>
          <c:max val="275000"/>
          <c:min val="100000"/>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Pressure rise across the pump (pa)</a:t>
                </a:r>
                <a:endParaRPr lang="ru-RU"/>
              </a:p>
            </c:rich>
          </c:tx>
          <c:layout>
            <c:manualLayout>
              <c:xMode val="edge"/>
              <c:yMode val="edge"/>
              <c:x val="1.1594202898550725E-2"/>
              <c:y val="0.17684446924449404"/>
            </c:manualLayout>
          </c:layout>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29254528"/>
        <c:crosses val="autoZero"/>
        <c:crossBetween val="between"/>
        <c:majorUnit val="2500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v>Light crude 820</c:v>
          </c:tx>
          <c:spPr>
            <a:ln w="28575" cap="rnd">
              <a:solidFill>
                <a:schemeClr val="accent1"/>
              </a:solidFill>
              <a:round/>
            </a:ln>
            <a:effectLst/>
          </c:spPr>
          <c:marker>
            <c:symbol val="none"/>
          </c:marker>
          <c:cat>
            <c:strRef>
              <c:f>'[Лист Microsoft Excel (2) (2).xlsx]Лист1'!$F$34:$F$39</c:f>
              <c:strCache>
                <c:ptCount val="6"/>
                <c:pt idx="0">
                  <c:v>0.00</c:v>
                </c:pt>
                <c:pt idx="1">
                  <c:v>0.02</c:v>
                </c:pt>
                <c:pt idx="2">
                  <c:v>0.04</c:v>
                </c:pt>
                <c:pt idx="3">
                  <c:v>0.06</c:v>
                </c:pt>
                <c:pt idx="4">
                  <c:v>0.08</c:v>
                </c:pt>
                <c:pt idx="5">
                  <c:v>0.10</c:v>
                </c:pt>
              </c:strCache>
            </c:strRef>
          </c:cat>
          <c:val>
            <c:numRef>
              <c:f>'[Лист Microsoft Excel (2) (2).xlsx]Лист1'!$G$34:$G$39</c:f>
              <c:numCache>
                <c:formatCode>General</c:formatCode>
                <c:ptCount val="6"/>
                <c:pt idx="0">
                  <c:v>150000</c:v>
                </c:pt>
                <c:pt idx="1">
                  <c:v>144000</c:v>
                </c:pt>
                <c:pt idx="2">
                  <c:v>126000</c:v>
                </c:pt>
                <c:pt idx="3">
                  <c:v>96000</c:v>
                </c:pt>
                <c:pt idx="4">
                  <c:v>54000</c:v>
                </c:pt>
                <c:pt idx="5">
                  <c:v>0.1</c:v>
                </c:pt>
              </c:numCache>
            </c:numRef>
          </c:val>
          <c:smooth val="0"/>
          <c:extLst>
            <c:ext xmlns:c16="http://schemas.microsoft.com/office/drawing/2014/chart" uri="{C3380CC4-5D6E-409C-BE32-E72D297353CC}">
              <c16:uniqueId val="{00000000-8881-4682-8DD6-7FCB2576A392}"/>
            </c:ext>
          </c:extLst>
        </c:ser>
        <c:ser>
          <c:idx val="1"/>
          <c:order val="1"/>
          <c:tx>
            <c:v>Pure water 1000</c:v>
          </c:tx>
          <c:spPr>
            <a:ln w="28575" cap="rnd">
              <a:solidFill>
                <a:schemeClr val="accent2"/>
              </a:solidFill>
              <a:round/>
            </a:ln>
            <a:effectLst/>
          </c:spPr>
          <c:marker>
            <c:symbol val="none"/>
          </c:marker>
          <c:cat>
            <c:strRef>
              <c:f>'[Лист Microsoft Excel (2) (2).xlsx]Лист1'!$F$34:$F$39</c:f>
              <c:strCache>
                <c:ptCount val="6"/>
                <c:pt idx="0">
                  <c:v>0.00</c:v>
                </c:pt>
                <c:pt idx="1">
                  <c:v>0.02</c:v>
                </c:pt>
                <c:pt idx="2">
                  <c:v>0.04</c:v>
                </c:pt>
                <c:pt idx="3">
                  <c:v>0.06</c:v>
                </c:pt>
                <c:pt idx="4">
                  <c:v>0.08</c:v>
                </c:pt>
                <c:pt idx="5">
                  <c:v>0.10</c:v>
                </c:pt>
              </c:strCache>
            </c:strRef>
          </c:cat>
          <c:val>
            <c:numRef>
              <c:f>'[Лист Microsoft Excel (2) (2).xlsx]Лист1'!$H$34:$H$39</c:f>
              <c:numCache>
                <c:formatCode>General</c:formatCode>
                <c:ptCount val="6"/>
                <c:pt idx="0">
                  <c:v>182927</c:v>
                </c:pt>
                <c:pt idx="1">
                  <c:v>175610</c:v>
                </c:pt>
                <c:pt idx="2">
                  <c:v>153659</c:v>
                </c:pt>
                <c:pt idx="3">
                  <c:v>117073</c:v>
                </c:pt>
                <c:pt idx="4">
                  <c:v>65854</c:v>
                </c:pt>
                <c:pt idx="5">
                  <c:v>0.1</c:v>
                </c:pt>
              </c:numCache>
            </c:numRef>
          </c:val>
          <c:smooth val="0"/>
          <c:extLst>
            <c:ext xmlns:c16="http://schemas.microsoft.com/office/drawing/2014/chart" uri="{C3380CC4-5D6E-409C-BE32-E72D297353CC}">
              <c16:uniqueId val="{00000001-8881-4682-8DD6-7FCB2576A392}"/>
            </c:ext>
          </c:extLst>
        </c:ser>
        <c:ser>
          <c:idx val="2"/>
          <c:order val="2"/>
          <c:tx>
            <c:v>Mine water 1050</c:v>
          </c:tx>
          <c:spPr>
            <a:ln w="28575" cap="rnd">
              <a:solidFill>
                <a:schemeClr val="accent3"/>
              </a:solidFill>
              <a:round/>
            </a:ln>
            <a:effectLst/>
          </c:spPr>
          <c:marker>
            <c:symbol val="none"/>
          </c:marker>
          <c:cat>
            <c:strRef>
              <c:f>'[Лист Microsoft Excel (2) (2).xlsx]Лист1'!$F$34:$F$39</c:f>
              <c:strCache>
                <c:ptCount val="6"/>
                <c:pt idx="0">
                  <c:v>0.00</c:v>
                </c:pt>
                <c:pt idx="1">
                  <c:v>0.02</c:v>
                </c:pt>
                <c:pt idx="2">
                  <c:v>0.04</c:v>
                </c:pt>
                <c:pt idx="3">
                  <c:v>0.06</c:v>
                </c:pt>
                <c:pt idx="4">
                  <c:v>0.08</c:v>
                </c:pt>
                <c:pt idx="5">
                  <c:v>0.10</c:v>
                </c:pt>
              </c:strCache>
            </c:strRef>
          </c:cat>
          <c:val>
            <c:numRef>
              <c:f>'[Лист Microsoft Excel (2) (2).xlsx]Лист1'!$I$34:$I$39</c:f>
              <c:numCache>
                <c:formatCode>General</c:formatCode>
                <c:ptCount val="6"/>
                <c:pt idx="0">
                  <c:v>192073</c:v>
                </c:pt>
                <c:pt idx="1">
                  <c:v>184390</c:v>
                </c:pt>
                <c:pt idx="2">
                  <c:v>161341</c:v>
                </c:pt>
                <c:pt idx="3">
                  <c:v>122927</c:v>
                </c:pt>
                <c:pt idx="4">
                  <c:v>69146</c:v>
                </c:pt>
                <c:pt idx="5">
                  <c:v>0.1</c:v>
                </c:pt>
              </c:numCache>
            </c:numRef>
          </c:val>
          <c:smooth val="0"/>
          <c:extLst>
            <c:ext xmlns:c16="http://schemas.microsoft.com/office/drawing/2014/chart" uri="{C3380CC4-5D6E-409C-BE32-E72D297353CC}">
              <c16:uniqueId val="{00000002-8881-4682-8DD6-7FCB2576A392}"/>
            </c:ext>
          </c:extLst>
        </c:ser>
        <c:ser>
          <c:idx val="3"/>
          <c:order val="3"/>
          <c:tx>
            <c:v> Saline water 1200</c:v>
          </c:tx>
          <c:spPr>
            <a:ln w="28575" cap="rnd">
              <a:solidFill>
                <a:schemeClr val="accent4"/>
              </a:solidFill>
              <a:round/>
            </a:ln>
            <a:effectLst/>
          </c:spPr>
          <c:marker>
            <c:symbol val="none"/>
          </c:marker>
          <c:cat>
            <c:strRef>
              <c:f>'[Лист Microsoft Excel (2) (2).xlsx]Лист1'!$F$34:$F$39</c:f>
              <c:strCache>
                <c:ptCount val="6"/>
                <c:pt idx="0">
                  <c:v>0.00</c:v>
                </c:pt>
                <c:pt idx="1">
                  <c:v>0.02</c:v>
                </c:pt>
                <c:pt idx="2">
                  <c:v>0.04</c:v>
                </c:pt>
                <c:pt idx="3">
                  <c:v>0.06</c:v>
                </c:pt>
                <c:pt idx="4">
                  <c:v>0.08</c:v>
                </c:pt>
                <c:pt idx="5">
                  <c:v>0.10</c:v>
                </c:pt>
              </c:strCache>
            </c:strRef>
          </c:cat>
          <c:val>
            <c:numRef>
              <c:f>'[Лист Microsoft Excel (2) (2).xlsx]Лист1'!$J$34:$J$39</c:f>
              <c:numCache>
                <c:formatCode>General</c:formatCode>
                <c:ptCount val="6"/>
                <c:pt idx="0">
                  <c:v>219512</c:v>
                </c:pt>
                <c:pt idx="1">
                  <c:v>210732</c:v>
                </c:pt>
                <c:pt idx="2">
                  <c:v>184390</c:v>
                </c:pt>
                <c:pt idx="3">
                  <c:v>140488</c:v>
                </c:pt>
                <c:pt idx="4">
                  <c:v>79024</c:v>
                </c:pt>
                <c:pt idx="5">
                  <c:v>0.1</c:v>
                </c:pt>
              </c:numCache>
            </c:numRef>
          </c:val>
          <c:smooth val="0"/>
          <c:extLst>
            <c:ext xmlns:c16="http://schemas.microsoft.com/office/drawing/2014/chart" uri="{C3380CC4-5D6E-409C-BE32-E72D297353CC}">
              <c16:uniqueId val="{00000003-8881-4682-8DD6-7FCB2576A392}"/>
            </c:ext>
          </c:extLst>
        </c:ser>
        <c:ser>
          <c:idx val="4"/>
          <c:order val="4"/>
          <c:tx>
            <c:strRef>
              <c:f>'[Лист Microsoft Excel (2) (2).xlsx]Лист1'!$K$33</c:f>
              <c:strCache>
                <c:ptCount val="1"/>
                <c:pt idx="0">
                  <c:v>Mineral-slurry (1300)</c:v>
                </c:pt>
              </c:strCache>
            </c:strRef>
          </c:tx>
          <c:spPr>
            <a:ln w="28575" cap="rnd">
              <a:solidFill>
                <a:schemeClr val="accent5"/>
              </a:solidFill>
              <a:round/>
            </a:ln>
            <a:effectLst/>
          </c:spPr>
          <c:marker>
            <c:symbol val="none"/>
          </c:marker>
          <c:cat>
            <c:strRef>
              <c:f>'[Лист Microsoft Excel (2) (2).xlsx]Лист1'!$F$34:$F$39</c:f>
              <c:strCache>
                <c:ptCount val="6"/>
                <c:pt idx="0">
                  <c:v>0.00</c:v>
                </c:pt>
                <c:pt idx="1">
                  <c:v>0.02</c:v>
                </c:pt>
                <c:pt idx="2">
                  <c:v>0.04</c:v>
                </c:pt>
                <c:pt idx="3">
                  <c:v>0.06</c:v>
                </c:pt>
                <c:pt idx="4">
                  <c:v>0.08</c:v>
                </c:pt>
                <c:pt idx="5">
                  <c:v>0.10</c:v>
                </c:pt>
              </c:strCache>
            </c:strRef>
          </c:cat>
          <c:val>
            <c:numRef>
              <c:f>'[Лист Microsoft Excel (2) (2).xlsx]Лист1'!$K$34:$K$39</c:f>
              <c:numCache>
                <c:formatCode>General</c:formatCode>
                <c:ptCount val="6"/>
                <c:pt idx="0">
                  <c:v>260000</c:v>
                </c:pt>
                <c:pt idx="1">
                  <c:v>228293</c:v>
                </c:pt>
                <c:pt idx="2">
                  <c:v>199756</c:v>
                </c:pt>
                <c:pt idx="3">
                  <c:v>152195</c:v>
                </c:pt>
                <c:pt idx="4">
                  <c:v>85610</c:v>
                </c:pt>
                <c:pt idx="5">
                  <c:v>0.1</c:v>
                </c:pt>
              </c:numCache>
            </c:numRef>
          </c:val>
          <c:smooth val="0"/>
          <c:extLst>
            <c:ext xmlns:c16="http://schemas.microsoft.com/office/drawing/2014/chart" uri="{C3380CC4-5D6E-409C-BE32-E72D297353CC}">
              <c16:uniqueId val="{00000004-8881-4682-8DD6-7FCB2576A392}"/>
            </c:ext>
          </c:extLst>
        </c:ser>
        <c:dLbls>
          <c:showLegendKey val="0"/>
          <c:showVal val="0"/>
          <c:showCatName val="0"/>
          <c:showSerName val="0"/>
          <c:showPercent val="0"/>
          <c:showBubbleSize val="0"/>
        </c:dLbls>
        <c:smooth val="0"/>
        <c:axId val="129540096"/>
        <c:axId val="129542016"/>
      </c:lineChart>
      <c:catAx>
        <c:axId val="129540096"/>
        <c:scaling>
          <c:orientation val="minMax"/>
        </c:scaling>
        <c:delete val="0"/>
        <c:axPos val="b"/>
        <c:title>
          <c:tx>
            <c:rich>
              <a:bodyPr rot="0" vert="horz"/>
              <a:lstStyle/>
              <a:p>
                <a:pPr>
                  <a:defRPr/>
                </a:pPr>
                <a:r>
                  <a:rPr lang="en-US"/>
                  <a:t>Radius (m)</a:t>
                </a:r>
                <a:endParaRPr lang="ru-RU"/>
              </a:p>
            </c:rich>
          </c:tx>
          <c:layout>
            <c:manualLayout>
              <c:xMode val="edge"/>
              <c:yMode val="edge"/>
              <c:x val="0.57157519231018694"/>
              <c:y val="0.76521384683648086"/>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29542016"/>
        <c:crosses val="autoZero"/>
        <c:auto val="1"/>
        <c:lblAlgn val="ctr"/>
        <c:lblOffset val="100"/>
        <c:noMultiLvlLbl val="0"/>
      </c:catAx>
      <c:valAx>
        <c:axId val="1295420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pPr>
                <a:r>
                  <a:rPr lang="en-US"/>
                  <a:t>Pressure P(r) (Pa)</a:t>
                </a:r>
                <a:endParaRPr lang="ru-RU"/>
              </a:p>
            </c:rich>
          </c:tx>
          <c:overlay val="0"/>
          <c:spPr>
            <a:noFill/>
            <a:ln>
              <a:noFill/>
            </a:ln>
            <a:effectLst/>
          </c:spPr>
        </c:title>
        <c:numFmt formatCode="General" sourceLinked="1"/>
        <c:majorTickMark val="none"/>
        <c:minorTickMark val="none"/>
        <c:tickLblPos val="nextTo"/>
        <c:spPr>
          <a:noFill/>
          <a:ln>
            <a:noFill/>
          </a:ln>
          <a:effectLst/>
        </c:spPr>
        <c:txPr>
          <a:bodyPr rot="-60000000" vert="horz"/>
          <a:lstStyle/>
          <a:p>
            <a:pPr>
              <a:defRPr/>
            </a:pPr>
            <a:endParaRPr lang="ru-RU"/>
          </a:p>
        </c:txPr>
        <c:crossAx val="129540096"/>
        <c:crosses val="autoZero"/>
        <c:crossBetween val="between"/>
      </c:valAx>
      <c:spPr>
        <a:noFill/>
        <a:ln>
          <a:noFill/>
        </a:ln>
        <a:effectLst/>
      </c:spPr>
    </c:plotArea>
    <c:legend>
      <c:legendPos val="b"/>
      <c:layout>
        <c:manualLayout>
          <c:xMode val="edge"/>
          <c:yMode val="edge"/>
          <c:x val="2.6704199042664963E-2"/>
          <c:y val="0.85386729237641856"/>
          <c:w val="0.97329580095733503"/>
          <c:h val="0.10028743541727769"/>
        </c:manualLayout>
      </c:layout>
      <c:overlay val="0"/>
      <c:spPr>
        <a:noFill/>
        <a:ln>
          <a:noFill/>
        </a:ln>
        <a:effectLst/>
      </c:spPr>
      <c:txPr>
        <a:bodyPr rot="0" vert="horz"/>
        <a:lstStyle/>
        <a:p>
          <a:pPr>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3723</Words>
  <Characters>21225</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Abdullaev X</cp:lastModifiedBy>
  <cp:revision>7</cp:revision>
  <cp:lastPrinted>2023-12-26T18:03:00Z</cp:lastPrinted>
  <dcterms:created xsi:type="dcterms:W3CDTF">2025-12-10T17:56:00Z</dcterms:created>
  <dcterms:modified xsi:type="dcterms:W3CDTF">2025-12-31T10:49:00Z</dcterms:modified>
</cp:coreProperties>
</file>