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51A05A30" w:rsidR="001E129E" w:rsidRPr="00287E0A" w:rsidRDefault="00413601" w:rsidP="008745D5">
      <w:pPr>
        <w:spacing w:before="1200" w:after="200" w:line="240" w:lineRule="auto"/>
        <w:ind w:firstLine="567"/>
        <w:jc w:val="center"/>
        <w:rPr>
          <w:rFonts w:ascii="Times New Roman" w:hAnsi="Times New Roman" w:cs="Times New Roman"/>
          <w:b/>
          <w:sz w:val="36"/>
          <w:szCs w:val="36"/>
        </w:rPr>
      </w:pPr>
      <w:r w:rsidRPr="00413601">
        <w:rPr>
          <w:rFonts w:ascii="Times New Roman" w:hAnsi="Times New Roman" w:cs="Times New Roman"/>
          <w:b/>
          <w:sz w:val="36"/>
          <w:szCs w:val="36"/>
        </w:rPr>
        <w:t>Current trends in ensuring the reliability and quality of power transmission using cable and conductor systems</w:t>
      </w:r>
    </w:p>
    <w:p w14:paraId="1F5E1B4F" w14:textId="3C10670B" w:rsidR="00CA398A" w:rsidRPr="00614266" w:rsidRDefault="00487121" w:rsidP="008745D5">
      <w:pPr>
        <w:pStyle w:val="AuthorName"/>
        <w:spacing w:before="240" w:after="200"/>
        <w:rPr>
          <w:sz w:val="20"/>
          <w:lang w:val="uz-Cyrl-UZ" w:eastAsia="en-GB"/>
        </w:rPr>
      </w:pPr>
      <w:r w:rsidRPr="00614266">
        <w:t>Victoria Tsypkina</w:t>
      </w:r>
      <w:r w:rsidR="00413601" w:rsidRPr="00614266">
        <w:rPr>
          <w:vertAlign w:val="superscript"/>
          <w:lang w:val="uz-Cyrl-UZ"/>
        </w:rPr>
        <w:t xml:space="preserve"> 1</w:t>
      </w:r>
      <w:r w:rsidR="00413601" w:rsidRPr="00614266">
        <w:rPr>
          <w:szCs w:val="36"/>
          <w:vertAlign w:val="superscript"/>
          <w:lang w:val="uz-Cyrl-UZ"/>
        </w:rPr>
        <w:t>,</w:t>
      </w:r>
      <w:r w:rsidR="00614266" w:rsidRPr="00614266">
        <w:rPr>
          <w:szCs w:val="36"/>
          <w:vertAlign w:val="superscript"/>
        </w:rPr>
        <w:t xml:space="preserve">2, </w:t>
      </w:r>
      <w:r w:rsidR="00413601" w:rsidRPr="00614266">
        <w:rPr>
          <w:szCs w:val="36"/>
          <w:vertAlign w:val="superscript"/>
        </w:rPr>
        <w:t>a)</w:t>
      </w:r>
      <w:r w:rsidR="00413601" w:rsidRPr="00614266">
        <w:t xml:space="preserve">, </w:t>
      </w:r>
      <w:r w:rsidRPr="00614266">
        <w:t>Vera Ivanova</w:t>
      </w:r>
      <w:r w:rsidR="00413601" w:rsidRPr="00614266">
        <w:rPr>
          <w:vertAlign w:val="superscript"/>
          <w:lang w:val="uz-Cyrl-UZ"/>
        </w:rPr>
        <w:t>1</w:t>
      </w:r>
      <w:r w:rsidR="00413601" w:rsidRPr="00614266">
        <w:t xml:space="preserve">, </w:t>
      </w:r>
      <w:proofErr w:type="spellStart"/>
      <w:r w:rsidRPr="00614266">
        <w:t>Dilfuza</w:t>
      </w:r>
      <w:proofErr w:type="spellEnd"/>
      <w:r w:rsidRPr="00614266">
        <w:t xml:space="preserve"> </w:t>
      </w:r>
      <w:proofErr w:type="spellStart"/>
      <w:r w:rsidR="00413601" w:rsidRPr="00614266">
        <w:t>Kurbanbayeva</w:t>
      </w:r>
      <w:proofErr w:type="spellEnd"/>
      <w:r w:rsidR="00413601" w:rsidRPr="00614266">
        <w:rPr>
          <w:vertAlign w:val="superscript"/>
          <w:lang w:val="uz-Cyrl-UZ"/>
        </w:rPr>
        <w:t>1</w:t>
      </w:r>
      <w:r w:rsidR="00413601" w:rsidRPr="00614266">
        <w:t xml:space="preserve">, </w:t>
      </w:r>
      <w:proofErr w:type="spellStart"/>
      <w:r w:rsidRPr="00614266">
        <w:t>Umidakhon</w:t>
      </w:r>
      <w:proofErr w:type="spellEnd"/>
      <w:r w:rsidRPr="00614266">
        <w:t xml:space="preserve"> </w:t>
      </w:r>
      <w:r w:rsidR="00413601" w:rsidRPr="00614266">
        <w:t>Mamadalieva</w:t>
      </w:r>
      <w:r w:rsidR="00413601" w:rsidRPr="00614266">
        <w:rPr>
          <w:vertAlign w:val="superscript"/>
          <w:lang w:val="uz-Cyrl-UZ"/>
        </w:rPr>
        <w:t xml:space="preserve"> 1</w:t>
      </w:r>
      <w:r w:rsidR="00413601" w:rsidRPr="00614266">
        <w:t xml:space="preserve">, </w:t>
      </w:r>
      <w:proofErr w:type="spellStart"/>
      <w:r w:rsidRPr="00614266">
        <w:t>Sarbinaz</w:t>
      </w:r>
      <w:proofErr w:type="spellEnd"/>
      <w:r w:rsidRPr="00614266">
        <w:t xml:space="preserve"> </w:t>
      </w:r>
      <w:r w:rsidR="00413601" w:rsidRPr="00614266">
        <w:t>Pirnazarova</w:t>
      </w:r>
      <w:r w:rsidR="00413601" w:rsidRPr="00614266">
        <w:rPr>
          <w:vertAlign w:val="superscript"/>
          <w:lang w:val="uz-Cyrl-UZ"/>
        </w:rPr>
        <w:t xml:space="preserve"> 1</w:t>
      </w:r>
      <w:r w:rsidR="00413601" w:rsidRPr="00614266">
        <w:t xml:space="preserve"> </w:t>
      </w:r>
    </w:p>
    <w:p w14:paraId="4709ED4E" w14:textId="5CBD6B22" w:rsidR="008745D5" w:rsidRPr="00614266" w:rsidRDefault="001970E3" w:rsidP="00A4691D">
      <w:pPr>
        <w:pStyle w:val="AuthorAffiliation"/>
      </w:pPr>
      <w:r w:rsidRPr="00614266">
        <w:rPr>
          <w:vertAlign w:val="superscript"/>
          <w:lang w:val="uz-Cyrl-UZ"/>
        </w:rPr>
        <w:t>1</w:t>
      </w:r>
      <w:r w:rsidR="00CA0E97" w:rsidRPr="00614266">
        <w:rPr>
          <w:vertAlign w:val="superscript"/>
        </w:rPr>
        <w:t xml:space="preserve"> </w:t>
      </w:r>
      <w:r w:rsidR="00CA398A" w:rsidRPr="00614266">
        <w:t>Tashkent state technical university named after Islam Karimov,</w:t>
      </w:r>
      <w:r w:rsidR="004622A3" w:rsidRPr="00614266">
        <w:t xml:space="preserve"> Tashkent,</w:t>
      </w:r>
      <w:r w:rsidR="00CA398A" w:rsidRPr="00614266">
        <w:t xml:space="preserve"> Uzbekistan</w:t>
      </w:r>
    </w:p>
    <w:p w14:paraId="274B5FAC" w14:textId="1C33CD3D" w:rsidR="00614266" w:rsidRPr="006C7C21" w:rsidRDefault="00614266" w:rsidP="00614266">
      <w:pPr>
        <w:spacing w:after="0" w:line="240" w:lineRule="auto"/>
        <w:jc w:val="center"/>
        <w:rPr>
          <w:i/>
          <w:iCs/>
          <w:szCs w:val="18"/>
          <w:vertAlign w:val="superscript"/>
        </w:rPr>
      </w:pPr>
      <w:r w:rsidRPr="00614266">
        <w:rPr>
          <w:rFonts w:ascii="Times New Roman" w:hAnsi="Times New Roman" w:cs="Times New Roman"/>
          <w:i/>
          <w:iCs/>
          <w:sz w:val="20"/>
          <w:szCs w:val="20"/>
          <w:vertAlign w:val="superscript"/>
        </w:rPr>
        <w:t>2</w:t>
      </w:r>
      <w:r w:rsidRPr="00614266">
        <w:rPr>
          <w:rFonts w:ascii="Times New Roman" w:hAnsi="Times New Roman" w:cs="Times New Roman"/>
          <w:i/>
          <w:iCs/>
          <w:sz w:val="20"/>
          <w:szCs w:val="20"/>
        </w:rPr>
        <w:t xml:space="preserve">Termez State University of Engineering and Agrotechnology, </w:t>
      </w:r>
      <w:proofErr w:type="spellStart"/>
      <w:r w:rsidRPr="00614266">
        <w:rPr>
          <w:rFonts w:ascii="Times New Roman" w:hAnsi="Times New Roman" w:cs="Times New Roman"/>
          <w:i/>
          <w:iCs/>
          <w:sz w:val="20"/>
          <w:szCs w:val="20"/>
        </w:rPr>
        <w:t>Termez</w:t>
      </w:r>
      <w:proofErr w:type="spellEnd"/>
      <w:r w:rsidRPr="00614266">
        <w:rPr>
          <w:rFonts w:ascii="Times New Roman" w:hAnsi="Times New Roman" w:cs="Times New Roman"/>
          <w:i/>
          <w:iCs/>
          <w:sz w:val="20"/>
          <w:szCs w:val="20"/>
        </w:rPr>
        <w:t>, Uzbekistan</w:t>
      </w:r>
    </w:p>
    <w:p w14:paraId="5E517091" w14:textId="19762B83" w:rsidR="00487121" w:rsidRPr="00487121" w:rsidRDefault="008745D5" w:rsidP="008745D5">
      <w:pPr>
        <w:pStyle w:val="AuthorAffiliation"/>
        <w:spacing w:before="200" w:after="200"/>
        <w:rPr>
          <w:szCs w:val="18"/>
        </w:rPr>
      </w:pPr>
      <w:r w:rsidRPr="00FE6DBA">
        <w:rPr>
          <w:szCs w:val="18"/>
          <w:vertAlign w:val="superscript"/>
        </w:rPr>
        <w:t>a)</w:t>
      </w:r>
      <w:r w:rsidRPr="00FE6DBA">
        <w:rPr>
          <w:szCs w:val="18"/>
        </w:rPr>
        <w:t xml:space="preserve"> Corresponding author: </w:t>
      </w:r>
      <w:hyperlink r:id="rId5" w:history="1">
        <w:r w:rsidR="00CA0E97" w:rsidRPr="00661245">
          <w:rPr>
            <w:rStyle w:val="a6"/>
            <w:szCs w:val="18"/>
          </w:rPr>
          <w:t>viktoriya.tsipkina@gmail.com</w:t>
        </w:r>
      </w:hyperlink>
      <w:r w:rsidR="00CA0E97">
        <w:rPr>
          <w:szCs w:val="18"/>
        </w:rPr>
        <w:t xml:space="preserve"> </w:t>
      </w:r>
    </w:p>
    <w:p w14:paraId="410B173B" w14:textId="03256DC5"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413601" w:rsidRPr="00413601">
        <w:rPr>
          <w:rFonts w:ascii="Times New Roman" w:hAnsi="Times New Roman" w:cs="Times New Roman"/>
          <w:iCs/>
          <w:sz w:val="18"/>
          <w:szCs w:val="18"/>
          <w:lang w:val="uz-Cyrl-UZ"/>
        </w:rPr>
        <w:t>The article discusses issues related to improving the energy efficiency of cable lines in modern operating conditions and the growing loads arising from their operation in providing high-quality electrical energy to the national economy of the Republic of Uzbekistan. The main areas addressed by manufacturers of cabling and wiring products for the introduction of new types are presented. The main tasks are considered, the solution of which will ensure that finished cable products comply with modern technical regulations; take into account various operational factors in conditions of increased mechanical loads, temperature fluctuations, and the influence of aggressive environments; develop designs for heat-resistant, fire-resistant, and low-smoke cables with reduced toxicity during combustion. Priority areas are considered that will allow for increasing the efficiency of operating cable lines, including: the intellectualization of cable systems through the introduction of sensor elements and diagnostic modules; developing new requirements for cable products in the process of the energy transition to renewable energy sources; introducing cable systems that operate under conditions of electromagnetic compatibility; introducing new cable designs and new materials.</w:t>
      </w:r>
    </w:p>
    <w:p w14:paraId="61870707" w14:textId="50D7E519"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3863E88" w14:textId="4FCE6D6F" w:rsidR="006820B6" w:rsidRPr="00CA0E97" w:rsidRDefault="00413601" w:rsidP="00CA0E97">
      <w:pPr>
        <w:spacing w:after="0" w:line="240" w:lineRule="auto"/>
        <w:ind w:firstLine="284"/>
        <w:jc w:val="both"/>
        <w:rPr>
          <w:rFonts w:ascii="Times New Roman" w:hAnsi="Times New Roman" w:cs="Times New Roman"/>
          <w:color w:val="000000"/>
          <w:sz w:val="20"/>
          <w:szCs w:val="20"/>
        </w:rPr>
      </w:pPr>
      <w:r w:rsidRPr="00CA0E97">
        <w:rPr>
          <w:rFonts w:ascii="Times New Roman" w:hAnsi="Times New Roman" w:cs="Times New Roman"/>
          <w:sz w:val="20"/>
          <w:szCs w:val="20"/>
          <w:lang w:val="uz-Cyrl-UZ"/>
        </w:rPr>
        <w:t>The electric power sector occupies a special place in the cabling and wiring products (CWPs) market, where the primary burden falls on cables supplying power to various economic facilities. The reliability of all power supply systems is a key element in ensuring the stability and efficiency of industrial and social facilities, including internal building networks. This issue is particularly relevant all over the world (Table 1), in the current conditions and the growing requirements of modern technological processes, where sustainable power supply to industrial enterprises allows optimizing production operations in accordance with the dynamics and specifics of products being manufactured.</w:t>
      </w:r>
      <w:r w:rsidR="006820B6" w:rsidRPr="00CA0E97">
        <w:rPr>
          <w:rFonts w:ascii="Times New Roman" w:hAnsi="Times New Roman" w:cs="Times New Roman"/>
          <w:color w:val="000000"/>
          <w:sz w:val="20"/>
          <w:szCs w:val="20"/>
        </w:rPr>
        <w:t xml:space="preserve"> </w:t>
      </w:r>
    </w:p>
    <w:p w14:paraId="2BC66EEE" w14:textId="3C5C26B0" w:rsidR="00413601" w:rsidRPr="00CA0E97" w:rsidRDefault="00A938AF" w:rsidP="00A938AF">
      <w:pPr>
        <w:spacing w:after="0" w:line="240" w:lineRule="auto"/>
        <w:ind w:firstLine="284"/>
        <w:rPr>
          <w:rFonts w:ascii="Times New Roman" w:hAnsi="Times New Roman" w:cs="Times New Roman"/>
          <w:sz w:val="20"/>
          <w:szCs w:val="20"/>
          <w:lang w:eastAsia="de-DE"/>
        </w:rPr>
      </w:pPr>
      <w:r>
        <w:rPr>
          <w:rFonts w:ascii="Times New Roman" w:hAnsi="Times New Roman" w:cs="Times New Roman"/>
          <w:b/>
          <w:sz w:val="20"/>
          <w:szCs w:val="20"/>
          <w:lang w:eastAsia="de-DE"/>
        </w:rPr>
        <w:t xml:space="preserve"> </w:t>
      </w:r>
      <w:r>
        <w:rPr>
          <w:rFonts w:ascii="Times New Roman" w:hAnsi="Times New Roman" w:cs="Times New Roman"/>
          <w:b/>
          <w:sz w:val="20"/>
          <w:szCs w:val="20"/>
          <w:lang w:eastAsia="de-DE"/>
        </w:rPr>
        <w:tab/>
      </w:r>
      <w:r w:rsidR="00413601" w:rsidRPr="00CA0E97">
        <w:rPr>
          <w:rFonts w:ascii="Times New Roman" w:hAnsi="Times New Roman" w:cs="Times New Roman"/>
          <w:b/>
          <w:sz w:val="20"/>
          <w:szCs w:val="20"/>
          <w:lang w:eastAsia="de-DE"/>
        </w:rPr>
        <w:t>TABLE 1.</w:t>
      </w:r>
      <w:r w:rsidR="00413601" w:rsidRPr="00CA0E97">
        <w:rPr>
          <w:rFonts w:ascii="Times New Roman" w:hAnsi="Times New Roman" w:cs="Times New Roman"/>
          <w:sz w:val="20"/>
          <w:szCs w:val="20"/>
          <w:lang w:eastAsia="de-DE"/>
        </w:rPr>
        <w:t xml:space="preserve"> Information on the GDP structure by country in 2023 [1]</w:t>
      </w:r>
    </w:p>
    <w:tbl>
      <w:tblPr>
        <w:tblStyle w:val="a3"/>
        <w:tblW w:w="8642" w:type="dxa"/>
        <w:jc w:val="center"/>
        <w:tblLook w:val="04A0" w:firstRow="1" w:lastRow="0" w:firstColumn="1" w:lastColumn="0" w:noHBand="0" w:noVBand="1"/>
      </w:tblPr>
      <w:tblGrid>
        <w:gridCol w:w="2122"/>
        <w:gridCol w:w="1989"/>
        <w:gridCol w:w="2121"/>
        <w:gridCol w:w="2410"/>
      </w:tblGrid>
      <w:tr w:rsidR="00413601" w:rsidRPr="0072530A" w14:paraId="6B20D27D" w14:textId="77777777" w:rsidTr="00CA0E97">
        <w:trPr>
          <w:jc w:val="center"/>
        </w:trPr>
        <w:tc>
          <w:tcPr>
            <w:tcW w:w="2122" w:type="dxa"/>
            <w:vAlign w:val="center"/>
          </w:tcPr>
          <w:p w14:paraId="6B7EA0C1" w14:textId="32B2CC8E" w:rsidR="00413601" w:rsidRPr="0072530A" w:rsidRDefault="00413601" w:rsidP="00CA0E97">
            <w:pPr>
              <w:pStyle w:val="a7"/>
              <w:spacing w:before="0" w:beforeAutospacing="0" w:after="0" w:afterAutospacing="0"/>
              <w:ind w:firstLine="284"/>
              <w:jc w:val="center"/>
              <w:rPr>
                <w:b/>
                <w:bCs/>
                <w:sz w:val="18"/>
                <w:szCs w:val="18"/>
              </w:rPr>
            </w:pPr>
            <w:r w:rsidRPr="0072530A">
              <w:rPr>
                <w:b/>
                <w:bCs/>
                <w:sz w:val="18"/>
                <w:szCs w:val="18"/>
                <w:lang w:val="en-US"/>
              </w:rPr>
              <w:t>Country</w:t>
            </w:r>
            <w:r w:rsidRPr="0072530A">
              <w:rPr>
                <w:b/>
                <w:bCs/>
                <w:sz w:val="18"/>
                <w:szCs w:val="18"/>
              </w:rPr>
              <w:t>, 2023</w:t>
            </w:r>
          </w:p>
        </w:tc>
        <w:tc>
          <w:tcPr>
            <w:tcW w:w="1989" w:type="dxa"/>
            <w:vAlign w:val="center"/>
          </w:tcPr>
          <w:p w14:paraId="73E9FAC8" w14:textId="308E5D3B" w:rsidR="00413601" w:rsidRPr="0072530A" w:rsidRDefault="00413601" w:rsidP="00CA0E97">
            <w:pPr>
              <w:pStyle w:val="a7"/>
              <w:spacing w:before="0" w:beforeAutospacing="0" w:after="0" w:afterAutospacing="0"/>
              <w:ind w:firstLine="284"/>
              <w:jc w:val="center"/>
              <w:rPr>
                <w:b/>
                <w:bCs/>
                <w:sz w:val="18"/>
                <w:szCs w:val="18"/>
              </w:rPr>
            </w:pPr>
            <w:proofErr w:type="spellStart"/>
            <w:r w:rsidRPr="0072530A">
              <w:rPr>
                <w:b/>
                <w:bCs/>
                <w:sz w:val="18"/>
                <w:szCs w:val="18"/>
              </w:rPr>
              <w:t>Agriculture</w:t>
            </w:r>
            <w:proofErr w:type="spellEnd"/>
            <w:r w:rsidRPr="0072530A">
              <w:rPr>
                <w:b/>
                <w:bCs/>
                <w:sz w:val="18"/>
                <w:szCs w:val="18"/>
              </w:rPr>
              <w:t>,</w:t>
            </w:r>
          </w:p>
          <w:p w14:paraId="7246AF6F" w14:textId="77777777" w:rsidR="00413601" w:rsidRPr="0072530A" w:rsidRDefault="00413601" w:rsidP="00CA0E97">
            <w:pPr>
              <w:pStyle w:val="a7"/>
              <w:spacing w:before="0" w:beforeAutospacing="0" w:after="0" w:afterAutospacing="0"/>
              <w:ind w:firstLine="284"/>
              <w:jc w:val="center"/>
              <w:rPr>
                <w:b/>
                <w:bCs/>
                <w:sz w:val="18"/>
                <w:szCs w:val="18"/>
              </w:rPr>
            </w:pPr>
            <w:r w:rsidRPr="0072530A">
              <w:rPr>
                <w:b/>
                <w:bCs/>
                <w:sz w:val="18"/>
                <w:szCs w:val="18"/>
              </w:rPr>
              <w:t xml:space="preserve">% </w:t>
            </w:r>
            <w:proofErr w:type="spellStart"/>
            <w:r w:rsidRPr="0072530A">
              <w:rPr>
                <w:b/>
                <w:bCs/>
                <w:sz w:val="18"/>
                <w:szCs w:val="18"/>
              </w:rPr>
              <w:t>of</w:t>
            </w:r>
            <w:proofErr w:type="spellEnd"/>
            <w:r w:rsidRPr="0072530A">
              <w:rPr>
                <w:b/>
                <w:bCs/>
                <w:sz w:val="18"/>
                <w:szCs w:val="18"/>
              </w:rPr>
              <w:t xml:space="preserve"> GDP</w:t>
            </w:r>
          </w:p>
        </w:tc>
        <w:tc>
          <w:tcPr>
            <w:tcW w:w="2121" w:type="dxa"/>
            <w:vAlign w:val="center"/>
          </w:tcPr>
          <w:p w14:paraId="1CC51B01" w14:textId="609B5E2C" w:rsidR="00413601" w:rsidRPr="0072530A" w:rsidRDefault="00413601" w:rsidP="00CA0E97">
            <w:pPr>
              <w:pStyle w:val="a7"/>
              <w:spacing w:before="0" w:beforeAutospacing="0" w:after="0" w:afterAutospacing="0"/>
              <w:ind w:firstLine="284"/>
              <w:jc w:val="center"/>
              <w:rPr>
                <w:b/>
                <w:bCs/>
                <w:sz w:val="18"/>
                <w:szCs w:val="18"/>
              </w:rPr>
            </w:pPr>
            <w:r w:rsidRPr="0072530A">
              <w:rPr>
                <w:b/>
                <w:bCs/>
                <w:sz w:val="18"/>
                <w:szCs w:val="18"/>
              </w:rPr>
              <w:t>Industry,</w:t>
            </w:r>
          </w:p>
          <w:p w14:paraId="50A9BB92" w14:textId="77777777" w:rsidR="00413601" w:rsidRPr="0072530A" w:rsidRDefault="00413601" w:rsidP="00CA0E97">
            <w:pPr>
              <w:pStyle w:val="a7"/>
              <w:spacing w:before="0" w:beforeAutospacing="0" w:after="0" w:afterAutospacing="0"/>
              <w:ind w:firstLine="284"/>
              <w:jc w:val="center"/>
              <w:rPr>
                <w:b/>
                <w:bCs/>
                <w:sz w:val="18"/>
                <w:szCs w:val="18"/>
              </w:rPr>
            </w:pPr>
            <w:r w:rsidRPr="0072530A">
              <w:rPr>
                <w:b/>
                <w:bCs/>
                <w:sz w:val="18"/>
                <w:szCs w:val="18"/>
              </w:rPr>
              <w:t xml:space="preserve">% </w:t>
            </w:r>
            <w:proofErr w:type="spellStart"/>
            <w:r w:rsidRPr="0072530A">
              <w:rPr>
                <w:b/>
                <w:bCs/>
                <w:sz w:val="18"/>
                <w:szCs w:val="18"/>
              </w:rPr>
              <w:t>of</w:t>
            </w:r>
            <w:proofErr w:type="spellEnd"/>
            <w:r w:rsidRPr="0072530A">
              <w:rPr>
                <w:b/>
                <w:bCs/>
                <w:sz w:val="18"/>
                <w:szCs w:val="18"/>
              </w:rPr>
              <w:t xml:space="preserve"> GDP</w:t>
            </w:r>
          </w:p>
        </w:tc>
        <w:tc>
          <w:tcPr>
            <w:tcW w:w="2410" w:type="dxa"/>
            <w:vAlign w:val="center"/>
          </w:tcPr>
          <w:p w14:paraId="1A8DB173" w14:textId="4378B199" w:rsidR="00413601" w:rsidRPr="0072530A" w:rsidRDefault="00413601" w:rsidP="00CA0E97">
            <w:pPr>
              <w:pStyle w:val="a7"/>
              <w:spacing w:before="0" w:beforeAutospacing="0" w:after="0" w:afterAutospacing="0"/>
              <w:ind w:firstLine="284"/>
              <w:jc w:val="center"/>
              <w:rPr>
                <w:b/>
                <w:bCs/>
                <w:sz w:val="18"/>
                <w:szCs w:val="18"/>
              </w:rPr>
            </w:pPr>
            <w:r w:rsidRPr="0072530A">
              <w:rPr>
                <w:b/>
                <w:bCs/>
                <w:sz w:val="18"/>
                <w:szCs w:val="18"/>
              </w:rPr>
              <w:t>Services,</w:t>
            </w:r>
          </w:p>
          <w:p w14:paraId="48DD4159" w14:textId="77777777" w:rsidR="00413601" w:rsidRPr="0072530A" w:rsidRDefault="00413601" w:rsidP="00CA0E97">
            <w:pPr>
              <w:pStyle w:val="a7"/>
              <w:spacing w:before="0" w:beforeAutospacing="0" w:after="0" w:afterAutospacing="0"/>
              <w:ind w:firstLine="284"/>
              <w:jc w:val="center"/>
              <w:rPr>
                <w:b/>
                <w:bCs/>
                <w:sz w:val="18"/>
                <w:szCs w:val="18"/>
              </w:rPr>
            </w:pPr>
            <w:r w:rsidRPr="0072530A">
              <w:rPr>
                <w:b/>
                <w:bCs/>
                <w:sz w:val="18"/>
                <w:szCs w:val="18"/>
              </w:rPr>
              <w:t xml:space="preserve">% </w:t>
            </w:r>
            <w:proofErr w:type="spellStart"/>
            <w:r w:rsidRPr="0072530A">
              <w:rPr>
                <w:b/>
                <w:bCs/>
                <w:sz w:val="18"/>
                <w:szCs w:val="18"/>
              </w:rPr>
              <w:t>of</w:t>
            </w:r>
            <w:proofErr w:type="spellEnd"/>
            <w:r w:rsidRPr="0072530A">
              <w:rPr>
                <w:b/>
                <w:bCs/>
                <w:sz w:val="18"/>
                <w:szCs w:val="18"/>
              </w:rPr>
              <w:t xml:space="preserve"> GDP</w:t>
            </w:r>
          </w:p>
        </w:tc>
      </w:tr>
      <w:tr w:rsidR="00413601" w:rsidRPr="0072530A" w14:paraId="58F7154C" w14:textId="77777777" w:rsidTr="00CA0E97">
        <w:trPr>
          <w:jc w:val="center"/>
        </w:trPr>
        <w:tc>
          <w:tcPr>
            <w:tcW w:w="2122" w:type="dxa"/>
            <w:vAlign w:val="center"/>
          </w:tcPr>
          <w:p w14:paraId="6537F979" w14:textId="65B30B09" w:rsidR="00413601" w:rsidRPr="0072530A" w:rsidRDefault="00413601" w:rsidP="00CA0E97">
            <w:pPr>
              <w:pStyle w:val="a7"/>
              <w:spacing w:before="0" w:beforeAutospacing="0" w:after="0" w:afterAutospacing="0"/>
              <w:ind w:firstLine="284"/>
              <w:jc w:val="center"/>
              <w:rPr>
                <w:sz w:val="18"/>
                <w:szCs w:val="18"/>
              </w:rPr>
            </w:pPr>
            <w:r w:rsidRPr="0072530A">
              <w:rPr>
                <w:sz w:val="18"/>
                <w:szCs w:val="18"/>
              </w:rPr>
              <w:t>USA</w:t>
            </w:r>
          </w:p>
        </w:tc>
        <w:tc>
          <w:tcPr>
            <w:tcW w:w="1989" w:type="dxa"/>
            <w:vAlign w:val="center"/>
          </w:tcPr>
          <w:p w14:paraId="2F6A7EBC" w14:textId="77777777" w:rsidR="00413601" w:rsidRPr="0072530A" w:rsidRDefault="00413601" w:rsidP="00CA0E97">
            <w:pPr>
              <w:pStyle w:val="a7"/>
              <w:spacing w:before="0" w:beforeAutospacing="0" w:after="0" w:afterAutospacing="0"/>
              <w:ind w:firstLine="284"/>
              <w:jc w:val="center"/>
              <w:rPr>
                <w:sz w:val="18"/>
                <w:szCs w:val="18"/>
              </w:rPr>
            </w:pPr>
            <w:r w:rsidRPr="0072530A">
              <w:rPr>
                <w:sz w:val="18"/>
                <w:szCs w:val="18"/>
              </w:rPr>
              <w:t>1</w:t>
            </w:r>
          </w:p>
        </w:tc>
        <w:tc>
          <w:tcPr>
            <w:tcW w:w="2121" w:type="dxa"/>
            <w:vAlign w:val="center"/>
          </w:tcPr>
          <w:p w14:paraId="238CBBBB" w14:textId="77777777" w:rsidR="00413601" w:rsidRPr="0072530A" w:rsidRDefault="00413601" w:rsidP="00CA0E97">
            <w:pPr>
              <w:pStyle w:val="a7"/>
              <w:spacing w:before="0" w:beforeAutospacing="0" w:after="0" w:afterAutospacing="0"/>
              <w:ind w:firstLine="284"/>
              <w:jc w:val="center"/>
              <w:rPr>
                <w:sz w:val="18"/>
                <w:szCs w:val="18"/>
              </w:rPr>
            </w:pPr>
            <w:r w:rsidRPr="0072530A">
              <w:rPr>
                <w:sz w:val="18"/>
                <w:szCs w:val="18"/>
              </w:rPr>
              <w:t>19</w:t>
            </w:r>
          </w:p>
        </w:tc>
        <w:tc>
          <w:tcPr>
            <w:tcW w:w="2410" w:type="dxa"/>
            <w:vAlign w:val="center"/>
          </w:tcPr>
          <w:p w14:paraId="690AA8B5" w14:textId="77777777" w:rsidR="00413601" w:rsidRPr="0072530A" w:rsidRDefault="00413601" w:rsidP="00CA0E97">
            <w:pPr>
              <w:pStyle w:val="a7"/>
              <w:spacing w:before="0" w:beforeAutospacing="0" w:after="0" w:afterAutospacing="0"/>
              <w:ind w:firstLine="284"/>
              <w:jc w:val="center"/>
              <w:rPr>
                <w:sz w:val="18"/>
                <w:szCs w:val="18"/>
              </w:rPr>
            </w:pPr>
            <w:r w:rsidRPr="0072530A">
              <w:rPr>
                <w:sz w:val="18"/>
                <w:szCs w:val="18"/>
              </w:rPr>
              <w:t>80</w:t>
            </w:r>
          </w:p>
        </w:tc>
      </w:tr>
      <w:tr w:rsidR="00413601" w:rsidRPr="0072530A" w14:paraId="2D95AAFD" w14:textId="77777777" w:rsidTr="00CA0E97">
        <w:trPr>
          <w:jc w:val="center"/>
        </w:trPr>
        <w:tc>
          <w:tcPr>
            <w:tcW w:w="2122" w:type="dxa"/>
            <w:vAlign w:val="center"/>
          </w:tcPr>
          <w:p w14:paraId="19F8F3E1" w14:textId="627788C3" w:rsidR="00413601" w:rsidRPr="0072530A" w:rsidRDefault="00413601" w:rsidP="00CA0E97">
            <w:pPr>
              <w:pStyle w:val="a7"/>
              <w:spacing w:before="0" w:beforeAutospacing="0" w:after="0" w:afterAutospacing="0"/>
              <w:ind w:firstLine="284"/>
              <w:jc w:val="center"/>
              <w:rPr>
                <w:sz w:val="18"/>
                <w:szCs w:val="18"/>
              </w:rPr>
            </w:pPr>
            <w:r w:rsidRPr="0072530A">
              <w:rPr>
                <w:sz w:val="18"/>
                <w:szCs w:val="18"/>
              </w:rPr>
              <w:t>EU</w:t>
            </w:r>
          </w:p>
        </w:tc>
        <w:tc>
          <w:tcPr>
            <w:tcW w:w="1989" w:type="dxa"/>
            <w:vAlign w:val="center"/>
          </w:tcPr>
          <w:p w14:paraId="7EB0CE75" w14:textId="77777777" w:rsidR="00413601" w:rsidRPr="0072530A" w:rsidRDefault="00413601" w:rsidP="00CA0E97">
            <w:pPr>
              <w:pStyle w:val="a7"/>
              <w:spacing w:before="0" w:beforeAutospacing="0" w:after="0" w:afterAutospacing="0"/>
              <w:ind w:firstLine="284"/>
              <w:jc w:val="center"/>
              <w:rPr>
                <w:sz w:val="18"/>
                <w:szCs w:val="18"/>
              </w:rPr>
            </w:pPr>
            <w:r w:rsidRPr="0072530A">
              <w:rPr>
                <w:sz w:val="18"/>
                <w:szCs w:val="18"/>
              </w:rPr>
              <w:t>2</w:t>
            </w:r>
          </w:p>
        </w:tc>
        <w:tc>
          <w:tcPr>
            <w:tcW w:w="2121" w:type="dxa"/>
            <w:vAlign w:val="center"/>
          </w:tcPr>
          <w:p w14:paraId="5FED68E5" w14:textId="77777777" w:rsidR="00413601" w:rsidRPr="0072530A" w:rsidRDefault="00413601" w:rsidP="00CA0E97">
            <w:pPr>
              <w:pStyle w:val="a7"/>
              <w:spacing w:before="0" w:beforeAutospacing="0" w:after="0" w:afterAutospacing="0"/>
              <w:ind w:firstLine="284"/>
              <w:jc w:val="center"/>
              <w:rPr>
                <w:sz w:val="18"/>
                <w:szCs w:val="18"/>
              </w:rPr>
            </w:pPr>
            <w:r w:rsidRPr="0072530A">
              <w:rPr>
                <w:sz w:val="18"/>
                <w:szCs w:val="18"/>
              </w:rPr>
              <w:t>27</w:t>
            </w:r>
          </w:p>
        </w:tc>
        <w:tc>
          <w:tcPr>
            <w:tcW w:w="2410" w:type="dxa"/>
            <w:vAlign w:val="center"/>
          </w:tcPr>
          <w:p w14:paraId="31DE05EA" w14:textId="77777777" w:rsidR="00413601" w:rsidRPr="0072530A" w:rsidRDefault="00413601" w:rsidP="00CA0E97">
            <w:pPr>
              <w:pStyle w:val="a7"/>
              <w:spacing w:before="0" w:beforeAutospacing="0" w:after="0" w:afterAutospacing="0"/>
              <w:ind w:firstLine="284"/>
              <w:jc w:val="center"/>
              <w:rPr>
                <w:sz w:val="18"/>
                <w:szCs w:val="18"/>
              </w:rPr>
            </w:pPr>
            <w:r w:rsidRPr="0072530A">
              <w:rPr>
                <w:sz w:val="18"/>
                <w:szCs w:val="18"/>
              </w:rPr>
              <w:t>71</w:t>
            </w:r>
          </w:p>
        </w:tc>
      </w:tr>
      <w:tr w:rsidR="00413601" w:rsidRPr="0072530A" w14:paraId="2B8B6AF4" w14:textId="77777777" w:rsidTr="00CA0E97">
        <w:trPr>
          <w:jc w:val="center"/>
        </w:trPr>
        <w:tc>
          <w:tcPr>
            <w:tcW w:w="2122" w:type="dxa"/>
            <w:vAlign w:val="center"/>
          </w:tcPr>
          <w:p w14:paraId="61CD829A" w14:textId="4A27CE91" w:rsidR="00413601" w:rsidRPr="0072530A" w:rsidRDefault="00413601" w:rsidP="00CA0E97">
            <w:pPr>
              <w:pStyle w:val="a7"/>
              <w:spacing w:before="0" w:beforeAutospacing="0" w:after="0" w:afterAutospacing="0"/>
              <w:ind w:firstLine="284"/>
              <w:jc w:val="center"/>
              <w:rPr>
                <w:sz w:val="18"/>
                <w:szCs w:val="18"/>
              </w:rPr>
            </w:pPr>
            <w:r w:rsidRPr="0072530A">
              <w:rPr>
                <w:sz w:val="18"/>
                <w:szCs w:val="18"/>
              </w:rPr>
              <w:t>Russia</w:t>
            </w:r>
          </w:p>
        </w:tc>
        <w:tc>
          <w:tcPr>
            <w:tcW w:w="1989" w:type="dxa"/>
            <w:vAlign w:val="center"/>
          </w:tcPr>
          <w:p w14:paraId="24182DDB" w14:textId="77777777" w:rsidR="00413601" w:rsidRPr="0072530A" w:rsidRDefault="00413601" w:rsidP="00CA0E97">
            <w:pPr>
              <w:pStyle w:val="a7"/>
              <w:spacing w:before="0" w:beforeAutospacing="0" w:after="0" w:afterAutospacing="0"/>
              <w:ind w:firstLine="284"/>
              <w:jc w:val="center"/>
              <w:rPr>
                <w:sz w:val="18"/>
                <w:szCs w:val="18"/>
              </w:rPr>
            </w:pPr>
            <w:r w:rsidRPr="0072530A">
              <w:rPr>
                <w:sz w:val="18"/>
                <w:szCs w:val="18"/>
              </w:rPr>
              <w:t>4</w:t>
            </w:r>
          </w:p>
        </w:tc>
        <w:tc>
          <w:tcPr>
            <w:tcW w:w="2121" w:type="dxa"/>
            <w:vAlign w:val="center"/>
          </w:tcPr>
          <w:p w14:paraId="4EA3F137" w14:textId="77777777" w:rsidR="00413601" w:rsidRPr="0072530A" w:rsidRDefault="00413601" w:rsidP="00CA0E97">
            <w:pPr>
              <w:pStyle w:val="a7"/>
              <w:spacing w:before="0" w:beforeAutospacing="0" w:after="0" w:afterAutospacing="0"/>
              <w:ind w:firstLine="284"/>
              <w:jc w:val="center"/>
              <w:rPr>
                <w:sz w:val="18"/>
                <w:szCs w:val="18"/>
              </w:rPr>
            </w:pPr>
            <w:r w:rsidRPr="0072530A">
              <w:rPr>
                <w:sz w:val="18"/>
                <w:szCs w:val="18"/>
              </w:rPr>
              <w:t>40</w:t>
            </w:r>
          </w:p>
        </w:tc>
        <w:tc>
          <w:tcPr>
            <w:tcW w:w="2410" w:type="dxa"/>
            <w:vAlign w:val="center"/>
          </w:tcPr>
          <w:p w14:paraId="0269AFD7" w14:textId="77777777" w:rsidR="00413601" w:rsidRPr="0072530A" w:rsidRDefault="00413601" w:rsidP="00CA0E97">
            <w:pPr>
              <w:pStyle w:val="a7"/>
              <w:spacing w:before="0" w:beforeAutospacing="0" w:after="0" w:afterAutospacing="0"/>
              <w:ind w:firstLine="284"/>
              <w:jc w:val="center"/>
              <w:rPr>
                <w:sz w:val="18"/>
                <w:szCs w:val="18"/>
              </w:rPr>
            </w:pPr>
            <w:r w:rsidRPr="0072530A">
              <w:rPr>
                <w:sz w:val="18"/>
                <w:szCs w:val="18"/>
              </w:rPr>
              <w:t>56</w:t>
            </w:r>
          </w:p>
        </w:tc>
      </w:tr>
      <w:tr w:rsidR="00413601" w:rsidRPr="0072530A" w14:paraId="58975135" w14:textId="77777777" w:rsidTr="00CA0E97">
        <w:trPr>
          <w:jc w:val="center"/>
        </w:trPr>
        <w:tc>
          <w:tcPr>
            <w:tcW w:w="2122" w:type="dxa"/>
            <w:vAlign w:val="center"/>
          </w:tcPr>
          <w:p w14:paraId="1E92CDB0" w14:textId="3B3849FD" w:rsidR="00413601" w:rsidRPr="0072530A" w:rsidRDefault="00413601" w:rsidP="00CA0E97">
            <w:pPr>
              <w:pStyle w:val="a7"/>
              <w:spacing w:before="0" w:beforeAutospacing="0" w:after="0" w:afterAutospacing="0"/>
              <w:ind w:firstLine="284"/>
              <w:jc w:val="center"/>
              <w:rPr>
                <w:sz w:val="18"/>
                <w:szCs w:val="18"/>
              </w:rPr>
            </w:pPr>
            <w:r w:rsidRPr="0072530A">
              <w:rPr>
                <w:sz w:val="18"/>
                <w:szCs w:val="18"/>
              </w:rPr>
              <w:t>China</w:t>
            </w:r>
          </w:p>
        </w:tc>
        <w:tc>
          <w:tcPr>
            <w:tcW w:w="1989" w:type="dxa"/>
            <w:vAlign w:val="center"/>
          </w:tcPr>
          <w:p w14:paraId="00E9A884" w14:textId="77777777" w:rsidR="00413601" w:rsidRPr="0072530A" w:rsidRDefault="00413601" w:rsidP="00CA0E97">
            <w:pPr>
              <w:pStyle w:val="a7"/>
              <w:spacing w:before="0" w:beforeAutospacing="0" w:after="0" w:afterAutospacing="0"/>
              <w:ind w:firstLine="284"/>
              <w:jc w:val="center"/>
              <w:rPr>
                <w:sz w:val="18"/>
                <w:szCs w:val="18"/>
              </w:rPr>
            </w:pPr>
            <w:r w:rsidRPr="0072530A">
              <w:rPr>
                <w:sz w:val="18"/>
                <w:szCs w:val="18"/>
              </w:rPr>
              <w:t>8</w:t>
            </w:r>
          </w:p>
        </w:tc>
        <w:tc>
          <w:tcPr>
            <w:tcW w:w="2121" w:type="dxa"/>
            <w:vAlign w:val="center"/>
          </w:tcPr>
          <w:p w14:paraId="1EF27FAF" w14:textId="77777777" w:rsidR="00413601" w:rsidRPr="0072530A" w:rsidRDefault="00413601" w:rsidP="00CA0E97">
            <w:pPr>
              <w:pStyle w:val="a7"/>
              <w:spacing w:before="0" w:beforeAutospacing="0" w:after="0" w:afterAutospacing="0"/>
              <w:ind w:firstLine="284"/>
              <w:jc w:val="center"/>
              <w:rPr>
                <w:sz w:val="18"/>
                <w:szCs w:val="18"/>
              </w:rPr>
            </w:pPr>
            <w:r w:rsidRPr="0072530A">
              <w:rPr>
                <w:sz w:val="18"/>
                <w:szCs w:val="18"/>
              </w:rPr>
              <w:t>38</w:t>
            </w:r>
          </w:p>
        </w:tc>
        <w:tc>
          <w:tcPr>
            <w:tcW w:w="2410" w:type="dxa"/>
            <w:vAlign w:val="center"/>
          </w:tcPr>
          <w:p w14:paraId="58192B19" w14:textId="77777777" w:rsidR="00413601" w:rsidRPr="0072530A" w:rsidRDefault="00413601" w:rsidP="00CA0E97">
            <w:pPr>
              <w:pStyle w:val="a7"/>
              <w:spacing w:before="0" w:beforeAutospacing="0" w:after="0" w:afterAutospacing="0"/>
              <w:ind w:firstLine="284"/>
              <w:jc w:val="center"/>
              <w:rPr>
                <w:sz w:val="18"/>
                <w:szCs w:val="18"/>
              </w:rPr>
            </w:pPr>
            <w:r w:rsidRPr="0072530A">
              <w:rPr>
                <w:sz w:val="18"/>
                <w:szCs w:val="18"/>
              </w:rPr>
              <w:t>54</w:t>
            </w:r>
          </w:p>
        </w:tc>
      </w:tr>
      <w:tr w:rsidR="00413601" w:rsidRPr="0072530A" w14:paraId="52F5AB19" w14:textId="77777777" w:rsidTr="00CA0E97">
        <w:trPr>
          <w:jc w:val="center"/>
        </w:trPr>
        <w:tc>
          <w:tcPr>
            <w:tcW w:w="2122" w:type="dxa"/>
            <w:vAlign w:val="center"/>
          </w:tcPr>
          <w:p w14:paraId="40134ECC" w14:textId="77777777" w:rsidR="00413601" w:rsidRPr="0072530A" w:rsidRDefault="00413601" w:rsidP="00CA0E97">
            <w:pPr>
              <w:pStyle w:val="a7"/>
              <w:spacing w:before="0" w:beforeAutospacing="0" w:after="0" w:afterAutospacing="0"/>
              <w:ind w:firstLine="284"/>
              <w:jc w:val="center"/>
              <w:rPr>
                <w:sz w:val="18"/>
                <w:szCs w:val="18"/>
              </w:rPr>
            </w:pPr>
            <w:r w:rsidRPr="0072530A">
              <w:rPr>
                <w:sz w:val="18"/>
                <w:szCs w:val="18"/>
              </w:rPr>
              <w:t>India</w:t>
            </w:r>
          </w:p>
        </w:tc>
        <w:tc>
          <w:tcPr>
            <w:tcW w:w="1989" w:type="dxa"/>
            <w:vAlign w:val="center"/>
          </w:tcPr>
          <w:p w14:paraId="3FC2BB35" w14:textId="77777777" w:rsidR="00413601" w:rsidRPr="0072530A" w:rsidRDefault="00413601" w:rsidP="00CA0E97">
            <w:pPr>
              <w:pStyle w:val="a7"/>
              <w:spacing w:before="0" w:beforeAutospacing="0" w:after="0" w:afterAutospacing="0"/>
              <w:ind w:firstLine="284"/>
              <w:jc w:val="center"/>
              <w:rPr>
                <w:sz w:val="18"/>
                <w:szCs w:val="18"/>
              </w:rPr>
            </w:pPr>
            <w:r w:rsidRPr="0072530A">
              <w:rPr>
                <w:sz w:val="18"/>
                <w:szCs w:val="18"/>
              </w:rPr>
              <w:t>18</w:t>
            </w:r>
          </w:p>
        </w:tc>
        <w:tc>
          <w:tcPr>
            <w:tcW w:w="2121" w:type="dxa"/>
            <w:vAlign w:val="center"/>
          </w:tcPr>
          <w:p w14:paraId="2C94A497" w14:textId="77777777" w:rsidR="00413601" w:rsidRPr="0072530A" w:rsidRDefault="00413601" w:rsidP="00CA0E97">
            <w:pPr>
              <w:pStyle w:val="a7"/>
              <w:spacing w:before="0" w:beforeAutospacing="0" w:after="0" w:afterAutospacing="0"/>
              <w:ind w:firstLine="284"/>
              <w:jc w:val="center"/>
              <w:rPr>
                <w:sz w:val="18"/>
                <w:szCs w:val="18"/>
              </w:rPr>
            </w:pPr>
            <w:r w:rsidRPr="0072530A">
              <w:rPr>
                <w:sz w:val="18"/>
                <w:szCs w:val="18"/>
              </w:rPr>
              <w:t>34</w:t>
            </w:r>
          </w:p>
        </w:tc>
        <w:tc>
          <w:tcPr>
            <w:tcW w:w="2410" w:type="dxa"/>
            <w:vAlign w:val="center"/>
          </w:tcPr>
          <w:p w14:paraId="5D7B0181" w14:textId="77777777" w:rsidR="00413601" w:rsidRPr="0072530A" w:rsidRDefault="00413601" w:rsidP="00CA0E97">
            <w:pPr>
              <w:pStyle w:val="a7"/>
              <w:spacing w:before="0" w:beforeAutospacing="0" w:after="0" w:afterAutospacing="0"/>
              <w:ind w:firstLine="284"/>
              <w:jc w:val="center"/>
              <w:rPr>
                <w:sz w:val="18"/>
                <w:szCs w:val="18"/>
              </w:rPr>
            </w:pPr>
            <w:r w:rsidRPr="0072530A">
              <w:rPr>
                <w:sz w:val="18"/>
                <w:szCs w:val="18"/>
              </w:rPr>
              <w:t>48</w:t>
            </w:r>
          </w:p>
        </w:tc>
      </w:tr>
    </w:tbl>
    <w:p w14:paraId="02D04EAB" w14:textId="59DF8A8B" w:rsidR="00413601" w:rsidRPr="00CA0E97" w:rsidRDefault="00413601" w:rsidP="00CA0E97">
      <w:pPr>
        <w:spacing w:after="0" w:line="240" w:lineRule="auto"/>
        <w:ind w:firstLine="284"/>
        <w:jc w:val="center"/>
        <w:rPr>
          <w:rFonts w:ascii="Times New Roman" w:hAnsi="Times New Roman" w:cs="Times New Roman"/>
          <w:color w:val="000000"/>
          <w:sz w:val="20"/>
          <w:szCs w:val="20"/>
          <w:lang w:val="ru-RU"/>
        </w:rPr>
      </w:pPr>
    </w:p>
    <w:p w14:paraId="014A9A2C" w14:textId="0E8A3785" w:rsidR="00AF1CF2" w:rsidRPr="00CA0E97" w:rsidRDefault="00413601" w:rsidP="00CA0E97">
      <w:pPr>
        <w:pStyle w:val="Default"/>
        <w:ind w:firstLine="284"/>
        <w:jc w:val="both"/>
        <w:rPr>
          <w:b/>
          <w:bCs/>
          <w:i/>
          <w:iCs/>
          <w:sz w:val="20"/>
          <w:szCs w:val="20"/>
          <w:lang w:val="en-US"/>
        </w:rPr>
      </w:pPr>
      <w:r w:rsidRPr="00CA0E97">
        <w:rPr>
          <w:sz w:val="20"/>
          <w:szCs w:val="20"/>
          <w:lang w:val="en-US"/>
        </w:rPr>
        <w:t>Given the constant changes in equipment characteristics and stricter requirements for finished products, there is an increasing need to improve the reliability of power supply systems. At the same time, cabling and wiring products (CWPs) are a crucial element of power transmission and distribution systems, ensuring the efficient transfer of electricity from power sources to consumers.</w:t>
      </w:r>
    </w:p>
    <w:p w14:paraId="057557DD" w14:textId="77777777" w:rsidR="00413601" w:rsidRPr="00CA0E97" w:rsidRDefault="00413601" w:rsidP="00CA0E97">
      <w:pPr>
        <w:tabs>
          <w:tab w:val="left" w:pos="851"/>
        </w:tabs>
        <w:spacing w:after="0" w:line="240" w:lineRule="auto"/>
        <w:ind w:firstLine="284"/>
        <w:jc w:val="both"/>
        <w:rPr>
          <w:rFonts w:ascii="Times New Roman" w:hAnsi="Times New Roman" w:cs="Times New Roman"/>
          <w:sz w:val="20"/>
          <w:szCs w:val="20"/>
        </w:rPr>
      </w:pPr>
      <w:r w:rsidRPr="00CA0E97">
        <w:rPr>
          <w:rFonts w:ascii="Times New Roman" w:hAnsi="Times New Roman" w:cs="Times New Roman"/>
          <w:sz w:val="20"/>
          <w:szCs w:val="20"/>
        </w:rPr>
        <w:t xml:space="preserve">Ensuring the growth of cable industry production directly depends on the pace of development and the needs of various economic sectors. To fulfill the tasks set in the cable industry, the following priority areas are currently </w:t>
      </w:r>
      <w:r w:rsidRPr="00CA0E97">
        <w:rPr>
          <w:rFonts w:ascii="Times New Roman" w:hAnsi="Times New Roman" w:cs="Times New Roman"/>
          <w:sz w:val="20"/>
          <w:szCs w:val="20"/>
        </w:rPr>
        <w:lastRenderedPageBreak/>
        <w:t>relevant, focused on the introduction of new types of CWPs, namely: strict compliance with modern technical regulations; ensuring consideration of various factors related to cable operation under conditions of increased mechanical loads, temperature fluctuations and the influence of aggressive environments; the creation of heat-resistant, flame-resistant and low-smoke cables with reduced toxicity during combustion, which are becoming priority areas.</w:t>
      </w:r>
    </w:p>
    <w:p w14:paraId="01B8669F" w14:textId="77777777" w:rsidR="00413601" w:rsidRPr="00CA0E97" w:rsidRDefault="00413601" w:rsidP="00CA0E97">
      <w:pPr>
        <w:tabs>
          <w:tab w:val="left" w:pos="851"/>
        </w:tabs>
        <w:spacing w:after="0" w:line="240" w:lineRule="auto"/>
        <w:ind w:firstLine="284"/>
        <w:jc w:val="both"/>
        <w:rPr>
          <w:rFonts w:ascii="Times New Roman" w:hAnsi="Times New Roman" w:cs="Times New Roman"/>
          <w:sz w:val="20"/>
          <w:szCs w:val="20"/>
        </w:rPr>
      </w:pPr>
      <w:r w:rsidRPr="00CA0E97">
        <w:rPr>
          <w:rFonts w:ascii="Times New Roman" w:hAnsi="Times New Roman" w:cs="Times New Roman"/>
          <w:sz w:val="20"/>
          <w:szCs w:val="20"/>
        </w:rPr>
        <w:t>Increasing attention is being paid to the intellectualization of cable systems (CS) — the use of sensor elements and diagnostic modules that allow real-time monitoring of insulation conditions, current and voltage parameters, defects and excess temperatures. Such solutions can significantly reduce the risk of failures, increase safety and extend the service life of electrical networks.</w:t>
      </w:r>
    </w:p>
    <w:p w14:paraId="1A45911E" w14:textId="77777777" w:rsidR="00413601" w:rsidRPr="00CA0E97" w:rsidRDefault="00413601" w:rsidP="00CA0E97">
      <w:pPr>
        <w:tabs>
          <w:tab w:val="left" w:pos="851"/>
        </w:tabs>
        <w:spacing w:after="0" w:line="240" w:lineRule="auto"/>
        <w:ind w:firstLine="284"/>
        <w:jc w:val="both"/>
        <w:rPr>
          <w:rFonts w:ascii="Times New Roman" w:hAnsi="Times New Roman" w:cs="Times New Roman"/>
          <w:sz w:val="20"/>
          <w:szCs w:val="20"/>
        </w:rPr>
      </w:pPr>
      <w:r w:rsidRPr="00CA0E97">
        <w:rPr>
          <w:rFonts w:ascii="Times New Roman" w:hAnsi="Times New Roman" w:cs="Times New Roman"/>
          <w:sz w:val="20"/>
          <w:szCs w:val="20"/>
        </w:rPr>
        <w:t>The energy transition, driven by the development of renewable energy sources (RES), offers significant opportunities to increase the efficiency of the Republic's existing power system, which also imposes new requirements on cabling and wiring products. Cables that are resistant to UV radiation, moisture, mechanical and climatic influences are needed to integrate wind, solar and hybrid installations. In addition, increased flexibility and reduced weight of cables are becoming critical for use in mobile and distributed energy systems.</w:t>
      </w:r>
    </w:p>
    <w:p w14:paraId="26092E1A" w14:textId="5B8F76E5" w:rsidR="00631443" w:rsidRPr="00CA0E97" w:rsidRDefault="00413601" w:rsidP="00CA0E97">
      <w:pPr>
        <w:tabs>
          <w:tab w:val="left" w:pos="851"/>
        </w:tabs>
        <w:spacing w:after="0" w:line="240" w:lineRule="auto"/>
        <w:ind w:firstLine="284"/>
        <w:jc w:val="both"/>
        <w:rPr>
          <w:rFonts w:ascii="Times New Roman" w:hAnsi="Times New Roman" w:cs="Times New Roman"/>
          <w:sz w:val="20"/>
          <w:szCs w:val="20"/>
        </w:rPr>
      </w:pPr>
      <w:r w:rsidRPr="00CA0E97">
        <w:rPr>
          <w:rFonts w:ascii="Times New Roman" w:hAnsi="Times New Roman" w:cs="Times New Roman"/>
          <w:sz w:val="20"/>
          <w:szCs w:val="20"/>
        </w:rPr>
        <w:t>Thus, ensuring the quality and reliability of the CWPs is not only a technical compliance task, but also a strategic direction that affects the sustainability of the entire energy infrastructure in the context of global technological changes throughout the national economic sector of our Republic</w:t>
      </w:r>
      <w:r w:rsidR="00CA0E97" w:rsidRPr="00CA0E97">
        <w:rPr>
          <w:rFonts w:ascii="Times New Roman" w:hAnsi="Times New Roman" w:cs="Times New Roman"/>
          <w:sz w:val="20"/>
          <w:szCs w:val="20"/>
        </w:rPr>
        <w:t xml:space="preserve"> [1-5]</w:t>
      </w:r>
      <w:r w:rsidRPr="00CA0E97">
        <w:rPr>
          <w:rFonts w:ascii="Times New Roman" w:hAnsi="Times New Roman" w:cs="Times New Roman"/>
          <w:sz w:val="20"/>
          <w:szCs w:val="20"/>
        </w:rPr>
        <w:t>.</w:t>
      </w:r>
    </w:p>
    <w:p w14:paraId="06E35DE7" w14:textId="77777777" w:rsidR="00413601" w:rsidRPr="00CA0E97" w:rsidRDefault="00413601" w:rsidP="00CA0E97">
      <w:pPr>
        <w:tabs>
          <w:tab w:val="left" w:pos="851"/>
        </w:tabs>
        <w:spacing w:after="0" w:line="240" w:lineRule="auto"/>
        <w:ind w:firstLine="284"/>
        <w:jc w:val="both"/>
        <w:rPr>
          <w:rFonts w:ascii="Times New Roman" w:hAnsi="Times New Roman" w:cs="Times New Roman"/>
          <w:sz w:val="20"/>
          <w:szCs w:val="20"/>
        </w:rPr>
      </w:pPr>
      <w:r w:rsidRPr="00CA0E97">
        <w:rPr>
          <w:rFonts w:ascii="Times New Roman" w:hAnsi="Times New Roman" w:cs="Times New Roman"/>
          <w:b/>
          <w:bCs/>
          <w:i/>
          <w:iCs/>
          <w:sz w:val="20"/>
          <w:szCs w:val="20"/>
        </w:rPr>
        <w:t>General information.</w:t>
      </w:r>
      <w:r w:rsidRPr="00CA0E97">
        <w:rPr>
          <w:rFonts w:ascii="Times New Roman" w:hAnsi="Times New Roman" w:cs="Times New Roman"/>
          <w:sz w:val="20"/>
          <w:szCs w:val="20"/>
        </w:rPr>
        <w:t xml:space="preserve"> It should be noted that the service life of typical cable products, during which the preservation of their operational characteristics is guaranteed, is about 25 years. After this period, cable lines (CLs) require replacement with modern cables and wires that meet new technical and environmental requirements. The increased requirements for the CWPs are due to the specific features of the latest equipment with which the cable products interact.</w:t>
      </w:r>
    </w:p>
    <w:p w14:paraId="6BA5D2ED" w14:textId="62E3FBF0" w:rsidR="00CA0E97" w:rsidRDefault="00CA0E97" w:rsidP="00CA0E97">
      <w:pPr>
        <w:tabs>
          <w:tab w:val="left" w:pos="851"/>
        </w:tabs>
        <w:spacing w:after="0" w:line="240" w:lineRule="auto"/>
        <w:jc w:val="center"/>
        <w:rPr>
          <w:rFonts w:ascii="Times New Roman" w:hAnsi="Times New Roman" w:cs="Times New Roman"/>
          <w:b/>
          <w:sz w:val="20"/>
          <w:szCs w:val="20"/>
          <w:lang w:eastAsia="de-DE"/>
        </w:rPr>
      </w:pPr>
      <w:r w:rsidRPr="00CA0E97">
        <w:rPr>
          <w:rFonts w:ascii="Times New Roman" w:hAnsi="Times New Roman" w:cs="Times New Roman"/>
          <w:b/>
          <w:noProof/>
          <w:sz w:val="20"/>
          <w:szCs w:val="20"/>
        </w:rPr>
        <w:drawing>
          <wp:inline distT="0" distB="0" distL="0" distR="0" wp14:anchorId="5F450618" wp14:editId="55B20ADE">
            <wp:extent cx="5155906" cy="3067050"/>
            <wp:effectExtent l="0" t="0" r="6985" b="0"/>
            <wp:docPr id="172553749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537493" name=""/>
                    <pic:cNvPicPr/>
                  </pic:nvPicPr>
                  <pic:blipFill>
                    <a:blip r:embed="rId6"/>
                    <a:stretch>
                      <a:fillRect/>
                    </a:stretch>
                  </pic:blipFill>
                  <pic:spPr>
                    <a:xfrm>
                      <a:off x="0" y="0"/>
                      <a:ext cx="5162098" cy="3070734"/>
                    </a:xfrm>
                    <a:prstGeom prst="rect">
                      <a:avLst/>
                    </a:prstGeom>
                  </pic:spPr>
                </pic:pic>
              </a:graphicData>
            </a:graphic>
          </wp:inline>
        </w:drawing>
      </w:r>
    </w:p>
    <w:p w14:paraId="058F8962" w14:textId="730E6FC3" w:rsidR="00413601" w:rsidRPr="00CA0E97" w:rsidRDefault="00413601" w:rsidP="00CA0E97">
      <w:pPr>
        <w:tabs>
          <w:tab w:val="left" w:pos="851"/>
        </w:tabs>
        <w:spacing w:after="0" w:line="240" w:lineRule="auto"/>
        <w:ind w:firstLine="284"/>
        <w:jc w:val="both"/>
        <w:rPr>
          <w:rFonts w:ascii="Times New Roman" w:hAnsi="Times New Roman" w:cs="Times New Roman"/>
          <w:sz w:val="20"/>
          <w:szCs w:val="20"/>
          <w:lang w:eastAsia="de-DE"/>
        </w:rPr>
      </w:pPr>
      <w:r w:rsidRPr="00CA0E97">
        <w:rPr>
          <w:rFonts w:ascii="Times New Roman" w:hAnsi="Times New Roman" w:cs="Times New Roman"/>
          <w:b/>
          <w:sz w:val="20"/>
          <w:szCs w:val="20"/>
          <w:lang w:eastAsia="de-DE"/>
        </w:rPr>
        <w:t>FIGURE 1.</w:t>
      </w:r>
      <w:r w:rsidRPr="00CA0E97">
        <w:rPr>
          <w:rFonts w:ascii="Times New Roman" w:hAnsi="Times New Roman" w:cs="Times New Roman"/>
          <w:sz w:val="20"/>
          <w:szCs w:val="20"/>
          <w:lang w:eastAsia="de-DE"/>
        </w:rPr>
        <w:t xml:space="preserve"> Change in the total capacity of final electricity consumption for the USA (US), China (CH), Russia (RU), the European Union (EU) and India (IN) for the period 1990-2019, GW</w:t>
      </w:r>
    </w:p>
    <w:p w14:paraId="38B37FBA" w14:textId="77777777" w:rsidR="00CA0E97" w:rsidRDefault="00CA0E97" w:rsidP="00CA0E97">
      <w:pPr>
        <w:tabs>
          <w:tab w:val="left" w:pos="851"/>
        </w:tabs>
        <w:spacing w:after="0" w:line="240" w:lineRule="auto"/>
        <w:ind w:firstLine="284"/>
        <w:jc w:val="both"/>
        <w:rPr>
          <w:rFonts w:ascii="Times New Roman" w:hAnsi="Times New Roman" w:cs="Times New Roman"/>
          <w:sz w:val="20"/>
          <w:szCs w:val="20"/>
        </w:rPr>
      </w:pPr>
    </w:p>
    <w:p w14:paraId="5187EFAF" w14:textId="77777777" w:rsidR="00CA0E97" w:rsidRPr="00CA0E97" w:rsidRDefault="00CA0E97" w:rsidP="00CA0E97">
      <w:pPr>
        <w:tabs>
          <w:tab w:val="left" w:pos="851"/>
        </w:tabs>
        <w:spacing w:after="0" w:line="240" w:lineRule="auto"/>
        <w:ind w:firstLine="284"/>
        <w:jc w:val="both"/>
        <w:rPr>
          <w:rFonts w:ascii="Times New Roman" w:hAnsi="Times New Roman" w:cs="Times New Roman"/>
          <w:sz w:val="20"/>
          <w:szCs w:val="20"/>
        </w:rPr>
      </w:pPr>
      <w:r w:rsidRPr="00CA0E97">
        <w:rPr>
          <w:rFonts w:ascii="Times New Roman" w:hAnsi="Times New Roman" w:cs="Times New Roman"/>
          <w:sz w:val="20"/>
          <w:szCs w:val="20"/>
        </w:rPr>
        <w:t>Special attention in modern conditions is paid to the electromagnetic compatibility (EMC) of cable products (CPs) used in power transmission lines. Compliance with the established EMC standards is the most important criterion for ensuring stable operation not only of the line itself, but also of the surrounding technological equipment (installed in close proximity) subject to the possible effects of emerging electromagnetic interference.</w:t>
      </w:r>
    </w:p>
    <w:p w14:paraId="6702E417" w14:textId="77777777" w:rsidR="00CA0E97" w:rsidRPr="00CA0E97" w:rsidRDefault="00CA0E97" w:rsidP="00CA0E97">
      <w:pPr>
        <w:tabs>
          <w:tab w:val="left" w:pos="851"/>
        </w:tabs>
        <w:spacing w:after="0" w:line="240" w:lineRule="auto"/>
        <w:ind w:firstLine="284"/>
        <w:jc w:val="both"/>
        <w:rPr>
          <w:rFonts w:ascii="Times New Roman" w:hAnsi="Times New Roman" w:cs="Times New Roman"/>
          <w:sz w:val="20"/>
          <w:szCs w:val="20"/>
        </w:rPr>
      </w:pPr>
      <w:r w:rsidRPr="00CA0E97">
        <w:rPr>
          <w:rFonts w:ascii="Times New Roman" w:hAnsi="Times New Roman" w:cs="Times New Roman"/>
          <w:sz w:val="20"/>
          <w:szCs w:val="20"/>
        </w:rPr>
        <w:t>Against the background of a steady shortage of energy capacities and a continuous increase in electricity consumption (Fig. 1), especially in the countries of the European Union, where the projected annual growth is about 1.5% [1, 2], the problem of improving the reliability and efficiency of power transmission systems is becoming increasingly relevant.</w:t>
      </w:r>
    </w:p>
    <w:p w14:paraId="74F52630" w14:textId="77777777" w:rsidR="00CA0E97" w:rsidRPr="00CA0E97" w:rsidRDefault="00CA0E97" w:rsidP="00CA0E97">
      <w:pPr>
        <w:tabs>
          <w:tab w:val="left" w:pos="851"/>
        </w:tabs>
        <w:spacing w:after="0" w:line="240" w:lineRule="auto"/>
        <w:ind w:firstLine="284"/>
        <w:jc w:val="both"/>
        <w:rPr>
          <w:rFonts w:ascii="Times New Roman" w:hAnsi="Times New Roman" w:cs="Times New Roman"/>
          <w:sz w:val="20"/>
          <w:szCs w:val="20"/>
        </w:rPr>
      </w:pPr>
      <w:r w:rsidRPr="00CA0E97">
        <w:rPr>
          <w:rFonts w:ascii="Times New Roman" w:hAnsi="Times New Roman" w:cs="Times New Roman"/>
          <w:sz w:val="20"/>
          <w:szCs w:val="20"/>
        </w:rPr>
        <w:lastRenderedPageBreak/>
        <w:t>Currently, more than half of the existing cable lines (CLs) have reached their service life and require replacement. In order to compensate for the shortage of energy supply, new generating facilities are being built and main power transmission lines are being expanded, in the construction of which non-insulated phase conductors are widely used.</w:t>
      </w:r>
    </w:p>
    <w:p w14:paraId="7BC6E57D" w14:textId="77777777" w:rsidR="00CA0E97" w:rsidRPr="00CA0E97" w:rsidRDefault="00CA0E97" w:rsidP="00CA0E97">
      <w:pPr>
        <w:tabs>
          <w:tab w:val="left" w:pos="851"/>
        </w:tabs>
        <w:spacing w:after="0" w:line="240" w:lineRule="auto"/>
        <w:ind w:firstLine="284"/>
        <w:jc w:val="both"/>
        <w:rPr>
          <w:rFonts w:ascii="Times New Roman" w:hAnsi="Times New Roman" w:cs="Times New Roman"/>
          <w:sz w:val="20"/>
          <w:szCs w:val="20"/>
        </w:rPr>
      </w:pPr>
      <w:r w:rsidRPr="00CA0E97">
        <w:rPr>
          <w:rFonts w:ascii="Times New Roman" w:hAnsi="Times New Roman" w:cs="Times New Roman"/>
          <w:sz w:val="20"/>
          <w:szCs w:val="20"/>
        </w:rPr>
        <w:t>As a result, high operational requirements are imposed on modern cable products: minimal specific losses, increased tensile strength, vibration resistance, resistance to extreme wind and ice loads, as well as corrosion resistance in various climatic zones.</w:t>
      </w:r>
    </w:p>
    <w:p w14:paraId="441EAB8C" w14:textId="66A3E5CB" w:rsidR="00413601" w:rsidRPr="00CA0E97" w:rsidRDefault="00413601" w:rsidP="00CA0E97">
      <w:pPr>
        <w:tabs>
          <w:tab w:val="left" w:pos="851"/>
        </w:tabs>
        <w:spacing w:after="0" w:line="240" w:lineRule="auto"/>
        <w:ind w:firstLine="284"/>
        <w:jc w:val="both"/>
        <w:rPr>
          <w:rFonts w:ascii="Times New Roman" w:hAnsi="Times New Roman" w:cs="Times New Roman"/>
          <w:sz w:val="20"/>
          <w:szCs w:val="20"/>
        </w:rPr>
      </w:pPr>
      <w:r w:rsidRPr="00CA0E97">
        <w:rPr>
          <w:rFonts w:ascii="Times New Roman" w:hAnsi="Times New Roman" w:cs="Times New Roman"/>
          <w:sz w:val="20"/>
          <w:szCs w:val="20"/>
        </w:rPr>
        <w:t>An analysis of the current state of the cable market in the Republic of Uzbekistan indicates that a significant part of the available cable products does not fully meet the listed criteria, which leads to emergencies at the energy infrastructure facilities of our country. In this regard, enterprises serving the energy sector incur significant financial losses associated with repairing damage to lines and the cost of promptly restoring their operability, often in difficult climatic conditions (from +60 °C to -25 °C), with hurricane-force winds, lack of transport accessibility and power supply. One of the critical factors remains the vulnerability of overhead power transmission lines (OPTL) to lightning strikes. Products with effective protection against lightning surges are becoming a competitive advantage in the market, providing a higher level of operational reliability.</w:t>
      </w:r>
    </w:p>
    <w:p w14:paraId="2C2ECC57" w14:textId="54E201E2" w:rsidR="00413601" w:rsidRPr="00CA0E97" w:rsidRDefault="00413601" w:rsidP="00CA0E97">
      <w:pPr>
        <w:tabs>
          <w:tab w:val="left" w:pos="851"/>
        </w:tabs>
        <w:spacing w:after="0" w:line="240" w:lineRule="auto"/>
        <w:ind w:firstLine="284"/>
        <w:jc w:val="both"/>
        <w:rPr>
          <w:rFonts w:ascii="Times New Roman" w:hAnsi="Times New Roman" w:cs="Times New Roman"/>
          <w:sz w:val="20"/>
          <w:szCs w:val="20"/>
        </w:rPr>
      </w:pPr>
      <w:r w:rsidRPr="00CA0E97">
        <w:rPr>
          <w:rFonts w:ascii="Times New Roman" w:hAnsi="Times New Roman" w:cs="Times New Roman"/>
          <w:sz w:val="20"/>
          <w:szCs w:val="20"/>
        </w:rPr>
        <w:t>The experience of operating medium-voltage distribution networks (from 5 to 30 kV) in countries such as the United Kingdom, Germany, the Netherlands and the Scandinavian countries demonstrates the effectiveness of switching to underground cable lines, including high-voltage class. This area has been actively developed as part of the modernization of energy networks aimed at reducing losses, improving the safety and stability of power supply systems.</w:t>
      </w:r>
    </w:p>
    <w:p w14:paraId="493A640D" w14:textId="237A955D" w:rsidR="008A22AB" w:rsidRPr="00287E0A" w:rsidRDefault="00DE4111" w:rsidP="00CA0E97">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2FC48DAC" w14:textId="2F1C1B43" w:rsidR="008A22AB" w:rsidRDefault="00413601" w:rsidP="00CA0E97">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413601">
        <w:rPr>
          <w:rFonts w:ascii="Times New Roman" w:hAnsi="Times New Roman" w:cs="Times New Roman"/>
          <w:sz w:val="20"/>
          <w:lang w:val="uz-Cyrl-UZ"/>
        </w:rPr>
        <w:t>Many leading manufacturers of cable products, together with organizations operating energy networks, are implementing comprehensive projects to improve the design of power cable products. Their special attention is paid to the development of new types of cross-linked polyethylene (XLPE) used as an insulating material: flame-retardant compounds are being created, the quality of sheaths is being improved, and moisture-proofing technologies are being introduced. All these solutions contribute to a reduction in the total cost of both installation and operation of high-voltage and ultra-high-voltage cable lines based on XLPE.</w:t>
      </w:r>
    </w:p>
    <w:p w14:paraId="38F7EBFF" w14:textId="37CA6AC1" w:rsidR="00413601" w:rsidRDefault="00413601" w:rsidP="00CA0E97">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413601">
        <w:rPr>
          <w:rFonts w:ascii="Times New Roman" w:hAnsi="Times New Roman" w:cs="Times New Roman"/>
          <w:sz w:val="20"/>
          <w:lang w:val="uz-Cyrl-UZ"/>
        </w:rPr>
        <w:t>High-temperature superconductivity cables (HTSC) deserve special attention as an innovative approach to modernizing power transmission systems. These cables represent a promising alternative to traditional copper and aluminum systems, especially in high-current power transmission environments. A distinctive feature of HTS cables (Fig.2) is their ability to transport 3-5 times more energy than conventional counterparts, while providing a significant reduction in specific losses in the transmission area — up to 7-10%. This, in turn, allows not only to optimize the operation of energy systems, but also helps to reduce greenhouse gas emissions, which meets the current requirements of environmental sustainability [3, 4].</w:t>
      </w:r>
    </w:p>
    <w:p w14:paraId="7714668C" w14:textId="77777777" w:rsidR="00CA0E97" w:rsidRPr="00CA0E97" w:rsidRDefault="00CA0E97" w:rsidP="00CA0E97">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p>
    <w:p w14:paraId="57231E26" w14:textId="0E0EE3DA" w:rsidR="00413601" w:rsidRDefault="00413601" w:rsidP="00CA0E97">
      <w:pPr>
        <w:overflowPunct w:val="0"/>
        <w:autoSpaceDE w:val="0"/>
        <w:autoSpaceDN w:val="0"/>
        <w:adjustRightInd w:val="0"/>
        <w:spacing w:after="0" w:line="240" w:lineRule="auto"/>
        <w:ind w:firstLine="284"/>
        <w:jc w:val="center"/>
        <w:textAlignment w:val="baseline"/>
        <w:rPr>
          <w:rFonts w:ascii="Times New Roman" w:hAnsi="Times New Roman" w:cs="Times New Roman"/>
          <w:sz w:val="20"/>
          <w:lang w:val="uz-Cyrl-UZ"/>
        </w:rPr>
      </w:pPr>
      <w:r>
        <w:rPr>
          <w:rFonts w:ascii="Times New Roman" w:hAnsi="Times New Roman" w:cs="Times New Roman"/>
          <w:noProof/>
          <w:sz w:val="20"/>
        </w:rPr>
        <w:drawing>
          <wp:inline distT="0" distB="0" distL="0" distR="0" wp14:anchorId="0B918AE3" wp14:editId="12AED004">
            <wp:extent cx="3638550" cy="220995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0697" cy="2217332"/>
                    </a:xfrm>
                    <a:prstGeom prst="rect">
                      <a:avLst/>
                    </a:prstGeom>
                    <a:noFill/>
                    <a:ln>
                      <a:noFill/>
                    </a:ln>
                  </pic:spPr>
                </pic:pic>
              </a:graphicData>
            </a:graphic>
          </wp:inline>
        </w:drawing>
      </w:r>
    </w:p>
    <w:p w14:paraId="2BFDC44B" w14:textId="5E7A547A" w:rsidR="00413601" w:rsidRPr="00413601" w:rsidRDefault="00413601" w:rsidP="00CA0E97">
      <w:pPr>
        <w:tabs>
          <w:tab w:val="left" w:pos="851"/>
        </w:tabs>
        <w:spacing w:after="0" w:line="240" w:lineRule="auto"/>
        <w:ind w:firstLine="284"/>
        <w:jc w:val="center"/>
        <w:rPr>
          <w:rFonts w:ascii="Times New Roman" w:hAnsi="Times New Roman" w:cs="Times New Roman"/>
          <w:sz w:val="20"/>
          <w:szCs w:val="20"/>
          <w:lang w:eastAsia="de-DE"/>
        </w:rPr>
      </w:pPr>
      <w:r w:rsidRPr="008745D5">
        <w:rPr>
          <w:rFonts w:ascii="Times New Roman" w:hAnsi="Times New Roman" w:cs="Times New Roman"/>
          <w:b/>
          <w:sz w:val="20"/>
          <w:szCs w:val="20"/>
          <w:lang w:eastAsia="de-DE"/>
        </w:rPr>
        <w:t xml:space="preserve">FIGURE </w:t>
      </w:r>
      <w:r w:rsidRPr="00413601">
        <w:rPr>
          <w:rFonts w:ascii="Times New Roman" w:hAnsi="Times New Roman" w:cs="Times New Roman"/>
          <w:b/>
          <w:sz w:val="20"/>
          <w:szCs w:val="20"/>
          <w:lang w:eastAsia="de-DE"/>
        </w:rPr>
        <w:t>2</w:t>
      </w:r>
      <w:r w:rsidRPr="008745D5">
        <w:rPr>
          <w:rFonts w:ascii="Times New Roman" w:hAnsi="Times New Roman" w:cs="Times New Roman"/>
          <w:b/>
          <w:sz w:val="20"/>
          <w:szCs w:val="20"/>
          <w:lang w:eastAsia="de-DE"/>
        </w:rPr>
        <w:t>.</w:t>
      </w:r>
      <w:r w:rsidRPr="008745D5">
        <w:rPr>
          <w:rFonts w:ascii="Times New Roman" w:hAnsi="Times New Roman" w:cs="Times New Roman"/>
          <w:sz w:val="20"/>
          <w:szCs w:val="20"/>
          <w:lang w:eastAsia="de-DE"/>
        </w:rPr>
        <w:t xml:space="preserve"> </w:t>
      </w:r>
      <w:r w:rsidRPr="00413601">
        <w:rPr>
          <w:rFonts w:ascii="Times New Roman" w:hAnsi="Times New Roman" w:cs="Times New Roman"/>
          <w:sz w:val="20"/>
          <w:szCs w:val="20"/>
          <w:lang w:eastAsia="de-DE"/>
        </w:rPr>
        <w:t>Superconducting cable: HTS cable</w:t>
      </w:r>
    </w:p>
    <w:p w14:paraId="2991216C" w14:textId="77777777" w:rsidR="00CA0E97" w:rsidRDefault="00CA0E97" w:rsidP="00CA0E97">
      <w:pPr>
        <w:spacing w:after="0" w:line="240" w:lineRule="auto"/>
        <w:ind w:firstLine="284"/>
        <w:jc w:val="both"/>
        <w:rPr>
          <w:rFonts w:ascii="Times New Roman" w:hAnsi="Times New Roman" w:cs="Times New Roman"/>
          <w:sz w:val="20"/>
        </w:rPr>
      </w:pPr>
    </w:p>
    <w:p w14:paraId="1BB18E84" w14:textId="64AF064A" w:rsidR="00413601" w:rsidRPr="00413601" w:rsidRDefault="00413601" w:rsidP="00CA0E97">
      <w:pPr>
        <w:spacing w:after="0" w:line="240" w:lineRule="auto"/>
        <w:ind w:firstLine="284"/>
        <w:jc w:val="both"/>
        <w:rPr>
          <w:rFonts w:ascii="Times New Roman" w:hAnsi="Times New Roman" w:cs="Times New Roman"/>
          <w:sz w:val="20"/>
        </w:rPr>
      </w:pPr>
      <w:r w:rsidRPr="00413601">
        <w:rPr>
          <w:rFonts w:ascii="Times New Roman" w:hAnsi="Times New Roman" w:cs="Times New Roman"/>
          <w:sz w:val="20"/>
        </w:rPr>
        <w:lastRenderedPageBreak/>
        <w:t>The use of such cables also makes it possible to transmit electricity at lower voltage levels, reducing the need to install transformer substations, which positively affects the cost of infrastructure projects and network reliability. Non-flammable liquid nitrogen is used as the cooling medium in HTS cables, which eliminates the risk of ignition or explosion in case of short circuits and overloads, unlike traditional oil-filled cable systems.</w:t>
      </w:r>
    </w:p>
    <w:p w14:paraId="05B517BA" w14:textId="77777777" w:rsidR="00413601" w:rsidRPr="00413601" w:rsidRDefault="00413601" w:rsidP="00CA0E97">
      <w:pPr>
        <w:spacing w:after="0" w:line="240" w:lineRule="auto"/>
        <w:ind w:firstLine="284"/>
        <w:jc w:val="both"/>
        <w:rPr>
          <w:rFonts w:ascii="Times New Roman" w:hAnsi="Times New Roman" w:cs="Times New Roman"/>
          <w:sz w:val="20"/>
        </w:rPr>
      </w:pPr>
      <w:r w:rsidRPr="00413601">
        <w:rPr>
          <w:rFonts w:ascii="Times New Roman" w:hAnsi="Times New Roman" w:cs="Times New Roman"/>
          <w:sz w:val="20"/>
        </w:rPr>
        <w:t xml:space="preserve">The development and implementation of superconducting technologies are actively promoted by leading companies in the field of electrical engineering, including Sumitomo Electric Industries, </w:t>
      </w:r>
      <w:proofErr w:type="spellStart"/>
      <w:r w:rsidRPr="00413601">
        <w:rPr>
          <w:rFonts w:ascii="Times New Roman" w:hAnsi="Times New Roman" w:cs="Times New Roman"/>
          <w:sz w:val="20"/>
        </w:rPr>
        <w:t>Intermagnetics</w:t>
      </w:r>
      <w:proofErr w:type="spellEnd"/>
      <w:r w:rsidRPr="00413601">
        <w:rPr>
          <w:rFonts w:ascii="Times New Roman" w:hAnsi="Times New Roman" w:cs="Times New Roman"/>
          <w:sz w:val="20"/>
        </w:rPr>
        <w:t xml:space="preserve"> General Corporation (Japan), and American Superconductor Corporation (AMSC) [4]. Significant progress in this area has been achieved through the introduction of rare earth elements, in particular holmium, into the coating structure of superconducting layers, which has improved the characteristics of conductors and increased the temperature range of their operation.</w:t>
      </w:r>
    </w:p>
    <w:p w14:paraId="0308D3C9" w14:textId="77777777" w:rsidR="00413601" w:rsidRPr="00487121" w:rsidRDefault="00413601" w:rsidP="00CA0E97">
      <w:pPr>
        <w:spacing w:after="0" w:line="240" w:lineRule="auto"/>
        <w:ind w:firstLine="284"/>
        <w:jc w:val="both"/>
        <w:rPr>
          <w:rFonts w:ascii="Times New Roman" w:hAnsi="Times New Roman" w:cs="Times New Roman"/>
          <w:sz w:val="20"/>
        </w:rPr>
      </w:pPr>
      <w:r w:rsidRPr="00413601">
        <w:rPr>
          <w:rFonts w:ascii="Times New Roman" w:hAnsi="Times New Roman" w:cs="Times New Roman"/>
          <w:sz w:val="20"/>
        </w:rPr>
        <w:t>Despite the fact that copper and aluminum remain the main materials used in traditional cable conductors, research is increasingly underway to find new conductive materials capable of providing additional competitive advantages to cable products. Priority areas include composite conductors, carbon nanostructures, and graphene-based materials, which open up opportunities for creating lightweight, durable, and energy-efficient solutions in the electrical industry.</w:t>
      </w:r>
    </w:p>
    <w:p w14:paraId="271BD3FC" w14:textId="77777777" w:rsidR="00413601" w:rsidRPr="00487121" w:rsidRDefault="00413601" w:rsidP="00CA0E97">
      <w:pPr>
        <w:spacing w:after="0" w:line="240" w:lineRule="auto"/>
        <w:ind w:firstLine="284"/>
        <w:jc w:val="both"/>
        <w:rPr>
          <w:rFonts w:ascii="Times New Roman" w:hAnsi="Times New Roman" w:cs="Times New Roman"/>
          <w:sz w:val="20"/>
        </w:rPr>
      </w:pPr>
    </w:p>
    <w:p w14:paraId="2BC2674B" w14:textId="0C7874FE" w:rsidR="00413601" w:rsidRDefault="00413601" w:rsidP="00413601">
      <w:pPr>
        <w:spacing w:after="0" w:line="240" w:lineRule="auto"/>
        <w:ind w:firstLine="284"/>
        <w:jc w:val="center"/>
        <w:rPr>
          <w:rFonts w:ascii="Times New Roman" w:hAnsi="Times New Roman" w:cs="Times New Roman"/>
          <w:sz w:val="20"/>
          <w:lang w:val="ru-RU"/>
        </w:rPr>
      </w:pPr>
      <w:r w:rsidRPr="00D238AE">
        <w:rPr>
          <w:noProof/>
          <w:sz w:val="20"/>
          <w:szCs w:val="20"/>
        </w:rPr>
        <w:drawing>
          <wp:inline distT="0" distB="0" distL="0" distR="0" wp14:anchorId="042CE91A" wp14:editId="49F74018">
            <wp:extent cx="3740208" cy="1727641"/>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3881" cy="1738576"/>
                    </a:xfrm>
                    <a:prstGeom prst="rect">
                      <a:avLst/>
                    </a:prstGeom>
                    <a:noFill/>
                    <a:ln>
                      <a:noFill/>
                    </a:ln>
                  </pic:spPr>
                </pic:pic>
              </a:graphicData>
            </a:graphic>
          </wp:inline>
        </w:drawing>
      </w:r>
    </w:p>
    <w:p w14:paraId="27622532" w14:textId="77777777" w:rsidR="00CA0E97" w:rsidRDefault="00413601" w:rsidP="00C44DBD">
      <w:pPr>
        <w:spacing w:after="0" w:line="240" w:lineRule="auto"/>
        <w:ind w:firstLine="284"/>
        <w:jc w:val="center"/>
        <w:rPr>
          <w:rFonts w:ascii="Times New Roman" w:hAnsi="Times New Roman" w:cs="Times New Roman"/>
          <w:sz w:val="20"/>
          <w:szCs w:val="20"/>
          <w:lang w:eastAsia="de-DE"/>
        </w:rPr>
      </w:pPr>
      <w:r w:rsidRPr="008745D5">
        <w:rPr>
          <w:rFonts w:ascii="Times New Roman" w:hAnsi="Times New Roman" w:cs="Times New Roman"/>
          <w:b/>
          <w:sz w:val="20"/>
          <w:szCs w:val="20"/>
          <w:lang w:eastAsia="de-DE"/>
        </w:rPr>
        <w:t xml:space="preserve">FIGURE </w:t>
      </w:r>
      <w:r w:rsidRPr="00413601">
        <w:rPr>
          <w:rFonts w:ascii="Times New Roman" w:hAnsi="Times New Roman" w:cs="Times New Roman"/>
          <w:b/>
          <w:sz w:val="20"/>
          <w:szCs w:val="20"/>
          <w:lang w:eastAsia="de-DE"/>
        </w:rPr>
        <w:t>3</w:t>
      </w:r>
      <w:r w:rsidRPr="008745D5">
        <w:rPr>
          <w:rFonts w:ascii="Times New Roman" w:hAnsi="Times New Roman" w:cs="Times New Roman"/>
          <w:b/>
          <w:sz w:val="20"/>
          <w:szCs w:val="20"/>
          <w:lang w:eastAsia="de-DE"/>
        </w:rPr>
        <w:t>.</w:t>
      </w:r>
      <w:r w:rsidRPr="008745D5">
        <w:rPr>
          <w:rFonts w:ascii="Times New Roman" w:hAnsi="Times New Roman" w:cs="Times New Roman"/>
          <w:sz w:val="20"/>
          <w:szCs w:val="20"/>
          <w:lang w:eastAsia="de-DE"/>
        </w:rPr>
        <w:t xml:space="preserve"> </w:t>
      </w:r>
      <w:r w:rsidRPr="00413601">
        <w:rPr>
          <w:rFonts w:ascii="Times New Roman" w:hAnsi="Times New Roman" w:cs="Times New Roman"/>
          <w:sz w:val="20"/>
          <w:szCs w:val="20"/>
          <w:lang w:eastAsia="de-DE"/>
        </w:rPr>
        <w:t xml:space="preserve">A sample of a quantum nanotube wire (pictured) capable of carrying a current density of </w:t>
      </w:r>
    </w:p>
    <w:p w14:paraId="401F20B8" w14:textId="527603A2" w:rsidR="00413601" w:rsidRPr="00413601" w:rsidRDefault="00413601" w:rsidP="00C44DBD">
      <w:pPr>
        <w:spacing w:after="0" w:line="240" w:lineRule="auto"/>
        <w:ind w:firstLine="284"/>
        <w:jc w:val="center"/>
        <w:rPr>
          <w:rFonts w:ascii="Times New Roman" w:hAnsi="Times New Roman" w:cs="Times New Roman"/>
          <w:sz w:val="20"/>
        </w:rPr>
      </w:pPr>
      <w:r w:rsidRPr="00413601">
        <w:rPr>
          <w:rFonts w:ascii="Times New Roman" w:hAnsi="Times New Roman" w:cs="Times New Roman"/>
          <w:sz w:val="20"/>
          <w:szCs w:val="20"/>
          <w:lang w:eastAsia="de-DE"/>
        </w:rPr>
        <w:t xml:space="preserve">104~105 </w:t>
      </w:r>
      <w:r w:rsidR="0050759B">
        <w:rPr>
          <w:rFonts w:ascii="Times New Roman" w:hAnsi="Times New Roman" w:cs="Times New Roman"/>
          <w:sz w:val="20"/>
          <w:szCs w:val="20"/>
          <w:lang w:eastAsia="de-DE"/>
        </w:rPr>
        <w:t>A</w:t>
      </w:r>
      <w:r w:rsidRPr="00413601">
        <w:rPr>
          <w:rFonts w:ascii="Times New Roman" w:hAnsi="Times New Roman" w:cs="Times New Roman"/>
          <w:sz w:val="20"/>
          <w:szCs w:val="20"/>
          <w:lang w:eastAsia="de-DE"/>
        </w:rPr>
        <w:t>/cm</w:t>
      </w:r>
      <w:r w:rsidRPr="00CA0E97">
        <w:rPr>
          <w:rFonts w:ascii="Times New Roman" w:hAnsi="Times New Roman" w:cs="Times New Roman"/>
          <w:sz w:val="20"/>
          <w:szCs w:val="20"/>
          <w:vertAlign w:val="superscript"/>
          <w:lang w:eastAsia="de-DE"/>
        </w:rPr>
        <w:t>2</w:t>
      </w:r>
    </w:p>
    <w:p w14:paraId="291A07D7" w14:textId="77777777" w:rsidR="00413601" w:rsidRPr="00487121" w:rsidRDefault="00413601" w:rsidP="00413601">
      <w:pPr>
        <w:spacing w:after="0" w:line="240" w:lineRule="auto"/>
        <w:ind w:firstLine="284"/>
        <w:jc w:val="both"/>
        <w:rPr>
          <w:rFonts w:ascii="Times New Roman" w:hAnsi="Times New Roman" w:cs="Times New Roman"/>
          <w:sz w:val="20"/>
        </w:rPr>
      </w:pPr>
    </w:p>
    <w:p w14:paraId="119EE83B" w14:textId="77777777" w:rsidR="00413601" w:rsidRPr="00A3168A" w:rsidRDefault="00413601" w:rsidP="00413601">
      <w:pPr>
        <w:spacing w:after="0" w:line="240" w:lineRule="auto"/>
        <w:ind w:firstLine="284"/>
        <w:jc w:val="both"/>
        <w:rPr>
          <w:rFonts w:ascii="Times New Roman" w:hAnsi="Times New Roman" w:cs="Times New Roman"/>
          <w:sz w:val="20"/>
        </w:rPr>
      </w:pPr>
      <w:r w:rsidRPr="00A3168A">
        <w:rPr>
          <w:rFonts w:ascii="Times New Roman" w:hAnsi="Times New Roman" w:cs="Times New Roman"/>
          <w:sz w:val="20"/>
        </w:rPr>
        <w:t>One of the most promising directions in improving the design of power cables is the introduction of cable conductors based on pure carbon nanotubes, the so-called quantum wires. These nanostructures have outstanding electrical characteristics: their conductivity exceeds that of copper by approximately 10 times, while the mass is only about one-sixth of the mass of a traditional copper conductor. This combination of high conductivity and lightness makes carbon nanotubes particularly attractive for the development of energy-efficient and compact next-generation cable systems.</w:t>
      </w:r>
    </w:p>
    <w:p w14:paraId="183FED49" w14:textId="77777777" w:rsidR="00413601" w:rsidRPr="00A3168A" w:rsidRDefault="00413601" w:rsidP="00413601">
      <w:pPr>
        <w:spacing w:after="0" w:line="240" w:lineRule="auto"/>
        <w:ind w:firstLine="284"/>
        <w:jc w:val="both"/>
        <w:rPr>
          <w:rFonts w:ascii="Times New Roman" w:hAnsi="Times New Roman" w:cs="Times New Roman"/>
          <w:sz w:val="20"/>
        </w:rPr>
      </w:pPr>
      <w:r w:rsidRPr="00A3168A">
        <w:rPr>
          <w:rFonts w:ascii="Times New Roman" w:hAnsi="Times New Roman" w:cs="Times New Roman"/>
          <w:sz w:val="20"/>
        </w:rPr>
        <w:t>The need to develop alternative conductors is also due to the current situation in the global copper market, which is characterized by a steady increase in the cost of raw materials and a limited resource base. In this context, efforts to create new types of cables acquire strategic importance not only for our Republic, but also for other countries. For example, in the United States, the Hydrocarbon Technologies Laboratory at Rice University has been commissioned to develop a prototype power cable based on carbon nanotubes. The research and development work is being conducted under a contract with NASA and plans to manufacture a 1-meter-long prototype quantum conductor [5].</w:t>
      </w:r>
    </w:p>
    <w:p w14:paraId="2DB07ED2" w14:textId="677ED8CB" w:rsidR="00413601" w:rsidRPr="00A3168A" w:rsidRDefault="00413601" w:rsidP="00413601">
      <w:pPr>
        <w:spacing w:after="0" w:line="240" w:lineRule="auto"/>
        <w:ind w:firstLine="284"/>
        <w:jc w:val="both"/>
        <w:rPr>
          <w:rFonts w:ascii="Times New Roman" w:hAnsi="Times New Roman" w:cs="Times New Roman"/>
          <w:sz w:val="20"/>
        </w:rPr>
      </w:pPr>
      <w:r w:rsidRPr="00A3168A">
        <w:rPr>
          <w:rFonts w:ascii="Times New Roman" w:hAnsi="Times New Roman" w:cs="Times New Roman"/>
          <w:sz w:val="20"/>
        </w:rPr>
        <w:t>Also, among the priorities of modern scientific research in the field of materials used in cable technology, a special place is occupied by the development of superconductors capable of operating at temperatures close to room temperature. Achieving stable superconductivity without the need for cryogenic cooling will be a technological breakthrough that significantly simplifies the design of cable systems, reduces operating costs, and expands their scope of application [6].</w:t>
      </w:r>
    </w:p>
    <w:p w14:paraId="5B473FEB" w14:textId="77777777" w:rsidR="00413601" w:rsidRPr="00487121" w:rsidRDefault="00413601" w:rsidP="00413601">
      <w:pPr>
        <w:spacing w:after="0" w:line="240" w:lineRule="auto"/>
        <w:ind w:firstLine="284"/>
        <w:jc w:val="both"/>
        <w:rPr>
          <w:rFonts w:ascii="Times New Roman" w:hAnsi="Times New Roman" w:cs="Times New Roman"/>
          <w:sz w:val="20"/>
        </w:rPr>
      </w:pPr>
    </w:p>
    <w:p w14:paraId="36B903BD" w14:textId="72D12C1E" w:rsidR="00A3168A" w:rsidRDefault="00A3168A" w:rsidP="00CA0E97">
      <w:pPr>
        <w:spacing w:after="0" w:line="240" w:lineRule="auto"/>
        <w:ind w:firstLine="284"/>
        <w:jc w:val="center"/>
        <w:rPr>
          <w:rFonts w:ascii="Times New Roman" w:hAnsi="Times New Roman" w:cs="Times New Roman"/>
          <w:sz w:val="20"/>
          <w:lang w:val="ru-RU"/>
        </w:rPr>
      </w:pPr>
      <w:r w:rsidRPr="00D238AE">
        <w:rPr>
          <w:noProof/>
          <w:sz w:val="20"/>
          <w:szCs w:val="20"/>
        </w:rPr>
        <w:lastRenderedPageBreak/>
        <w:drawing>
          <wp:inline distT="0" distB="0" distL="0" distR="0" wp14:anchorId="5D967F85" wp14:editId="71A6FEA2">
            <wp:extent cx="3191568" cy="1906684"/>
            <wp:effectExtent l="0" t="0" r="889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6707" cy="1915728"/>
                    </a:xfrm>
                    <a:prstGeom prst="rect">
                      <a:avLst/>
                    </a:prstGeom>
                    <a:noFill/>
                    <a:ln>
                      <a:noFill/>
                    </a:ln>
                  </pic:spPr>
                </pic:pic>
              </a:graphicData>
            </a:graphic>
          </wp:inline>
        </w:drawing>
      </w:r>
    </w:p>
    <w:p w14:paraId="4C0993A0" w14:textId="5F274DEA" w:rsidR="00A3168A" w:rsidRPr="00A3168A" w:rsidRDefault="00A3168A" w:rsidP="00CA0E97">
      <w:pPr>
        <w:spacing w:after="0" w:line="240" w:lineRule="auto"/>
        <w:ind w:firstLine="284"/>
        <w:jc w:val="center"/>
        <w:rPr>
          <w:rFonts w:ascii="Times New Roman" w:hAnsi="Times New Roman" w:cs="Times New Roman"/>
          <w:sz w:val="20"/>
        </w:rPr>
      </w:pPr>
      <w:r w:rsidRPr="008745D5">
        <w:rPr>
          <w:rFonts w:ascii="Times New Roman" w:hAnsi="Times New Roman" w:cs="Times New Roman"/>
          <w:b/>
          <w:sz w:val="20"/>
          <w:szCs w:val="20"/>
          <w:lang w:eastAsia="de-DE"/>
        </w:rPr>
        <w:t xml:space="preserve">FIGURE </w:t>
      </w:r>
      <w:r w:rsidRPr="00A3168A">
        <w:rPr>
          <w:rFonts w:ascii="Times New Roman" w:hAnsi="Times New Roman" w:cs="Times New Roman"/>
          <w:b/>
          <w:sz w:val="20"/>
          <w:szCs w:val="20"/>
          <w:lang w:eastAsia="de-DE"/>
        </w:rPr>
        <w:t>4</w:t>
      </w:r>
      <w:r w:rsidRPr="008745D5">
        <w:rPr>
          <w:rFonts w:ascii="Times New Roman" w:hAnsi="Times New Roman" w:cs="Times New Roman"/>
          <w:b/>
          <w:sz w:val="20"/>
          <w:szCs w:val="20"/>
          <w:lang w:eastAsia="de-DE"/>
        </w:rPr>
        <w:t>.</w:t>
      </w:r>
      <w:r w:rsidRPr="008745D5">
        <w:rPr>
          <w:rFonts w:ascii="Times New Roman" w:hAnsi="Times New Roman" w:cs="Times New Roman"/>
          <w:sz w:val="20"/>
          <w:szCs w:val="20"/>
          <w:lang w:eastAsia="de-DE"/>
        </w:rPr>
        <w:t xml:space="preserve"> </w:t>
      </w:r>
      <w:r w:rsidRPr="00A3168A">
        <w:rPr>
          <w:rFonts w:ascii="Times New Roman" w:hAnsi="Times New Roman" w:cs="Times New Roman"/>
          <w:sz w:val="20"/>
          <w:szCs w:val="20"/>
          <w:lang w:eastAsia="de-DE"/>
        </w:rPr>
        <w:t>Copper clad aluminum (CCA) wire</w:t>
      </w:r>
    </w:p>
    <w:p w14:paraId="6445A0FE" w14:textId="77777777" w:rsidR="00A3168A" w:rsidRPr="00A3168A" w:rsidRDefault="00A3168A" w:rsidP="00CA0E97">
      <w:pPr>
        <w:spacing w:after="0" w:line="240" w:lineRule="auto"/>
        <w:ind w:firstLine="284"/>
        <w:jc w:val="both"/>
        <w:rPr>
          <w:rFonts w:ascii="Times New Roman" w:hAnsi="Times New Roman" w:cs="Times New Roman"/>
          <w:sz w:val="20"/>
        </w:rPr>
      </w:pPr>
    </w:p>
    <w:p w14:paraId="0D9266A6" w14:textId="7F0F4C2D" w:rsidR="00A3168A" w:rsidRPr="00A3168A" w:rsidRDefault="00A3168A" w:rsidP="00CA0E97">
      <w:pPr>
        <w:spacing w:after="0" w:line="240" w:lineRule="auto"/>
        <w:ind w:firstLine="284"/>
        <w:jc w:val="both"/>
        <w:rPr>
          <w:rFonts w:ascii="Times New Roman" w:hAnsi="Times New Roman" w:cs="Times New Roman"/>
          <w:sz w:val="20"/>
        </w:rPr>
      </w:pPr>
      <w:r w:rsidRPr="00A3168A">
        <w:rPr>
          <w:rFonts w:ascii="Times New Roman" w:hAnsi="Times New Roman" w:cs="Times New Roman"/>
          <w:sz w:val="20"/>
        </w:rPr>
        <w:t>At the same time, more cost-effective solutions aimed at reducing dependence on scarce copper are being actively explored. One of these options is bimetallic conductors, in particular copper clad aluminum (CCA) wires. These materials are used in both power and high-frequency cable systems, combining mechanical lightness and sufficient electrical conductivity at a lower cost [6]. The use of such conductors (Fig. 4) significantly reduces production costs and facilitates installation, especially in the case of long cable routes.</w:t>
      </w:r>
    </w:p>
    <w:p w14:paraId="65028EE2" w14:textId="77777777" w:rsidR="00A3168A" w:rsidRPr="00487121" w:rsidRDefault="00A3168A" w:rsidP="00CA0E97">
      <w:pPr>
        <w:spacing w:after="0" w:line="240" w:lineRule="auto"/>
        <w:ind w:firstLine="284"/>
        <w:jc w:val="both"/>
        <w:rPr>
          <w:rFonts w:ascii="Times New Roman" w:hAnsi="Times New Roman" w:cs="Times New Roman"/>
          <w:sz w:val="20"/>
        </w:rPr>
      </w:pPr>
    </w:p>
    <w:p w14:paraId="77C05E3F" w14:textId="33FED7FA" w:rsidR="00A3168A" w:rsidRDefault="003F1262" w:rsidP="00CA0E97">
      <w:pPr>
        <w:spacing w:after="0" w:line="240" w:lineRule="auto"/>
        <w:ind w:firstLine="284"/>
        <w:jc w:val="center"/>
        <w:rPr>
          <w:rFonts w:ascii="Times New Roman" w:hAnsi="Times New Roman" w:cs="Times New Roman"/>
          <w:sz w:val="20"/>
          <w:lang w:val="ru-RU"/>
        </w:rPr>
      </w:pPr>
      <w:r>
        <w:rPr>
          <w:rFonts w:ascii="Times New Roman" w:hAnsi="Times New Roman" w:cs="Times New Roman"/>
          <w:noProof/>
          <w:sz w:val="20"/>
        </w:rPr>
        <w:drawing>
          <wp:inline distT="0" distB="0" distL="0" distR="0" wp14:anchorId="5974874D" wp14:editId="03EDA893">
            <wp:extent cx="2915815" cy="197485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5107" cy="1987916"/>
                    </a:xfrm>
                    <a:prstGeom prst="rect">
                      <a:avLst/>
                    </a:prstGeom>
                    <a:noFill/>
                    <a:ln>
                      <a:noFill/>
                    </a:ln>
                  </pic:spPr>
                </pic:pic>
              </a:graphicData>
            </a:graphic>
          </wp:inline>
        </w:drawing>
      </w:r>
    </w:p>
    <w:p w14:paraId="67EB5A97" w14:textId="0D21AB97" w:rsidR="00413601" w:rsidRPr="003F1262" w:rsidRDefault="003F1262" w:rsidP="00CA0E97">
      <w:pPr>
        <w:spacing w:after="0" w:line="240" w:lineRule="auto"/>
        <w:ind w:firstLine="284"/>
        <w:jc w:val="center"/>
        <w:rPr>
          <w:rFonts w:ascii="Times New Roman" w:hAnsi="Times New Roman" w:cs="Times New Roman"/>
          <w:sz w:val="20"/>
          <w:szCs w:val="20"/>
          <w:lang w:eastAsia="de-DE"/>
        </w:rPr>
      </w:pPr>
      <w:r w:rsidRPr="008745D5">
        <w:rPr>
          <w:rFonts w:ascii="Times New Roman" w:hAnsi="Times New Roman" w:cs="Times New Roman"/>
          <w:b/>
          <w:sz w:val="20"/>
          <w:szCs w:val="20"/>
          <w:lang w:eastAsia="de-DE"/>
        </w:rPr>
        <w:t xml:space="preserve">FIGURE </w:t>
      </w:r>
      <w:r w:rsidRPr="003F1262">
        <w:rPr>
          <w:rFonts w:ascii="Times New Roman" w:hAnsi="Times New Roman" w:cs="Times New Roman"/>
          <w:b/>
          <w:sz w:val="20"/>
          <w:szCs w:val="20"/>
          <w:lang w:eastAsia="de-DE"/>
        </w:rPr>
        <w:t>5</w:t>
      </w:r>
      <w:r w:rsidRPr="008745D5">
        <w:rPr>
          <w:rFonts w:ascii="Times New Roman" w:hAnsi="Times New Roman" w:cs="Times New Roman"/>
          <w:b/>
          <w:sz w:val="20"/>
          <w:szCs w:val="20"/>
          <w:lang w:eastAsia="de-DE"/>
        </w:rPr>
        <w:t>.</w:t>
      </w:r>
      <w:r w:rsidRPr="008745D5">
        <w:rPr>
          <w:rFonts w:ascii="Times New Roman" w:hAnsi="Times New Roman" w:cs="Times New Roman"/>
          <w:sz w:val="20"/>
          <w:szCs w:val="20"/>
          <w:lang w:eastAsia="de-DE"/>
        </w:rPr>
        <w:t xml:space="preserve"> </w:t>
      </w:r>
      <w:r w:rsidRPr="003F1262">
        <w:rPr>
          <w:rFonts w:ascii="Times New Roman" w:hAnsi="Times New Roman" w:cs="Times New Roman"/>
          <w:sz w:val="20"/>
          <w:szCs w:val="20"/>
          <w:lang w:eastAsia="de-DE"/>
        </w:rPr>
        <w:t>Heat-resistant copper-nickel wire</w:t>
      </w:r>
    </w:p>
    <w:p w14:paraId="643D8481" w14:textId="77777777" w:rsidR="003F1262" w:rsidRPr="003F1262" w:rsidRDefault="003F1262" w:rsidP="00CA0E97">
      <w:pPr>
        <w:spacing w:after="0" w:line="240" w:lineRule="auto"/>
        <w:ind w:firstLine="284"/>
        <w:jc w:val="both"/>
        <w:rPr>
          <w:rFonts w:ascii="Times New Roman" w:hAnsi="Times New Roman" w:cs="Times New Roman"/>
          <w:sz w:val="20"/>
        </w:rPr>
      </w:pPr>
    </w:p>
    <w:p w14:paraId="2817AEC6" w14:textId="77777777" w:rsidR="003F1262" w:rsidRPr="003F1262" w:rsidRDefault="003F1262" w:rsidP="00CA0E97">
      <w:pPr>
        <w:spacing w:after="0" w:line="240" w:lineRule="auto"/>
        <w:ind w:firstLine="284"/>
        <w:jc w:val="both"/>
        <w:rPr>
          <w:rFonts w:ascii="Times New Roman" w:hAnsi="Times New Roman" w:cs="Times New Roman"/>
          <w:sz w:val="20"/>
        </w:rPr>
      </w:pPr>
      <w:r w:rsidRPr="003F1262">
        <w:rPr>
          <w:rFonts w:ascii="Times New Roman" w:hAnsi="Times New Roman" w:cs="Times New Roman"/>
          <w:sz w:val="20"/>
        </w:rPr>
        <w:t>Among modern bimetallic conductors, which are becoming increasingly common, a particularly prominent type is one with a copper-core conductor and a nickel plating (Fig. 5). This design solution makes it possible to ensure high resistance of the cable product to aggressive external factors, including sudden temperature fluctuations, oxidation processes and chemical corrosion. Due to its properties, nickel is used in the composition of wires and cables designed for use in extreme conditions - at high temperatures, in environments with increased corrosion activity, as well as under significant mechanical and thermal loads.</w:t>
      </w:r>
    </w:p>
    <w:p w14:paraId="2F98B002" w14:textId="77777777" w:rsidR="003F1262" w:rsidRPr="003F1262" w:rsidRDefault="003F1262" w:rsidP="00CA0E97">
      <w:pPr>
        <w:spacing w:after="0" w:line="240" w:lineRule="auto"/>
        <w:ind w:firstLine="284"/>
        <w:jc w:val="both"/>
        <w:rPr>
          <w:rFonts w:ascii="Times New Roman" w:hAnsi="Times New Roman" w:cs="Times New Roman"/>
          <w:sz w:val="20"/>
        </w:rPr>
      </w:pPr>
      <w:r w:rsidRPr="003F1262">
        <w:rPr>
          <w:rFonts w:ascii="Times New Roman" w:hAnsi="Times New Roman" w:cs="Times New Roman"/>
          <w:sz w:val="20"/>
        </w:rPr>
        <w:t>According to a number of industrial surveys [6], more than 10 metric tons of copper are plated with nickel or silver every year worldwide. This indicates a high demand for such solutions from industries related to energy, aerospace technology, petrochemicals and high-temperature industries. The use of nickel-plated conductors makes it possible to significantly extend the service life of cable products, increase their reliability and ensure stable performance in conditions unacceptable for traditional materials.</w:t>
      </w:r>
    </w:p>
    <w:p w14:paraId="106C9E9E" w14:textId="77777777" w:rsidR="003F1262" w:rsidRPr="00487121" w:rsidRDefault="003F1262" w:rsidP="00CA0E97">
      <w:pPr>
        <w:spacing w:after="0" w:line="240" w:lineRule="auto"/>
        <w:ind w:firstLine="284"/>
        <w:jc w:val="both"/>
        <w:rPr>
          <w:rFonts w:ascii="Times New Roman" w:hAnsi="Times New Roman" w:cs="Times New Roman"/>
          <w:sz w:val="20"/>
        </w:rPr>
      </w:pPr>
      <w:r w:rsidRPr="003F1262">
        <w:rPr>
          <w:rFonts w:ascii="Times New Roman" w:hAnsi="Times New Roman" w:cs="Times New Roman"/>
          <w:sz w:val="20"/>
        </w:rPr>
        <w:t>Another important direction in the development of the cable industry is the introduction of new alloys that can effectively replace traditional conductive materials - copper and aluminum. The development of these alloys is carried out in order to achieve an optimal balance between electrical conductivity, mechanical strength, resistance to external influences and cost-effectiveness.</w:t>
      </w:r>
    </w:p>
    <w:p w14:paraId="55D56E12" w14:textId="77777777" w:rsidR="003F1262" w:rsidRPr="00487121" w:rsidRDefault="003F1262" w:rsidP="00CA0E97">
      <w:pPr>
        <w:spacing w:after="0" w:line="240" w:lineRule="auto"/>
        <w:ind w:firstLine="284"/>
        <w:jc w:val="both"/>
        <w:rPr>
          <w:rFonts w:ascii="Times New Roman" w:hAnsi="Times New Roman" w:cs="Times New Roman"/>
          <w:sz w:val="20"/>
        </w:rPr>
      </w:pPr>
    </w:p>
    <w:p w14:paraId="4A4C52A3" w14:textId="314F3CE2" w:rsidR="003F1262" w:rsidRDefault="003F1262" w:rsidP="00CA0E97">
      <w:pPr>
        <w:spacing w:after="0" w:line="240" w:lineRule="auto"/>
        <w:ind w:firstLine="284"/>
        <w:jc w:val="center"/>
        <w:rPr>
          <w:rFonts w:ascii="Times New Roman" w:hAnsi="Times New Roman" w:cs="Times New Roman"/>
          <w:sz w:val="20"/>
          <w:lang w:val="ru-RU"/>
        </w:rPr>
      </w:pPr>
      <w:r w:rsidRPr="00D238AE">
        <w:rPr>
          <w:rFonts w:ascii="Times New Roman" w:hAnsi="Times New Roman" w:cs="Times New Roman"/>
          <w:noProof/>
          <w:sz w:val="20"/>
          <w:szCs w:val="20"/>
        </w:rPr>
        <w:lastRenderedPageBreak/>
        <w:drawing>
          <wp:inline distT="0" distB="0" distL="0" distR="0" wp14:anchorId="47DF89A3" wp14:editId="65AFFC64">
            <wp:extent cx="2992524" cy="1725056"/>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0278" cy="1729526"/>
                    </a:xfrm>
                    <a:prstGeom prst="rect">
                      <a:avLst/>
                    </a:prstGeom>
                    <a:noFill/>
                    <a:ln>
                      <a:noFill/>
                    </a:ln>
                  </pic:spPr>
                </pic:pic>
              </a:graphicData>
            </a:graphic>
          </wp:inline>
        </w:drawing>
      </w:r>
    </w:p>
    <w:p w14:paraId="5F9C7519" w14:textId="77777777" w:rsidR="003F1262" w:rsidRDefault="003F1262" w:rsidP="00CA0E97">
      <w:pPr>
        <w:spacing w:after="0" w:line="240" w:lineRule="auto"/>
        <w:ind w:firstLine="284"/>
        <w:jc w:val="both"/>
        <w:rPr>
          <w:rFonts w:ascii="Times New Roman" w:hAnsi="Times New Roman" w:cs="Times New Roman"/>
          <w:sz w:val="20"/>
          <w:lang w:val="ru-RU"/>
        </w:rPr>
      </w:pPr>
    </w:p>
    <w:p w14:paraId="472B36F5" w14:textId="7F25B135" w:rsidR="003F1262" w:rsidRPr="003F1262" w:rsidRDefault="003F1262" w:rsidP="00CA0E97">
      <w:pPr>
        <w:spacing w:after="0" w:line="240" w:lineRule="auto"/>
        <w:ind w:firstLine="284"/>
        <w:jc w:val="center"/>
        <w:rPr>
          <w:rFonts w:ascii="Times New Roman" w:hAnsi="Times New Roman" w:cs="Times New Roman"/>
          <w:sz w:val="20"/>
        </w:rPr>
      </w:pPr>
      <w:r w:rsidRPr="003F1262">
        <w:rPr>
          <w:rFonts w:ascii="Times New Roman" w:hAnsi="Times New Roman" w:cs="Times New Roman"/>
          <w:b/>
          <w:bCs/>
          <w:sz w:val="20"/>
        </w:rPr>
        <w:t xml:space="preserve">FIGURE </w:t>
      </w:r>
      <w:r w:rsidRPr="00487121">
        <w:rPr>
          <w:rFonts w:ascii="Times New Roman" w:hAnsi="Times New Roman" w:cs="Times New Roman"/>
          <w:b/>
          <w:bCs/>
          <w:sz w:val="20"/>
        </w:rPr>
        <w:t>6</w:t>
      </w:r>
      <w:r w:rsidRPr="003F1262">
        <w:rPr>
          <w:rFonts w:ascii="Times New Roman" w:hAnsi="Times New Roman" w:cs="Times New Roman"/>
          <w:b/>
          <w:bCs/>
          <w:sz w:val="20"/>
        </w:rPr>
        <w:t>.</w:t>
      </w:r>
      <w:r w:rsidRPr="003F1262">
        <w:rPr>
          <w:rFonts w:ascii="Times New Roman" w:hAnsi="Times New Roman" w:cs="Times New Roman"/>
          <w:sz w:val="20"/>
        </w:rPr>
        <w:t xml:space="preserve"> Specialized profile wires</w:t>
      </w:r>
    </w:p>
    <w:p w14:paraId="61BF31D2" w14:textId="77777777" w:rsidR="003F1262" w:rsidRPr="00487121" w:rsidRDefault="003F1262" w:rsidP="00CA0E97">
      <w:pPr>
        <w:spacing w:after="0" w:line="240" w:lineRule="auto"/>
        <w:ind w:firstLine="284"/>
        <w:jc w:val="both"/>
        <w:rPr>
          <w:rFonts w:ascii="Times New Roman" w:hAnsi="Times New Roman" w:cs="Times New Roman"/>
          <w:sz w:val="20"/>
        </w:rPr>
      </w:pPr>
    </w:p>
    <w:p w14:paraId="3B6BFBCC" w14:textId="77777777" w:rsidR="003F1262" w:rsidRPr="003F1262" w:rsidRDefault="003F1262" w:rsidP="00CA0E97">
      <w:pPr>
        <w:spacing w:after="0" w:line="240" w:lineRule="auto"/>
        <w:ind w:firstLine="284"/>
        <w:jc w:val="both"/>
        <w:rPr>
          <w:rFonts w:ascii="Times New Roman" w:hAnsi="Times New Roman" w:cs="Times New Roman"/>
          <w:sz w:val="20"/>
        </w:rPr>
      </w:pPr>
      <w:r w:rsidRPr="003F1262">
        <w:rPr>
          <w:rFonts w:ascii="Times New Roman" w:hAnsi="Times New Roman" w:cs="Times New Roman"/>
          <w:sz w:val="20"/>
        </w:rPr>
        <w:t>One example of such a technological solution is a high-quality copper alloy with increased conductivity, marketed by the American company Phelps Dodge [7]. This material has found wide application in the production of various types of conductors, both for twisted cable structures with variable diameters and for specialized profile wires. Due to its characteristics, the alloy is used in high-load industrial sectors, including aerospace, defense and automotive industries, where increased requirements are placed on reliability, vibration resistance and minimizing the weight of conductors.</w:t>
      </w:r>
    </w:p>
    <w:p w14:paraId="4551B9D7" w14:textId="38A79C73" w:rsidR="003F1262" w:rsidRPr="003F1262" w:rsidRDefault="003F1262" w:rsidP="00CA0E97">
      <w:pPr>
        <w:spacing w:after="0" w:line="240" w:lineRule="auto"/>
        <w:ind w:firstLine="284"/>
        <w:jc w:val="both"/>
        <w:rPr>
          <w:rFonts w:ascii="Times New Roman" w:hAnsi="Times New Roman" w:cs="Times New Roman"/>
          <w:sz w:val="20"/>
        </w:rPr>
      </w:pPr>
      <w:r w:rsidRPr="003F1262">
        <w:rPr>
          <w:rFonts w:ascii="Times New Roman" w:hAnsi="Times New Roman" w:cs="Times New Roman"/>
          <w:sz w:val="20"/>
        </w:rPr>
        <w:t>The use of such innovative materials expands the possibilities of designing cable products, making it possible to create lighter and more energy-efficient power transmission systems, which is especially important in the context of the rapid development of high-tech industries.</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2877D8B1" w14:textId="77777777" w:rsidR="003F1262" w:rsidRPr="003F1262" w:rsidRDefault="003F1262" w:rsidP="00021B77">
      <w:pPr>
        <w:widowControl w:val="0"/>
        <w:spacing w:after="0" w:line="240" w:lineRule="auto"/>
        <w:ind w:right="40" w:firstLine="284"/>
        <w:jc w:val="both"/>
        <w:rPr>
          <w:rFonts w:ascii="Times New Roman" w:hAnsi="Times New Roman"/>
          <w:sz w:val="20"/>
          <w:szCs w:val="20"/>
        </w:rPr>
      </w:pPr>
      <w:r w:rsidRPr="003F1262">
        <w:rPr>
          <w:rFonts w:ascii="Times New Roman" w:hAnsi="Times New Roman"/>
          <w:sz w:val="20"/>
          <w:szCs w:val="20"/>
        </w:rPr>
        <w:t>The analysis of modern cabling and wiring products and applied materials has shown that the use of cross-linked polyethylene (XLPE) insulation provides an increase in the allowable operating temperature of power cables up to 90–110 °C, resulting in a 10–15% increase in current-carrying capacity and a reduction in dielectric losses compared to traditional insulation systems.</w:t>
      </w:r>
    </w:p>
    <w:p w14:paraId="374DC47A" w14:textId="77777777" w:rsidR="003F1262" w:rsidRPr="003F1262" w:rsidRDefault="003F1262" w:rsidP="00021B77">
      <w:pPr>
        <w:widowControl w:val="0"/>
        <w:spacing w:after="0" w:line="240" w:lineRule="auto"/>
        <w:ind w:right="40" w:firstLine="284"/>
        <w:jc w:val="both"/>
        <w:rPr>
          <w:rFonts w:ascii="Times New Roman" w:hAnsi="Times New Roman"/>
          <w:sz w:val="20"/>
          <w:szCs w:val="20"/>
        </w:rPr>
      </w:pPr>
      <w:r w:rsidRPr="003F1262">
        <w:rPr>
          <w:rFonts w:ascii="Times New Roman" w:hAnsi="Times New Roman"/>
          <w:sz w:val="20"/>
          <w:szCs w:val="20"/>
        </w:rPr>
        <w:t>The application of halogen-free, flame-retardant and low-smoke compounds leads to a significant improvement in fire safety characteristics. In particular, smoke generation is reduced by more than 40%, while the toxicity of combustion products decreases by up to 50%, which is critical for cable operation in enclosed and high-risk facilities.</w:t>
      </w:r>
    </w:p>
    <w:p w14:paraId="2664F23E" w14:textId="77777777" w:rsidR="003F1262" w:rsidRPr="003F1262" w:rsidRDefault="003F1262" w:rsidP="00021B77">
      <w:pPr>
        <w:widowControl w:val="0"/>
        <w:spacing w:after="0" w:line="240" w:lineRule="auto"/>
        <w:ind w:right="40" w:firstLine="284"/>
        <w:jc w:val="both"/>
        <w:rPr>
          <w:rFonts w:ascii="Times New Roman" w:hAnsi="Times New Roman"/>
          <w:sz w:val="20"/>
          <w:szCs w:val="20"/>
        </w:rPr>
      </w:pPr>
      <w:r w:rsidRPr="003F1262">
        <w:rPr>
          <w:rFonts w:ascii="Times New Roman" w:hAnsi="Times New Roman"/>
          <w:sz w:val="20"/>
          <w:szCs w:val="20"/>
        </w:rPr>
        <w:t>The comparative assessment of conductor materials demonstrates that bimetallic conductors, including copper clad aluminum (CCA) and copper–nickel designs, allow a reduction in cable weight by 25–40% while maintaining acceptable electrical and mechanical properties. Nickel-plated conductors exhibit enhanced resistance to corrosion and temperature cycling, ensuring an increase in service life under aggressive environmental conditions.</w:t>
      </w:r>
    </w:p>
    <w:p w14:paraId="6FFA960C" w14:textId="77777777" w:rsidR="003F1262" w:rsidRPr="003F1262" w:rsidRDefault="003F1262" w:rsidP="00021B77">
      <w:pPr>
        <w:widowControl w:val="0"/>
        <w:spacing w:after="0" w:line="240" w:lineRule="auto"/>
        <w:ind w:right="40" w:firstLine="284"/>
        <w:jc w:val="both"/>
        <w:rPr>
          <w:rFonts w:ascii="Times New Roman" w:hAnsi="Times New Roman"/>
          <w:sz w:val="20"/>
          <w:szCs w:val="20"/>
        </w:rPr>
      </w:pPr>
      <w:r w:rsidRPr="003F1262">
        <w:rPr>
          <w:rFonts w:ascii="Times New Roman" w:hAnsi="Times New Roman"/>
          <w:sz w:val="20"/>
          <w:szCs w:val="20"/>
        </w:rPr>
        <w:t>The evaluation of advanced conductive technologies confirms the high potential of high-temperature superconducting (HTS) cables. These systems provide a reduction in transmission losses of up to 7–10% and an increase in power density by 3–5 times compared to conventional copper and aluminum cables, enabling more compact and efficient power transmission solutions.</w:t>
      </w:r>
    </w:p>
    <w:p w14:paraId="782B8959" w14:textId="77777777" w:rsidR="003F1262" w:rsidRPr="003F1262" w:rsidRDefault="003F1262" w:rsidP="00021B77">
      <w:pPr>
        <w:widowControl w:val="0"/>
        <w:spacing w:after="0" w:line="240" w:lineRule="auto"/>
        <w:ind w:right="40" w:firstLine="284"/>
        <w:jc w:val="both"/>
        <w:rPr>
          <w:rFonts w:ascii="Times New Roman" w:hAnsi="Times New Roman"/>
          <w:sz w:val="20"/>
          <w:szCs w:val="20"/>
        </w:rPr>
      </w:pPr>
      <w:r w:rsidRPr="003F1262">
        <w:rPr>
          <w:rFonts w:ascii="Times New Roman" w:hAnsi="Times New Roman"/>
          <w:sz w:val="20"/>
          <w:szCs w:val="20"/>
        </w:rPr>
        <w:t>Experimental studies of carbon nanotube-based conductors indicate the possibility of achieving current densities of 10⁴–10⁵ A/cm² with a significantly lower mass than traditional metallic conductors, which opens prospects for the development of lightweight and energy-efficient cable systems.</w:t>
      </w:r>
    </w:p>
    <w:p w14:paraId="13345839" w14:textId="77777777" w:rsidR="003F1262" w:rsidRPr="003F1262" w:rsidRDefault="003F1262" w:rsidP="00021B77">
      <w:pPr>
        <w:widowControl w:val="0"/>
        <w:spacing w:after="0" w:line="240" w:lineRule="auto"/>
        <w:ind w:right="40" w:firstLine="284"/>
        <w:jc w:val="both"/>
        <w:rPr>
          <w:rFonts w:ascii="Times New Roman" w:hAnsi="Times New Roman"/>
          <w:sz w:val="20"/>
          <w:szCs w:val="20"/>
        </w:rPr>
      </w:pPr>
      <w:r w:rsidRPr="003F1262">
        <w:rPr>
          <w:rFonts w:ascii="Times New Roman" w:hAnsi="Times New Roman"/>
          <w:sz w:val="20"/>
          <w:szCs w:val="20"/>
        </w:rPr>
        <w:t>The integration of sensor elements and diagnostic modules into cable systems enables real-time monitoring of thermal and electrical parameters, reducing the probability of failures and unplanned outages by 20–30%.</w:t>
      </w:r>
    </w:p>
    <w:p w14:paraId="5DD76399" w14:textId="7DB6B0B6" w:rsidR="00F53273" w:rsidRPr="008745D5" w:rsidRDefault="003F1262" w:rsidP="00021B77">
      <w:pPr>
        <w:widowControl w:val="0"/>
        <w:spacing w:after="0" w:line="240" w:lineRule="auto"/>
        <w:ind w:right="40" w:firstLine="284"/>
        <w:jc w:val="both"/>
        <w:rPr>
          <w:rFonts w:ascii="Times New Roman" w:hAnsi="Times New Roman"/>
          <w:sz w:val="20"/>
          <w:szCs w:val="20"/>
        </w:rPr>
      </w:pPr>
      <w:r w:rsidRPr="003F1262">
        <w:rPr>
          <w:rFonts w:ascii="Times New Roman" w:hAnsi="Times New Roman"/>
          <w:sz w:val="20"/>
          <w:szCs w:val="20"/>
        </w:rPr>
        <w:t>The obtained results confirm that the combined use of advanced insulation materials, innovative conductor designs and intelligent monitoring technologies significantly improves the reliability, energy efficiency and operational stability of modern power cable lines.</w:t>
      </w:r>
    </w:p>
    <w:p w14:paraId="538C6A71" w14:textId="77777777" w:rsidR="00CA0E97" w:rsidRDefault="00CA0E97"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p>
    <w:p w14:paraId="394908FA" w14:textId="77777777" w:rsidR="00CA0E97" w:rsidRDefault="00CA0E97"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p>
    <w:p w14:paraId="51D8FA98" w14:textId="4CDC44D2"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CONCLUSIONS</w:t>
      </w:r>
    </w:p>
    <w:p w14:paraId="25E4732E" w14:textId="71CBAB62" w:rsidR="00F53273" w:rsidRPr="00287E0A" w:rsidRDefault="003F1262" w:rsidP="008F5C21">
      <w:pPr>
        <w:spacing w:after="0" w:line="240" w:lineRule="auto"/>
        <w:ind w:firstLine="284"/>
        <w:jc w:val="both"/>
        <w:rPr>
          <w:rFonts w:ascii="Times New Roman" w:hAnsi="Times New Roman" w:cs="Times New Roman"/>
          <w:sz w:val="20"/>
        </w:rPr>
      </w:pPr>
      <w:r w:rsidRPr="003F1262">
        <w:rPr>
          <w:rFonts w:ascii="Times New Roman" w:hAnsi="Times New Roman" w:cs="Times New Roman"/>
          <w:sz w:val="20"/>
        </w:rPr>
        <w:t>Thus, modern trends in the development of cable products are aimed at comprehensively improving their operational properties. The emphasis is on increasing the strength and flexibility of structures, reducing weight, ensuring resistance to corrosive and chemically aggressive environments, increasing fire resistance and minimizing the release of toxic and corrosive products during combustion. Along with this, radiation resistance and compliance with electromagnetic compatibility (EMC) requirements play an important role. The solution to these challenges is reflected in the growing number of innovative developments demonstrating a steady positive trend in the market of cabling and wiring products.</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63D81D36" w14:textId="22952C3A" w:rsidR="00CA0E97" w:rsidRPr="00CA0E97" w:rsidRDefault="00CA0E97" w:rsidP="00377B47">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r w:rsidRPr="00CA0E97">
        <w:rPr>
          <w:rFonts w:ascii="Times New Roman" w:hAnsi="Times New Roman" w:cs="Times New Roman"/>
          <w:sz w:val="20"/>
          <w:szCs w:val="20"/>
        </w:rPr>
        <w:t>Analysis of energy consumption of leading countries on the eve of global changes in the modern world, Energy Policy, available at: https://energypolicy.ru/analiz-energopotrebleniya-vedushhih-stran-nakanune-globalnyh-izmenenij-sovremennogo-mira/energetika/2023/12/13/(accessed 2023).</w:t>
      </w:r>
    </w:p>
    <w:p w14:paraId="26775F8F" w14:textId="77777777" w:rsidR="00CA0E97" w:rsidRPr="00CA0E97" w:rsidRDefault="00CA0E97" w:rsidP="00CA0E97">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r w:rsidRPr="00CA0E97">
        <w:rPr>
          <w:rFonts w:ascii="Times New Roman" w:hAnsi="Times New Roman" w:cs="Times New Roman"/>
          <w:sz w:val="20"/>
          <w:szCs w:val="20"/>
        </w:rPr>
        <w:t xml:space="preserve">P. </w:t>
      </w:r>
      <w:proofErr w:type="spellStart"/>
      <w:r w:rsidRPr="00CA0E97">
        <w:rPr>
          <w:rFonts w:ascii="Times New Roman" w:hAnsi="Times New Roman" w:cs="Times New Roman"/>
          <w:sz w:val="20"/>
          <w:szCs w:val="20"/>
        </w:rPr>
        <w:t>Bulteel</w:t>
      </w:r>
      <w:proofErr w:type="spellEnd"/>
      <w:r w:rsidRPr="00CA0E97">
        <w:rPr>
          <w:rFonts w:ascii="Times New Roman" w:hAnsi="Times New Roman" w:cs="Times New Roman"/>
          <w:sz w:val="20"/>
          <w:szCs w:val="20"/>
        </w:rPr>
        <w:t>, “Competitive competition,” Power Engineering International 2, (2005).</w:t>
      </w:r>
    </w:p>
    <w:p w14:paraId="429DFDB6" w14:textId="77777777" w:rsidR="00CA0E97" w:rsidRPr="00CA0E97" w:rsidRDefault="00CA0E97" w:rsidP="00CA0E97">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r w:rsidRPr="00CA0E97">
        <w:rPr>
          <w:rFonts w:ascii="Times New Roman" w:hAnsi="Times New Roman" w:cs="Times New Roman"/>
          <w:sz w:val="20"/>
          <w:szCs w:val="20"/>
        </w:rPr>
        <w:t>High-temperature superconducting cable, Uncomtech, available at: https://www.uncomtech.ru/page/8/vysokotemperaturnyi-sverxprovodyashhii-kabel</w:t>
      </w:r>
    </w:p>
    <w:p w14:paraId="4A1BDA54" w14:textId="77777777" w:rsidR="00CA0E97" w:rsidRPr="00CA0E97" w:rsidRDefault="00CA0E97" w:rsidP="00CA0E97">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r w:rsidRPr="00CA0E97">
        <w:rPr>
          <w:rFonts w:ascii="Times New Roman" w:hAnsi="Times New Roman" w:cs="Times New Roman"/>
          <w:sz w:val="20"/>
          <w:szCs w:val="20"/>
        </w:rPr>
        <w:t>P. Radbourne, “Undergrounding utility power cables,” Wire and Cable Technology International 1, (2005).</w:t>
      </w:r>
    </w:p>
    <w:p w14:paraId="1FA2F06A" w14:textId="77777777" w:rsidR="00CA0E97" w:rsidRPr="00CA0E97" w:rsidRDefault="00CA0E97" w:rsidP="00CA0E97">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r w:rsidRPr="00CA0E97">
        <w:rPr>
          <w:rFonts w:ascii="Times New Roman" w:hAnsi="Times New Roman" w:cs="Times New Roman"/>
          <w:sz w:val="20"/>
          <w:szCs w:val="20"/>
        </w:rPr>
        <w:t>Carbon nanotubes ready for use in electronics, Habr, available at: https://habr.com/ru/articles/129083/</w:t>
      </w:r>
    </w:p>
    <w:p w14:paraId="22E38832" w14:textId="77777777" w:rsidR="00CA0E97" w:rsidRPr="00CA0E97" w:rsidRDefault="00CA0E97" w:rsidP="00CA0E97">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r w:rsidRPr="00CA0E97">
        <w:rPr>
          <w:rFonts w:ascii="Times New Roman" w:hAnsi="Times New Roman" w:cs="Times New Roman"/>
          <w:sz w:val="20"/>
          <w:szCs w:val="20"/>
        </w:rPr>
        <w:t>“American Superconductor Corporation reports advance in its HTS wire,” Wire Journal International 1, (2005).</w:t>
      </w:r>
    </w:p>
    <w:p w14:paraId="4C611120" w14:textId="77777777" w:rsidR="00CA0E97" w:rsidRPr="00CA0E97" w:rsidRDefault="00CA0E97" w:rsidP="00CA0E97">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r w:rsidRPr="00CA0E97">
        <w:rPr>
          <w:rFonts w:ascii="Times New Roman" w:hAnsi="Times New Roman" w:cs="Times New Roman"/>
          <w:sz w:val="20"/>
          <w:szCs w:val="20"/>
        </w:rPr>
        <w:t>A. Gibson, “The economics of copper-clad aluminum bimetallic cables,” Wire and Cable Technology International 3, (2005).</w:t>
      </w:r>
    </w:p>
    <w:p w14:paraId="5ECBFC48" w14:textId="77777777" w:rsidR="00CA0E97" w:rsidRPr="00CA0E97" w:rsidRDefault="00CA0E97" w:rsidP="00CA0E97">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r w:rsidRPr="00CA0E97">
        <w:rPr>
          <w:rFonts w:ascii="Times New Roman" w:hAnsi="Times New Roman" w:cs="Times New Roman"/>
          <w:sz w:val="20"/>
          <w:szCs w:val="20"/>
        </w:rPr>
        <w:t>V. Tsypkina and V. Ivanova, “Modeling of a resource-saving method of drawing,” E3S Web of Conferences 139, 01073 (2019). https://doi.org/10.1051/e3sconf/201913901073</w:t>
      </w:r>
    </w:p>
    <w:p w14:paraId="02B9BE16" w14:textId="77777777" w:rsidR="00CA0E97" w:rsidRPr="00CA0E97" w:rsidRDefault="00CA0E97" w:rsidP="00CA0E97">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r w:rsidRPr="00CA0E97">
        <w:rPr>
          <w:rFonts w:ascii="Times New Roman" w:hAnsi="Times New Roman" w:cs="Times New Roman"/>
          <w:sz w:val="20"/>
          <w:szCs w:val="20"/>
        </w:rPr>
        <w:t>D. B. Madrakhimov, V. P. Ivanova, and V. V. Tsypkina, “Improving the reliability of cable lines operation in hot climates,” E3S Web of Conferences 216, 01151 (2020). https://doi.org/10.1051/e3sconf/202021601151</w:t>
      </w:r>
    </w:p>
    <w:p w14:paraId="5AE34F47" w14:textId="43330A1A" w:rsidR="00CA0E97" w:rsidRPr="00CA0E97" w:rsidRDefault="00CA0E97" w:rsidP="00CA0E97">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r w:rsidRPr="00CA0E97">
        <w:rPr>
          <w:rFonts w:ascii="Times New Roman" w:hAnsi="Times New Roman" w:cs="Times New Roman"/>
          <w:sz w:val="20"/>
          <w:szCs w:val="20"/>
        </w:rPr>
        <w:t xml:space="preserve">O. Toirov, V. Ivanova, V. Tsypkina, D. </w:t>
      </w:r>
      <w:proofErr w:type="spellStart"/>
      <w:r w:rsidRPr="00CA0E97">
        <w:rPr>
          <w:rFonts w:ascii="Times New Roman" w:hAnsi="Times New Roman" w:cs="Times New Roman"/>
          <w:sz w:val="20"/>
          <w:szCs w:val="20"/>
        </w:rPr>
        <w:t>Jumaeva</w:t>
      </w:r>
      <w:proofErr w:type="spellEnd"/>
      <w:r w:rsidRPr="00CA0E97">
        <w:rPr>
          <w:rFonts w:ascii="Times New Roman" w:hAnsi="Times New Roman" w:cs="Times New Roman"/>
          <w:sz w:val="20"/>
          <w:szCs w:val="20"/>
        </w:rPr>
        <w:t>, and D. Abdullaeva, “Improvement of the multifilament wire lager for cable production,” E3S Web of Conferences 411, 01041 (2023). https://doi.org/10.1051/e3sconf/202341101041</w:t>
      </w:r>
    </w:p>
    <w:p w14:paraId="5B30AF25" w14:textId="5D65313B" w:rsidR="00683229" w:rsidRDefault="00CA0E97" w:rsidP="00CA0E97">
      <w:pPr>
        <w:pStyle w:val="a4"/>
        <w:numPr>
          <w:ilvl w:val="0"/>
          <w:numId w:val="8"/>
        </w:numPr>
        <w:tabs>
          <w:tab w:val="left" w:pos="284"/>
          <w:tab w:val="left" w:pos="993"/>
        </w:tabs>
        <w:spacing w:after="0" w:line="240" w:lineRule="auto"/>
        <w:ind w:left="0" w:firstLine="0"/>
        <w:jc w:val="both"/>
        <w:rPr>
          <w:rFonts w:ascii="Times New Roman" w:hAnsi="Times New Roman" w:cs="Times New Roman"/>
          <w:b/>
          <w:bCs/>
          <w:sz w:val="20"/>
          <w:szCs w:val="20"/>
        </w:rPr>
      </w:pPr>
      <w:r w:rsidRPr="00CA0E97">
        <w:rPr>
          <w:rFonts w:ascii="Times New Roman" w:hAnsi="Times New Roman" w:cs="Times New Roman"/>
          <w:sz w:val="20"/>
          <w:szCs w:val="20"/>
        </w:rPr>
        <w:t>V. P. Ivanova and V. V. Tsypkina, “Improving the reliability of power supply to active consumers by improving the technology for manufacturing cable product,” E3S Web of Conferences 216, 01152 (2020). https://doi.org/10.1051/e3sconf/202021601152</w:t>
      </w:r>
    </w:p>
    <w:sectPr w:rsidR="00683229" w:rsidSect="00A938AF">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FB41A3"/>
    <w:multiLevelType w:val="hybridMultilevel"/>
    <w:tmpl w:val="5FEE889C"/>
    <w:lvl w:ilvl="0" w:tplc="58FE97A2">
      <w:start w:val="1"/>
      <w:numFmt w:val="decimal"/>
      <w:lvlText w:val="%1."/>
      <w:lvlJc w:val="left"/>
      <w:pPr>
        <w:ind w:left="927" w:hanging="360"/>
      </w:pPr>
      <w:rPr>
        <w:rFonts w:hint="default"/>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5F7C0C"/>
    <w:multiLevelType w:val="hybridMultilevel"/>
    <w:tmpl w:val="19AA0DA2"/>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A3E606C"/>
    <w:multiLevelType w:val="hybridMultilevel"/>
    <w:tmpl w:val="96F6FBD6"/>
    <w:lvl w:ilvl="0" w:tplc="FFFFFFFF">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02872196">
    <w:abstractNumId w:val="1"/>
  </w:num>
  <w:num w:numId="2" w16cid:durableId="134222169">
    <w:abstractNumId w:val="0"/>
  </w:num>
  <w:num w:numId="3" w16cid:durableId="1761095742">
    <w:abstractNumId w:val="6"/>
  </w:num>
  <w:num w:numId="4" w16cid:durableId="574512711">
    <w:abstractNumId w:val="3"/>
  </w:num>
  <w:num w:numId="5" w16cid:durableId="2047560422">
    <w:abstractNumId w:val="2"/>
  </w:num>
  <w:num w:numId="6" w16cid:durableId="629821354">
    <w:abstractNumId w:val="5"/>
  </w:num>
  <w:num w:numId="7" w16cid:durableId="1346134464">
    <w:abstractNumId w:val="7"/>
  </w:num>
  <w:num w:numId="8" w16cid:durableId="2109737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77"/>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262"/>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601"/>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121"/>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59B"/>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266"/>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0EB"/>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30A"/>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2F5"/>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6C4"/>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92A"/>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68A"/>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240B"/>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8AF"/>
    <w:rsid w:val="00A93D6A"/>
    <w:rsid w:val="00A94255"/>
    <w:rsid w:val="00A94A11"/>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2C3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DBD"/>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0E97"/>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6DF7"/>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217"/>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unhideWhenUsed/>
    <w:rsid w:val="0041360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hyperlink" Target="mailto:viktoriya.tsipkina@gmail.com"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3147</Words>
  <Characters>17938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12</cp:revision>
  <cp:lastPrinted>2023-12-26T18:03:00Z</cp:lastPrinted>
  <dcterms:created xsi:type="dcterms:W3CDTF">2025-12-13T14:02:00Z</dcterms:created>
  <dcterms:modified xsi:type="dcterms:W3CDTF">2026-01-05T15:03:00Z</dcterms:modified>
</cp:coreProperties>
</file>