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71BF" w14:textId="71DBC47E" w:rsidR="0057124C" w:rsidRPr="006C65E3" w:rsidRDefault="0057124C" w:rsidP="00CD606A">
      <w:pPr>
        <w:spacing w:before="1200" w:after="200"/>
        <w:jc w:val="center"/>
        <w:rPr>
          <w:b/>
          <w:bCs/>
          <w:sz w:val="36"/>
          <w:szCs w:val="36"/>
          <w:lang w:val="en-US"/>
        </w:rPr>
      </w:pPr>
      <w:r w:rsidRPr="006C65E3">
        <w:rPr>
          <w:b/>
          <w:bCs/>
          <w:sz w:val="36"/>
          <w:szCs w:val="36"/>
          <w:lang w:val="en-US"/>
        </w:rPr>
        <w:t xml:space="preserve">Structural and Spectral Factors of Gold and Other Mineralization in the </w:t>
      </w:r>
      <w:proofErr w:type="spellStart"/>
      <w:r w:rsidRPr="006C65E3">
        <w:rPr>
          <w:b/>
          <w:bCs/>
          <w:sz w:val="36"/>
          <w:szCs w:val="36"/>
          <w:lang w:val="en-US"/>
        </w:rPr>
        <w:t>Boboshil</w:t>
      </w:r>
      <w:proofErr w:type="spellEnd"/>
      <w:r w:rsidRPr="006C65E3">
        <w:rPr>
          <w:b/>
          <w:bCs/>
          <w:sz w:val="36"/>
          <w:szCs w:val="36"/>
          <w:lang w:val="en-US"/>
        </w:rPr>
        <w:t xml:space="preserve"> Prospective Area </w:t>
      </w:r>
      <w:r w:rsidR="006F7D02">
        <w:rPr>
          <w:b/>
          <w:bCs/>
          <w:sz w:val="36"/>
          <w:szCs w:val="36"/>
          <w:lang w:val="uz-Cyrl-UZ"/>
        </w:rPr>
        <w:t xml:space="preserve">                 </w:t>
      </w:r>
      <w:proofErr w:type="gramStart"/>
      <w:r w:rsidR="006F7D02">
        <w:rPr>
          <w:b/>
          <w:bCs/>
          <w:sz w:val="36"/>
          <w:szCs w:val="36"/>
          <w:lang w:val="uz-Cyrl-UZ"/>
        </w:rPr>
        <w:t xml:space="preserve">   </w:t>
      </w:r>
      <w:r w:rsidRPr="006C65E3">
        <w:rPr>
          <w:b/>
          <w:bCs/>
          <w:sz w:val="36"/>
          <w:szCs w:val="36"/>
          <w:lang w:val="en-US"/>
        </w:rPr>
        <w:t>(</w:t>
      </w:r>
      <w:proofErr w:type="gramEnd"/>
      <w:r w:rsidRPr="006C65E3">
        <w:rPr>
          <w:b/>
          <w:bCs/>
          <w:sz w:val="36"/>
          <w:szCs w:val="36"/>
          <w:lang w:val="en-US"/>
        </w:rPr>
        <w:t xml:space="preserve">Southern </w:t>
      </w:r>
      <w:proofErr w:type="spellStart"/>
      <w:r w:rsidRPr="006C65E3">
        <w:rPr>
          <w:b/>
          <w:bCs/>
          <w:sz w:val="36"/>
          <w:szCs w:val="36"/>
          <w:lang w:val="en-US"/>
        </w:rPr>
        <w:t>Nurata</w:t>
      </w:r>
      <w:proofErr w:type="spellEnd"/>
      <w:r w:rsidRPr="006C65E3">
        <w:rPr>
          <w:b/>
          <w:bCs/>
          <w:sz w:val="36"/>
          <w:szCs w:val="36"/>
          <w:lang w:val="en-US"/>
        </w:rPr>
        <w:t xml:space="preserve"> Mountains)</w:t>
      </w:r>
    </w:p>
    <w:p w14:paraId="7DF48818" w14:textId="2929E458" w:rsidR="006C65E3" w:rsidRPr="00D70E5C" w:rsidRDefault="00A67128" w:rsidP="006E73D2">
      <w:pPr>
        <w:tabs>
          <w:tab w:val="left" w:pos="6360"/>
        </w:tabs>
        <w:spacing w:before="240" w:after="200"/>
        <w:jc w:val="center"/>
        <w:rPr>
          <w:rFonts w:cs="Times New Roman"/>
          <w:sz w:val="36"/>
          <w:szCs w:val="36"/>
          <w:vertAlign w:val="superscript"/>
          <w:lang w:val="en-US"/>
        </w:rPr>
      </w:pPr>
      <w:proofErr w:type="spellStart"/>
      <w:r w:rsidRPr="00D70E5C">
        <w:rPr>
          <w:szCs w:val="28"/>
          <w:lang w:val="en-US"/>
        </w:rPr>
        <w:t>Kholida</w:t>
      </w:r>
      <w:proofErr w:type="spellEnd"/>
      <w:r w:rsidRPr="00D70E5C">
        <w:rPr>
          <w:szCs w:val="28"/>
          <w:lang w:val="en-US"/>
        </w:rPr>
        <w:t xml:space="preserve"> </w:t>
      </w:r>
      <w:proofErr w:type="spellStart"/>
      <w:r w:rsidR="0057124C" w:rsidRPr="00D70E5C">
        <w:rPr>
          <w:szCs w:val="28"/>
          <w:lang w:val="en-US"/>
        </w:rPr>
        <w:t>Tursinbaye</w:t>
      </w:r>
      <w:r w:rsidR="00BA0714" w:rsidRPr="00D70E5C">
        <w:rPr>
          <w:szCs w:val="28"/>
          <w:lang w:val="en-US"/>
        </w:rPr>
        <w:t>va</w:t>
      </w:r>
      <w:proofErr w:type="spellEnd"/>
      <w:r w:rsidR="006E73D2">
        <w:rPr>
          <w:szCs w:val="28"/>
          <w:lang w:val="en-US"/>
        </w:rPr>
        <w:t xml:space="preserve"> </w:t>
      </w:r>
      <w:r w:rsidR="00193D70" w:rsidRPr="00D70E5C">
        <w:rPr>
          <w:rFonts w:cs="Times New Roman"/>
          <w:szCs w:val="28"/>
          <w:vertAlign w:val="superscript"/>
          <w:lang w:val="en-US"/>
        </w:rPr>
        <w:t>a)</w:t>
      </w:r>
      <w:r w:rsidRPr="00D70E5C">
        <w:rPr>
          <w:rFonts w:cs="Times New Roman"/>
          <w:szCs w:val="28"/>
          <w:lang w:val="en-US"/>
        </w:rPr>
        <w:t>,</w:t>
      </w:r>
      <w:r w:rsidR="00B913BB" w:rsidRPr="00D70E5C">
        <w:rPr>
          <w:rFonts w:cs="Times New Roman"/>
          <w:szCs w:val="28"/>
          <w:lang w:val="en-US"/>
        </w:rPr>
        <w:t xml:space="preserve"> </w:t>
      </w:r>
      <w:r w:rsidR="006E73D2" w:rsidRPr="006E73D2">
        <w:rPr>
          <w:rFonts w:cs="Times New Roman"/>
          <w:szCs w:val="28"/>
          <w:lang w:val="en-US"/>
        </w:rPr>
        <w:t>Farhod Chulliyev</w:t>
      </w:r>
      <w:r w:rsidR="006E73D2">
        <w:rPr>
          <w:rFonts w:cs="Times New Roman"/>
          <w:szCs w:val="28"/>
          <w:lang w:val="en-US"/>
        </w:rPr>
        <w:t xml:space="preserve">, </w:t>
      </w:r>
      <w:r w:rsidR="006E73D2" w:rsidRPr="00D70E5C">
        <w:rPr>
          <w:rFonts w:cs="Times New Roman"/>
          <w:szCs w:val="28"/>
          <w:lang w:val="en-US"/>
        </w:rPr>
        <w:t xml:space="preserve">Marjona </w:t>
      </w:r>
      <w:r w:rsidR="00B913BB" w:rsidRPr="00D70E5C">
        <w:rPr>
          <w:rFonts w:cs="Times New Roman"/>
          <w:szCs w:val="28"/>
          <w:lang w:val="en-US"/>
        </w:rPr>
        <w:t>Ergashova</w:t>
      </w:r>
      <w:r w:rsidR="00193D70" w:rsidRPr="00D70E5C">
        <w:rPr>
          <w:rFonts w:cs="Times New Roman"/>
          <w:szCs w:val="28"/>
          <w:lang w:val="en-US"/>
        </w:rPr>
        <w:t xml:space="preserve">, </w:t>
      </w:r>
      <w:proofErr w:type="spellStart"/>
      <w:r w:rsidR="006E73D2" w:rsidRPr="00D70E5C">
        <w:rPr>
          <w:rFonts w:cs="Times New Roman"/>
          <w:szCs w:val="28"/>
          <w:lang w:val="en-US"/>
        </w:rPr>
        <w:t>Mirzokhid</w:t>
      </w:r>
      <w:proofErr w:type="spellEnd"/>
      <w:r w:rsidR="006E73D2" w:rsidRPr="00D70E5C">
        <w:rPr>
          <w:rFonts w:cs="Times New Roman"/>
          <w:szCs w:val="28"/>
          <w:lang w:val="en-US"/>
        </w:rPr>
        <w:t xml:space="preserve"> </w:t>
      </w:r>
      <w:r w:rsidR="00193D70" w:rsidRPr="00D70E5C">
        <w:rPr>
          <w:rFonts w:cs="Times New Roman"/>
          <w:szCs w:val="28"/>
          <w:lang w:val="en-US"/>
        </w:rPr>
        <w:t xml:space="preserve">Khasanov </w:t>
      </w:r>
    </w:p>
    <w:p w14:paraId="2FCAFA29" w14:textId="6CD2763B" w:rsidR="00CD606A" w:rsidRDefault="004B0E31" w:rsidP="00D70E5C">
      <w:pPr>
        <w:spacing w:after="0"/>
        <w:ind w:firstLine="360"/>
        <w:jc w:val="center"/>
        <w:rPr>
          <w:i/>
          <w:iCs/>
          <w:sz w:val="20"/>
          <w:szCs w:val="20"/>
          <w:lang w:val="en-US"/>
        </w:rPr>
      </w:pPr>
      <w:r w:rsidRPr="00CD606A">
        <w:rPr>
          <w:i/>
          <w:iCs/>
          <w:sz w:val="20"/>
          <w:szCs w:val="20"/>
          <w:lang w:val="en-US"/>
        </w:rPr>
        <w:t>University of Geological Sciences, Tashkent, Uzbekistan</w:t>
      </w:r>
    </w:p>
    <w:p w14:paraId="7A26530B" w14:textId="48CAB67B" w:rsidR="006C65E3" w:rsidRPr="00D70E5C" w:rsidRDefault="00D70E5C" w:rsidP="00CD606A">
      <w:pPr>
        <w:pStyle w:val="a7"/>
        <w:spacing w:before="200" w:after="200"/>
        <w:ind w:left="0"/>
        <w:jc w:val="center"/>
        <w:rPr>
          <w:sz w:val="20"/>
          <w:szCs w:val="20"/>
          <w:lang w:val="en-US"/>
        </w:rPr>
      </w:pPr>
      <w:r w:rsidRPr="00CD606A">
        <w:rPr>
          <w:i/>
          <w:iCs/>
          <w:sz w:val="20"/>
          <w:szCs w:val="20"/>
          <w:vertAlign w:val="superscript"/>
          <w:lang w:val="en-US"/>
        </w:rPr>
        <w:t xml:space="preserve">a) </w:t>
      </w:r>
      <w:r w:rsidR="006C65E3" w:rsidRPr="00CD606A">
        <w:rPr>
          <w:i/>
          <w:iCs/>
          <w:sz w:val="20"/>
          <w:szCs w:val="20"/>
          <w:lang w:val="en-US"/>
        </w:rPr>
        <w:t>Corresponding author:</w:t>
      </w:r>
      <w:r w:rsidRPr="00CD606A">
        <w:rPr>
          <w:i/>
          <w:iCs/>
          <w:sz w:val="20"/>
          <w:szCs w:val="20"/>
          <w:lang w:val="en-US"/>
        </w:rPr>
        <w:t xml:space="preserve"> </w:t>
      </w:r>
      <w:hyperlink r:id="rId5" w:history="1">
        <w:r w:rsidRPr="00CD606A">
          <w:rPr>
            <w:rStyle w:val="ac"/>
            <w:i/>
            <w:iCs/>
            <w:sz w:val="20"/>
            <w:szCs w:val="20"/>
            <w:lang w:val="en-US"/>
          </w:rPr>
          <w:t>xolidatursinbayeva110@gmail.com</w:t>
        </w:r>
      </w:hyperlink>
    </w:p>
    <w:p w14:paraId="3F32AC2A" w14:textId="1A6FD0DD" w:rsidR="0057124C" w:rsidRPr="00BF7BC7" w:rsidRDefault="0057124C" w:rsidP="00CD606A">
      <w:pPr>
        <w:spacing w:before="360" w:after="360"/>
        <w:ind w:left="284" w:right="284"/>
        <w:jc w:val="both"/>
        <w:rPr>
          <w:rFonts w:cs="Times New Roman"/>
          <w:sz w:val="20"/>
          <w:szCs w:val="20"/>
          <w:lang w:val="en-US"/>
        </w:rPr>
      </w:pPr>
      <w:r w:rsidRPr="00BF7BC7">
        <w:rPr>
          <w:rFonts w:cs="Times New Roman"/>
          <w:b/>
          <w:bCs/>
          <w:sz w:val="20"/>
          <w:szCs w:val="20"/>
          <w:lang w:val="en-US"/>
        </w:rPr>
        <w:t>Abstract</w:t>
      </w:r>
      <w:r w:rsidR="001F1B50" w:rsidRPr="00BF7BC7">
        <w:rPr>
          <w:rFonts w:cs="Times New Roman"/>
          <w:b/>
          <w:bCs/>
          <w:sz w:val="20"/>
          <w:szCs w:val="20"/>
          <w:lang w:val="en-US"/>
        </w:rPr>
        <w:t>.</w:t>
      </w:r>
      <w:r w:rsidR="001F1B50" w:rsidRPr="00BF7BC7">
        <w:rPr>
          <w:rFonts w:cs="Times New Roman"/>
          <w:sz w:val="20"/>
          <w:szCs w:val="20"/>
          <w:lang w:val="en-US"/>
        </w:rPr>
        <w:t xml:space="preserve"> </w:t>
      </w:r>
      <w:r w:rsidRPr="00BF7BC7">
        <w:rPr>
          <w:rFonts w:cs="Times New Roman"/>
          <w:sz w:val="20"/>
          <w:szCs w:val="20"/>
          <w:lang w:val="en-US"/>
        </w:rPr>
        <w:t xml:space="preserve">This research focuses on the structural and spectral factors controlling gold and associated mineralization within the </w:t>
      </w:r>
      <w:proofErr w:type="spellStart"/>
      <w:r w:rsidRPr="00BF7BC7">
        <w:rPr>
          <w:rFonts w:cs="Times New Roman"/>
          <w:sz w:val="20"/>
          <w:szCs w:val="20"/>
          <w:lang w:val="en-US"/>
        </w:rPr>
        <w:t>Boboshil</w:t>
      </w:r>
      <w:proofErr w:type="spellEnd"/>
      <w:r w:rsidRPr="00BF7BC7">
        <w:rPr>
          <w:rFonts w:cs="Times New Roman"/>
          <w:sz w:val="20"/>
          <w:szCs w:val="20"/>
          <w:lang w:val="en-US"/>
        </w:rPr>
        <w:t xml:space="preserve"> prospective field, located in the Southern Nurata Mountains of Uzbekistan. The study integrates remote sensing (RS) data interpretation, geological mapping, and spectral analysis of ASTER and Landsat imagery to identify hydrothermal alteration zones and potential ore-bearing structures. Using band ratio techniques and mineral indices (such as Alunite–Kaolinite–Pyrophyllite, Carbonate–Chlorite–Epidote, and Amphibole–</w:t>
      </w:r>
      <w:proofErr w:type="spellStart"/>
      <w:r w:rsidRPr="00BF7BC7">
        <w:rPr>
          <w:rFonts w:cs="Times New Roman"/>
          <w:sz w:val="20"/>
          <w:szCs w:val="20"/>
          <w:lang w:val="en-US"/>
        </w:rPr>
        <w:t>MgOH</w:t>
      </w:r>
      <w:proofErr w:type="spellEnd"/>
      <w:r w:rsidRPr="00BF7BC7">
        <w:rPr>
          <w:rFonts w:cs="Times New Roman"/>
          <w:sz w:val="20"/>
          <w:szCs w:val="20"/>
          <w:lang w:val="en-US"/>
        </w:rPr>
        <w:t xml:space="preserve">), the spatial distribution of alteration minerals was mapped and correlated with known tectonic and intrusive features. The results reveal a close genetic relationship between hydrothermal alteration, structural deformation, and magmatic processes that have influenced gold mineralization in the study area. The integrated analysis of spectral signatures, geological mapping, and field verification confirms that alteration halos and bleaching zones are associated with contact-metasomatic and hydrothermal-metasomatic processes, indicating high potential for gold and polymetallic mineralization in the </w:t>
      </w:r>
      <w:proofErr w:type="spellStart"/>
      <w:r w:rsidRPr="00BF7BC7">
        <w:rPr>
          <w:rFonts w:cs="Times New Roman"/>
          <w:sz w:val="20"/>
          <w:szCs w:val="20"/>
          <w:lang w:val="en-US"/>
        </w:rPr>
        <w:t>Boboshil</w:t>
      </w:r>
      <w:proofErr w:type="spellEnd"/>
      <w:r w:rsidRPr="00BF7BC7">
        <w:rPr>
          <w:rFonts w:cs="Times New Roman"/>
          <w:sz w:val="20"/>
          <w:szCs w:val="20"/>
          <w:lang w:val="en-US"/>
        </w:rPr>
        <w:t xml:space="preserve"> area.</w:t>
      </w:r>
    </w:p>
    <w:p w14:paraId="1952DAC0" w14:textId="61BF357F" w:rsidR="006C65E3" w:rsidRPr="006C65E3" w:rsidRDefault="00BB14B9" w:rsidP="006C65E3">
      <w:pPr>
        <w:spacing w:after="0"/>
        <w:ind w:firstLine="708"/>
        <w:jc w:val="center"/>
        <w:rPr>
          <w:rFonts w:cs="Times New Roman"/>
          <w:b/>
          <w:bCs/>
          <w:sz w:val="24"/>
          <w:szCs w:val="24"/>
          <w:lang w:val="en-US"/>
        </w:rPr>
      </w:pPr>
      <w:r w:rsidRPr="006C65E3">
        <w:rPr>
          <w:rFonts w:cs="Times New Roman"/>
          <w:b/>
          <w:bCs/>
          <w:sz w:val="24"/>
          <w:szCs w:val="24"/>
          <w:lang w:val="en-US"/>
        </w:rPr>
        <w:t>INTRODUCTION</w:t>
      </w:r>
    </w:p>
    <w:p w14:paraId="114FC87D" w14:textId="6B24E704" w:rsidR="004400D0" w:rsidRPr="00BF7BC7" w:rsidRDefault="00C53CB0" w:rsidP="00CD606A">
      <w:pPr>
        <w:spacing w:after="0"/>
        <w:ind w:firstLine="284"/>
        <w:jc w:val="both"/>
        <w:rPr>
          <w:rFonts w:cs="Times New Roman"/>
          <w:sz w:val="20"/>
          <w:szCs w:val="20"/>
          <w:lang w:val="en-US"/>
        </w:rPr>
      </w:pPr>
      <w:r w:rsidRPr="00BA245D">
        <w:rPr>
          <w:rFonts w:cs="Times New Roman"/>
          <w:b/>
          <w:bCs/>
          <w:sz w:val="20"/>
          <w:szCs w:val="20"/>
          <w:lang w:val="en-US"/>
        </w:rPr>
        <w:t xml:space="preserve"> </w:t>
      </w:r>
      <w:r w:rsidR="007D36DD" w:rsidRPr="00BF7BC7">
        <w:rPr>
          <w:rFonts w:cs="Times New Roman"/>
          <w:sz w:val="20"/>
          <w:szCs w:val="20"/>
          <w:lang w:val="en-US"/>
        </w:rPr>
        <w:t>Remote sensing technologies have become an essential tool in modern geological mapping and mineral exploration. The continuous development of high-resolution satellite sensors and image processing techniques has significantly improved the detection and characterization of hydrothermal alteration zones and lithological units. Among these sensors, the Advanced Spaceborne Thermal Emission and Reflection Radiometer (ASTER) has proven particularly effective due to its multispectral capability and high spatial resolution, allowing for detailed discrimination of surface mineralogy and alteration patterns</w:t>
      </w:r>
      <w:r w:rsidR="00BB14B9">
        <w:rPr>
          <w:rFonts w:cs="Times New Roman"/>
          <w:sz w:val="20"/>
          <w:szCs w:val="20"/>
          <w:lang w:val="en-US"/>
        </w:rPr>
        <w:t xml:space="preserve">. </w:t>
      </w:r>
      <w:r w:rsidR="007D36DD" w:rsidRPr="00BF7BC7">
        <w:rPr>
          <w:rFonts w:cs="Times New Roman"/>
          <w:sz w:val="20"/>
          <w:szCs w:val="20"/>
          <w:lang w:val="en-US"/>
        </w:rPr>
        <w:t xml:space="preserve">The use of spectral unmixing and image enhancement techniques has further advanced the interpretation of remotely sensed data for mineral exploration. </w:t>
      </w:r>
      <w:r w:rsidR="00BB14B9">
        <w:rPr>
          <w:rFonts w:cs="Times New Roman"/>
          <w:sz w:val="20"/>
          <w:szCs w:val="20"/>
          <w:lang w:val="en-US"/>
        </w:rPr>
        <w:t>D</w:t>
      </w:r>
      <w:r w:rsidR="007D36DD" w:rsidRPr="00BF7BC7">
        <w:rPr>
          <w:rFonts w:cs="Times New Roman"/>
          <w:sz w:val="20"/>
          <w:szCs w:val="20"/>
          <w:lang w:val="en-US"/>
        </w:rPr>
        <w:t xml:space="preserve">emonstrated that partial unmixing of hyperspectral data can successfully isolate and map mineralogical target signatures, providing valuable insights into alteration mineral assemblages. </w:t>
      </w:r>
      <w:r w:rsidR="00BB14B9">
        <w:rPr>
          <w:rFonts w:cs="Times New Roman"/>
          <w:sz w:val="20"/>
          <w:szCs w:val="20"/>
          <w:lang w:val="en-US"/>
        </w:rPr>
        <w:t>D</w:t>
      </w:r>
      <w:r w:rsidR="007D36DD" w:rsidRPr="00BF7BC7">
        <w:rPr>
          <w:rFonts w:cs="Times New Roman"/>
          <w:sz w:val="20"/>
          <w:szCs w:val="20"/>
          <w:lang w:val="en-US"/>
        </w:rPr>
        <w:t xml:space="preserve">eveloped the “Crosta technique,” a principal component analysis (PCA)-based approach for enhancing alteration anomalies in multispectral imagery, which remains widely used in mineral prospectivity studies. For instance, within the Central </w:t>
      </w:r>
      <w:proofErr w:type="spellStart"/>
      <w:r w:rsidR="007D36DD" w:rsidRPr="00BF7BC7">
        <w:rPr>
          <w:rFonts w:cs="Times New Roman"/>
          <w:sz w:val="20"/>
          <w:szCs w:val="20"/>
          <w:lang w:val="en-US"/>
        </w:rPr>
        <w:t>Kyzylkum</w:t>
      </w:r>
      <w:proofErr w:type="spellEnd"/>
      <w:r w:rsidR="007D36DD" w:rsidRPr="00BF7BC7">
        <w:rPr>
          <w:rFonts w:cs="Times New Roman"/>
          <w:sz w:val="20"/>
          <w:szCs w:val="20"/>
          <w:lang w:val="en-US"/>
        </w:rPr>
        <w:t xml:space="preserve"> region, the ore-bearing zones are spatially and genetically associated with hydrothermal alteration and </w:t>
      </w:r>
      <w:proofErr w:type="spellStart"/>
      <w:r w:rsidR="007D36DD" w:rsidRPr="00BF7BC7">
        <w:rPr>
          <w:rFonts w:cs="Times New Roman"/>
          <w:sz w:val="20"/>
          <w:szCs w:val="20"/>
          <w:lang w:val="en-US"/>
        </w:rPr>
        <w:t>kaolinitization</w:t>
      </w:r>
      <w:proofErr w:type="spellEnd"/>
      <w:r w:rsidR="007D36DD" w:rsidRPr="00BF7BC7">
        <w:rPr>
          <w:rFonts w:cs="Times New Roman"/>
          <w:sz w:val="20"/>
          <w:szCs w:val="20"/>
          <w:lang w:val="en-US"/>
        </w:rPr>
        <w:t xml:space="preserve"> processes. The geological and structural framework of the area is distinctly reflected in the geophysical fields, exhibiting a well-defined correlation with the identified alteration zones and mineralization patterns.</w:t>
      </w:r>
      <w:r w:rsidR="00AC754D">
        <w:rPr>
          <w:rFonts w:cs="Times New Roman"/>
          <w:sz w:val="20"/>
          <w:szCs w:val="20"/>
          <w:lang w:val="en-US"/>
        </w:rPr>
        <w:t xml:space="preserve"> </w:t>
      </w:r>
      <w:r w:rsidR="00BB14B9">
        <w:rPr>
          <w:rFonts w:cs="Times New Roman"/>
          <w:sz w:val="20"/>
          <w:szCs w:val="20"/>
          <w:lang w:val="en-US"/>
        </w:rPr>
        <w:t>[1-8]</w:t>
      </w:r>
    </w:p>
    <w:p w14:paraId="7466CE8F" w14:textId="2A56C9FA" w:rsidR="00BA245D" w:rsidRPr="007F6A78" w:rsidRDefault="00BB14B9" w:rsidP="00CD606A">
      <w:pPr>
        <w:spacing w:before="240" w:after="240"/>
        <w:ind w:firstLine="284"/>
        <w:jc w:val="center"/>
        <w:rPr>
          <w:rFonts w:cs="Times New Roman"/>
          <w:b/>
          <w:bCs/>
          <w:sz w:val="24"/>
          <w:szCs w:val="24"/>
          <w:lang w:val="en-US"/>
        </w:rPr>
      </w:pPr>
      <w:r w:rsidRPr="007F6A78">
        <w:rPr>
          <w:rFonts w:cs="Times New Roman"/>
          <w:b/>
          <w:bCs/>
          <w:sz w:val="24"/>
          <w:szCs w:val="24"/>
          <w:lang w:val="en-US"/>
        </w:rPr>
        <w:t>MATERIALS AND METHODS</w:t>
      </w:r>
    </w:p>
    <w:p w14:paraId="0CCDDF57" w14:textId="2F62EE85" w:rsidR="00BA245D" w:rsidRPr="00BA245D" w:rsidRDefault="00BA245D" w:rsidP="00CD606A">
      <w:pPr>
        <w:spacing w:after="0"/>
        <w:ind w:firstLine="284"/>
        <w:jc w:val="both"/>
        <w:rPr>
          <w:rFonts w:cs="Times New Roman"/>
          <w:sz w:val="20"/>
          <w:szCs w:val="20"/>
          <w:lang w:val="en-US"/>
        </w:rPr>
      </w:pPr>
      <w:r w:rsidRPr="00BA245D">
        <w:rPr>
          <w:rFonts w:cs="Times New Roman"/>
          <w:b/>
          <w:bCs/>
          <w:sz w:val="20"/>
          <w:szCs w:val="20"/>
          <w:lang w:val="en-US"/>
        </w:rPr>
        <w:t>Research Objective and Approach</w:t>
      </w:r>
      <w:r w:rsidR="00CD606A">
        <w:rPr>
          <w:rFonts w:cs="Times New Roman"/>
          <w:b/>
          <w:bCs/>
          <w:sz w:val="20"/>
          <w:szCs w:val="20"/>
          <w:lang w:val="en-US"/>
        </w:rPr>
        <w:t xml:space="preserve">. </w:t>
      </w:r>
      <w:r w:rsidRPr="00BA245D">
        <w:rPr>
          <w:rFonts w:cs="Times New Roman"/>
          <w:sz w:val="20"/>
          <w:szCs w:val="20"/>
          <w:lang w:val="en-US"/>
        </w:rPr>
        <w:t xml:space="preserve">The study aimed to identify and map lithological types and hydrothermal alteration zones associated with mineralization within the </w:t>
      </w:r>
      <w:proofErr w:type="spellStart"/>
      <w:r w:rsidRPr="00BA245D">
        <w:rPr>
          <w:rFonts w:cs="Times New Roman"/>
          <w:sz w:val="20"/>
          <w:szCs w:val="20"/>
          <w:lang w:val="en-US"/>
        </w:rPr>
        <w:t>Boboshil</w:t>
      </w:r>
      <w:proofErr w:type="spellEnd"/>
      <w:r w:rsidRPr="00BA245D">
        <w:rPr>
          <w:rFonts w:cs="Times New Roman"/>
          <w:sz w:val="20"/>
          <w:szCs w:val="20"/>
          <w:lang w:val="en-US"/>
        </w:rPr>
        <w:t xml:space="preserve"> prospective area. The research integrated </w:t>
      </w:r>
      <w:r w:rsidRPr="00BA245D">
        <w:rPr>
          <w:rFonts w:cs="Times New Roman"/>
          <w:sz w:val="20"/>
          <w:szCs w:val="20"/>
          <w:lang w:val="en-US"/>
        </w:rPr>
        <w:lastRenderedPageBreak/>
        <w:t>geological, geochemical, and remote sensing (RS) data using a combined approach of field spectral measurements and satellite-based spectral analysis. The methodological workflow included:</w:t>
      </w:r>
    </w:p>
    <w:p w14:paraId="50FDB8D0"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(1) field data collection and spectral calibration;</w:t>
      </w:r>
    </w:p>
    <w:p w14:paraId="30A7E3D9"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(2) satellite data preprocessing and spectral enhancement;</w:t>
      </w:r>
    </w:p>
    <w:p w14:paraId="33DCBEF8"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(3) mineral index calculation and classification; and</w:t>
      </w:r>
    </w:p>
    <w:p w14:paraId="36970058" w14:textId="22B565B9"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(4) validation through ground-truth and laboratory analyses</w:t>
      </w:r>
      <w:r w:rsidR="00CD606A">
        <w:rPr>
          <w:rFonts w:cs="Times New Roman"/>
          <w:sz w:val="20"/>
          <w:szCs w:val="20"/>
          <w:lang w:val="en-US"/>
        </w:rPr>
        <w:t xml:space="preserve"> </w:t>
      </w:r>
      <w:r w:rsidR="00AC754D">
        <w:rPr>
          <w:rFonts w:cs="Times New Roman"/>
          <w:sz w:val="20"/>
          <w:szCs w:val="20"/>
          <w:lang w:val="en-US"/>
        </w:rPr>
        <w:t>[4,5]</w:t>
      </w:r>
    </w:p>
    <w:p w14:paraId="59F4F80C" w14:textId="512FA4EB" w:rsidR="00BA245D" w:rsidRP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Remote Sensing Data and Preprocessing</w:t>
      </w:r>
    </w:p>
    <w:p w14:paraId="25DCDA86"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Multispectral satellite imagery from ASTER (Advanced Spaceborne Thermal Emission and Reflection Radiometer, VNIR–SWIR ranges) and Landsat-8 OLI (Operational Land Imager) was utilized. Cloud-free Level 1T/2 scenes were selected based on low atmospheric water vapor conditions.</w:t>
      </w:r>
    </w:p>
    <w:p w14:paraId="24B80B51"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Standard preprocessing steps included:</w:t>
      </w:r>
    </w:p>
    <w:p w14:paraId="4396E496"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Radiometric and atmospheric correction to convert raw digital numbers to surface reflectance;</w:t>
      </w:r>
    </w:p>
    <w:p w14:paraId="0ECC373F"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Geometric correction and co-registration using topographic maps and GPS/GNSS control points (accuracy ≤3–5 m);</w:t>
      </w:r>
    </w:p>
    <w:p w14:paraId="4B701CD1"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Masking of clouds, shadows, and water bodies;</w:t>
      </w:r>
    </w:p>
    <w:p w14:paraId="270E48DB"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Resolution harmonization between VNIR (15 m) and SWIR (30 m) data to a unified working grid;</w:t>
      </w:r>
    </w:p>
    <w:p w14:paraId="6A0DC59C" w14:textId="672E2B2D" w:rsidR="00BA245D" w:rsidRPr="006F7D02" w:rsidRDefault="00BA245D" w:rsidP="00CD606A">
      <w:pPr>
        <w:spacing w:after="0"/>
        <w:ind w:firstLine="284"/>
        <w:jc w:val="both"/>
        <w:rPr>
          <w:rFonts w:cs="Times New Roman"/>
          <w:sz w:val="20"/>
          <w:szCs w:val="20"/>
          <w:lang w:val="uz-Cyrl-UZ"/>
        </w:rPr>
      </w:pPr>
      <w:r w:rsidRPr="00BA245D">
        <w:rPr>
          <w:rFonts w:cs="Times New Roman"/>
          <w:sz w:val="20"/>
          <w:szCs w:val="20"/>
          <w:lang w:val="en-US"/>
        </w:rPr>
        <w:t>Spectral convolution, where field continuous spectra were resampled using ASTER spectral response functions to ensure direct comparability with satellite bands</w:t>
      </w:r>
      <w:r w:rsidR="006F7D02">
        <w:rPr>
          <w:rFonts w:cs="Times New Roman"/>
          <w:sz w:val="20"/>
          <w:szCs w:val="20"/>
          <w:lang w:val="uz-Cyrl-UZ"/>
        </w:rPr>
        <w:t xml:space="preserve"> </w:t>
      </w:r>
      <w:r w:rsidR="00AC754D">
        <w:rPr>
          <w:rFonts w:cs="Times New Roman"/>
          <w:sz w:val="20"/>
          <w:szCs w:val="20"/>
          <w:lang w:val="en-US"/>
        </w:rPr>
        <w:t>[1,2]</w:t>
      </w:r>
      <w:r w:rsidR="006F7D02">
        <w:rPr>
          <w:rFonts w:cs="Times New Roman"/>
          <w:sz w:val="20"/>
          <w:szCs w:val="20"/>
          <w:lang w:val="uz-Cyrl-UZ"/>
        </w:rPr>
        <w:t>.</w:t>
      </w:r>
    </w:p>
    <w:p w14:paraId="2D62D986" w14:textId="155070B7"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Spectral transformations such as Principal Component Analysis (PCA), Minimum Noise Fraction (MNF), and band ratioing were applied to enhance geological and mineralogical features while reducing noise.</w:t>
      </w:r>
      <w:r w:rsidR="00AC754D">
        <w:rPr>
          <w:rFonts w:cs="Times New Roman"/>
          <w:sz w:val="20"/>
          <w:szCs w:val="20"/>
          <w:lang w:val="en-US"/>
        </w:rPr>
        <w:t>[3]</w:t>
      </w:r>
    </w:p>
    <w:p w14:paraId="443FBA14" w14:textId="7595B0F2" w:rsid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Field Spectral Measurements and Sample Collection</w:t>
      </w:r>
    </w:p>
    <w:p w14:paraId="5BD26748" w14:textId="2E109381"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 xml:space="preserve">Fieldwork was carried out to obtain representative spectral curves of major lithological units. Measurements were conducted using a field spectroradiometer covering the visible–near and short-wave infrared ranges, with a </w:t>
      </w:r>
      <w:proofErr w:type="spellStart"/>
      <w:r w:rsidRPr="00BA245D">
        <w:rPr>
          <w:rFonts w:cs="Times New Roman"/>
          <w:sz w:val="20"/>
          <w:szCs w:val="20"/>
          <w:lang w:val="en-US"/>
        </w:rPr>
        <w:t>Spectralon</w:t>
      </w:r>
      <w:proofErr w:type="spellEnd"/>
      <w:r w:rsidRPr="00BA245D">
        <w:rPr>
          <w:rFonts w:cs="Times New Roman"/>
          <w:sz w:val="20"/>
          <w:szCs w:val="20"/>
          <w:lang w:val="en-US"/>
        </w:rPr>
        <w:t xml:space="preserve"> white reference panel used for calibration before each measurement series.</w:t>
      </w:r>
      <w:r w:rsidR="00AC754D">
        <w:rPr>
          <w:rFonts w:cs="Times New Roman"/>
          <w:sz w:val="20"/>
          <w:szCs w:val="20"/>
          <w:lang w:val="en-US"/>
        </w:rPr>
        <w:t>[4]</w:t>
      </w:r>
    </w:p>
    <w:p w14:paraId="31D12314"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At each site, 10–15 spectral readings were recorded and averaged to minimize variability. Shadows, surface moisture, and glare were carefully avoided. Coordinates, time, and environmental conditions (solar elevation, cloud cover, surface state) were documented for each observation.</w:t>
      </w:r>
    </w:p>
    <w:p w14:paraId="3F3B7BA6" w14:textId="77777777"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Outliers and noisy spectra were excluded. The resulting spectral curves were filtered and smoothed as necessary without distorting diagnostic absorption features, normalized within the 0.4–2.5 µm range, and analyzed for characteristic bands indicative of carbonates, clays, and iron-bearing minerals.</w:t>
      </w:r>
    </w:p>
    <w:p w14:paraId="680370C9" w14:textId="05E1FE72" w:rsid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Spectral Indices and Mineral Mapping</w:t>
      </w:r>
    </w:p>
    <w:p w14:paraId="670AB4EC"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To delineate hydrothermal alteration zones, several diagnostic indices derived from ASTER bands were computed using band-math operations in ENVI:</w:t>
      </w:r>
    </w:p>
    <w:p w14:paraId="20CB9CC6"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Carbonate–Chlorite–Epidote Index (CCE): (Band 7 + Band 9) / Band 8;</w:t>
      </w:r>
    </w:p>
    <w:p w14:paraId="3E4A2601"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Epidote–Amphibole–Chlorite Index (EAC): (Band 6 + Band 9) + (Band 7 + Band 8);</w:t>
      </w:r>
    </w:p>
    <w:p w14:paraId="3DA0D88B"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Amphibole–</w:t>
      </w:r>
      <w:proofErr w:type="spellStart"/>
      <w:r w:rsidRPr="00BA245D">
        <w:rPr>
          <w:rFonts w:cs="Times New Roman"/>
          <w:sz w:val="20"/>
          <w:szCs w:val="20"/>
          <w:lang w:val="en-US"/>
        </w:rPr>
        <w:t>MgOH</w:t>
      </w:r>
      <w:proofErr w:type="spellEnd"/>
      <w:r w:rsidRPr="00BA245D">
        <w:rPr>
          <w:rFonts w:cs="Times New Roman"/>
          <w:sz w:val="20"/>
          <w:szCs w:val="20"/>
          <w:lang w:val="en-US"/>
        </w:rPr>
        <w:t xml:space="preserve"> Index (AM): (Band 6 + Band 9) / Band 8;</w:t>
      </w:r>
    </w:p>
    <w:p w14:paraId="5EA020B7" w14:textId="1E84E565"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Alunite–Kaolinite–Pyrophyllite Index (AKP): (Band 4 + Band 6) / Band 5.</w:t>
      </w:r>
    </w:p>
    <w:p w14:paraId="4013EC9D" w14:textId="04E9258E"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These indices served as proxies for hydrothermal and metasomatic alteration processes and were spatially correlated with structural and lithological maps</w:t>
      </w:r>
      <w:r w:rsidR="00CD606A">
        <w:rPr>
          <w:rFonts w:cs="Times New Roman"/>
          <w:sz w:val="20"/>
          <w:szCs w:val="20"/>
          <w:lang w:val="en-US"/>
        </w:rPr>
        <w:t xml:space="preserve"> </w:t>
      </w:r>
      <w:r w:rsidR="00AC754D">
        <w:rPr>
          <w:rFonts w:cs="Times New Roman"/>
          <w:sz w:val="20"/>
          <w:szCs w:val="20"/>
          <w:lang w:val="en-US"/>
        </w:rPr>
        <w:t>[6,7]</w:t>
      </w:r>
    </w:p>
    <w:p w14:paraId="57691E99" w14:textId="3966D0A2" w:rsid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Spectral Matching and Supervised Classification</w:t>
      </w:r>
    </w:p>
    <w:p w14:paraId="76C7AC12"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To establish quantitative links between field and satellite data, spectral matching algorithms such as Spectral Angle Mapper (SAM) and Spectral Information Divergence (SID) were applied.</w:t>
      </w:r>
    </w:p>
    <w:p w14:paraId="6C365B0F" w14:textId="501A4A19"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Field-verified spectral signatures were used to define training polygons representing lithological and alteration classes.</w:t>
      </w:r>
    </w:p>
    <w:p w14:paraId="7C503339" w14:textId="4669D19D"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Supervised classification using Support Vector Machine (SVM) and Random Forest (RF) algorithms was implemented on VNIR–SWIR ASTER data. Post-classification refinement included morphological and modal filtering to remove noise and improve boundary coherence.</w:t>
      </w:r>
      <w:r w:rsidR="00AC754D">
        <w:rPr>
          <w:rFonts w:cs="Times New Roman"/>
          <w:sz w:val="20"/>
          <w:szCs w:val="20"/>
          <w:lang w:val="en-US"/>
        </w:rPr>
        <w:t>[8]</w:t>
      </w:r>
    </w:p>
    <w:p w14:paraId="2BCA1DC0" w14:textId="2EA18531" w:rsid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Structural Analysis</w:t>
      </w:r>
    </w:p>
    <w:p w14:paraId="03E414F6" w14:textId="308BD91E"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Structural features (faults, fractures, and ring structures) were delineated using both visual interpretation and semi-automated lineament extraction techniques. Edge-detection filters (Sobel and Kirsch) and shaded-relief transformations were used to enhance linear and circular features.</w:t>
      </w:r>
      <w:r w:rsidR="00AC754D">
        <w:rPr>
          <w:rFonts w:cs="Times New Roman"/>
          <w:sz w:val="20"/>
          <w:szCs w:val="20"/>
          <w:lang w:val="en-US"/>
        </w:rPr>
        <w:t>[6]</w:t>
      </w:r>
    </w:p>
    <w:p w14:paraId="6004DC69" w14:textId="77777777"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Lineament density maps were analyzed to reveal structural controls on hydrothermal alteration zones.</w:t>
      </w:r>
    </w:p>
    <w:p w14:paraId="35888714" w14:textId="7F26F68F" w:rsid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Validation and Accuracy Assessment</w:t>
      </w:r>
    </w:p>
    <w:p w14:paraId="51B2E96C"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lastRenderedPageBreak/>
        <w:t>An independent validation dataset was compiled from field checkpoints and laboratory-confirmed rock samples. Accuracy metrics, including error matrix, overall accuracy (OA), Kappa coefficient (κ), and class-specific user’s and producer’s accuracies, were calculated.</w:t>
      </w:r>
    </w:p>
    <w:p w14:paraId="57B1C84C" w14:textId="4A896A55"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Expert geological evaluation of classified boundaries was performed considering geomorphological context and reference outcrops.</w:t>
      </w:r>
      <w:r w:rsidR="00AC754D">
        <w:rPr>
          <w:rFonts w:cs="Times New Roman"/>
          <w:sz w:val="20"/>
          <w:szCs w:val="20"/>
          <w:lang w:val="en-US"/>
        </w:rPr>
        <w:t>[5]</w:t>
      </w:r>
    </w:p>
    <w:p w14:paraId="5A5DF34F" w14:textId="47AB5937" w:rsid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Data Integration and Output Products</w:t>
      </w:r>
    </w:p>
    <w:p w14:paraId="614C0686"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The final outputs included:</w:t>
      </w:r>
    </w:p>
    <w:p w14:paraId="3CA320F1"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A thematic lithological and alteration map showing carbonate, terrigenous, clay, sand–clay, Quaternary, and hydrothermal alteration zones;</w:t>
      </w:r>
    </w:p>
    <w:p w14:paraId="5933845B"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 xml:space="preserve">GIS-ready datasets (classified </w:t>
      </w:r>
      <w:proofErr w:type="spellStart"/>
      <w:r w:rsidRPr="00BA245D">
        <w:rPr>
          <w:rFonts w:cs="Times New Roman"/>
          <w:sz w:val="20"/>
          <w:szCs w:val="20"/>
          <w:lang w:val="en-US"/>
        </w:rPr>
        <w:t>rasters</w:t>
      </w:r>
      <w:proofErr w:type="spellEnd"/>
      <w:r w:rsidRPr="00BA245D">
        <w:rPr>
          <w:rFonts w:cs="Times New Roman"/>
          <w:sz w:val="20"/>
          <w:szCs w:val="20"/>
          <w:lang w:val="en-US"/>
        </w:rPr>
        <w:t>, vector boundaries, and metadata files);</w:t>
      </w:r>
    </w:p>
    <w:p w14:paraId="286989DA" w14:textId="77777777" w:rsidR="00BA245D" w:rsidRP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Documentation of QA/QC logs, calibration data, and preprocessing records.</w:t>
      </w:r>
    </w:p>
    <w:p w14:paraId="73DA2E28" w14:textId="77777777"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All datasets were integrated within a GIS environment for visualization, analysis, and further geochemical correlation.</w:t>
      </w:r>
    </w:p>
    <w:p w14:paraId="1429BD0E" w14:textId="418B436B" w:rsidR="00BA245D" w:rsidRDefault="00BA245D" w:rsidP="00CD606A">
      <w:pPr>
        <w:spacing w:after="0"/>
        <w:ind w:firstLine="284"/>
        <w:jc w:val="both"/>
        <w:rPr>
          <w:rFonts w:cs="Times New Roman"/>
          <w:b/>
          <w:bCs/>
          <w:sz w:val="20"/>
          <w:szCs w:val="20"/>
          <w:lang w:val="en-US"/>
        </w:rPr>
      </w:pPr>
      <w:r w:rsidRPr="00BA245D">
        <w:rPr>
          <w:rFonts w:cs="Times New Roman"/>
          <w:b/>
          <w:bCs/>
          <w:sz w:val="20"/>
          <w:szCs w:val="20"/>
          <w:lang w:val="en-US"/>
        </w:rPr>
        <w:t>Quality Control</w:t>
      </w:r>
    </w:p>
    <w:p w14:paraId="204673C4" w14:textId="16A63C56" w:rsidR="00BA245D" w:rsidRDefault="00BA245D" w:rsidP="00CD606A">
      <w:pPr>
        <w:spacing w:after="0"/>
        <w:ind w:firstLine="284"/>
        <w:jc w:val="both"/>
        <w:rPr>
          <w:rFonts w:cs="Times New Roman"/>
          <w:sz w:val="20"/>
          <w:szCs w:val="20"/>
          <w:lang w:val="en-US"/>
        </w:rPr>
      </w:pPr>
      <w:r w:rsidRPr="00BA245D">
        <w:rPr>
          <w:rFonts w:cs="Times New Roman"/>
          <w:sz w:val="20"/>
          <w:szCs w:val="20"/>
          <w:lang w:val="en-US"/>
        </w:rPr>
        <w:t>All measurements were performed under stable illumination with minimal atmospheric interference. ASTER scenes with low water vapor content were prioritized. Data quality was monitored through calibration records, outlier rejection protocols, and consistency checks across instruments and datasets.</w:t>
      </w:r>
    </w:p>
    <w:p w14:paraId="7659D8CF" w14:textId="3C1B02F7" w:rsidR="0010127A" w:rsidRPr="00274998" w:rsidRDefault="00BB14B9" w:rsidP="00CD606A">
      <w:pPr>
        <w:spacing w:before="240" w:after="240"/>
        <w:jc w:val="center"/>
        <w:rPr>
          <w:rFonts w:cs="Times New Roman"/>
          <w:b/>
          <w:bCs/>
          <w:sz w:val="24"/>
          <w:szCs w:val="24"/>
          <w:lang w:val="en-US"/>
        </w:rPr>
      </w:pPr>
      <w:r w:rsidRPr="00274998">
        <w:rPr>
          <w:rFonts w:cs="Times New Roman"/>
          <w:b/>
          <w:bCs/>
          <w:sz w:val="24"/>
          <w:szCs w:val="24"/>
          <w:lang w:val="en-US"/>
        </w:rPr>
        <w:t>RESULTS AND DISCUSSION</w:t>
      </w:r>
    </w:p>
    <w:p w14:paraId="6FDF6546" w14:textId="5A60CB51" w:rsidR="0010127A" w:rsidRPr="00CD606A" w:rsidRDefault="0010127A" w:rsidP="00CD606A">
      <w:pPr>
        <w:spacing w:after="0"/>
        <w:ind w:firstLine="284"/>
        <w:jc w:val="both"/>
        <w:rPr>
          <w:rFonts w:cs="Times New Roman"/>
          <w:b/>
          <w:bCs/>
          <w:sz w:val="20"/>
          <w:szCs w:val="20"/>
          <w:lang w:val="en-US"/>
        </w:rPr>
      </w:pPr>
      <w:r w:rsidRPr="00CD606A">
        <w:rPr>
          <w:rFonts w:cs="Times New Roman"/>
          <w:b/>
          <w:bCs/>
          <w:sz w:val="20"/>
          <w:szCs w:val="20"/>
          <w:lang w:val="en-US"/>
        </w:rPr>
        <w:t>Structural Features and Tectonic Setting</w:t>
      </w:r>
    </w:p>
    <w:p w14:paraId="683D13CE" w14:textId="0BDED420"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The</w:t>
      </w:r>
      <w:r w:rsidR="00274998" w:rsidRPr="00CD606A">
        <w:rPr>
          <w:rFonts w:cs="Times New Roman"/>
          <w:sz w:val="20"/>
          <w:szCs w:val="20"/>
          <w:lang w:val="en-US"/>
        </w:rPr>
        <w:t xml:space="preserve"> </w:t>
      </w:r>
      <w:proofErr w:type="spellStart"/>
      <w:r w:rsidRPr="00CD606A">
        <w:rPr>
          <w:rFonts w:cs="Times New Roman"/>
          <w:sz w:val="20"/>
          <w:szCs w:val="20"/>
          <w:lang w:val="en-US"/>
        </w:rPr>
        <w:t>Boboshil</w:t>
      </w:r>
      <w:proofErr w:type="spellEnd"/>
      <w:r w:rsidRPr="00CD606A">
        <w:rPr>
          <w:rFonts w:cs="Times New Roman"/>
          <w:sz w:val="20"/>
          <w:szCs w:val="20"/>
          <w:lang w:val="en-US"/>
        </w:rPr>
        <w:t xml:space="preserve"> prospective area, located within the Southern Nurata Mountains, is characterized by a complex geological framework consisting of Paleozoic metamorphic and magmatic rocks. The area is dissected by numerous faults, folds, and ring structures, which have significantly influenced the localization of mineralization.</w:t>
      </w:r>
    </w:p>
    <w:p w14:paraId="0A2DBCE7" w14:textId="77777777"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Remote sensing data revealed dominant NW–SE and NE–SW trending fault systems, with ring-shaped and arcuate structures superimposed on them. These features are interpreted as zones of intensive hydrothermal alteration and deformation, which correspond spatially to gold-bearing and polymetallic mineralization zones identified during fieldwork.</w:t>
      </w:r>
    </w:p>
    <w:p w14:paraId="17B48F16" w14:textId="0CE40FB3"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 xml:space="preserve">The lineament density map generated using Sobel and Kirsch edge-detection filters indicates higher structural intensity near the </w:t>
      </w:r>
      <w:proofErr w:type="spellStart"/>
      <w:r w:rsidRPr="00CD606A">
        <w:rPr>
          <w:rFonts w:cs="Times New Roman"/>
          <w:sz w:val="20"/>
          <w:szCs w:val="20"/>
          <w:lang w:val="en-US"/>
        </w:rPr>
        <w:t>Boboshil</w:t>
      </w:r>
      <w:proofErr w:type="spellEnd"/>
      <w:r w:rsidRPr="00CD606A">
        <w:rPr>
          <w:rFonts w:cs="Times New Roman"/>
          <w:sz w:val="20"/>
          <w:szCs w:val="20"/>
          <w:lang w:val="en-US"/>
        </w:rPr>
        <w:t xml:space="preserve">, </w:t>
      </w:r>
      <w:proofErr w:type="spellStart"/>
      <w:r w:rsidRPr="00CD606A">
        <w:rPr>
          <w:rFonts w:cs="Times New Roman"/>
          <w:sz w:val="20"/>
          <w:szCs w:val="20"/>
          <w:lang w:val="en-US"/>
        </w:rPr>
        <w:t>Boshtut</w:t>
      </w:r>
      <w:proofErr w:type="spellEnd"/>
      <w:r w:rsidRPr="00CD606A">
        <w:rPr>
          <w:rFonts w:cs="Times New Roman"/>
          <w:sz w:val="20"/>
          <w:szCs w:val="20"/>
          <w:lang w:val="en-US"/>
        </w:rPr>
        <w:t xml:space="preserve">, and </w:t>
      </w:r>
      <w:proofErr w:type="spellStart"/>
      <w:r w:rsidRPr="00CD606A">
        <w:rPr>
          <w:rFonts w:cs="Times New Roman"/>
          <w:sz w:val="20"/>
          <w:szCs w:val="20"/>
          <w:lang w:val="en-US"/>
        </w:rPr>
        <w:t>Boshmachit</w:t>
      </w:r>
      <w:proofErr w:type="spellEnd"/>
      <w:r w:rsidRPr="00CD606A">
        <w:rPr>
          <w:rFonts w:cs="Times New Roman"/>
          <w:sz w:val="20"/>
          <w:szCs w:val="20"/>
          <w:lang w:val="en-US"/>
        </w:rPr>
        <w:t xml:space="preserve"> sites, suggesting a strong tectonic control over mineral deposition.</w:t>
      </w:r>
      <w:r w:rsidR="00AC754D" w:rsidRPr="00CD606A">
        <w:rPr>
          <w:rFonts w:cs="Times New Roman"/>
          <w:sz w:val="20"/>
          <w:szCs w:val="20"/>
          <w:lang w:val="en-US"/>
        </w:rPr>
        <w:t>[7]</w:t>
      </w:r>
    </w:p>
    <w:p w14:paraId="04E1F612" w14:textId="33AF7448" w:rsidR="0010127A" w:rsidRPr="00CD606A" w:rsidRDefault="0010127A" w:rsidP="00CD606A">
      <w:pPr>
        <w:spacing w:after="0"/>
        <w:ind w:firstLine="284"/>
        <w:jc w:val="both"/>
        <w:rPr>
          <w:rFonts w:cs="Times New Roman"/>
          <w:b/>
          <w:bCs/>
          <w:sz w:val="20"/>
          <w:szCs w:val="20"/>
          <w:lang w:val="en-US"/>
        </w:rPr>
      </w:pPr>
      <w:r w:rsidRPr="00CD606A">
        <w:rPr>
          <w:rFonts w:cs="Times New Roman"/>
          <w:b/>
          <w:bCs/>
          <w:sz w:val="20"/>
          <w:szCs w:val="20"/>
          <w:lang w:val="en-US"/>
        </w:rPr>
        <w:t>Spectral Characteristics of Alteration Zones</w:t>
      </w:r>
    </w:p>
    <w:p w14:paraId="6BA9B10E" w14:textId="77777777"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Spectral analysis of ASTER data provided valuable insights into the distribution of alteration minerals associated with gold mineralization.</w:t>
      </w:r>
    </w:p>
    <w:p w14:paraId="67FA5FD8" w14:textId="77777777"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Key results include:</w:t>
      </w:r>
    </w:p>
    <w:p w14:paraId="0B3BC1C1" w14:textId="72336EEB"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Carbonate–Chlorite–Epidote zones [(7+9)/8 index] were identified mainly along tectonic faults, representing hydrothermal metasomatic processes. These zones coincide with intrusive contacts and metasomatic halos visible on geological maps.</w:t>
      </w:r>
      <w:r w:rsidR="00AC754D" w:rsidRPr="00CD606A">
        <w:rPr>
          <w:rFonts w:cs="Times New Roman"/>
          <w:sz w:val="20"/>
          <w:szCs w:val="20"/>
          <w:lang w:val="en-US"/>
        </w:rPr>
        <w:t>[6]</w:t>
      </w:r>
    </w:p>
    <w:p w14:paraId="0E84CC41" w14:textId="074D20FE"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Epidote–Amphibole–Chlorite assemblages [(6+9)</w:t>
      </w:r>
      <w:r w:rsidR="00F22678" w:rsidRPr="00CD606A">
        <w:rPr>
          <w:rFonts w:cs="Times New Roman"/>
          <w:sz w:val="20"/>
          <w:szCs w:val="20"/>
          <w:lang w:val="en-US"/>
        </w:rPr>
        <w:t xml:space="preserve"> </w:t>
      </w:r>
      <w:r w:rsidRPr="00CD606A">
        <w:rPr>
          <w:rFonts w:cs="Times New Roman"/>
          <w:sz w:val="20"/>
          <w:szCs w:val="20"/>
          <w:lang w:val="en-US"/>
        </w:rPr>
        <w:t>+(7+8)] are closely related to regional shear zones and hydrothermal conduits. These mineral associations indicate the propylitic alteration stage, typically found in the outer zones of gold-bearing systems.</w:t>
      </w:r>
      <w:r w:rsidR="00AC754D" w:rsidRPr="00CD606A">
        <w:rPr>
          <w:rFonts w:cs="Times New Roman"/>
          <w:sz w:val="20"/>
          <w:szCs w:val="20"/>
          <w:lang w:val="en-US"/>
        </w:rPr>
        <w:t>[8]</w:t>
      </w:r>
    </w:p>
    <w:p w14:paraId="179C8380" w14:textId="77777777"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Amphibole–</w:t>
      </w:r>
      <w:proofErr w:type="spellStart"/>
      <w:r w:rsidRPr="00CD606A">
        <w:rPr>
          <w:rFonts w:cs="Times New Roman"/>
          <w:sz w:val="20"/>
          <w:szCs w:val="20"/>
          <w:lang w:val="en-US"/>
        </w:rPr>
        <w:t>MgOH</w:t>
      </w:r>
      <w:proofErr w:type="spellEnd"/>
      <w:r w:rsidRPr="00CD606A">
        <w:rPr>
          <w:rFonts w:cs="Times New Roman"/>
          <w:sz w:val="20"/>
          <w:szCs w:val="20"/>
          <w:lang w:val="en-US"/>
        </w:rPr>
        <w:t xml:space="preserve"> zones [(6+9)/8 index] correspond to metamorphic aureoles around intrusive bodies, confirming the contact-metasomatic nature of the processes.</w:t>
      </w:r>
    </w:p>
    <w:p w14:paraId="6A6D8D94" w14:textId="44D06918"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Alunite–Kaolinite–Pyrophyllite zones [(4+6)/5 index] were detected in the southwestern and central parts of the study area, indicating advanced argillic alteration typical of high-sulfidation epithermal environments.</w:t>
      </w:r>
      <w:r w:rsidR="00AC754D" w:rsidRPr="00CD606A">
        <w:rPr>
          <w:rFonts w:cs="Times New Roman"/>
          <w:sz w:val="20"/>
          <w:szCs w:val="20"/>
          <w:lang w:val="en-US"/>
        </w:rPr>
        <w:t>[5]</w:t>
      </w:r>
    </w:p>
    <w:p w14:paraId="07DD5CEE" w14:textId="77777777" w:rsidR="0010127A" w:rsidRPr="00CD606A" w:rsidRDefault="0010127A" w:rsidP="00CD606A">
      <w:pPr>
        <w:spacing w:after="0"/>
        <w:ind w:firstLine="284"/>
        <w:jc w:val="both"/>
        <w:rPr>
          <w:rFonts w:cs="Times New Roman"/>
          <w:sz w:val="20"/>
          <w:szCs w:val="20"/>
          <w:lang w:val="en-US"/>
        </w:rPr>
      </w:pPr>
      <w:r w:rsidRPr="00CD606A">
        <w:rPr>
          <w:rFonts w:cs="Times New Roman"/>
          <w:sz w:val="20"/>
          <w:szCs w:val="20"/>
          <w:lang w:val="en-US"/>
        </w:rPr>
        <w:t>The combination of these indices provides a reliable criterion for delineating potentially mineralized zones. The spectral results show a clear correlation between hydrothermal alterations and structural zones of deformation, which are the primary pathways for ore-bearing fluids.</w:t>
      </w:r>
    </w:p>
    <w:p w14:paraId="5242DB18" w14:textId="6F5BAD35" w:rsidR="0010127A" w:rsidRPr="00CD606A" w:rsidRDefault="0010127A" w:rsidP="00CD606A">
      <w:pPr>
        <w:spacing w:after="0"/>
        <w:ind w:firstLine="284"/>
        <w:jc w:val="both"/>
        <w:rPr>
          <w:rFonts w:cs="Times New Roman"/>
          <w:b/>
          <w:bCs/>
          <w:sz w:val="20"/>
          <w:szCs w:val="20"/>
          <w:lang w:val="en-US"/>
        </w:rPr>
      </w:pPr>
      <w:r w:rsidRPr="00CD606A">
        <w:rPr>
          <w:rFonts w:cs="Times New Roman"/>
          <w:b/>
          <w:bCs/>
          <w:sz w:val="20"/>
          <w:szCs w:val="20"/>
          <w:lang w:val="en-US"/>
        </w:rPr>
        <w:t>Integration with Geological and Geochemical Data</w:t>
      </w:r>
    </w:p>
    <w:p w14:paraId="45E0E9FD" w14:textId="0F141495" w:rsidR="00F22678" w:rsidRPr="00CD606A" w:rsidRDefault="00F22678" w:rsidP="00CD606A">
      <w:pPr>
        <w:spacing w:after="0"/>
        <w:ind w:firstLine="284"/>
        <w:jc w:val="both"/>
        <w:rPr>
          <w:rFonts w:cs="Times New Roman"/>
          <w:sz w:val="20"/>
          <w:szCs w:val="20"/>
          <w:lang w:val="en-US"/>
        </w:rPr>
      </w:pPr>
      <w:r w:rsidRPr="00CD606A">
        <w:rPr>
          <w:rFonts w:cs="Times New Roman"/>
          <w:sz w:val="20"/>
          <w:szCs w:val="20"/>
          <w:lang w:val="en-US"/>
        </w:rPr>
        <w:t>The integration of remote sensing results with field geological and laboratory data confirmed the genetic relationship between hydrothermal and magmatic processes. Areas of rock bleaching, detected primarily in ASTER band 7 (2.23–2.28 µm), coincide with contact-metamorphic zones and show elevated concentrations of gold, silver, and rare-earth elements in sample analyses.</w:t>
      </w:r>
      <w:r w:rsidR="00362708" w:rsidRPr="00CD606A">
        <w:rPr>
          <w:rFonts w:cs="Times New Roman"/>
          <w:sz w:val="20"/>
          <w:szCs w:val="20"/>
          <w:lang w:val="en-US"/>
        </w:rPr>
        <w:t>[6]</w:t>
      </w:r>
    </w:p>
    <w:p w14:paraId="607D691F" w14:textId="77777777" w:rsidR="00F22678" w:rsidRPr="00CD606A" w:rsidRDefault="00F22678" w:rsidP="00CD606A">
      <w:pPr>
        <w:spacing w:after="0"/>
        <w:ind w:firstLine="284"/>
        <w:jc w:val="both"/>
        <w:rPr>
          <w:rFonts w:cs="Times New Roman"/>
          <w:sz w:val="20"/>
          <w:szCs w:val="20"/>
          <w:lang w:val="en-US"/>
        </w:rPr>
      </w:pPr>
      <w:r w:rsidRPr="00CD606A">
        <w:rPr>
          <w:rFonts w:cs="Times New Roman"/>
          <w:sz w:val="20"/>
          <w:szCs w:val="20"/>
          <w:lang w:val="en-US"/>
        </w:rPr>
        <w:lastRenderedPageBreak/>
        <w:t>Field observations revealed that carbonaceous quartzites and mica-quartz schists of the Middle Cambrian–Lower Ordovician age underwent intense thermal alteration near intrusive bodies, leading to partial combustion of carbon and visible rock lightening. These zones are interpreted as ore-bearing halos, marking areas of potential mineralization.</w:t>
      </w:r>
    </w:p>
    <w:p w14:paraId="4636BEC6" w14:textId="0B967455" w:rsidR="00F22678" w:rsidRPr="00CD606A" w:rsidRDefault="00F22678" w:rsidP="00CD606A">
      <w:pPr>
        <w:spacing w:after="0"/>
        <w:ind w:firstLine="284"/>
        <w:jc w:val="both"/>
        <w:rPr>
          <w:rFonts w:cs="Times New Roman"/>
          <w:b/>
          <w:bCs/>
          <w:sz w:val="20"/>
          <w:szCs w:val="20"/>
          <w:lang w:val="en-US"/>
        </w:rPr>
      </w:pPr>
      <w:r w:rsidRPr="00CD606A">
        <w:rPr>
          <w:rFonts w:cs="Times New Roman"/>
          <w:b/>
          <w:bCs/>
          <w:sz w:val="20"/>
          <w:szCs w:val="20"/>
          <w:lang w:val="en-US"/>
        </w:rPr>
        <w:t>Identification of Promising Areas</w:t>
      </w:r>
    </w:p>
    <w:p w14:paraId="3D419D14" w14:textId="77777777" w:rsidR="00F22678" w:rsidRPr="00CD606A" w:rsidRDefault="00F22678" w:rsidP="00CD606A">
      <w:pPr>
        <w:spacing w:after="0"/>
        <w:ind w:firstLine="284"/>
        <w:jc w:val="both"/>
        <w:rPr>
          <w:rFonts w:cs="Times New Roman"/>
          <w:sz w:val="20"/>
          <w:szCs w:val="20"/>
          <w:lang w:val="en-US"/>
        </w:rPr>
      </w:pPr>
      <w:r w:rsidRPr="00CD606A">
        <w:rPr>
          <w:rFonts w:cs="Times New Roman"/>
          <w:sz w:val="20"/>
          <w:szCs w:val="20"/>
          <w:lang w:val="en-US"/>
        </w:rPr>
        <w:t xml:space="preserve">Based on the integration of spectral, structural, and field data, several prospective zones were delineated within the </w:t>
      </w:r>
      <w:proofErr w:type="spellStart"/>
      <w:r w:rsidRPr="00CD606A">
        <w:rPr>
          <w:rFonts w:cs="Times New Roman"/>
          <w:sz w:val="20"/>
          <w:szCs w:val="20"/>
          <w:lang w:val="en-US"/>
        </w:rPr>
        <w:t>Boboshil</w:t>
      </w:r>
      <w:proofErr w:type="spellEnd"/>
      <w:r w:rsidRPr="00CD606A">
        <w:rPr>
          <w:rFonts w:cs="Times New Roman"/>
          <w:sz w:val="20"/>
          <w:szCs w:val="20"/>
          <w:lang w:val="en-US"/>
        </w:rPr>
        <w:t xml:space="preserve"> area:</w:t>
      </w:r>
    </w:p>
    <w:p w14:paraId="1933D85E" w14:textId="77777777" w:rsidR="00F22678" w:rsidRPr="00CD606A" w:rsidRDefault="00F22678" w:rsidP="00CD606A">
      <w:pPr>
        <w:spacing w:after="0"/>
        <w:ind w:firstLine="284"/>
        <w:jc w:val="both"/>
        <w:rPr>
          <w:rFonts w:cs="Times New Roman"/>
          <w:sz w:val="20"/>
          <w:szCs w:val="20"/>
          <w:lang w:val="en-US"/>
        </w:rPr>
      </w:pPr>
      <w:proofErr w:type="spellStart"/>
      <w:r w:rsidRPr="00CD606A">
        <w:rPr>
          <w:rFonts w:cs="Times New Roman"/>
          <w:sz w:val="20"/>
          <w:szCs w:val="20"/>
          <w:lang w:val="en-US"/>
        </w:rPr>
        <w:t>Boboshil</w:t>
      </w:r>
      <w:proofErr w:type="spellEnd"/>
      <w:r w:rsidRPr="00CD606A">
        <w:rPr>
          <w:rFonts w:cs="Times New Roman"/>
          <w:sz w:val="20"/>
          <w:szCs w:val="20"/>
          <w:lang w:val="en-US"/>
        </w:rPr>
        <w:t xml:space="preserve"> Block – characterized by carbonate-chlorite-epidote alteration with strong structural control and elevated gold anomalies;</w:t>
      </w:r>
    </w:p>
    <w:p w14:paraId="7500484A" w14:textId="77777777" w:rsidR="00F22678" w:rsidRPr="00CD606A" w:rsidRDefault="00F22678" w:rsidP="00CD606A">
      <w:pPr>
        <w:spacing w:after="0"/>
        <w:ind w:firstLine="284"/>
        <w:jc w:val="both"/>
        <w:rPr>
          <w:rFonts w:cs="Times New Roman"/>
          <w:sz w:val="20"/>
          <w:szCs w:val="20"/>
          <w:lang w:val="en-US"/>
        </w:rPr>
      </w:pPr>
      <w:proofErr w:type="spellStart"/>
      <w:r w:rsidRPr="00CD606A">
        <w:rPr>
          <w:rFonts w:cs="Times New Roman"/>
          <w:sz w:val="20"/>
          <w:szCs w:val="20"/>
          <w:lang w:val="en-US"/>
        </w:rPr>
        <w:t>Boshtut</w:t>
      </w:r>
      <w:proofErr w:type="spellEnd"/>
      <w:r w:rsidRPr="00CD606A">
        <w:rPr>
          <w:rFonts w:cs="Times New Roman"/>
          <w:sz w:val="20"/>
          <w:szCs w:val="20"/>
          <w:lang w:val="en-US"/>
        </w:rPr>
        <w:t xml:space="preserve"> Site – dominated by alunite-kaolinite-pyrophyllite alterations, suggesting near-surface epithermal mineralization;</w:t>
      </w:r>
    </w:p>
    <w:p w14:paraId="3E1D4B6D" w14:textId="26E23D4A" w:rsidR="0010127A" w:rsidRPr="00CD606A" w:rsidRDefault="00F22678" w:rsidP="00CD606A">
      <w:pPr>
        <w:spacing w:after="0"/>
        <w:ind w:firstLine="284"/>
        <w:jc w:val="both"/>
        <w:rPr>
          <w:rFonts w:cs="Times New Roman"/>
          <w:sz w:val="20"/>
          <w:szCs w:val="20"/>
          <w:lang w:val="en-US"/>
        </w:rPr>
      </w:pPr>
      <w:proofErr w:type="spellStart"/>
      <w:r w:rsidRPr="00CD606A">
        <w:rPr>
          <w:rFonts w:cs="Times New Roman"/>
          <w:sz w:val="20"/>
          <w:szCs w:val="20"/>
          <w:lang w:val="en-US"/>
        </w:rPr>
        <w:t>Boshmachit</w:t>
      </w:r>
      <w:proofErr w:type="spellEnd"/>
      <w:r w:rsidRPr="00CD606A">
        <w:rPr>
          <w:rFonts w:cs="Times New Roman"/>
          <w:sz w:val="20"/>
          <w:szCs w:val="20"/>
          <w:lang w:val="en-US"/>
        </w:rPr>
        <w:t xml:space="preserve"> Zone – marked by amphibole-</w:t>
      </w:r>
      <w:proofErr w:type="spellStart"/>
      <w:r w:rsidRPr="00CD606A">
        <w:rPr>
          <w:rFonts w:cs="Times New Roman"/>
          <w:sz w:val="20"/>
          <w:szCs w:val="20"/>
          <w:lang w:val="en-US"/>
        </w:rPr>
        <w:t>MgOH</w:t>
      </w:r>
      <w:proofErr w:type="spellEnd"/>
      <w:r w:rsidRPr="00CD606A">
        <w:rPr>
          <w:rFonts w:cs="Times New Roman"/>
          <w:sz w:val="20"/>
          <w:szCs w:val="20"/>
          <w:lang w:val="en-US"/>
        </w:rPr>
        <w:t xml:space="preserve"> signatures and metasomatic halos near intrusive contacts.</w:t>
      </w:r>
    </w:p>
    <w:p w14:paraId="7AB43106" w14:textId="77777777" w:rsidR="008608AB" w:rsidRPr="00CD606A" w:rsidRDefault="008608AB" w:rsidP="00CD606A">
      <w:pPr>
        <w:spacing w:after="0"/>
        <w:ind w:firstLine="284"/>
        <w:jc w:val="both"/>
        <w:rPr>
          <w:rFonts w:cs="Times New Roman"/>
          <w:sz w:val="20"/>
          <w:szCs w:val="20"/>
          <w:lang w:val="en-US"/>
        </w:rPr>
      </w:pPr>
    </w:p>
    <w:p w14:paraId="181B89C4" w14:textId="5E1203D6" w:rsidR="00AE29C9" w:rsidRPr="00CD606A" w:rsidRDefault="000C6DCA" w:rsidP="00CD606A">
      <w:pPr>
        <w:spacing w:after="0"/>
        <w:jc w:val="center"/>
        <w:rPr>
          <w:rFonts w:cs="Times New Roman"/>
          <w:sz w:val="20"/>
          <w:szCs w:val="20"/>
          <w:lang w:val="en-US"/>
        </w:rPr>
      </w:pPr>
      <w:r w:rsidRPr="00CD606A">
        <w:rPr>
          <w:rFonts w:cs="Times New Roman"/>
          <w:noProof/>
          <w:sz w:val="20"/>
          <w:szCs w:val="20"/>
          <w:lang w:val="en-US"/>
        </w:rPr>
        <w:drawing>
          <wp:inline distT="0" distB="0" distL="0" distR="0" wp14:anchorId="742A1B74" wp14:editId="2023B18E">
            <wp:extent cx="5718810" cy="42652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8810" cy="4265295"/>
                    </a:xfrm>
                    <a:prstGeom prst="rect">
                      <a:avLst/>
                    </a:prstGeom>
                  </pic:spPr>
                </pic:pic>
              </a:graphicData>
            </a:graphic>
          </wp:inline>
        </w:drawing>
      </w:r>
    </w:p>
    <w:p w14:paraId="28DA0DBF" w14:textId="672E1EB9" w:rsidR="00AE29C9" w:rsidRPr="00CD606A" w:rsidRDefault="00AE29C9" w:rsidP="00CD606A">
      <w:pPr>
        <w:spacing w:after="0"/>
        <w:jc w:val="both"/>
        <w:rPr>
          <w:rFonts w:cs="Times New Roman"/>
          <w:sz w:val="20"/>
          <w:szCs w:val="20"/>
          <w:lang w:val="en-US"/>
        </w:rPr>
      </w:pPr>
      <w:r w:rsidRPr="00CD606A">
        <w:rPr>
          <w:rFonts w:cs="Times New Roman"/>
          <w:b/>
          <w:bCs/>
          <w:sz w:val="20"/>
          <w:szCs w:val="20"/>
          <w:lang w:val="en-US"/>
        </w:rPr>
        <w:t>F</w:t>
      </w:r>
      <w:r w:rsidR="007F6A78" w:rsidRPr="00CD606A">
        <w:rPr>
          <w:rFonts w:cs="Times New Roman"/>
          <w:b/>
          <w:bCs/>
          <w:sz w:val="20"/>
          <w:szCs w:val="20"/>
          <w:lang w:val="en-US"/>
        </w:rPr>
        <w:t>IGURE</w:t>
      </w:r>
      <w:r w:rsidR="00481AE3" w:rsidRPr="00CD606A">
        <w:rPr>
          <w:rFonts w:cs="Times New Roman"/>
          <w:b/>
          <w:bCs/>
          <w:sz w:val="20"/>
          <w:szCs w:val="20"/>
          <w:lang w:val="en-US"/>
        </w:rPr>
        <w:t xml:space="preserve"> </w:t>
      </w:r>
      <w:r w:rsidR="00C53CB0" w:rsidRPr="00CD606A">
        <w:rPr>
          <w:rFonts w:cs="Times New Roman"/>
          <w:b/>
          <w:bCs/>
          <w:sz w:val="20"/>
          <w:szCs w:val="20"/>
          <w:lang w:val="en-US"/>
        </w:rPr>
        <w:t>1</w:t>
      </w:r>
      <w:r w:rsidR="00481AE3" w:rsidRPr="00CD606A">
        <w:rPr>
          <w:rFonts w:cs="Times New Roman"/>
          <w:b/>
          <w:bCs/>
          <w:sz w:val="20"/>
          <w:szCs w:val="20"/>
          <w:lang w:val="en-US"/>
        </w:rPr>
        <w:t>.</w:t>
      </w:r>
      <w:r w:rsidRPr="00CD606A">
        <w:rPr>
          <w:rFonts w:cs="Times New Roman"/>
          <w:b/>
          <w:bCs/>
          <w:sz w:val="20"/>
          <w:szCs w:val="20"/>
          <w:lang w:val="en-US"/>
        </w:rPr>
        <w:t xml:space="preserve"> </w:t>
      </w:r>
      <w:r w:rsidR="00C53CB0" w:rsidRPr="00CD606A">
        <w:rPr>
          <w:rFonts w:cs="Times New Roman"/>
          <w:sz w:val="20"/>
          <w:szCs w:val="20"/>
          <w:lang w:val="en-US"/>
        </w:rPr>
        <w:t xml:space="preserve">The map is based on the reference classification of spectral measurements of rocks in the </w:t>
      </w:r>
      <w:proofErr w:type="spellStart"/>
      <w:r w:rsidR="00C53CB0" w:rsidRPr="00CD606A">
        <w:rPr>
          <w:rFonts w:cs="Times New Roman"/>
          <w:sz w:val="20"/>
          <w:szCs w:val="20"/>
          <w:lang w:val="en-US"/>
        </w:rPr>
        <w:t>Boboshil</w:t>
      </w:r>
      <w:proofErr w:type="spellEnd"/>
      <w:r w:rsidR="00C53CB0" w:rsidRPr="00CD606A">
        <w:rPr>
          <w:rFonts w:cs="Times New Roman"/>
          <w:sz w:val="20"/>
          <w:szCs w:val="20"/>
          <w:lang w:val="en-US"/>
        </w:rPr>
        <w:t xml:space="preserve"> area</w:t>
      </w:r>
    </w:p>
    <w:p w14:paraId="39986BA0" w14:textId="2D8C4D28" w:rsidR="00481AE3" w:rsidRPr="00CD606A" w:rsidRDefault="00BF7BC7" w:rsidP="00CD606A">
      <w:pPr>
        <w:spacing w:after="0"/>
        <w:ind w:firstLine="284"/>
        <w:jc w:val="both"/>
        <w:rPr>
          <w:rFonts w:cs="Times New Roman"/>
          <w:sz w:val="20"/>
          <w:szCs w:val="20"/>
          <w:lang w:val="en-US"/>
        </w:rPr>
      </w:pPr>
      <w:r w:rsidRPr="00CD606A">
        <w:rPr>
          <w:rFonts w:cs="Times New Roman"/>
          <w:sz w:val="20"/>
          <w:szCs w:val="20"/>
          <w:lang w:val="en-US"/>
        </w:rPr>
        <w:t>Legend: Classes of supervised classification</w:t>
      </w:r>
      <w:r w:rsidR="000C6DCA" w:rsidRPr="00CD606A">
        <w:rPr>
          <w:rFonts w:cs="Times New Roman"/>
          <w:sz w:val="20"/>
          <w:szCs w:val="20"/>
          <w:lang w:val="en-US"/>
        </w:rPr>
        <w:t>:</w:t>
      </w:r>
      <w:r w:rsidRPr="00CD606A">
        <w:rPr>
          <w:rFonts w:cs="Times New Roman"/>
          <w:sz w:val="20"/>
          <w:szCs w:val="20"/>
          <w:lang w:val="en-US"/>
        </w:rPr>
        <w:t xml:space="preserve"> </w:t>
      </w:r>
      <w:r w:rsidR="000C6DCA" w:rsidRPr="00CD606A">
        <w:rPr>
          <w:rFonts w:cs="Times New Roman"/>
          <w:sz w:val="20"/>
          <w:szCs w:val="20"/>
          <w:lang w:val="en-US"/>
        </w:rPr>
        <w:t>1-</w:t>
      </w:r>
      <w:r w:rsidRPr="00CD606A">
        <w:rPr>
          <w:rFonts w:cs="Times New Roman"/>
          <w:sz w:val="20"/>
          <w:szCs w:val="20"/>
          <w:lang w:val="en-US"/>
        </w:rPr>
        <w:t xml:space="preserve">Carbonate rock; </w:t>
      </w:r>
      <w:r w:rsidR="000C6DCA" w:rsidRPr="00CD606A">
        <w:rPr>
          <w:rFonts w:cs="Times New Roman"/>
          <w:sz w:val="20"/>
          <w:szCs w:val="20"/>
          <w:lang w:val="en-US"/>
        </w:rPr>
        <w:t>2-</w:t>
      </w:r>
      <w:r w:rsidRPr="00CD606A">
        <w:rPr>
          <w:rFonts w:cs="Times New Roman"/>
          <w:sz w:val="20"/>
          <w:szCs w:val="20"/>
          <w:lang w:val="en-US"/>
        </w:rPr>
        <w:t xml:space="preserve">Terrigenous rock; </w:t>
      </w:r>
      <w:r w:rsidR="005F1BDF" w:rsidRPr="00CD606A">
        <w:rPr>
          <w:rFonts w:cs="Times New Roman"/>
          <w:sz w:val="20"/>
          <w:szCs w:val="20"/>
          <w:lang w:val="en-US"/>
        </w:rPr>
        <w:t>3-</w:t>
      </w:r>
      <w:r w:rsidRPr="00CD606A">
        <w:rPr>
          <w:rFonts w:cs="Times New Roman"/>
          <w:sz w:val="20"/>
          <w:szCs w:val="20"/>
          <w:lang w:val="en-US"/>
        </w:rPr>
        <w:t xml:space="preserve">Clay rock; </w:t>
      </w:r>
      <w:r w:rsidR="005F1BDF" w:rsidRPr="00CD606A">
        <w:rPr>
          <w:rFonts w:cs="Times New Roman"/>
          <w:sz w:val="20"/>
          <w:szCs w:val="20"/>
          <w:lang w:val="en-US"/>
        </w:rPr>
        <w:t>4-</w:t>
      </w:r>
      <w:r w:rsidRPr="00CD606A">
        <w:rPr>
          <w:rFonts w:cs="Times New Roman"/>
          <w:sz w:val="20"/>
          <w:szCs w:val="20"/>
          <w:lang w:val="en-US"/>
        </w:rPr>
        <w:t xml:space="preserve">Sand–clay rock; </w:t>
      </w:r>
      <w:r w:rsidR="005F1BDF" w:rsidRPr="00CD606A">
        <w:rPr>
          <w:rFonts w:cs="Times New Roman"/>
          <w:sz w:val="20"/>
          <w:szCs w:val="20"/>
          <w:lang w:val="en-US"/>
        </w:rPr>
        <w:t>5-</w:t>
      </w:r>
      <w:r w:rsidRPr="00CD606A">
        <w:rPr>
          <w:rFonts w:cs="Times New Roman"/>
          <w:sz w:val="20"/>
          <w:szCs w:val="20"/>
          <w:lang w:val="en-US"/>
        </w:rPr>
        <w:t xml:space="preserve">Quaternary rock; </w:t>
      </w:r>
      <w:r w:rsidR="005F1BDF" w:rsidRPr="00CD606A">
        <w:rPr>
          <w:rFonts w:cs="Times New Roman"/>
          <w:sz w:val="20"/>
          <w:szCs w:val="20"/>
          <w:lang w:val="en-US"/>
        </w:rPr>
        <w:t>6-</w:t>
      </w:r>
      <w:r w:rsidRPr="00CD606A">
        <w:rPr>
          <w:rFonts w:cs="Times New Roman"/>
          <w:sz w:val="20"/>
          <w:szCs w:val="20"/>
          <w:lang w:val="en-US"/>
        </w:rPr>
        <w:t xml:space="preserve">Saline soils; Survey outlines: </w:t>
      </w:r>
      <w:r w:rsidR="005F1BDF" w:rsidRPr="00CD606A">
        <w:rPr>
          <w:rFonts w:cs="Times New Roman"/>
          <w:sz w:val="20"/>
          <w:szCs w:val="20"/>
          <w:lang w:val="en-US"/>
        </w:rPr>
        <w:t>7-</w:t>
      </w:r>
      <w:r w:rsidRPr="00CD606A">
        <w:rPr>
          <w:rFonts w:cs="Times New Roman"/>
          <w:sz w:val="20"/>
          <w:szCs w:val="20"/>
          <w:lang w:val="en-US"/>
        </w:rPr>
        <w:t xml:space="preserve">Boboshil; </w:t>
      </w:r>
      <w:r w:rsidR="005F1BDF" w:rsidRPr="00CD606A">
        <w:rPr>
          <w:rFonts w:cs="Times New Roman"/>
          <w:sz w:val="20"/>
          <w:szCs w:val="20"/>
          <w:lang w:val="en-US"/>
        </w:rPr>
        <w:t>8-</w:t>
      </w:r>
      <w:r w:rsidRPr="00CD606A">
        <w:rPr>
          <w:rFonts w:cs="Times New Roman"/>
          <w:sz w:val="20"/>
          <w:szCs w:val="20"/>
          <w:lang w:val="en-US"/>
        </w:rPr>
        <w:t xml:space="preserve">Boshut; </w:t>
      </w:r>
      <w:r w:rsidR="005F1BDF" w:rsidRPr="00CD606A">
        <w:rPr>
          <w:rFonts w:cs="Times New Roman"/>
          <w:sz w:val="20"/>
          <w:szCs w:val="20"/>
          <w:lang w:val="en-US"/>
        </w:rPr>
        <w:t>9-</w:t>
      </w:r>
      <w:r w:rsidRPr="00CD606A">
        <w:rPr>
          <w:rFonts w:cs="Times New Roman"/>
          <w:sz w:val="20"/>
          <w:szCs w:val="20"/>
          <w:lang w:val="en-US"/>
        </w:rPr>
        <w:t xml:space="preserve">Toshmachit; Other symbols: </w:t>
      </w:r>
      <w:r w:rsidR="005F1BDF" w:rsidRPr="00CD606A">
        <w:rPr>
          <w:rFonts w:cs="Times New Roman"/>
          <w:sz w:val="20"/>
          <w:szCs w:val="20"/>
          <w:lang w:val="en-US"/>
        </w:rPr>
        <w:t>10-</w:t>
      </w:r>
      <w:r w:rsidRPr="00CD606A">
        <w:rPr>
          <w:rFonts w:cs="Times New Roman"/>
          <w:sz w:val="20"/>
          <w:szCs w:val="20"/>
          <w:lang w:val="en-US"/>
        </w:rPr>
        <w:t xml:space="preserve">Rivers; </w:t>
      </w:r>
      <w:r w:rsidR="005F1BDF" w:rsidRPr="00CD606A">
        <w:rPr>
          <w:rFonts w:cs="Times New Roman"/>
          <w:sz w:val="20"/>
          <w:szCs w:val="20"/>
          <w:lang w:val="en-US"/>
        </w:rPr>
        <w:t>11-</w:t>
      </w:r>
      <w:r w:rsidRPr="00CD606A">
        <w:rPr>
          <w:rFonts w:cs="Times New Roman"/>
          <w:sz w:val="20"/>
          <w:szCs w:val="20"/>
          <w:lang w:val="en-US"/>
        </w:rPr>
        <w:t>Roads</w:t>
      </w:r>
    </w:p>
    <w:p w14:paraId="19B68F3D" w14:textId="77777777" w:rsidR="00BF7BC7" w:rsidRPr="00CD606A" w:rsidRDefault="00BF7BC7" w:rsidP="00CD606A">
      <w:pPr>
        <w:spacing w:after="0"/>
        <w:ind w:firstLine="284"/>
        <w:jc w:val="both"/>
        <w:rPr>
          <w:rFonts w:cs="Times New Roman"/>
          <w:sz w:val="20"/>
          <w:szCs w:val="20"/>
          <w:lang w:val="en-US"/>
        </w:rPr>
      </w:pPr>
    </w:p>
    <w:p w14:paraId="1744A38A" w14:textId="49B9FB12" w:rsidR="00C4242A" w:rsidRPr="00CD606A" w:rsidRDefault="00C4242A" w:rsidP="00CD606A">
      <w:pPr>
        <w:spacing w:after="0"/>
        <w:ind w:firstLine="284"/>
        <w:jc w:val="both"/>
        <w:rPr>
          <w:rFonts w:cs="Times New Roman"/>
          <w:sz w:val="20"/>
          <w:szCs w:val="20"/>
          <w:lang w:val="en-US"/>
        </w:rPr>
      </w:pPr>
      <w:r w:rsidRPr="00CD606A">
        <w:rPr>
          <w:rFonts w:cs="Times New Roman"/>
          <w:sz w:val="20"/>
          <w:szCs w:val="20"/>
          <w:lang w:val="en-US"/>
        </w:rPr>
        <w:t>Prospective zones:</w:t>
      </w:r>
      <w:r w:rsidR="00BF7BC7" w:rsidRPr="00CD606A">
        <w:rPr>
          <w:rFonts w:cs="Times New Roman"/>
          <w:sz w:val="20"/>
          <w:szCs w:val="20"/>
          <w:lang w:val="en-US"/>
        </w:rPr>
        <w:t xml:space="preserve"> </w:t>
      </w:r>
      <w:r w:rsidRPr="00CD606A">
        <w:rPr>
          <w:rFonts w:cs="Times New Roman"/>
          <w:sz w:val="20"/>
          <w:szCs w:val="20"/>
          <w:lang w:val="en-US"/>
        </w:rPr>
        <w:t xml:space="preserve">The integration of spectral, geological, and field data enabled the identification of three main prospective areas </w:t>
      </w:r>
      <w:r w:rsidR="005F1BDF" w:rsidRPr="00CD606A">
        <w:rPr>
          <w:rFonts w:cs="Times New Roman"/>
          <w:sz w:val="20"/>
          <w:szCs w:val="20"/>
          <w:lang w:val="en-US"/>
        </w:rPr>
        <w:t>-</w:t>
      </w:r>
      <w:r w:rsidRPr="00CD606A">
        <w:rPr>
          <w:rFonts w:cs="Times New Roman"/>
          <w:sz w:val="20"/>
          <w:szCs w:val="20"/>
          <w:lang w:val="en-US"/>
        </w:rPr>
        <w:t xml:space="preserve"> </w:t>
      </w:r>
      <w:proofErr w:type="spellStart"/>
      <w:r w:rsidRPr="00CD606A">
        <w:rPr>
          <w:rFonts w:cs="Times New Roman"/>
          <w:sz w:val="20"/>
          <w:szCs w:val="20"/>
          <w:lang w:val="en-US"/>
        </w:rPr>
        <w:t>Boboshil</w:t>
      </w:r>
      <w:proofErr w:type="spellEnd"/>
      <w:r w:rsidRPr="00CD606A">
        <w:rPr>
          <w:rFonts w:cs="Times New Roman"/>
          <w:sz w:val="20"/>
          <w:szCs w:val="20"/>
          <w:lang w:val="en-US"/>
        </w:rPr>
        <w:t xml:space="preserve">, </w:t>
      </w:r>
      <w:proofErr w:type="spellStart"/>
      <w:r w:rsidRPr="00CD606A">
        <w:rPr>
          <w:rFonts w:cs="Times New Roman"/>
          <w:sz w:val="20"/>
          <w:szCs w:val="20"/>
          <w:lang w:val="en-US"/>
        </w:rPr>
        <w:t>Boshtut</w:t>
      </w:r>
      <w:proofErr w:type="spellEnd"/>
      <w:r w:rsidRPr="00CD606A">
        <w:rPr>
          <w:rFonts w:cs="Times New Roman"/>
          <w:sz w:val="20"/>
          <w:szCs w:val="20"/>
          <w:lang w:val="en-US"/>
        </w:rPr>
        <w:t xml:space="preserve">, and </w:t>
      </w:r>
      <w:proofErr w:type="spellStart"/>
      <w:r w:rsidRPr="00CD606A">
        <w:rPr>
          <w:rFonts w:cs="Times New Roman"/>
          <w:sz w:val="20"/>
          <w:szCs w:val="20"/>
          <w:lang w:val="en-US"/>
        </w:rPr>
        <w:t>Boshmachit</w:t>
      </w:r>
      <w:proofErr w:type="spellEnd"/>
      <w:r w:rsidRPr="00CD606A">
        <w:rPr>
          <w:rFonts w:cs="Times New Roman"/>
          <w:sz w:val="20"/>
          <w:szCs w:val="20"/>
          <w:lang w:val="en-US"/>
        </w:rPr>
        <w:t xml:space="preserve"> </w:t>
      </w:r>
      <w:r w:rsidR="005F1BDF" w:rsidRPr="00CD606A">
        <w:rPr>
          <w:rFonts w:cs="Times New Roman"/>
          <w:sz w:val="20"/>
          <w:szCs w:val="20"/>
          <w:lang w:val="en-US"/>
        </w:rPr>
        <w:t>-</w:t>
      </w:r>
      <w:r w:rsidRPr="00CD606A">
        <w:rPr>
          <w:rFonts w:cs="Times New Roman"/>
          <w:sz w:val="20"/>
          <w:szCs w:val="20"/>
          <w:lang w:val="en-US"/>
        </w:rPr>
        <w:t xml:space="preserve"> which display the strongest correlation between alteration, structure, and geochemical anomalies.</w:t>
      </w:r>
    </w:p>
    <w:p w14:paraId="3F429A1C" w14:textId="68CEBE7E" w:rsidR="00C4242A" w:rsidRPr="00CD606A" w:rsidRDefault="00C4242A" w:rsidP="00CD606A">
      <w:pPr>
        <w:spacing w:after="0"/>
        <w:ind w:firstLine="284"/>
        <w:jc w:val="both"/>
        <w:rPr>
          <w:rFonts w:cs="Times New Roman"/>
          <w:sz w:val="20"/>
          <w:szCs w:val="20"/>
          <w:lang w:val="en-US"/>
        </w:rPr>
      </w:pPr>
      <w:r w:rsidRPr="00CD606A">
        <w:rPr>
          <w:rFonts w:cs="Times New Roman"/>
          <w:sz w:val="20"/>
          <w:szCs w:val="20"/>
          <w:lang w:val="en-US"/>
        </w:rPr>
        <w:t xml:space="preserve">Thus, the results demonstrate the effectiveness of combining remote sensing, spectral analysis, and field geology in identifying potential gold-bearing zones. These findings provide a scientific basis for future detailed exploration and resource evaluation in the Southern </w:t>
      </w:r>
      <w:proofErr w:type="spellStart"/>
      <w:r w:rsidRPr="00CD606A">
        <w:rPr>
          <w:rFonts w:cs="Times New Roman"/>
          <w:sz w:val="20"/>
          <w:szCs w:val="20"/>
          <w:lang w:val="en-US"/>
        </w:rPr>
        <w:t>Nurata</w:t>
      </w:r>
      <w:proofErr w:type="spellEnd"/>
      <w:r w:rsidRPr="00CD606A">
        <w:rPr>
          <w:rFonts w:cs="Times New Roman"/>
          <w:sz w:val="20"/>
          <w:szCs w:val="20"/>
          <w:lang w:val="en-US"/>
        </w:rPr>
        <w:t xml:space="preserve"> region</w:t>
      </w:r>
      <w:r w:rsidR="00CD606A">
        <w:rPr>
          <w:rFonts w:cs="Times New Roman"/>
          <w:sz w:val="20"/>
          <w:szCs w:val="20"/>
          <w:lang w:val="en-US"/>
        </w:rPr>
        <w:t xml:space="preserve"> </w:t>
      </w:r>
      <w:r w:rsidR="00362708" w:rsidRPr="00CD606A">
        <w:rPr>
          <w:rFonts w:cs="Times New Roman"/>
          <w:sz w:val="20"/>
          <w:szCs w:val="20"/>
          <w:lang w:val="en-US"/>
        </w:rPr>
        <w:t>[7]</w:t>
      </w:r>
      <w:r w:rsidR="00CD606A">
        <w:rPr>
          <w:rFonts w:cs="Times New Roman"/>
          <w:sz w:val="20"/>
          <w:szCs w:val="20"/>
          <w:lang w:val="en-US"/>
        </w:rPr>
        <w:t>.</w:t>
      </w:r>
    </w:p>
    <w:p w14:paraId="31F8E135" w14:textId="77777777" w:rsidR="006E73D2" w:rsidRDefault="006E73D2" w:rsidP="00CD606A">
      <w:pPr>
        <w:spacing w:before="240" w:after="240"/>
        <w:jc w:val="center"/>
        <w:rPr>
          <w:rFonts w:cs="Times New Roman"/>
          <w:b/>
          <w:bCs/>
          <w:sz w:val="24"/>
          <w:szCs w:val="24"/>
          <w:lang w:val="en-US"/>
        </w:rPr>
      </w:pPr>
    </w:p>
    <w:p w14:paraId="54E490CD" w14:textId="4D758EEC" w:rsidR="00B91D86" w:rsidRPr="00B91D86" w:rsidRDefault="00B91D86" w:rsidP="00CD606A">
      <w:pPr>
        <w:spacing w:before="240" w:after="240"/>
        <w:jc w:val="center"/>
        <w:rPr>
          <w:rFonts w:cs="Times New Roman"/>
          <w:b/>
          <w:bCs/>
          <w:sz w:val="24"/>
          <w:szCs w:val="24"/>
          <w:lang w:val="en-US"/>
        </w:rPr>
      </w:pPr>
      <w:r w:rsidRPr="00B91D86">
        <w:rPr>
          <w:rFonts w:cs="Times New Roman"/>
          <w:b/>
          <w:bCs/>
          <w:sz w:val="24"/>
          <w:szCs w:val="24"/>
          <w:lang w:val="en-US"/>
        </w:rPr>
        <w:lastRenderedPageBreak/>
        <w:t>CONCLUSIONS</w:t>
      </w:r>
    </w:p>
    <w:p w14:paraId="06996C5C" w14:textId="77777777" w:rsidR="006E73D2" w:rsidRPr="006E73D2" w:rsidRDefault="006E73D2" w:rsidP="006E73D2">
      <w:pPr>
        <w:spacing w:after="0"/>
        <w:ind w:firstLine="284"/>
        <w:jc w:val="both"/>
        <w:rPr>
          <w:rFonts w:cs="Times New Roman"/>
          <w:sz w:val="20"/>
          <w:szCs w:val="20"/>
          <w:lang w:val="en-US"/>
        </w:rPr>
      </w:pPr>
      <w:r w:rsidRPr="006E73D2">
        <w:rPr>
          <w:rFonts w:cs="Times New Roman"/>
          <w:sz w:val="20"/>
          <w:szCs w:val="20"/>
          <w:lang w:val="en-US"/>
        </w:rPr>
        <w:t xml:space="preserve">This study demonstrates the effectiveness of an integrated approach combining remote sensing data, spectral analysis, and structural interpretation for identifying gold and associated mineralization in the </w:t>
      </w:r>
      <w:proofErr w:type="spellStart"/>
      <w:r w:rsidRPr="006E73D2">
        <w:rPr>
          <w:rFonts w:cs="Times New Roman"/>
          <w:sz w:val="20"/>
          <w:szCs w:val="20"/>
          <w:lang w:val="en-US"/>
        </w:rPr>
        <w:t>Boboshil</w:t>
      </w:r>
      <w:proofErr w:type="spellEnd"/>
      <w:r w:rsidRPr="006E73D2">
        <w:rPr>
          <w:rFonts w:cs="Times New Roman"/>
          <w:sz w:val="20"/>
          <w:szCs w:val="20"/>
          <w:lang w:val="en-US"/>
        </w:rPr>
        <w:t xml:space="preserve"> prospective area of the Southern </w:t>
      </w:r>
      <w:proofErr w:type="spellStart"/>
      <w:r w:rsidRPr="006E73D2">
        <w:rPr>
          <w:rFonts w:cs="Times New Roman"/>
          <w:sz w:val="20"/>
          <w:szCs w:val="20"/>
          <w:lang w:val="en-US"/>
        </w:rPr>
        <w:t>Nurata</w:t>
      </w:r>
      <w:proofErr w:type="spellEnd"/>
      <w:r w:rsidRPr="006E73D2">
        <w:rPr>
          <w:rFonts w:cs="Times New Roman"/>
          <w:sz w:val="20"/>
          <w:szCs w:val="20"/>
          <w:lang w:val="en-US"/>
        </w:rPr>
        <w:t xml:space="preserve"> Mountains. The use of ASTER multispectral imagery, together with band ratio techniques and mineral indices, enabled reliable mapping of hydrothermal alteration zones related to ore-forming processes. [1,4,5]</w:t>
      </w:r>
    </w:p>
    <w:p w14:paraId="46DEAF02" w14:textId="77777777" w:rsidR="006E73D2" w:rsidRPr="006E73D2" w:rsidRDefault="006E73D2" w:rsidP="006E73D2">
      <w:pPr>
        <w:spacing w:after="0"/>
        <w:ind w:firstLine="284"/>
        <w:jc w:val="both"/>
        <w:rPr>
          <w:rFonts w:cs="Times New Roman"/>
          <w:sz w:val="20"/>
          <w:szCs w:val="20"/>
          <w:lang w:val="en-US"/>
        </w:rPr>
      </w:pPr>
      <w:r w:rsidRPr="006E73D2">
        <w:rPr>
          <w:rFonts w:cs="Times New Roman"/>
          <w:sz w:val="20"/>
          <w:szCs w:val="20"/>
          <w:lang w:val="en-US"/>
        </w:rPr>
        <w:t>The results indicate a strong spatial and genetic relationship between hydrothermal alteration, tectonic structures, and magmatic activity. Carbonate–chlorite–epidote and epidote–amphibole–chlorite assemblages are mainly controlled by regional fault systems and intrusive contacts, reflecting propylitic and contact-metasomatic alteration stages. In contrast, alunite–kaolinite–pyrophyllite assemblages mark advanced argillic alteration zones, which are typical indicators of epithermal mineralization environments.</w:t>
      </w:r>
    </w:p>
    <w:p w14:paraId="67ECB24C" w14:textId="77777777" w:rsidR="006E73D2" w:rsidRPr="006E73D2" w:rsidRDefault="006E73D2" w:rsidP="006E73D2">
      <w:pPr>
        <w:spacing w:after="0"/>
        <w:ind w:firstLine="284"/>
        <w:jc w:val="both"/>
        <w:rPr>
          <w:rFonts w:cs="Times New Roman"/>
          <w:sz w:val="20"/>
          <w:szCs w:val="20"/>
          <w:lang w:val="en-US"/>
        </w:rPr>
      </w:pPr>
      <w:r w:rsidRPr="006E73D2">
        <w:rPr>
          <w:rFonts w:cs="Times New Roman"/>
          <w:sz w:val="20"/>
          <w:szCs w:val="20"/>
          <w:lang w:val="en-US"/>
        </w:rPr>
        <w:t xml:space="preserve">Structural analysis revealed that NW–SE and NE–SW trending faults, as well as ring and arcuate structures, play a key role in controlling fluid migration pathways and the localization of gold mineralization. These findings are consistent with regional geological and geophysical models proposed for the Central </w:t>
      </w:r>
      <w:proofErr w:type="spellStart"/>
      <w:r w:rsidRPr="006E73D2">
        <w:rPr>
          <w:rFonts w:cs="Times New Roman"/>
          <w:sz w:val="20"/>
          <w:szCs w:val="20"/>
          <w:lang w:val="en-US"/>
        </w:rPr>
        <w:t>Kyzylkum</w:t>
      </w:r>
      <w:proofErr w:type="spellEnd"/>
      <w:r w:rsidRPr="006E73D2">
        <w:rPr>
          <w:rFonts w:cs="Times New Roman"/>
          <w:sz w:val="20"/>
          <w:szCs w:val="20"/>
          <w:lang w:val="en-US"/>
        </w:rPr>
        <w:t xml:space="preserve"> and Southern Tien Shan regions. [6,7,8]</w:t>
      </w:r>
    </w:p>
    <w:p w14:paraId="7E80EDE4" w14:textId="77777777" w:rsidR="006E73D2" w:rsidRPr="006E73D2" w:rsidRDefault="006E73D2" w:rsidP="006E73D2">
      <w:pPr>
        <w:spacing w:after="0"/>
        <w:ind w:firstLine="284"/>
        <w:jc w:val="both"/>
        <w:rPr>
          <w:rFonts w:cs="Times New Roman"/>
          <w:sz w:val="20"/>
          <w:szCs w:val="20"/>
          <w:lang w:val="en-US"/>
        </w:rPr>
      </w:pPr>
      <w:r w:rsidRPr="006E73D2">
        <w:rPr>
          <w:rFonts w:cs="Times New Roman"/>
          <w:sz w:val="20"/>
          <w:szCs w:val="20"/>
          <w:lang w:val="en-US"/>
        </w:rPr>
        <w:t xml:space="preserve">The integration of spectral results with field observations and geochemical data confirms that bleaching zones and metasomatic halos around intrusive bodies represent promising targets for further exploration. Based on the combined spectral, structural, and geological criteria, the </w:t>
      </w:r>
      <w:proofErr w:type="spellStart"/>
      <w:r w:rsidRPr="006E73D2">
        <w:rPr>
          <w:rFonts w:cs="Times New Roman"/>
          <w:sz w:val="20"/>
          <w:szCs w:val="20"/>
          <w:lang w:val="en-US"/>
        </w:rPr>
        <w:t>Boboshil</w:t>
      </w:r>
      <w:proofErr w:type="spellEnd"/>
      <w:r w:rsidRPr="006E73D2">
        <w:rPr>
          <w:rFonts w:cs="Times New Roman"/>
          <w:sz w:val="20"/>
          <w:szCs w:val="20"/>
          <w:lang w:val="en-US"/>
        </w:rPr>
        <w:t xml:space="preserve">, </w:t>
      </w:r>
      <w:proofErr w:type="spellStart"/>
      <w:r w:rsidRPr="006E73D2">
        <w:rPr>
          <w:rFonts w:cs="Times New Roman"/>
          <w:sz w:val="20"/>
          <w:szCs w:val="20"/>
          <w:lang w:val="en-US"/>
        </w:rPr>
        <w:t>Boshtut</w:t>
      </w:r>
      <w:proofErr w:type="spellEnd"/>
      <w:r w:rsidRPr="006E73D2">
        <w:rPr>
          <w:rFonts w:cs="Times New Roman"/>
          <w:sz w:val="20"/>
          <w:szCs w:val="20"/>
          <w:lang w:val="en-US"/>
        </w:rPr>
        <w:t xml:space="preserve">, and </w:t>
      </w:r>
      <w:proofErr w:type="spellStart"/>
      <w:r w:rsidRPr="006E73D2">
        <w:rPr>
          <w:rFonts w:cs="Times New Roman"/>
          <w:sz w:val="20"/>
          <w:szCs w:val="20"/>
          <w:lang w:val="en-US"/>
        </w:rPr>
        <w:t>Boshmachit</w:t>
      </w:r>
      <w:proofErr w:type="spellEnd"/>
      <w:r w:rsidRPr="006E73D2">
        <w:rPr>
          <w:rFonts w:cs="Times New Roman"/>
          <w:sz w:val="20"/>
          <w:szCs w:val="20"/>
          <w:lang w:val="en-US"/>
        </w:rPr>
        <w:t xml:space="preserve"> zones are identified as the most </w:t>
      </w:r>
      <w:proofErr w:type="spellStart"/>
      <w:r w:rsidRPr="006E73D2">
        <w:rPr>
          <w:rFonts w:cs="Times New Roman"/>
          <w:sz w:val="20"/>
          <w:szCs w:val="20"/>
          <w:lang w:val="en-US"/>
        </w:rPr>
        <w:t>перспектив</w:t>
      </w:r>
      <w:proofErr w:type="spellEnd"/>
      <w:r w:rsidRPr="006E73D2">
        <w:rPr>
          <w:rFonts w:cs="Times New Roman"/>
          <w:sz w:val="20"/>
          <w:szCs w:val="20"/>
          <w:lang w:val="en-US"/>
        </w:rPr>
        <w:t xml:space="preserve"> areas for gold and polymetallic mineralization.</w:t>
      </w:r>
    </w:p>
    <w:p w14:paraId="296FF4BD" w14:textId="33332D54" w:rsidR="00B91D86" w:rsidRPr="00B91D86" w:rsidRDefault="006E73D2" w:rsidP="006E73D2">
      <w:pPr>
        <w:spacing w:after="0"/>
        <w:ind w:firstLine="284"/>
        <w:jc w:val="both"/>
        <w:rPr>
          <w:rFonts w:cs="Times New Roman"/>
          <w:sz w:val="20"/>
          <w:szCs w:val="20"/>
          <w:lang w:val="en-US"/>
        </w:rPr>
      </w:pPr>
      <w:r w:rsidRPr="006E73D2">
        <w:rPr>
          <w:rFonts w:cs="Times New Roman"/>
          <w:sz w:val="20"/>
          <w:szCs w:val="20"/>
          <w:lang w:val="en-US"/>
        </w:rPr>
        <w:t>Overall, the proposed methodological framework provides a reliable and cost-effective tool for preliminary mineral prospectivity assessment and can be successfully applied to similar geological settings within Uzbekistan and other orogenic gold provinces.</w:t>
      </w:r>
    </w:p>
    <w:p w14:paraId="791EE7C1" w14:textId="189E53D7" w:rsidR="00C4242A" w:rsidRPr="00274998" w:rsidRDefault="00B91D86" w:rsidP="00CD606A">
      <w:pPr>
        <w:spacing w:before="240" w:after="240"/>
        <w:jc w:val="center"/>
        <w:rPr>
          <w:rFonts w:cs="Times New Roman"/>
          <w:b/>
          <w:bCs/>
          <w:sz w:val="24"/>
          <w:szCs w:val="24"/>
          <w:lang w:val="en-US"/>
        </w:rPr>
      </w:pPr>
      <w:r w:rsidRPr="00274998">
        <w:rPr>
          <w:rFonts w:cs="Times New Roman"/>
          <w:b/>
          <w:bCs/>
          <w:sz w:val="24"/>
          <w:szCs w:val="24"/>
          <w:lang w:val="en-US"/>
        </w:rPr>
        <w:t>REFERENCES</w:t>
      </w:r>
    </w:p>
    <w:p w14:paraId="4D358CAD" w14:textId="77777777" w:rsidR="00CD606A" w:rsidRPr="00CD606A" w:rsidRDefault="00CD606A" w:rsidP="00CD606A">
      <w:pPr>
        <w:pStyle w:val="a7"/>
        <w:numPr>
          <w:ilvl w:val="0"/>
          <w:numId w:val="9"/>
        </w:numPr>
        <w:tabs>
          <w:tab w:val="left" w:pos="284"/>
        </w:tabs>
        <w:spacing w:after="0"/>
        <w:ind w:left="0" w:firstLine="0"/>
        <w:jc w:val="both"/>
        <w:rPr>
          <w:rFonts w:cs="Times New Roman"/>
          <w:sz w:val="20"/>
          <w:szCs w:val="20"/>
          <w:lang w:val="en-US"/>
        </w:rPr>
      </w:pPr>
      <w:r w:rsidRPr="00CD606A">
        <w:rPr>
          <w:rFonts w:cs="Times New Roman"/>
          <w:sz w:val="20"/>
          <w:szCs w:val="20"/>
          <w:lang w:val="en-US"/>
        </w:rPr>
        <w:t>M. Abrams, “The Advanced Spaceborne Thermal Emission and Reflection Radiometer (ASTER): Data products for the high spatial resolution imager on NASA’s Terra platform,” Int. J. Remote Sens. 21(5), 847–859 (2000).</w:t>
      </w:r>
    </w:p>
    <w:p w14:paraId="587A83E8" w14:textId="77777777" w:rsidR="00CD606A" w:rsidRDefault="00CD606A" w:rsidP="00CD606A">
      <w:pPr>
        <w:pStyle w:val="a7"/>
        <w:numPr>
          <w:ilvl w:val="0"/>
          <w:numId w:val="9"/>
        </w:numPr>
        <w:tabs>
          <w:tab w:val="left" w:pos="284"/>
        </w:tabs>
        <w:spacing w:after="0"/>
        <w:ind w:left="0" w:firstLine="0"/>
        <w:jc w:val="both"/>
        <w:rPr>
          <w:rFonts w:cs="Times New Roman"/>
          <w:sz w:val="20"/>
          <w:szCs w:val="20"/>
          <w:lang w:val="en-US"/>
        </w:rPr>
      </w:pPr>
      <w:r w:rsidRPr="00CD606A">
        <w:rPr>
          <w:rFonts w:cs="Times New Roman"/>
          <w:sz w:val="20"/>
          <w:szCs w:val="20"/>
          <w:lang w:val="en-US"/>
        </w:rPr>
        <w:t>J. W. Boardman, F. A. Kruse, and R. O. Green, “Mapping target signatures via partial unmixing of AVIRIS data,” in Summaries of the Fifth Annual JPL Airborne Earth Science Workshop, JPL Publication 95–1, Vol. 1 (Jet Propulsion Laboratory, Pasadena, CA, 1995), pp. 23–26.</w:t>
      </w:r>
    </w:p>
    <w:p w14:paraId="34C8174A" w14:textId="484DC925" w:rsidR="00CD606A" w:rsidRPr="00CD606A" w:rsidRDefault="00CD606A" w:rsidP="00CD606A">
      <w:pPr>
        <w:pStyle w:val="a7"/>
        <w:numPr>
          <w:ilvl w:val="0"/>
          <w:numId w:val="9"/>
        </w:numPr>
        <w:tabs>
          <w:tab w:val="left" w:pos="284"/>
        </w:tabs>
        <w:spacing w:after="0"/>
        <w:ind w:left="0" w:firstLine="0"/>
        <w:jc w:val="both"/>
        <w:rPr>
          <w:rFonts w:cs="Times New Roman"/>
          <w:sz w:val="20"/>
          <w:szCs w:val="20"/>
          <w:lang w:val="en-US"/>
        </w:rPr>
      </w:pPr>
      <w:r>
        <w:rPr>
          <w:rFonts w:cs="Times New Roman"/>
          <w:sz w:val="20"/>
          <w:szCs w:val="20"/>
          <w:lang w:val="en-US"/>
        </w:rPr>
        <w:t>A.</w:t>
      </w:r>
      <w:r w:rsidRPr="00CD606A">
        <w:rPr>
          <w:rFonts w:cs="Times New Roman"/>
          <w:sz w:val="20"/>
          <w:szCs w:val="20"/>
          <w:lang w:val="en-US"/>
        </w:rPr>
        <w:t>P. Crosta and J. M. Moore, “Enhancement of Landsat Thematic Mapper imagery for residual soil mapping in SW Minas Gerais State, Brazil: A prospecting case history in greenstone belt terrain,” in Proceedings of the Seventh ERIM Thematic Conference: Remote Sensing for Exploration Geology (ERIM, Ann Arbor, MI, 1989), pp. 1173–1187.</w:t>
      </w:r>
    </w:p>
    <w:p w14:paraId="506AEE17" w14:textId="77777777" w:rsidR="00CD606A" w:rsidRPr="00CD606A" w:rsidRDefault="00CD606A" w:rsidP="00CD606A">
      <w:pPr>
        <w:pStyle w:val="a7"/>
        <w:numPr>
          <w:ilvl w:val="0"/>
          <w:numId w:val="9"/>
        </w:numPr>
        <w:tabs>
          <w:tab w:val="left" w:pos="284"/>
        </w:tabs>
        <w:spacing w:after="0"/>
        <w:ind w:left="0" w:firstLine="0"/>
        <w:jc w:val="both"/>
        <w:rPr>
          <w:rFonts w:cs="Times New Roman"/>
          <w:sz w:val="20"/>
          <w:szCs w:val="20"/>
          <w:lang w:val="en-US"/>
        </w:rPr>
      </w:pPr>
      <w:r w:rsidRPr="00CD606A">
        <w:rPr>
          <w:rFonts w:cs="Times New Roman"/>
          <w:sz w:val="20"/>
          <w:szCs w:val="20"/>
          <w:lang w:val="en-US"/>
        </w:rPr>
        <w:t>R. P. Gupta, Remote Sensing Geology, 3rd ed. (Springer, Berlin, 2017).</w:t>
      </w:r>
    </w:p>
    <w:p w14:paraId="035A452F" w14:textId="77777777" w:rsidR="00CD606A" w:rsidRDefault="00CD606A" w:rsidP="00CD606A">
      <w:pPr>
        <w:pStyle w:val="a7"/>
        <w:numPr>
          <w:ilvl w:val="0"/>
          <w:numId w:val="9"/>
        </w:numPr>
        <w:tabs>
          <w:tab w:val="left" w:pos="284"/>
        </w:tabs>
        <w:spacing w:after="0"/>
        <w:ind w:left="0" w:firstLine="0"/>
        <w:jc w:val="both"/>
        <w:rPr>
          <w:rFonts w:cs="Times New Roman"/>
          <w:sz w:val="20"/>
          <w:szCs w:val="20"/>
          <w:lang w:val="en-US"/>
        </w:rPr>
      </w:pPr>
      <w:r w:rsidRPr="00CD606A">
        <w:rPr>
          <w:rFonts w:cs="Times New Roman"/>
          <w:sz w:val="20"/>
          <w:szCs w:val="20"/>
          <w:lang w:val="en-US"/>
        </w:rPr>
        <w:t>F. F. Sabins, “Remote sensing for mineral exploration,” Ore Geol. Rev. 14(3–4), 157–183 (1999).</w:t>
      </w:r>
    </w:p>
    <w:p w14:paraId="22055DE1" w14:textId="261D0BDB" w:rsidR="00CD606A" w:rsidRPr="00CD606A" w:rsidRDefault="00CD606A" w:rsidP="00CD606A">
      <w:pPr>
        <w:pStyle w:val="a7"/>
        <w:numPr>
          <w:ilvl w:val="0"/>
          <w:numId w:val="9"/>
        </w:numPr>
        <w:tabs>
          <w:tab w:val="left" w:pos="284"/>
        </w:tabs>
        <w:spacing w:after="0"/>
        <w:ind w:left="0" w:firstLine="0"/>
        <w:jc w:val="both"/>
        <w:rPr>
          <w:rFonts w:cs="Times New Roman"/>
          <w:sz w:val="20"/>
          <w:szCs w:val="20"/>
          <w:lang w:val="en-US"/>
        </w:rPr>
      </w:pPr>
      <w:r>
        <w:rPr>
          <w:rFonts w:cs="Times New Roman"/>
          <w:sz w:val="20"/>
          <w:szCs w:val="20"/>
          <w:lang w:val="en-US"/>
        </w:rPr>
        <w:t>A.</w:t>
      </w:r>
      <w:r w:rsidRPr="00CD606A">
        <w:rPr>
          <w:rFonts w:cs="Times New Roman"/>
          <w:sz w:val="20"/>
          <w:szCs w:val="20"/>
          <w:lang w:val="en-US"/>
        </w:rPr>
        <w:t xml:space="preserve">B. Goipov, Sh. I. Akhmadov, A. V. </w:t>
      </w:r>
      <w:proofErr w:type="spellStart"/>
      <w:r w:rsidRPr="00CD606A">
        <w:rPr>
          <w:rFonts w:cs="Times New Roman"/>
          <w:sz w:val="20"/>
          <w:szCs w:val="20"/>
          <w:lang w:val="en-US"/>
        </w:rPr>
        <w:t>Tevelev</w:t>
      </w:r>
      <w:proofErr w:type="spellEnd"/>
      <w:r w:rsidRPr="00CD606A">
        <w:rPr>
          <w:rFonts w:cs="Times New Roman"/>
          <w:sz w:val="20"/>
          <w:szCs w:val="20"/>
          <w:lang w:val="en-US"/>
        </w:rPr>
        <w:t xml:space="preserve">, Z. M. Musakhonov, and R. I. Mirsayapov, “Application of innovative methods of spectral and structural interpretation to solving geological problems and searching for deposits (case study of the </w:t>
      </w:r>
      <w:proofErr w:type="spellStart"/>
      <w:r w:rsidRPr="00CD606A">
        <w:rPr>
          <w:rFonts w:cs="Times New Roman"/>
          <w:sz w:val="20"/>
          <w:szCs w:val="20"/>
          <w:lang w:val="en-US"/>
        </w:rPr>
        <w:t>Auminzatau</w:t>
      </w:r>
      <w:proofErr w:type="spellEnd"/>
      <w:r w:rsidRPr="00CD606A">
        <w:rPr>
          <w:rFonts w:cs="Times New Roman"/>
          <w:sz w:val="20"/>
          <w:szCs w:val="20"/>
          <w:lang w:val="en-US"/>
        </w:rPr>
        <w:t>–</w:t>
      </w:r>
      <w:proofErr w:type="spellStart"/>
      <w:r w:rsidRPr="00CD606A">
        <w:rPr>
          <w:rFonts w:cs="Times New Roman"/>
          <w:sz w:val="20"/>
          <w:szCs w:val="20"/>
          <w:lang w:val="en-US"/>
        </w:rPr>
        <w:t>Beltau</w:t>
      </w:r>
      <w:proofErr w:type="spellEnd"/>
      <w:r w:rsidRPr="00CD606A">
        <w:rPr>
          <w:rFonts w:cs="Times New Roman"/>
          <w:sz w:val="20"/>
          <w:szCs w:val="20"/>
          <w:lang w:val="en-US"/>
        </w:rPr>
        <w:t xml:space="preserve"> ore district, Republic of Uzbekistan),” Moscow Univ. Geol. Bull. 79(6), 798–809 (2024).</w:t>
      </w:r>
    </w:p>
    <w:p w14:paraId="6F95DDEC" w14:textId="22F353DF" w:rsidR="00CD606A" w:rsidRPr="00CD606A" w:rsidRDefault="00CD606A" w:rsidP="00CD606A">
      <w:pPr>
        <w:pStyle w:val="a7"/>
        <w:numPr>
          <w:ilvl w:val="0"/>
          <w:numId w:val="9"/>
        </w:numPr>
        <w:tabs>
          <w:tab w:val="left" w:pos="284"/>
        </w:tabs>
        <w:spacing w:after="0"/>
        <w:ind w:left="0" w:firstLine="0"/>
        <w:jc w:val="both"/>
        <w:rPr>
          <w:rFonts w:cs="Times New Roman"/>
          <w:sz w:val="20"/>
          <w:szCs w:val="20"/>
          <w:lang w:val="en-US"/>
        </w:rPr>
      </w:pPr>
      <w:r w:rsidRPr="00CD606A">
        <w:rPr>
          <w:rFonts w:cs="Times New Roman"/>
          <w:sz w:val="20"/>
          <w:szCs w:val="20"/>
          <w:lang w:val="en-US"/>
        </w:rPr>
        <w:t xml:space="preserve">B. Goipov, Sh. I. Akhmadov, and V. R. Yusupov, “Characteristics of geophysical fields and geophysical indicators of mineralization in the </w:t>
      </w:r>
      <w:proofErr w:type="spellStart"/>
      <w:proofErr w:type="gramStart"/>
      <w:r w:rsidRPr="00CD606A">
        <w:rPr>
          <w:rFonts w:cs="Times New Roman"/>
          <w:sz w:val="20"/>
          <w:szCs w:val="20"/>
          <w:lang w:val="en-US"/>
        </w:rPr>
        <w:t>Bo‘</w:t>
      </w:r>
      <w:proofErr w:type="gramEnd"/>
      <w:r w:rsidRPr="00CD606A">
        <w:rPr>
          <w:rFonts w:cs="Times New Roman"/>
          <w:sz w:val="20"/>
          <w:szCs w:val="20"/>
          <w:lang w:val="en-US"/>
        </w:rPr>
        <w:t>kantov</w:t>
      </w:r>
      <w:proofErr w:type="spellEnd"/>
      <w:r w:rsidRPr="00CD606A">
        <w:rPr>
          <w:rFonts w:cs="Times New Roman"/>
          <w:sz w:val="20"/>
          <w:szCs w:val="20"/>
          <w:lang w:val="en-US"/>
        </w:rPr>
        <w:t xml:space="preserve"> Mountains, Southern Tien Shan,” ANAS Trans., Earth Sci. 2, 77–91 (2024).</w:t>
      </w:r>
    </w:p>
    <w:p w14:paraId="47AD4634" w14:textId="3F74BE5A" w:rsidR="003D078F" w:rsidRPr="00CD606A" w:rsidRDefault="00CD606A" w:rsidP="00CD606A">
      <w:pPr>
        <w:pStyle w:val="a7"/>
        <w:numPr>
          <w:ilvl w:val="0"/>
          <w:numId w:val="9"/>
        </w:numPr>
        <w:tabs>
          <w:tab w:val="left" w:pos="284"/>
        </w:tabs>
        <w:spacing w:after="0"/>
        <w:ind w:left="0" w:firstLine="0"/>
        <w:jc w:val="both"/>
        <w:rPr>
          <w:rFonts w:cs="Times New Roman"/>
          <w:sz w:val="20"/>
          <w:szCs w:val="20"/>
        </w:rPr>
      </w:pPr>
      <w:r w:rsidRPr="00CD606A">
        <w:rPr>
          <w:rFonts w:cs="Times New Roman"/>
          <w:sz w:val="20"/>
          <w:szCs w:val="20"/>
          <w:lang w:val="en-US"/>
        </w:rPr>
        <w:t xml:space="preserve">B. Goipov, A. U. Ashurov, and D. Kh. </w:t>
      </w:r>
      <w:proofErr w:type="spellStart"/>
      <w:r w:rsidRPr="00CD606A">
        <w:rPr>
          <w:rFonts w:cs="Times New Roman"/>
          <w:sz w:val="20"/>
          <w:szCs w:val="20"/>
          <w:lang w:val="en-US"/>
        </w:rPr>
        <w:t>Atabaev</w:t>
      </w:r>
      <w:proofErr w:type="spellEnd"/>
      <w:r w:rsidRPr="00CD606A">
        <w:rPr>
          <w:rFonts w:cs="Times New Roman"/>
          <w:sz w:val="20"/>
          <w:szCs w:val="20"/>
          <w:lang w:val="en-US"/>
        </w:rPr>
        <w:t xml:space="preserve">, “Interpretation of airborne electrical prospecting data in the search for gold ore objects and geodynamic zoning of the </w:t>
      </w:r>
      <w:proofErr w:type="spellStart"/>
      <w:r w:rsidRPr="00CD606A">
        <w:rPr>
          <w:rFonts w:cs="Times New Roman"/>
          <w:sz w:val="20"/>
          <w:szCs w:val="20"/>
          <w:lang w:val="en-US"/>
        </w:rPr>
        <w:t>Bukantau</w:t>
      </w:r>
      <w:proofErr w:type="spellEnd"/>
      <w:r w:rsidRPr="00CD606A">
        <w:rPr>
          <w:rFonts w:cs="Times New Roman"/>
          <w:sz w:val="20"/>
          <w:szCs w:val="20"/>
          <w:lang w:val="en-US"/>
        </w:rPr>
        <w:t xml:space="preserve"> Mountains (Southern Tien Shan),” J. Geophys. Res. 1, 79–97 (2025).</w:t>
      </w:r>
    </w:p>
    <w:sectPr w:rsidR="003D078F" w:rsidRPr="00CD606A" w:rsidSect="00EA5337">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D12"/>
    <w:multiLevelType w:val="hybridMultilevel"/>
    <w:tmpl w:val="293EA5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A2312"/>
    <w:multiLevelType w:val="hybridMultilevel"/>
    <w:tmpl w:val="5D8ACB16"/>
    <w:lvl w:ilvl="0" w:tplc="0419000F">
      <w:start w:val="1"/>
      <w:numFmt w:val="decimal"/>
      <w:lvlText w:val="%1."/>
      <w:lvlJc w:val="left"/>
      <w:pPr>
        <w:ind w:left="720" w:hanging="360"/>
      </w:pPr>
    </w:lvl>
    <w:lvl w:ilvl="1" w:tplc="801E7B5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64B0F"/>
    <w:multiLevelType w:val="hybridMultilevel"/>
    <w:tmpl w:val="C2941DC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B7E15"/>
    <w:multiLevelType w:val="hybridMultilevel"/>
    <w:tmpl w:val="1A5CA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131B97"/>
    <w:multiLevelType w:val="hybridMultilevel"/>
    <w:tmpl w:val="3A7613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BC4037"/>
    <w:multiLevelType w:val="hybridMultilevel"/>
    <w:tmpl w:val="810C387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7B156B"/>
    <w:multiLevelType w:val="hybridMultilevel"/>
    <w:tmpl w:val="CB563054"/>
    <w:lvl w:ilvl="0" w:tplc="948AF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CA17436"/>
    <w:multiLevelType w:val="hybridMultilevel"/>
    <w:tmpl w:val="518E34FA"/>
    <w:lvl w:ilvl="0" w:tplc="13006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917017"/>
    <w:multiLevelType w:val="hybridMultilevel"/>
    <w:tmpl w:val="482C4C4C"/>
    <w:lvl w:ilvl="0" w:tplc="E19A7A6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16cid:durableId="1910916400">
    <w:abstractNumId w:val="6"/>
  </w:num>
  <w:num w:numId="2" w16cid:durableId="997416416">
    <w:abstractNumId w:val="8"/>
  </w:num>
  <w:num w:numId="3" w16cid:durableId="758480654">
    <w:abstractNumId w:val="3"/>
  </w:num>
  <w:num w:numId="4" w16cid:durableId="406616991">
    <w:abstractNumId w:val="7"/>
  </w:num>
  <w:num w:numId="5" w16cid:durableId="1741947039">
    <w:abstractNumId w:val="0"/>
  </w:num>
  <w:num w:numId="6" w16cid:durableId="276832086">
    <w:abstractNumId w:val="1"/>
  </w:num>
  <w:num w:numId="7" w16cid:durableId="1084956613">
    <w:abstractNumId w:val="2"/>
  </w:num>
  <w:num w:numId="8" w16cid:durableId="184632821">
    <w:abstractNumId w:val="5"/>
  </w:num>
  <w:num w:numId="9" w16cid:durableId="1005671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4C"/>
    <w:rsid w:val="000C6DCA"/>
    <w:rsid w:val="0010127A"/>
    <w:rsid w:val="00193D70"/>
    <w:rsid w:val="001E1115"/>
    <w:rsid w:val="001E5E54"/>
    <w:rsid w:val="001F1B50"/>
    <w:rsid w:val="00274998"/>
    <w:rsid w:val="002C2B12"/>
    <w:rsid w:val="002D3921"/>
    <w:rsid w:val="00347EE7"/>
    <w:rsid w:val="00352170"/>
    <w:rsid w:val="00362708"/>
    <w:rsid w:val="003D078F"/>
    <w:rsid w:val="004400D0"/>
    <w:rsid w:val="00440C6A"/>
    <w:rsid w:val="00442C43"/>
    <w:rsid w:val="00481AE3"/>
    <w:rsid w:val="004A43D0"/>
    <w:rsid w:val="004A6FE4"/>
    <w:rsid w:val="004B0E31"/>
    <w:rsid w:val="00546092"/>
    <w:rsid w:val="0057124C"/>
    <w:rsid w:val="005D417E"/>
    <w:rsid w:val="005F1BDF"/>
    <w:rsid w:val="006025C3"/>
    <w:rsid w:val="006230D9"/>
    <w:rsid w:val="0064600E"/>
    <w:rsid w:val="0065522A"/>
    <w:rsid w:val="006C0B77"/>
    <w:rsid w:val="006C65E3"/>
    <w:rsid w:val="006E73D2"/>
    <w:rsid w:val="006F7D02"/>
    <w:rsid w:val="00752263"/>
    <w:rsid w:val="007B29D9"/>
    <w:rsid w:val="007C7577"/>
    <w:rsid w:val="007D36DD"/>
    <w:rsid w:val="007D38A1"/>
    <w:rsid w:val="007F6A78"/>
    <w:rsid w:val="00816400"/>
    <w:rsid w:val="008242FF"/>
    <w:rsid w:val="00835914"/>
    <w:rsid w:val="008608AB"/>
    <w:rsid w:val="00870751"/>
    <w:rsid w:val="00882E83"/>
    <w:rsid w:val="00892C97"/>
    <w:rsid w:val="00910B52"/>
    <w:rsid w:val="00922C48"/>
    <w:rsid w:val="00923836"/>
    <w:rsid w:val="009C2A48"/>
    <w:rsid w:val="009D34E3"/>
    <w:rsid w:val="00A01DF7"/>
    <w:rsid w:val="00A67128"/>
    <w:rsid w:val="00A91ABF"/>
    <w:rsid w:val="00AC754D"/>
    <w:rsid w:val="00AE29C9"/>
    <w:rsid w:val="00B1781A"/>
    <w:rsid w:val="00B34590"/>
    <w:rsid w:val="00B913BB"/>
    <w:rsid w:val="00B915B7"/>
    <w:rsid w:val="00B91D86"/>
    <w:rsid w:val="00BA0714"/>
    <w:rsid w:val="00BA245D"/>
    <w:rsid w:val="00BB14B9"/>
    <w:rsid w:val="00BF7BC7"/>
    <w:rsid w:val="00C4242A"/>
    <w:rsid w:val="00C53CB0"/>
    <w:rsid w:val="00CC48F1"/>
    <w:rsid w:val="00CD606A"/>
    <w:rsid w:val="00CE084A"/>
    <w:rsid w:val="00CE1917"/>
    <w:rsid w:val="00D70E5C"/>
    <w:rsid w:val="00D747DE"/>
    <w:rsid w:val="00DA16F1"/>
    <w:rsid w:val="00E436DD"/>
    <w:rsid w:val="00EA5337"/>
    <w:rsid w:val="00EA59DF"/>
    <w:rsid w:val="00EE4070"/>
    <w:rsid w:val="00F12C76"/>
    <w:rsid w:val="00F2267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A326"/>
  <w15:chartTrackingRefBased/>
  <w15:docId w15:val="{CB4E01FE-2A62-4004-A0C6-2B451B4D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5E3"/>
    <w:pPr>
      <w:spacing w:line="240" w:lineRule="auto"/>
    </w:pPr>
    <w:rPr>
      <w:rFonts w:ascii="Times New Roman" w:hAnsi="Times New Roman"/>
      <w:sz w:val="28"/>
    </w:rPr>
  </w:style>
  <w:style w:type="paragraph" w:styleId="1">
    <w:name w:val="heading 1"/>
    <w:basedOn w:val="a"/>
    <w:next w:val="a"/>
    <w:link w:val="10"/>
    <w:uiPriority w:val="9"/>
    <w:qFormat/>
    <w:rsid w:val="005712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712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7124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7124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7124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712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7124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7124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7124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24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7124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7124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7124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7124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7124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7124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7124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7124C"/>
    <w:rPr>
      <w:rFonts w:eastAsiaTheme="majorEastAsia" w:cstheme="majorBidi"/>
      <w:color w:val="272727" w:themeColor="text1" w:themeTint="D8"/>
      <w:sz w:val="28"/>
    </w:rPr>
  </w:style>
  <w:style w:type="paragraph" w:styleId="a3">
    <w:name w:val="Title"/>
    <w:basedOn w:val="a"/>
    <w:next w:val="a"/>
    <w:link w:val="a4"/>
    <w:uiPriority w:val="10"/>
    <w:qFormat/>
    <w:rsid w:val="0057124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12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24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712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124C"/>
    <w:pPr>
      <w:spacing w:before="160"/>
      <w:jc w:val="center"/>
    </w:pPr>
    <w:rPr>
      <w:i/>
      <w:iCs/>
      <w:color w:val="404040" w:themeColor="text1" w:themeTint="BF"/>
    </w:rPr>
  </w:style>
  <w:style w:type="character" w:customStyle="1" w:styleId="22">
    <w:name w:val="Цитата 2 Знак"/>
    <w:basedOn w:val="a0"/>
    <w:link w:val="21"/>
    <w:uiPriority w:val="29"/>
    <w:rsid w:val="0057124C"/>
    <w:rPr>
      <w:rFonts w:ascii="Times New Roman" w:hAnsi="Times New Roman"/>
      <w:i/>
      <w:iCs/>
      <w:color w:val="404040" w:themeColor="text1" w:themeTint="BF"/>
      <w:sz w:val="28"/>
    </w:rPr>
  </w:style>
  <w:style w:type="paragraph" w:styleId="a7">
    <w:name w:val="List Paragraph"/>
    <w:basedOn w:val="a"/>
    <w:uiPriority w:val="34"/>
    <w:qFormat/>
    <w:rsid w:val="0057124C"/>
    <w:pPr>
      <w:ind w:left="720"/>
      <w:contextualSpacing/>
    </w:pPr>
  </w:style>
  <w:style w:type="character" w:styleId="a8">
    <w:name w:val="Intense Emphasis"/>
    <w:basedOn w:val="a0"/>
    <w:uiPriority w:val="21"/>
    <w:qFormat/>
    <w:rsid w:val="0057124C"/>
    <w:rPr>
      <w:i/>
      <w:iCs/>
      <w:color w:val="2E74B5" w:themeColor="accent1" w:themeShade="BF"/>
    </w:rPr>
  </w:style>
  <w:style w:type="paragraph" w:styleId="a9">
    <w:name w:val="Intense Quote"/>
    <w:basedOn w:val="a"/>
    <w:next w:val="a"/>
    <w:link w:val="aa"/>
    <w:uiPriority w:val="30"/>
    <w:qFormat/>
    <w:rsid w:val="005712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7124C"/>
    <w:rPr>
      <w:rFonts w:ascii="Times New Roman" w:hAnsi="Times New Roman"/>
      <w:i/>
      <w:iCs/>
      <w:color w:val="2E74B5" w:themeColor="accent1" w:themeShade="BF"/>
      <w:sz w:val="28"/>
    </w:rPr>
  </w:style>
  <w:style w:type="character" w:styleId="ab">
    <w:name w:val="Intense Reference"/>
    <w:basedOn w:val="a0"/>
    <w:uiPriority w:val="32"/>
    <w:qFormat/>
    <w:rsid w:val="0057124C"/>
    <w:rPr>
      <w:b/>
      <w:bCs/>
      <w:smallCaps/>
      <w:color w:val="2E74B5" w:themeColor="accent1" w:themeShade="BF"/>
      <w:spacing w:val="5"/>
    </w:rPr>
  </w:style>
  <w:style w:type="character" w:styleId="ac">
    <w:name w:val="Hyperlink"/>
    <w:basedOn w:val="a0"/>
    <w:uiPriority w:val="99"/>
    <w:unhideWhenUsed/>
    <w:rsid w:val="001F1B50"/>
    <w:rPr>
      <w:color w:val="0563C1" w:themeColor="hyperlink"/>
      <w:u w:val="single"/>
    </w:rPr>
  </w:style>
  <w:style w:type="character" w:customStyle="1" w:styleId="11">
    <w:name w:val="Неразрешенное упоминание1"/>
    <w:basedOn w:val="a0"/>
    <w:uiPriority w:val="99"/>
    <w:semiHidden/>
    <w:unhideWhenUsed/>
    <w:rsid w:val="001F1B50"/>
    <w:rPr>
      <w:color w:val="605E5C"/>
      <w:shd w:val="clear" w:color="auto" w:fill="E1DFDD"/>
    </w:rPr>
  </w:style>
  <w:style w:type="character" w:styleId="ad">
    <w:name w:val="annotation reference"/>
    <w:basedOn w:val="a0"/>
    <w:uiPriority w:val="99"/>
    <w:semiHidden/>
    <w:unhideWhenUsed/>
    <w:rsid w:val="00CC48F1"/>
    <w:rPr>
      <w:sz w:val="16"/>
      <w:szCs w:val="16"/>
    </w:rPr>
  </w:style>
  <w:style w:type="paragraph" w:styleId="ae">
    <w:name w:val="annotation text"/>
    <w:basedOn w:val="a"/>
    <w:link w:val="af"/>
    <w:uiPriority w:val="99"/>
    <w:semiHidden/>
    <w:unhideWhenUsed/>
    <w:rsid w:val="00CC48F1"/>
    <w:rPr>
      <w:sz w:val="20"/>
      <w:szCs w:val="20"/>
    </w:rPr>
  </w:style>
  <w:style w:type="character" w:customStyle="1" w:styleId="af">
    <w:name w:val="Текст примечания Знак"/>
    <w:basedOn w:val="a0"/>
    <w:link w:val="ae"/>
    <w:uiPriority w:val="99"/>
    <w:semiHidden/>
    <w:rsid w:val="00CC48F1"/>
    <w:rPr>
      <w:rFonts w:ascii="Times New Roman" w:hAnsi="Times New Roman"/>
      <w:sz w:val="20"/>
      <w:szCs w:val="20"/>
    </w:rPr>
  </w:style>
  <w:style w:type="paragraph" w:styleId="af0">
    <w:name w:val="annotation subject"/>
    <w:basedOn w:val="ae"/>
    <w:next w:val="ae"/>
    <w:link w:val="af1"/>
    <w:uiPriority w:val="99"/>
    <w:semiHidden/>
    <w:unhideWhenUsed/>
    <w:rsid w:val="00CC48F1"/>
    <w:rPr>
      <w:b/>
      <w:bCs/>
    </w:rPr>
  </w:style>
  <w:style w:type="character" w:customStyle="1" w:styleId="af1">
    <w:name w:val="Тема примечания Знак"/>
    <w:basedOn w:val="af"/>
    <w:link w:val="af0"/>
    <w:uiPriority w:val="99"/>
    <w:semiHidden/>
    <w:rsid w:val="00CC48F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xolidatursinbayeva1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2542</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VICTUS</dc:creator>
  <cp:keywords/>
  <dc:description/>
  <cp:lastModifiedBy>Пользователь</cp:lastModifiedBy>
  <cp:revision>7</cp:revision>
  <dcterms:created xsi:type="dcterms:W3CDTF">2025-12-14T08:41:00Z</dcterms:created>
  <dcterms:modified xsi:type="dcterms:W3CDTF">2026-01-08T07:21:00Z</dcterms:modified>
</cp:coreProperties>
</file>