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4001" w14:textId="4C4B54CC" w:rsidR="008C7EFB" w:rsidRPr="003C135C" w:rsidRDefault="005A4C9F" w:rsidP="00625857">
      <w:pPr>
        <w:spacing w:before="1200" w:after="200" w:line="240" w:lineRule="auto"/>
        <w:jc w:val="center"/>
        <w:rPr>
          <w:rFonts w:ascii="Times New Roman" w:hAnsi="Times New Roman" w:cs="Times New Roman"/>
          <w:b/>
          <w:bCs/>
          <w:sz w:val="36"/>
          <w:szCs w:val="36"/>
          <w:lang w:val="en-US"/>
        </w:rPr>
      </w:pPr>
      <w:bookmarkStart w:id="0" w:name="_Hlk216951165"/>
      <w:bookmarkEnd w:id="0"/>
      <w:r w:rsidRPr="003C135C">
        <w:rPr>
          <w:rFonts w:ascii="Times New Roman" w:hAnsi="Times New Roman" w:cs="Times New Roman"/>
          <w:b/>
          <w:bCs/>
          <w:sz w:val="36"/>
          <w:szCs w:val="36"/>
          <w:lang w:val="en-US"/>
        </w:rPr>
        <w:t xml:space="preserve">Multiscale analysis of nanocellulose: structural, adsorption and sensory properties </w:t>
      </w:r>
    </w:p>
    <w:p w14:paraId="77F4B670" w14:textId="334C13BC" w:rsidR="00220F0D" w:rsidRPr="00FB4938" w:rsidRDefault="00220F0D" w:rsidP="00FB4938">
      <w:pPr>
        <w:spacing w:before="240" w:after="200"/>
        <w:jc w:val="center"/>
        <w:rPr>
          <w:rStyle w:val="fontstyle01"/>
          <w:b w:val="0"/>
          <w:bCs w:val="0"/>
          <w:lang w:val="en-US"/>
        </w:rPr>
      </w:pPr>
      <w:proofErr w:type="spellStart"/>
      <w:r w:rsidRPr="00FB4938">
        <w:rPr>
          <w:rStyle w:val="fontstyle01"/>
          <w:b w:val="0"/>
          <w:bCs w:val="0"/>
          <w:lang w:val="en-US"/>
        </w:rPr>
        <w:t>Shohzod</w:t>
      </w:r>
      <w:r w:rsidR="00087758" w:rsidRPr="00FB4938">
        <w:rPr>
          <w:rStyle w:val="fontstyle01"/>
          <w:b w:val="0"/>
          <w:bCs w:val="0"/>
          <w:lang w:val="en-US"/>
        </w:rPr>
        <w:t>bek</w:t>
      </w:r>
      <w:proofErr w:type="spellEnd"/>
      <w:r w:rsidRPr="00FB4938">
        <w:rPr>
          <w:rStyle w:val="fontstyle01"/>
          <w:b w:val="0"/>
          <w:bCs w:val="0"/>
          <w:lang w:val="en-US"/>
        </w:rPr>
        <w:t xml:space="preserve"> Rashidov</w:t>
      </w:r>
      <w:r w:rsidRPr="00FB4938">
        <w:rPr>
          <w:rStyle w:val="fontstyle01"/>
          <w:b w:val="0"/>
          <w:bCs w:val="0"/>
          <w:vertAlign w:val="superscript"/>
          <w:lang w:val="en-US"/>
        </w:rPr>
        <w:t xml:space="preserve"> a)</w:t>
      </w:r>
      <w:r w:rsidRPr="00FB4938">
        <w:rPr>
          <w:rStyle w:val="fontstyle01"/>
          <w:b w:val="0"/>
          <w:bCs w:val="0"/>
          <w:lang w:val="en-US"/>
        </w:rPr>
        <w:t>,</w:t>
      </w:r>
      <w:r w:rsidR="00E26544">
        <w:rPr>
          <w:rStyle w:val="fontstyle01"/>
          <w:b w:val="0"/>
          <w:bCs w:val="0"/>
          <w:lang w:val="en-US"/>
        </w:rPr>
        <w:t xml:space="preserve"> </w:t>
      </w:r>
      <w:proofErr w:type="spellStart"/>
      <w:r w:rsidR="0063783B" w:rsidRPr="00FB4938">
        <w:rPr>
          <w:rStyle w:val="fontstyle01"/>
          <w:b w:val="0"/>
          <w:bCs w:val="0"/>
          <w:lang w:val="en-US"/>
        </w:rPr>
        <w:t>Elmurod</w:t>
      </w:r>
      <w:proofErr w:type="spellEnd"/>
      <w:r w:rsidR="0063783B" w:rsidRPr="00FB4938">
        <w:rPr>
          <w:rStyle w:val="fontstyle01"/>
          <w:b w:val="0"/>
          <w:bCs w:val="0"/>
          <w:lang w:val="en-US"/>
        </w:rPr>
        <w:t xml:space="preserve"> Egamberdiev, </w:t>
      </w:r>
      <w:proofErr w:type="spellStart"/>
      <w:r w:rsidR="0063783B" w:rsidRPr="00FB4938">
        <w:rPr>
          <w:rStyle w:val="fontstyle01"/>
          <w:b w:val="0"/>
          <w:bCs w:val="0"/>
          <w:lang w:val="en-US"/>
        </w:rPr>
        <w:t>Sadritdin</w:t>
      </w:r>
      <w:proofErr w:type="spellEnd"/>
      <w:r w:rsidR="0063783B" w:rsidRPr="00FB4938">
        <w:rPr>
          <w:rStyle w:val="fontstyle01"/>
          <w:b w:val="0"/>
          <w:bCs w:val="0"/>
          <w:lang w:val="en-US"/>
        </w:rPr>
        <w:t xml:space="preserve"> </w:t>
      </w:r>
      <w:proofErr w:type="gramStart"/>
      <w:r w:rsidR="0063783B" w:rsidRPr="00FB4938">
        <w:rPr>
          <w:rStyle w:val="fontstyle01"/>
          <w:b w:val="0"/>
          <w:bCs w:val="0"/>
          <w:lang w:val="en-US"/>
        </w:rPr>
        <w:t>Turabdjanov</w:t>
      </w:r>
      <w:r w:rsidR="0063783B">
        <w:rPr>
          <w:rStyle w:val="fontstyle01"/>
          <w:b w:val="0"/>
          <w:bCs w:val="0"/>
          <w:lang w:val="en-US"/>
        </w:rPr>
        <w:t xml:space="preserve">, </w:t>
      </w:r>
      <w:r w:rsidR="003F2FF6">
        <w:rPr>
          <w:rStyle w:val="fontstyle01"/>
          <w:b w:val="0"/>
          <w:bCs w:val="0"/>
          <w:lang w:val="uz-Cyrl-UZ"/>
        </w:rPr>
        <w:t xml:space="preserve">  </w:t>
      </w:r>
      <w:proofErr w:type="gramEnd"/>
      <w:r w:rsidR="003F2FF6">
        <w:rPr>
          <w:rStyle w:val="fontstyle01"/>
          <w:b w:val="0"/>
          <w:bCs w:val="0"/>
          <w:lang w:val="uz-Cyrl-UZ"/>
        </w:rPr>
        <w:t xml:space="preserve">               </w:t>
      </w:r>
      <w:r w:rsidR="0063783B">
        <w:rPr>
          <w:rStyle w:val="fontstyle01"/>
          <w:b w:val="0"/>
          <w:bCs w:val="0"/>
          <w:lang w:val="en-US"/>
        </w:rPr>
        <w:t xml:space="preserve">Doston </w:t>
      </w:r>
      <w:r w:rsidR="00322F7C">
        <w:rPr>
          <w:rStyle w:val="fontstyle01"/>
          <w:b w:val="0"/>
          <w:bCs w:val="0"/>
          <w:lang w:val="en-US"/>
        </w:rPr>
        <w:t>Shomurodov,</w:t>
      </w:r>
      <w:r w:rsidRPr="00FB4938">
        <w:rPr>
          <w:rStyle w:val="fontstyle01"/>
          <w:b w:val="0"/>
          <w:bCs w:val="0"/>
          <w:lang w:val="en-US"/>
        </w:rPr>
        <w:t xml:space="preserve"> </w:t>
      </w:r>
      <w:proofErr w:type="spellStart"/>
      <w:r w:rsidR="003969D5">
        <w:rPr>
          <w:rStyle w:val="fontstyle01"/>
          <w:b w:val="0"/>
          <w:bCs w:val="0"/>
          <w:lang w:val="en-US"/>
        </w:rPr>
        <w:t>Fakhriddin</w:t>
      </w:r>
      <w:proofErr w:type="spellEnd"/>
      <w:r w:rsidR="003969D5">
        <w:rPr>
          <w:rStyle w:val="fontstyle01"/>
          <w:b w:val="0"/>
          <w:bCs w:val="0"/>
          <w:lang w:val="en-US"/>
        </w:rPr>
        <w:t xml:space="preserve"> Umarov</w:t>
      </w:r>
    </w:p>
    <w:p w14:paraId="5E107AB2" w14:textId="647E5E53" w:rsidR="00220F0D" w:rsidRPr="003F2FF6" w:rsidRDefault="00087758" w:rsidP="0030606F">
      <w:pPr>
        <w:jc w:val="center"/>
        <w:rPr>
          <w:rFonts w:ascii="Times New Roman" w:hAnsi="Times New Roman" w:cs="Times New Roman"/>
          <w:i/>
          <w:iCs/>
          <w:color w:val="000000"/>
          <w:sz w:val="20"/>
          <w:szCs w:val="20"/>
          <w:lang w:val="en-US"/>
        </w:rPr>
      </w:pPr>
      <w:r w:rsidRPr="003F2FF6">
        <w:rPr>
          <w:rFonts w:ascii="Times New Roman" w:hAnsi="Times New Roman" w:cs="Times New Roman"/>
          <w:i/>
          <w:iCs/>
          <w:color w:val="000000"/>
          <w:sz w:val="20"/>
          <w:szCs w:val="20"/>
          <w:lang w:val="en-US"/>
        </w:rPr>
        <w:t>Tashkent state technical university named after Islam Karimov, Tashkent, Uzbekistan</w:t>
      </w:r>
    </w:p>
    <w:p w14:paraId="59451A76" w14:textId="2A42126E" w:rsidR="00220F0D" w:rsidRPr="003F2FF6" w:rsidRDefault="00087758" w:rsidP="00FB4938">
      <w:pPr>
        <w:spacing w:before="200" w:after="200"/>
        <w:jc w:val="center"/>
        <w:rPr>
          <w:rFonts w:ascii="Times New Roman" w:hAnsi="Times New Roman" w:cs="Times New Roman"/>
          <w:i/>
          <w:iCs/>
          <w:color w:val="000000"/>
          <w:sz w:val="20"/>
          <w:szCs w:val="20"/>
          <w:lang w:val="en-US"/>
        </w:rPr>
      </w:pPr>
      <w:r w:rsidRPr="003F2FF6">
        <w:rPr>
          <w:rFonts w:ascii="Times New Roman" w:hAnsi="Times New Roman" w:cs="Times New Roman"/>
          <w:i/>
          <w:iCs/>
          <w:color w:val="000000"/>
          <w:sz w:val="20"/>
          <w:szCs w:val="20"/>
          <w:vertAlign w:val="superscript"/>
          <w:lang w:val="en-US"/>
        </w:rPr>
        <w:t xml:space="preserve">a) </w:t>
      </w:r>
      <w:r w:rsidR="00220F0D" w:rsidRPr="003F2FF6">
        <w:rPr>
          <w:rFonts w:ascii="Times New Roman" w:hAnsi="Times New Roman" w:cs="Times New Roman"/>
          <w:i/>
          <w:iCs/>
          <w:color w:val="000000"/>
          <w:sz w:val="20"/>
          <w:szCs w:val="20"/>
          <w:lang w:val="en-US"/>
        </w:rPr>
        <w:t xml:space="preserve">Corresponding author: </w:t>
      </w:r>
      <w:hyperlink r:id="rId7" w:history="1">
        <w:r w:rsidR="00220F0D" w:rsidRPr="003F2FF6">
          <w:rPr>
            <w:rStyle w:val="a3"/>
            <w:rFonts w:ascii="Times New Roman" w:hAnsi="Times New Roman" w:cs="Times New Roman"/>
            <w:i/>
            <w:iCs/>
            <w:sz w:val="20"/>
            <w:szCs w:val="20"/>
            <w:lang w:val="en-US"/>
          </w:rPr>
          <w:t>Shoh.rashidov2103@gmail.com</w:t>
        </w:r>
      </w:hyperlink>
    </w:p>
    <w:p w14:paraId="032B0B96" w14:textId="511123F5" w:rsidR="005A4C9F" w:rsidRPr="00180E49" w:rsidRDefault="005A4C9F" w:rsidP="00406DE3">
      <w:pPr>
        <w:spacing w:before="360" w:after="360"/>
        <w:ind w:left="284" w:right="284"/>
        <w:jc w:val="both"/>
        <w:rPr>
          <w:rFonts w:ascii="Times New Roman" w:eastAsia="Times New Roman" w:hAnsi="Times New Roman" w:cs="Times New Roman"/>
          <w:sz w:val="18"/>
          <w:szCs w:val="18"/>
          <w:lang w:val="en-US" w:eastAsia="ru-RU"/>
        </w:rPr>
      </w:pPr>
      <w:r w:rsidRPr="00180E49">
        <w:rPr>
          <w:rFonts w:ascii="Times New Roman" w:eastAsia="Times New Roman" w:hAnsi="Times New Roman" w:cs="Times New Roman"/>
          <w:b/>
          <w:bCs/>
          <w:sz w:val="18"/>
          <w:szCs w:val="18"/>
          <w:lang w:val="en-US" w:eastAsia="ru-RU"/>
        </w:rPr>
        <w:t xml:space="preserve">Abstract. </w:t>
      </w:r>
      <w:r w:rsidRPr="00180E49">
        <w:rPr>
          <w:rFonts w:ascii="Times New Roman" w:eastAsia="Times New Roman" w:hAnsi="Times New Roman" w:cs="Times New Roman"/>
          <w:sz w:val="18"/>
          <w:szCs w:val="18"/>
          <w:lang w:val="en-US" w:eastAsia="ru-RU"/>
        </w:rPr>
        <w:t xml:space="preserve">This paper presents an extensive study of nanocellulose obtained from Miscanthus and Broussonetia papery using a combined </w:t>
      </w:r>
      <w:proofErr w:type="spellStart"/>
      <w:r w:rsidRPr="00180E49">
        <w:rPr>
          <w:rFonts w:ascii="Times New Roman" w:eastAsia="Times New Roman" w:hAnsi="Times New Roman" w:cs="Times New Roman"/>
          <w:sz w:val="18"/>
          <w:szCs w:val="18"/>
          <w:lang w:val="en-US" w:eastAsia="ru-RU"/>
        </w:rPr>
        <w:t>chemomechanical</w:t>
      </w:r>
      <w:proofErr w:type="spellEnd"/>
      <w:r w:rsidRPr="00180E49">
        <w:rPr>
          <w:rFonts w:ascii="Times New Roman" w:eastAsia="Times New Roman" w:hAnsi="Times New Roman" w:cs="Times New Roman"/>
          <w:sz w:val="18"/>
          <w:szCs w:val="18"/>
          <w:lang w:val="en-US" w:eastAsia="ru-RU"/>
        </w:rPr>
        <w:t xml:space="preserve"> method. The following analytical methods were used for a comprehensive evaluation of the synthesized samples' properties: dynamic light scattering (DLS), IR spectroscopy, McBain adsorption analysis, and quartz crystal microbalance (QCM) gas sensing. Five nanocellulose samples obtained under different hydrolysis conditions were compared. The influence of morphology, particle size distribution, porosity, and specific surface area on the sorption and sensory activity of the materials was established. Samples 4.1-6 and 4.1-9 demonstrated the highest sensitivity to CO₂, which allows them to be considered as promising materials for the development of environmental sensors and membrane systems. The presented results expand scientific understanding of the relationship between the structure and functional properties of nanocellulose and open up new areas of biopolymer application in engineering and environmental applications.</w:t>
      </w:r>
    </w:p>
    <w:p w14:paraId="320EB128" w14:textId="402DB730" w:rsidR="00D20480" w:rsidRPr="005A4C9F" w:rsidRDefault="005A4C9F" w:rsidP="00406DE3">
      <w:pPr>
        <w:spacing w:before="240" w:after="240"/>
        <w:ind w:firstLine="567"/>
        <w:jc w:val="center"/>
        <w:rPr>
          <w:rFonts w:ascii="Times New Roman" w:hAnsi="Times New Roman" w:cs="Times New Roman"/>
          <w:b/>
          <w:bCs/>
          <w:sz w:val="24"/>
          <w:szCs w:val="24"/>
          <w:lang w:val="en-US"/>
        </w:rPr>
      </w:pPr>
      <w:r w:rsidRPr="005A4C9F">
        <w:rPr>
          <w:rFonts w:ascii="Times New Roman" w:hAnsi="Times New Roman" w:cs="Times New Roman"/>
          <w:b/>
          <w:bCs/>
          <w:sz w:val="24"/>
          <w:szCs w:val="24"/>
          <w:lang w:val="en-US"/>
        </w:rPr>
        <w:t>INTRODUCTION</w:t>
      </w:r>
    </w:p>
    <w:p w14:paraId="60C68148" w14:textId="3A0F0B43"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Nanocellulose is one of the most promising biopolymer nanostructures due to its combination of high mechanical strength, developed surface area, biocompatibility, chemical modifiability, and environmental safety. This unique combination of properties has led to its use in membrane technologies, sensorics, packaging materials, biomedicine, sorbents, and composites [1, 2].</w:t>
      </w:r>
    </w:p>
    <w:p w14:paraId="3A5A827F"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Development of nanocellulose production methods includes acid hydrolysis, mechanical defibrillation, enzymatic treatment, TEMPO oxidation, and hybrid approaches [3]. However, to date, there is no universal method for simultaneously controlling the morphology, surface properties, and adsorption behavior of nanocellulose. Furthermore, the material's properties depend significantly on the starting plant material, degree of crystallinity, mechanochemical treatment, and hydrolysis conditions [5].</w:t>
      </w:r>
    </w:p>
    <w:p w14:paraId="3D4D05B9"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Of particular interest is the production of nanocellulose from unconventional sources, such as Miscanthus and Broussonetia papyracea. Both plants are characterized by high yields, rapid growth, resistance to climatic conditions, and high cellulose content, making them attractive candidates for green biomaterial production [4].</w:t>
      </w:r>
    </w:p>
    <w:p w14:paraId="4EE15DE7"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Comprehensive characterization of nanocellulose is an important step in the development of technologies for its practical application. DLS methods allow us to determine particle size distribution, IR spectroscopy allows us to determine structure and functional groups, adsorption methods allow us to determine surface characteristics, while QCM sensors are becoming a modern tool for assessing the gas sensitivity of biopolymers.</w:t>
      </w:r>
    </w:p>
    <w:p w14:paraId="1FBDA783" w14:textId="36DC3CA3" w:rsidR="00227DCE" w:rsidRPr="00BC00E4" w:rsidRDefault="00BC00E4" w:rsidP="00BC00E4">
      <w:pPr>
        <w:spacing w:after="100" w:afterAutospacing="1"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The goal of this study is to obtain nanocellulose from plant materials using a combined method and conduct a multi-level study of its structural, adsorption, and sensory properties to determine the optimal sample.</w:t>
      </w:r>
    </w:p>
    <w:p w14:paraId="4378F5FB" w14:textId="77777777" w:rsidR="008B1391" w:rsidRDefault="008B1391" w:rsidP="00EC67B2">
      <w:pPr>
        <w:spacing w:before="240" w:after="240"/>
        <w:ind w:firstLine="284"/>
        <w:jc w:val="center"/>
        <w:rPr>
          <w:rFonts w:ascii="Times New Roman" w:eastAsia="Times New Roman" w:hAnsi="Times New Roman" w:cs="Times New Roman"/>
          <w:b/>
          <w:bCs/>
          <w:sz w:val="24"/>
          <w:szCs w:val="24"/>
          <w:lang w:val="en-US" w:eastAsia="ru-RU"/>
        </w:rPr>
      </w:pPr>
    </w:p>
    <w:p w14:paraId="0A56C1D5" w14:textId="77777777" w:rsidR="008B1391" w:rsidRDefault="008B1391" w:rsidP="00EC67B2">
      <w:pPr>
        <w:spacing w:before="240" w:after="240"/>
        <w:ind w:firstLine="284"/>
        <w:jc w:val="center"/>
        <w:rPr>
          <w:rFonts w:ascii="Times New Roman" w:eastAsia="Times New Roman" w:hAnsi="Times New Roman" w:cs="Times New Roman"/>
          <w:b/>
          <w:bCs/>
          <w:sz w:val="24"/>
          <w:szCs w:val="24"/>
          <w:lang w:val="en-US" w:eastAsia="ru-RU"/>
        </w:rPr>
      </w:pPr>
    </w:p>
    <w:p w14:paraId="15AA3BD5" w14:textId="3D56B8C8" w:rsidR="00406DE3" w:rsidRPr="00322F7C" w:rsidRDefault="00BC00E4" w:rsidP="00EC67B2">
      <w:pPr>
        <w:spacing w:before="240" w:after="240"/>
        <w:ind w:firstLine="284"/>
        <w:jc w:val="center"/>
        <w:rPr>
          <w:rFonts w:ascii="Times New Roman" w:hAnsi="Times New Roman" w:cs="Times New Roman"/>
          <w:b/>
          <w:bCs/>
          <w:sz w:val="24"/>
          <w:szCs w:val="24"/>
          <w:lang w:val="en-US"/>
        </w:rPr>
      </w:pPr>
      <w:r w:rsidRPr="00322F7C">
        <w:rPr>
          <w:rFonts w:ascii="Times New Roman" w:eastAsia="Times New Roman" w:hAnsi="Times New Roman" w:cs="Times New Roman"/>
          <w:b/>
          <w:bCs/>
          <w:sz w:val="24"/>
          <w:szCs w:val="24"/>
          <w:lang w:val="en-US" w:eastAsia="ru-RU"/>
        </w:rPr>
        <w:lastRenderedPageBreak/>
        <w:t>EXPERIMENTAL RESEARCH</w:t>
      </w:r>
    </w:p>
    <w:p w14:paraId="74F80465"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180E49">
        <w:rPr>
          <w:rFonts w:ascii="Times New Roman" w:eastAsia="Times New Roman" w:hAnsi="Times New Roman" w:cs="Times New Roman"/>
          <w:b/>
          <w:bCs/>
          <w:i/>
          <w:iCs/>
          <w:sz w:val="20"/>
          <w:szCs w:val="20"/>
          <w:lang w:val="en-US" w:eastAsia="ru-RU"/>
        </w:rPr>
        <w:t>Feedstock and nanocellulose production.</w:t>
      </w:r>
      <w:r w:rsidRPr="00BC00E4">
        <w:rPr>
          <w:rFonts w:ascii="Times New Roman" w:eastAsia="Times New Roman" w:hAnsi="Times New Roman" w:cs="Times New Roman"/>
          <w:sz w:val="20"/>
          <w:szCs w:val="20"/>
          <w:lang w:val="en-US" w:eastAsia="ru-RU"/>
        </w:rPr>
        <w:t xml:space="preserve"> Miscanthus and Broussonetia papery cellulose were used as feedstock materials. Nanocellulose was produced using a combined method involving chemical treatment and mechanical destruction, allowing for the production of nanoscale particles [6,7]. The samples obtained under various conditions of the combined method were tested using multi-level analyses such as dynamic light scattering (DLS) [8], IR spectroscopy, McBain adsorption analysis, and QCM sensor analysis.</w:t>
      </w:r>
    </w:p>
    <w:p w14:paraId="69CD8608"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Particle size was determined using DLS. Colloidal solutions of five nanocellulose samples were prepared for analysis: 3.1-6, 3.1-9, 4.1-6, 4.1-9, and 5.1. The following parameters were measured: r – hydrodynamic radius (nm); G(r) – prevalence; C(r) – nanocellulose concentration [9].</w:t>
      </w:r>
    </w:p>
    <w:p w14:paraId="0C9BDE1D"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 xml:space="preserve">IR spectra were recorded in the range of 400–4000 cm⁻¹. Peaks characteristic of cellulose structures </w:t>
      </w:r>
      <w:proofErr w:type="gramStart"/>
      <w:r w:rsidRPr="00BC00E4">
        <w:rPr>
          <w:rFonts w:ascii="Times New Roman" w:eastAsia="Times New Roman" w:hAnsi="Times New Roman" w:cs="Times New Roman"/>
          <w:sz w:val="20"/>
          <w:szCs w:val="20"/>
          <w:lang w:val="en-US" w:eastAsia="ru-RU"/>
        </w:rPr>
        <w:t>were</w:t>
      </w:r>
      <w:proofErr w:type="gramEnd"/>
      <w:r w:rsidRPr="00BC00E4">
        <w:rPr>
          <w:rFonts w:ascii="Times New Roman" w:eastAsia="Times New Roman" w:hAnsi="Times New Roman" w:cs="Times New Roman"/>
          <w:sz w:val="20"/>
          <w:szCs w:val="20"/>
          <w:lang w:val="en-US" w:eastAsia="ru-RU"/>
        </w:rPr>
        <w:t xml:space="preserve"> interpreted.</w:t>
      </w:r>
    </w:p>
    <w:p w14:paraId="52A4C604" w14:textId="77777777" w:rsidR="00BC00E4" w:rsidRPr="00BC00E4" w:rsidRDefault="00BC00E4" w:rsidP="00BC00E4">
      <w:pPr>
        <w:spacing w:after="0"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Adsorption behavior in aqueous and benzene media was studied. The following parameters were determined: absorption volume (mol/kg), specific surface area (m²/g), micropore and mesopore volume, and pore radius.</w:t>
      </w:r>
    </w:p>
    <w:p w14:paraId="57742612" w14:textId="164D6C3C" w:rsidR="00BC00E4" w:rsidRPr="00BC00E4" w:rsidRDefault="00BC00E4" w:rsidP="00BC00E4">
      <w:pPr>
        <w:spacing w:after="100" w:afterAutospacing="1" w:line="240" w:lineRule="auto"/>
        <w:ind w:firstLine="284"/>
        <w:jc w:val="both"/>
        <w:rPr>
          <w:rFonts w:ascii="Times New Roman" w:eastAsia="Times New Roman" w:hAnsi="Times New Roman" w:cs="Times New Roman"/>
          <w:sz w:val="20"/>
          <w:szCs w:val="20"/>
          <w:lang w:val="en-US" w:eastAsia="ru-RU"/>
        </w:rPr>
      </w:pPr>
      <w:r w:rsidRPr="00BC00E4">
        <w:rPr>
          <w:rFonts w:ascii="Times New Roman" w:eastAsia="Times New Roman" w:hAnsi="Times New Roman" w:cs="Times New Roman"/>
          <w:sz w:val="20"/>
          <w:szCs w:val="20"/>
          <w:lang w:val="en-US" w:eastAsia="ru-RU"/>
        </w:rPr>
        <w:t>The samples were tested for sensitivity to carbon dioxide. The frequency response of a quartz resonator was evaluated.</w:t>
      </w:r>
    </w:p>
    <w:p w14:paraId="6B4F90ED" w14:textId="33C19DEB" w:rsidR="00EC67B2" w:rsidRPr="009F1295" w:rsidRDefault="00BC00E4" w:rsidP="00BC00E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9F1295">
        <w:rPr>
          <w:rFonts w:ascii="Times New Roman" w:eastAsia="Times New Roman" w:hAnsi="Times New Roman" w:cs="Times New Roman"/>
          <w:b/>
          <w:sz w:val="24"/>
          <w:szCs w:val="24"/>
          <w:lang w:val="en-US" w:eastAsia="de-DE"/>
        </w:rPr>
        <w:t>RESEARCH RESULTS</w:t>
      </w:r>
    </w:p>
    <w:p w14:paraId="204EEF53" w14:textId="2C1FFBF5" w:rsidR="00D22C91" w:rsidRPr="00BC00E4" w:rsidRDefault="00BC00E4" w:rsidP="00EC67B2">
      <w:pPr>
        <w:spacing w:line="240" w:lineRule="auto"/>
        <w:ind w:firstLine="284"/>
        <w:jc w:val="both"/>
        <w:rPr>
          <w:rFonts w:ascii="Times New Roman" w:hAnsi="Times New Roman" w:cs="Times New Roman"/>
          <w:sz w:val="20"/>
          <w:szCs w:val="20"/>
          <w:lang w:val="en-US"/>
        </w:rPr>
      </w:pPr>
      <w:r w:rsidRPr="00BC00E4">
        <w:rPr>
          <w:rFonts w:ascii="Times New Roman" w:hAnsi="Times New Roman" w:cs="Times New Roman"/>
          <w:sz w:val="20"/>
          <w:szCs w:val="20"/>
          <w:lang w:val="en-US"/>
        </w:rPr>
        <w:t>In the Dynamic Light Scattering (DLS) analysis, the size of cellulose nanoparticles was examined depending on their concentration in the colloidal solution. In sample 3.1-6, nanocellulose at a concentration of 5.784 shows the highest distribution intensity, while the nanoparticle size is 5.12 nm.</w:t>
      </w:r>
    </w:p>
    <w:p w14:paraId="236C0599" w14:textId="77777777" w:rsidR="00D22C91" w:rsidRPr="00FB4938" w:rsidRDefault="00D22C91" w:rsidP="00D22C91">
      <w:pPr>
        <w:jc w:val="center"/>
        <w:rPr>
          <w:rFonts w:ascii="Times New Roman" w:hAnsi="Times New Roman" w:cs="Times New Roman"/>
          <w:sz w:val="20"/>
          <w:szCs w:val="20"/>
        </w:rPr>
      </w:pPr>
      <w:r w:rsidRPr="00FB4938">
        <w:rPr>
          <w:noProof/>
          <w:sz w:val="20"/>
          <w:szCs w:val="20"/>
          <w:lang w:val="en-US"/>
        </w:rPr>
        <w:drawing>
          <wp:inline distT="0" distB="0" distL="0" distR="0" wp14:anchorId="0E0DDC9B" wp14:editId="5F5651B2">
            <wp:extent cx="4686300" cy="2952750"/>
            <wp:effectExtent l="0" t="0" r="0" b="0"/>
            <wp:docPr id="55" name="Диаграмма 55">
              <a:extLst xmlns:a="http://schemas.openxmlformats.org/drawingml/2006/main">
                <a:ext uri="{FF2B5EF4-FFF2-40B4-BE49-F238E27FC236}">
                  <a16:creationId xmlns:a16="http://schemas.microsoft.com/office/drawing/2014/main" id="{F44B73C0-169D-4D3F-B95E-547B64D53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1F83BF" w14:textId="43499153" w:rsidR="00D22C91" w:rsidRDefault="00561AAC" w:rsidP="00D22C91">
      <w:pPr>
        <w:jc w:val="center"/>
        <w:rPr>
          <w:rFonts w:ascii="Times New Roman" w:hAnsi="Times New Roman" w:cs="Times New Roman"/>
          <w:sz w:val="18"/>
          <w:szCs w:val="18"/>
          <w:lang w:val="en-US"/>
        </w:rPr>
      </w:pPr>
      <w:r>
        <w:rPr>
          <w:rFonts w:ascii="Times New Roman" w:hAnsi="Times New Roman" w:cs="Times New Roman"/>
          <w:b/>
          <w:bCs/>
          <w:sz w:val="18"/>
          <w:szCs w:val="18"/>
          <w:lang w:val="en-US"/>
        </w:rPr>
        <w:t>F</w:t>
      </w:r>
      <w:r>
        <w:rPr>
          <w:rFonts w:ascii="Times New Roman" w:hAnsi="Times New Roman" w:cs="Times New Roman"/>
          <w:b/>
          <w:bCs/>
          <w:sz w:val="18"/>
          <w:szCs w:val="18"/>
          <w:lang w:val="en-AU"/>
        </w:rPr>
        <w:t xml:space="preserve">IGURE </w:t>
      </w:r>
      <w:r w:rsidR="009F1295" w:rsidRPr="003C135C">
        <w:rPr>
          <w:rFonts w:ascii="Times New Roman" w:hAnsi="Times New Roman" w:cs="Times New Roman"/>
          <w:b/>
          <w:bCs/>
          <w:sz w:val="18"/>
          <w:szCs w:val="18"/>
          <w:lang w:val="en-US"/>
        </w:rPr>
        <w:t>1.</w:t>
      </w:r>
      <w:r w:rsidR="009F1295" w:rsidRPr="003C135C">
        <w:rPr>
          <w:rFonts w:ascii="Times New Roman" w:hAnsi="Times New Roman" w:cs="Times New Roman"/>
          <w:sz w:val="18"/>
          <w:szCs w:val="18"/>
          <w:lang w:val="en-US"/>
        </w:rPr>
        <w:t xml:space="preserve"> </w:t>
      </w:r>
      <w:r w:rsidR="009F1295" w:rsidRPr="009F1295">
        <w:rPr>
          <w:rFonts w:ascii="Times New Roman" w:hAnsi="Times New Roman" w:cs="Times New Roman"/>
          <w:sz w:val="18"/>
          <w:szCs w:val="18"/>
          <w:lang w:val="en-US"/>
        </w:rPr>
        <w:t>Sample № 3.1-6. r(nm) is the particle size, G(r) is the degree of prevalence, C(r) is the concentration of nanocellulose in the solution</w:t>
      </w:r>
    </w:p>
    <w:p w14:paraId="374E1594" w14:textId="52942FCD" w:rsidR="009F1295" w:rsidRPr="009F1295" w:rsidRDefault="009F1295" w:rsidP="009F1295">
      <w:pPr>
        <w:spacing w:after="0"/>
        <w:ind w:firstLine="284"/>
        <w:jc w:val="both"/>
        <w:rPr>
          <w:rFonts w:ascii="Times New Roman" w:hAnsi="Times New Roman" w:cs="Times New Roman"/>
          <w:sz w:val="20"/>
          <w:szCs w:val="20"/>
          <w:lang w:val="en-US"/>
        </w:rPr>
      </w:pPr>
      <w:r w:rsidRPr="009F1295">
        <w:rPr>
          <w:rFonts w:ascii="Times New Roman" w:hAnsi="Times New Roman" w:cs="Times New Roman"/>
          <w:sz w:val="20"/>
          <w:szCs w:val="20"/>
          <w:lang w:val="en-US"/>
        </w:rPr>
        <w:t>In sample 3.1-9, nanocellulose at a concentration of 3.761 shows the highest distribution intensity, while the nanoparticle size is 4 nm. This demonstrates that the majority of the obtained solution consists of nanocellulose with a size of about 4 nm.</w:t>
      </w:r>
    </w:p>
    <w:p w14:paraId="17E7EBCF" w14:textId="1C6A4CA1" w:rsidR="009F1295" w:rsidRPr="009F1295" w:rsidRDefault="009F1295" w:rsidP="009F1295">
      <w:pPr>
        <w:spacing w:after="0"/>
        <w:ind w:firstLine="284"/>
        <w:jc w:val="both"/>
        <w:rPr>
          <w:rFonts w:ascii="Times New Roman" w:hAnsi="Times New Roman" w:cs="Times New Roman"/>
          <w:sz w:val="20"/>
          <w:szCs w:val="20"/>
          <w:lang w:val="en-US"/>
        </w:rPr>
      </w:pPr>
      <w:r w:rsidRPr="009F1295">
        <w:rPr>
          <w:rFonts w:ascii="Times New Roman" w:hAnsi="Times New Roman" w:cs="Times New Roman"/>
          <w:sz w:val="20"/>
          <w:szCs w:val="20"/>
          <w:lang w:val="en-US"/>
        </w:rPr>
        <w:t>In sample 4.1-6, nanocellulose at a concentration of 4.537 shows the highest distribution intensity, while the nanoparticle size is 4 nm. This indicates that the majority of the obtained solution consists of nanocellulose with a size of about 4 nm.</w:t>
      </w:r>
    </w:p>
    <w:p w14:paraId="7E25D046" w14:textId="77777777" w:rsidR="00D22C91" w:rsidRPr="00FB4938" w:rsidRDefault="00D22C91" w:rsidP="00D22C91">
      <w:pPr>
        <w:jc w:val="center"/>
        <w:rPr>
          <w:rFonts w:ascii="Times New Roman" w:hAnsi="Times New Roman" w:cs="Times New Roman"/>
          <w:sz w:val="20"/>
          <w:szCs w:val="20"/>
        </w:rPr>
      </w:pPr>
      <w:r w:rsidRPr="00FB4938">
        <w:rPr>
          <w:noProof/>
          <w:sz w:val="20"/>
          <w:szCs w:val="20"/>
          <w:lang w:val="en-US"/>
        </w:rPr>
        <w:lastRenderedPageBreak/>
        <w:drawing>
          <wp:inline distT="0" distB="0" distL="0" distR="0" wp14:anchorId="1214D8B6" wp14:editId="10FCEEF6">
            <wp:extent cx="4724400" cy="3000375"/>
            <wp:effectExtent l="0" t="0" r="0" b="9525"/>
            <wp:docPr id="56" name="Диаграмма 56">
              <a:extLst xmlns:a="http://schemas.openxmlformats.org/drawingml/2006/main">
                <a:ext uri="{FF2B5EF4-FFF2-40B4-BE49-F238E27FC236}">
                  <a16:creationId xmlns:a16="http://schemas.microsoft.com/office/drawing/2014/main" id="{6E257BED-1FC9-4FE2-88FE-3293DFB67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B3F6EF" w14:textId="5B32C3B8" w:rsidR="00D22C91" w:rsidRPr="009F1295" w:rsidRDefault="00561AAC" w:rsidP="00D22C91">
      <w:pPr>
        <w:jc w:val="center"/>
        <w:rPr>
          <w:rFonts w:ascii="Times New Roman" w:hAnsi="Times New Roman" w:cs="Times New Roman"/>
          <w:b/>
          <w:bCs/>
          <w:sz w:val="18"/>
          <w:szCs w:val="18"/>
          <w:lang w:val="en-US"/>
        </w:rPr>
      </w:pPr>
      <w:r w:rsidRPr="00561AAC">
        <w:rPr>
          <w:rFonts w:ascii="Times New Roman" w:hAnsi="Times New Roman" w:cs="Times New Roman"/>
          <w:b/>
          <w:bCs/>
          <w:sz w:val="18"/>
          <w:szCs w:val="18"/>
          <w:lang w:val="en-US"/>
        </w:rPr>
        <w:t>FIGURE</w:t>
      </w:r>
      <w:r w:rsidR="009F1295" w:rsidRPr="003C135C">
        <w:rPr>
          <w:rFonts w:ascii="Times New Roman" w:hAnsi="Times New Roman" w:cs="Times New Roman"/>
          <w:b/>
          <w:bCs/>
          <w:sz w:val="18"/>
          <w:szCs w:val="18"/>
          <w:lang w:val="en-US"/>
        </w:rPr>
        <w:t xml:space="preserve"> 2.</w:t>
      </w:r>
      <w:r w:rsidR="009F1295" w:rsidRPr="003C135C">
        <w:rPr>
          <w:rFonts w:ascii="Times New Roman" w:hAnsi="Times New Roman" w:cs="Times New Roman"/>
          <w:sz w:val="18"/>
          <w:szCs w:val="18"/>
          <w:lang w:val="en-US"/>
        </w:rPr>
        <w:t xml:space="preserve"> </w:t>
      </w:r>
      <w:r w:rsidR="009F1295" w:rsidRPr="009F1295">
        <w:rPr>
          <w:rFonts w:ascii="Times New Roman" w:hAnsi="Times New Roman" w:cs="Times New Roman"/>
          <w:sz w:val="18"/>
          <w:szCs w:val="18"/>
          <w:lang w:val="en-US"/>
        </w:rPr>
        <w:t>Sample № 3.1-9. r(nm) is the particle size, G(r) is the degree of prevalence, C(r) is the concentration of nanocellulose in the solution</w:t>
      </w:r>
    </w:p>
    <w:p w14:paraId="3AE149E6" w14:textId="318D1734" w:rsidR="00D346DB" w:rsidRPr="00FB4938" w:rsidRDefault="00D346DB" w:rsidP="00D346DB">
      <w:pPr>
        <w:jc w:val="center"/>
        <w:rPr>
          <w:sz w:val="20"/>
          <w:szCs w:val="20"/>
        </w:rPr>
      </w:pPr>
      <w:r w:rsidRPr="00FB4938">
        <w:rPr>
          <w:noProof/>
          <w:sz w:val="20"/>
          <w:szCs w:val="20"/>
          <w:lang w:val="en-US"/>
        </w:rPr>
        <w:drawing>
          <wp:inline distT="0" distB="0" distL="0" distR="0" wp14:anchorId="0436C818" wp14:editId="68DECF70">
            <wp:extent cx="4762500" cy="3000375"/>
            <wp:effectExtent l="0" t="0" r="0" b="9525"/>
            <wp:docPr id="57" name="Диаграмма 57">
              <a:extLst xmlns:a="http://schemas.openxmlformats.org/drawingml/2006/main">
                <a:ext uri="{FF2B5EF4-FFF2-40B4-BE49-F238E27FC236}">
                  <a16:creationId xmlns:a16="http://schemas.microsoft.com/office/drawing/2014/main" id="{0B3137CB-72B0-4417-95F7-5D0CEAA3AD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DCC9CE" w14:textId="6697F2B9" w:rsidR="00D346DB" w:rsidRPr="009F1295" w:rsidRDefault="00F06282" w:rsidP="00D346DB">
      <w:pPr>
        <w:jc w:val="center"/>
        <w:rPr>
          <w:rFonts w:ascii="Times New Roman" w:hAnsi="Times New Roman" w:cs="Times New Roman"/>
          <w:sz w:val="18"/>
          <w:szCs w:val="18"/>
          <w:lang w:val="en-US"/>
        </w:rPr>
      </w:pPr>
      <w:r w:rsidRPr="00F06282">
        <w:rPr>
          <w:rFonts w:ascii="Times New Roman" w:hAnsi="Times New Roman" w:cs="Times New Roman"/>
          <w:b/>
          <w:bCs/>
          <w:sz w:val="18"/>
          <w:szCs w:val="18"/>
          <w:lang w:val="en-US"/>
        </w:rPr>
        <w:t>F</w:t>
      </w:r>
      <w:r w:rsidRPr="00F06282">
        <w:rPr>
          <w:rFonts w:ascii="Times New Roman" w:hAnsi="Times New Roman" w:cs="Times New Roman"/>
          <w:b/>
          <w:bCs/>
          <w:sz w:val="18"/>
          <w:szCs w:val="18"/>
          <w:lang w:val="en-AU"/>
        </w:rPr>
        <w:t>IGURE</w:t>
      </w:r>
      <w:r w:rsidRPr="00F06282">
        <w:rPr>
          <w:rFonts w:ascii="Times New Roman" w:hAnsi="Times New Roman" w:cs="Times New Roman"/>
          <w:b/>
          <w:bCs/>
          <w:sz w:val="18"/>
          <w:szCs w:val="18"/>
          <w:lang w:val="en-US"/>
        </w:rPr>
        <w:t xml:space="preserve"> </w:t>
      </w:r>
      <w:r w:rsidR="009F1295" w:rsidRPr="009F1295">
        <w:rPr>
          <w:rFonts w:ascii="Times New Roman" w:hAnsi="Times New Roman" w:cs="Times New Roman"/>
          <w:b/>
          <w:bCs/>
          <w:sz w:val="18"/>
          <w:szCs w:val="18"/>
          <w:lang w:val="en-US"/>
        </w:rPr>
        <w:t>3.</w:t>
      </w:r>
      <w:r w:rsidR="009F1295" w:rsidRPr="009F1295">
        <w:rPr>
          <w:rFonts w:ascii="Times New Roman" w:hAnsi="Times New Roman" w:cs="Times New Roman"/>
          <w:sz w:val="18"/>
          <w:szCs w:val="18"/>
          <w:lang w:val="en-US"/>
        </w:rPr>
        <w:t xml:space="preserve"> Sample № 4.1-6. r(nm) is the particle size, G(r) is the degree of prevalence, C(r) is the concentration of nanocellulose in the solution</w:t>
      </w:r>
    </w:p>
    <w:p w14:paraId="384BE3F7" w14:textId="3562B421" w:rsidR="009F1295" w:rsidRPr="009F1295" w:rsidRDefault="009F1295" w:rsidP="009F1295">
      <w:pPr>
        <w:spacing w:after="0"/>
        <w:ind w:firstLine="284"/>
        <w:jc w:val="both"/>
        <w:rPr>
          <w:sz w:val="20"/>
          <w:szCs w:val="20"/>
          <w:lang w:val="en-US"/>
        </w:rPr>
      </w:pPr>
      <w:r w:rsidRPr="009F1295">
        <w:rPr>
          <w:rFonts w:ascii="Times New Roman" w:hAnsi="Times New Roman" w:cs="Times New Roman"/>
          <w:sz w:val="20"/>
          <w:szCs w:val="20"/>
          <w:lang w:val="en-US"/>
        </w:rPr>
        <w:t>In sample 4.1-9, nanocellulose at a concentration of 3.784 shows the highest distribution intensity, while the nanoparticle size is 2.5 nm. This demonstrates that the majority of the obtained solution consists of nanocellulose with a size of about 2.5 nm.</w:t>
      </w:r>
    </w:p>
    <w:p w14:paraId="7AAA51AA" w14:textId="11388317" w:rsidR="009F1295" w:rsidRPr="009F1295" w:rsidRDefault="009F1295" w:rsidP="009F1295">
      <w:pPr>
        <w:spacing w:line="240" w:lineRule="auto"/>
        <w:ind w:firstLine="284"/>
        <w:jc w:val="both"/>
        <w:rPr>
          <w:rFonts w:ascii="Times New Roman" w:hAnsi="Times New Roman" w:cs="Times New Roman"/>
          <w:sz w:val="20"/>
          <w:szCs w:val="20"/>
          <w:lang w:val="en-US"/>
        </w:rPr>
      </w:pPr>
      <w:r w:rsidRPr="009F1295">
        <w:rPr>
          <w:rFonts w:ascii="Times New Roman" w:hAnsi="Times New Roman" w:cs="Times New Roman"/>
          <w:sz w:val="20"/>
          <w:szCs w:val="20"/>
          <w:lang w:val="en-US"/>
        </w:rPr>
        <w:t>In sample 5.1, nanocellulose at a concentration of 3.445 shows the highest distribution intensity, while the nanoparticle size is 2.88 nm. This indicates that the majority of the obtained solution consists of nanocellulose with a size of about 2.88 nm.</w:t>
      </w:r>
    </w:p>
    <w:p w14:paraId="0B45F24D" w14:textId="77777777" w:rsidR="00D346DB" w:rsidRPr="00FB4938" w:rsidRDefault="00D346DB" w:rsidP="00D346DB">
      <w:pPr>
        <w:spacing w:before="240"/>
        <w:jc w:val="center"/>
        <w:rPr>
          <w:sz w:val="20"/>
          <w:szCs w:val="20"/>
          <w:lang w:val="en-US"/>
        </w:rPr>
      </w:pPr>
      <w:r w:rsidRPr="00FB4938">
        <w:rPr>
          <w:noProof/>
          <w:sz w:val="20"/>
          <w:szCs w:val="20"/>
          <w:lang w:val="en-US"/>
        </w:rPr>
        <w:lastRenderedPageBreak/>
        <w:drawing>
          <wp:inline distT="0" distB="0" distL="0" distR="0" wp14:anchorId="1A8BD60D" wp14:editId="610334B8">
            <wp:extent cx="4810125" cy="3143250"/>
            <wp:effectExtent l="0" t="0" r="9525" b="0"/>
            <wp:docPr id="58" name="Диаграмма 58">
              <a:extLst xmlns:a="http://schemas.openxmlformats.org/drawingml/2006/main">
                <a:ext uri="{FF2B5EF4-FFF2-40B4-BE49-F238E27FC236}">
                  <a16:creationId xmlns:a16="http://schemas.microsoft.com/office/drawing/2014/main" id="{486D6589-6060-41A4-BF51-BB2169B98A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6D3B62" w14:textId="499E8E6A" w:rsidR="00D346DB" w:rsidRPr="009F1295" w:rsidRDefault="00F06282" w:rsidP="00D346DB">
      <w:pPr>
        <w:jc w:val="center"/>
        <w:rPr>
          <w:rFonts w:ascii="Times New Roman" w:hAnsi="Times New Roman" w:cs="Times New Roman"/>
          <w:b/>
          <w:bCs/>
          <w:sz w:val="18"/>
          <w:szCs w:val="18"/>
          <w:lang w:val="en-US"/>
        </w:rPr>
      </w:pPr>
      <w:r w:rsidRPr="00F06282">
        <w:rPr>
          <w:rFonts w:ascii="Times New Roman" w:hAnsi="Times New Roman" w:cs="Times New Roman"/>
          <w:b/>
          <w:bCs/>
          <w:sz w:val="18"/>
          <w:szCs w:val="18"/>
          <w:lang w:val="en-US"/>
        </w:rPr>
        <w:t>F</w:t>
      </w:r>
      <w:r w:rsidRPr="00F06282">
        <w:rPr>
          <w:rFonts w:ascii="Times New Roman" w:hAnsi="Times New Roman" w:cs="Times New Roman"/>
          <w:b/>
          <w:bCs/>
          <w:sz w:val="18"/>
          <w:szCs w:val="18"/>
          <w:lang w:val="en-AU"/>
        </w:rPr>
        <w:t>IGURE</w:t>
      </w:r>
      <w:r w:rsidR="009F1295" w:rsidRPr="0010346F">
        <w:rPr>
          <w:rFonts w:ascii="Times New Roman" w:hAnsi="Times New Roman" w:cs="Times New Roman"/>
          <w:b/>
          <w:bCs/>
          <w:sz w:val="18"/>
          <w:szCs w:val="18"/>
          <w:lang w:val="en-US"/>
        </w:rPr>
        <w:t xml:space="preserve"> 4.</w:t>
      </w:r>
      <w:r w:rsidR="009F1295" w:rsidRPr="0010346F">
        <w:rPr>
          <w:rFonts w:ascii="Times New Roman" w:hAnsi="Times New Roman" w:cs="Times New Roman"/>
          <w:sz w:val="18"/>
          <w:szCs w:val="18"/>
          <w:lang w:val="en-US"/>
        </w:rPr>
        <w:t xml:space="preserve"> </w:t>
      </w:r>
      <w:r w:rsidR="009F1295" w:rsidRPr="009F1295">
        <w:rPr>
          <w:rFonts w:ascii="Times New Roman" w:hAnsi="Times New Roman" w:cs="Times New Roman"/>
          <w:sz w:val="18"/>
          <w:szCs w:val="18"/>
          <w:lang w:val="en-US"/>
        </w:rPr>
        <w:t xml:space="preserve">Sample </w:t>
      </w:r>
      <w:r w:rsidR="0010346F" w:rsidRPr="009F1295">
        <w:rPr>
          <w:rFonts w:ascii="Times New Roman" w:hAnsi="Times New Roman" w:cs="Times New Roman"/>
          <w:sz w:val="18"/>
          <w:szCs w:val="18"/>
          <w:lang w:val="en-US"/>
        </w:rPr>
        <w:t xml:space="preserve">№ </w:t>
      </w:r>
      <w:r w:rsidR="009F1295" w:rsidRPr="009F1295">
        <w:rPr>
          <w:rFonts w:ascii="Times New Roman" w:hAnsi="Times New Roman" w:cs="Times New Roman"/>
          <w:sz w:val="18"/>
          <w:szCs w:val="18"/>
          <w:lang w:val="en-US"/>
        </w:rPr>
        <w:t>4.1-9. r(nm) is the particle size, G(r) is the degree of prevalence, C(r) is the concentration of nanocellulose in the solution</w:t>
      </w:r>
    </w:p>
    <w:p w14:paraId="0EE1FB63" w14:textId="77777777" w:rsidR="00D346DB" w:rsidRPr="00FB4938" w:rsidRDefault="00D346DB" w:rsidP="00D346DB">
      <w:pPr>
        <w:spacing w:before="240"/>
        <w:jc w:val="center"/>
        <w:rPr>
          <w:sz w:val="20"/>
          <w:szCs w:val="20"/>
        </w:rPr>
      </w:pPr>
      <w:r w:rsidRPr="00FB4938">
        <w:rPr>
          <w:noProof/>
          <w:sz w:val="20"/>
          <w:szCs w:val="20"/>
          <w:lang w:val="en-US"/>
        </w:rPr>
        <w:drawing>
          <wp:inline distT="0" distB="0" distL="0" distR="0" wp14:anchorId="56092F06" wp14:editId="7E25D7EC">
            <wp:extent cx="4838700" cy="3152775"/>
            <wp:effectExtent l="0" t="0" r="0" b="9525"/>
            <wp:docPr id="59" name="Диаграмма 59">
              <a:extLst xmlns:a="http://schemas.openxmlformats.org/drawingml/2006/main">
                <a:ext uri="{FF2B5EF4-FFF2-40B4-BE49-F238E27FC236}">
                  <a16:creationId xmlns:a16="http://schemas.microsoft.com/office/drawing/2014/main" id="{CBE08349-357F-4247-8CC5-32D5D8F517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75BE10" w14:textId="56F6B231" w:rsidR="00D346DB" w:rsidRPr="0010346F" w:rsidRDefault="009E4C2E" w:rsidP="00D346DB">
      <w:pPr>
        <w:jc w:val="center"/>
        <w:rPr>
          <w:rFonts w:ascii="Times New Roman" w:hAnsi="Times New Roman" w:cs="Times New Roman"/>
          <w:b/>
          <w:bCs/>
          <w:sz w:val="18"/>
          <w:szCs w:val="18"/>
          <w:lang w:val="en-US"/>
        </w:rPr>
      </w:pPr>
      <w:r w:rsidRPr="009E4C2E">
        <w:rPr>
          <w:rFonts w:ascii="Times New Roman" w:hAnsi="Times New Roman" w:cs="Times New Roman"/>
          <w:b/>
          <w:bCs/>
          <w:sz w:val="18"/>
          <w:szCs w:val="18"/>
          <w:lang w:val="en-US"/>
        </w:rPr>
        <w:t>FIGURE</w:t>
      </w:r>
      <w:r w:rsidR="0010346F" w:rsidRPr="003C135C">
        <w:rPr>
          <w:rFonts w:ascii="Times New Roman" w:hAnsi="Times New Roman" w:cs="Times New Roman"/>
          <w:b/>
          <w:bCs/>
          <w:sz w:val="18"/>
          <w:szCs w:val="18"/>
          <w:lang w:val="en-US"/>
        </w:rPr>
        <w:t xml:space="preserve"> 5.</w:t>
      </w:r>
      <w:r w:rsidR="0010346F" w:rsidRPr="003C135C">
        <w:rPr>
          <w:rFonts w:ascii="Times New Roman" w:hAnsi="Times New Roman" w:cs="Times New Roman"/>
          <w:sz w:val="18"/>
          <w:szCs w:val="18"/>
          <w:lang w:val="en-US"/>
        </w:rPr>
        <w:t xml:space="preserve"> </w:t>
      </w:r>
      <w:r w:rsidR="0010346F" w:rsidRPr="0010346F">
        <w:rPr>
          <w:rFonts w:ascii="Times New Roman" w:hAnsi="Times New Roman" w:cs="Times New Roman"/>
          <w:sz w:val="18"/>
          <w:szCs w:val="18"/>
          <w:lang w:val="en-US"/>
        </w:rPr>
        <w:t>Sample № 5.1. r(nm) is the particle size, G(r) is the degree of prevalence, C(r) is the concentration of nanocellulose in the solution</w:t>
      </w:r>
    </w:p>
    <w:p w14:paraId="57CC1D29" w14:textId="35274764" w:rsidR="00B12383" w:rsidRPr="0010346F" w:rsidRDefault="0010346F" w:rsidP="00EC67B2">
      <w:pPr>
        <w:pStyle w:val="a5"/>
        <w:spacing w:before="0" w:beforeAutospacing="0" w:after="0" w:afterAutospacing="0"/>
        <w:ind w:firstLine="284"/>
        <w:jc w:val="both"/>
        <w:rPr>
          <w:sz w:val="20"/>
          <w:szCs w:val="20"/>
          <w:lang w:val="en-US"/>
        </w:rPr>
      </w:pPr>
      <w:r w:rsidRPr="0010346F">
        <w:rPr>
          <w:sz w:val="20"/>
          <w:szCs w:val="20"/>
          <w:lang w:val="en-US"/>
        </w:rPr>
        <w:t>The IR spectrum of nanocellulose of all samples 3.1-6, 4.1-6 and 4.1-9, 3.1-9 and 5.1 shows characteristic absorption bands corresponding to the main functional groups present in the cellulose structure.</w:t>
      </w:r>
    </w:p>
    <w:p w14:paraId="65636088" w14:textId="77777777" w:rsidR="009F1295" w:rsidRPr="0010346F" w:rsidRDefault="009F1295" w:rsidP="001A284E">
      <w:pPr>
        <w:pStyle w:val="a5"/>
        <w:spacing w:before="0" w:beforeAutospacing="0"/>
        <w:ind w:firstLine="284"/>
        <w:jc w:val="both"/>
        <w:rPr>
          <w:sz w:val="20"/>
          <w:szCs w:val="20"/>
          <w:lang w:val="en-US"/>
        </w:rPr>
      </w:pPr>
    </w:p>
    <w:p w14:paraId="4C879A9D" w14:textId="3C0C63B6" w:rsidR="00B12383" w:rsidRPr="0010346F" w:rsidRDefault="00E67ADB" w:rsidP="00E67ADB">
      <w:pPr>
        <w:pStyle w:val="a5"/>
        <w:spacing w:before="0" w:beforeAutospacing="0"/>
        <w:ind w:firstLine="284"/>
        <w:jc w:val="center"/>
        <w:rPr>
          <w:sz w:val="20"/>
          <w:szCs w:val="20"/>
          <w:lang w:val="en-US"/>
        </w:rPr>
      </w:pPr>
      <w:r w:rsidRPr="00E67ADB">
        <w:rPr>
          <w:b/>
          <w:bCs/>
          <w:sz w:val="20"/>
          <w:szCs w:val="20"/>
          <w:lang w:val="en-US"/>
        </w:rPr>
        <w:lastRenderedPageBreak/>
        <w:t>TABLE 1.</w:t>
      </w:r>
      <w:r>
        <w:rPr>
          <w:sz w:val="20"/>
          <w:szCs w:val="20"/>
          <w:lang w:val="en-US"/>
        </w:rPr>
        <w:t xml:space="preserve"> </w:t>
      </w:r>
      <w:r w:rsidR="0010346F" w:rsidRPr="0010346F">
        <w:rPr>
          <w:sz w:val="20"/>
          <w:szCs w:val="20"/>
          <w:lang w:val="en-US"/>
        </w:rPr>
        <w:t>The following table can be compiled from the peak diagram to visualize the IR spectroscopy response (in cm⁻¹)</w:t>
      </w:r>
    </w:p>
    <w:tbl>
      <w:tblPr>
        <w:tblStyle w:val="a7"/>
        <w:tblW w:w="8788" w:type="dxa"/>
        <w:jc w:val="center"/>
        <w:tblLook w:val="04A0" w:firstRow="1" w:lastRow="0" w:firstColumn="1" w:lastColumn="0" w:noHBand="0" w:noVBand="1"/>
      </w:tblPr>
      <w:tblGrid>
        <w:gridCol w:w="417"/>
        <w:gridCol w:w="1429"/>
        <w:gridCol w:w="1268"/>
        <w:gridCol w:w="5674"/>
      </w:tblGrid>
      <w:tr w:rsidR="00180E49" w:rsidRPr="00FB4938" w14:paraId="00F48A7B" w14:textId="77777777" w:rsidTr="00E67ADB">
        <w:trPr>
          <w:jc w:val="center"/>
        </w:trPr>
        <w:tc>
          <w:tcPr>
            <w:tcW w:w="417" w:type="dxa"/>
            <w:hideMark/>
          </w:tcPr>
          <w:p w14:paraId="09436862" w14:textId="77777777" w:rsidR="00180E49" w:rsidRPr="00FB4938" w:rsidRDefault="00180E49" w:rsidP="009C2FA9">
            <w:pPr>
              <w:jc w:val="center"/>
              <w:rPr>
                <w:rFonts w:ascii="Times New Roman" w:hAnsi="Times New Roman" w:cs="Times New Roman"/>
                <w:b/>
                <w:bCs/>
                <w:sz w:val="20"/>
                <w:szCs w:val="20"/>
              </w:rPr>
            </w:pPr>
            <w:r w:rsidRPr="00FB4938">
              <w:rPr>
                <w:rFonts w:ascii="Times New Roman" w:hAnsi="Times New Roman" w:cs="Times New Roman"/>
                <w:b/>
                <w:bCs/>
                <w:sz w:val="20"/>
                <w:szCs w:val="20"/>
              </w:rPr>
              <w:t>№</w:t>
            </w:r>
          </w:p>
        </w:tc>
        <w:tc>
          <w:tcPr>
            <w:tcW w:w="1429" w:type="dxa"/>
            <w:hideMark/>
          </w:tcPr>
          <w:p w14:paraId="7A0827ED" w14:textId="564E95D7" w:rsidR="00180E49" w:rsidRPr="00FB4938" w:rsidRDefault="00180E49" w:rsidP="009C2FA9">
            <w:pPr>
              <w:jc w:val="center"/>
              <w:rPr>
                <w:rFonts w:ascii="Times New Roman" w:hAnsi="Times New Roman" w:cs="Times New Roman"/>
                <w:b/>
                <w:bCs/>
                <w:sz w:val="20"/>
                <w:szCs w:val="20"/>
              </w:rPr>
            </w:pPr>
            <w:proofErr w:type="spellStart"/>
            <w:r w:rsidRPr="0010346F">
              <w:rPr>
                <w:rFonts w:ascii="Times New Roman" w:hAnsi="Times New Roman" w:cs="Times New Roman"/>
                <w:b/>
                <w:bCs/>
                <w:sz w:val="20"/>
                <w:szCs w:val="20"/>
              </w:rPr>
              <w:t>Wavenumber</w:t>
            </w:r>
            <w:proofErr w:type="spellEnd"/>
            <w:r w:rsidRPr="0010346F">
              <w:rPr>
                <w:rFonts w:ascii="Times New Roman" w:hAnsi="Times New Roman" w:cs="Times New Roman"/>
                <w:b/>
                <w:bCs/>
                <w:sz w:val="20"/>
                <w:szCs w:val="20"/>
              </w:rPr>
              <w:t xml:space="preserve"> (cm⁻¹)</w:t>
            </w:r>
          </w:p>
        </w:tc>
        <w:tc>
          <w:tcPr>
            <w:tcW w:w="1268" w:type="dxa"/>
            <w:hideMark/>
          </w:tcPr>
          <w:p w14:paraId="25F0B55F" w14:textId="783BE26F" w:rsidR="00180E49" w:rsidRPr="00FB4938" w:rsidRDefault="00180E49" w:rsidP="009C2FA9">
            <w:pPr>
              <w:jc w:val="center"/>
              <w:rPr>
                <w:rFonts w:ascii="Times New Roman" w:hAnsi="Times New Roman" w:cs="Times New Roman"/>
                <w:b/>
                <w:bCs/>
                <w:sz w:val="20"/>
                <w:szCs w:val="20"/>
              </w:rPr>
            </w:pPr>
            <w:proofErr w:type="spellStart"/>
            <w:r w:rsidRPr="0010346F">
              <w:rPr>
                <w:rFonts w:ascii="Times New Roman" w:hAnsi="Times New Roman" w:cs="Times New Roman"/>
                <w:b/>
                <w:bCs/>
                <w:sz w:val="20"/>
                <w:szCs w:val="20"/>
              </w:rPr>
              <w:t>Intensity</w:t>
            </w:r>
            <w:proofErr w:type="spellEnd"/>
          </w:p>
        </w:tc>
        <w:tc>
          <w:tcPr>
            <w:tcW w:w="5674" w:type="dxa"/>
            <w:hideMark/>
          </w:tcPr>
          <w:p w14:paraId="1E6AC42C" w14:textId="5DB316E2" w:rsidR="00180E49" w:rsidRPr="00FB4938" w:rsidRDefault="00180E49" w:rsidP="009C2FA9">
            <w:pPr>
              <w:jc w:val="center"/>
              <w:rPr>
                <w:rFonts w:ascii="Times New Roman" w:hAnsi="Times New Roman" w:cs="Times New Roman"/>
                <w:b/>
                <w:bCs/>
                <w:sz w:val="20"/>
                <w:szCs w:val="20"/>
              </w:rPr>
            </w:pPr>
            <w:proofErr w:type="spellStart"/>
            <w:r w:rsidRPr="0010346F">
              <w:rPr>
                <w:rFonts w:ascii="Times New Roman" w:hAnsi="Times New Roman" w:cs="Times New Roman"/>
                <w:b/>
                <w:bCs/>
                <w:sz w:val="20"/>
                <w:szCs w:val="20"/>
              </w:rPr>
              <w:t>Possible</w:t>
            </w:r>
            <w:proofErr w:type="spellEnd"/>
            <w:r w:rsidRPr="0010346F">
              <w:rPr>
                <w:rFonts w:ascii="Times New Roman" w:hAnsi="Times New Roman" w:cs="Times New Roman"/>
                <w:b/>
                <w:bCs/>
                <w:sz w:val="20"/>
                <w:szCs w:val="20"/>
              </w:rPr>
              <w:t xml:space="preserve"> </w:t>
            </w:r>
            <w:proofErr w:type="spellStart"/>
            <w:r w:rsidRPr="0010346F">
              <w:rPr>
                <w:rFonts w:ascii="Times New Roman" w:hAnsi="Times New Roman" w:cs="Times New Roman"/>
                <w:b/>
                <w:bCs/>
                <w:sz w:val="20"/>
                <w:szCs w:val="20"/>
              </w:rPr>
              <w:t>purpose</w:t>
            </w:r>
            <w:proofErr w:type="spellEnd"/>
          </w:p>
        </w:tc>
      </w:tr>
      <w:tr w:rsidR="00180E49" w:rsidRPr="003F2FF6" w14:paraId="605251C3" w14:textId="77777777" w:rsidTr="00E67ADB">
        <w:trPr>
          <w:jc w:val="center"/>
        </w:trPr>
        <w:tc>
          <w:tcPr>
            <w:tcW w:w="417" w:type="dxa"/>
            <w:hideMark/>
          </w:tcPr>
          <w:p w14:paraId="40713087"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1</w:t>
            </w:r>
          </w:p>
        </w:tc>
        <w:tc>
          <w:tcPr>
            <w:tcW w:w="1429" w:type="dxa"/>
            <w:hideMark/>
          </w:tcPr>
          <w:p w14:paraId="515F8C73"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704.5</w:t>
            </w:r>
          </w:p>
        </w:tc>
        <w:tc>
          <w:tcPr>
            <w:tcW w:w="1268" w:type="dxa"/>
            <w:hideMark/>
          </w:tcPr>
          <w:p w14:paraId="599C022D" w14:textId="725D7CC6"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0.592</w:t>
            </w:r>
          </w:p>
        </w:tc>
        <w:tc>
          <w:tcPr>
            <w:tcW w:w="5674" w:type="dxa"/>
            <w:hideMark/>
          </w:tcPr>
          <w:p w14:paraId="510C4F7D" w14:textId="06425665"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C–H bending vibrations, possible residual impurities, or C–O vibrations from amorphous regions.</w:t>
            </w:r>
          </w:p>
        </w:tc>
      </w:tr>
      <w:tr w:rsidR="00180E49" w:rsidRPr="003F2FF6" w14:paraId="3CD30960" w14:textId="77777777" w:rsidTr="00E67ADB">
        <w:trPr>
          <w:jc w:val="center"/>
        </w:trPr>
        <w:tc>
          <w:tcPr>
            <w:tcW w:w="417" w:type="dxa"/>
            <w:hideMark/>
          </w:tcPr>
          <w:p w14:paraId="5117A07F"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2</w:t>
            </w:r>
          </w:p>
        </w:tc>
        <w:tc>
          <w:tcPr>
            <w:tcW w:w="1429" w:type="dxa"/>
            <w:hideMark/>
          </w:tcPr>
          <w:p w14:paraId="12750F3E"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725.0</w:t>
            </w:r>
          </w:p>
        </w:tc>
        <w:tc>
          <w:tcPr>
            <w:tcW w:w="1268" w:type="dxa"/>
            <w:hideMark/>
          </w:tcPr>
          <w:p w14:paraId="2FD66E9A" w14:textId="23DE9896"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0.609</w:t>
            </w:r>
          </w:p>
        </w:tc>
        <w:tc>
          <w:tcPr>
            <w:tcW w:w="5674" w:type="dxa"/>
            <w:hideMark/>
          </w:tcPr>
          <w:p w14:paraId="505DE2CF" w14:textId="1F261BB5"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 xml:space="preserve">C–O–C vibrations in </w:t>
            </w:r>
            <w:r w:rsidRPr="0010346F">
              <w:rPr>
                <w:rFonts w:ascii="Times New Roman" w:hAnsi="Times New Roman" w:cs="Times New Roman"/>
                <w:sz w:val="20"/>
                <w:szCs w:val="20"/>
              </w:rPr>
              <w:t>β</w:t>
            </w:r>
            <w:r w:rsidRPr="0010346F">
              <w:rPr>
                <w:rFonts w:ascii="Times New Roman" w:hAnsi="Times New Roman" w:cs="Times New Roman"/>
                <w:sz w:val="20"/>
                <w:szCs w:val="20"/>
                <w:lang w:val="en-US"/>
              </w:rPr>
              <w:t>-glycosidic bonds.</w:t>
            </w:r>
          </w:p>
        </w:tc>
      </w:tr>
      <w:tr w:rsidR="00180E49" w:rsidRPr="003F2FF6" w14:paraId="1170D4DF" w14:textId="77777777" w:rsidTr="00E67ADB">
        <w:trPr>
          <w:jc w:val="center"/>
        </w:trPr>
        <w:tc>
          <w:tcPr>
            <w:tcW w:w="417" w:type="dxa"/>
            <w:hideMark/>
          </w:tcPr>
          <w:p w14:paraId="071B6A1E"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3</w:t>
            </w:r>
          </w:p>
        </w:tc>
        <w:tc>
          <w:tcPr>
            <w:tcW w:w="1429" w:type="dxa"/>
            <w:hideMark/>
          </w:tcPr>
          <w:p w14:paraId="41C2A3E4"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842.4</w:t>
            </w:r>
          </w:p>
        </w:tc>
        <w:tc>
          <w:tcPr>
            <w:tcW w:w="1268" w:type="dxa"/>
            <w:hideMark/>
          </w:tcPr>
          <w:p w14:paraId="631634FF" w14:textId="187C4312"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0.267</w:t>
            </w:r>
          </w:p>
        </w:tc>
        <w:tc>
          <w:tcPr>
            <w:tcW w:w="5674" w:type="dxa"/>
            <w:hideMark/>
          </w:tcPr>
          <w:p w14:paraId="65FC0C4D" w14:textId="3280BEB7"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 xml:space="preserve">Characteristic peak of </w:t>
            </w:r>
            <w:r w:rsidRPr="0010346F">
              <w:rPr>
                <w:rFonts w:ascii="Times New Roman" w:hAnsi="Times New Roman" w:cs="Times New Roman"/>
                <w:sz w:val="20"/>
                <w:szCs w:val="20"/>
              </w:rPr>
              <w:t>β</w:t>
            </w:r>
            <w:r w:rsidRPr="0010346F">
              <w:rPr>
                <w:rFonts w:ascii="Times New Roman" w:hAnsi="Times New Roman" w:cs="Times New Roman"/>
                <w:sz w:val="20"/>
                <w:szCs w:val="20"/>
                <w:lang w:val="en-US"/>
              </w:rPr>
              <w:t>-1,4-glycosidic bonds in cellulose.</w:t>
            </w:r>
          </w:p>
        </w:tc>
      </w:tr>
      <w:tr w:rsidR="00180E49" w:rsidRPr="003F2FF6" w14:paraId="773C9925" w14:textId="77777777" w:rsidTr="00E67ADB">
        <w:trPr>
          <w:jc w:val="center"/>
        </w:trPr>
        <w:tc>
          <w:tcPr>
            <w:tcW w:w="417" w:type="dxa"/>
            <w:hideMark/>
          </w:tcPr>
          <w:p w14:paraId="30A31BE5"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4</w:t>
            </w:r>
          </w:p>
        </w:tc>
        <w:tc>
          <w:tcPr>
            <w:tcW w:w="1429" w:type="dxa"/>
            <w:hideMark/>
          </w:tcPr>
          <w:p w14:paraId="7C71F276"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1107.0</w:t>
            </w:r>
          </w:p>
        </w:tc>
        <w:tc>
          <w:tcPr>
            <w:tcW w:w="1268" w:type="dxa"/>
            <w:hideMark/>
          </w:tcPr>
          <w:p w14:paraId="3A6F83A4" w14:textId="2C6C78A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0.235</w:t>
            </w:r>
          </w:p>
        </w:tc>
        <w:tc>
          <w:tcPr>
            <w:tcW w:w="5674" w:type="dxa"/>
            <w:hideMark/>
          </w:tcPr>
          <w:p w14:paraId="6319FE45" w14:textId="480A5BAE"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C–O–C stretching in the glucopyranose ring.</w:t>
            </w:r>
          </w:p>
        </w:tc>
      </w:tr>
      <w:tr w:rsidR="00180E49" w:rsidRPr="003F2FF6" w14:paraId="11789420" w14:textId="77777777" w:rsidTr="00E67ADB">
        <w:trPr>
          <w:jc w:val="center"/>
        </w:trPr>
        <w:tc>
          <w:tcPr>
            <w:tcW w:w="417" w:type="dxa"/>
            <w:hideMark/>
          </w:tcPr>
          <w:p w14:paraId="6ACC18D9"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5</w:t>
            </w:r>
          </w:p>
        </w:tc>
        <w:tc>
          <w:tcPr>
            <w:tcW w:w="1429" w:type="dxa"/>
            <w:hideMark/>
          </w:tcPr>
          <w:p w14:paraId="32E23924"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1345.6</w:t>
            </w:r>
          </w:p>
        </w:tc>
        <w:tc>
          <w:tcPr>
            <w:tcW w:w="1268" w:type="dxa"/>
            <w:hideMark/>
          </w:tcPr>
          <w:p w14:paraId="2BB6DABE" w14:textId="1374F575"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0.941</w:t>
            </w:r>
          </w:p>
        </w:tc>
        <w:tc>
          <w:tcPr>
            <w:tcW w:w="5674" w:type="dxa"/>
            <w:hideMark/>
          </w:tcPr>
          <w:p w14:paraId="20F27B80" w14:textId="2DA44C0E" w:rsidR="00180E49" w:rsidRPr="003F2FF6" w:rsidRDefault="003F2FF6" w:rsidP="009C2FA9">
            <w:pPr>
              <w:jc w:val="center"/>
              <w:rPr>
                <w:rFonts w:ascii="Times New Roman" w:hAnsi="Times New Roman" w:cs="Times New Roman"/>
                <w:sz w:val="20"/>
                <w:szCs w:val="20"/>
                <w:lang w:val="en-US"/>
              </w:rPr>
            </w:pPr>
            <w:r w:rsidRPr="003F2FF6">
              <w:rPr>
                <w:rFonts w:ascii="Times New Roman" w:hAnsi="Times New Roman" w:cs="Times New Roman"/>
                <w:sz w:val="20"/>
                <w:szCs w:val="20"/>
                <w:lang w:val="en-US"/>
              </w:rPr>
              <w:t>C–H vibrations (deformational in CH₂ groups)</w:t>
            </w:r>
          </w:p>
        </w:tc>
      </w:tr>
      <w:tr w:rsidR="00180E49" w:rsidRPr="003F2FF6" w14:paraId="7924BE84" w14:textId="77777777" w:rsidTr="00E67ADB">
        <w:trPr>
          <w:jc w:val="center"/>
        </w:trPr>
        <w:tc>
          <w:tcPr>
            <w:tcW w:w="417" w:type="dxa"/>
            <w:hideMark/>
          </w:tcPr>
          <w:p w14:paraId="59D7530F"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6</w:t>
            </w:r>
          </w:p>
        </w:tc>
        <w:tc>
          <w:tcPr>
            <w:tcW w:w="1429" w:type="dxa"/>
            <w:hideMark/>
          </w:tcPr>
          <w:p w14:paraId="349A5292"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1408.9</w:t>
            </w:r>
          </w:p>
        </w:tc>
        <w:tc>
          <w:tcPr>
            <w:tcW w:w="1268" w:type="dxa"/>
            <w:hideMark/>
          </w:tcPr>
          <w:p w14:paraId="1F5E8900" w14:textId="5B240C2F"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0.859</w:t>
            </w:r>
          </w:p>
        </w:tc>
        <w:tc>
          <w:tcPr>
            <w:tcW w:w="5674" w:type="dxa"/>
            <w:hideMark/>
          </w:tcPr>
          <w:p w14:paraId="08BA964D" w14:textId="4646C917"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C–H bending vibrations (in CH₂ groups).</w:t>
            </w:r>
          </w:p>
        </w:tc>
      </w:tr>
      <w:tr w:rsidR="00180E49" w:rsidRPr="003F2FF6" w14:paraId="34DCF9D6" w14:textId="77777777" w:rsidTr="00E67ADB">
        <w:trPr>
          <w:jc w:val="center"/>
        </w:trPr>
        <w:tc>
          <w:tcPr>
            <w:tcW w:w="417" w:type="dxa"/>
            <w:hideMark/>
          </w:tcPr>
          <w:p w14:paraId="11ADD726"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7</w:t>
            </w:r>
          </w:p>
        </w:tc>
        <w:tc>
          <w:tcPr>
            <w:tcW w:w="1429" w:type="dxa"/>
            <w:hideMark/>
          </w:tcPr>
          <w:p w14:paraId="552396C2"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1623.3</w:t>
            </w:r>
          </w:p>
        </w:tc>
        <w:tc>
          <w:tcPr>
            <w:tcW w:w="1268" w:type="dxa"/>
            <w:hideMark/>
          </w:tcPr>
          <w:p w14:paraId="515B7508" w14:textId="079E8956"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0.728</w:t>
            </w:r>
          </w:p>
        </w:tc>
        <w:tc>
          <w:tcPr>
            <w:tcW w:w="5674" w:type="dxa"/>
            <w:hideMark/>
          </w:tcPr>
          <w:p w14:paraId="3CA5849B" w14:textId="22817EEA"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O–H stretching vibrations of adsorbed water.</w:t>
            </w:r>
          </w:p>
        </w:tc>
      </w:tr>
      <w:tr w:rsidR="00180E49" w:rsidRPr="003F2FF6" w14:paraId="4B807D0E" w14:textId="77777777" w:rsidTr="00E67ADB">
        <w:trPr>
          <w:jc w:val="center"/>
        </w:trPr>
        <w:tc>
          <w:tcPr>
            <w:tcW w:w="417" w:type="dxa"/>
            <w:hideMark/>
          </w:tcPr>
          <w:p w14:paraId="1C69642E"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8</w:t>
            </w:r>
          </w:p>
        </w:tc>
        <w:tc>
          <w:tcPr>
            <w:tcW w:w="1429" w:type="dxa"/>
            <w:hideMark/>
          </w:tcPr>
          <w:p w14:paraId="1234FF99"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3276.3</w:t>
            </w:r>
          </w:p>
        </w:tc>
        <w:tc>
          <w:tcPr>
            <w:tcW w:w="1268" w:type="dxa"/>
            <w:hideMark/>
          </w:tcPr>
          <w:p w14:paraId="163E3D9E" w14:textId="7CF4B7E9"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0.638</w:t>
            </w:r>
          </w:p>
        </w:tc>
        <w:tc>
          <w:tcPr>
            <w:tcW w:w="5674" w:type="dxa"/>
            <w:hideMark/>
          </w:tcPr>
          <w:p w14:paraId="6CCE903E" w14:textId="1D79A70C" w:rsidR="00180E49" w:rsidRPr="0010346F" w:rsidRDefault="00180E49" w:rsidP="009C2FA9">
            <w:pPr>
              <w:jc w:val="center"/>
              <w:rPr>
                <w:rFonts w:ascii="Times New Roman" w:hAnsi="Times New Roman" w:cs="Times New Roman"/>
                <w:sz w:val="20"/>
                <w:szCs w:val="20"/>
                <w:lang w:val="en-US"/>
              </w:rPr>
            </w:pPr>
            <w:r w:rsidRPr="0010346F">
              <w:rPr>
                <w:rFonts w:ascii="Times New Roman" w:hAnsi="Times New Roman" w:cs="Times New Roman"/>
                <w:sz w:val="20"/>
                <w:szCs w:val="20"/>
                <w:lang w:val="en-US"/>
              </w:rPr>
              <w:t>O–H stretching (hydroxyl groups).</w:t>
            </w:r>
          </w:p>
        </w:tc>
      </w:tr>
      <w:tr w:rsidR="00180E49" w:rsidRPr="003F2FF6" w14:paraId="21E9239F" w14:textId="77777777" w:rsidTr="00E67ADB">
        <w:trPr>
          <w:jc w:val="center"/>
        </w:trPr>
        <w:tc>
          <w:tcPr>
            <w:tcW w:w="417" w:type="dxa"/>
            <w:hideMark/>
          </w:tcPr>
          <w:p w14:paraId="1B4A5688" w14:textId="77777777" w:rsidR="00180E49" w:rsidRPr="00FB4938" w:rsidRDefault="00180E49" w:rsidP="009C2FA9">
            <w:pPr>
              <w:rPr>
                <w:rFonts w:ascii="Times New Roman" w:hAnsi="Times New Roman" w:cs="Times New Roman"/>
                <w:sz w:val="20"/>
                <w:szCs w:val="20"/>
              </w:rPr>
            </w:pPr>
            <w:r w:rsidRPr="00FB4938">
              <w:rPr>
                <w:rFonts w:ascii="Times New Roman" w:hAnsi="Times New Roman" w:cs="Times New Roman"/>
                <w:sz w:val="20"/>
                <w:szCs w:val="20"/>
              </w:rPr>
              <w:t>9</w:t>
            </w:r>
          </w:p>
        </w:tc>
        <w:tc>
          <w:tcPr>
            <w:tcW w:w="1429" w:type="dxa"/>
            <w:hideMark/>
          </w:tcPr>
          <w:p w14:paraId="0DE66E16" w14:textId="77777777"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3390.0</w:t>
            </w:r>
          </w:p>
        </w:tc>
        <w:tc>
          <w:tcPr>
            <w:tcW w:w="1268" w:type="dxa"/>
            <w:hideMark/>
          </w:tcPr>
          <w:p w14:paraId="5C19EAD4" w14:textId="667F1F5F" w:rsidR="00180E49" w:rsidRPr="00FB4938" w:rsidRDefault="00180E49" w:rsidP="009C2FA9">
            <w:pPr>
              <w:jc w:val="center"/>
              <w:rPr>
                <w:rFonts w:ascii="Times New Roman" w:hAnsi="Times New Roman" w:cs="Times New Roman"/>
                <w:sz w:val="20"/>
                <w:szCs w:val="20"/>
              </w:rPr>
            </w:pPr>
            <w:r w:rsidRPr="00FB4938">
              <w:rPr>
                <w:rFonts w:ascii="Times New Roman" w:hAnsi="Times New Roman" w:cs="Times New Roman"/>
                <w:sz w:val="20"/>
                <w:szCs w:val="20"/>
              </w:rPr>
              <w:t>0.771</w:t>
            </w:r>
          </w:p>
        </w:tc>
        <w:tc>
          <w:tcPr>
            <w:tcW w:w="5674" w:type="dxa"/>
            <w:hideMark/>
          </w:tcPr>
          <w:p w14:paraId="6952A0A1" w14:textId="5411DC46" w:rsidR="00180E49" w:rsidRPr="00674D3A" w:rsidRDefault="00180E49" w:rsidP="009C2FA9">
            <w:pPr>
              <w:jc w:val="center"/>
              <w:rPr>
                <w:rFonts w:ascii="Times New Roman" w:hAnsi="Times New Roman" w:cs="Times New Roman"/>
                <w:sz w:val="20"/>
                <w:szCs w:val="20"/>
                <w:lang w:val="en-US"/>
              </w:rPr>
            </w:pPr>
            <w:r w:rsidRPr="00674D3A">
              <w:rPr>
                <w:rFonts w:ascii="Times New Roman" w:hAnsi="Times New Roman" w:cs="Times New Roman"/>
                <w:sz w:val="20"/>
                <w:szCs w:val="20"/>
                <w:lang w:val="en-US"/>
              </w:rPr>
              <w:t>O–H stretching (broad peak – hydrogen bonding).</w:t>
            </w:r>
          </w:p>
        </w:tc>
      </w:tr>
    </w:tbl>
    <w:p w14:paraId="08084A28" w14:textId="77777777" w:rsidR="00B12383" w:rsidRPr="00674D3A" w:rsidRDefault="00B12383" w:rsidP="00B12383">
      <w:pPr>
        <w:spacing w:line="240" w:lineRule="auto"/>
        <w:ind w:firstLine="708"/>
        <w:jc w:val="both"/>
        <w:rPr>
          <w:rFonts w:ascii="Times New Roman" w:hAnsi="Times New Roman" w:cs="Times New Roman"/>
          <w:sz w:val="20"/>
          <w:szCs w:val="20"/>
          <w:lang w:val="en-US"/>
        </w:rPr>
      </w:pPr>
    </w:p>
    <w:p w14:paraId="41118745" w14:textId="77777777" w:rsidR="00B12383" w:rsidRPr="00FB4938" w:rsidRDefault="00B12383" w:rsidP="00044178">
      <w:pPr>
        <w:pStyle w:val="a5"/>
        <w:spacing w:before="0" w:beforeAutospacing="0" w:after="0" w:afterAutospacing="0"/>
        <w:jc w:val="center"/>
        <w:rPr>
          <w:sz w:val="20"/>
          <w:szCs w:val="20"/>
        </w:rPr>
      </w:pPr>
      <w:r w:rsidRPr="00FB4938">
        <w:rPr>
          <w:noProof/>
          <w:sz w:val="20"/>
          <w:szCs w:val="20"/>
          <w:lang w:val="en-US" w:eastAsia="en-US"/>
        </w:rPr>
        <w:drawing>
          <wp:inline distT="0" distB="0" distL="0" distR="0" wp14:anchorId="036DCA9E" wp14:editId="2602BDB5">
            <wp:extent cx="4950028" cy="21726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0028" cy="2172615"/>
                    </a:xfrm>
                    <a:prstGeom prst="rect">
                      <a:avLst/>
                    </a:prstGeom>
                  </pic:spPr>
                </pic:pic>
              </a:graphicData>
            </a:graphic>
          </wp:inline>
        </w:drawing>
      </w:r>
    </w:p>
    <w:p w14:paraId="587F3862" w14:textId="7BE6325F" w:rsidR="00B12383" w:rsidRPr="00180E49" w:rsidRDefault="009E4C2E" w:rsidP="00674D3A">
      <w:pPr>
        <w:pStyle w:val="a5"/>
        <w:spacing w:after="0"/>
        <w:jc w:val="center"/>
        <w:rPr>
          <w:rFonts w:eastAsiaTheme="minorHAnsi"/>
          <w:i/>
          <w:iCs/>
          <w:sz w:val="18"/>
          <w:szCs w:val="18"/>
          <w:lang w:val="en-US" w:eastAsia="en-US"/>
        </w:rPr>
      </w:pPr>
      <w:r w:rsidRPr="009E4C2E">
        <w:rPr>
          <w:rFonts w:eastAsiaTheme="minorHAnsi"/>
          <w:b/>
          <w:bCs/>
          <w:sz w:val="18"/>
          <w:szCs w:val="18"/>
          <w:lang w:val="en-US" w:eastAsia="en-US"/>
        </w:rPr>
        <w:t>F</w:t>
      </w:r>
      <w:r w:rsidRPr="009E4C2E">
        <w:rPr>
          <w:rFonts w:eastAsiaTheme="minorHAnsi"/>
          <w:b/>
          <w:bCs/>
          <w:sz w:val="18"/>
          <w:szCs w:val="18"/>
          <w:lang w:val="en-AU" w:eastAsia="en-US"/>
        </w:rPr>
        <w:t>IGURE</w:t>
      </w:r>
      <w:r w:rsidR="00674D3A" w:rsidRPr="00674D3A">
        <w:rPr>
          <w:rFonts w:eastAsiaTheme="minorHAnsi"/>
          <w:b/>
          <w:bCs/>
          <w:sz w:val="18"/>
          <w:szCs w:val="18"/>
          <w:lang w:val="en-US" w:eastAsia="en-US"/>
        </w:rPr>
        <w:t xml:space="preserve"> 6.</w:t>
      </w:r>
      <w:r w:rsidR="00674D3A" w:rsidRPr="00674D3A">
        <w:rPr>
          <w:rFonts w:eastAsiaTheme="minorHAnsi"/>
          <w:sz w:val="18"/>
          <w:szCs w:val="18"/>
          <w:lang w:val="en-US" w:eastAsia="en-US"/>
        </w:rPr>
        <w:t xml:space="preserve"> IR spectroscopy of samples 3.1-6, 4.1-6, 4.1-9: </w:t>
      </w:r>
      <w:r w:rsidR="00674D3A">
        <w:rPr>
          <w:rFonts w:eastAsiaTheme="minorHAnsi"/>
          <w:sz w:val="18"/>
          <w:szCs w:val="18"/>
          <w:lang w:val="en-US" w:eastAsia="en-US"/>
        </w:rPr>
        <w:br/>
      </w:r>
      <w:r w:rsidR="00674D3A" w:rsidRPr="00180E49">
        <w:rPr>
          <w:rFonts w:eastAsiaTheme="minorHAnsi"/>
          <w:i/>
          <w:iCs/>
          <w:sz w:val="18"/>
          <w:szCs w:val="18"/>
          <w:lang w:val="en-US" w:eastAsia="en-US"/>
        </w:rPr>
        <w:t>3.1-6 – red peaks, 4.1-6 and 4.1-9 – blue peaks</w:t>
      </w:r>
    </w:p>
    <w:p w14:paraId="23A2EB09" w14:textId="77777777" w:rsidR="00B12383" w:rsidRPr="00FB4938" w:rsidRDefault="00B12383" w:rsidP="00044178">
      <w:pPr>
        <w:pStyle w:val="a5"/>
        <w:spacing w:before="0" w:beforeAutospacing="0" w:after="0" w:afterAutospacing="0"/>
        <w:jc w:val="center"/>
        <w:rPr>
          <w:sz w:val="20"/>
          <w:szCs w:val="20"/>
        </w:rPr>
      </w:pPr>
      <w:r w:rsidRPr="00FB4938">
        <w:rPr>
          <w:noProof/>
          <w:sz w:val="20"/>
          <w:szCs w:val="20"/>
          <w:lang w:val="en-US" w:eastAsia="en-US"/>
        </w:rPr>
        <w:drawing>
          <wp:inline distT="0" distB="0" distL="0" distR="0" wp14:anchorId="523485F8" wp14:editId="4404644B">
            <wp:extent cx="5047488" cy="2201363"/>
            <wp:effectExtent l="0" t="0" r="4445"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7488" cy="2201363"/>
                    </a:xfrm>
                    <a:prstGeom prst="rect">
                      <a:avLst/>
                    </a:prstGeom>
                  </pic:spPr>
                </pic:pic>
              </a:graphicData>
            </a:graphic>
          </wp:inline>
        </w:drawing>
      </w:r>
    </w:p>
    <w:p w14:paraId="3C1F6D2B" w14:textId="2CA6A93B" w:rsidR="00B12383" w:rsidRPr="00180E49" w:rsidRDefault="009E4C2E" w:rsidP="00674D3A">
      <w:pPr>
        <w:pStyle w:val="a5"/>
        <w:spacing w:after="240"/>
        <w:jc w:val="center"/>
        <w:rPr>
          <w:b/>
          <w:bCs/>
          <w:i/>
          <w:iCs/>
          <w:sz w:val="18"/>
          <w:szCs w:val="18"/>
          <w:lang w:val="en-US"/>
        </w:rPr>
      </w:pPr>
      <w:r w:rsidRPr="009E4C2E">
        <w:rPr>
          <w:b/>
          <w:bCs/>
          <w:sz w:val="18"/>
          <w:szCs w:val="18"/>
          <w:lang w:val="en-US"/>
        </w:rPr>
        <w:t>F</w:t>
      </w:r>
      <w:r w:rsidRPr="009E4C2E">
        <w:rPr>
          <w:b/>
          <w:bCs/>
          <w:sz w:val="18"/>
          <w:szCs w:val="18"/>
          <w:lang w:val="en-AU"/>
        </w:rPr>
        <w:t>IGURE</w:t>
      </w:r>
      <w:r w:rsidR="00674D3A" w:rsidRPr="00674D3A">
        <w:rPr>
          <w:b/>
          <w:bCs/>
          <w:sz w:val="18"/>
          <w:szCs w:val="18"/>
          <w:lang w:val="en-US"/>
        </w:rPr>
        <w:t xml:space="preserve"> 7.</w:t>
      </w:r>
      <w:r w:rsidR="00674D3A" w:rsidRPr="00674D3A">
        <w:rPr>
          <w:sz w:val="18"/>
          <w:szCs w:val="18"/>
          <w:lang w:val="en-US"/>
        </w:rPr>
        <w:t xml:space="preserve"> IR spectroscopy of samples 3.1-9, 5.1:</w:t>
      </w:r>
      <w:r w:rsidR="00674D3A">
        <w:rPr>
          <w:sz w:val="18"/>
          <w:szCs w:val="18"/>
          <w:lang w:val="en-US"/>
        </w:rPr>
        <w:br/>
      </w:r>
      <w:r w:rsidR="00674D3A" w:rsidRPr="00180E49">
        <w:rPr>
          <w:i/>
          <w:iCs/>
          <w:sz w:val="18"/>
          <w:szCs w:val="18"/>
          <w:lang w:val="en-US"/>
        </w:rPr>
        <w:t>3.1-9 – red peaks, 5.1 – blue peaks</w:t>
      </w:r>
    </w:p>
    <w:p w14:paraId="1CABED9B" w14:textId="10FA22AB" w:rsidR="00B12383" w:rsidRPr="00674D3A" w:rsidRDefault="00674D3A" w:rsidP="00EC67B2">
      <w:pPr>
        <w:spacing w:line="240" w:lineRule="auto"/>
        <w:ind w:firstLine="284"/>
        <w:jc w:val="both"/>
        <w:rPr>
          <w:rFonts w:ascii="Times New Roman" w:hAnsi="Times New Roman" w:cs="Times New Roman"/>
          <w:sz w:val="20"/>
          <w:szCs w:val="20"/>
          <w:lang w:val="en-US"/>
        </w:rPr>
      </w:pPr>
      <w:r w:rsidRPr="00674D3A">
        <w:rPr>
          <w:rFonts w:ascii="Times New Roman" w:hAnsi="Times New Roman" w:cs="Times New Roman"/>
          <w:sz w:val="20"/>
          <w:szCs w:val="20"/>
          <w:lang w:val="en-US"/>
        </w:rPr>
        <w:lastRenderedPageBreak/>
        <w:t>Each sample was tested for adsorption properties using the McBain method. Among all the samples, sample 4.1-6 showed good results in adsorption tests in an aqueous solution, while in a benzene solution, sample 5.1 demonstrated promising results.</w:t>
      </w:r>
    </w:p>
    <w:p w14:paraId="0AC704C4" w14:textId="77777777" w:rsidR="00B12383" w:rsidRPr="00FB4938" w:rsidRDefault="00B12383" w:rsidP="00CC6F3F">
      <w:pPr>
        <w:spacing w:before="240" w:line="240" w:lineRule="auto"/>
        <w:jc w:val="center"/>
        <w:rPr>
          <w:rFonts w:ascii="Times New Roman" w:hAnsi="Times New Roman" w:cs="Times New Roman"/>
          <w:sz w:val="20"/>
          <w:szCs w:val="20"/>
        </w:rPr>
      </w:pPr>
      <w:r w:rsidRPr="00FB4938">
        <w:rPr>
          <w:noProof/>
          <w:sz w:val="20"/>
          <w:szCs w:val="20"/>
          <w:lang w:val="en-US"/>
        </w:rPr>
        <w:drawing>
          <wp:inline distT="0" distB="0" distL="0" distR="0" wp14:anchorId="77886BFB" wp14:editId="08AA2EEA">
            <wp:extent cx="4105275" cy="2571750"/>
            <wp:effectExtent l="0" t="0" r="9525" b="0"/>
            <wp:docPr id="46" name="Диаграмма 46">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0E8230" w14:textId="15988BF5" w:rsidR="00B12383" w:rsidRPr="00674D3A" w:rsidRDefault="009E4C2E" w:rsidP="002E0533">
      <w:pPr>
        <w:spacing w:line="240" w:lineRule="auto"/>
        <w:jc w:val="center"/>
        <w:rPr>
          <w:rFonts w:ascii="Times New Roman" w:hAnsi="Times New Roman" w:cs="Times New Roman"/>
          <w:b/>
          <w:bCs/>
          <w:sz w:val="18"/>
          <w:szCs w:val="18"/>
          <w:lang w:val="en-US"/>
        </w:rPr>
      </w:pPr>
      <w:r w:rsidRPr="009E4C2E">
        <w:rPr>
          <w:rFonts w:ascii="Times New Roman" w:hAnsi="Times New Roman" w:cs="Times New Roman"/>
          <w:b/>
          <w:bCs/>
          <w:sz w:val="18"/>
          <w:szCs w:val="18"/>
          <w:lang w:val="en-US"/>
        </w:rPr>
        <w:t>F</w:t>
      </w:r>
      <w:r w:rsidRPr="009E4C2E">
        <w:rPr>
          <w:rFonts w:ascii="Times New Roman" w:hAnsi="Times New Roman" w:cs="Times New Roman"/>
          <w:b/>
          <w:bCs/>
          <w:sz w:val="18"/>
          <w:szCs w:val="18"/>
          <w:lang w:val="en-AU"/>
        </w:rPr>
        <w:t>IGURE</w:t>
      </w:r>
      <w:r w:rsidR="00674D3A" w:rsidRPr="003C135C">
        <w:rPr>
          <w:rFonts w:ascii="Times New Roman" w:hAnsi="Times New Roman" w:cs="Times New Roman"/>
          <w:b/>
          <w:bCs/>
          <w:sz w:val="18"/>
          <w:szCs w:val="18"/>
          <w:lang w:val="en-US"/>
        </w:rPr>
        <w:t xml:space="preserve"> 8.</w:t>
      </w:r>
      <w:r w:rsidR="00674D3A" w:rsidRPr="003C135C">
        <w:rPr>
          <w:rFonts w:ascii="Times New Roman" w:hAnsi="Times New Roman" w:cs="Times New Roman"/>
          <w:sz w:val="18"/>
          <w:szCs w:val="18"/>
          <w:lang w:val="en-US"/>
        </w:rPr>
        <w:t xml:space="preserve"> </w:t>
      </w:r>
      <w:r w:rsidR="00674D3A" w:rsidRPr="00674D3A">
        <w:rPr>
          <w:rFonts w:ascii="Times New Roman" w:hAnsi="Times New Roman" w:cs="Times New Roman"/>
          <w:sz w:val="18"/>
          <w:szCs w:val="18"/>
          <w:lang w:val="en-US"/>
        </w:rPr>
        <w:t>Performance of sample 4.1-6 in the adsorption properties analysis using the McBain method</w:t>
      </w:r>
      <w:r>
        <w:rPr>
          <w:rFonts w:ascii="Times New Roman" w:hAnsi="Times New Roman" w:cs="Times New Roman"/>
          <w:sz w:val="18"/>
          <w:szCs w:val="18"/>
          <w:lang w:val="en-US"/>
        </w:rPr>
        <w:br/>
      </w:r>
      <w:r w:rsidR="00674D3A" w:rsidRPr="00674D3A">
        <w:rPr>
          <w:rFonts w:ascii="Times New Roman" w:hAnsi="Times New Roman" w:cs="Times New Roman"/>
          <w:sz w:val="18"/>
          <w:szCs w:val="18"/>
          <w:lang w:val="en-US"/>
        </w:rPr>
        <w:t xml:space="preserve"> in an aqueous solution.</w:t>
      </w:r>
    </w:p>
    <w:p w14:paraId="17A51AA5" w14:textId="77777777" w:rsidR="00B12383" w:rsidRPr="00FB4938" w:rsidRDefault="00B12383" w:rsidP="002E0533">
      <w:pPr>
        <w:spacing w:line="240" w:lineRule="auto"/>
        <w:jc w:val="center"/>
        <w:rPr>
          <w:rFonts w:ascii="Times New Roman" w:hAnsi="Times New Roman" w:cs="Times New Roman"/>
          <w:sz w:val="20"/>
          <w:szCs w:val="20"/>
        </w:rPr>
      </w:pPr>
      <w:r w:rsidRPr="00FB4938">
        <w:rPr>
          <w:noProof/>
          <w:sz w:val="20"/>
          <w:szCs w:val="20"/>
          <w:lang w:val="en-US"/>
        </w:rPr>
        <w:drawing>
          <wp:inline distT="0" distB="0" distL="0" distR="0" wp14:anchorId="65B6D5FC" wp14:editId="4FFBF330">
            <wp:extent cx="4324350" cy="2181225"/>
            <wp:effectExtent l="0" t="0" r="0" b="9525"/>
            <wp:docPr id="43" name="Диаграмма 4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FBF00D" w14:textId="6777481A" w:rsidR="00B12383" w:rsidRPr="00674D3A" w:rsidRDefault="009E4C2E" w:rsidP="002E0533">
      <w:pPr>
        <w:spacing w:line="240" w:lineRule="auto"/>
        <w:jc w:val="center"/>
        <w:rPr>
          <w:rFonts w:ascii="Times New Roman" w:hAnsi="Times New Roman" w:cs="Times New Roman"/>
          <w:b/>
          <w:bCs/>
          <w:sz w:val="18"/>
          <w:szCs w:val="18"/>
          <w:lang w:val="en-US"/>
        </w:rPr>
      </w:pPr>
      <w:r w:rsidRPr="009E4C2E">
        <w:rPr>
          <w:rFonts w:ascii="Times New Roman" w:hAnsi="Times New Roman" w:cs="Times New Roman"/>
          <w:b/>
          <w:bCs/>
          <w:sz w:val="18"/>
          <w:szCs w:val="18"/>
          <w:lang w:val="en-US"/>
        </w:rPr>
        <w:t>F</w:t>
      </w:r>
      <w:r w:rsidRPr="009E4C2E">
        <w:rPr>
          <w:rFonts w:ascii="Times New Roman" w:hAnsi="Times New Roman" w:cs="Times New Roman"/>
          <w:b/>
          <w:bCs/>
          <w:sz w:val="18"/>
          <w:szCs w:val="18"/>
          <w:lang w:val="en-AU"/>
        </w:rPr>
        <w:t>IGURE</w:t>
      </w:r>
      <w:r w:rsidR="00674D3A" w:rsidRPr="003C135C">
        <w:rPr>
          <w:rFonts w:ascii="Times New Roman" w:hAnsi="Times New Roman" w:cs="Times New Roman"/>
          <w:b/>
          <w:bCs/>
          <w:sz w:val="18"/>
          <w:szCs w:val="18"/>
          <w:lang w:val="en-US"/>
        </w:rPr>
        <w:t xml:space="preserve"> 9.</w:t>
      </w:r>
      <w:r w:rsidR="00674D3A" w:rsidRPr="003C135C">
        <w:rPr>
          <w:rFonts w:ascii="Times New Roman" w:hAnsi="Times New Roman" w:cs="Times New Roman"/>
          <w:sz w:val="18"/>
          <w:szCs w:val="18"/>
          <w:lang w:val="en-US"/>
        </w:rPr>
        <w:t xml:space="preserve"> </w:t>
      </w:r>
      <w:r w:rsidR="00674D3A" w:rsidRPr="00674D3A">
        <w:rPr>
          <w:rFonts w:ascii="Times New Roman" w:hAnsi="Times New Roman" w:cs="Times New Roman"/>
          <w:sz w:val="18"/>
          <w:szCs w:val="18"/>
          <w:lang w:val="en-US"/>
        </w:rPr>
        <w:t>Performance of sample 5.1 in the adsorption properties analysis using the McBain method in a benzene solution.</w:t>
      </w:r>
    </w:p>
    <w:p w14:paraId="44BDE012" w14:textId="4F223105"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Sample 4.1-6 showed the following adsorption values in an aqueous solution: single-pore capacity of 0.782 mol/kg, specific surface area of 188.26 m²/g, micropore volume of 0.1865572, mesopore volume of 0.1, and pore radius of 29.9 Å. Sample 5.1 showed the following adsorption values in a benzene solution: single-pore capacity of 0.905 mol/kg, specific surface area of 58.82 m²/g, micropore volume of 0.0676196, mesopore volume of 0.04, and pore radius of 39.9 Å.</w:t>
      </w:r>
    </w:p>
    <w:p w14:paraId="07E3F810" w14:textId="77777777"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The graphs show the time-dependent changes in quartz crystal microbalance (QCM) frequency during cyclic switching of the gas environment between nitrogen (N₂) and carbon dioxide (CO₂). The gas supply periods are indicated by color shading:</w:t>
      </w:r>
    </w:p>
    <w:p w14:paraId="330F9032" w14:textId="77777777"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green — N₂ flow (inert environment),</w:t>
      </w:r>
    </w:p>
    <w:p w14:paraId="7BB57846" w14:textId="77777777"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orange — CO₂ flow (active adsorption environment).</w:t>
      </w:r>
    </w:p>
    <w:p w14:paraId="0FB3D79B" w14:textId="77777777"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Each curve reflects the dynamics of CO₂ sorption/desorption by the nanocellulose coating. Upon CO₂ exposure, a significant decrease in the resonance frequency (</w:t>
      </w:r>
      <w:r w:rsidRPr="0014187B">
        <w:rPr>
          <w:rFonts w:ascii="Times New Roman" w:eastAsia="Times New Roman" w:hAnsi="Times New Roman" w:cs="Times New Roman"/>
          <w:sz w:val="20"/>
          <w:szCs w:val="20"/>
          <w:lang w:eastAsia="ru-RU"/>
        </w:rPr>
        <w:t>Δ</w:t>
      </w:r>
      <w:r w:rsidRPr="0014187B">
        <w:rPr>
          <w:rFonts w:ascii="Times New Roman" w:eastAsia="Times New Roman" w:hAnsi="Times New Roman" w:cs="Times New Roman"/>
          <w:sz w:val="20"/>
          <w:szCs w:val="20"/>
          <w:lang w:val="en-US" w:eastAsia="ru-RU"/>
        </w:rPr>
        <w:t>f) is observed, indicating:</w:t>
      </w:r>
    </w:p>
    <w:p w14:paraId="4FDED27C" w14:textId="63199D87" w:rsidR="0014187B" w:rsidRPr="0014187B" w:rsidRDefault="0014187B" w:rsidP="0014187B">
      <w:pPr>
        <w:pStyle w:val="ac"/>
        <w:numPr>
          <w:ilvl w:val="0"/>
          <w:numId w:val="7"/>
        </w:numPr>
        <w:spacing w:after="0" w:line="240" w:lineRule="auto"/>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 xml:space="preserve">adsorption of CO₂ molecules on the surface and internal </w:t>
      </w:r>
      <w:proofErr w:type="spellStart"/>
      <w:r w:rsidRPr="0014187B">
        <w:rPr>
          <w:rFonts w:ascii="Times New Roman" w:eastAsia="Times New Roman" w:hAnsi="Times New Roman" w:cs="Times New Roman"/>
          <w:sz w:val="20"/>
          <w:szCs w:val="20"/>
          <w:lang w:val="en-US" w:eastAsia="ru-RU"/>
        </w:rPr>
        <w:t>nanostructural</w:t>
      </w:r>
      <w:proofErr w:type="spellEnd"/>
      <w:r w:rsidRPr="0014187B">
        <w:rPr>
          <w:rFonts w:ascii="Times New Roman" w:eastAsia="Times New Roman" w:hAnsi="Times New Roman" w:cs="Times New Roman"/>
          <w:sz w:val="20"/>
          <w:szCs w:val="20"/>
          <w:lang w:val="en-US" w:eastAsia="ru-RU"/>
        </w:rPr>
        <w:t xml:space="preserve"> regions of the nanocellulose;</w:t>
      </w:r>
    </w:p>
    <w:p w14:paraId="03F384BA" w14:textId="03DC83EF" w:rsidR="0014187B" w:rsidRPr="0014187B" w:rsidRDefault="0014187B" w:rsidP="0014187B">
      <w:pPr>
        <w:pStyle w:val="ac"/>
        <w:numPr>
          <w:ilvl w:val="0"/>
          <w:numId w:val="7"/>
        </w:numPr>
        <w:spacing w:after="0" w:line="240" w:lineRule="auto"/>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lastRenderedPageBreak/>
        <w:t>an increase in the mass of the sensor layer;</w:t>
      </w:r>
    </w:p>
    <w:p w14:paraId="5D5E87DE" w14:textId="7052A73F" w:rsidR="0014187B" w:rsidRPr="0014187B" w:rsidRDefault="0014187B" w:rsidP="0014187B">
      <w:pPr>
        <w:pStyle w:val="ac"/>
        <w:numPr>
          <w:ilvl w:val="0"/>
          <w:numId w:val="7"/>
        </w:numPr>
        <w:spacing w:after="0" w:line="240" w:lineRule="auto"/>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rapid establishment of sorption equilibrium.</w:t>
      </w:r>
    </w:p>
    <w:p w14:paraId="255710A9" w14:textId="77777777"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Returning to N₂ results in partial frequency recovery due to CO₂ desorption. The observed repeatability of the cycles confirms the stability, reproducibility, and absence of degradation of the nanocellulose layer.</w:t>
      </w:r>
    </w:p>
    <w:p w14:paraId="29B12546" w14:textId="77777777"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 xml:space="preserve">Comparison of the samples shows that sensors of the 3.1–6 / 3.1–9 series demonstrate moderate </w:t>
      </w:r>
      <w:r w:rsidRPr="0014187B">
        <w:rPr>
          <w:rFonts w:ascii="Times New Roman" w:eastAsia="Times New Roman" w:hAnsi="Times New Roman" w:cs="Times New Roman"/>
          <w:sz w:val="20"/>
          <w:szCs w:val="20"/>
          <w:lang w:eastAsia="ru-RU"/>
        </w:rPr>
        <w:t>Δ</w:t>
      </w:r>
      <w:r w:rsidRPr="0014187B">
        <w:rPr>
          <w:rFonts w:ascii="Times New Roman" w:eastAsia="Times New Roman" w:hAnsi="Times New Roman" w:cs="Times New Roman"/>
          <w:sz w:val="20"/>
          <w:szCs w:val="20"/>
          <w:lang w:val="en-US" w:eastAsia="ru-RU"/>
        </w:rPr>
        <w:t>f amplitudes upon CO₂ exposure, whereas sensors 4.1–6 / 4.1–9 exhibit significantly deeper frequency drops, indicating higher sorption capacity and a more developed nanostructure of the coating.</w:t>
      </w:r>
    </w:p>
    <w:p w14:paraId="73503F3F" w14:textId="06B809B4" w:rsidR="00346743"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Thus, the data demonstrate that the chemical modification and structure of the nanocellulose layers determine the QCM sensor’s sensitivity to CO₂.</w:t>
      </w:r>
    </w:p>
    <w:p w14:paraId="62FDE0A6" w14:textId="10314F70" w:rsidR="003F525B" w:rsidRPr="00FB4938" w:rsidRDefault="003F525B" w:rsidP="00E67ADB">
      <w:pPr>
        <w:spacing w:after="0"/>
        <w:jc w:val="center"/>
        <w:rPr>
          <w:rFonts w:ascii="Times New Roman" w:hAnsi="Times New Roman" w:cs="Times New Roman"/>
          <w:b/>
          <w:bCs/>
          <w:sz w:val="20"/>
          <w:szCs w:val="20"/>
        </w:rPr>
      </w:pPr>
      <w:r w:rsidRPr="00FB4938">
        <w:rPr>
          <w:noProof/>
          <w:sz w:val="20"/>
          <w:szCs w:val="20"/>
          <w:lang w:val="en-US"/>
        </w:rPr>
        <w:drawing>
          <wp:inline distT="0" distB="0" distL="0" distR="0" wp14:anchorId="5C8A4769" wp14:editId="3FE2615C">
            <wp:extent cx="5815584" cy="4679078"/>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6726" cy="4696088"/>
                    </a:xfrm>
                    <a:prstGeom prst="rect">
                      <a:avLst/>
                    </a:prstGeom>
                  </pic:spPr>
                </pic:pic>
              </a:graphicData>
            </a:graphic>
          </wp:inline>
        </w:drawing>
      </w:r>
    </w:p>
    <w:p w14:paraId="4EC124D3" w14:textId="0BA4D971" w:rsidR="00F43FA5" w:rsidRPr="0014187B" w:rsidRDefault="009E4C2E" w:rsidP="00C16B75">
      <w:pPr>
        <w:jc w:val="center"/>
        <w:rPr>
          <w:rFonts w:ascii="Times New Roman" w:hAnsi="Times New Roman" w:cs="Times New Roman"/>
          <w:b/>
          <w:bCs/>
          <w:sz w:val="18"/>
          <w:szCs w:val="18"/>
          <w:lang w:val="en-US"/>
        </w:rPr>
      </w:pPr>
      <w:r w:rsidRPr="009E4C2E">
        <w:rPr>
          <w:rFonts w:ascii="Times New Roman" w:hAnsi="Times New Roman" w:cs="Times New Roman"/>
          <w:b/>
          <w:bCs/>
          <w:sz w:val="18"/>
          <w:szCs w:val="18"/>
          <w:lang w:val="en-US"/>
        </w:rPr>
        <w:t>F</w:t>
      </w:r>
      <w:r w:rsidRPr="009E4C2E">
        <w:rPr>
          <w:rFonts w:ascii="Times New Roman" w:hAnsi="Times New Roman" w:cs="Times New Roman"/>
          <w:b/>
          <w:bCs/>
          <w:sz w:val="18"/>
          <w:szCs w:val="18"/>
          <w:lang w:val="en-AU"/>
        </w:rPr>
        <w:t>IGURE</w:t>
      </w:r>
      <w:r w:rsidR="0014187B" w:rsidRPr="003C135C">
        <w:rPr>
          <w:rFonts w:ascii="Times New Roman" w:hAnsi="Times New Roman" w:cs="Times New Roman"/>
          <w:b/>
          <w:bCs/>
          <w:sz w:val="18"/>
          <w:szCs w:val="18"/>
          <w:lang w:val="en-US"/>
        </w:rPr>
        <w:t xml:space="preserve"> 10.</w:t>
      </w:r>
      <w:r w:rsidR="0014187B" w:rsidRPr="003C135C">
        <w:rPr>
          <w:rFonts w:ascii="Times New Roman" w:hAnsi="Times New Roman" w:cs="Times New Roman"/>
          <w:sz w:val="18"/>
          <w:szCs w:val="18"/>
          <w:lang w:val="en-US"/>
        </w:rPr>
        <w:t xml:space="preserve"> </w:t>
      </w:r>
      <w:r w:rsidR="0014187B" w:rsidRPr="0014187B">
        <w:rPr>
          <w:rFonts w:ascii="Times New Roman" w:hAnsi="Times New Roman" w:cs="Times New Roman"/>
          <w:sz w:val="18"/>
          <w:szCs w:val="18"/>
          <w:lang w:val="en-US"/>
        </w:rPr>
        <w:t>QCM sensory testing indicators</w:t>
      </w:r>
    </w:p>
    <w:p w14:paraId="6D41F21F" w14:textId="15F29024" w:rsidR="0014187B" w:rsidRPr="0014187B" w:rsidRDefault="0014187B" w:rsidP="0014187B">
      <w:pPr>
        <w:spacing w:after="0" w:line="240" w:lineRule="auto"/>
        <w:ind w:firstLine="284"/>
        <w:jc w:val="both"/>
        <w:rPr>
          <w:rFonts w:ascii="Times New Roman" w:eastAsia="Times New Roman" w:hAnsi="Times New Roman" w:cs="Times New Roman"/>
          <w:sz w:val="20"/>
          <w:szCs w:val="20"/>
          <w:lang w:val="en-US" w:eastAsia="ru-RU"/>
        </w:rPr>
      </w:pPr>
      <w:r w:rsidRPr="0014187B">
        <w:rPr>
          <w:rFonts w:ascii="Times New Roman" w:eastAsia="Times New Roman" w:hAnsi="Times New Roman" w:cs="Times New Roman"/>
          <w:sz w:val="20"/>
          <w:szCs w:val="20"/>
          <w:lang w:val="en-US" w:eastAsia="ru-RU"/>
        </w:rPr>
        <w:t xml:space="preserve">Thus, the data demonstrate that the chemical modification and structure of the nanocellulose layers determine the QCM sensor’s sensitivity to CO₂. </w:t>
      </w:r>
    </w:p>
    <w:p w14:paraId="5F741DEE" w14:textId="519FDAC9" w:rsidR="00F43FA5" w:rsidRPr="003C135C" w:rsidRDefault="0014187B" w:rsidP="001A284E">
      <w:pPr>
        <w:spacing w:before="240"/>
        <w:jc w:val="center"/>
        <w:rPr>
          <w:rFonts w:ascii="Times New Roman" w:eastAsia="Times New Roman" w:hAnsi="Times New Roman" w:cs="Times New Roman"/>
          <w:b/>
          <w:bCs/>
          <w:sz w:val="24"/>
          <w:szCs w:val="24"/>
          <w:lang w:val="en-US" w:eastAsia="ru-RU"/>
        </w:rPr>
      </w:pPr>
      <w:r w:rsidRPr="0014187B">
        <w:rPr>
          <w:rFonts w:ascii="Times New Roman" w:hAnsi="Times New Roman" w:cs="Times New Roman"/>
          <w:b/>
          <w:sz w:val="24"/>
          <w:szCs w:val="24"/>
          <w:lang w:val="en-US"/>
        </w:rPr>
        <w:t>CONCLUSIONS</w:t>
      </w:r>
    </w:p>
    <w:p w14:paraId="6948C1A5" w14:textId="77777777" w:rsidR="0014187B" w:rsidRPr="0014187B" w:rsidRDefault="0014187B" w:rsidP="0014187B">
      <w:pPr>
        <w:pStyle w:val="a5"/>
        <w:spacing w:after="0" w:afterAutospacing="0"/>
        <w:ind w:firstLine="284"/>
        <w:jc w:val="both"/>
        <w:rPr>
          <w:sz w:val="20"/>
          <w:szCs w:val="20"/>
          <w:lang w:val="en-US"/>
        </w:rPr>
      </w:pPr>
      <w:r w:rsidRPr="0014187B">
        <w:rPr>
          <w:sz w:val="20"/>
          <w:szCs w:val="20"/>
          <w:lang w:val="en-US"/>
        </w:rPr>
        <w:t xml:space="preserve">In the course of the study, nanocellulose was obtained from Miscanthus and Broussonetia </w:t>
      </w:r>
      <w:proofErr w:type="spellStart"/>
      <w:r w:rsidRPr="0014187B">
        <w:rPr>
          <w:sz w:val="20"/>
          <w:szCs w:val="20"/>
          <w:lang w:val="en-US"/>
        </w:rPr>
        <w:t>papyrifera</w:t>
      </w:r>
      <w:proofErr w:type="spellEnd"/>
      <w:r w:rsidRPr="0014187B">
        <w:rPr>
          <w:sz w:val="20"/>
          <w:szCs w:val="20"/>
          <w:lang w:val="en-US"/>
        </w:rPr>
        <w:t xml:space="preserve"> using a combined chemical–mechanical method, and a comprehensive multi-level characterization was performed using DLS, IR spectroscopy, McBain adsorption analysis, and QCM sensor testing. The results confirm that varying the conditions of hydrolysis and mechanical treatment allows targeted modification of the morphology, size characteristics, and surface properties of nanocellulose, which directly affects its adsorption and sensor activity.</w:t>
      </w:r>
    </w:p>
    <w:p w14:paraId="6BAA158A" w14:textId="77777777" w:rsidR="0014187B" w:rsidRPr="0014187B" w:rsidRDefault="0014187B" w:rsidP="0014187B">
      <w:pPr>
        <w:pStyle w:val="a5"/>
        <w:spacing w:before="0" w:beforeAutospacing="0" w:after="0" w:afterAutospacing="0"/>
        <w:ind w:firstLine="284"/>
        <w:jc w:val="both"/>
        <w:rPr>
          <w:sz w:val="20"/>
          <w:szCs w:val="20"/>
          <w:lang w:val="en-US"/>
        </w:rPr>
      </w:pPr>
      <w:r w:rsidRPr="0014187B">
        <w:rPr>
          <w:sz w:val="20"/>
          <w:szCs w:val="20"/>
          <w:lang w:val="en-US"/>
        </w:rPr>
        <w:lastRenderedPageBreak/>
        <w:t>DLS analysis showed that the studied samples contain nanoparticles in the 2.5–5 nm range, with samples 4.1-6 and 4.1-9 exhibiting the smallest average particle size and the narrowest distribution, indicating a high degree of defibrillation. IR spectroscopy confirmed the preservation of cellulose-specific functional groups and the absence of foreign impurities, demonstrating the correctness of the production technology.</w:t>
      </w:r>
    </w:p>
    <w:p w14:paraId="3B498729" w14:textId="77777777" w:rsidR="0014187B" w:rsidRPr="0014187B" w:rsidRDefault="0014187B" w:rsidP="0014187B">
      <w:pPr>
        <w:pStyle w:val="a5"/>
        <w:spacing w:before="0" w:beforeAutospacing="0" w:after="0" w:afterAutospacing="0"/>
        <w:ind w:firstLine="284"/>
        <w:jc w:val="both"/>
        <w:rPr>
          <w:sz w:val="20"/>
          <w:szCs w:val="20"/>
          <w:lang w:val="en-US"/>
        </w:rPr>
      </w:pPr>
      <w:r w:rsidRPr="0014187B">
        <w:rPr>
          <w:sz w:val="20"/>
          <w:szCs w:val="20"/>
          <w:lang w:val="en-US"/>
        </w:rPr>
        <w:t>Adsorption analysis revealed significant differences between the samples: sample 4.1-6 showed maximum adsorption in an aqueous environment and the most developed specific surface area, while sample 5.1 exhibited the highest sorption in a benzene environment, indicating differences in microporous structure and surface energetics. Sensor testing using QCM showed that samples 4.1-6 and 4.1-9 possess high sensitivity to carbon dioxide, providing the deepest frequency response and good reproducibility of adsorption–desorption cycles.</w:t>
      </w:r>
    </w:p>
    <w:p w14:paraId="3FBDB735" w14:textId="4EDEDD5A" w:rsidR="0014187B" w:rsidRPr="0014187B" w:rsidRDefault="0014187B" w:rsidP="0014187B">
      <w:pPr>
        <w:pStyle w:val="a5"/>
        <w:spacing w:before="0" w:beforeAutospacing="0"/>
        <w:ind w:firstLine="284"/>
        <w:jc w:val="both"/>
        <w:rPr>
          <w:sz w:val="20"/>
          <w:szCs w:val="20"/>
          <w:lang w:val="en-US"/>
        </w:rPr>
      </w:pPr>
      <w:r w:rsidRPr="0014187B">
        <w:rPr>
          <w:sz w:val="20"/>
          <w:szCs w:val="20"/>
          <w:lang w:val="en-US"/>
        </w:rPr>
        <w:t>Thus, it was established that the structural parameters, specific surface area, and porosity of nanocellulose directly determine its adsorption and sensor properties. Samples 4.1-6 and 4.1-9 can be considered optimal for the development of gas-sensitive coatings and CO₂ environmental sensors, and they also show promise for membrane and adsorption technologies. The obtained results expand scientific understanding of the relationship between nanocellulose morphology and functionality and confirm the potential of Miscanthus and Broussonetia plant materials for creating highly efficient next-generation biomaterials.</w:t>
      </w:r>
    </w:p>
    <w:p w14:paraId="61F87441" w14:textId="7C96A1BD" w:rsidR="00F43FA5" w:rsidRPr="0014187B" w:rsidRDefault="0014187B" w:rsidP="0014187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390BEE7" w14:textId="7B41A77B" w:rsidR="00F43FA5" w:rsidRPr="00625857" w:rsidRDefault="00F43FA5"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25857">
        <w:rPr>
          <w:rFonts w:ascii="Times New Roman" w:eastAsia="Times New Roman" w:hAnsi="Times New Roman" w:cs="Times New Roman"/>
          <w:sz w:val="20"/>
          <w:szCs w:val="20"/>
          <w:lang w:val="en-US" w:eastAsia="ru-RU"/>
        </w:rPr>
        <w:t xml:space="preserve">Habibi, Y., Lucia, L. A., &amp; Rojas, O. J. (2010). Cellulose nanocrystals: Chemistry, self-assembly, and applications. </w:t>
      </w:r>
      <w:r w:rsidRPr="00625857">
        <w:rPr>
          <w:rFonts w:ascii="Times New Roman" w:eastAsia="Times New Roman" w:hAnsi="Times New Roman" w:cs="Times New Roman"/>
          <w:i/>
          <w:iCs/>
          <w:sz w:val="20"/>
          <w:szCs w:val="20"/>
          <w:lang w:val="en-US" w:eastAsia="ru-RU"/>
        </w:rPr>
        <w:t>Chemical Reviews, 110</w:t>
      </w:r>
      <w:r w:rsidRPr="00625857">
        <w:rPr>
          <w:rFonts w:ascii="Times New Roman" w:eastAsia="Times New Roman" w:hAnsi="Times New Roman" w:cs="Times New Roman"/>
          <w:sz w:val="20"/>
          <w:szCs w:val="20"/>
          <w:lang w:val="en-US" w:eastAsia="ru-RU"/>
        </w:rPr>
        <w:t>(6), 3479–3500.</w:t>
      </w:r>
    </w:p>
    <w:p w14:paraId="32F85CDD" w14:textId="0087C433" w:rsidR="00F43FA5" w:rsidRPr="00625857" w:rsidRDefault="00F43FA5"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25857">
        <w:rPr>
          <w:rFonts w:ascii="Times New Roman" w:eastAsia="Times New Roman" w:hAnsi="Times New Roman" w:cs="Times New Roman"/>
          <w:sz w:val="20"/>
          <w:szCs w:val="20"/>
          <w:lang w:val="en-US" w:eastAsia="ru-RU"/>
        </w:rPr>
        <w:t xml:space="preserve">Klemm, D., Cranston, E. D., Fischer, D., Gama, M., Kedzior, S. A., Kralisch, D., … &amp; Ribeiro, A. J. (2018). Nanocelluloses: A new family of nature-based materials. </w:t>
      </w:r>
      <w:proofErr w:type="spellStart"/>
      <w:r w:rsidRPr="00625857">
        <w:rPr>
          <w:rFonts w:ascii="Times New Roman" w:eastAsia="Times New Roman" w:hAnsi="Times New Roman" w:cs="Times New Roman"/>
          <w:i/>
          <w:iCs/>
          <w:sz w:val="20"/>
          <w:szCs w:val="20"/>
          <w:lang w:val="en-US" w:eastAsia="ru-RU"/>
        </w:rPr>
        <w:t>Angewandte</w:t>
      </w:r>
      <w:proofErr w:type="spellEnd"/>
      <w:r w:rsidRPr="00625857">
        <w:rPr>
          <w:rFonts w:ascii="Times New Roman" w:eastAsia="Times New Roman" w:hAnsi="Times New Roman" w:cs="Times New Roman"/>
          <w:i/>
          <w:iCs/>
          <w:sz w:val="20"/>
          <w:szCs w:val="20"/>
          <w:lang w:val="en-US" w:eastAsia="ru-RU"/>
        </w:rPr>
        <w:t xml:space="preserve"> </w:t>
      </w:r>
      <w:proofErr w:type="spellStart"/>
      <w:r w:rsidRPr="00625857">
        <w:rPr>
          <w:rFonts w:ascii="Times New Roman" w:eastAsia="Times New Roman" w:hAnsi="Times New Roman" w:cs="Times New Roman"/>
          <w:i/>
          <w:iCs/>
          <w:sz w:val="20"/>
          <w:szCs w:val="20"/>
          <w:lang w:val="en-US" w:eastAsia="ru-RU"/>
        </w:rPr>
        <w:t>Chemie</w:t>
      </w:r>
      <w:proofErr w:type="spellEnd"/>
      <w:r w:rsidRPr="00625857">
        <w:rPr>
          <w:rFonts w:ascii="Times New Roman" w:eastAsia="Times New Roman" w:hAnsi="Times New Roman" w:cs="Times New Roman"/>
          <w:i/>
          <w:iCs/>
          <w:sz w:val="20"/>
          <w:szCs w:val="20"/>
          <w:lang w:val="en-US" w:eastAsia="ru-RU"/>
        </w:rPr>
        <w:t xml:space="preserve"> International Edition, 57</w:t>
      </w:r>
      <w:r w:rsidRPr="00625857">
        <w:rPr>
          <w:rFonts w:ascii="Times New Roman" w:eastAsia="Times New Roman" w:hAnsi="Times New Roman" w:cs="Times New Roman"/>
          <w:sz w:val="20"/>
          <w:szCs w:val="20"/>
          <w:lang w:val="en-US" w:eastAsia="ru-RU"/>
        </w:rPr>
        <w:t>(26), 6843–6868.</w:t>
      </w:r>
    </w:p>
    <w:p w14:paraId="7D0F65EB" w14:textId="59354AE0" w:rsidR="00F43FA5" w:rsidRPr="00625857" w:rsidRDefault="00F43FA5"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25857">
        <w:rPr>
          <w:rFonts w:ascii="Times New Roman" w:eastAsia="Times New Roman" w:hAnsi="Times New Roman" w:cs="Times New Roman"/>
          <w:sz w:val="20"/>
          <w:szCs w:val="20"/>
          <w:lang w:val="en-US" w:eastAsia="ru-RU"/>
        </w:rPr>
        <w:t xml:space="preserve">Isogai, A. (2020). Progress in TEMPO-oxidized cellulose nanofibers. </w:t>
      </w:r>
      <w:r w:rsidRPr="00625857">
        <w:rPr>
          <w:rFonts w:ascii="Times New Roman" w:eastAsia="Times New Roman" w:hAnsi="Times New Roman" w:cs="Times New Roman"/>
          <w:i/>
          <w:iCs/>
          <w:sz w:val="20"/>
          <w:szCs w:val="20"/>
          <w:lang w:val="en-US" w:eastAsia="ru-RU"/>
        </w:rPr>
        <w:t>Journal of Polymer Science, 58</w:t>
      </w:r>
      <w:r w:rsidRPr="00625857">
        <w:rPr>
          <w:rFonts w:ascii="Times New Roman" w:eastAsia="Times New Roman" w:hAnsi="Times New Roman" w:cs="Times New Roman"/>
          <w:sz w:val="20"/>
          <w:szCs w:val="20"/>
          <w:lang w:val="en-US" w:eastAsia="ru-RU"/>
        </w:rPr>
        <w:t>(13), 1861–1871.</w:t>
      </w:r>
    </w:p>
    <w:p w14:paraId="52C5EE31" w14:textId="5BC007C6" w:rsidR="00F43FA5" w:rsidRPr="00625857" w:rsidRDefault="00F43FA5"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25857">
        <w:rPr>
          <w:rFonts w:ascii="Times New Roman" w:eastAsia="Times New Roman" w:hAnsi="Times New Roman" w:cs="Times New Roman"/>
          <w:sz w:val="20"/>
          <w:szCs w:val="20"/>
          <w:lang w:val="en-US" w:eastAsia="ru-RU"/>
        </w:rPr>
        <w:t xml:space="preserve">Chandel, A. K., Garlapati, V. K., Singh, A. K., Antunes, F. A., &amp; da Silva, S. S. (2019). The path forward for lignocellulosic biorefineries: Bottlenecks, solutions, and perspective on commercialization. </w:t>
      </w:r>
      <w:r w:rsidRPr="00625857">
        <w:rPr>
          <w:rFonts w:ascii="Times New Roman" w:eastAsia="Times New Roman" w:hAnsi="Times New Roman" w:cs="Times New Roman"/>
          <w:i/>
          <w:iCs/>
          <w:sz w:val="20"/>
          <w:szCs w:val="20"/>
          <w:lang w:val="en-US" w:eastAsia="ru-RU"/>
        </w:rPr>
        <w:t>Bioresource Technology, 278</w:t>
      </w:r>
      <w:r w:rsidRPr="00625857">
        <w:rPr>
          <w:rFonts w:ascii="Times New Roman" w:eastAsia="Times New Roman" w:hAnsi="Times New Roman" w:cs="Times New Roman"/>
          <w:sz w:val="20"/>
          <w:szCs w:val="20"/>
          <w:lang w:val="en-US" w:eastAsia="ru-RU"/>
        </w:rPr>
        <w:t>, 362–372.</w:t>
      </w:r>
    </w:p>
    <w:p w14:paraId="0E4FB787" w14:textId="1A0D23B5" w:rsidR="00F43FA5" w:rsidRPr="00625857" w:rsidRDefault="00F43FA5"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25857">
        <w:rPr>
          <w:rFonts w:ascii="Times New Roman" w:eastAsia="Times New Roman" w:hAnsi="Times New Roman" w:cs="Times New Roman"/>
          <w:sz w:val="20"/>
          <w:szCs w:val="20"/>
          <w:lang w:val="en-US" w:eastAsia="ru-RU"/>
        </w:rPr>
        <w:t xml:space="preserve">Siro, I., &amp; Plackett, D. (2010). </w:t>
      </w:r>
      <w:proofErr w:type="spellStart"/>
      <w:r w:rsidRPr="00625857">
        <w:rPr>
          <w:rFonts w:ascii="Times New Roman" w:eastAsia="Times New Roman" w:hAnsi="Times New Roman" w:cs="Times New Roman"/>
          <w:sz w:val="20"/>
          <w:szCs w:val="20"/>
          <w:lang w:val="en-US" w:eastAsia="ru-RU"/>
        </w:rPr>
        <w:t>Microfibrillated</w:t>
      </w:r>
      <w:proofErr w:type="spellEnd"/>
      <w:r w:rsidRPr="00625857">
        <w:rPr>
          <w:rFonts w:ascii="Times New Roman" w:eastAsia="Times New Roman" w:hAnsi="Times New Roman" w:cs="Times New Roman"/>
          <w:sz w:val="20"/>
          <w:szCs w:val="20"/>
          <w:lang w:val="en-US" w:eastAsia="ru-RU"/>
        </w:rPr>
        <w:t xml:space="preserve"> cellulose and new nanocomposite materials: A review. </w:t>
      </w:r>
      <w:r w:rsidRPr="00625857">
        <w:rPr>
          <w:rFonts w:ascii="Times New Roman" w:eastAsia="Times New Roman" w:hAnsi="Times New Roman" w:cs="Times New Roman"/>
          <w:i/>
          <w:iCs/>
          <w:sz w:val="20"/>
          <w:szCs w:val="20"/>
          <w:lang w:val="en-US" w:eastAsia="ru-RU"/>
        </w:rPr>
        <w:t>Cellulose, 17</w:t>
      </w:r>
      <w:r w:rsidRPr="00625857">
        <w:rPr>
          <w:rFonts w:ascii="Times New Roman" w:eastAsia="Times New Roman" w:hAnsi="Times New Roman" w:cs="Times New Roman"/>
          <w:sz w:val="20"/>
          <w:szCs w:val="20"/>
          <w:lang w:val="en-US" w:eastAsia="ru-RU"/>
        </w:rPr>
        <w:t>(3), 459–494.</w:t>
      </w:r>
    </w:p>
    <w:p w14:paraId="70120CCA" w14:textId="5EE1607B" w:rsidR="00F43FA5" w:rsidRPr="00625857" w:rsidRDefault="00F43FA5"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625857">
        <w:rPr>
          <w:rFonts w:ascii="Times New Roman" w:eastAsia="Times New Roman" w:hAnsi="Times New Roman" w:cs="Times New Roman"/>
          <w:sz w:val="20"/>
          <w:szCs w:val="20"/>
          <w:lang w:val="en-US" w:eastAsia="ru-RU"/>
        </w:rPr>
        <w:t>Hoeng</w:t>
      </w:r>
      <w:proofErr w:type="spellEnd"/>
      <w:r w:rsidRPr="00625857">
        <w:rPr>
          <w:rFonts w:ascii="Times New Roman" w:eastAsia="Times New Roman" w:hAnsi="Times New Roman" w:cs="Times New Roman"/>
          <w:sz w:val="20"/>
          <w:szCs w:val="20"/>
          <w:lang w:val="en-US" w:eastAsia="ru-RU"/>
        </w:rPr>
        <w:t xml:space="preserve">, F., </w:t>
      </w:r>
      <w:proofErr w:type="spellStart"/>
      <w:r w:rsidRPr="00625857">
        <w:rPr>
          <w:rFonts w:ascii="Times New Roman" w:eastAsia="Times New Roman" w:hAnsi="Times New Roman" w:cs="Times New Roman"/>
          <w:sz w:val="20"/>
          <w:szCs w:val="20"/>
          <w:lang w:val="en-US" w:eastAsia="ru-RU"/>
        </w:rPr>
        <w:t>Denneulin</w:t>
      </w:r>
      <w:proofErr w:type="spellEnd"/>
      <w:r w:rsidRPr="00625857">
        <w:rPr>
          <w:rFonts w:ascii="Times New Roman" w:eastAsia="Times New Roman" w:hAnsi="Times New Roman" w:cs="Times New Roman"/>
          <w:sz w:val="20"/>
          <w:szCs w:val="20"/>
          <w:lang w:val="en-US" w:eastAsia="ru-RU"/>
        </w:rPr>
        <w:t xml:space="preserve">, A., Bras, J. (2016). Neuromorphic and sensing applications of nanocellulose. </w:t>
      </w:r>
      <w:proofErr w:type="spellStart"/>
      <w:r w:rsidRPr="00625857">
        <w:rPr>
          <w:rFonts w:ascii="Times New Roman" w:eastAsia="Times New Roman" w:hAnsi="Times New Roman" w:cs="Times New Roman"/>
          <w:i/>
          <w:iCs/>
          <w:sz w:val="20"/>
          <w:szCs w:val="20"/>
          <w:lang w:eastAsia="ru-RU"/>
        </w:rPr>
        <w:t>Sensors</w:t>
      </w:r>
      <w:proofErr w:type="spellEnd"/>
      <w:r w:rsidRPr="00625857">
        <w:rPr>
          <w:rFonts w:ascii="Times New Roman" w:eastAsia="Times New Roman" w:hAnsi="Times New Roman" w:cs="Times New Roman"/>
          <w:i/>
          <w:iCs/>
          <w:sz w:val="20"/>
          <w:szCs w:val="20"/>
          <w:lang w:eastAsia="ru-RU"/>
        </w:rPr>
        <w:t>, 17</w:t>
      </w:r>
      <w:r w:rsidRPr="00625857">
        <w:rPr>
          <w:rFonts w:ascii="Times New Roman" w:eastAsia="Times New Roman" w:hAnsi="Times New Roman" w:cs="Times New Roman"/>
          <w:sz w:val="20"/>
          <w:szCs w:val="20"/>
          <w:lang w:eastAsia="ru-RU"/>
        </w:rPr>
        <w:t>(1), 104–121.</w:t>
      </w:r>
    </w:p>
    <w:p w14:paraId="073F3989" w14:textId="4311CF4B" w:rsidR="00C64B39" w:rsidRPr="00625857" w:rsidRDefault="00E26544"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625857">
        <w:rPr>
          <w:rFonts w:ascii="Times New Roman" w:hAnsi="Times New Roman" w:cs="Times New Roman"/>
          <w:color w:val="231F20"/>
          <w:sz w:val="20"/>
          <w:szCs w:val="20"/>
          <w:lang w:val="en-US"/>
        </w:rPr>
        <w:t>Sh</w:t>
      </w:r>
      <w:r w:rsidR="00C64B39" w:rsidRPr="00625857">
        <w:rPr>
          <w:rFonts w:ascii="Times New Roman" w:hAnsi="Times New Roman" w:cs="Times New Roman"/>
          <w:color w:val="231F20"/>
          <w:sz w:val="20"/>
          <w:szCs w:val="20"/>
          <w:lang w:val="en-US"/>
        </w:rPr>
        <w:t>.</w:t>
      </w:r>
      <w:r w:rsidR="00C64B39" w:rsidRPr="00625857">
        <w:rPr>
          <w:rFonts w:ascii="Times New Roman" w:hAnsi="Times New Roman" w:cs="Times New Roman"/>
          <w:color w:val="231F20"/>
          <w:sz w:val="20"/>
          <w:szCs w:val="20"/>
        </w:rPr>
        <w:t>А</w:t>
      </w:r>
      <w:r w:rsidR="00C64B39" w:rsidRPr="00625857">
        <w:rPr>
          <w:rFonts w:ascii="Times New Roman" w:hAnsi="Times New Roman" w:cs="Times New Roman"/>
          <w:color w:val="231F20"/>
          <w:sz w:val="20"/>
          <w:szCs w:val="20"/>
          <w:lang w:val="en-US"/>
        </w:rPr>
        <w:t xml:space="preserve">. </w:t>
      </w:r>
      <w:r w:rsidRPr="00625857">
        <w:rPr>
          <w:rFonts w:ascii="Times New Roman" w:hAnsi="Times New Roman" w:cs="Times New Roman"/>
          <w:color w:val="231F20"/>
          <w:sz w:val="20"/>
          <w:szCs w:val="20"/>
          <w:lang w:val="en-US"/>
        </w:rPr>
        <w:t>Rashidov</w:t>
      </w:r>
      <w:r w:rsidR="00C64B39" w:rsidRPr="00625857">
        <w:rPr>
          <w:rFonts w:ascii="Times New Roman" w:hAnsi="Times New Roman" w:cs="Times New Roman"/>
          <w:color w:val="231F20"/>
          <w:sz w:val="20"/>
          <w:szCs w:val="20"/>
          <w:lang w:val="en-US"/>
        </w:rPr>
        <w:t xml:space="preserve">, </w:t>
      </w:r>
      <w:r w:rsidRPr="00625857">
        <w:rPr>
          <w:rFonts w:ascii="Times New Roman" w:hAnsi="Times New Roman" w:cs="Times New Roman"/>
          <w:color w:val="231F20"/>
          <w:sz w:val="20"/>
          <w:szCs w:val="20"/>
          <w:lang w:val="en-US"/>
        </w:rPr>
        <w:t>E</w:t>
      </w:r>
      <w:r w:rsidR="00C64B39" w:rsidRPr="00625857">
        <w:rPr>
          <w:rFonts w:ascii="Times New Roman" w:hAnsi="Times New Roman" w:cs="Times New Roman"/>
          <w:color w:val="231F20"/>
          <w:sz w:val="20"/>
          <w:szCs w:val="20"/>
          <w:lang w:val="en-US"/>
        </w:rPr>
        <w:t>.</w:t>
      </w:r>
      <w:r w:rsidR="00C64B39" w:rsidRPr="00625857">
        <w:rPr>
          <w:rFonts w:ascii="Times New Roman" w:hAnsi="Times New Roman" w:cs="Times New Roman"/>
          <w:color w:val="231F20"/>
          <w:sz w:val="20"/>
          <w:szCs w:val="20"/>
        </w:rPr>
        <w:t>А</w:t>
      </w:r>
      <w:r w:rsidR="00C64B39" w:rsidRPr="00625857">
        <w:rPr>
          <w:rFonts w:ascii="Times New Roman" w:hAnsi="Times New Roman" w:cs="Times New Roman"/>
          <w:color w:val="231F20"/>
          <w:sz w:val="20"/>
          <w:szCs w:val="20"/>
          <w:lang w:val="en-US"/>
        </w:rPr>
        <w:t xml:space="preserve">. </w:t>
      </w:r>
      <w:proofErr w:type="spellStart"/>
      <w:r w:rsidRPr="00625857">
        <w:rPr>
          <w:rFonts w:ascii="Times New Roman" w:hAnsi="Times New Roman" w:cs="Times New Roman"/>
          <w:color w:val="231F20"/>
          <w:sz w:val="20"/>
          <w:szCs w:val="20"/>
          <w:lang w:val="en-US"/>
        </w:rPr>
        <w:t>Egamberdiev</w:t>
      </w:r>
      <w:proofErr w:type="spellEnd"/>
      <w:r w:rsidR="00C64B39" w:rsidRPr="00625857">
        <w:rPr>
          <w:rFonts w:ascii="Times New Roman" w:hAnsi="Times New Roman" w:cs="Times New Roman"/>
          <w:color w:val="231F20"/>
          <w:sz w:val="20"/>
          <w:szCs w:val="20"/>
          <w:lang w:val="en-US"/>
        </w:rPr>
        <w:t xml:space="preserve">, </w:t>
      </w:r>
      <w:r w:rsidRPr="00625857">
        <w:rPr>
          <w:rFonts w:ascii="Times New Roman" w:hAnsi="Times New Roman" w:cs="Times New Roman"/>
          <w:color w:val="231F20"/>
          <w:sz w:val="20"/>
          <w:szCs w:val="20"/>
          <w:lang w:val="en-US"/>
        </w:rPr>
        <w:t>S</w:t>
      </w:r>
      <w:r w:rsidR="00C64B39" w:rsidRPr="00625857">
        <w:rPr>
          <w:rFonts w:ascii="Times New Roman" w:hAnsi="Times New Roman" w:cs="Times New Roman"/>
          <w:color w:val="231F20"/>
          <w:sz w:val="20"/>
          <w:szCs w:val="20"/>
          <w:lang w:val="en-US"/>
        </w:rPr>
        <w:t>.</w:t>
      </w:r>
      <w:r w:rsidRPr="00625857">
        <w:rPr>
          <w:rFonts w:ascii="Times New Roman" w:hAnsi="Times New Roman" w:cs="Times New Roman"/>
          <w:color w:val="231F20"/>
          <w:sz w:val="20"/>
          <w:szCs w:val="20"/>
          <w:lang w:val="en-US"/>
        </w:rPr>
        <w:t>M</w:t>
      </w:r>
      <w:r w:rsidR="00C64B39" w:rsidRPr="00625857">
        <w:rPr>
          <w:rFonts w:ascii="Times New Roman" w:hAnsi="Times New Roman" w:cs="Times New Roman"/>
          <w:color w:val="231F20"/>
          <w:sz w:val="20"/>
          <w:szCs w:val="20"/>
          <w:lang w:val="en-US"/>
        </w:rPr>
        <w:t xml:space="preserve">. </w:t>
      </w:r>
      <w:r w:rsidRPr="00625857">
        <w:rPr>
          <w:rFonts w:ascii="Times New Roman" w:hAnsi="Times New Roman" w:cs="Times New Roman"/>
          <w:color w:val="231F20"/>
          <w:sz w:val="20"/>
          <w:szCs w:val="20"/>
          <w:lang w:val="en-US"/>
        </w:rPr>
        <w:t>Turabdjanov</w:t>
      </w:r>
      <w:r w:rsidR="00C64B39" w:rsidRPr="00625857">
        <w:rPr>
          <w:rFonts w:ascii="Times New Roman" w:hAnsi="Times New Roman" w:cs="Times New Roman"/>
          <w:color w:val="231F20"/>
          <w:sz w:val="20"/>
          <w:szCs w:val="20"/>
          <w:lang w:val="en-US"/>
        </w:rPr>
        <w:t xml:space="preserve">. </w:t>
      </w:r>
      <w:r w:rsidRPr="00625857">
        <w:rPr>
          <w:rFonts w:ascii="Times New Roman" w:hAnsi="Times New Roman" w:cs="Times New Roman"/>
          <w:color w:val="231F20"/>
          <w:sz w:val="20"/>
          <w:szCs w:val="20"/>
          <w:lang w:val="en-US"/>
        </w:rPr>
        <w:t xml:space="preserve">Obtaining nanocellulose by a combined method </w:t>
      </w:r>
      <w:r w:rsidR="00C64B39" w:rsidRPr="00625857">
        <w:rPr>
          <w:rFonts w:ascii="Times New Roman" w:hAnsi="Times New Roman" w:cs="Times New Roman"/>
          <w:color w:val="231F20"/>
          <w:sz w:val="20"/>
          <w:szCs w:val="20"/>
          <w:lang w:val="en-US"/>
        </w:rPr>
        <w:t xml:space="preserve">ISBN 978-985-897-285-1. </w:t>
      </w:r>
      <w:r w:rsidR="00C64B39" w:rsidRPr="00625857">
        <w:rPr>
          <w:rFonts w:ascii="Times New Roman" w:hAnsi="Times New Roman" w:cs="Times New Roman"/>
          <w:color w:val="231F20"/>
          <w:sz w:val="20"/>
          <w:szCs w:val="20"/>
        </w:rPr>
        <w:t xml:space="preserve">2025. </w:t>
      </w:r>
      <w:proofErr w:type="spellStart"/>
      <w:r w:rsidR="00C64B39" w:rsidRPr="00625857">
        <w:rPr>
          <w:rFonts w:ascii="Times New Roman" w:hAnsi="Times New Roman" w:cs="Times New Roman"/>
          <w:color w:val="231F20"/>
          <w:sz w:val="20"/>
          <w:szCs w:val="20"/>
        </w:rPr>
        <w:t>pp</w:t>
      </w:r>
      <w:proofErr w:type="spellEnd"/>
      <w:r w:rsidR="00C64B39" w:rsidRPr="00625857">
        <w:rPr>
          <w:rFonts w:ascii="Times New Roman" w:hAnsi="Times New Roman" w:cs="Times New Roman"/>
          <w:color w:val="231F20"/>
          <w:sz w:val="20"/>
          <w:szCs w:val="20"/>
        </w:rPr>
        <w:t>. 280.</w:t>
      </w:r>
    </w:p>
    <w:p w14:paraId="34BD6D41" w14:textId="77777777" w:rsidR="00A80860" w:rsidRPr="00625857" w:rsidRDefault="00A80860" w:rsidP="00625857">
      <w:pPr>
        <w:pStyle w:val="JVEReferences"/>
        <w:numPr>
          <w:ilvl w:val="0"/>
          <w:numId w:val="6"/>
        </w:numPr>
        <w:tabs>
          <w:tab w:val="left" w:pos="360"/>
        </w:tabs>
        <w:spacing w:after="0" w:line="240" w:lineRule="auto"/>
        <w:ind w:left="0" w:firstLine="0"/>
        <w:jc w:val="both"/>
        <w:rPr>
          <w:rFonts w:ascii="Times New Roman" w:hAnsi="Times New Roman" w:cs="Times New Roman"/>
          <w:sz w:val="20"/>
          <w:szCs w:val="20"/>
          <w:lang w:val="en-US"/>
        </w:rPr>
      </w:pPr>
      <w:r w:rsidRPr="00625857">
        <w:rPr>
          <w:rFonts w:ascii="Times New Roman" w:hAnsi="Times New Roman" w:cs="Times New Roman"/>
          <w:sz w:val="20"/>
          <w:szCs w:val="20"/>
          <w:lang w:val="en-US"/>
        </w:rPr>
        <w:t xml:space="preserve">Egamberdiyev, E. A., </w:t>
      </w:r>
      <w:proofErr w:type="spellStart"/>
      <w:r w:rsidRPr="00625857">
        <w:rPr>
          <w:rFonts w:ascii="Times New Roman" w:hAnsi="Times New Roman" w:cs="Times New Roman"/>
          <w:sz w:val="20"/>
          <w:szCs w:val="20"/>
          <w:lang w:val="en-US"/>
        </w:rPr>
        <w:t>Turabdjanov</w:t>
      </w:r>
      <w:proofErr w:type="spellEnd"/>
      <w:r w:rsidRPr="00625857">
        <w:rPr>
          <w:rFonts w:ascii="Times New Roman" w:hAnsi="Times New Roman" w:cs="Times New Roman"/>
          <w:sz w:val="20"/>
          <w:szCs w:val="20"/>
          <w:lang w:val="en-US"/>
        </w:rPr>
        <w:t xml:space="preserve">, S., Azimov, D., </w:t>
      </w:r>
      <w:proofErr w:type="spellStart"/>
      <w:r w:rsidRPr="00625857">
        <w:rPr>
          <w:rFonts w:ascii="Times New Roman" w:hAnsi="Times New Roman" w:cs="Times New Roman"/>
          <w:sz w:val="20"/>
          <w:szCs w:val="20"/>
          <w:lang w:val="en-US"/>
        </w:rPr>
        <w:t>Igamkulova</w:t>
      </w:r>
      <w:proofErr w:type="spellEnd"/>
      <w:r w:rsidRPr="00625857">
        <w:rPr>
          <w:rFonts w:ascii="Times New Roman" w:hAnsi="Times New Roman" w:cs="Times New Roman"/>
          <w:sz w:val="20"/>
          <w:szCs w:val="20"/>
          <w:lang w:val="en-US"/>
        </w:rPr>
        <w:t xml:space="preserve">, N., &amp; </w:t>
      </w:r>
      <w:proofErr w:type="spellStart"/>
      <w:r w:rsidRPr="00625857">
        <w:rPr>
          <w:rFonts w:ascii="Times New Roman" w:hAnsi="Times New Roman" w:cs="Times New Roman"/>
          <w:sz w:val="20"/>
          <w:szCs w:val="20"/>
          <w:lang w:val="en-US"/>
        </w:rPr>
        <w:t>Mengliev</w:t>
      </w:r>
      <w:proofErr w:type="spellEnd"/>
      <w:r w:rsidRPr="00625857">
        <w:rPr>
          <w:rFonts w:ascii="Times New Roman" w:hAnsi="Times New Roman" w:cs="Times New Roman"/>
          <w:sz w:val="20"/>
          <w:szCs w:val="20"/>
          <w:lang w:val="en-US"/>
        </w:rPr>
        <w:t>, S. (2025). Environmental and mechanical performance of modified cement-based composites. Procedia Environmental Science, Engineering and Management, 12, 261–267.</w:t>
      </w:r>
    </w:p>
    <w:p w14:paraId="6215214F" w14:textId="77777777" w:rsidR="00A80860" w:rsidRPr="00625857" w:rsidRDefault="00A80860" w:rsidP="00625857">
      <w:pPr>
        <w:pStyle w:val="JVEReferences"/>
        <w:numPr>
          <w:ilvl w:val="0"/>
          <w:numId w:val="6"/>
        </w:numPr>
        <w:tabs>
          <w:tab w:val="left" w:pos="360"/>
        </w:tabs>
        <w:spacing w:after="0" w:line="240" w:lineRule="auto"/>
        <w:ind w:left="0" w:firstLine="0"/>
        <w:jc w:val="both"/>
        <w:rPr>
          <w:rFonts w:ascii="Times New Roman" w:hAnsi="Times New Roman" w:cs="Times New Roman"/>
          <w:sz w:val="20"/>
          <w:szCs w:val="20"/>
        </w:rPr>
      </w:pPr>
      <w:r w:rsidRPr="00625857">
        <w:rPr>
          <w:rFonts w:ascii="Times New Roman" w:hAnsi="Times New Roman" w:cs="Times New Roman"/>
          <w:sz w:val="20"/>
          <w:szCs w:val="20"/>
          <w:lang w:val="en-US"/>
        </w:rPr>
        <w:t xml:space="preserve">Duschanova, Z. A., Egamberdiyev, E. A., </w:t>
      </w:r>
      <w:proofErr w:type="spellStart"/>
      <w:r w:rsidRPr="00625857">
        <w:rPr>
          <w:rFonts w:ascii="Times New Roman" w:hAnsi="Times New Roman" w:cs="Times New Roman"/>
          <w:sz w:val="20"/>
          <w:szCs w:val="20"/>
          <w:lang w:val="en-US"/>
        </w:rPr>
        <w:t>Turabdjanov</w:t>
      </w:r>
      <w:proofErr w:type="spellEnd"/>
      <w:r w:rsidRPr="00625857">
        <w:rPr>
          <w:rFonts w:ascii="Times New Roman" w:hAnsi="Times New Roman" w:cs="Times New Roman"/>
          <w:sz w:val="20"/>
          <w:szCs w:val="20"/>
          <w:lang w:val="en-US"/>
        </w:rPr>
        <w:t xml:space="preserve">, S., &amp; co-authors. (2024). Nanostructured additives for improving cement composite properties. Journal of Nanostructures, 14, 789–797. </w:t>
      </w:r>
      <w:hyperlink r:id="rId18" w:tgtFrame="_new" w:history="1">
        <w:r w:rsidRPr="00625857">
          <w:rPr>
            <w:rStyle w:val="a3"/>
            <w:rFonts w:ascii="Times New Roman" w:hAnsi="Times New Roman" w:cs="Times New Roman"/>
            <w:sz w:val="20"/>
            <w:szCs w:val="20"/>
          </w:rPr>
          <w:t>https://doi.org/10.22052/JNS.2023.03.020</w:t>
        </w:r>
      </w:hyperlink>
    </w:p>
    <w:p w14:paraId="5FABCFEE" w14:textId="77777777" w:rsidR="00A80860" w:rsidRPr="00625857" w:rsidRDefault="00A80860" w:rsidP="00625857">
      <w:pPr>
        <w:pStyle w:val="JVEReferences"/>
        <w:numPr>
          <w:ilvl w:val="0"/>
          <w:numId w:val="6"/>
        </w:numPr>
        <w:tabs>
          <w:tab w:val="left" w:pos="142"/>
          <w:tab w:val="left" w:pos="360"/>
        </w:tabs>
        <w:spacing w:after="0" w:line="240" w:lineRule="auto"/>
        <w:ind w:left="0" w:firstLine="0"/>
        <w:jc w:val="both"/>
        <w:rPr>
          <w:rFonts w:ascii="Times New Roman" w:hAnsi="Times New Roman" w:cs="Times New Roman"/>
          <w:sz w:val="20"/>
          <w:szCs w:val="20"/>
        </w:rPr>
      </w:pPr>
      <w:proofErr w:type="spellStart"/>
      <w:r w:rsidRPr="00625857">
        <w:rPr>
          <w:rFonts w:ascii="Times New Roman" w:hAnsi="Times New Roman" w:cs="Times New Roman"/>
          <w:sz w:val="20"/>
          <w:szCs w:val="20"/>
          <w:lang w:val="en-US"/>
        </w:rPr>
        <w:t>Egamberdiev</w:t>
      </w:r>
      <w:proofErr w:type="spellEnd"/>
      <w:r w:rsidRPr="00625857">
        <w:rPr>
          <w:rFonts w:ascii="Times New Roman" w:hAnsi="Times New Roman" w:cs="Times New Roman"/>
          <w:sz w:val="20"/>
          <w:szCs w:val="20"/>
          <w:lang w:val="en-US"/>
        </w:rPr>
        <w:t xml:space="preserve">, E., Umarova, M., &amp; Azimov, D. (2024). Eco-efficient binders modified with industrial waste. </w:t>
      </w:r>
      <w:r w:rsidRPr="00625857">
        <w:rPr>
          <w:rFonts w:ascii="Times New Roman" w:hAnsi="Times New Roman" w:cs="Times New Roman"/>
          <w:sz w:val="20"/>
          <w:szCs w:val="20"/>
        </w:rPr>
        <w:t xml:space="preserve">E3S Web </w:t>
      </w:r>
      <w:proofErr w:type="spellStart"/>
      <w:r w:rsidRPr="00625857">
        <w:rPr>
          <w:rFonts w:ascii="Times New Roman" w:hAnsi="Times New Roman" w:cs="Times New Roman"/>
          <w:sz w:val="20"/>
          <w:szCs w:val="20"/>
        </w:rPr>
        <w:t>of</w:t>
      </w:r>
      <w:proofErr w:type="spellEnd"/>
      <w:r w:rsidRPr="00625857">
        <w:rPr>
          <w:rFonts w:ascii="Times New Roman" w:hAnsi="Times New Roman" w:cs="Times New Roman"/>
          <w:sz w:val="20"/>
          <w:szCs w:val="20"/>
        </w:rPr>
        <w:t xml:space="preserve"> </w:t>
      </w:r>
      <w:proofErr w:type="spellStart"/>
      <w:r w:rsidRPr="00625857">
        <w:rPr>
          <w:rFonts w:ascii="Times New Roman" w:hAnsi="Times New Roman" w:cs="Times New Roman"/>
          <w:sz w:val="20"/>
          <w:szCs w:val="20"/>
        </w:rPr>
        <w:t>Conferences</w:t>
      </w:r>
      <w:proofErr w:type="spellEnd"/>
      <w:r w:rsidRPr="00625857">
        <w:rPr>
          <w:rFonts w:ascii="Times New Roman" w:hAnsi="Times New Roman" w:cs="Times New Roman"/>
          <w:sz w:val="20"/>
          <w:szCs w:val="20"/>
        </w:rPr>
        <w:t>, 497, 03031.</w:t>
      </w:r>
      <w:r w:rsidRPr="00625857">
        <w:rPr>
          <w:rFonts w:ascii="Times New Roman" w:hAnsi="Times New Roman" w:cs="Times New Roman"/>
          <w:sz w:val="20"/>
          <w:szCs w:val="20"/>
          <w:lang w:val="en-US"/>
        </w:rPr>
        <w:t xml:space="preserve"> </w:t>
      </w:r>
      <w:hyperlink r:id="rId19" w:tgtFrame="_new" w:history="1">
        <w:r w:rsidRPr="00625857">
          <w:rPr>
            <w:rStyle w:val="a3"/>
            <w:rFonts w:ascii="Times New Roman" w:hAnsi="Times New Roman" w:cs="Times New Roman"/>
            <w:sz w:val="20"/>
            <w:szCs w:val="20"/>
          </w:rPr>
          <w:t>https://doi.org/10.1051/e3sconf/202449703031</w:t>
        </w:r>
      </w:hyperlink>
    </w:p>
    <w:p w14:paraId="5D54BD71" w14:textId="77777777" w:rsidR="00A80860" w:rsidRPr="00625857" w:rsidRDefault="00A80860" w:rsidP="00625857">
      <w:pPr>
        <w:pStyle w:val="JVEReferences"/>
        <w:numPr>
          <w:ilvl w:val="0"/>
          <w:numId w:val="6"/>
        </w:numPr>
        <w:tabs>
          <w:tab w:val="left" w:pos="142"/>
          <w:tab w:val="left" w:pos="360"/>
        </w:tabs>
        <w:spacing w:after="0" w:line="240" w:lineRule="auto"/>
        <w:ind w:left="0" w:firstLine="0"/>
        <w:jc w:val="both"/>
        <w:rPr>
          <w:rFonts w:ascii="Times New Roman" w:hAnsi="Times New Roman" w:cs="Times New Roman"/>
          <w:sz w:val="20"/>
          <w:szCs w:val="20"/>
        </w:rPr>
      </w:pPr>
      <w:proofErr w:type="spellStart"/>
      <w:r w:rsidRPr="00625857">
        <w:rPr>
          <w:rFonts w:ascii="Times New Roman" w:hAnsi="Times New Roman" w:cs="Times New Roman"/>
          <w:sz w:val="20"/>
          <w:szCs w:val="20"/>
          <w:lang w:val="en-US"/>
        </w:rPr>
        <w:t>Egamberdiev</w:t>
      </w:r>
      <w:proofErr w:type="spellEnd"/>
      <w:r w:rsidRPr="00625857">
        <w:rPr>
          <w:rFonts w:ascii="Times New Roman" w:hAnsi="Times New Roman" w:cs="Times New Roman"/>
          <w:sz w:val="20"/>
          <w:szCs w:val="20"/>
          <w:lang w:val="en-US"/>
        </w:rPr>
        <w:t xml:space="preserve">, E., Turabdjanov, S., &amp; </w:t>
      </w:r>
      <w:proofErr w:type="spellStart"/>
      <w:r w:rsidRPr="00625857">
        <w:rPr>
          <w:rFonts w:ascii="Times New Roman" w:hAnsi="Times New Roman" w:cs="Times New Roman"/>
          <w:sz w:val="20"/>
          <w:szCs w:val="20"/>
          <w:lang w:val="en-US"/>
        </w:rPr>
        <w:t>Mengliev</w:t>
      </w:r>
      <w:proofErr w:type="spellEnd"/>
      <w:r w:rsidRPr="00625857">
        <w:rPr>
          <w:rFonts w:ascii="Times New Roman" w:hAnsi="Times New Roman" w:cs="Times New Roman"/>
          <w:sz w:val="20"/>
          <w:szCs w:val="20"/>
          <w:lang w:val="en-US"/>
        </w:rPr>
        <w:t xml:space="preserve">, S. (2024). Physical and mechanical behavior of composite binders with modifiers. </w:t>
      </w:r>
      <w:r w:rsidRPr="00625857">
        <w:rPr>
          <w:rFonts w:ascii="Times New Roman" w:hAnsi="Times New Roman" w:cs="Times New Roman"/>
          <w:sz w:val="20"/>
          <w:szCs w:val="20"/>
        </w:rPr>
        <w:t xml:space="preserve">E3S Web </w:t>
      </w:r>
      <w:proofErr w:type="spellStart"/>
      <w:r w:rsidRPr="00625857">
        <w:rPr>
          <w:rFonts w:ascii="Times New Roman" w:hAnsi="Times New Roman" w:cs="Times New Roman"/>
          <w:sz w:val="20"/>
          <w:szCs w:val="20"/>
        </w:rPr>
        <w:t>of</w:t>
      </w:r>
      <w:proofErr w:type="spellEnd"/>
      <w:r w:rsidRPr="00625857">
        <w:rPr>
          <w:rFonts w:ascii="Times New Roman" w:hAnsi="Times New Roman" w:cs="Times New Roman"/>
          <w:sz w:val="20"/>
          <w:szCs w:val="20"/>
        </w:rPr>
        <w:t xml:space="preserve"> </w:t>
      </w:r>
      <w:proofErr w:type="spellStart"/>
      <w:r w:rsidRPr="00625857">
        <w:rPr>
          <w:rFonts w:ascii="Times New Roman" w:hAnsi="Times New Roman" w:cs="Times New Roman"/>
          <w:sz w:val="20"/>
          <w:szCs w:val="20"/>
        </w:rPr>
        <w:t>Conferences</w:t>
      </w:r>
      <w:proofErr w:type="spellEnd"/>
      <w:r w:rsidRPr="00625857">
        <w:rPr>
          <w:rFonts w:ascii="Times New Roman" w:hAnsi="Times New Roman" w:cs="Times New Roman"/>
          <w:sz w:val="20"/>
          <w:szCs w:val="20"/>
        </w:rPr>
        <w:t>, 497, 02026.</w:t>
      </w:r>
      <w:r w:rsidRPr="00625857">
        <w:rPr>
          <w:rFonts w:ascii="Times New Roman" w:hAnsi="Times New Roman" w:cs="Times New Roman"/>
          <w:sz w:val="20"/>
          <w:szCs w:val="20"/>
          <w:lang w:val="en-US"/>
        </w:rPr>
        <w:t xml:space="preserve"> </w:t>
      </w:r>
      <w:hyperlink r:id="rId20" w:tgtFrame="_new" w:history="1">
        <w:r w:rsidRPr="00625857">
          <w:rPr>
            <w:rStyle w:val="a3"/>
            <w:rFonts w:ascii="Times New Roman" w:hAnsi="Times New Roman" w:cs="Times New Roman"/>
            <w:sz w:val="20"/>
            <w:szCs w:val="20"/>
          </w:rPr>
          <w:t>https://doi.org/10.1051/e3sconf/202449702026</w:t>
        </w:r>
      </w:hyperlink>
    </w:p>
    <w:p w14:paraId="16F48C0B" w14:textId="77777777" w:rsidR="00A80860" w:rsidRPr="00625857" w:rsidRDefault="00A80860" w:rsidP="00625857">
      <w:pPr>
        <w:pStyle w:val="JVEReferences"/>
        <w:numPr>
          <w:ilvl w:val="0"/>
          <w:numId w:val="6"/>
        </w:numPr>
        <w:tabs>
          <w:tab w:val="left" w:pos="142"/>
          <w:tab w:val="left" w:pos="360"/>
        </w:tabs>
        <w:spacing w:after="0" w:line="240" w:lineRule="auto"/>
        <w:ind w:left="0" w:firstLine="0"/>
        <w:jc w:val="both"/>
        <w:rPr>
          <w:rFonts w:ascii="Times New Roman" w:hAnsi="Times New Roman" w:cs="Times New Roman"/>
          <w:sz w:val="20"/>
          <w:szCs w:val="20"/>
          <w:lang w:val="en-US"/>
        </w:rPr>
      </w:pPr>
      <w:r w:rsidRPr="00625857">
        <w:rPr>
          <w:rFonts w:ascii="Times New Roman" w:hAnsi="Times New Roman" w:cs="Times New Roman"/>
          <w:sz w:val="20"/>
          <w:szCs w:val="20"/>
          <w:lang w:val="en-US"/>
        </w:rPr>
        <w:t xml:space="preserve">Egamberdiyev, E. A., </w:t>
      </w:r>
      <w:proofErr w:type="spellStart"/>
      <w:r w:rsidRPr="00625857">
        <w:rPr>
          <w:rFonts w:ascii="Times New Roman" w:hAnsi="Times New Roman" w:cs="Times New Roman"/>
          <w:sz w:val="20"/>
          <w:szCs w:val="20"/>
          <w:lang w:val="en-US"/>
        </w:rPr>
        <w:t>Turabdjanov</w:t>
      </w:r>
      <w:proofErr w:type="spellEnd"/>
      <w:r w:rsidRPr="00625857">
        <w:rPr>
          <w:rFonts w:ascii="Times New Roman" w:hAnsi="Times New Roman" w:cs="Times New Roman"/>
          <w:sz w:val="20"/>
          <w:szCs w:val="20"/>
          <w:lang w:val="en-US"/>
        </w:rPr>
        <w:t xml:space="preserve">, S., Azimov, D., </w:t>
      </w:r>
      <w:proofErr w:type="spellStart"/>
      <w:r w:rsidRPr="00625857">
        <w:rPr>
          <w:rFonts w:ascii="Times New Roman" w:hAnsi="Times New Roman" w:cs="Times New Roman"/>
          <w:sz w:val="20"/>
          <w:szCs w:val="20"/>
          <w:lang w:val="en-US"/>
        </w:rPr>
        <w:t>Igamkulova</w:t>
      </w:r>
      <w:proofErr w:type="spellEnd"/>
      <w:r w:rsidRPr="00625857">
        <w:rPr>
          <w:rFonts w:ascii="Times New Roman" w:hAnsi="Times New Roman" w:cs="Times New Roman"/>
          <w:sz w:val="20"/>
          <w:szCs w:val="20"/>
          <w:lang w:val="en-US"/>
        </w:rPr>
        <w:t xml:space="preserve">, N., &amp; </w:t>
      </w:r>
      <w:proofErr w:type="spellStart"/>
      <w:r w:rsidRPr="00625857">
        <w:rPr>
          <w:rFonts w:ascii="Times New Roman" w:hAnsi="Times New Roman" w:cs="Times New Roman"/>
          <w:sz w:val="20"/>
          <w:szCs w:val="20"/>
          <w:lang w:val="en-US"/>
        </w:rPr>
        <w:t>Mengliev</w:t>
      </w:r>
      <w:proofErr w:type="spellEnd"/>
      <w:r w:rsidRPr="00625857">
        <w:rPr>
          <w:rFonts w:ascii="Times New Roman" w:hAnsi="Times New Roman" w:cs="Times New Roman"/>
          <w:sz w:val="20"/>
          <w:szCs w:val="20"/>
          <w:lang w:val="en-US"/>
        </w:rPr>
        <w:t>, S. (2025). Sustainable construction materials based on modified cement systems. Procedia Environmental Science, Engineering and Management, 12(1), 261–267.</w:t>
      </w:r>
    </w:p>
    <w:p w14:paraId="01E1210C" w14:textId="3EAD3C5E" w:rsidR="00A80860" w:rsidRPr="00625857" w:rsidRDefault="00A80860" w:rsidP="00625857">
      <w:pPr>
        <w:pStyle w:val="ac"/>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625857">
        <w:rPr>
          <w:rFonts w:ascii="Times New Roman" w:hAnsi="Times New Roman" w:cs="Times New Roman"/>
          <w:sz w:val="20"/>
          <w:szCs w:val="20"/>
          <w:lang w:val="en-US"/>
        </w:rPr>
        <w:t>Akhmatovna</w:t>
      </w:r>
      <w:proofErr w:type="spellEnd"/>
      <w:r w:rsidRPr="00625857">
        <w:rPr>
          <w:rFonts w:ascii="Times New Roman" w:hAnsi="Times New Roman" w:cs="Times New Roman"/>
          <w:sz w:val="20"/>
          <w:szCs w:val="20"/>
          <w:lang w:val="en-US"/>
        </w:rPr>
        <w:t xml:space="preserve">, A. M., </w:t>
      </w:r>
      <w:proofErr w:type="spellStart"/>
      <w:r w:rsidRPr="00625857">
        <w:rPr>
          <w:rFonts w:ascii="Times New Roman" w:hAnsi="Times New Roman" w:cs="Times New Roman"/>
          <w:sz w:val="20"/>
          <w:szCs w:val="20"/>
          <w:lang w:val="en-US"/>
        </w:rPr>
        <w:t>Elmurod</w:t>
      </w:r>
      <w:proofErr w:type="spellEnd"/>
      <w:r w:rsidRPr="00625857">
        <w:rPr>
          <w:rFonts w:ascii="Times New Roman" w:hAnsi="Times New Roman" w:cs="Times New Roman"/>
          <w:sz w:val="20"/>
          <w:szCs w:val="20"/>
          <w:lang w:val="en-US"/>
        </w:rPr>
        <w:t xml:space="preserve">, E., Gulzat, O., </w:t>
      </w:r>
      <w:proofErr w:type="spellStart"/>
      <w:r w:rsidRPr="00625857">
        <w:rPr>
          <w:rFonts w:ascii="Times New Roman" w:hAnsi="Times New Roman" w:cs="Times New Roman"/>
          <w:sz w:val="20"/>
          <w:szCs w:val="20"/>
          <w:lang w:val="en-US"/>
        </w:rPr>
        <w:t>Sabokhat</w:t>
      </w:r>
      <w:proofErr w:type="spellEnd"/>
      <w:r w:rsidRPr="00625857">
        <w:rPr>
          <w:rFonts w:ascii="Times New Roman" w:hAnsi="Times New Roman" w:cs="Times New Roman"/>
          <w:sz w:val="20"/>
          <w:szCs w:val="20"/>
          <w:lang w:val="en-US"/>
        </w:rPr>
        <w:t xml:space="preserve">, S., &amp; </w:t>
      </w:r>
      <w:proofErr w:type="spellStart"/>
      <w:r w:rsidRPr="00625857">
        <w:rPr>
          <w:rFonts w:ascii="Times New Roman" w:hAnsi="Times New Roman" w:cs="Times New Roman"/>
          <w:sz w:val="20"/>
          <w:szCs w:val="20"/>
          <w:lang w:val="en-US"/>
        </w:rPr>
        <w:t>Inomjon</w:t>
      </w:r>
      <w:proofErr w:type="spellEnd"/>
      <w:r w:rsidRPr="00625857">
        <w:rPr>
          <w:rFonts w:ascii="Times New Roman" w:hAnsi="Times New Roman" w:cs="Times New Roman"/>
          <w:sz w:val="20"/>
          <w:szCs w:val="20"/>
          <w:lang w:val="en-US"/>
        </w:rPr>
        <w:t xml:space="preserve">, M. (2025). Nanostructured modifiers and their effect on cement composite performance. Journal of Nanostructures, 15(3), 1041–1049. </w:t>
      </w:r>
      <w:hyperlink r:id="rId21" w:tgtFrame="_new" w:history="1">
        <w:r w:rsidRPr="00625857">
          <w:rPr>
            <w:rStyle w:val="a3"/>
            <w:rFonts w:ascii="Times New Roman" w:hAnsi="Times New Roman" w:cs="Times New Roman"/>
            <w:sz w:val="20"/>
            <w:szCs w:val="20"/>
          </w:rPr>
          <w:t>https://doi.org/10.22052/JNS.2025.03.021</w:t>
        </w:r>
      </w:hyperlink>
    </w:p>
    <w:p w14:paraId="5BB581F0" w14:textId="77777777" w:rsidR="00F43FA5" w:rsidRPr="00625857" w:rsidRDefault="00F43FA5" w:rsidP="00625857">
      <w:pPr>
        <w:spacing w:after="0" w:line="240" w:lineRule="auto"/>
        <w:jc w:val="both"/>
        <w:rPr>
          <w:rFonts w:ascii="Times New Roman" w:hAnsi="Times New Roman" w:cs="Times New Roman"/>
          <w:b/>
          <w:bCs/>
          <w:sz w:val="20"/>
          <w:szCs w:val="20"/>
        </w:rPr>
      </w:pPr>
    </w:p>
    <w:sectPr w:rsidR="00F43FA5" w:rsidRPr="00625857" w:rsidSect="008B1391">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C680" w14:textId="77777777" w:rsidR="00484484" w:rsidRDefault="00484484" w:rsidP="00DB0C1B">
      <w:pPr>
        <w:spacing w:after="0" w:line="240" w:lineRule="auto"/>
      </w:pPr>
      <w:r>
        <w:separator/>
      </w:r>
    </w:p>
  </w:endnote>
  <w:endnote w:type="continuationSeparator" w:id="0">
    <w:p w14:paraId="66625C82" w14:textId="77777777" w:rsidR="00484484" w:rsidRDefault="00484484" w:rsidP="00DB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D49C" w14:textId="77777777" w:rsidR="00484484" w:rsidRDefault="00484484" w:rsidP="00DB0C1B">
      <w:pPr>
        <w:spacing w:after="0" w:line="240" w:lineRule="auto"/>
      </w:pPr>
      <w:r>
        <w:separator/>
      </w:r>
    </w:p>
  </w:footnote>
  <w:footnote w:type="continuationSeparator" w:id="0">
    <w:p w14:paraId="758892AA" w14:textId="77777777" w:rsidR="00484484" w:rsidRDefault="00484484" w:rsidP="00DB0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A2F"/>
    <w:multiLevelType w:val="hybridMultilevel"/>
    <w:tmpl w:val="B0ECC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9873EA"/>
    <w:multiLevelType w:val="multilevel"/>
    <w:tmpl w:val="3078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3196C"/>
    <w:multiLevelType w:val="multilevel"/>
    <w:tmpl w:val="036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C3C96"/>
    <w:multiLevelType w:val="hybridMultilevel"/>
    <w:tmpl w:val="20AA5F8C"/>
    <w:lvl w:ilvl="0" w:tplc="42E6DA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A6503AB"/>
    <w:multiLevelType w:val="multilevel"/>
    <w:tmpl w:val="D5A2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16BAB"/>
    <w:multiLevelType w:val="multilevel"/>
    <w:tmpl w:val="A966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A0FB3"/>
    <w:multiLevelType w:val="multilevel"/>
    <w:tmpl w:val="0588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600A0"/>
    <w:multiLevelType w:val="hybridMultilevel"/>
    <w:tmpl w:val="2AF45B04"/>
    <w:lvl w:ilvl="0" w:tplc="38BE5D9C">
      <w:start w:val="1"/>
      <w:numFmt w:val="decimal"/>
      <w:pStyle w:val="JVEReferences"/>
      <w:lvlText w:val="%1."/>
      <w:lvlJc w:val="left"/>
      <w:pPr>
        <w:ind w:left="5889" w:hanging="360"/>
      </w:pPr>
      <w:rPr>
        <w:rFonts w:hint="default"/>
        <w:b w:val="0"/>
        <w:bCs/>
        <w:i w:val="0"/>
        <w:sz w:val="18"/>
        <w:u w:val="none"/>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581722090">
    <w:abstractNumId w:val="4"/>
  </w:num>
  <w:num w:numId="2" w16cid:durableId="1051150311">
    <w:abstractNumId w:val="6"/>
  </w:num>
  <w:num w:numId="3" w16cid:durableId="1358000779">
    <w:abstractNumId w:val="2"/>
  </w:num>
  <w:num w:numId="4" w16cid:durableId="1872064331">
    <w:abstractNumId w:val="1"/>
  </w:num>
  <w:num w:numId="5" w16cid:durableId="827866828">
    <w:abstractNumId w:val="5"/>
  </w:num>
  <w:num w:numId="6" w16cid:durableId="608389126">
    <w:abstractNumId w:val="0"/>
  </w:num>
  <w:num w:numId="7" w16cid:durableId="602299544">
    <w:abstractNumId w:val="3"/>
  </w:num>
  <w:num w:numId="8" w16cid:durableId="654646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3A"/>
    <w:rsid w:val="0003786A"/>
    <w:rsid w:val="00044178"/>
    <w:rsid w:val="00087758"/>
    <w:rsid w:val="001024A6"/>
    <w:rsid w:val="0010346F"/>
    <w:rsid w:val="0014187B"/>
    <w:rsid w:val="00180E49"/>
    <w:rsid w:val="001A284E"/>
    <w:rsid w:val="00220F0D"/>
    <w:rsid w:val="00227DCE"/>
    <w:rsid w:val="002A35AB"/>
    <w:rsid w:val="002E0533"/>
    <w:rsid w:val="0030606F"/>
    <w:rsid w:val="003211B3"/>
    <w:rsid w:val="00322F7C"/>
    <w:rsid w:val="00346743"/>
    <w:rsid w:val="00355A3A"/>
    <w:rsid w:val="003969D5"/>
    <w:rsid w:val="003C135C"/>
    <w:rsid w:val="003C606A"/>
    <w:rsid w:val="003F2FF6"/>
    <w:rsid w:val="003F525B"/>
    <w:rsid w:val="00406DE3"/>
    <w:rsid w:val="00484484"/>
    <w:rsid w:val="004D085D"/>
    <w:rsid w:val="00561AAC"/>
    <w:rsid w:val="005A4C9F"/>
    <w:rsid w:val="005E5198"/>
    <w:rsid w:val="00606738"/>
    <w:rsid w:val="00625857"/>
    <w:rsid w:val="00630F0A"/>
    <w:rsid w:val="0063783B"/>
    <w:rsid w:val="00655B3E"/>
    <w:rsid w:val="00674D3A"/>
    <w:rsid w:val="006F77E7"/>
    <w:rsid w:val="0072782F"/>
    <w:rsid w:val="007E55C7"/>
    <w:rsid w:val="008229C5"/>
    <w:rsid w:val="00882E83"/>
    <w:rsid w:val="008B1391"/>
    <w:rsid w:val="008C6C0F"/>
    <w:rsid w:val="008C7EFB"/>
    <w:rsid w:val="0092165A"/>
    <w:rsid w:val="00936984"/>
    <w:rsid w:val="00950B25"/>
    <w:rsid w:val="009E4C2E"/>
    <w:rsid w:val="009F1295"/>
    <w:rsid w:val="009F5784"/>
    <w:rsid w:val="009F68BB"/>
    <w:rsid w:val="00A23ACD"/>
    <w:rsid w:val="00A80860"/>
    <w:rsid w:val="00AC4C67"/>
    <w:rsid w:val="00AC6F91"/>
    <w:rsid w:val="00B12383"/>
    <w:rsid w:val="00BC00E4"/>
    <w:rsid w:val="00BC3B8F"/>
    <w:rsid w:val="00C16657"/>
    <w:rsid w:val="00C16B75"/>
    <w:rsid w:val="00C63C57"/>
    <w:rsid w:val="00C64B39"/>
    <w:rsid w:val="00CC6F3F"/>
    <w:rsid w:val="00D07ACC"/>
    <w:rsid w:val="00D20480"/>
    <w:rsid w:val="00D22C91"/>
    <w:rsid w:val="00D346DB"/>
    <w:rsid w:val="00D74A3B"/>
    <w:rsid w:val="00D76CDF"/>
    <w:rsid w:val="00DB0C1B"/>
    <w:rsid w:val="00E21448"/>
    <w:rsid w:val="00E26544"/>
    <w:rsid w:val="00E67ADB"/>
    <w:rsid w:val="00EB7B39"/>
    <w:rsid w:val="00EC67B2"/>
    <w:rsid w:val="00F06282"/>
    <w:rsid w:val="00F43FA5"/>
    <w:rsid w:val="00F71BA7"/>
    <w:rsid w:val="00F71D6A"/>
    <w:rsid w:val="00FB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AD403"/>
  <w15:chartTrackingRefBased/>
  <w15:docId w15:val="{6351E5D6-7DD6-4191-A759-42922866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30F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43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20F0D"/>
    <w:rPr>
      <w:rFonts w:ascii="TimesNewRomanPS-BoldMT" w:hAnsi="TimesNewRomanPS-BoldMT" w:hint="default"/>
      <w:b/>
      <w:bCs/>
      <w:i w:val="0"/>
      <w:iCs w:val="0"/>
      <w:color w:val="000000"/>
      <w:sz w:val="28"/>
      <w:szCs w:val="28"/>
    </w:rPr>
  </w:style>
  <w:style w:type="character" w:styleId="a3">
    <w:name w:val="Hyperlink"/>
    <w:basedOn w:val="a0"/>
    <w:uiPriority w:val="99"/>
    <w:unhideWhenUsed/>
    <w:rsid w:val="00220F0D"/>
    <w:rPr>
      <w:color w:val="0563C1" w:themeColor="hyperlink"/>
      <w:u w:val="single"/>
    </w:rPr>
  </w:style>
  <w:style w:type="character" w:customStyle="1" w:styleId="11">
    <w:name w:val="Неразрешенное упоминание1"/>
    <w:basedOn w:val="a0"/>
    <w:uiPriority w:val="99"/>
    <w:semiHidden/>
    <w:unhideWhenUsed/>
    <w:rsid w:val="00220F0D"/>
    <w:rPr>
      <w:color w:val="605E5C"/>
      <w:shd w:val="clear" w:color="auto" w:fill="E1DFDD"/>
    </w:rPr>
  </w:style>
  <w:style w:type="character" w:customStyle="1" w:styleId="10">
    <w:name w:val="Заголовок 1 Знак"/>
    <w:basedOn w:val="a0"/>
    <w:link w:val="1"/>
    <w:uiPriority w:val="9"/>
    <w:rsid w:val="00630F0A"/>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630F0A"/>
    <w:rPr>
      <w:b/>
      <w:bCs/>
    </w:rPr>
  </w:style>
  <w:style w:type="paragraph" w:styleId="a5">
    <w:name w:val="Normal (Web)"/>
    <w:basedOn w:val="a"/>
    <w:uiPriority w:val="99"/>
    <w:unhideWhenUsed/>
    <w:rsid w:val="00630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30F0A"/>
    <w:pPr>
      <w:spacing w:after="0" w:line="240" w:lineRule="auto"/>
    </w:pPr>
  </w:style>
  <w:style w:type="table" w:styleId="a7">
    <w:name w:val="Table Grid"/>
    <w:basedOn w:val="a1"/>
    <w:uiPriority w:val="39"/>
    <w:rsid w:val="00B1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43FA5"/>
    <w:rPr>
      <w:rFonts w:asciiTheme="majorHAnsi" w:eastAsiaTheme="majorEastAsia" w:hAnsiTheme="majorHAnsi" w:cstheme="majorBidi"/>
      <w:color w:val="2F5496" w:themeColor="accent1" w:themeShade="BF"/>
      <w:sz w:val="26"/>
      <w:szCs w:val="26"/>
    </w:rPr>
  </w:style>
  <w:style w:type="paragraph" w:styleId="a8">
    <w:name w:val="header"/>
    <w:basedOn w:val="a"/>
    <w:link w:val="a9"/>
    <w:uiPriority w:val="99"/>
    <w:unhideWhenUsed/>
    <w:rsid w:val="00DB0C1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0C1B"/>
  </w:style>
  <w:style w:type="paragraph" w:styleId="aa">
    <w:name w:val="footer"/>
    <w:basedOn w:val="a"/>
    <w:link w:val="ab"/>
    <w:uiPriority w:val="99"/>
    <w:unhideWhenUsed/>
    <w:rsid w:val="00DB0C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0C1B"/>
  </w:style>
  <w:style w:type="paragraph" w:styleId="ac">
    <w:name w:val="List Paragraph"/>
    <w:basedOn w:val="a"/>
    <w:uiPriority w:val="34"/>
    <w:qFormat/>
    <w:rsid w:val="00087758"/>
    <w:pPr>
      <w:ind w:left="720"/>
      <w:contextualSpacing/>
    </w:pPr>
  </w:style>
  <w:style w:type="paragraph" w:customStyle="1" w:styleId="JVEReferences">
    <w:name w:val="JVE References"/>
    <w:basedOn w:val="a"/>
    <w:rsid w:val="00A8086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809752">
      <w:bodyDiv w:val="1"/>
      <w:marLeft w:val="0"/>
      <w:marRight w:val="0"/>
      <w:marTop w:val="0"/>
      <w:marBottom w:val="0"/>
      <w:divBdr>
        <w:top w:val="none" w:sz="0" w:space="0" w:color="auto"/>
        <w:left w:val="none" w:sz="0" w:space="0" w:color="auto"/>
        <w:bottom w:val="none" w:sz="0" w:space="0" w:color="auto"/>
        <w:right w:val="none" w:sz="0" w:space="0" w:color="auto"/>
      </w:divBdr>
    </w:div>
    <w:div w:id="1242838585">
      <w:bodyDiv w:val="1"/>
      <w:marLeft w:val="0"/>
      <w:marRight w:val="0"/>
      <w:marTop w:val="0"/>
      <w:marBottom w:val="0"/>
      <w:divBdr>
        <w:top w:val="none" w:sz="0" w:space="0" w:color="auto"/>
        <w:left w:val="none" w:sz="0" w:space="0" w:color="auto"/>
        <w:bottom w:val="none" w:sz="0" w:space="0" w:color="auto"/>
        <w:right w:val="none" w:sz="0" w:space="0" w:color="auto"/>
      </w:divBdr>
    </w:div>
    <w:div w:id="1283417478">
      <w:bodyDiv w:val="1"/>
      <w:marLeft w:val="0"/>
      <w:marRight w:val="0"/>
      <w:marTop w:val="0"/>
      <w:marBottom w:val="0"/>
      <w:divBdr>
        <w:top w:val="none" w:sz="0" w:space="0" w:color="auto"/>
        <w:left w:val="none" w:sz="0" w:space="0" w:color="auto"/>
        <w:bottom w:val="none" w:sz="0" w:space="0" w:color="auto"/>
        <w:right w:val="none" w:sz="0" w:space="0" w:color="auto"/>
      </w:divBdr>
    </w:div>
    <w:div w:id="1447195301">
      <w:bodyDiv w:val="1"/>
      <w:marLeft w:val="0"/>
      <w:marRight w:val="0"/>
      <w:marTop w:val="0"/>
      <w:marBottom w:val="0"/>
      <w:divBdr>
        <w:top w:val="none" w:sz="0" w:space="0" w:color="auto"/>
        <w:left w:val="none" w:sz="0" w:space="0" w:color="auto"/>
        <w:bottom w:val="none" w:sz="0" w:space="0" w:color="auto"/>
        <w:right w:val="none" w:sz="0" w:space="0" w:color="auto"/>
      </w:divBdr>
    </w:div>
    <w:div w:id="16694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yperlink" Target="https://doi.org/10.22052/JNS.2023.03.020" TargetMode="External"/><Relationship Id="rId3" Type="http://schemas.openxmlformats.org/officeDocument/2006/relationships/settings" Target="settings.xml"/><Relationship Id="rId21" Type="http://schemas.openxmlformats.org/officeDocument/2006/relationships/hyperlink" Target="https://doi.org/10.22052/JNS.2025.03.021" TargetMode="External"/><Relationship Id="rId7" Type="http://schemas.openxmlformats.org/officeDocument/2006/relationships/hyperlink" Target="mailto:Shoh.rashidov2103@gmail.com" TargetMode="External"/><Relationship Id="rId12" Type="http://schemas.openxmlformats.org/officeDocument/2006/relationships/chart" Target="charts/chart5.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s://doi.org/10.1051/e3sconf/20244970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1051/e3sconf/20244970303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1064;&#1086;&#1203;&#1079;&#1086;&#1076;&#1073;&#1077;&#1082;\&#1044;&#1086;&#1082;&#1090;&#1086;&#1088;&#1072;&#1085;&#1090;&#1091;&#1088;&#1072;\PHD%20ga\Ilmiy%20ishlar%20natijari\5_jadval_kichik_nanozarrach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064;&#1086;&#1203;&#1079;&#1086;&#1076;&#1073;&#1077;&#1082;\&#1044;&#1086;&#1082;&#1090;&#1086;&#1088;&#1072;&#1085;&#1090;&#1091;&#1088;&#1072;\PHD%20ga\Ilmiy%20ishlar%20natijari\5_jadval_kichik_nanozarrach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64;&#1086;&#1203;&#1079;&#1086;&#1076;&#1073;&#1077;&#1082;\&#1044;&#1086;&#1082;&#1090;&#1086;&#1088;&#1072;&#1085;&#1090;&#1091;&#1088;&#1072;\PHD%20ga\Ilmiy%20ishlar%20natijari\5_jadval_kichik_nanozarrach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064;&#1086;&#1203;&#1079;&#1086;&#1076;&#1073;&#1077;&#1082;\&#1044;&#1086;&#1082;&#1090;&#1086;&#1088;&#1072;&#1085;&#1090;&#1091;&#1088;&#1072;\PHD%20ga\Ilmiy%20ishlar%20natijari\5_jadval_kichik_nanozarrach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064;&#1086;&#1203;&#1079;&#1086;&#1076;&#1073;&#1077;&#1082;\&#1044;&#1086;&#1082;&#1090;&#1086;&#1088;&#1072;&#1085;&#1090;&#1091;&#1088;&#1072;\PHD%20ga\Ilmiy%20ishlar%20natijari\5_jadval_kichik_nanozarrach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lex%205\Desktop\4.1-6%20(Suv).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Flex%205\Desktop\5.1%20(Benz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65883239926154E-2"/>
          <c:y val="7.8703703703703706E-2"/>
          <c:w val="0.88971107085819223"/>
          <c:h val="0.67973607465733454"/>
        </c:manualLayout>
      </c:layout>
      <c:scatterChart>
        <c:scatterStyle val="smoothMarker"/>
        <c:varyColors val="0"/>
        <c:ser>
          <c:idx val="0"/>
          <c:order val="0"/>
          <c:tx>
            <c:strRef>
              <c:f>'3.1-6'!$B$1</c:f>
              <c:strCache>
                <c:ptCount val="1"/>
                <c:pt idx="0">
                  <c:v>G(r)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'3.1-6'!$A$2:$A$26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'3.1-6'!$B$2:$B$26</c:f>
              <c:numCache>
                <c:formatCode>General</c:formatCode>
                <c:ptCount val="25"/>
                <c:pt idx="0">
                  <c:v>0.77200000000000002</c:v>
                </c:pt>
                <c:pt idx="1">
                  <c:v>2.5999999999999999E-2</c:v>
                </c:pt>
                <c:pt idx="2">
                  <c:v>0.63500000000000001</c:v>
                </c:pt>
                <c:pt idx="3">
                  <c:v>0.75</c:v>
                </c:pt>
                <c:pt idx="4">
                  <c:v>0.501</c:v>
                </c:pt>
                <c:pt idx="5">
                  <c:v>0.22900000000000001</c:v>
                </c:pt>
                <c:pt idx="6">
                  <c:v>0.20200000000000001</c:v>
                </c:pt>
                <c:pt idx="7">
                  <c:v>0.76200000000000001</c:v>
                </c:pt>
                <c:pt idx="8">
                  <c:v>0.17299999999999999</c:v>
                </c:pt>
                <c:pt idx="9">
                  <c:v>9.2999999999999999E-2</c:v>
                </c:pt>
                <c:pt idx="10">
                  <c:v>0.68700000000000006</c:v>
                </c:pt>
                <c:pt idx="11">
                  <c:v>0.95399999999999996</c:v>
                </c:pt>
                <c:pt idx="12">
                  <c:v>8.9999999999999993E-3</c:v>
                </c:pt>
                <c:pt idx="13">
                  <c:v>0.51500000000000001</c:v>
                </c:pt>
                <c:pt idx="14">
                  <c:v>0.81399999999999995</c:v>
                </c:pt>
                <c:pt idx="15">
                  <c:v>0.61399999999999999</c:v>
                </c:pt>
                <c:pt idx="16">
                  <c:v>0.72299999999999998</c:v>
                </c:pt>
                <c:pt idx="17">
                  <c:v>0.29499999999999998</c:v>
                </c:pt>
                <c:pt idx="18">
                  <c:v>0.91800000000000004</c:v>
                </c:pt>
                <c:pt idx="19">
                  <c:v>0.71599999999999997</c:v>
                </c:pt>
                <c:pt idx="20">
                  <c:v>0.54500000000000004</c:v>
                </c:pt>
                <c:pt idx="21">
                  <c:v>0.14599999999999999</c:v>
                </c:pt>
                <c:pt idx="22">
                  <c:v>0.376</c:v>
                </c:pt>
                <c:pt idx="23">
                  <c:v>0.67600000000000005</c:v>
                </c:pt>
                <c:pt idx="24">
                  <c:v>0.44500000000000001</c:v>
                </c:pt>
              </c:numCache>
            </c:numRef>
          </c:yVal>
          <c:smooth val="1"/>
          <c:extLst>
            <c:ext xmlns:c16="http://schemas.microsoft.com/office/drawing/2014/chart" uri="{C3380CC4-5D6E-409C-BE32-E72D297353CC}">
              <c16:uniqueId val="{00000000-E667-438C-9366-26199B4FDB03}"/>
            </c:ext>
          </c:extLst>
        </c:ser>
        <c:ser>
          <c:idx val="1"/>
          <c:order val="1"/>
          <c:tx>
            <c:strRef>
              <c:f>'3.1-6'!$C$1</c:f>
              <c:strCache>
                <c:ptCount val="1"/>
                <c:pt idx="0">
                  <c:v>C(r)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'3.1-6'!$A$2:$A$26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'3.1-6'!$C$2:$C$26</c:f>
              <c:numCache>
                <c:formatCode>General</c:formatCode>
                <c:ptCount val="25"/>
                <c:pt idx="0">
                  <c:v>0.77200000000000002</c:v>
                </c:pt>
                <c:pt idx="1">
                  <c:v>0.79800000000000004</c:v>
                </c:pt>
                <c:pt idx="2">
                  <c:v>1.4330000000000001</c:v>
                </c:pt>
                <c:pt idx="3">
                  <c:v>2.1829999999999998</c:v>
                </c:pt>
                <c:pt idx="4">
                  <c:v>2.6840000000000002</c:v>
                </c:pt>
                <c:pt idx="5">
                  <c:v>2.9129999999999998</c:v>
                </c:pt>
                <c:pt idx="6">
                  <c:v>3.1150000000000002</c:v>
                </c:pt>
                <c:pt idx="7">
                  <c:v>3.8769999999999998</c:v>
                </c:pt>
                <c:pt idx="8">
                  <c:v>4.05</c:v>
                </c:pt>
                <c:pt idx="9">
                  <c:v>4.1429999999999998</c:v>
                </c:pt>
                <c:pt idx="10">
                  <c:v>4.83</c:v>
                </c:pt>
                <c:pt idx="11">
                  <c:v>5.7839999999999998</c:v>
                </c:pt>
                <c:pt idx="12">
                  <c:v>5.7930000000000001</c:v>
                </c:pt>
                <c:pt idx="13">
                  <c:v>6.3079999999999998</c:v>
                </c:pt>
                <c:pt idx="14">
                  <c:v>7.1219999999999999</c:v>
                </c:pt>
                <c:pt idx="15">
                  <c:v>7.7359999999999998</c:v>
                </c:pt>
                <c:pt idx="16">
                  <c:v>8.4589999999999996</c:v>
                </c:pt>
                <c:pt idx="17">
                  <c:v>8.7539999999999996</c:v>
                </c:pt>
                <c:pt idx="18">
                  <c:v>9.6720000000000006</c:v>
                </c:pt>
                <c:pt idx="19">
                  <c:v>10.388</c:v>
                </c:pt>
                <c:pt idx="20">
                  <c:v>10.933</c:v>
                </c:pt>
                <c:pt idx="21">
                  <c:v>11.079000000000001</c:v>
                </c:pt>
                <c:pt idx="22">
                  <c:v>11.455</c:v>
                </c:pt>
                <c:pt idx="23">
                  <c:v>12.131</c:v>
                </c:pt>
                <c:pt idx="24">
                  <c:v>12.576000000000001</c:v>
                </c:pt>
              </c:numCache>
            </c:numRef>
          </c:yVal>
          <c:smooth val="1"/>
          <c:extLst>
            <c:ext xmlns:c16="http://schemas.microsoft.com/office/drawing/2014/chart" uri="{C3380CC4-5D6E-409C-BE32-E72D297353CC}">
              <c16:uniqueId val="{00000001-E667-438C-9366-26199B4FDB03}"/>
            </c:ext>
          </c:extLst>
        </c:ser>
        <c:dLbls>
          <c:showLegendKey val="0"/>
          <c:showVal val="0"/>
          <c:showCatName val="0"/>
          <c:showSerName val="0"/>
          <c:showPercent val="0"/>
          <c:showBubbleSize val="0"/>
        </c:dLbls>
        <c:axId val="174649264"/>
        <c:axId val="174662320"/>
      </c:scatterChart>
      <c:valAx>
        <c:axId val="174649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r (nm)</a:t>
                </a:r>
                <a:endParaRPr lang="ru-RU"/>
              </a:p>
            </c:rich>
          </c:tx>
          <c:layout>
            <c:manualLayout>
              <c:xMode val="edge"/>
              <c:yMode val="edge"/>
              <c:x val="0.46345991599102621"/>
              <c:y val="0.873738236533791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62320"/>
        <c:crosses val="autoZero"/>
        <c:crossBetween val="midCat"/>
      </c:valAx>
      <c:valAx>
        <c:axId val="17466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49264"/>
        <c:crosses val="autoZero"/>
        <c:crossBetween val="midCat"/>
      </c:valAx>
      <c:spPr>
        <a:noFill/>
        <a:ln>
          <a:noFill/>
        </a:ln>
        <a:effectLst/>
      </c:spPr>
    </c:plotArea>
    <c:legend>
      <c:legendPos val="b"/>
      <c:layout>
        <c:manualLayout>
          <c:xMode val="edge"/>
          <c:yMode val="edge"/>
          <c:x val="9.1431376756318933E-2"/>
          <c:y val="0.87052820434395017"/>
          <c:w val="0.26867730071603818"/>
          <c:h val="7.51542323444062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65223097112866E-2"/>
          <c:y val="7.8703703703703706E-2"/>
          <c:w val="0.88609033245844271"/>
          <c:h val="0.63898512685914266"/>
        </c:manualLayout>
      </c:layout>
      <c:scatterChart>
        <c:scatterStyle val="smoothMarker"/>
        <c:varyColors val="0"/>
        <c:ser>
          <c:idx val="0"/>
          <c:order val="0"/>
          <c:tx>
            <c:strRef>
              <c:f>'3,1-9'!$B$1</c:f>
              <c:strCache>
                <c:ptCount val="1"/>
                <c:pt idx="0">
                  <c:v>G(r)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'3,1-9'!$A$2:$A$26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'3,1-9'!$B$2:$B$26</c:f>
              <c:numCache>
                <c:formatCode>General</c:formatCode>
                <c:ptCount val="25"/>
                <c:pt idx="0">
                  <c:v>0.184</c:v>
                </c:pt>
                <c:pt idx="1">
                  <c:v>2.4E-2</c:v>
                </c:pt>
                <c:pt idx="2">
                  <c:v>0.46600000000000003</c:v>
                </c:pt>
                <c:pt idx="3">
                  <c:v>0.72599999999999998</c:v>
                </c:pt>
                <c:pt idx="4">
                  <c:v>0.42299999999999999</c:v>
                </c:pt>
                <c:pt idx="5">
                  <c:v>0.48799999999999999</c:v>
                </c:pt>
                <c:pt idx="6">
                  <c:v>1.7999999999999999E-2</c:v>
                </c:pt>
                <c:pt idx="7">
                  <c:v>0.49</c:v>
                </c:pt>
                <c:pt idx="8">
                  <c:v>0.94199999999999995</c:v>
                </c:pt>
                <c:pt idx="9">
                  <c:v>0.85199999999999998</c:v>
                </c:pt>
                <c:pt idx="10">
                  <c:v>0.73099999999999998</c:v>
                </c:pt>
                <c:pt idx="11">
                  <c:v>0.113</c:v>
                </c:pt>
                <c:pt idx="12">
                  <c:v>0.89400000000000002</c:v>
                </c:pt>
                <c:pt idx="13">
                  <c:v>0.85799999999999998</c:v>
                </c:pt>
                <c:pt idx="14">
                  <c:v>0.16900000000000001</c:v>
                </c:pt>
                <c:pt idx="15">
                  <c:v>0.63400000000000001</c:v>
                </c:pt>
                <c:pt idx="16">
                  <c:v>2.5000000000000001E-2</c:v>
                </c:pt>
                <c:pt idx="17">
                  <c:v>0.121</c:v>
                </c:pt>
                <c:pt idx="18">
                  <c:v>0.32</c:v>
                </c:pt>
                <c:pt idx="19">
                  <c:v>0.16200000000000001</c:v>
                </c:pt>
                <c:pt idx="20">
                  <c:v>0.76</c:v>
                </c:pt>
                <c:pt idx="21">
                  <c:v>0.81899999999999995</c:v>
                </c:pt>
                <c:pt idx="22">
                  <c:v>0.34799999999999998</c:v>
                </c:pt>
                <c:pt idx="23">
                  <c:v>0.32200000000000001</c:v>
                </c:pt>
                <c:pt idx="24">
                  <c:v>0.11600000000000001</c:v>
                </c:pt>
              </c:numCache>
            </c:numRef>
          </c:yVal>
          <c:smooth val="1"/>
          <c:extLst>
            <c:ext xmlns:c16="http://schemas.microsoft.com/office/drawing/2014/chart" uri="{C3380CC4-5D6E-409C-BE32-E72D297353CC}">
              <c16:uniqueId val="{00000000-7706-453E-9E2D-93717921BB1D}"/>
            </c:ext>
          </c:extLst>
        </c:ser>
        <c:ser>
          <c:idx val="1"/>
          <c:order val="1"/>
          <c:tx>
            <c:strRef>
              <c:f>'3,1-9'!$C$1</c:f>
              <c:strCache>
                <c:ptCount val="1"/>
                <c:pt idx="0">
                  <c:v>C(r)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'3,1-9'!$A$2:$A$26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'3,1-9'!$C$2:$C$26</c:f>
              <c:numCache>
                <c:formatCode>General</c:formatCode>
                <c:ptCount val="25"/>
                <c:pt idx="0">
                  <c:v>0.184</c:v>
                </c:pt>
                <c:pt idx="1">
                  <c:v>0.20799999999999999</c:v>
                </c:pt>
                <c:pt idx="2">
                  <c:v>0.67400000000000004</c:v>
                </c:pt>
                <c:pt idx="3">
                  <c:v>1.4</c:v>
                </c:pt>
                <c:pt idx="4">
                  <c:v>1.823</c:v>
                </c:pt>
                <c:pt idx="5">
                  <c:v>2.3109999999999999</c:v>
                </c:pt>
                <c:pt idx="6">
                  <c:v>2.3290000000000002</c:v>
                </c:pt>
                <c:pt idx="7">
                  <c:v>2.819</c:v>
                </c:pt>
                <c:pt idx="8">
                  <c:v>3.7610000000000001</c:v>
                </c:pt>
                <c:pt idx="9">
                  <c:v>4.6130000000000004</c:v>
                </c:pt>
                <c:pt idx="10">
                  <c:v>5.3440000000000003</c:v>
                </c:pt>
                <c:pt idx="11">
                  <c:v>5.4569999999999999</c:v>
                </c:pt>
                <c:pt idx="12">
                  <c:v>6.351</c:v>
                </c:pt>
                <c:pt idx="13">
                  <c:v>7.2089999999999996</c:v>
                </c:pt>
                <c:pt idx="14">
                  <c:v>7.3780000000000001</c:v>
                </c:pt>
                <c:pt idx="15">
                  <c:v>8.0120000000000005</c:v>
                </c:pt>
                <c:pt idx="16">
                  <c:v>8.0370000000000008</c:v>
                </c:pt>
                <c:pt idx="17">
                  <c:v>8.1579999999999995</c:v>
                </c:pt>
                <c:pt idx="18">
                  <c:v>8.4779999999999998</c:v>
                </c:pt>
                <c:pt idx="19">
                  <c:v>8.64</c:v>
                </c:pt>
                <c:pt idx="20">
                  <c:v>9.4</c:v>
                </c:pt>
                <c:pt idx="21">
                  <c:v>10.218999999999999</c:v>
                </c:pt>
                <c:pt idx="22">
                  <c:v>10.567</c:v>
                </c:pt>
                <c:pt idx="23">
                  <c:v>10.888999999999999</c:v>
                </c:pt>
                <c:pt idx="24">
                  <c:v>11.005000000000001</c:v>
                </c:pt>
              </c:numCache>
            </c:numRef>
          </c:yVal>
          <c:smooth val="1"/>
          <c:extLst>
            <c:ext xmlns:c16="http://schemas.microsoft.com/office/drawing/2014/chart" uri="{C3380CC4-5D6E-409C-BE32-E72D297353CC}">
              <c16:uniqueId val="{00000001-7706-453E-9E2D-93717921BB1D}"/>
            </c:ext>
          </c:extLst>
        </c:ser>
        <c:dLbls>
          <c:showLegendKey val="0"/>
          <c:showVal val="0"/>
          <c:showCatName val="0"/>
          <c:showSerName val="0"/>
          <c:showPercent val="0"/>
          <c:showBubbleSize val="0"/>
        </c:dLbls>
        <c:axId val="174663408"/>
        <c:axId val="174651440"/>
      </c:scatterChart>
      <c:valAx>
        <c:axId val="174663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r (nm)</a:t>
                </a:r>
              </a:p>
            </c:rich>
          </c:tx>
          <c:layout>
            <c:manualLayout>
              <c:xMode val="edge"/>
              <c:yMode val="edge"/>
              <c:x val="0.46907983377077866"/>
              <c:y val="0.854762268880293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crossAx val="174651440"/>
        <c:crosses val="autoZero"/>
        <c:crossBetween val="midCat"/>
      </c:valAx>
      <c:valAx>
        <c:axId val="17465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crossAx val="174663408"/>
        <c:crosses val="autoZero"/>
        <c:crossBetween val="midCat"/>
      </c:valAx>
      <c:spPr>
        <a:noFill/>
        <a:ln>
          <a:noFill/>
        </a:ln>
        <a:effectLst/>
      </c:spPr>
    </c:plotArea>
    <c:legend>
      <c:legendPos val="b"/>
      <c:layout>
        <c:manualLayout>
          <c:xMode val="edge"/>
          <c:yMode val="edge"/>
          <c:x val="9.4105643044619408E-2"/>
          <c:y val="0.85069321924527319"/>
          <c:w val="0.27289982502187227"/>
          <c:h val="8.035928090108920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solidFill>
            <a:schemeClr val="tx1"/>
          </a:solidFill>
          <a:latin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89019685039370078"/>
          <c:h val="0.72556284631087775"/>
        </c:manualLayout>
      </c:layout>
      <c:scatterChart>
        <c:scatterStyle val="smoothMarker"/>
        <c:varyColors val="0"/>
        <c:ser>
          <c:idx val="0"/>
          <c:order val="0"/>
          <c:tx>
            <c:strRef>
              <c:f>'4,1-6'!$B$1</c:f>
              <c:strCache>
                <c:ptCount val="1"/>
                <c:pt idx="0">
                  <c:v>G(r)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'4,1-6'!$A$2:$A$26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'4,1-6'!$B$2:$B$26</c:f>
              <c:numCache>
                <c:formatCode>General</c:formatCode>
                <c:ptCount val="25"/>
                <c:pt idx="0">
                  <c:v>0.158</c:v>
                </c:pt>
                <c:pt idx="1">
                  <c:v>0.74099999999999999</c:v>
                </c:pt>
                <c:pt idx="2">
                  <c:v>0.26700000000000002</c:v>
                </c:pt>
                <c:pt idx="3">
                  <c:v>0.53600000000000003</c:v>
                </c:pt>
                <c:pt idx="4">
                  <c:v>0.02</c:v>
                </c:pt>
                <c:pt idx="5">
                  <c:v>0.91900000000000004</c:v>
                </c:pt>
                <c:pt idx="6">
                  <c:v>0.90100000000000002</c:v>
                </c:pt>
                <c:pt idx="7">
                  <c:v>3.7999999999999999E-2</c:v>
                </c:pt>
                <c:pt idx="8">
                  <c:v>0.95699999999999996</c:v>
                </c:pt>
                <c:pt idx="9">
                  <c:v>0.14199999999999999</c:v>
                </c:pt>
                <c:pt idx="10">
                  <c:v>0.28699999999999998</c:v>
                </c:pt>
                <c:pt idx="11">
                  <c:v>0.60799999999999998</c:v>
                </c:pt>
                <c:pt idx="12">
                  <c:v>0.94499999999999995</c:v>
                </c:pt>
                <c:pt idx="13">
                  <c:v>0.85299999999999998</c:v>
                </c:pt>
                <c:pt idx="14">
                  <c:v>7.0000000000000001E-3</c:v>
                </c:pt>
                <c:pt idx="15">
                  <c:v>0.52400000000000002</c:v>
                </c:pt>
                <c:pt idx="16">
                  <c:v>0.55400000000000005</c:v>
                </c:pt>
                <c:pt idx="17">
                  <c:v>0.48799999999999999</c:v>
                </c:pt>
                <c:pt idx="18">
                  <c:v>0.76900000000000002</c:v>
                </c:pt>
                <c:pt idx="19">
                  <c:v>0.16500000000000001</c:v>
                </c:pt>
                <c:pt idx="20">
                  <c:v>0.76600000000000001</c:v>
                </c:pt>
                <c:pt idx="21">
                  <c:v>2.5999999999999999E-2</c:v>
                </c:pt>
                <c:pt idx="22">
                  <c:v>0.14000000000000001</c:v>
                </c:pt>
                <c:pt idx="23">
                  <c:v>0.121</c:v>
                </c:pt>
                <c:pt idx="24">
                  <c:v>0.313</c:v>
                </c:pt>
              </c:numCache>
            </c:numRef>
          </c:yVal>
          <c:smooth val="1"/>
          <c:extLst>
            <c:ext xmlns:c16="http://schemas.microsoft.com/office/drawing/2014/chart" uri="{C3380CC4-5D6E-409C-BE32-E72D297353CC}">
              <c16:uniqueId val="{00000000-4C71-49EF-8572-3A70707F6959}"/>
            </c:ext>
          </c:extLst>
        </c:ser>
        <c:ser>
          <c:idx val="1"/>
          <c:order val="1"/>
          <c:tx>
            <c:strRef>
              <c:f>'4,1-6'!$C$1</c:f>
              <c:strCache>
                <c:ptCount val="1"/>
                <c:pt idx="0">
                  <c:v>C(r)</c:v>
                </c:pt>
              </c:strCache>
            </c:strRef>
          </c:tx>
          <c:spPr>
            <a:ln w="19050" cap="rnd">
              <a:solidFill>
                <a:schemeClr val="accent1"/>
              </a:solidFill>
              <a:round/>
            </a:ln>
            <a:effectLst/>
          </c:spPr>
          <c:marker>
            <c:symbol val="circle"/>
            <c:size val="5"/>
            <c:spPr>
              <a:solidFill>
                <a:schemeClr val="accent2"/>
              </a:solidFill>
              <a:ln w="9525">
                <a:solidFill>
                  <a:schemeClr val="accent2"/>
                </a:solidFill>
              </a:ln>
              <a:effectLst/>
            </c:spPr>
          </c:marker>
          <c:xVal>
            <c:numRef>
              <c:f>'4,1-6'!$A$2:$A$26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'4,1-6'!$C$2:$C$26</c:f>
              <c:numCache>
                <c:formatCode>General</c:formatCode>
                <c:ptCount val="25"/>
                <c:pt idx="0">
                  <c:v>0.158</c:v>
                </c:pt>
                <c:pt idx="1">
                  <c:v>0.89900000000000002</c:v>
                </c:pt>
                <c:pt idx="2">
                  <c:v>1.1659999999999999</c:v>
                </c:pt>
                <c:pt idx="3">
                  <c:v>1.702</c:v>
                </c:pt>
                <c:pt idx="4">
                  <c:v>1.722</c:v>
                </c:pt>
                <c:pt idx="5">
                  <c:v>2.641</c:v>
                </c:pt>
                <c:pt idx="6">
                  <c:v>3.5419999999999998</c:v>
                </c:pt>
                <c:pt idx="7">
                  <c:v>3.58</c:v>
                </c:pt>
                <c:pt idx="8">
                  <c:v>4.5369999999999999</c:v>
                </c:pt>
                <c:pt idx="9">
                  <c:v>4.6790000000000003</c:v>
                </c:pt>
                <c:pt idx="10">
                  <c:v>4.9660000000000002</c:v>
                </c:pt>
                <c:pt idx="11">
                  <c:v>5.5739999999999998</c:v>
                </c:pt>
                <c:pt idx="12">
                  <c:v>6.5190000000000001</c:v>
                </c:pt>
                <c:pt idx="13">
                  <c:v>7.3719999999999999</c:v>
                </c:pt>
                <c:pt idx="14">
                  <c:v>7.3789999999999996</c:v>
                </c:pt>
                <c:pt idx="15">
                  <c:v>7.9029999999999996</c:v>
                </c:pt>
                <c:pt idx="16">
                  <c:v>8.4570000000000007</c:v>
                </c:pt>
                <c:pt idx="17">
                  <c:v>8.9450000000000003</c:v>
                </c:pt>
                <c:pt idx="18">
                  <c:v>9.7140000000000004</c:v>
                </c:pt>
                <c:pt idx="19">
                  <c:v>9.8789999999999996</c:v>
                </c:pt>
                <c:pt idx="20">
                  <c:v>10.645</c:v>
                </c:pt>
                <c:pt idx="21">
                  <c:v>10.670999999999999</c:v>
                </c:pt>
                <c:pt idx="22">
                  <c:v>10.811</c:v>
                </c:pt>
                <c:pt idx="23">
                  <c:v>10.932</c:v>
                </c:pt>
                <c:pt idx="24">
                  <c:v>11.244999999999999</c:v>
                </c:pt>
              </c:numCache>
            </c:numRef>
          </c:yVal>
          <c:smooth val="1"/>
          <c:extLst>
            <c:ext xmlns:c16="http://schemas.microsoft.com/office/drawing/2014/chart" uri="{C3380CC4-5D6E-409C-BE32-E72D297353CC}">
              <c16:uniqueId val="{00000001-4C71-49EF-8572-3A70707F6959}"/>
            </c:ext>
          </c:extLst>
        </c:ser>
        <c:dLbls>
          <c:showLegendKey val="0"/>
          <c:showVal val="0"/>
          <c:showCatName val="0"/>
          <c:showSerName val="0"/>
          <c:showPercent val="0"/>
          <c:showBubbleSize val="0"/>
        </c:dLbls>
        <c:axId val="174651984"/>
        <c:axId val="174664496"/>
      </c:scatterChart>
      <c:valAx>
        <c:axId val="174651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r (nm)</a:t>
                </a:r>
                <a:endParaRPr lang="ru-RU"/>
              </a:p>
            </c:rich>
          </c:tx>
          <c:layout>
            <c:manualLayout>
              <c:xMode val="edge"/>
              <c:yMode val="edge"/>
              <c:x val="0.46855424321959754"/>
              <c:y val="0.879258530183726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64496"/>
        <c:crosses val="autoZero"/>
        <c:crossBetween val="midCat"/>
      </c:valAx>
      <c:valAx>
        <c:axId val="17466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51984"/>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Entry>
      <c:layout>
        <c:manualLayout>
          <c:xMode val="edge"/>
          <c:yMode val="edge"/>
          <c:x val="8.7755468066491676E-2"/>
          <c:y val="0.87557815689705432"/>
          <c:w val="0.252266622922134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89019685039370078"/>
          <c:h val="0.7301924759405074"/>
        </c:manualLayout>
      </c:layout>
      <c:scatterChart>
        <c:scatterStyle val="smoothMarker"/>
        <c:varyColors val="0"/>
        <c:ser>
          <c:idx val="0"/>
          <c:order val="0"/>
          <c:tx>
            <c:strRef>
              <c:f>'4,1-9'!$B$1</c:f>
              <c:strCache>
                <c:ptCount val="1"/>
                <c:pt idx="0">
                  <c:v>G(r)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'4,1-9'!$A$2:$A$26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'4,1-9'!$B$2:$B$26</c:f>
              <c:numCache>
                <c:formatCode>General</c:formatCode>
                <c:ptCount val="25"/>
                <c:pt idx="0">
                  <c:v>0.77900000000000003</c:v>
                </c:pt>
                <c:pt idx="1">
                  <c:v>0.24099999999999999</c:v>
                </c:pt>
                <c:pt idx="2">
                  <c:v>0.82499999999999996</c:v>
                </c:pt>
                <c:pt idx="3">
                  <c:v>0.96599999999999997</c:v>
                </c:pt>
                <c:pt idx="4">
                  <c:v>0.97299999999999998</c:v>
                </c:pt>
                <c:pt idx="5">
                  <c:v>0.45600000000000002</c:v>
                </c:pt>
                <c:pt idx="6">
                  <c:v>0.61099999999999999</c:v>
                </c:pt>
                <c:pt idx="7">
                  <c:v>0.77700000000000002</c:v>
                </c:pt>
                <c:pt idx="8">
                  <c:v>0.64300000000000002</c:v>
                </c:pt>
                <c:pt idx="9">
                  <c:v>0.72299999999999998</c:v>
                </c:pt>
                <c:pt idx="10">
                  <c:v>0.04</c:v>
                </c:pt>
                <c:pt idx="11">
                  <c:v>0.30199999999999999</c:v>
                </c:pt>
                <c:pt idx="12">
                  <c:v>6.3E-2</c:v>
                </c:pt>
                <c:pt idx="13">
                  <c:v>0.85799999999999998</c:v>
                </c:pt>
                <c:pt idx="14">
                  <c:v>0.376</c:v>
                </c:pt>
                <c:pt idx="15">
                  <c:v>0.68100000000000005</c:v>
                </c:pt>
                <c:pt idx="16">
                  <c:v>0.26</c:v>
                </c:pt>
                <c:pt idx="17">
                  <c:v>0.35099999999999998</c:v>
                </c:pt>
                <c:pt idx="18">
                  <c:v>1.4E-2</c:v>
                </c:pt>
                <c:pt idx="19">
                  <c:v>0.36199999999999999</c:v>
                </c:pt>
                <c:pt idx="20">
                  <c:v>0.94899999999999995</c:v>
                </c:pt>
                <c:pt idx="21">
                  <c:v>0.222</c:v>
                </c:pt>
                <c:pt idx="22">
                  <c:v>0.32300000000000001</c:v>
                </c:pt>
                <c:pt idx="23">
                  <c:v>0.91800000000000004</c:v>
                </c:pt>
                <c:pt idx="24">
                  <c:v>3.6999999999999998E-2</c:v>
                </c:pt>
              </c:numCache>
            </c:numRef>
          </c:yVal>
          <c:smooth val="1"/>
          <c:extLst>
            <c:ext xmlns:c16="http://schemas.microsoft.com/office/drawing/2014/chart" uri="{C3380CC4-5D6E-409C-BE32-E72D297353CC}">
              <c16:uniqueId val="{00000000-6AE5-406B-B43A-FB97FD1D3BD9}"/>
            </c:ext>
          </c:extLst>
        </c:ser>
        <c:ser>
          <c:idx val="1"/>
          <c:order val="1"/>
          <c:tx>
            <c:strRef>
              <c:f>'4,1-9'!$C$1</c:f>
              <c:strCache>
                <c:ptCount val="1"/>
                <c:pt idx="0">
                  <c:v>C(r)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'4,1-9'!$A$2:$A$26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'4,1-9'!$C$2:$C$26</c:f>
              <c:numCache>
                <c:formatCode>General</c:formatCode>
                <c:ptCount val="25"/>
                <c:pt idx="0">
                  <c:v>0.77900000000000003</c:v>
                </c:pt>
                <c:pt idx="1">
                  <c:v>1.02</c:v>
                </c:pt>
                <c:pt idx="2">
                  <c:v>1.845</c:v>
                </c:pt>
                <c:pt idx="3">
                  <c:v>2.8109999999999999</c:v>
                </c:pt>
                <c:pt idx="4">
                  <c:v>3.7839999999999998</c:v>
                </c:pt>
                <c:pt idx="5">
                  <c:v>4.24</c:v>
                </c:pt>
                <c:pt idx="6">
                  <c:v>4.851</c:v>
                </c:pt>
                <c:pt idx="7">
                  <c:v>5.6280000000000001</c:v>
                </c:pt>
                <c:pt idx="8">
                  <c:v>6.2709999999999999</c:v>
                </c:pt>
                <c:pt idx="9">
                  <c:v>6.9939999999999998</c:v>
                </c:pt>
                <c:pt idx="10">
                  <c:v>7.0339999999999998</c:v>
                </c:pt>
                <c:pt idx="11">
                  <c:v>7.3360000000000003</c:v>
                </c:pt>
                <c:pt idx="12">
                  <c:v>7.399</c:v>
                </c:pt>
                <c:pt idx="13">
                  <c:v>8.2569999999999997</c:v>
                </c:pt>
                <c:pt idx="14">
                  <c:v>8.6329999999999991</c:v>
                </c:pt>
                <c:pt idx="15">
                  <c:v>9.3140000000000001</c:v>
                </c:pt>
                <c:pt idx="16">
                  <c:v>9.5739999999999998</c:v>
                </c:pt>
                <c:pt idx="17">
                  <c:v>9.9250000000000007</c:v>
                </c:pt>
                <c:pt idx="18">
                  <c:v>9.9390000000000001</c:v>
                </c:pt>
                <c:pt idx="19">
                  <c:v>10.301</c:v>
                </c:pt>
                <c:pt idx="20">
                  <c:v>11.25</c:v>
                </c:pt>
                <c:pt idx="21">
                  <c:v>11.472</c:v>
                </c:pt>
                <c:pt idx="22">
                  <c:v>11.795</c:v>
                </c:pt>
                <c:pt idx="23">
                  <c:v>12.712999999999999</c:v>
                </c:pt>
                <c:pt idx="24">
                  <c:v>12.75</c:v>
                </c:pt>
              </c:numCache>
            </c:numRef>
          </c:yVal>
          <c:smooth val="1"/>
          <c:extLst>
            <c:ext xmlns:c16="http://schemas.microsoft.com/office/drawing/2014/chart" uri="{C3380CC4-5D6E-409C-BE32-E72D297353CC}">
              <c16:uniqueId val="{00000001-6AE5-406B-B43A-FB97FD1D3BD9}"/>
            </c:ext>
          </c:extLst>
        </c:ser>
        <c:dLbls>
          <c:showLegendKey val="0"/>
          <c:showVal val="0"/>
          <c:showCatName val="0"/>
          <c:showSerName val="0"/>
          <c:showPercent val="0"/>
          <c:showBubbleSize val="0"/>
        </c:dLbls>
        <c:axId val="174652528"/>
        <c:axId val="174654160"/>
      </c:scatterChart>
      <c:valAx>
        <c:axId val="174652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r (nm)</a:t>
                </a:r>
                <a:endParaRPr lang="ru-RU"/>
              </a:p>
            </c:rich>
          </c:tx>
          <c:layout>
            <c:manualLayout>
              <c:xMode val="edge"/>
              <c:yMode val="edge"/>
              <c:x val="0.46855424321959754"/>
              <c:y val="0.874628900554097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54160"/>
        <c:crosses val="autoZero"/>
        <c:crossBetween val="midCat"/>
      </c:valAx>
      <c:valAx>
        <c:axId val="17465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52528"/>
        <c:crosses val="autoZero"/>
        <c:crossBetween val="midCat"/>
      </c:valAx>
      <c:spPr>
        <a:noFill/>
        <a:ln>
          <a:noFill/>
        </a:ln>
        <a:effectLst/>
      </c:spPr>
    </c:plotArea>
    <c:legend>
      <c:legendPos val="b"/>
      <c:layout>
        <c:manualLayout>
          <c:xMode val="edge"/>
          <c:yMode val="edge"/>
          <c:x val="8.4977690288713909E-2"/>
          <c:y val="0.87094852726742478"/>
          <c:w val="0.252266622922134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89019685039370078"/>
          <c:h val="0.69778506853310007"/>
        </c:manualLayout>
      </c:layout>
      <c:scatterChart>
        <c:scatterStyle val="smoothMarker"/>
        <c:varyColors val="0"/>
        <c:ser>
          <c:idx val="0"/>
          <c:order val="0"/>
          <c:tx>
            <c:strRef>
              <c:f>'5,1'!$B$1</c:f>
              <c:strCache>
                <c:ptCount val="1"/>
                <c:pt idx="0">
                  <c:v>G(r)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'5,1'!$A$2:$A$26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'5,1'!$B$2:$B$26</c:f>
              <c:numCache>
                <c:formatCode>General</c:formatCode>
                <c:ptCount val="25"/>
                <c:pt idx="0">
                  <c:v>0.51600000000000001</c:v>
                </c:pt>
                <c:pt idx="1">
                  <c:v>0.77400000000000002</c:v>
                </c:pt>
                <c:pt idx="2">
                  <c:v>0.871</c:v>
                </c:pt>
                <c:pt idx="3">
                  <c:v>1.2999999999999999E-2</c:v>
                </c:pt>
                <c:pt idx="4">
                  <c:v>0.313</c:v>
                </c:pt>
                <c:pt idx="5">
                  <c:v>0.95799999999999996</c:v>
                </c:pt>
                <c:pt idx="6">
                  <c:v>0.51600000000000001</c:v>
                </c:pt>
                <c:pt idx="7">
                  <c:v>0.32200000000000001</c:v>
                </c:pt>
                <c:pt idx="8">
                  <c:v>0.54200000000000004</c:v>
                </c:pt>
                <c:pt idx="9">
                  <c:v>0.22500000000000001</c:v>
                </c:pt>
                <c:pt idx="10">
                  <c:v>0.80700000000000005</c:v>
                </c:pt>
                <c:pt idx="11">
                  <c:v>0.34599999999999997</c:v>
                </c:pt>
                <c:pt idx="12">
                  <c:v>0.54100000000000004</c:v>
                </c:pt>
                <c:pt idx="13">
                  <c:v>1.0999999999999999E-2</c:v>
                </c:pt>
                <c:pt idx="14">
                  <c:v>0.67500000000000004</c:v>
                </c:pt>
                <c:pt idx="15">
                  <c:v>0.214</c:v>
                </c:pt>
                <c:pt idx="16">
                  <c:v>0.93300000000000005</c:v>
                </c:pt>
                <c:pt idx="17">
                  <c:v>0.377</c:v>
                </c:pt>
                <c:pt idx="18">
                  <c:v>0.754</c:v>
                </c:pt>
                <c:pt idx="19">
                  <c:v>0.76400000000000001</c:v>
                </c:pt>
                <c:pt idx="20">
                  <c:v>0.871</c:v>
                </c:pt>
                <c:pt idx="21">
                  <c:v>0.115</c:v>
                </c:pt>
                <c:pt idx="22">
                  <c:v>0.30399999999999999</c:v>
                </c:pt>
                <c:pt idx="23">
                  <c:v>0.47799999999999998</c:v>
                </c:pt>
                <c:pt idx="24">
                  <c:v>0.67500000000000004</c:v>
                </c:pt>
              </c:numCache>
            </c:numRef>
          </c:yVal>
          <c:smooth val="1"/>
          <c:extLst>
            <c:ext xmlns:c16="http://schemas.microsoft.com/office/drawing/2014/chart" uri="{C3380CC4-5D6E-409C-BE32-E72D297353CC}">
              <c16:uniqueId val="{00000000-7B8C-4ADC-BC22-6FA323A02B74}"/>
            </c:ext>
          </c:extLst>
        </c:ser>
        <c:ser>
          <c:idx val="1"/>
          <c:order val="1"/>
          <c:tx>
            <c:strRef>
              <c:f>'5,1'!$C$1</c:f>
              <c:strCache>
                <c:ptCount val="1"/>
                <c:pt idx="0">
                  <c:v>C(r)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'5,1'!$A$2:$A$26</c:f>
              <c:numCache>
                <c:formatCode>General</c:formatCode>
                <c:ptCount val="25"/>
                <c:pt idx="0">
                  <c:v>1</c:v>
                </c:pt>
                <c:pt idx="1">
                  <c:v>1.38</c:v>
                </c:pt>
                <c:pt idx="2">
                  <c:v>1.75</c:v>
                </c:pt>
                <c:pt idx="3">
                  <c:v>2.12</c:v>
                </c:pt>
                <c:pt idx="4">
                  <c:v>2.5</c:v>
                </c:pt>
                <c:pt idx="5">
                  <c:v>2.88</c:v>
                </c:pt>
                <c:pt idx="6">
                  <c:v>3.25</c:v>
                </c:pt>
                <c:pt idx="7">
                  <c:v>3.62</c:v>
                </c:pt>
                <c:pt idx="8">
                  <c:v>4</c:v>
                </c:pt>
                <c:pt idx="9">
                  <c:v>4.38</c:v>
                </c:pt>
                <c:pt idx="10">
                  <c:v>4.75</c:v>
                </c:pt>
                <c:pt idx="11">
                  <c:v>5.12</c:v>
                </c:pt>
                <c:pt idx="12">
                  <c:v>5.5</c:v>
                </c:pt>
                <c:pt idx="13">
                  <c:v>5.88</c:v>
                </c:pt>
                <c:pt idx="14">
                  <c:v>6.25</c:v>
                </c:pt>
                <c:pt idx="15">
                  <c:v>6.62</c:v>
                </c:pt>
                <c:pt idx="16">
                  <c:v>7</c:v>
                </c:pt>
                <c:pt idx="17">
                  <c:v>7.38</c:v>
                </c:pt>
                <c:pt idx="18">
                  <c:v>7.75</c:v>
                </c:pt>
                <c:pt idx="19">
                  <c:v>8.1199999999999992</c:v>
                </c:pt>
                <c:pt idx="20">
                  <c:v>8.5</c:v>
                </c:pt>
                <c:pt idx="21">
                  <c:v>8.8800000000000008</c:v>
                </c:pt>
                <c:pt idx="22">
                  <c:v>9.25</c:v>
                </c:pt>
                <c:pt idx="23">
                  <c:v>9.6199999999999992</c:v>
                </c:pt>
                <c:pt idx="24">
                  <c:v>10</c:v>
                </c:pt>
              </c:numCache>
            </c:numRef>
          </c:xVal>
          <c:yVal>
            <c:numRef>
              <c:f>'5,1'!$C$2:$C$26</c:f>
              <c:numCache>
                <c:formatCode>General</c:formatCode>
                <c:ptCount val="25"/>
                <c:pt idx="0">
                  <c:v>0.51600000000000001</c:v>
                </c:pt>
                <c:pt idx="1">
                  <c:v>1.29</c:v>
                </c:pt>
                <c:pt idx="2">
                  <c:v>2.161</c:v>
                </c:pt>
                <c:pt idx="3">
                  <c:v>2.1739999999999999</c:v>
                </c:pt>
                <c:pt idx="4">
                  <c:v>2.4870000000000001</c:v>
                </c:pt>
                <c:pt idx="5">
                  <c:v>3.4449999999999998</c:v>
                </c:pt>
                <c:pt idx="6">
                  <c:v>3.9609999999999999</c:v>
                </c:pt>
                <c:pt idx="7">
                  <c:v>4.2830000000000004</c:v>
                </c:pt>
                <c:pt idx="8">
                  <c:v>4.8250000000000002</c:v>
                </c:pt>
                <c:pt idx="9">
                  <c:v>5.05</c:v>
                </c:pt>
                <c:pt idx="10">
                  <c:v>5.8570000000000002</c:v>
                </c:pt>
                <c:pt idx="11">
                  <c:v>6.2030000000000003</c:v>
                </c:pt>
                <c:pt idx="12">
                  <c:v>6.7439999999999998</c:v>
                </c:pt>
                <c:pt idx="13">
                  <c:v>6.7549999999999999</c:v>
                </c:pt>
                <c:pt idx="14">
                  <c:v>7.43</c:v>
                </c:pt>
                <c:pt idx="15">
                  <c:v>7.6440000000000001</c:v>
                </c:pt>
                <c:pt idx="16">
                  <c:v>8.577</c:v>
                </c:pt>
                <c:pt idx="17">
                  <c:v>8.9540000000000006</c:v>
                </c:pt>
                <c:pt idx="18">
                  <c:v>9.7080000000000002</c:v>
                </c:pt>
                <c:pt idx="19">
                  <c:v>10.472</c:v>
                </c:pt>
                <c:pt idx="20">
                  <c:v>11.343</c:v>
                </c:pt>
                <c:pt idx="21">
                  <c:v>11.458</c:v>
                </c:pt>
                <c:pt idx="22">
                  <c:v>11.762</c:v>
                </c:pt>
                <c:pt idx="23">
                  <c:v>12.24</c:v>
                </c:pt>
                <c:pt idx="24">
                  <c:v>12.914999999999999</c:v>
                </c:pt>
              </c:numCache>
            </c:numRef>
          </c:yVal>
          <c:smooth val="1"/>
          <c:extLst>
            <c:ext xmlns:c16="http://schemas.microsoft.com/office/drawing/2014/chart" uri="{C3380CC4-5D6E-409C-BE32-E72D297353CC}">
              <c16:uniqueId val="{00000001-7B8C-4ADC-BC22-6FA323A02B74}"/>
            </c:ext>
          </c:extLst>
        </c:ser>
        <c:dLbls>
          <c:showLegendKey val="0"/>
          <c:showVal val="0"/>
          <c:showCatName val="0"/>
          <c:showSerName val="0"/>
          <c:showPercent val="0"/>
          <c:showBubbleSize val="0"/>
        </c:dLbls>
        <c:axId val="174662864"/>
        <c:axId val="174660144"/>
      </c:scatterChart>
      <c:valAx>
        <c:axId val="1746628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r (nm)</a:t>
                </a:r>
                <a:endParaRPr lang="ru-RU"/>
              </a:p>
            </c:rich>
          </c:tx>
          <c:layout>
            <c:manualLayout>
              <c:xMode val="edge"/>
              <c:yMode val="edge"/>
              <c:x val="0.46855424321959754"/>
              <c:y val="0.865369641294838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60144"/>
        <c:crosses val="autoZero"/>
        <c:crossBetween val="midCat"/>
      </c:valAx>
      <c:valAx>
        <c:axId val="17466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174662864"/>
        <c:crosses val="autoZero"/>
        <c:crossBetween val="midCat"/>
      </c:valAx>
      <c:spPr>
        <a:noFill/>
        <a:ln>
          <a:noFill/>
        </a:ln>
        <a:effectLst/>
      </c:spPr>
    </c:plotArea>
    <c:legend>
      <c:legendPos val="b"/>
      <c:layout>
        <c:manualLayout>
          <c:xMode val="edge"/>
          <c:yMode val="edge"/>
          <c:x val="7.6644356955380577E-2"/>
          <c:y val="0.85705963837853605"/>
          <c:w val="0.252266622922134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latin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51555558592027E-2"/>
          <c:y val="0.14768488239901126"/>
          <c:w val="0.87080684601994662"/>
          <c:h val="0.75994430499442944"/>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numFmt formatCode="General"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og"/>
            <c:dispRSqr val="0"/>
            <c:dispEq val="0"/>
          </c:trendline>
          <c:xVal>
            <c:numRef>
              <c:f>Лист1!$B$3:$B$16</c:f>
              <c:numCache>
                <c:formatCode>General</c:formatCode>
                <c:ptCount val="14"/>
                <c:pt idx="0">
                  <c:v>0</c:v>
                </c:pt>
                <c:pt idx="1">
                  <c:v>0.1</c:v>
                </c:pt>
                <c:pt idx="2">
                  <c:v>0.2</c:v>
                </c:pt>
                <c:pt idx="3">
                  <c:v>0.3</c:v>
                </c:pt>
                <c:pt idx="4">
                  <c:v>0.4</c:v>
                </c:pt>
                <c:pt idx="5">
                  <c:v>0.6</c:v>
                </c:pt>
                <c:pt idx="6">
                  <c:v>0.8</c:v>
                </c:pt>
                <c:pt idx="7">
                  <c:v>1</c:v>
                </c:pt>
              </c:numCache>
            </c:numRef>
          </c:xVal>
          <c:yVal>
            <c:numRef>
              <c:f>Лист1!$C$3:$C$16</c:f>
              <c:numCache>
                <c:formatCode>General</c:formatCode>
                <c:ptCount val="14"/>
                <c:pt idx="0">
                  <c:v>0</c:v>
                </c:pt>
                <c:pt idx="1">
                  <c:v>0.64700000000000002</c:v>
                </c:pt>
                <c:pt idx="2">
                  <c:v>0.92900000000000005</c:v>
                </c:pt>
                <c:pt idx="3">
                  <c:v>1.1259999999999999</c:v>
                </c:pt>
                <c:pt idx="4">
                  <c:v>1.351</c:v>
                </c:pt>
                <c:pt idx="5">
                  <c:v>1.7729999999999999</c:v>
                </c:pt>
                <c:pt idx="6">
                  <c:v>2.3919999999999999</c:v>
                </c:pt>
                <c:pt idx="7">
                  <c:v>3.18</c:v>
                </c:pt>
              </c:numCache>
            </c:numRef>
          </c:yVal>
          <c:smooth val="1"/>
          <c:extLst>
            <c:ext xmlns:c16="http://schemas.microsoft.com/office/drawing/2014/chart" uri="{C3380CC4-5D6E-409C-BE32-E72D297353CC}">
              <c16:uniqueId val="{00000001-D968-4A3E-BEE6-422D247721F4}"/>
            </c:ext>
          </c:extLst>
        </c:ser>
        <c:dLbls>
          <c:showLegendKey val="0"/>
          <c:showVal val="0"/>
          <c:showCatName val="0"/>
          <c:showSerName val="0"/>
          <c:showPercent val="0"/>
          <c:showBubbleSize val="0"/>
        </c:dLbls>
        <c:axId val="174661776"/>
        <c:axId val="50289680"/>
      </c:scatterChart>
      <c:valAx>
        <c:axId val="17466177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50289680"/>
        <c:crosses val="autoZero"/>
        <c:crossBetween val="midCat"/>
        <c:majorUnit val="0.1"/>
      </c:valAx>
      <c:valAx>
        <c:axId val="502896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74661776"/>
        <c:crosses val="autoZero"/>
        <c:crossBetween val="midCat"/>
        <c:minorUnit val="0.1"/>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51555558592027E-2"/>
          <c:y val="0.14768488239901126"/>
          <c:w val="0.87080684601994662"/>
          <c:h val="0.75994430499442944"/>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numFmt formatCode="General"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og"/>
            <c:dispRSqr val="0"/>
            <c:dispEq val="0"/>
          </c:trendline>
          <c:xVal>
            <c:numRef>
              <c:f>Лист1!$B$3:$B$16</c:f>
              <c:numCache>
                <c:formatCode>General</c:formatCode>
                <c:ptCount val="14"/>
                <c:pt idx="0">
                  <c:v>0</c:v>
                </c:pt>
                <c:pt idx="1">
                  <c:v>0.125</c:v>
                </c:pt>
                <c:pt idx="2">
                  <c:v>0.25</c:v>
                </c:pt>
                <c:pt idx="3">
                  <c:v>0.375</c:v>
                </c:pt>
                <c:pt idx="4">
                  <c:v>0.5</c:v>
                </c:pt>
                <c:pt idx="5">
                  <c:v>0.625</c:v>
                </c:pt>
                <c:pt idx="6">
                  <c:v>0.75</c:v>
                </c:pt>
                <c:pt idx="7">
                  <c:v>0.875</c:v>
                </c:pt>
                <c:pt idx="8">
                  <c:v>1</c:v>
                </c:pt>
              </c:numCache>
            </c:numRef>
          </c:xVal>
          <c:yVal>
            <c:numRef>
              <c:f>Лист1!$C$3:$C$16</c:f>
              <c:numCache>
                <c:formatCode>General</c:formatCode>
                <c:ptCount val="14"/>
                <c:pt idx="0">
                  <c:v>0</c:v>
                </c:pt>
                <c:pt idx="1">
                  <c:v>0.57799999999999996</c:v>
                </c:pt>
                <c:pt idx="2">
                  <c:v>1.08</c:v>
                </c:pt>
                <c:pt idx="3">
                  <c:v>1.66</c:v>
                </c:pt>
                <c:pt idx="4">
                  <c:v>2.1800000000000002</c:v>
                </c:pt>
                <c:pt idx="5">
                  <c:v>3.0030000000000001</c:v>
                </c:pt>
                <c:pt idx="6">
                  <c:v>3.78</c:v>
                </c:pt>
                <c:pt idx="7">
                  <c:v>4.91</c:v>
                </c:pt>
                <c:pt idx="8">
                  <c:v>6.1929999999999996</c:v>
                </c:pt>
              </c:numCache>
            </c:numRef>
          </c:yVal>
          <c:smooth val="1"/>
          <c:extLst>
            <c:ext xmlns:c16="http://schemas.microsoft.com/office/drawing/2014/chart" uri="{C3380CC4-5D6E-409C-BE32-E72D297353CC}">
              <c16:uniqueId val="{00000001-E80A-4D4D-A3BF-13004CF258B2}"/>
            </c:ext>
          </c:extLst>
        </c:ser>
        <c:dLbls>
          <c:showLegendKey val="0"/>
          <c:showVal val="0"/>
          <c:showCatName val="0"/>
          <c:showSerName val="0"/>
          <c:showPercent val="0"/>
          <c:showBubbleSize val="0"/>
        </c:dLbls>
        <c:axId val="50293488"/>
        <c:axId val="50291856"/>
      </c:scatterChart>
      <c:valAx>
        <c:axId val="50293488"/>
        <c:scaling>
          <c:orientation val="minMax"/>
          <c:max val="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50291856"/>
        <c:crosses val="autoZero"/>
        <c:crossBetween val="midCat"/>
        <c:majorUnit val="0.1"/>
      </c:valAx>
      <c:valAx>
        <c:axId val="50291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50293488"/>
        <c:crosses val="autoZero"/>
        <c:crossBetween val="midCat"/>
        <c:minorUnit val="0.1"/>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0.0526</cdr:x>
      <cdr:y>0.06498</cdr:y>
    </cdr:from>
    <cdr:to>
      <cdr:x>0.22859</cdr:x>
      <cdr:y>0.15823</cdr:y>
    </cdr:to>
    <cdr:sp macro="" textlink="">
      <cdr:nvSpPr>
        <cdr:cNvPr id="2" name="Прямоугольник 1"/>
        <cdr:cNvSpPr/>
      </cdr:nvSpPr>
      <cdr:spPr>
        <a:xfrm xmlns:a="http://schemas.openxmlformats.org/drawingml/2006/main">
          <a:off x="215931" y="167124"/>
          <a:ext cx="722505" cy="23980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 sz="1000">
              <a:latin typeface="Times New Roman" panose="02020603050405020304" pitchFamily="18" charset="0"/>
              <a:cs typeface="Times New Roman" panose="02020603050405020304" pitchFamily="18" charset="0"/>
            </a:rPr>
            <a:t>а (</a:t>
          </a:r>
          <a:r>
            <a:rPr lang="en-US" sz="1000">
              <a:latin typeface="Times New Roman" panose="02020603050405020304" pitchFamily="18" charset="0"/>
              <a:cs typeface="Times New Roman" panose="02020603050405020304" pitchFamily="18" charset="0"/>
            </a:rPr>
            <a:t>mol</a:t>
          </a:r>
          <a:r>
            <a:rPr lang="ru" sz="1000">
              <a:latin typeface="Times New Roman" panose="02020603050405020304" pitchFamily="18" charset="0"/>
              <a:cs typeface="Times New Roman" panose="02020603050405020304" pitchFamily="18" charset="0"/>
            </a:rPr>
            <a:t>/</a:t>
          </a:r>
          <a:r>
            <a:rPr lang="en-US" sz="1000">
              <a:latin typeface="Times New Roman" panose="02020603050405020304" pitchFamily="18" charset="0"/>
              <a:cs typeface="Times New Roman" panose="02020603050405020304" pitchFamily="18" charset="0"/>
            </a:rPr>
            <a:t>kg</a:t>
          </a:r>
          <a:r>
            <a:rPr lang="ru" sz="1000">
              <a:latin typeface="Times New Roman" panose="02020603050405020304" pitchFamily="18" charset="0"/>
              <a:cs typeface="Times New Roman" panose="02020603050405020304" pitchFamily="18" charset="0"/>
            </a:rPr>
            <a:t>)</a:t>
          </a:r>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0.84816</cdr:x>
      <cdr:y>0.82236</cdr:y>
    </cdr:from>
    <cdr:to>
      <cdr:x>0.95825</cdr:x>
      <cdr:y>0.91561</cdr:y>
    </cdr:to>
    <cdr:sp macro="" textlink="">
      <cdr:nvSpPr>
        <cdr:cNvPr id="3" name="Прямоугольник 2"/>
        <cdr:cNvSpPr/>
      </cdr:nvSpPr>
      <cdr:spPr>
        <a:xfrm xmlns:a="http://schemas.openxmlformats.org/drawingml/2006/main">
          <a:off x="3481913" y="2114904"/>
          <a:ext cx="451983" cy="23980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a:t>
          </a:r>
          <a:r>
            <a:rPr lang="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t>
          </a: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a:t>
          </a:r>
          <a:r>
            <a:rPr lang="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a:t>
          </a:r>
          <a:r>
            <a:rPr lang="ru" sz="1000" b="0" cap="none" spc="0" baseline="-2500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С</a:t>
          </a:r>
        </a:p>
      </cdr:txBody>
    </cdr:sp>
  </cdr:relSizeAnchor>
</c:userShapes>
</file>

<file path=word/drawings/drawing2.xml><?xml version="1.0" encoding="utf-8"?>
<c:userShapes xmlns:c="http://schemas.openxmlformats.org/drawingml/2006/chart">
  <cdr:relSizeAnchor xmlns:cdr="http://schemas.openxmlformats.org/drawingml/2006/chartDrawing">
    <cdr:from>
      <cdr:x>0.0354</cdr:x>
      <cdr:y>0.02099</cdr:y>
    </cdr:from>
    <cdr:to>
      <cdr:x>0.20201</cdr:x>
      <cdr:y>0.13508</cdr:y>
    </cdr:to>
    <cdr:sp macro="" textlink="">
      <cdr:nvSpPr>
        <cdr:cNvPr id="2" name="Прямоугольник 1"/>
        <cdr:cNvSpPr/>
      </cdr:nvSpPr>
      <cdr:spPr>
        <a:xfrm xmlns:a="http://schemas.openxmlformats.org/drawingml/2006/main">
          <a:off x="153095" y="45784"/>
          <a:ext cx="720454" cy="248851"/>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 sz="1000">
              <a:latin typeface="Times New Roman" panose="02020603050405020304" pitchFamily="18" charset="0"/>
              <a:cs typeface="Times New Roman" panose="02020603050405020304" pitchFamily="18" charset="0"/>
            </a:rPr>
            <a:t>а (</a:t>
          </a:r>
          <a:r>
            <a:rPr lang="en-US" sz="1000">
              <a:latin typeface="Times New Roman" panose="02020603050405020304" pitchFamily="18" charset="0"/>
              <a:cs typeface="Times New Roman" panose="02020603050405020304" pitchFamily="18" charset="0"/>
            </a:rPr>
            <a:t>mol</a:t>
          </a:r>
          <a:r>
            <a:rPr lang="ru" sz="1000">
              <a:latin typeface="Times New Roman" panose="02020603050405020304" pitchFamily="18" charset="0"/>
              <a:cs typeface="Times New Roman" panose="02020603050405020304" pitchFamily="18" charset="0"/>
            </a:rPr>
            <a:t>/</a:t>
          </a:r>
          <a:r>
            <a:rPr lang="en-US" sz="1000">
              <a:latin typeface="Times New Roman" panose="02020603050405020304" pitchFamily="18" charset="0"/>
              <a:cs typeface="Times New Roman" panose="02020603050405020304" pitchFamily="18" charset="0"/>
            </a:rPr>
            <a:t>kg</a:t>
          </a:r>
          <a:r>
            <a:rPr lang="ru" sz="1000">
              <a:latin typeface="Times New Roman" panose="02020603050405020304" pitchFamily="18" charset="0"/>
              <a:cs typeface="Times New Roman" panose="02020603050405020304" pitchFamily="18" charset="0"/>
            </a:rPr>
            <a:t>)</a:t>
          </a:r>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0.82542</cdr:x>
      <cdr:y>0.79519</cdr:y>
    </cdr:from>
    <cdr:to>
      <cdr:x>0.93057</cdr:x>
      <cdr:y>0.90927</cdr:y>
    </cdr:to>
    <cdr:sp macro="" textlink="">
      <cdr:nvSpPr>
        <cdr:cNvPr id="3" name="Прямоугольник 2"/>
        <cdr:cNvSpPr/>
      </cdr:nvSpPr>
      <cdr:spPr>
        <a:xfrm xmlns:a="http://schemas.openxmlformats.org/drawingml/2006/main">
          <a:off x="3569423" y="1734481"/>
          <a:ext cx="454676" cy="248851"/>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a:t>
          </a:r>
          <a:r>
            <a:rPr lang="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t>
          </a:r>
          <a:r>
            <a:rPr lang="en-US"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P</a:t>
          </a:r>
          <a:r>
            <a:rPr lang="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 </a:t>
          </a:r>
          <a:r>
            <a:rPr lang="ru" sz="1000" b="0" cap="none" spc="0" baseline="-2500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С</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 5</dc:creator>
  <cp:keywords/>
  <dc:description/>
  <cp:lastModifiedBy>Пользователь</cp:lastModifiedBy>
  <cp:revision>7</cp:revision>
  <dcterms:created xsi:type="dcterms:W3CDTF">2025-12-13T10:43:00Z</dcterms:created>
  <dcterms:modified xsi:type="dcterms:W3CDTF">2026-01-08T07:30:00Z</dcterms:modified>
</cp:coreProperties>
</file>