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6409C" w14:textId="50739DA0" w:rsidR="000E4B2A" w:rsidRPr="00E50B85" w:rsidRDefault="00E50B85" w:rsidP="00DA26B3">
      <w:pPr>
        <w:spacing w:before="1200" w:after="200" w:line="240" w:lineRule="auto"/>
        <w:ind w:firstLine="567"/>
        <w:jc w:val="center"/>
        <w:rPr>
          <w:rFonts w:ascii="Times New Roman" w:hAnsi="Times New Roman" w:cs="Times New Roman"/>
          <w:b/>
          <w:bCs/>
          <w:sz w:val="36"/>
          <w:szCs w:val="36"/>
        </w:rPr>
      </w:pPr>
      <w:r w:rsidRPr="00E50B85">
        <w:rPr>
          <w:rFonts w:ascii="Times New Roman" w:hAnsi="Times New Roman" w:cs="Times New Roman"/>
          <w:b/>
          <w:bCs/>
          <w:sz w:val="36"/>
          <w:szCs w:val="36"/>
        </w:rPr>
        <w:t>Assessment of risk management efficiency in furniture industry enterprises using econometric modeling: evidence from Uzbekistan</w:t>
      </w:r>
    </w:p>
    <w:p w14:paraId="687101D2" w14:textId="24457CA1" w:rsidR="00E50B85" w:rsidRPr="00A96367" w:rsidRDefault="00E50B85" w:rsidP="00E50B85">
      <w:pPr>
        <w:spacing w:line="240" w:lineRule="auto"/>
        <w:jc w:val="center"/>
        <w:rPr>
          <w:rFonts w:ascii="Times New Roman" w:hAnsi="Times New Roman" w:cs="Times New Roman"/>
          <w:sz w:val="28"/>
          <w:szCs w:val="28"/>
        </w:rPr>
      </w:pPr>
      <w:r w:rsidRPr="00A96367">
        <w:rPr>
          <w:rFonts w:ascii="Times New Roman" w:hAnsi="Times New Roman" w:cs="Times New Roman"/>
          <w:sz w:val="28"/>
          <w:szCs w:val="28"/>
        </w:rPr>
        <w:t>Maha</w:t>
      </w:r>
      <w:r>
        <w:rPr>
          <w:rFonts w:ascii="Times New Roman" w:hAnsi="Times New Roman" w:cs="Times New Roman"/>
          <w:sz w:val="28"/>
          <w:szCs w:val="28"/>
        </w:rPr>
        <w:t>m</w:t>
      </w:r>
      <w:r w:rsidRPr="00A96367">
        <w:rPr>
          <w:rFonts w:ascii="Times New Roman" w:hAnsi="Times New Roman" w:cs="Times New Roman"/>
          <w:sz w:val="28"/>
          <w:szCs w:val="28"/>
        </w:rPr>
        <w:t>madjon Ashurov,</w:t>
      </w:r>
      <w:r w:rsidR="0041736E">
        <w:rPr>
          <w:rFonts w:ascii="Times New Roman" w:hAnsi="Times New Roman" w:cs="Times New Roman"/>
          <w:sz w:val="28"/>
          <w:szCs w:val="28"/>
        </w:rPr>
        <w:t xml:space="preserve"> Yulduzxon Shakirova, Mahmudova Nodiraxon</w:t>
      </w:r>
      <w:r w:rsidRPr="00A96367">
        <w:rPr>
          <w:rFonts w:ascii="Times New Roman" w:hAnsi="Times New Roman" w:cs="Times New Roman"/>
          <w:sz w:val="28"/>
          <w:szCs w:val="28"/>
        </w:rPr>
        <w:t xml:space="preserve"> Muslimaxon Sotvoldiyeva</w:t>
      </w:r>
      <w:r w:rsidR="003146EB">
        <w:rPr>
          <w:rFonts w:ascii="Times New Roman" w:hAnsi="Times New Roman" w:cs="Times New Roman"/>
          <w:sz w:val="28"/>
          <w:szCs w:val="28"/>
          <w:vertAlign w:val="superscript"/>
        </w:rPr>
        <w:t xml:space="preserve"> </w:t>
      </w:r>
      <w:r w:rsidRPr="00A96367">
        <w:rPr>
          <w:rFonts w:ascii="Times New Roman" w:hAnsi="Times New Roman" w:cs="Times New Roman"/>
          <w:sz w:val="28"/>
          <w:szCs w:val="28"/>
          <w:vertAlign w:val="superscript"/>
        </w:rPr>
        <w:t>a)</w:t>
      </w:r>
    </w:p>
    <w:p w14:paraId="525FC7DB" w14:textId="18CAFB8A" w:rsidR="00E50B85" w:rsidRDefault="00E50B85" w:rsidP="00E50B85">
      <w:pPr>
        <w:spacing w:line="240" w:lineRule="auto"/>
        <w:jc w:val="center"/>
        <w:rPr>
          <w:rFonts w:ascii="Times New Roman" w:hAnsi="Times New Roman" w:cs="Times New Roman"/>
          <w:i/>
          <w:iCs/>
          <w:sz w:val="20"/>
          <w:szCs w:val="20"/>
        </w:rPr>
      </w:pPr>
      <w:r w:rsidRPr="00C3684C">
        <w:rPr>
          <w:rFonts w:ascii="Times New Roman" w:hAnsi="Times New Roman" w:cs="Times New Roman"/>
          <w:i/>
          <w:iCs/>
          <w:sz w:val="20"/>
          <w:szCs w:val="20"/>
        </w:rPr>
        <w:t>Fergana state technical university</w:t>
      </w:r>
      <w:r w:rsidR="00C3684C">
        <w:rPr>
          <w:rFonts w:ascii="Times New Roman" w:hAnsi="Times New Roman" w:cs="Times New Roman"/>
          <w:i/>
          <w:iCs/>
          <w:sz w:val="20"/>
          <w:szCs w:val="20"/>
        </w:rPr>
        <w:t>, Fergana, Uzbekistan</w:t>
      </w:r>
    </w:p>
    <w:p w14:paraId="58E51C06" w14:textId="665AA570" w:rsidR="00E50B85" w:rsidRDefault="00E50B85" w:rsidP="00E50B85">
      <w:pPr>
        <w:pStyle w:val="a7"/>
        <w:spacing w:line="240" w:lineRule="auto"/>
        <w:jc w:val="center"/>
        <w:rPr>
          <w:rFonts w:ascii="Times New Roman" w:hAnsi="Times New Roman" w:cs="Times New Roman"/>
          <w:i/>
          <w:iCs/>
          <w:sz w:val="20"/>
          <w:szCs w:val="20"/>
        </w:rPr>
      </w:pPr>
      <w:r w:rsidRPr="00A96367">
        <w:rPr>
          <w:rFonts w:ascii="Times New Roman" w:hAnsi="Times New Roman" w:cs="Times New Roman"/>
          <w:i/>
          <w:iCs/>
          <w:sz w:val="20"/>
          <w:szCs w:val="20"/>
          <w:vertAlign w:val="superscript"/>
        </w:rPr>
        <w:t>a)</w:t>
      </w:r>
      <w:r w:rsidRPr="00A96367">
        <w:rPr>
          <w:rFonts w:ascii="Times New Roman" w:hAnsi="Times New Roman" w:cs="Times New Roman"/>
          <w:i/>
          <w:iCs/>
          <w:sz w:val="20"/>
          <w:szCs w:val="20"/>
        </w:rPr>
        <w:t xml:space="preserve">Corresponding author: </w:t>
      </w:r>
      <w:hyperlink r:id="rId5" w:history="1">
        <w:r w:rsidRPr="00190892">
          <w:rPr>
            <w:rStyle w:val="ad"/>
            <w:rFonts w:ascii="Times New Roman" w:hAnsi="Times New Roman" w:cs="Times New Roman"/>
            <w:i/>
            <w:iCs/>
            <w:sz w:val="20"/>
            <w:szCs w:val="20"/>
          </w:rPr>
          <w:t>muslimasotvoldiyeva201@gmail.com</w:t>
        </w:r>
      </w:hyperlink>
      <w:r>
        <w:rPr>
          <w:rFonts w:ascii="Times New Roman" w:hAnsi="Times New Roman" w:cs="Times New Roman"/>
          <w:i/>
          <w:iCs/>
          <w:sz w:val="20"/>
          <w:szCs w:val="20"/>
        </w:rPr>
        <w:t xml:space="preserve"> </w:t>
      </w:r>
    </w:p>
    <w:p w14:paraId="7311066F" w14:textId="391672E7" w:rsidR="00E50B85" w:rsidRDefault="00E50B85" w:rsidP="00447431">
      <w:pPr>
        <w:spacing w:before="360" w:after="360" w:line="240" w:lineRule="auto"/>
        <w:ind w:left="284" w:right="284"/>
        <w:jc w:val="both"/>
        <w:rPr>
          <w:rFonts w:ascii="Times New Roman" w:hAnsi="Times New Roman" w:cs="Times New Roman"/>
          <w:sz w:val="18"/>
          <w:szCs w:val="18"/>
        </w:rPr>
      </w:pPr>
      <w:r w:rsidRPr="00E50B85">
        <w:rPr>
          <w:rFonts w:ascii="Times New Roman" w:hAnsi="Times New Roman" w:cs="Times New Roman"/>
          <w:b/>
          <w:bCs/>
          <w:sz w:val="18"/>
          <w:szCs w:val="18"/>
        </w:rPr>
        <w:t xml:space="preserve">Abstract. </w:t>
      </w:r>
      <w:r w:rsidRPr="00E50B85">
        <w:rPr>
          <w:rFonts w:ascii="Times New Roman" w:hAnsi="Times New Roman" w:cs="Times New Roman"/>
          <w:sz w:val="18"/>
          <w:szCs w:val="18"/>
        </w:rPr>
        <w:t>In recent years, furniture industry enterprises have faced increasing economic and financial risks driven by market volatility, cost fluctuations, and supply chain instability. These challenges are particularly relevant for emerging economies, where systematic risk management practices remain underdeveloped. This study aims to assess the efficiency of risk management in furniture industry enterprises in Uzbekistan using an integrated economic and econometric approach. The research is based on statistical and financial data. A set of key risk indicators is formed, and econometric modeling is applied to evaluate the relationship between risk management and enterprise performance. The results show that effective risk management significantly improves financial stability and operational efficiency of furniture enterprises. The proposed approach enables the identification of critical risk factors and supports forecasting of enterprise development under different risk conditions. The findings provide practical recommendations for improving risk management mechanisms in the furniture industry and contribute to empirical research on manufacturing enterprises in emerging economies.</w:t>
      </w:r>
    </w:p>
    <w:p w14:paraId="7B822E22" w14:textId="01C104DF" w:rsidR="00E50B85" w:rsidRDefault="00E50B85" w:rsidP="003146EB">
      <w:pPr>
        <w:spacing w:before="480" w:after="240" w:line="240" w:lineRule="auto"/>
        <w:jc w:val="center"/>
        <w:rPr>
          <w:rFonts w:ascii="Times New Roman" w:hAnsi="Times New Roman" w:cs="Times New Roman"/>
          <w:b/>
          <w:bCs/>
        </w:rPr>
      </w:pPr>
      <w:r>
        <w:rPr>
          <w:rFonts w:ascii="Times New Roman" w:hAnsi="Times New Roman" w:cs="Times New Roman"/>
          <w:b/>
          <w:bCs/>
        </w:rPr>
        <w:t>INTRODUCTION</w:t>
      </w:r>
    </w:p>
    <w:p w14:paraId="1989D101" w14:textId="03FEEC2E" w:rsidR="00061888" w:rsidRPr="00061888" w:rsidRDefault="00061888" w:rsidP="003146EB">
      <w:pPr>
        <w:spacing w:after="0" w:line="240" w:lineRule="auto"/>
        <w:ind w:firstLine="284"/>
        <w:jc w:val="both"/>
        <w:rPr>
          <w:rFonts w:ascii="Times New Roman" w:hAnsi="Times New Roman" w:cs="Times New Roman"/>
          <w:sz w:val="20"/>
          <w:szCs w:val="20"/>
        </w:rPr>
      </w:pPr>
      <w:r w:rsidRPr="00061888">
        <w:rPr>
          <w:rFonts w:ascii="Times New Roman" w:hAnsi="Times New Roman" w:cs="Times New Roman"/>
          <w:sz w:val="20"/>
          <w:szCs w:val="20"/>
        </w:rPr>
        <w:t xml:space="preserve">The furniture industry plays an important role in the development of manufacturing sectors by contributing to employment, value creation, and domestic market supply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{"citationID":"GcgfPHlF","properties":{"formattedCitation":"[1]","plainCitation":"[1]","noteIndex":0},"citationItems":[{"id":153,"uris":["http://zotero.org/users/local/1ECEM6JQ/items/SBPFN8CP"],"itemData":{"id":153,"type":"article-journal","abstract":"The risks associated with global supply chain management has created a discourse among practitioners and academics. This is evident by the business un...","container-title":"Risks","DOI":"10.3390/risks9010016","ISSN":"2227-9091","issue":"1","language":"en","license":"http://creativecommons.org/licenses/by/3.0/","note":"Company: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publisher","source":"www.mdpi.com","title":"Supply Chain Risk Management: Literature Review","title-short":"Supply Chain Risk Management","URL":"https://www.mdpi.com/2227-9091/9/1/16","volume":"9","author":[{"family":"Gurtu","given":"Amulya"},{"family":"Johny","given":"Jestin"},{"family":"Gurtu","given":"Amulya"},{"family":"Johny","given":"Jestin"}],"accessed":{"date-parts":[["2025",12,13]]},"issued":{"date-parts":[["2021",1,6]]}}}],"schema":"https://github.com/citation-style-language/schema/raw/master/csl-citation.json"} </w:instrText>
      </w:r>
      <w:r>
        <w:rPr>
          <w:rFonts w:ascii="Times New Roman" w:hAnsi="Times New Roman" w:cs="Times New Roman"/>
          <w:sz w:val="20"/>
          <w:szCs w:val="20"/>
        </w:rPr>
        <w:fldChar w:fldCharType="separate"/>
      </w:r>
      <w:r w:rsidRPr="00061888">
        <w:rPr>
          <w:rFonts w:ascii="Times New Roman" w:hAnsi="Times New Roman" w:cs="Times New Roman"/>
          <w:sz w:val="20"/>
        </w:rPr>
        <w:t>[1]</w:t>
      </w:r>
      <w:r>
        <w:rPr>
          <w:rFonts w:ascii="Times New Roman" w:hAnsi="Times New Roman" w:cs="Times New Roman"/>
          <w:sz w:val="20"/>
          <w:szCs w:val="20"/>
        </w:rPr>
        <w:fldChar w:fldCharType="end"/>
      </w:r>
      <w:r w:rsidRPr="00061888">
        <w:rPr>
          <w:rFonts w:ascii="Times New Roman" w:hAnsi="Times New Roman" w:cs="Times New Roman"/>
          <w:sz w:val="20"/>
          <w:szCs w:val="20"/>
        </w:rPr>
        <w:t xml:space="preserve">. However, due to the complexity of production processes and supply chains, furniture industry enterprises are increasingly exposed to economic, financial, market, and operational risks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{"citationID":"KwFbR4su","properties":{"formattedCitation":"[2]","plainCitation":"[2]","noteIndex":0},"citationItems":[{"id":157,"uris":["http://zotero.org/users/local/1ECEM6JQ/items/3JYYJSFI"],"itemData":{"id":157,"type":"article-journal","abstract":"Sustainable supply chain management can be a new strategy in the industry, especially in the furniture sector. In its implementation, different sources of risk factors emerge because the nature of the supply chain is too complex, causing supply and demand uncertainty for production. The furniture industry needs to implement supply chain risk management to overcome problems and cause a loss of trust from customers. This study aims to identify and manage supply chain risks in the furniture industry using the Supply Chain Risk Management Process (SCRMP) and COBIT 5 methods. After identifying the risk, the risk impact measurement uses the COBIT 5 method with the Deliver, Service, and Support (DSS) domain implemented into the decision support system. To find out changes after system implementation, the author conducts a risk assessment according to the COBIT 5 standard and evaluates the possibility of a risk occurring. The result of this study is a mapping of the handling of negative scenarios of risk after implementing the system that includes governance standards and input data to produce output documentation. Documents are applied to the decision support system to reduce risks in the supply chain. The SCRMP and COBIT 5 methods can manage supply chain risk more effectively. It guides the risk assessment area and provides information technology governance to the system. The implication of future research is to define standard operating procedure documentation for the application of decision support systems in all divisions of the furniture industry.","container-title":"International Journal on Advanced Science, Engineering and Information Technology","DOI":"10.18517/ijaseit.13.2.17359","ISSN":"2460-6952","issue":"2","language":"en","page":"736-743","source":"ijaseit.insightsociety.org","title":"Intelligent Decision Support System for Supply Chain Risk Management Process (SCRMP) with COBIT 5 in Furniture Industry","volume":"13","author":[{"family":"Andry","given":"Johanes Fernandes"},{"family":"Hadiyanto","given":"-"},{"family":"Gunawan","given":"Vincensius"}],"issued":{"date-parts":[["2023",3,26]]}}}],"schema":"https://github.com/citation-style-language/schema/raw/master/csl-citation.json"} </w:instrText>
      </w:r>
      <w:r>
        <w:rPr>
          <w:rFonts w:ascii="Times New Roman" w:hAnsi="Times New Roman" w:cs="Times New Roman"/>
          <w:sz w:val="20"/>
          <w:szCs w:val="20"/>
        </w:rPr>
        <w:fldChar w:fldCharType="separate"/>
      </w:r>
      <w:r w:rsidRPr="00061888">
        <w:rPr>
          <w:rFonts w:ascii="Times New Roman" w:hAnsi="Times New Roman" w:cs="Times New Roman"/>
          <w:sz w:val="20"/>
        </w:rPr>
        <w:t>[2]</w:t>
      </w:r>
      <w:r>
        <w:rPr>
          <w:rFonts w:ascii="Times New Roman" w:hAnsi="Times New Roman" w:cs="Times New Roman"/>
          <w:sz w:val="20"/>
          <w:szCs w:val="20"/>
        </w:rPr>
        <w:fldChar w:fldCharType="end"/>
      </w:r>
      <w:r w:rsidRPr="00061888">
        <w:rPr>
          <w:rFonts w:ascii="Times New Roman" w:hAnsi="Times New Roman" w:cs="Times New Roman"/>
          <w:sz w:val="20"/>
          <w:szCs w:val="20"/>
        </w:rPr>
        <w:t xml:space="preserve">. These risks are intensified by global economic uncertainty, fluctuations in consumer demand, rising raw material prices, and supply chain disruptions, which directly affect production stability and competitiveness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{"citationID":"Sf01vp8w","properties":{"formattedCitation":"[3]","plainCitation":"[3]","noteIndex":0},"citationItems":[{"id":158,"uris":["http://zotero.org/users/local/1ECEM6JQ/items/A5L68PKG"],"itemData":{"id":158,"type":"article-journal","abstract":"Crises like COVID-19 exposed the fragility of highly interdependent corporate supply networks and the complex production processes depending on them. However, a quantitative assessment of individual companies’ impact on the networks’ overall production is hitherto non-existent. Based on a unique value added tax dataset, we construct the firm-level production network of an entire country at an unprecedented granularity and present a novel approach for computing the economic systemic risk (ESR) of all firms within the network. We demonstrate that 0.035% of companies have extraordinarily high ESR, impacting about 23% of the national economic production should any of them default. Firm size cannot explain the ESR of individual companies; their position in the production networks matters substantially. A reliable assessment of ESR seems impossible with aggregated data traditionally used in Input-Output Economics. Our findings indicate that ESR of some extremely risky companies can be reduced by introducing supply chain redundancies and changes in the network topology.","container-title":"Scientific Reports","DOI":"10.1038/s41598-022-11522-z","ISSN":"2045-2322","issue":"1","journalAbbreviation":"Sci Rep","language":"en","license":"2022 The Author(s)","note":"publisher: Nature Publishing Group","page":"7719","source":"www.nature.com","title":"Quantifying firm-level economic systemic risk from nation-wide supply networks","volume":"12","author":[{"family":"Diem","given":"Christian"},{"family":"Borsos","given":"András"},{"family":"Reisch","given":"Tobias"},{"family":"Kertész","given":"János"},{"family":"Thurner","given":"Stefan"}],"issued":{"date-parts":[["2022",5,11]]}}}],"schema":"https://github.com/citation-style-language/schema/raw/master/csl-citation.json"} </w:instrText>
      </w:r>
      <w:r>
        <w:rPr>
          <w:rFonts w:ascii="Times New Roman" w:hAnsi="Times New Roman" w:cs="Times New Roman"/>
          <w:sz w:val="20"/>
          <w:szCs w:val="20"/>
        </w:rPr>
        <w:fldChar w:fldCharType="separate"/>
      </w:r>
      <w:r w:rsidRPr="00061888">
        <w:rPr>
          <w:rFonts w:ascii="Times New Roman" w:hAnsi="Times New Roman" w:cs="Times New Roman"/>
          <w:sz w:val="20"/>
        </w:rPr>
        <w:t>[3]</w:t>
      </w:r>
      <w:r>
        <w:rPr>
          <w:rFonts w:ascii="Times New Roman" w:hAnsi="Times New Roman" w:cs="Times New Roman"/>
          <w:sz w:val="20"/>
          <w:szCs w:val="20"/>
        </w:rPr>
        <w:fldChar w:fldCharType="end"/>
      </w:r>
      <w:r w:rsidRPr="00061888">
        <w:rPr>
          <w:rFonts w:ascii="Times New Roman" w:hAnsi="Times New Roman" w:cs="Times New Roman"/>
          <w:sz w:val="20"/>
          <w:szCs w:val="20"/>
        </w:rPr>
        <w:t>. As a result, ensuring sustainable development of furniture industry enterprises requires the implementation of effective and systematic risk management mechanisms.</w:t>
      </w:r>
    </w:p>
    <w:p w14:paraId="5723DA65" w14:textId="4F60A43F" w:rsidR="00061888" w:rsidRPr="00061888" w:rsidRDefault="00061888" w:rsidP="003146EB">
      <w:pPr>
        <w:spacing w:after="0" w:line="240" w:lineRule="auto"/>
        <w:ind w:firstLine="284"/>
        <w:jc w:val="both"/>
        <w:rPr>
          <w:rFonts w:ascii="Times New Roman" w:hAnsi="Times New Roman" w:cs="Times New Roman"/>
          <w:sz w:val="20"/>
          <w:szCs w:val="20"/>
        </w:rPr>
      </w:pPr>
      <w:r w:rsidRPr="00061888">
        <w:rPr>
          <w:rFonts w:ascii="Times New Roman" w:hAnsi="Times New Roman" w:cs="Times New Roman"/>
          <w:sz w:val="20"/>
          <w:szCs w:val="20"/>
        </w:rPr>
        <w:t>In emerging economies such as Uzbekistan, the furniture industry has demonstrated dynamic development driven by industrial modernization, increased investment activity, and growing domestic demand</w:t>
      </w:r>
      <w:r w:rsidR="004E01DF">
        <w:rPr>
          <w:rFonts w:ascii="Times New Roman" w:hAnsi="Times New Roman" w:cs="Times New Roman"/>
          <w:sz w:val="20"/>
          <w:szCs w:val="20"/>
        </w:rPr>
        <w:t xml:space="preserve"> </w:t>
      </w:r>
      <w:r w:rsidR="004E01DF">
        <w:rPr>
          <w:rFonts w:ascii="Times New Roman" w:hAnsi="Times New Roman" w:cs="Times New Roman"/>
          <w:sz w:val="20"/>
          <w:szCs w:val="20"/>
        </w:rPr>
        <w:fldChar w:fldCharType="begin"/>
      </w:r>
      <w:r w:rsidR="004E01DF">
        <w:rPr>
          <w:rFonts w:ascii="Times New Roman" w:hAnsi="Times New Roman" w:cs="Times New Roman"/>
          <w:sz w:val="20"/>
          <w:szCs w:val="20"/>
        </w:rPr>
        <w:instrText xml:space="preserve"> ADDIN ZOTERO_ITEM CSL_CITATION {"citationID":"fTlXg0ws","properties":{"formattedCitation":"[4]","plainCitation":"[4]","noteIndex":0},"citationItems":[{"id":160,"uris":["http://zotero.org/users/local/1ECEM6JQ/items/8K7U7JW6"],"itemData":{"id":160,"type":"article-journal","container-title":"The Journal of Finance","DOI":"10.2307/2978933","ISSN":"0022-1082","issue":"4","note":"publisher: [American Finance Association, Wiley]","page":"589-609","source":"JSTOR","title":"Financial Ratios, Discriminant Analysis and the Prediction of Corporate Bankruptcy","volume":"23","author":[{"family":"Altman","given":"Edward I."}],"issued":{"date-parts":[["1968"]]}}}],"schema":"https://github.com/citation-style-language/schema/raw/master/csl-citation.json"} </w:instrText>
      </w:r>
      <w:r w:rsidR="004E01DF">
        <w:rPr>
          <w:rFonts w:ascii="Times New Roman" w:hAnsi="Times New Roman" w:cs="Times New Roman"/>
          <w:sz w:val="20"/>
          <w:szCs w:val="20"/>
        </w:rPr>
        <w:fldChar w:fldCharType="separate"/>
      </w:r>
      <w:r w:rsidR="004E01DF" w:rsidRPr="004E01DF">
        <w:rPr>
          <w:rFonts w:ascii="Times New Roman" w:hAnsi="Times New Roman" w:cs="Times New Roman"/>
          <w:sz w:val="20"/>
        </w:rPr>
        <w:t>[4]</w:t>
      </w:r>
      <w:r w:rsidR="004E01DF">
        <w:rPr>
          <w:rFonts w:ascii="Times New Roman" w:hAnsi="Times New Roman" w:cs="Times New Roman"/>
          <w:sz w:val="20"/>
          <w:szCs w:val="20"/>
        </w:rPr>
        <w:fldChar w:fldCharType="end"/>
      </w:r>
      <w:r w:rsidR="004E01DF">
        <w:rPr>
          <w:rFonts w:ascii="Times New Roman" w:hAnsi="Times New Roman" w:cs="Times New Roman"/>
          <w:sz w:val="20"/>
          <w:szCs w:val="20"/>
        </w:rPr>
        <w:t xml:space="preserve">. </w:t>
      </w:r>
      <w:r w:rsidRPr="00061888">
        <w:rPr>
          <w:rFonts w:ascii="Times New Roman" w:hAnsi="Times New Roman" w:cs="Times New Roman"/>
          <w:sz w:val="20"/>
          <w:szCs w:val="20"/>
        </w:rPr>
        <w:t xml:space="preserve"> At the same time, enterprises in this sector face significant challenges related to financial instability, limited access to capital, and insufficiently developed risk management practices. In many cases, managerial decisions regarding risk mitigation are based on intuitive judgment rather than structured analytical tools and quantitative assessment methods, which reduces their overall effectiveness</w:t>
      </w:r>
      <w:r w:rsidR="004E01DF">
        <w:rPr>
          <w:rFonts w:ascii="Times New Roman" w:hAnsi="Times New Roman" w:cs="Times New Roman"/>
          <w:sz w:val="20"/>
          <w:szCs w:val="20"/>
        </w:rPr>
        <w:t xml:space="preserve"> </w:t>
      </w:r>
      <w:r w:rsidR="004E01DF">
        <w:rPr>
          <w:rFonts w:ascii="Times New Roman" w:hAnsi="Times New Roman" w:cs="Times New Roman"/>
          <w:sz w:val="20"/>
          <w:szCs w:val="20"/>
        </w:rPr>
        <w:fldChar w:fldCharType="begin"/>
      </w:r>
      <w:r w:rsidR="004E01DF">
        <w:rPr>
          <w:rFonts w:ascii="Times New Roman" w:hAnsi="Times New Roman" w:cs="Times New Roman"/>
          <w:sz w:val="20"/>
          <w:szCs w:val="20"/>
        </w:rPr>
        <w:instrText xml:space="preserve"> ADDIN ZOTERO_ITEM CSL_CITATION {"citationID":"eUbZmvrp","properties":{"formattedCitation":"[5]","plainCitation":"[5]","noteIndex":0},"citationItems":[{"id":163,"uris":["http://zotero.org/users/local/1ECEM6JQ/items/IMTA94YW"],"itemData":{"id":163,"type":"webpage","title":"International Journal of Financial, Accounting, and Management | International Journal of Financial, Accounting, and Management","URL":"https://goodwoodpub.com/index.php/ijfam/article/view/1090?utm_source=chatgpt.com","accessed":{"date-parts":[["2025",12,13]]}}}],"schema":"https://github.com/citation-style-language/schema/raw/master/csl-citation.json"} </w:instrText>
      </w:r>
      <w:r w:rsidR="004E01DF">
        <w:rPr>
          <w:rFonts w:ascii="Times New Roman" w:hAnsi="Times New Roman" w:cs="Times New Roman"/>
          <w:sz w:val="20"/>
          <w:szCs w:val="20"/>
        </w:rPr>
        <w:fldChar w:fldCharType="separate"/>
      </w:r>
      <w:r w:rsidR="004E01DF" w:rsidRPr="004E01DF">
        <w:rPr>
          <w:rFonts w:ascii="Times New Roman" w:hAnsi="Times New Roman" w:cs="Times New Roman"/>
          <w:sz w:val="20"/>
        </w:rPr>
        <w:t>[5]</w:t>
      </w:r>
      <w:r w:rsidR="004E01DF">
        <w:rPr>
          <w:rFonts w:ascii="Times New Roman" w:hAnsi="Times New Roman" w:cs="Times New Roman"/>
          <w:sz w:val="20"/>
          <w:szCs w:val="20"/>
        </w:rPr>
        <w:fldChar w:fldCharType="end"/>
      </w:r>
      <w:r w:rsidRPr="00061888">
        <w:rPr>
          <w:rFonts w:ascii="Times New Roman" w:hAnsi="Times New Roman" w:cs="Times New Roman"/>
          <w:sz w:val="20"/>
          <w:szCs w:val="20"/>
        </w:rPr>
        <w:t>.</w:t>
      </w:r>
    </w:p>
    <w:p w14:paraId="157E3607" w14:textId="640EFA0A" w:rsidR="00061888" w:rsidRPr="00061888" w:rsidRDefault="00061888" w:rsidP="003146EB">
      <w:pPr>
        <w:spacing w:after="0" w:line="240" w:lineRule="auto"/>
        <w:ind w:firstLine="284"/>
        <w:jc w:val="both"/>
        <w:rPr>
          <w:rFonts w:ascii="Times New Roman" w:hAnsi="Times New Roman" w:cs="Times New Roman"/>
          <w:sz w:val="20"/>
          <w:szCs w:val="20"/>
        </w:rPr>
      </w:pPr>
      <w:r w:rsidRPr="00061888">
        <w:rPr>
          <w:rFonts w:ascii="Times New Roman" w:hAnsi="Times New Roman" w:cs="Times New Roman"/>
          <w:sz w:val="20"/>
          <w:szCs w:val="20"/>
        </w:rPr>
        <w:t xml:space="preserve">Existing scientific research on risk management mainly focuses on large industrial enterprises or on sectors such as energy, construction, and finance . Although various models for assessing economic and financial risks have been proposed, their application to furniture industry enterprises remains limited </w:t>
      </w:r>
      <w:r w:rsidR="004E01DF">
        <w:rPr>
          <w:rFonts w:ascii="Times New Roman" w:hAnsi="Times New Roman" w:cs="Times New Roman"/>
          <w:sz w:val="20"/>
          <w:szCs w:val="20"/>
        </w:rPr>
        <w:fldChar w:fldCharType="begin"/>
      </w:r>
      <w:r w:rsidR="004E01DF">
        <w:rPr>
          <w:rFonts w:ascii="Times New Roman" w:hAnsi="Times New Roman" w:cs="Times New Roman"/>
          <w:sz w:val="20"/>
          <w:szCs w:val="20"/>
        </w:rPr>
        <w:instrText xml:space="preserve"> ADDIN ZOTERO_ITEM CSL_CITATION {"citationID":"MGwSzw4P","properties":{"formattedCitation":"[6]","plainCitation":"[6]","noteIndex":0},"citationItems":[{"id":165,"uris":["http://zotero.org/users/local/1ECEM6JQ/items/RLBZ9K8E"],"itemData":{"id":165,"type":"article-journal","abstract":"This study aims to investigate the direct and indirect effects of information system security practices that observed the relationship effect between cyber supply chain risk management and supply chain performance. In Industry 4.0 era, a cyber-attack becomes unavoidable and needs to adopt cyber supply chain risk management to improve the firm. The data were collected from 105 firms in Malaysia through online surveys. The partial least squares structural equation modeling technique examined the model’s goodness and research hypothesis. The results revealed that operations, directly and indirectly, influence (via mediators) supply chain performance. In contrast, governance directly affects supply chain flexibility and indirect (via mediators) influence on supply chain performance; in addition, systems integration did not, directly, and indirectly, influence supply chain performance. This framework indicates the manufacturing industry and related parties with a better understanding of cyber supply chain risk management.","container-title":"Journal of Industrial and Production Engineering","DOI":"10.1080/21681015.2022.2116495","ISSN":"2168-1015","issue":"2","note":"publisher: Taylor &amp; Francis\n_eprint: https://doi.org/10.1080/21681015.2022.2116495","page":"102-116","source":"Taylor and Francis+NEJM","title":"Cyber supply chain risk management and performance in industry 4.0 era: information system security practices in Malaysia","title-short":"Cyber supply chain risk management and performance in industry 4.0 era","volume":"40","author":[{"family":"Fernando","given":"Yudi"},{"family":"Tseng","given":"Ming-Lang"},{"family":"Wahyuni-Td","given":"Ika Sari"},{"family":"Sousa Jabbour","given":"Ana Beatriz Lopes","non-dropping-particle":"de"},{"family":"Chiappetta Jabbour","given":"Charbel Jose"},{"family":"Foropon","given":"Cyril"}],"issued":{"date-parts":[["2023",2,17]]}}}],"schema":"https://github.com/citation-style-language/schema/raw/master/csl-citation.json"} </w:instrText>
      </w:r>
      <w:r w:rsidR="004E01DF">
        <w:rPr>
          <w:rFonts w:ascii="Times New Roman" w:hAnsi="Times New Roman" w:cs="Times New Roman"/>
          <w:sz w:val="20"/>
          <w:szCs w:val="20"/>
        </w:rPr>
        <w:fldChar w:fldCharType="separate"/>
      </w:r>
      <w:r w:rsidR="004E01DF" w:rsidRPr="004E01DF">
        <w:rPr>
          <w:rFonts w:ascii="Times New Roman" w:hAnsi="Times New Roman" w:cs="Times New Roman"/>
          <w:sz w:val="20"/>
        </w:rPr>
        <w:t>[6]</w:t>
      </w:r>
      <w:r w:rsidR="004E01DF">
        <w:rPr>
          <w:rFonts w:ascii="Times New Roman" w:hAnsi="Times New Roman" w:cs="Times New Roman"/>
          <w:sz w:val="20"/>
          <w:szCs w:val="20"/>
        </w:rPr>
        <w:fldChar w:fldCharType="end"/>
      </w:r>
      <w:r w:rsidRPr="00061888">
        <w:rPr>
          <w:rFonts w:ascii="Times New Roman" w:hAnsi="Times New Roman" w:cs="Times New Roman"/>
          <w:sz w:val="20"/>
          <w:szCs w:val="20"/>
        </w:rPr>
        <w:t xml:space="preserve">. Moreover, a significant portion of previous studies relies on qualitative approaches, while the use of integrated econometric models to evaluate risk management efficiency is still underrepresented in the literature </w:t>
      </w:r>
      <w:r w:rsidR="004E01DF">
        <w:rPr>
          <w:rFonts w:ascii="Times New Roman" w:hAnsi="Times New Roman" w:cs="Times New Roman"/>
          <w:sz w:val="20"/>
          <w:szCs w:val="20"/>
        </w:rPr>
        <w:fldChar w:fldCharType="begin"/>
      </w:r>
      <w:r w:rsidR="00E01F6E">
        <w:rPr>
          <w:rFonts w:ascii="Times New Roman" w:hAnsi="Times New Roman" w:cs="Times New Roman"/>
          <w:sz w:val="20"/>
          <w:szCs w:val="20"/>
        </w:rPr>
        <w:instrText xml:space="preserve"> ADDIN ZOTERO_ITEM CSL_CITATION {"citationID":"5jDGu1mX","properties":{"formattedCitation":"[7]","plainCitation":"[7]","noteIndex":0},"citationItems":[{"id":168,"uris":["http://zotero.org/users/local/1ECEM6JQ/items/6NIB8CMY"],"itemData":{"id":168,"type":"article-journal","abstract":"In today's uncertain and turbulent markets, supply chain vulnerability has become an issue of significance for many companies. As supply chains become more complex as a result of global sourcing and the continued trend to 'leaning-down', supply chain risk increases. The challenge to business today is to manage and mitigate that risk through creating more resilient supply chains. Supply chain managers strive to achieve the ideals of fully integrated efficient and effective supply chains, capable of creating and sustaining competitive advantage [1]. To this end they must balance downward cost pressures and the need for efficiency, with effective means to manage the demands of market-driven service requirements and the known risks of routine supply chain failures. Better management and control of internal processes together with more open information flows within and between organisations can do much to help. However, in an age of lengthening supply chains serving globe-spanning operations, recent events around the world have provided frequent reminders that we live in an unpredictable and changing world [2]. Natural disasters, industrial disputes, terrorism, not to mention the spectre of war in the Middle East, have all resulted in serious disruptions to supply chain activities. In these situations 'business as usual' is often not an option. Modern commercial supply chains are in fact dynamic networks of interconnected firms and industries [3]. No organisation is an island and even the most carefully controlled processes are still only as good as the links and nodes that support them.","container-title":"International Journal of Logistics Management","DOI":"10.1108/09574090410700275","journalAbbreviation":"International Journal of Logistics Management","page":"1-13","source":"ResearchGate","title":"Building the Resilient Supply Chain","volume":"15","author":[{"family":"Christopher","given":"Martin"},{"family":"Peck","given":"Helen"}],"issued":{"date-parts":[["2004",7,1]]}}}],"schema":"https://github.com/citation-style-language/schema/raw/master/csl-citation.json"} </w:instrText>
      </w:r>
      <w:r w:rsidR="004E01DF">
        <w:rPr>
          <w:rFonts w:ascii="Times New Roman" w:hAnsi="Times New Roman" w:cs="Times New Roman"/>
          <w:sz w:val="20"/>
          <w:szCs w:val="20"/>
        </w:rPr>
        <w:fldChar w:fldCharType="separate"/>
      </w:r>
      <w:r w:rsidR="00E01F6E" w:rsidRPr="00E01F6E">
        <w:rPr>
          <w:rFonts w:ascii="Times New Roman" w:hAnsi="Times New Roman" w:cs="Times New Roman"/>
          <w:sz w:val="20"/>
        </w:rPr>
        <w:t>[7]</w:t>
      </w:r>
      <w:r w:rsidR="004E01DF">
        <w:rPr>
          <w:rFonts w:ascii="Times New Roman" w:hAnsi="Times New Roman" w:cs="Times New Roman"/>
          <w:sz w:val="20"/>
          <w:szCs w:val="20"/>
        </w:rPr>
        <w:fldChar w:fldCharType="end"/>
      </w:r>
      <w:r w:rsidRPr="00061888">
        <w:rPr>
          <w:rFonts w:ascii="Times New Roman" w:hAnsi="Times New Roman" w:cs="Times New Roman"/>
          <w:sz w:val="20"/>
          <w:szCs w:val="20"/>
        </w:rPr>
        <w:t xml:space="preserve">. This gap is particularly evident in developing countries, where sector-specific empirical evidence remains scarce </w:t>
      </w:r>
      <w:r w:rsidR="00E01F6E">
        <w:rPr>
          <w:rFonts w:ascii="Times New Roman" w:hAnsi="Times New Roman" w:cs="Times New Roman"/>
          <w:sz w:val="20"/>
          <w:szCs w:val="20"/>
        </w:rPr>
        <w:fldChar w:fldCharType="begin"/>
      </w:r>
      <w:r w:rsidR="00E01F6E">
        <w:rPr>
          <w:rFonts w:ascii="Times New Roman" w:hAnsi="Times New Roman" w:cs="Times New Roman"/>
          <w:sz w:val="20"/>
          <w:szCs w:val="20"/>
        </w:rPr>
        <w:instrText xml:space="preserve"> ADDIN ZOTERO_ITEM CSL_CITATION {"citationID":"SLX0Hjww","properties":{"formattedCitation":"[8]","plainCitation":"[8]","noteIndex":0},"citationItems":[{"id":170,"uris":["http://zotero.org/users/local/1ECEM6JQ/items/P8A5IHUE"],"itemData":{"id":170,"type":"article-journal","abstract":"In recent years the issue of supply chain risk has been pushed to the fore, initially by fears related to possible disruptions from the much publicised “millennium bug”. Y2K passed seemingly without incident, though the widespread disruptions caused by fuel protests and then Foot and Mouth Disease in the UK, and by terrorist attacks on the USA have underlined the vulnerability of modern supply chains. Despite increasing awareness among practitioners, the concepts of supply chain vulnerability and its managerial counterpart supply chain risk management are still in their infancy. This paper seeks to identify an agenda for future research and to that end the authors go on to clarify the concept of supply chain risk management and to provide a working definition. The existing literature on supply chain vulnerability and risk management is reviewed and compared with findings from exploratory interviews undertaken to discover practitioners' perceptions of supply chain risk and current supply chain risk management strategies.","container-title":"International Journal of Logistics Research and Applications","DOI":"10.1080/13675560310001627016","ISSN":"1367-5567","issue":"4","note":"publisher: Taylor &amp; Francis\n_eprint: https://doi.org/10.1080/13675560310001627016","page":"197-210","source":"Taylor and Francis+NEJM","title":"Supply chain risk management: outlining an agenda for future research","title-short":"Supply chain risk management","volume":"6","author":[{"family":"Jüttner","given":"Uta"},{"family":"Peck","given":"Helen"},{"family":"Christopher","given":"Martin"}],"issued":{"date-parts":[["2003",12,1]]}}}],"schema":"https://github.com/citation-style-language/schema/raw/master/csl-citation.json"} </w:instrText>
      </w:r>
      <w:r w:rsidR="00E01F6E">
        <w:rPr>
          <w:rFonts w:ascii="Times New Roman" w:hAnsi="Times New Roman" w:cs="Times New Roman"/>
          <w:sz w:val="20"/>
          <w:szCs w:val="20"/>
        </w:rPr>
        <w:fldChar w:fldCharType="separate"/>
      </w:r>
      <w:r w:rsidR="00E01F6E" w:rsidRPr="00E01F6E">
        <w:rPr>
          <w:rFonts w:ascii="Times New Roman" w:hAnsi="Times New Roman" w:cs="Times New Roman"/>
          <w:sz w:val="20"/>
        </w:rPr>
        <w:t>[8]</w:t>
      </w:r>
      <w:r w:rsidR="00E01F6E">
        <w:rPr>
          <w:rFonts w:ascii="Times New Roman" w:hAnsi="Times New Roman" w:cs="Times New Roman"/>
          <w:sz w:val="20"/>
          <w:szCs w:val="20"/>
        </w:rPr>
        <w:fldChar w:fldCharType="end"/>
      </w:r>
      <w:r w:rsidRPr="00061888">
        <w:rPr>
          <w:rFonts w:ascii="Times New Roman" w:hAnsi="Times New Roman" w:cs="Times New Roman"/>
          <w:sz w:val="20"/>
          <w:szCs w:val="20"/>
        </w:rPr>
        <w:t>.</w:t>
      </w:r>
    </w:p>
    <w:p w14:paraId="25EB5C26" w14:textId="7EA7BD30" w:rsidR="00061888" w:rsidRPr="00061888" w:rsidRDefault="00061888" w:rsidP="003146EB">
      <w:pPr>
        <w:spacing w:after="0" w:line="240" w:lineRule="auto"/>
        <w:ind w:firstLine="284"/>
        <w:jc w:val="both"/>
        <w:rPr>
          <w:rFonts w:ascii="Times New Roman" w:hAnsi="Times New Roman" w:cs="Times New Roman"/>
          <w:sz w:val="20"/>
          <w:szCs w:val="20"/>
        </w:rPr>
      </w:pPr>
      <w:r w:rsidRPr="00061888">
        <w:rPr>
          <w:rFonts w:ascii="Times New Roman" w:hAnsi="Times New Roman" w:cs="Times New Roman"/>
          <w:sz w:val="20"/>
          <w:szCs w:val="20"/>
        </w:rPr>
        <w:t xml:space="preserve">Several studies highlight the benefits of applying quantitative risk assessment techniques, including econometric modeling, to enhance decision-making and enterprise resilience </w:t>
      </w:r>
      <w:r w:rsidR="00E01F6E">
        <w:rPr>
          <w:rFonts w:ascii="Times New Roman" w:hAnsi="Times New Roman" w:cs="Times New Roman"/>
          <w:sz w:val="20"/>
          <w:szCs w:val="20"/>
        </w:rPr>
        <w:fldChar w:fldCharType="begin"/>
      </w:r>
      <w:r w:rsidR="00E01F6E">
        <w:rPr>
          <w:rFonts w:ascii="Times New Roman" w:hAnsi="Times New Roman" w:cs="Times New Roman"/>
          <w:sz w:val="20"/>
          <w:szCs w:val="20"/>
        </w:rPr>
        <w:instrText xml:space="preserve"> ADDIN ZOTERO_ITEM CSL_CITATION {"citationID":"t1SJ7lYb","properties":{"formattedCitation":"[9]","plainCitation":"[9]","noteIndex":0},"citationItems":[{"id":171,"uris":["http://zotero.org/users/local/1ECEM6JQ/items/S6SD4S3Y"],"itemData":{"id":171,"type":"document","title":"Perspectives in supply chain risk management","URL":"https://ijebmr.com/uploads/pdf/archivepdf/2025/IJEBMR_1739.pdf?utm_source=chatgpt.com","accessed":{"date-parts":[["2025",12,13]]}}}],"schema":"https://github.com/citation-style-language/schema/raw/master/csl-citation.json"} </w:instrText>
      </w:r>
      <w:r w:rsidR="00E01F6E">
        <w:rPr>
          <w:rFonts w:ascii="Times New Roman" w:hAnsi="Times New Roman" w:cs="Times New Roman"/>
          <w:sz w:val="20"/>
          <w:szCs w:val="20"/>
        </w:rPr>
        <w:fldChar w:fldCharType="separate"/>
      </w:r>
      <w:r w:rsidR="00E01F6E" w:rsidRPr="00E01F6E">
        <w:rPr>
          <w:rFonts w:ascii="Times New Roman" w:hAnsi="Times New Roman" w:cs="Times New Roman"/>
          <w:sz w:val="20"/>
        </w:rPr>
        <w:t>[9]</w:t>
      </w:r>
      <w:r w:rsidR="00E01F6E">
        <w:rPr>
          <w:rFonts w:ascii="Times New Roman" w:hAnsi="Times New Roman" w:cs="Times New Roman"/>
          <w:sz w:val="20"/>
          <w:szCs w:val="20"/>
        </w:rPr>
        <w:fldChar w:fldCharType="end"/>
      </w:r>
      <w:r w:rsidRPr="00061888">
        <w:rPr>
          <w:rFonts w:ascii="Times New Roman" w:hAnsi="Times New Roman" w:cs="Times New Roman"/>
          <w:sz w:val="20"/>
          <w:szCs w:val="20"/>
        </w:rPr>
        <w:t xml:space="preserve">. These approaches allow for the identification of key risk factors, estimation of potential financial losses, and assessment of the impact of managerial interventions on </w:t>
      </w:r>
      <w:r w:rsidRPr="00061888">
        <w:rPr>
          <w:rFonts w:ascii="Times New Roman" w:hAnsi="Times New Roman" w:cs="Times New Roman"/>
          <w:sz w:val="20"/>
          <w:szCs w:val="20"/>
        </w:rPr>
        <w:lastRenderedPageBreak/>
        <w:t xml:space="preserve">performance outcomes. In the context of the furniture industry, integrating financial, operational, and market indicators provides a comprehensive understanding of risk dynamics and supports strategic planning </w:t>
      </w:r>
      <w:r w:rsidR="00E01F6E">
        <w:rPr>
          <w:rFonts w:ascii="Times New Roman" w:hAnsi="Times New Roman" w:cs="Times New Roman"/>
          <w:sz w:val="20"/>
          <w:szCs w:val="20"/>
        </w:rPr>
        <w:fldChar w:fldCharType="begin"/>
      </w:r>
      <w:r w:rsidR="00E01F6E">
        <w:rPr>
          <w:rFonts w:ascii="Times New Roman" w:hAnsi="Times New Roman" w:cs="Times New Roman"/>
          <w:sz w:val="20"/>
          <w:szCs w:val="20"/>
        </w:rPr>
        <w:instrText xml:space="preserve"> ADDIN ZOTERO_ITEM CSL_CITATION {"citationID":"Sy8pUUyH","properties":{"formattedCitation":"[10]","plainCitation":"[10]","noteIndex":0},"citationItems":[{"id":174,"uris":["http://zotero.org/users/local/1ECEM6JQ/items/37Q6I2XB"],"itemData":{"id":174,"type":"article-journal","abstract":"The views expressed in this article are those of the authors and do not necessarily reflect the official policy or position of the Air Force, the Department of Defense, or the U.S. Government.\nIn a world of turbulent change, resilience is a key competency since even the most carefully designed supply chain is susceptible to unforeseen events. This article presents a new Supply Chain Resilience Framework to help businesses deal with change. The conceptual framework is based on extant literature and refined through a focus group methodology. Our findings suggest that supply chain resilience can be assessed in terms of two dimensions: vulnerabilities and capabilities. The Zone of Resilience is defined as the desired balance between vulnerabilities and capabilities, where it is proposed that firms will be the most profitable in the long term. We identified seven vulnerability factors composed of 40 specific attributes and 14 capability factors from 71 attributes that facilitate the measurement of resilience. The article concludes with managerial implications and recommendations for future research.","container-title":"Journal of Business Logistics","DOI":"10.1002/j.2158-1592.2010.tb00125.x","journalAbbreviation":"Journal of Business Logistics","page":"1-21","source":"ResearchGate","title":"Ensuring Supply Chain Resilience: Development of a Conceptual Framework","title-short":"Ensuring Supply Chain Resilience","volume":"31","author":[{"family":"Pettit","given":"Timothy"},{"family":"Fiksel","given":"Joseph"},{"family":"Croxton","given":"Keely"}],"issued":{"date-parts":[["2010",3,1]]}}}],"schema":"https://github.com/citation-style-language/schema/raw/master/csl-citation.json"} </w:instrText>
      </w:r>
      <w:r w:rsidR="00E01F6E">
        <w:rPr>
          <w:rFonts w:ascii="Times New Roman" w:hAnsi="Times New Roman" w:cs="Times New Roman"/>
          <w:sz w:val="20"/>
          <w:szCs w:val="20"/>
        </w:rPr>
        <w:fldChar w:fldCharType="separate"/>
      </w:r>
      <w:r w:rsidR="00E01F6E" w:rsidRPr="00E01F6E">
        <w:rPr>
          <w:rFonts w:ascii="Times New Roman" w:hAnsi="Times New Roman" w:cs="Times New Roman"/>
          <w:sz w:val="20"/>
        </w:rPr>
        <w:t>[10]</w:t>
      </w:r>
      <w:r w:rsidR="00E01F6E">
        <w:rPr>
          <w:rFonts w:ascii="Times New Roman" w:hAnsi="Times New Roman" w:cs="Times New Roman"/>
          <w:sz w:val="20"/>
          <w:szCs w:val="20"/>
        </w:rPr>
        <w:fldChar w:fldCharType="end"/>
      </w:r>
      <w:r w:rsidRPr="00061888">
        <w:rPr>
          <w:rFonts w:ascii="Times New Roman" w:hAnsi="Times New Roman" w:cs="Times New Roman"/>
          <w:sz w:val="20"/>
          <w:szCs w:val="20"/>
        </w:rPr>
        <w:t>.</w:t>
      </w:r>
    </w:p>
    <w:p w14:paraId="513ADAB8" w14:textId="0B6E98CA" w:rsidR="00061888" w:rsidRPr="00061888" w:rsidRDefault="00061888" w:rsidP="003146EB">
      <w:pPr>
        <w:spacing w:after="0" w:line="240" w:lineRule="auto"/>
        <w:ind w:firstLine="284"/>
        <w:jc w:val="both"/>
        <w:rPr>
          <w:rFonts w:ascii="Times New Roman" w:hAnsi="Times New Roman" w:cs="Times New Roman"/>
          <w:sz w:val="20"/>
          <w:szCs w:val="20"/>
        </w:rPr>
      </w:pPr>
      <w:r w:rsidRPr="00061888">
        <w:rPr>
          <w:rFonts w:ascii="Times New Roman" w:hAnsi="Times New Roman" w:cs="Times New Roman"/>
          <w:sz w:val="20"/>
          <w:szCs w:val="20"/>
        </w:rPr>
        <w:t xml:space="preserve">The relevance of this study is determined by the need to develop and apply quantitative methods for assessing risk management efficiency in furniture industry enterprises. An integrated approach that combines economic and financial risk indicators with econometric modeling allows not only the evaluation of current risk levels but also the identification of key factors influencing enterprise performance and financial stability </w:t>
      </w:r>
      <w:r w:rsidR="00E01F6E">
        <w:rPr>
          <w:rFonts w:ascii="Times New Roman" w:hAnsi="Times New Roman" w:cs="Times New Roman"/>
          <w:sz w:val="20"/>
          <w:szCs w:val="20"/>
        </w:rPr>
        <w:fldChar w:fldCharType="begin"/>
      </w:r>
      <w:r w:rsidR="00E01F6E">
        <w:rPr>
          <w:rFonts w:ascii="Times New Roman" w:hAnsi="Times New Roman" w:cs="Times New Roman"/>
          <w:sz w:val="20"/>
          <w:szCs w:val="20"/>
        </w:rPr>
        <w:instrText xml:space="preserve"> ADDIN ZOTERO_ITEM CSL_CITATION {"citationID":"6tQyQgLh","properties":{"formattedCitation":"[11]","plainCitation":"[11]","noteIndex":0},"citationItems":[{"id":176,"uris":["http://zotero.org/users/local/1ECEM6JQ/items/EP4NG7AT"],"itemData":{"id":176,"type":"webpage","title":"Supply Chain Risk Management: Theory and Practice | Scientific Journal of Economics and Management Research","URL":"https://bcpublication.org/index.php/SJEMR/article/view/8167?utm_source=chatgpt.com","accessed":{"date-parts":[["2025",12,13]]}}}],"schema":"https://github.com/citation-style-language/schema/raw/master/csl-citation.json"} </w:instrText>
      </w:r>
      <w:r w:rsidR="00E01F6E">
        <w:rPr>
          <w:rFonts w:ascii="Times New Roman" w:hAnsi="Times New Roman" w:cs="Times New Roman"/>
          <w:sz w:val="20"/>
          <w:szCs w:val="20"/>
        </w:rPr>
        <w:fldChar w:fldCharType="separate"/>
      </w:r>
      <w:r w:rsidR="00E01F6E" w:rsidRPr="00E01F6E">
        <w:rPr>
          <w:rFonts w:ascii="Times New Roman" w:hAnsi="Times New Roman" w:cs="Times New Roman"/>
          <w:sz w:val="20"/>
        </w:rPr>
        <w:t>[11]</w:t>
      </w:r>
      <w:r w:rsidR="00E01F6E">
        <w:rPr>
          <w:rFonts w:ascii="Times New Roman" w:hAnsi="Times New Roman" w:cs="Times New Roman"/>
          <w:sz w:val="20"/>
          <w:szCs w:val="20"/>
        </w:rPr>
        <w:fldChar w:fldCharType="end"/>
      </w:r>
      <w:r w:rsidRPr="00061888">
        <w:rPr>
          <w:rFonts w:ascii="Times New Roman" w:hAnsi="Times New Roman" w:cs="Times New Roman"/>
          <w:sz w:val="20"/>
          <w:szCs w:val="20"/>
        </w:rPr>
        <w:t>. Such an approach provides a more objective foundation for managerial decision-making and strategic planning.</w:t>
      </w:r>
    </w:p>
    <w:p w14:paraId="027F34C4" w14:textId="51CE40C8" w:rsidR="00EB52D3" w:rsidRDefault="00061888" w:rsidP="003146EB">
      <w:pPr>
        <w:spacing w:after="0" w:line="240" w:lineRule="auto"/>
        <w:ind w:firstLine="284"/>
        <w:jc w:val="both"/>
        <w:rPr>
          <w:rFonts w:ascii="Times New Roman" w:hAnsi="Times New Roman" w:cs="Times New Roman"/>
          <w:sz w:val="20"/>
          <w:szCs w:val="20"/>
        </w:rPr>
      </w:pPr>
      <w:r w:rsidRPr="00061888">
        <w:rPr>
          <w:rFonts w:ascii="Times New Roman" w:hAnsi="Times New Roman" w:cs="Times New Roman"/>
          <w:sz w:val="20"/>
          <w:szCs w:val="20"/>
        </w:rPr>
        <w:t>The main objective of this paper is to assess the efficiency of risk management in furniture industry enterprises in Uzbekistan using a comprehensive risk assessment framework and econometric modeling. To achieve this objective, the study analyzes economic and financial indicators of furniture enterprises for the period 2019–2024, evaluates the impact of risk management on enterprise performance, and identifies priority directions for improving risk management mechanisms. The results of this research contribute empirical evidence to the existing literature and offer practical recommendations for enterprise managers and policymakers. The proposed methodological approach can also be adapted for other manufacturing sectors in emerging economies facing similar challenges.</w:t>
      </w:r>
    </w:p>
    <w:p w14:paraId="22EE855F" w14:textId="1570DA55" w:rsidR="00EB52D3" w:rsidRDefault="00EB52D3" w:rsidP="003146EB">
      <w:pPr>
        <w:spacing w:before="240" w:after="240" w:line="240" w:lineRule="auto"/>
        <w:jc w:val="center"/>
        <w:rPr>
          <w:rFonts w:ascii="Times New Roman" w:hAnsi="Times New Roman" w:cs="Times New Roman"/>
          <w:b/>
          <w:bCs/>
        </w:rPr>
      </w:pPr>
      <w:r w:rsidRPr="00B627BD">
        <w:rPr>
          <w:rFonts w:ascii="Times New Roman" w:hAnsi="Times New Roman" w:cs="Times New Roman"/>
          <w:b/>
          <w:bCs/>
        </w:rPr>
        <w:t>EXPERIMENTAL RESEARCH</w:t>
      </w:r>
    </w:p>
    <w:p w14:paraId="72676F02" w14:textId="77777777" w:rsidR="003146EB" w:rsidRPr="003146EB" w:rsidRDefault="003146EB" w:rsidP="003146EB">
      <w:pPr>
        <w:spacing w:after="0" w:line="240" w:lineRule="auto"/>
        <w:ind w:firstLine="284"/>
        <w:jc w:val="both"/>
        <w:rPr>
          <w:rFonts w:ascii="Times New Roman" w:hAnsi="Times New Roman" w:cs="Times New Roman"/>
          <w:sz w:val="20"/>
          <w:szCs w:val="20"/>
        </w:rPr>
      </w:pPr>
      <w:r w:rsidRPr="003146EB">
        <w:rPr>
          <w:rFonts w:ascii="Times New Roman" w:hAnsi="Times New Roman" w:cs="Times New Roman"/>
          <w:sz w:val="20"/>
          <w:szCs w:val="20"/>
        </w:rPr>
        <w:t>The assessment of risk in furniture manufacturing enterprises was carried out through the application of widely recognized corporate financial distress prediction models. Furniture enterprises possess unique operational and financial characteristics that influence their risk exposure, including diverse material usage (wood, MDF, metal, glass), complex technological processes, and specialized machinery requirements. These operational features, combined with sector-specific market volatility, create distinctive risk profiles that require tailored analytical approaches [12], [13].</w:t>
      </w:r>
    </w:p>
    <w:p w14:paraId="051A8A21" w14:textId="77777777" w:rsidR="003146EB" w:rsidRPr="003146EB" w:rsidRDefault="003146EB" w:rsidP="003146EB">
      <w:pPr>
        <w:spacing w:after="0" w:line="240" w:lineRule="auto"/>
        <w:ind w:firstLine="284"/>
        <w:jc w:val="both"/>
        <w:rPr>
          <w:rFonts w:ascii="Times New Roman" w:hAnsi="Times New Roman" w:cs="Times New Roman"/>
          <w:sz w:val="20"/>
          <w:szCs w:val="20"/>
        </w:rPr>
      </w:pPr>
      <w:r w:rsidRPr="003146EB">
        <w:rPr>
          <w:rFonts w:ascii="Times New Roman" w:hAnsi="Times New Roman" w:cs="Times New Roman"/>
          <w:sz w:val="20"/>
          <w:szCs w:val="20"/>
        </w:rPr>
        <w:t>To evaluate financial instability and potential bankruptcy, multiple multivariate discriminant models were employed. These models combine key financial ratios into composite scores, such as Z-scores or rating scores, providing a quantitative measure of an enterprise’s financial health. Primary models applied in this research included the R. Taffler &amp; G. Tishour four-factor Z score model, the M.A. Fedotov two-factor model, and the E. Altman five-factor Z score model specifically adapted for non-publicly traded firms. These models have been validated in previous research across different industrial sectors and are widely used in financial risk management studies [14].</w:t>
      </w:r>
    </w:p>
    <w:p w14:paraId="6631C4C4" w14:textId="77777777" w:rsidR="003146EB" w:rsidRPr="003146EB" w:rsidRDefault="003146EB" w:rsidP="003146EB">
      <w:pPr>
        <w:spacing w:after="0" w:line="240" w:lineRule="auto"/>
        <w:ind w:firstLine="284"/>
        <w:jc w:val="both"/>
        <w:rPr>
          <w:rFonts w:ascii="Times New Roman" w:hAnsi="Times New Roman" w:cs="Times New Roman"/>
          <w:sz w:val="20"/>
          <w:szCs w:val="20"/>
        </w:rPr>
      </w:pPr>
      <w:r w:rsidRPr="003146EB">
        <w:rPr>
          <w:rFonts w:ascii="Times New Roman" w:hAnsi="Times New Roman" w:cs="Times New Roman"/>
          <w:sz w:val="20"/>
          <w:szCs w:val="20"/>
        </w:rPr>
        <w:t>The Taffler &amp; Tishour model employs a four-factor discriminant function, separating financially stable firms from those at risk of distress. This model was originally optimized for industrial enterprises in the UK and has demonstrated robust predictive power when applied to manufacturing companies with complex operational structures [14]. The Altman Z score model, developed in 1968, remains a foundational framework in bankruptcy prediction research. It integrates financial ratios such as working capital to total assets, retained earnings to total assets, earnings before interest and taxes, leverage, and sales to produce a Z score indicating financial condition. Scores below established thresholds indicate heightened risk of financial distress [4]. The Fedotov two-factor model emphasizes solvency assessment through liquidity and leverage indicators, offering a simplified yet effective approach to early warning of financial instability.</w:t>
      </w:r>
    </w:p>
    <w:p w14:paraId="1E56768F" w14:textId="77777777" w:rsidR="003146EB" w:rsidRPr="003146EB" w:rsidRDefault="003146EB" w:rsidP="003146EB">
      <w:pPr>
        <w:spacing w:after="0" w:line="240" w:lineRule="auto"/>
        <w:ind w:firstLine="284"/>
        <w:jc w:val="both"/>
        <w:rPr>
          <w:rFonts w:ascii="Times New Roman" w:hAnsi="Times New Roman" w:cs="Times New Roman"/>
          <w:sz w:val="20"/>
          <w:szCs w:val="20"/>
        </w:rPr>
      </w:pPr>
      <w:r w:rsidRPr="003146EB">
        <w:rPr>
          <w:rFonts w:ascii="Times New Roman" w:hAnsi="Times New Roman" w:cs="Times New Roman"/>
          <w:sz w:val="20"/>
          <w:szCs w:val="20"/>
        </w:rPr>
        <w:t>In addition to traditional Z-score models, rating-based multivariate frameworks incorporating four to five financial coefficients were applied. These models generate a composite rating score reflecting liquidity, turnover, profitability, and solvency, allowing comparative analysis of enterprises’ financial stability and operational risk exposure. The integration of these models enables cross-validation of results and provides a more comprehensive risk profile for furniture manufacturing firms.</w:t>
      </w:r>
    </w:p>
    <w:p w14:paraId="6B332D37" w14:textId="760F203E" w:rsidR="003146EB" w:rsidRDefault="003146EB" w:rsidP="003146EB">
      <w:pPr>
        <w:spacing w:after="0" w:line="240" w:lineRule="auto"/>
        <w:ind w:firstLine="284"/>
        <w:jc w:val="both"/>
        <w:rPr>
          <w:rFonts w:ascii="Times New Roman" w:hAnsi="Times New Roman" w:cs="Times New Roman"/>
          <w:sz w:val="20"/>
          <w:szCs w:val="20"/>
        </w:rPr>
      </w:pPr>
      <w:r w:rsidRPr="003146EB">
        <w:rPr>
          <w:rFonts w:ascii="Times New Roman" w:hAnsi="Times New Roman" w:cs="Times New Roman"/>
          <w:sz w:val="20"/>
          <w:szCs w:val="20"/>
        </w:rPr>
        <w:t>The experimental procedure comprised several key steps:</w:t>
      </w:r>
    </w:p>
    <w:p w14:paraId="3E8A2737" w14:textId="77777777" w:rsidR="003146EB" w:rsidRPr="003146EB" w:rsidRDefault="003146EB" w:rsidP="003146EB">
      <w:pPr>
        <w:tabs>
          <w:tab w:val="left" w:pos="284"/>
          <w:tab w:val="left" w:pos="567"/>
        </w:tabs>
        <w:spacing w:after="0" w:line="240" w:lineRule="auto"/>
        <w:ind w:firstLine="284"/>
        <w:jc w:val="both"/>
        <w:rPr>
          <w:rFonts w:ascii="Times New Roman" w:hAnsi="Times New Roman" w:cs="Times New Roman"/>
          <w:sz w:val="20"/>
          <w:szCs w:val="20"/>
        </w:rPr>
      </w:pPr>
      <w:r w:rsidRPr="003146EB">
        <w:rPr>
          <w:rFonts w:ascii="Times New Roman" w:hAnsi="Times New Roman" w:cs="Times New Roman"/>
          <w:sz w:val="20"/>
          <w:szCs w:val="20"/>
        </w:rPr>
        <w:t>1.</w:t>
      </w:r>
      <w:r w:rsidRPr="003146EB">
        <w:rPr>
          <w:rFonts w:ascii="Times New Roman" w:hAnsi="Times New Roman" w:cs="Times New Roman"/>
          <w:sz w:val="20"/>
          <w:szCs w:val="20"/>
        </w:rPr>
        <w:tab/>
        <w:t>Computing Z scores and rating scores for selected furniture enterprises using the formulas of the chosen models;</w:t>
      </w:r>
    </w:p>
    <w:p w14:paraId="550F4D89" w14:textId="77777777" w:rsidR="003146EB" w:rsidRPr="003146EB" w:rsidRDefault="003146EB" w:rsidP="003146EB">
      <w:pPr>
        <w:tabs>
          <w:tab w:val="left" w:pos="284"/>
          <w:tab w:val="left" w:pos="567"/>
        </w:tabs>
        <w:spacing w:after="0" w:line="240" w:lineRule="auto"/>
        <w:ind w:firstLine="284"/>
        <w:jc w:val="both"/>
        <w:rPr>
          <w:rFonts w:ascii="Times New Roman" w:hAnsi="Times New Roman" w:cs="Times New Roman"/>
          <w:sz w:val="20"/>
          <w:szCs w:val="20"/>
        </w:rPr>
      </w:pPr>
      <w:r w:rsidRPr="003146EB">
        <w:rPr>
          <w:rFonts w:ascii="Times New Roman" w:hAnsi="Times New Roman" w:cs="Times New Roman"/>
          <w:sz w:val="20"/>
          <w:szCs w:val="20"/>
        </w:rPr>
        <w:t>2.</w:t>
      </w:r>
      <w:r w:rsidRPr="003146EB">
        <w:rPr>
          <w:rFonts w:ascii="Times New Roman" w:hAnsi="Times New Roman" w:cs="Times New Roman"/>
          <w:sz w:val="20"/>
          <w:szCs w:val="20"/>
        </w:rPr>
        <w:tab/>
        <w:t>Comparing the computed scores against normative thresholds to classify firms into low, medium, and high-risk categories;</w:t>
      </w:r>
    </w:p>
    <w:p w14:paraId="471E5178" w14:textId="77777777" w:rsidR="003146EB" w:rsidRPr="003146EB" w:rsidRDefault="003146EB" w:rsidP="003146EB">
      <w:pPr>
        <w:tabs>
          <w:tab w:val="left" w:pos="284"/>
          <w:tab w:val="left" w:pos="567"/>
        </w:tabs>
        <w:spacing w:after="0" w:line="240" w:lineRule="auto"/>
        <w:ind w:firstLine="284"/>
        <w:jc w:val="both"/>
        <w:rPr>
          <w:rFonts w:ascii="Times New Roman" w:hAnsi="Times New Roman" w:cs="Times New Roman"/>
          <w:sz w:val="20"/>
          <w:szCs w:val="20"/>
        </w:rPr>
      </w:pPr>
      <w:r w:rsidRPr="003146EB">
        <w:rPr>
          <w:rFonts w:ascii="Times New Roman" w:hAnsi="Times New Roman" w:cs="Times New Roman"/>
          <w:sz w:val="20"/>
          <w:szCs w:val="20"/>
        </w:rPr>
        <w:t>3.</w:t>
      </w:r>
      <w:r w:rsidRPr="003146EB">
        <w:rPr>
          <w:rFonts w:ascii="Times New Roman" w:hAnsi="Times New Roman" w:cs="Times New Roman"/>
          <w:sz w:val="20"/>
          <w:szCs w:val="20"/>
        </w:rPr>
        <w:tab/>
        <w:t>Analyzing the impact of specific operational factors—such as material diversity, production complexity, and capital intensity—on financial outcomes;</w:t>
      </w:r>
    </w:p>
    <w:p w14:paraId="7128341E" w14:textId="77777777" w:rsidR="003146EB" w:rsidRPr="003146EB" w:rsidRDefault="003146EB" w:rsidP="003146EB">
      <w:pPr>
        <w:tabs>
          <w:tab w:val="left" w:pos="284"/>
          <w:tab w:val="left" w:pos="567"/>
        </w:tabs>
        <w:spacing w:after="0" w:line="240" w:lineRule="auto"/>
        <w:ind w:firstLine="284"/>
        <w:jc w:val="both"/>
        <w:rPr>
          <w:rFonts w:ascii="Times New Roman" w:hAnsi="Times New Roman" w:cs="Times New Roman"/>
          <w:sz w:val="20"/>
          <w:szCs w:val="20"/>
        </w:rPr>
      </w:pPr>
      <w:r w:rsidRPr="003146EB">
        <w:rPr>
          <w:rFonts w:ascii="Times New Roman" w:hAnsi="Times New Roman" w:cs="Times New Roman"/>
          <w:sz w:val="20"/>
          <w:szCs w:val="20"/>
        </w:rPr>
        <w:t>4.</w:t>
      </w:r>
      <w:r w:rsidRPr="003146EB">
        <w:rPr>
          <w:rFonts w:ascii="Times New Roman" w:hAnsi="Times New Roman" w:cs="Times New Roman"/>
          <w:sz w:val="20"/>
          <w:szCs w:val="20"/>
        </w:rPr>
        <w:tab/>
        <w:t>Conducting sensitivity analysis to assess the influence of changing market and financial conditions on risk scores;</w:t>
      </w:r>
    </w:p>
    <w:p w14:paraId="2E6466B3" w14:textId="77777777" w:rsidR="003146EB" w:rsidRPr="003146EB" w:rsidRDefault="003146EB" w:rsidP="003146EB">
      <w:pPr>
        <w:tabs>
          <w:tab w:val="left" w:pos="284"/>
          <w:tab w:val="left" w:pos="567"/>
        </w:tabs>
        <w:spacing w:after="0" w:line="240" w:lineRule="auto"/>
        <w:ind w:firstLine="284"/>
        <w:jc w:val="both"/>
        <w:rPr>
          <w:rFonts w:ascii="Times New Roman" w:hAnsi="Times New Roman" w:cs="Times New Roman"/>
          <w:sz w:val="20"/>
          <w:szCs w:val="20"/>
        </w:rPr>
      </w:pPr>
      <w:r w:rsidRPr="003146EB">
        <w:rPr>
          <w:rFonts w:ascii="Times New Roman" w:hAnsi="Times New Roman" w:cs="Times New Roman"/>
          <w:sz w:val="20"/>
          <w:szCs w:val="20"/>
        </w:rPr>
        <w:t>5.</w:t>
      </w:r>
      <w:r w:rsidRPr="003146EB">
        <w:rPr>
          <w:rFonts w:ascii="Times New Roman" w:hAnsi="Times New Roman" w:cs="Times New Roman"/>
          <w:sz w:val="20"/>
          <w:szCs w:val="20"/>
        </w:rPr>
        <w:tab/>
        <w:t>Drawing empirical conclusions regarding the effectiveness of the applied models in predicting financial distress in the furniture sector.</w:t>
      </w:r>
    </w:p>
    <w:p w14:paraId="5CC4A7FC" w14:textId="77777777" w:rsidR="003146EB" w:rsidRPr="003146EB" w:rsidRDefault="003146EB" w:rsidP="003146EB">
      <w:pPr>
        <w:spacing w:after="0" w:line="240" w:lineRule="auto"/>
        <w:ind w:firstLine="284"/>
        <w:jc w:val="both"/>
        <w:rPr>
          <w:rFonts w:ascii="Times New Roman" w:hAnsi="Times New Roman" w:cs="Times New Roman"/>
          <w:sz w:val="20"/>
          <w:szCs w:val="20"/>
        </w:rPr>
      </w:pPr>
      <w:r w:rsidRPr="003146EB">
        <w:rPr>
          <w:rFonts w:ascii="Times New Roman" w:hAnsi="Times New Roman" w:cs="Times New Roman"/>
          <w:sz w:val="20"/>
          <w:szCs w:val="20"/>
        </w:rPr>
        <w:lastRenderedPageBreak/>
        <w:t>This methodological approach provides a quantitative, evidence-based foundation for assessing risk management efficiency in furniture enterprises. Moreover, it bridges a significant gap in emerging economies, such as Uzbekistan, where empirical studies on sector-specific financial risks remain limited [15]. By applying internationally recognized models adapted to local industry conditions, the research contributes both to academic literature and practical managerial decision-making [16], [17], [18].</w:t>
      </w:r>
    </w:p>
    <w:p w14:paraId="7F6D48E8" w14:textId="77777777" w:rsidR="003146EB" w:rsidRPr="003146EB" w:rsidRDefault="003146EB" w:rsidP="003146EB">
      <w:pPr>
        <w:spacing w:after="0" w:line="240" w:lineRule="auto"/>
        <w:ind w:firstLine="284"/>
        <w:jc w:val="both"/>
        <w:rPr>
          <w:rFonts w:ascii="Times New Roman" w:hAnsi="Times New Roman" w:cs="Times New Roman"/>
          <w:sz w:val="20"/>
          <w:szCs w:val="20"/>
        </w:rPr>
      </w:pPr>
      <w:r w:rsidRPr="003146EB">
        <w:rPr>
          <w:rFonts w:ascii="Times New Roman" w:hAnsi="Times New Roman" w:cs="Times New Roman"/>
          <w:sz w:val="20"/>
          <w:szCs w:val="20"/>
        </w:rPr>
        <w:t>The results are summarized in 1 table, 2 table, and 3 table, which illustrate how each enterprise performed under the different model specifications.</w:t>
      </w:r>
    </w:p>
    <w:p w14:paraId="424992AD" w14:textId="1E92EEBC" w:rsidR="003146EB" w:rsidRPr="003146EB" w:rsidRDefault="003146EB" w:rsidP="003146EB">
      <w:pPr>
        <w:spacing w:after="0" w:line="240" w:lineRule="auto"/>
        <w:ind w:firstLine="284"/>
        <w:jc w:val="both"/>
        <w:rPr>
          <w:rFonts w:ascii="Times New Roman" w:hAnsi="Times New Roman" w:cs="Times New Roman"/>
          <w:sz w:val="20"/>
          <w:szCs w:val="20"/>
        </w:rPr>
      </w:pPr>
      <w:r w:rsidRPr="003146EB">
        <w:rPr>
          <w:rFonts w:ascii="Times New Roman" w:hAnsi="Times New Roman" w:cs="Times New Roman"/>
          <w:sz w:val="20"/>
          <w:szCs w:val="20"/>
        </w:rPr>
        <w:t>According to the R. Taffler &amp; G. Tishour four factor model, all analyzed enterprises scored above the normative minimum (0.3), indicating a lower probability of bankruptcy (1 table).</w:t>
      </w:r>
    </w:p>
    <w:p w14:paraId="2B92B390" w14:textId="77777777" w:rsidR="003315AD" w:rsidRPr="003146EB" w:rsidRDefault="003315AD" w:rsidP="003146EB">
      <w:pPr>
        <w:keepNext/>
        <w:overflowPunct w:val="0"/>
        <w:autoSpaceDE w:val="0"/>
        <w:autoSpaceDN w:val="0"/>
        <w:adjustRightInd w:val="0"/>
        <w:spacing w:after="0" w:line="240" w:lineRule="auto"/>
        <w:ind w:firstLine="284"/>
        <w:jc w:val="both"/>
        <w:textAlignment w:val="baseline"/>
        <w:outlineLvl w:val="5"/>
        <w:rPr>
          <w:rFonts w:ascii="Times New Roman" w:eastAsia="Times New Roman" w:hAnsi="Times New Roman" w:cs="Times New Roman"/>
          <w:b/>
          <w:bCs/>
          <w:sz w:val="20"/>
          <w:szCs w:val="20"/>
          <w:lang w:eastAsia="ru-RU"/>
        </w:rPr>
      </w:pPr>
    </w:p>
    <w:p w14:paraId="673551DC" w14:textId="50E2D0B3" w:rsidR="00971F50" w:rsidRPr="003146EB" w:rsidRDefault="003315AD" w:rsidP="003146EB">
      <w:pPr>
        <w:keepNext/>
        <w:overflowPunct w:val="0"/>
        <w:autoSpaceDE w:val="0"/>
        <w:autoSpaceDN w:val="0"/>
        <w:adjustRightInd w:val="0"/>
        <w:spacing w:after="0" w:line="240" w:lineRule="auto"/>
        <w:ind w:firstLine="284"/>
        <w:jc w:val="center"/>
        <w:textAlignment w:val="baseline"/>
        <w:outlineLvl w:val="5"/>
        <w:rPr>
          <w:rFonts w:ascii="Times New Roman" w:hAnsi="Times New Roman" w:cs="Times New Roman"/>
          <w:sz w:val="20"/>
          <w:szCs w:val="20"/>
        </w:rPr>
      </w:pPr>
      <w:r w:rsidRPr="003146EB">
        <w:rPr>
          <w:rFonts w:ascii="Times New Roman" w:hAnsi="Times New Roman" w:cs="Times New Roman"/>
          <w:b/>
          <w:bCs/>
          <w:sz w:val="20"/>
          <w:szCs w:val="20"/>
        </w:rPr>
        <w:t>TABLE 1.</w:t>
      </w:r>
      <w:r w:rsidRPr="003146EB">
        <w:rPr>
          <w:rFonts w:ascii="Times New Roman" w:hAnsi="Times New Roman" w:cs="Times New Roman"/>
          <w:sz w:val="20"/>
          <w:szCs w:val="20"/>
        </w:rPr>
        <w:t xml:space="preserve"> Assessment of bankruptcy risk using foreign models</w:t>
      </w:r>
      <w:r w:rsidR="00971F50" w:rsidRPr="003146EB">
        <w:rPr>
          <w:rFonts w:ascii="Times New Roman" w:hAnsi="Times New Roman" w:cs="Times New Roman"/>
          <w:sz w:val="20"/>
          <w:szCs w:val="20"/>
        </w:rPr>
        <w:t xml:space="preserve"> </w:t>
      </w:r>
    </w:p>
    <w:tbl>
      <w:tblPr>
        <w:tblStyle w:val="ae"/>
        <w:tblpPr w:leftFromText="180" w:rightFromText="180" w:vertAnchor="text" w:horzAnchor="margin" w:tblpY="126"/>
        <w:tblW w:w="9351" w:type="dxa"/>
        <w:tblLook w:val="04A0" w:firstRow="1" w:lastRow="0" w:firstColumn="1" w:lastColumn="0" w:noHBand="0" w:noVBand="1"/>
      </w:tblPr>
      <w:tblGrid>
        <w:gridCol w:w="2160"/>
        <w:gridCol w:w="3222"/>
        <w:gridCol w:w="1701"/>
        <w:gridCol w:w="2268"/>
      </w:tblGrid>
      <w:tr w:rsidR="0041736E" w:rsidRPr="003146EB" w14:paraId="509012D7" w14:textId="77777777" w:rsidTr="003146EB">
        <w:tc>
          <w:tcPr>
            <w:tcW w:w="2160" w:type="dxa"/>
            <w:vAlign w:val="center"/>
          </w:tcPr>
          <w:p w14:paraId="274F33F9" w14:textId="77777777" w:rsidR="0041736E" w:rsidRPr="003146EB" w:rsidRDefault="0041736E" w:rsidP="003146EB">
            <w:pPr>
              <w:jc w:val="center"/>
              <w:rPr>
                <w:rFonts w:ascii="Times New Roman" w:hAnsi="Times New Roman" w:cs="Times New Roman"/>
                <w:b/>
                <w:bCs/>
                <w:sz w:val="20"/>
                <w:szCs w:val="20"/>
              </w:rPr>
            </w:pPr>
            <w:r w:rsidRPr="003146EB">
              <w:rPr>
                <w:rFonts w:ascii="Times New Roman" w:hAnsi="Times New Roman" w:cs="Times New Roman"/>
                <w:b/>
                <w:bCs/>
                <w:sz w:val="20"/>
                <w:szCs w:val="20"/>
              </w:rPr>
              <w:t>Enterprises</w:t>
            </w:r>
          </w:p>
        </w:tc>
        <w:tc>
          <w:tcPr>
            <w:tcW w:w="3222" w:type="dxa"/>
            <w:vAlign w:val="center"/>
          </w:tcPr>
          <w:p w14:paraId="24899FD7" w14:textId="77777777" w:rsidR="0041736E" w:rsidRPr="003146EB" w:rsidRDefault="0041736E" w:rsidP="003146EB">
            <w:pPr>
              <w:jc w:val="center"/>
              <w:rPr>
                <w:rFonts w:ascii="Times New Roman" w:hAnsi="Times New Roman" w:cs="Times New Roman"/>
                <w:b/>
                <w:bCs/>
                <w:sz w:val="20"/>
                <w:szCs w:val="20"/>
              </w:rPr>
            </w:pPr>
            <w:r w:rsidRPr="003146EB">
              <w:rPr>
                <w:rFonts w:ascii="Times New Roman" w:hAnsi="Times New Roman" w:cs="Times New Roman"/>
                <w:b/>
                <w:bCs/>
                <w:sz w:val="20"/>
                <w:szCs w:val="20"/>
              </w:rPr>
              <w:t xml:space="preserve">Taffler &amp; </w:t>
            </w:r>
            <w:proofErr w:type="spellStart"/>
            <w:r w:rsidRPr="003146EB">
              <w:rPr>
                <w:rFonts w:ascii="Times New Roman" w:hAnsi="Times New Roman" w:cs="Times New Roman"/>
                <w:b/>
                <w:bCs/>
                <w:sz w:val="20"/>
                <w:szCs w:val="20"/>
              </w:rPr>
              <w:t>Tishoun</w:t>
            </w:r>
            <w:proofErr w:type="spellEnd"/>
            <w:r w:rsidRPr="003146EB">
              <w:rPr>
                <w:rFonts w:ascii="Times New Roman" w:hAnsi="Times New Roman" w:cs="Times New Roman"/>
                <w:b/>
                <w:bCs/>
                <w:sz w:val="20"/>
                <w:szCs w:val="20"/>
              </w:rPr>
              <w:t xml:space="preserve"> Four-Factor Model</w:t>
            </w:r>
          </w:p>
        </w:tc>
        <w:tc>
          <w:tcPr>
            <w:tcW w:w="1701" w:type="dxa"/>
            <w:vAlign w:val="center"/>
          </w:tcPr>
          <w:p w14:paraId="4EC5C06A" w14:textId="77777777" w:rsidR="0041736E" w:rsidRPr="003146EB" w:rsidRDefault="0041736E" w:rsidP="003146EB">
            <w:pPr>
              <w:jc w:val="center"/>
              <w:rPr>
                <w:rFonts w:ascii="Times New Roman" w:hAnsi="Times New Roman" w:cs="Times New Roman"/>
                <w:b/>
                <w:bCs/>
                <w:sz w:val="20"/>
                <w:szCs w:val="20"/>
              </w:rPr>
            </w:pPr>
            <w:r w:rsidRPr="003146EB">
              <w:rPr>
                <w:rFonts w:ascii="Times New Roman" w:hAnsi="Times New Roman" w:cs="Times New Roman"/>
                <w:b/>
                <w:bCs/>
                <w:sz w:val="20"/>
                <w:szCs w:val="20"/>
              </w:rPr>
              <w:t>Fedotov Model</w:t>
            </w:r>
          </w:p>
        </w:tc>
        <w:tc>
          <w:tcPr>
            <w:tcW w:w="2268" w:type="dxa"/>
            <w:vAlign w:val="center"/>
          </w:tcPr>
          <w:p w14:paraId="13737D06" w14:textId="77777777" w:rsidR="0041736E" w:rsidRPr="003146EB" w:rsidRDefault="0041736E" w:rsidP="003146EB">
            <w:pPr>
              <w:jc w:val="center"/>
              <w:rPr>
                <w:rFonts w:ascii="Times New Roman" w:hAnsi="Times New Roman" w:cs="Times New Roman"/>
                <w:b/>
                <w:bCs/>
                <w:sz w:val="20"/>
                <w:szCs w:val="20"/>
              </w:rPr>
            </w:pPr>
            <w:r w:rsidRPr="003146EB">
              <w:rPr>
                <w:rFonts w:ascii="Times New Roman" w:hAnsi="Times New Roman" w:cs="Times New Roman"/>
                <w:b/>
                <w:bCs/>
                <w:sz w:val="20"/>
                <w:szCs w:val="20"/>
              </w:rPr>
              <w:t>Altman Five-Factor Model</w:t>
            </w:r>
          </w:p>
        </w:tc>
      </w:tr>
      <w:tr w:rsidR="0041736E" w:rsidRPr="003146EB" w14:paraId="411A3E54" w14:textId="77777777" w:rsidTr="003146EB">
        <w:tc>
          <w:tcPr>
            <w:tcW w:w="2160" w:type="dxa"/>
            <w:vAlign w:val="center"/>
          </w:tcPr>
          <w:p w14:paraId="422F9CC5" w14:textId="77777777" w:rsidR="0041736E" w:rsidRPr="003146EB" w:rsidRDefault="0041736E" w:rsidP="003146EB">
            <w:pPr>
              <w:jc w:val="center"/>
              <w:rPr>
                <w:rFonts w:ascii="Times New Roman" w:hAnsi="Times New Roman" w:cs="Times New Roman"/>
                <w:sz w:val="20"/>
                <w:szCs w:val="20"/>
              </w:rPr>
            </w:pPr>
            <w:proofErr w:type="spellStart"/>
            <w:r w:rsidRPr="003146EB">
              <w:rPr>
                <w:rFonts w:ascii="Times New Roman" w:hAnsi="Times New Roman" w:cs="Times New Roman"/>
                <w:sz w:val="20"/>
                <w:szCs w:val="20"/>
              </w:rPr>
              <w:t>Oqqin</w:t>
            </w:r>
            <w:proofErr w:type="spellEnd"/>
            <w:r w:rsidRPr="003146EB">
              <w:rPr>
                <w:rFonts w:ascii="Times New Roman" w:hAnsi="Times New Roman" w:cs="Times New Roman"/>
                <w:sz w:val="20"/>
                <w:szCs w:val="20"/>
              </w:rPr>
              <w:t xml:space="preserve"> Furniture</w:t>
            </w:r>
          </w:p>
        </w:tc>
        <w:tc>
          <w:tcPr>
            <w:tcW w:w="3222" w:type="dxa"/>
            <w:vAlign w:val="center"/>
          </w:tcPr>
          <w:p w14:paraId="379E032A" w14:textId="77777777" w:rsidR="0041736E" w:rsidRPr="003146EB" w:rsidRDefault="0041736E" w:rsidP="003146EB">
            <w:pPr>
              <w:jc w:val="center"/>
              <w:rPr>
                <w:rFonts w:ascii="Times New Roman" w:hAnsi="Times New Roman" w:cs="Times New Roman"/>
                <w:sz w:val="20"/>
                <w:szCs w:val="20"/>
              </w:rPr>
            </w:pPr>
            <w:r w:rsidRPr="003146EB">
              <w:rPr>
                <w:rFonts w:ascii="Times New Roman" w:hAnsi="Times New Roman" w:cs="Times New Roman"/>
                <w:sz w:val="20"/>
                <w:szCs w:val="20"/>
              </w:rPr>
              <w:t>3.12 &gt; 0.3</w:t>
            </w:r>
          </w:p>
        </w:tc>
        <w:tc>
          <w:tcPr>
            <w:tcW w:w="1701" w:type="dxa"/>
            <w:vAlign w:val="center"/>
          </w:tcPr>
          <w:p w14:paraId="43EC34AE" w14:textId="77777777" w:rsidR="0041736E" w:rsidRPr="003146EB" w:rsidRDefault="0041736E" w:rsidP="003146EB">
            <w:pPr>
              <w:jc w:val="center"/>
              <w:rPr>
                <w:rFonts w:ascii="Times New Roman" w:hAnsi="Times New Roman" w:cs="Times New Roman"/>
                <w:sz w:val="20"/>
                <w:szCs w:val="20"/>
              </w:rPr>
            </w:pPr>
            <w:r w:rsidRPr="003146EB">
              <w:rPr>
                <w:rFonts w:ascii="Times New Roman" w:hAnsi="Times New Roman" w:cs="Times New Roman"/>
                <w:sz w:val="20"/>
                <w:szCs w:val="20"/>
              </w:rPr>
              <w:t>-1.73 &lt; 0</w:t>
            </w:r>
          </w:p>
        </w:tc>
        <w:tc>
          <w:tcPr>
            <w:tcW w:w="2268" w:type="dxa"/>
            <w:vAlign w:val="center"/>
          </w:tcPr>
          <w:p w14:paraId="57ADC98E" w14:textId="77777777" w:rsidR="0041736E" w:rsidRPr="003146EB" w:rsidRDefault="0041736E" w:rsidP="003146EB">
            <w:pPr>
              <w:jc w:val="center"/>
              <w:rPr>
                <w:rFonts w:ascii="Times New Roman" w:hAnsi="Times New Roman" w:cs="Times New Roman"/>
                <w:sz w:val="20"/>
                <w:szCs w:val="20"/>
              </w:rPr>
            </w:pPr>
            <w:r w:rsidRPr="003146EB">
              <w:rPr>
                <w:rFonts w:ascii="Times New Roman" w:hAnsi="Times New Roman" w:cs="Times New Roman"/>
                <w:sz w:val="20"/>
                <w:szCs w:val="20"/>
              </w:rPr>
              <w:t>1.21 &lt; 1.23</w:t>
            </w:r>
          </w:p>
        </w:tc>
      </w:tr>
      <w:tr w:rsidR="0041736E" w:rsidRPr="003146EB" w14:paraId="594FD304" w14:textId="77777777" w:rsidTr="003146EB">
        <w:tc>
          <w:tcPr>
            <w:tcW w:w="2160" w:type="dxa"/>
            <w:vAlign w:val="center"/>
          </w:tcPr>
          <w:p w14:paraId="26D5EC04" w14:textId="77777777" w:rsidR="0041736E" w:rsidRPr="003146EB" w:rsidRDefault="0041736E" w:rsidP="003146EB">
            <w:pPr>
              <w:jc w:val="center"/>
              <w:rPr>
                <w:rFonts w:ascii="Times New Roman" w:hAnsi="Times New Roman" w:cs="Times New Roman"/>
                <w:sz w:val="20"/>
                <w:szCs w:val="20"/>
              </w:rPr>
            </w:pPr>
            <w:proofErr w:type="spellStart"/>
            <w:r w:rsidRPr="003146EB">
              <w:rPr>
                <w:rFonts w:ascii="Times New Roman" w:hAnsi="Times New Roman" w:cs="Times New Roman"/>
                <w:sz w:val="20"/>
                <w:szCs w:val="20"/>
              </w:rPr>
              <w:t>Davr</w:t>
            </w:r>
            <w:proofErr w:type="spellEnd"/>
            <w:r w:rsidRPr="003146EB">
              <w:rPr>
                <w:rFonts w:ascii="Times New Roman" w:hAnsi="Times New Roman" w:cs="Times New Roman"/>
                <w:sz w:val="20"/>
                <w:szCs w:val="20"/>
              </w:rPr>
              <w:t>-Durdona Furniture</w:t>
            </w:r>
          </w:p>
        </w:tc>
        <w:tc>
          <w:tcPr>
            <w:tcW w:w="3222" w:type="dxa"/>
            <w:vAlign w:val="center"/>
          </w:tcPr>
          <w:p w14:paraId="77CC2493" w14:textId="77777777" w:rsidR="0041736E" w:rsidRPr="003146EB" w:rsidRDefault="0041736E" w:rsidP="003146EB">
            <w:pPr>
              <w:jc w:val="center"/>
              <w:rPr>
                <w:rFonts w:ascii="Times New Roman" w:hAnsi="Times New Roman" w:cs="Times New Roman"/>
                <w:sz w:val="20"/>
                <w:szCs w:val="20"/>
              </w:rPr>
            </w:pPr>
            <w:r w:rsidRPr="003146EB">
              <w:rPr>
                <w:rFonts w:ascii="Times New Roman" w:hAnsi="Times New Roman" w:cs="Times New Roman"/>
                <w:sz w:val="20"/>
                <w:szCs w:val="20"/>
              </w:rPr>
              <w:t>2.75 &gt; 0.3</w:t>
            </w:r>
          </w:p>
        </w:tc>
        <w:tc>
          <w:tcPr>
            <w:tcW w:w="1701" w:type="dxa"/>
            <w:vAlign w:val="center"/>
          </w:tcPr>
          <w:p w14:paraId="6DA41469" w14:textId="77777777" w:rsidR="0041736E" w:rsidRPr="003146EB" w:rsidRDefault="0041736E" w:rsidP="003146EB">
            <w:pPr>
              <w:jc w:val="center"/>
              <w:rPr>
                <w:rFonts w:ascii="Times New Roman" w:hAnsi="Times New Roman" w:cs="Times New Roman"/>
                <w:sz w:val="20"/>
                <w:szCs w:val="20"/>
              </w:rPr>
            </w:pPr>
            <w:r w:rsidRPr="003146EB">
              <w:rPr>
                <w:rFonts w:ascii="Times New Roman" w:hAnsi="Times New Roman" w:cs="Times New Roman"/>
                <w:sz w:val="20"/>
                <w:szCs w:val="20"/>
              </w:rPr>
              <w:t>-16.79 &lt; 0</w:t>
            </w:r>
          </w:p>
        </w:tc>
        <w:tc>
          <w:tcPr>
            <w:tcW w:w="2268" w:type="dxa"/>
            <w:vAlign w:val="center"/>
          </w:tcPr>
          <w:p w14:paraId="4AAFE778" w14:textId="77777777" w:rsidR="0041736E" w:rsidRPr="003146EB" w:rsidRDefault="0041736E" w:rsidP="003146EB">
            <w:pPr>
              <w:jc w:val="center"/>
              <w:rPr>
                <w:rFonts w:ascii="Times New Roman" w:hAnsi="Times New Roman" w:cs="Times New Roman"/>
                <w:sz w:val="20"/>
                <w:szCs w:val="20"/>
              </w:rPr>
            </w:pPr>
            <w:r w:rsidRPr="003146EB">
              <w:rPr>
                <w:rFonts w:ascii="Times New Roman" w:hAnsi="Times New Roman" w:cs="Times New Roman"/>
                <w:sz w:val="20"/>
                <w:szCs w:val="20"/>
              </w:rPr>
              <w:t>0.65 &lt; 1.23</w:t>
            </w:r>
          </w:p>
        </w:tc>
      </w:tr>
      <w:tr w:rsidR="0041736E" w:rsidRPr="003146EB" w14:paraId="3B057090" w14:textId="77777777" w:rsidTr="003146EB">
        <w:tc>
          <w:tcPr>
            <w:tcW w:w="2160" w:type="dxa"/>
            <w:vAlign w:val="center"/>
          </w:tcPr>
          <w:p w14:paraId="665F13EC" w14:textId="77777777" w:rsidR="0041736E" w:rsidRPr="003146EB" w:rsidRDefault="0041736E" w:rsidP="003146EB">
            <w:pPr>
              <w:jc w:val="center"/>
              <w:rPr>
                <w:rFonts w:ascii="Times New Roman" w:hAnsi="Times New Roman" w:cs="Times New Roman"/>
                <w:sz w:val="20"/>
                <w:szCs w:val="20"/>
              </w:rPr>
            </w:pPr>
            <w:r w:rsidRPr="003146EB">
              <w:rPr>
                <w:rFonts w:ascii="Times New Roman" w:hAnsi="Times New Roman" w:cs="Times New Roman"/>
                <w:sz w:val="20"/>
                <w:szCs w:val="20"/>
              </w:rPr>
              <w:t>Mebel Mega Servis</w:t>
            </w:r>
          </w:p>
        </w:tc>
        <w:tc>
          <w:tcPr>
            <w:tcW w:w="3222" w:type="dxa"/>
            <w:vAlign w:val="center"/>
          </w:tcPr>
          <w:p w14:paraId="688C2BE9" w14:textId="77777777" w:rsidR="0041736E" w:rsidRPr="003146EB" w:rsidRDefault="0041736E" w:rsidP="003146EB">
            <w:pPr>
              <w:jc w:val="center"/>
              <w:rPr>
                <w:rFonts w:ascii="Times New Roman" w:hAnsi="Times New Roman" w:cs="Times New Roman"/>
                <w:sz w:val="20"/>
                <w:szCs w:val="20"/>
              </w:rPr>
            </w:pPr>
            <w:r w:rsidRPr="003146EB">
              <w:rPr>
                <w:rFonts w:ascii="Times New Roman" w:hAnsi="Times New Roman" w:cs="Times New Roman"/>
                <w:sz w:val="20"/>
                <w:szCs w:val="20"/>
              </w:rPr>
              <w:t>0.939 &gt; 0.3</w:t>
            </w:r>
          </w:p>
        </w:tc>
        <w:tc>
          <w:tcPr>
            <w:tcW w:w="1701" w:type="dxa"/>
            <w:vAlign w:val="center"/>
          </w:tcPr>
          <w:p w14:paraId="647D680D" w14:textId="77777777" w:rsidR="0041736E" w:rsidRPr="003146EB" w:rsidRDefault="0041736E" w:rsidP="003146EB">
            <w:pPr>
              <w:jc w:val="center"/>
              <w:rPr>
                <w:rFonts w:ascii="Times New Roman" w:hAnsi="Times New Roman" w:cs="Times New Roman"/>
                <w:sz w:val="20"/>
                <w:szCs w:val="20"/>
              </w:rPr>
            </w:pPr>
            <w:r w:rsidRPr="003146EB">
              <w:rPr>
                <w:rFonts w:ascii="Times New Roman" w:hAnsi="Times New Roman" w:cs="Times New Roman"/>
                <w:sz w:val="20"/>
                <w:szCs w:val="20"/>
              </w:rPr>
              <w:t>-2.24 &lt; 0</w:t>
            </w:r>
          </w:p>
        </w:tc>
        <w:tc>
          <w:tcPr>
            <w:tcW w:w="2268" w:type="dxa"/>
            <w:vAlign w:val="center"/>
          </w:tcPr>
          <w:p w14:paraId="3A0DB5D5" w14:textId="77777777" w:rsidR="0041736E" w:rsidRPr="003146EB" w:rsidRDefault="0041736E" w:rsidP="003146EB">
            <w:pPr>
              <w:jc w:val="center"/>
              <w:rPr>
                <w:rFonts w:ascii="Times New Roman" w:hAnsi="Times New Roman" w:cs="Times New Roman"/>
                <w:sz w:val="20"/>
                <w:szCs w:val="20"/>
              </w:rPr>
            </w:pPr>
            <w:r w:rsidRPr="003146EB">
              <w:rPr>
                <w:rFonts w:ascii="Times New Roman" w:hAnsi="Times New Roman" w:cs="Times New Roman"/>
                <w:sz w:val="20"/>
                <w:szCs w:val="20"/>
              </w:rPr>
              <w:t>2.55 &gt; 1.23</w:t>
            </w:r>
          </w:p>
        </w:tc>
      </w:tr>
    </w:tbl>
    <w:p w14:paraId="711A4C61" w14:textId="77777777" w:rsidR="007C10CC" w:rsidRPr="003146EB" w:rsidRDefault="007C10CC" w:rsidP="003146EB">
      <w:pPr>
        <w:keepNext/>
        <w:overflowPunct w:val="0"/>
        <w:autoSpaceDE w:val="0"/>
        <w:autoSpaceDN w:val="0"/>
        <w:adjustRightInd w:val="0"/>
        <w:spacing w:after="0" w:line="240" w:lineRule="auto"/>
        <w:jc w:val="both"/>
        <w:textAlignment w:val="baseline"/>
        <w:outlineLvl w:val="5"/>
        <w:rPr>
          <w:rFonts w:ascii="Times New Roman" w:eastAsia="Times New Roman" w:hAnsi="Times New Roman" w:cs="Times New Roman"/>
          <w:bCs/>
          <w:sz w:val="20"/>
          <w:szCs w:val="20"/>
          <w:lang w:eastAsia="ru-RU"/>
        </w:rPr>
      </w:pPr>
    </w:p>
    <w:p w14:paraId="0AC11DB8" w14:textId="006BF1D8" w:rsidR="00EB52D3" w:rsidRPr="003146EB" w:rsidRDefault="00EB52D3" w:rsidP="003146EB">
      <w:pPr>
        <w:keepNext/>
        <w:overflowPunct w:val="0"/>
        <w:autoSpaceDE w:val="0"/>
        <w:autoSpaceDN w:val="0"/>
        <w:adjustRightInd w:val="0"/>
        <w:spacing w:after="0" w:line="240" w:lineRule="auto"/>
        <w:ind w:firstLine="284"/>
        <w:jc w:val="both"/>
        <w:textAlignment w:val="baseline"/>
        <w:outlineLvl w:val="5"/>
        <w:rPr>
          <w:rFonts w:ascii="Times New Roman" w:eastAsia="Times New Roman" w:hAnsi="Times New Roman" w:cs="Times New Roman"/>
          <w:bCs/>
          <w:sz w:val="20"/>
          <w:szCs w:val="20"/>
          <w:lang w:eastAsia="ru-RU"/>
        </w:rPr>
      </w:pPr>
      <w:r w:rsidRPr="003146EB">
        <w:rPr>
          <w:rFonts w:ascii="Times New Roman" w:eastAsia="Times New Roman" w:hAnsi="Times New Roman" w:cs="Times New Roman"/>
          <w:bCs/>
          <w:sz w:val="20"/>
          <w:szCs w:val="20"/>
          <w:lang w:eastAsia="ru-RU"/>
        </w:rPr>
        <w:t>Results from the M.A. Fedotov model confirmed solvency across all firms analyzed</w:t>
      </w:r>
      <w:r w:rsidR="00A23826" w:rsidRPr="003146EB">
        <w:rPr>
          <w:rFonts w:ascii="Times New Roman" w:eastAsia="Times New Roman" w:hAnsi="Times New Roman" w:cs="Times New Roman"/>
          <w:bCs/>
          <w:sz w:val="20"/>
          <w:szCs w:val="20"/>
          <w:lang w:eastAsia="ru-RU"/>
        </w:rPr>
        <w:t xml:space="preserve">. </w:t>
      </w:r>
      <w:r w:rsidRPr="003146EB">
        <w:rPr>
          <w:rFonts w:ascii="Times New Roman" w:eastAsia="Times New Roman" w:hAnsi="Times New Roman" w:cs="Times New Roman"/>
          <w:bCs/>
          <w:sz w:val="20"/>
          <w:szCs w:val="20"/>
          <w:lang w:eastAsia="ru-RU"/>
        </w:rPr>
        <w:t>In contrast, the E. Altman five</w:t>
      </w:r>
      <w:r w:rsidRPr="003146EB">
        <w:rPr>
          <w:rFonts w:ascii="Times New Roman" w:eastAsia="Times New Roman" w:hAnsi="Times New Roman" w:cs="Times New Roman"/>
          <w:bCs/>
          <w:sz w:val="20"/>
          <w:szCs w:val="20"/>
          <w:lang w:eastAsia="ru-RU"/>
        </w:rPr>
        <w:noBreakHyphen/>
        <w:t>factor model identified elevated bankruptcy risk for specific firms, highlighting the sensitivity of this model to profitability, liquidity, and leverage variations.</w:t>
      </w:r>
      <w:r w:rsidR="00C3684C" w:rsidRPr="003146EB">
        <w:rPr>
          <w:rFonts w:ascii="Times New Roman" w:hAnsi="Times New Roman" w:cs="Times New Roman"/>
          <w:sz w:val="20"/>
          <w:szCs w:val="20"/>
        </w:rPr>
        <w:t xml:space="preserve"> </w:t>
      </w:r>
      <w:r w:rsidR="00C3684C" w:rsidRPr="003146EB">
        <w:rPr>
          <w:rFonts w:ascii="Times New Roman" w:hAnsi="Times New Roman" w:cs="Times New Roman"/>
          <w:sz w:val="20"/>
          <w:szCs w:val="20"/>
        </w:rPr>
        <w:fldChar w:fldCharType="begin"/>
      </w:r>
      <w:r w:rsidR="00C3684C" w:rsidRPr="003146EB">
        <w:rPr>
          <w:rFonts w:ascii="Times New Roman" w:hAnsi="Times New Roman" w:cs="Times New Roman"/>
          <w:sz w:val="20"/>
          <w:szCs w:val="20"/>
        </w:rPr>
        <w:instrText xml:space="preserve"> ADDIN ZOTERO_ITEM CSL_CITATION {"citationID":"QfwmvYJ4","properties":{"formattedCitation":"[19]","plainCitation":"[19]","noteIndex":0},"citationItems":[{"id":150,"uris":["http://zotero.org/users/local/1ECEM6JQ/items/YVB6JXKB"],"itemData":{"id":150,"type":"document","title":"MEBEL SАNОАTI KОRХОNАLАRIDА RISKNI BОSHQАRISH MEХАNIZMLАRINI TАKОMILLАSHTIRISH"}}],"schema":"https://github.com/citation-style-language/schema/raw/master/csl-citation.json"} </w:instrText>
      </w:r>
      <w:r w:rsidR="00C3684C" w:rsidRPr="003146EB">
        <w:rPr>
          <w:rFonts w:ascii="Times New Roman" w:hAnsi="Times New Roman" w:cs="Times New Roman"/>
          <w:sz w:val="20"/>
          <w:szCs w:val="20"/>
        </w:rPr>
        <w:fldChar w:fldCharType="separate"/>
      </w:r>
      <w:r w:rsidR="00C3684C" w:rsidRPr="003146EB">
        <w:rPr>
          <w:rFonts w:ascii="Times New Roman" w:hAnsi="Times New Roman" w:cs="Times New Roman"/>
          <w:sz w:val="20"/>
          <w:szCs w:val="20"/>
        </w:rPr>
        <w:t>[19]</w:t>
      </w:r>
      <w:r w:rsidR="00C3684C" w:rsidRPr="003146EB">
        <w:rPr>
          <w:rFonts w:ascii="Times New Roman" w:hAnsi="Times New Roman" w:cs="Times New Roman"/>
          <w:sz w:val="20"/>
          <w:szCs w:val="20"/>
        </w:rPr>
        <w:fldChar w:fldCharType="end"/>
      </w:r>
    </w:p>
    <w:p w14:paraId="78051025" w14:textId="77777777" w:rsidR="003315AD" w:rsidRPr="003146EB" w:rsidRDefault="003315AD" w:rsidP="003146EB">
      <w:pPr>
        <w:keepNext/>
        <w:overflowPunct w:val="0"/>
        <w:autoSpaceDE w:val="0"/>
        <w:autoSpaceDN w:val="0"/>
        <w:adjustRightInd w:val="0"/>
        <w:spacing w:after="0" w:line="240" w:lineRule="auto"/>
        <w:ind w:firstLine="284"/>
        <w:jc w:val="center"/>
        <w:textAlignment w:val="baseline"/>
        <w:outlineLvl w:val="5"/>
        <w:rPr>
          <w:rFonts w:ascii="Times New Roman" w:eastAsia="Times New Roman" w:hAnsi="Times New Roman" w:cs="Times New Roman"/>
          <w:bCs/>
          <w:sz w:val="20"/>
          <w:szCs w:val="20"/>
          <w:lang w:eastAsia="ru-RU"/>
        </w:rPr>
      </w:pPr>
    </w:p>
    <w:p w14:paraId="1DBBB2E6" w14:textId="356BAD47" w:rsidR="00C3684C" w:rsidRPr="003146EB" w:rsidRDefault="00A23826" w:rsidP="003146EB">
      <w:pPr>
        <w:keepNext/>
        <w:overflowPunct w:val="0"/>
        <w:autoSpaceDE w:val="0"/>
        <w:autoSpaceDN w:val="0"/>
        <w:adjustRightInd w:val="0"/>
        <w:spacing w:after="0" w:line="240" w:lineRule="auto"/>
        <w:ind w:firstLine="284"/>
        <w:jc w:val="center"/>
        <w:textAlignment w:val="baseline"/>
        <w:outlineLvl w:val="5"/>
        <w:rPr>
          <w:rFonts w:ascii="Times New Roman" w:hAnsi="Times New Roman" w:cs="Times New Roman"/>
          <w:sz w:val="20"/>
          <w:szCs w:val="20"/>
        </w:rPr>
      </w:pPr>
      <w:r w:rsidRPr="003146EB">
        <w:rPr>
          <w:rFonts w:ascii="Times New Roman" w:eastAsia="Times New Roman" w:hAnsi="Times New Roman" w:cs="Times New Roman"/>
          <w:b/>
          <w:sz w:val="20"/>
          <w:szCs w:val="20"/>
          <w:lang w:eastAsia="ru-RU"/>
        </w:rPr>
        <w:t>TABLE 2.</w:t>
      </w:r>
      <w:r w:rsidRPr="003146EB">
        <w:rPr>
          <w:rFonts w:ascii="Times New Roman" w:eastAsia="Times New Roman" w:hAnsi="Times New Roman" w:cs="Times New Roman"/>
          <w:bCs/>
          <w:sz w:val="20"/>
          <w:szCs w:val="20"/>
          <w:lang w:eastAsia="ru-RU"/>
        </w:rPr>
        <w:t xml:space="preserve"> </w:t>
      </w:r>
      <w:r w:rsidRPr="003146EB">
        <w:rPr>
          <w:rFonts w:ascii="Times New Roman" w:hAnsi="Times New Roman" w:cs="Times New Roman"/>
          <w:sz w:val="20"/>
          <w:szCs w:val="20"/>
        </w:rPr>
        <w:t>Rating-based financial analysis models and financial instability risk</w:t>
      </w:r>
    </w:p>
    <w:tbl>
      <w:tblPr>
        <w:tblStyle w:val="ae"/>
        <w:tblW w:w="9351" w:type="dxa"/>
        <w:tblLook w:val="04A0" w:firstRow="1" w:lastRow="0" w:firstColumn="1" w:lastColumn="0" w:noHBand="0" w:noVBand="1"/>
      </w:tblPr>
      <w:tblGrid>
        <w:gridCol w:w="2890"/>
        <w:gridCol w:w="1017"/>
        <w:gridCol w:w="1255"/>
        <w:gridCol w:w="1401"/>
        <w:gridCol w:w="1664"/>
        <w:gridCol w:w="1124"/>
      </w:tblGrid>
      <w:tr w:rsidR="003315AD" w:rsidRPr="003146EB" w14:paraId="5D827E07" w14:textId="77777777" w:rsidTr="003146EB">
        <w:tc>
          <w:tcPr>
            <w:tcW w:w="2961" w:type="dxa"/>
            <w:vAlign w:val="center"/>
          </w:tcPr>
          <w:p w14:paraId="6A91896A" w14:textId="77777777" w:rsidR="003315AD" w:rsidRPr="003146EB" w:rsidRDefault="003315AD" w:rsidP="003146EB">
            <w:pPr>
              <w:jc w:val="center"/>
              <w:rPr>
                <w:rFonts w:ascii="Times New Roman" w:hAnsi="Times New Roman" w:cs="Times New Roman"/>
                <w:b/>
                <w:bCs/>
                <w:sz w:val="20"/>
                <w:szCs w:val="20"/>
              </w:rPr>
            </w:pPr>
            <w:r w:rsidRPr="003146EB">
              <w:rPr>
                <w:rFonts w:ascii="Times New Roman" w:hAnsi="Times New Roman" w:cs="Times New Roman"/>
                <w:b/>
                <w:bCs/>
                <w:sz w:val="20"/>
                <w:szCs w:val="20"/>
              </w:rPr>
              <w:t>Model / Indicator</w:t>
            </w:r>
          </w:p>
        </w:tc>
        <w:tc>
          <w:tcPr>
            <w:tcW w:w="862" w:type="dxa"/>
            <w:vAlign w:val="center"/>
          </w:tcPr>
          <w:p w14:paraId="6C519B45" w14:textId="77777777" w:rsidR="003315AD" w:rsidRPr="003146EB" w:rsidRDefault="003315AD" w:rsidP="003146EB">
            <w:pPr>
              <w:jc w:val="center"/>
              <w:rPr>
                <w:rFonts w:ascii="Times New Roman" w:hAnsi="Times New Roman" w:cs="Times New Roman"/>
                <w:b/>
                <w:bCs/>
                <w:sz w:val="20"/>
                <w:szCs w:val="20"/>
              </w:rPr>
            </w:pPr>
            <w:r w:rsidRPr="003146EB">
              <w:rPr>
                <w:rFonts w:ascii="Times New Roman" w:hAnsi="Times New Roman" w:cs="Times New Roman"/>
                <w:b/>
                <w:bCs/>
                <w:sz w:val="20"/>
                <w:szCs w:val="20"/>
              </w:rPr>
              <w:t>Standard</w:t>
            </w:r>
          </w:p>
        </w:tc>
        <w:tc>
          <w:tcPr>
            <w:tcW w:w="1275" w:type="dxa"/>
            <w:vAlign w:val="center"/>
          </w:tcPr>
          <w:p w14:paraId="11BE9843" w14:textId="77777777" w:rsidR="003315AD" w:rsidRPr="003146EB" w:rsidRDefault="003315AD" w:rsidP="003146EB">
            <w:pPr>
              <w:jc w:val="center"/>
              <w:rPr>
                <w:rFonts w:ascii="Times New Roman" w:hAnsi="Times New Roman" w:cs="Times New Roman"/>
                <w:b/>
                <w:bCs/>
                <w:sz w:val="20"/>
                <w:szCs w:val="20"/>
              </w:rPr>
            </w:pPr>
            <w:proofErr w:type="spellStart"/>
            <w:r w:rsidRPr="003146EB">
              <w:rPr>
                <w:rFonts w:ascii="Times New Roman" w:hAnsi="Times New Roman" w:cs="Times New Roman"/>
                <w:b/>
                <w:bCs/>
                <w:sz w:val="20"/>
                <w:szCs w:val="20"/>
              </w:rPr>
              <w:t>Oqqin</w:t>
            </w:r>
            <w:proofErr w:type="spellEnd"/>
          </w:p>
        </w:tc>
        <w:tc>
          <w:tcPr>
            <w:tcW w:w="1418" w:type="dxa"/>
            <w:vAlign w:val="center"/>
          </w:tcPr>
          <w:p w14:paraId="57E3EEEC" w14:textId="77777777" w:rsidR="003315AD" w:rsidRPr="003146EB" w:rsidRDefault="003315AD" w:rsidP="003146EB">
            <w:pPr>
              <w:jc w:val="center"/>
              <w:rPr>
                <w:rFonts w:ascii="Times New Roman" w:hAnsi="Times New Roman" w:cs="Times New Roman"/>
                <w:b/>
                <w:bCs/>
                <w:sz w:val="20"/>
                <w:szCs w:val="20"/>
              </w:rPr>
            </w:pPr>
            <w:proofErr w:type="spellStart"/>
            <w:r w:rsidRPr="003146EB">
              <w:rPr>
                <w:rFonts w:ascii="Times New Roman" w:hAnsi="Times New Roman" w:cs="Times New Roman"/>
                <w:b/>
                <w:bCs/>
                <w:sz w:val="20"/>
                <w:szCs w:val="20"/>
              </w:rPr>
              <w:t>Davr</w:t>
            </w:r>
            <w:proofErr w:type="spellEnd"/>
            <w:r w:rsidRPr="003146EB">
              <w:rPr>
                <w:rFonts w:ascii="Times New Roman" w:hAnsi="Times New Roman" w:cs="Times New Roman"/>
                <w:b/>
                <w:bCs/>
                <w:sz w:val="20"/>
                <w:szCs w:val="20"/>
              </w:rPr>
              <w:t>-Durdona</w:t>
            </w:r>
          </w:p>
        </w:tc>
        <w:tc>
          <w:tcPr>
            <w:tcW w:w="1701" w:type="dxa"/>
            <w:vAlign w:val="center"/>
          </w:tcPr>
          <w:p w14:paraId="5E51B07E" w14:textId="77777777" w:rsidR="003315AD" w:rsidRPr="003146EB" w:rsidRDefault="003315AD" w:rsidP="003146EB">
            <w:pPr>
              <w:jc w:val="center"/>
              <w:rPr>
                <w:rFonts w:ascii="Times New Roman" w:hAnsi="Times New Roman" w:cs="Times New Roman"/>
                <w:b/>
                <w:bCs/>
                <w:sz w:val="20"/>
                <w:szCs w:val="20"/>
              </w:rPr>
            </w:pPr>
            <w:r w:rsidRPr="003146EB">
              <w:rPr>
                <w:rFonts w:ascii="Times New Roman" w:hAnsi="Times New Roman" w:cs="Times New Roman"/>
                <w:b/>
                <w:bCs/>
                <w:sz w:val="20"/>
                <w:szCs w:val="20"/>
              </w:rPr>
              <w:t>Mebel Mega Servis</w:t>
            </w:r>
          </w:p>
        </w:tc>
        <w:tc>
          <w:tcPr>
            <w:tcW w:w="1134" w:type="dxa"/>
            <w:vAlign w:val="center"/>
          </w:tcPr>
          <w:p w14:paraId="7EECCD07" w14:textId="77777777" w:rsidR="003315AD" w:rsidRPr="003146EB" w:rsidRDefault="003315AD" w:rsidP="003146EB">
            <w:pPr>
              <w:jc w:val="center"/>
              <w:rPr>
                <w:rFonts w:ascii="Times New Roman" w:hAnsi="Times New Roman" w:cs="Times New Roman"/>
                <w:b/>
                <w:bCs/>
                <w:sz w:val="20"/>
                <w:szCs w:val="20"/>
              </w:rPr>
            </w:pPr>
            <w:r w:rsidRPr="003146EB">
              <w:rPr>
                <w:rFonts w:ascii="Times New Roman" w:hAnsi="Times New Roman" w:cs="Times New Roman"/>
                <w:b/>
                <w:bCs/>
                <w:sz w:val="20"/>
                <w:szCs w:val="20"/>
              </w:rPr>
              <w:t>Firdavs</w:t>
            </w:r>
          </w:p>
        </w:tc>
      </w:tr>
      <w:tr w:rsidR="003315AD" w:rsidRPr="003146EB" w14:paraId="79EB06A9" w14:textId="77777777" w:rsidTr="003146EB">
        <w:tc>
          <w:tcPr>
            <w:tcW w:w="2961" w:type="dxa"/>
            <w:vAlign w:val="center"/>
          </w:tcPr>
          <w:p w14:paraId="7229AF60"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Four-factor rating model (overall score)</w:t>
            </w:r>
          </w:p>
        </w:tc>
        <w:tc>
          <w:tcPr>
            <w:tcW w:w="862" w:type="dxa"/>
            <w:vAlign w:val="center"/>
          </w:tcPr>
          <w:p w14:paraId="4439F81A"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1</w:t>
            </w:r>
          </w:p>
        </w:tc>
        <w:tc>
          <w:tcPr>
            <w:tcW w:w="1275" w:type="dxa"/>
            <w:vAlign w:val="center"/>
          </w:tcPr>
          <w:p w14:paraId="7EEFCB98"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5.57</w:t>
            </w:r>
          </w:p>
        </w:tc>
        <w:tc>
          <w:tcPr>
            <w:tcW w:w="1418" w:type="dxa"/>
            <w:vAlign w:val="center"/>
          </w:tcPr>
          <w:p w14:paraId="5062715E"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2.91</w:t>
            </w:r>
          </w:p>
        </w:tc>
        <w:tc>
          <w:tcPr>
            <w:tcW w:w="1701" w:type="dxa"/>
            <w:vAlign w:val="center"/>
          </w:tcPr>
          <w:p w14:paraId="6BA3F365"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4.30</w:t>
            </w:r>
          </w:p>
        </w:tc>
        <w:tc>
          <w:tcPr>
            <w:tcW w:w="1134" w:type="dxa"/>
            <w:vAlign w:val="center"/>
          </w:tcPr>
          <w:p w14:paraId="0BBD5824"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1.20</w:t>
            </w:r>
          </w:p>
        </w:tc>
      </w:tr>
      <w:tr w:rsidR="003315AD" w:rsidRPr="003146EB" w14:paraId="345220E9" w14:textId="77777777" w:rsidTr="003146EB">
        <w:tc>
          <w:tcPr>
            <w:tcW w:w="2961" w:type="dxa"/>
            <w:vAlign w:val="center"/>
          </w:tcPr>
          <w:p w14:paraId="486B7A54"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Current liquidity ratio</w:t>
            </w:r>
          </w:p>
        </w:tc>
        <w:tc>
          <w:tcPr>
            <w:tcW w:w="862" w:type="dxa"/>
            <w:vAlign w:val="center"/>
          </w:tcPr>
          <w:p w14:paraId="5E40C8F2"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≥2</w:t>
            </w:r>
          </w:p>
        </w:tc>
        <w:tc>
          <w:tcPr>
            <w:tcW w:w="1275" w:type="dxa"/>
            <w:vAlign w:val="center"/>
          </w:tcPr>
          <w:p w14:paraId="7669E359"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0.65</w:t>
            </w:r>
          </w:p>
        </w:tc>
        <w:tc>
          <w:tcPr>
            <w:tcW w:w="1418" w:type="dxa"/>
            <w:vAlign w:val="center"/>
          </w:tcPr>
          <w:p w14:paraId="5743BBB3"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6.81</w:t>
            </w:r>
          </w:p>
        </w:tc>
        <w:tc>
          <w:tcPr>
            <w:tcW w:w="1701" w:type="dxa"/>
            <w:vAlign w:val="center"/>
          </w:tcPr>
          <w:p w14:paraId="5C84B14B"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18.55</w:t>
            </w:r>
          </w:p>
        </w:tc>
        <w:tc>
          <w:tcPr>
            <w:tcW w:w="1134" w:type="dxa"/>
            <w:vAlign w:val="center"/>
          </w:tcPr>
          <w:p w14:paraId="69928055"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1.55</w:t>
            </w:r>
          </w:p>
        </w:tc>
      </w:tr>
      <w:tr w:rsidR="003315AD" w:rsidRPr="003146EB" w14:paraId="2E02B00B" w14:textId="77777777" w:rsidTr="003146EB">
        <w:tc>
          <w:tcPr>
            <w:tcW w:w="2961" w:type="dxa"/>
            <w:vAlign w:val="center"/>
          </w:tcPr>
          <w:p w14:paraId="4DC550ED"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Equity working capital ratio</w:t>
            </w:r>
          </w:p>
        </w:tc>
        <w:tc>
          <w:tcPr>
            <w:tcW w:w="862" w:type="dxa"/>
            <w:vAlign w:val="center"/>
          </w:tcPr>
          <w:p w14:paraId="25BE7C7A"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≥0.1</w:t>
            </w:r>
          </w:p>
        </w:tc>
        <w:tc>
          <w:tcPr>
            <w:tcW w:w="1275" w:type="dxa"/>
            <w:vAlign w:val="center"/>
          </w:tcPr>
          <w:p w14:paraId="17BA08C6"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2.45</w:t>
            </w:r>
          </w:p>
        </w:tc>
        <w:tc>
          <w:tcPr>
            <w:tcW w:w="1418" w:type="dxa"/>
            <w:vAlign w:val="center"/>
          </w:tcPr>
          <w:p w14:paraId="56EF4D19"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0.41</w:t>
            </w:r>
          </w:p>
        </w:tc>
        <w:tc>
          <w:tcPr>
            <w:tcW w:w="1701" w:type="dxa"/>
            <w:vAlign w:val="center"/>
          </w:tcPr>
          <w:p w14:paraId="356DA8A0"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0.34</w:t>
            </w:r>
          </w:p>
        </w:tc>
        <w:tc>
          <w:tcPr>
            <w:tcW w:w="1134" w:type="dxa"/>
            <w:vAlign w:val="center"/>
          </w:tcPr>
          <w:p w14:paraId="4AEAD538"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-0.23</w:t>
            </w:r>
          </w:p>
        </w:tc>
      </w:tr>
      <w:tr w:rsidR="003315AD" w:rsidRPr="003146EB" w14:paraId="1FCC4177" w14:textId="77777777" w:rsidTr="003146EB">
        <w:tc>
          <w:tcPr>
            <w:tcW w:w="2961" w:type="dxa"/>
            <w:vAlign w:val="center"/>
          </w:tcPr>
          <w:p w14:paraId="382862A6"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Working capital turnover</w:t>
            </w:r>
          </w:p>
        </w:tc>
        <w:tc>
          <w:tcPr>
            <w:tcW w:w="862" w:type="dxa"/>
            <w:vAlign w:val="center"/>
          </w:tcPr>
          <w:p w14:paraId="005D4D2E"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≥6</w:t>
            </w:r>
          </w:p>
        </w:tc>
        <w:tc>
          <w:tcPr>
            <w:tcW w:w="1275" w:type="dxa"/>
            <w:vAlign w:val="center"/>
          </w:tcPr>
          <w:p w14:paraId="16668D25"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1.89</w:t>
            </w:r>
          </w:p>
        </w:tc>
        <w:tc>
          <w:tcPr>
            <w:tcW w:w="1418" w:type="dxa"/>
            <w:vAlign w:val="center"/>
          </w:tcPr>
          <w:p w14:paraId="77417717"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2.61</w:t>
            </w:r>
          </w:p>
        </w:tc>
        <w:tc>
          <w:tcPr>
            <w:tcW w:w="1701" w:type="dxa"/>
            <w:vAlign w:val="center"/>
          </w:tcPr>
          <w:p w14:paraId="2582B3D6"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4.76</w:t>
            </w:r>
          </w:p>
        </w:tc>
        <w:tc>
          <w:tcPr>
            <w:tcW w:w="1134" w:type="dxa"/>
            <w:vAlign w:val="center"/>
          </w:tcPr>
          <w:p w14:paraId="2239D5D0"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2.90</w:t>
            </w:r>
          </w:p>
        </w:tc>
      </w:tr>
      <w:tr w:rsidR="003315AD" w:rsidRPr="003146EB" w14:paraId="2E9E59C4" w14:textId="77777777" w:rsidTr="003146EB">
        <w:tc>
          <w:tcPr>
            <w:tcW w:w="2961" w:type="dxa"/>
            <w:vAlign w:val="center"/>
          </w:tcPr>
          <w:p w14:paraId="79F82ED8"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Equity profitability</w:t>
            </w:r>
          </w:p>
        </w:tc>
        <w:tc>
          <w:tcPr>
            <w:tcW w:w="862" w:type="dxa"/>
            <w:vAlign w:val="center"/>
          </w:tcPr>
          <w:p w14:paraId="412A12A6"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≥0.2</w:t>
            </w:r>
          </w:p>
        </w:tc>
        <w:tc>
          <w:tcPr>
            <w:tcW w:w="1275" w:type="dxa"/>
            <w:vAlign w:val="center"/>
          </w:tcPr>
          <w:p w14:paraId="061A3FA7"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0.32</w:t>
            </w:r>
          </w:p>
        </w:tc>
        <w:tc>
          <w:tcPr>
            <w:tcW w:w="1418" w:type="dxa"/>
            <w:vAlign w:val="center"/>
          </w:tcPr>
          <w:p w14:paraId="380898E0"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0.75</w:t>
            </w:r>
          </w:p>
        </w:tc>
        <w:tc>
          <w:tcPr>
            <w:tcW w:w="1701" w:type="dxa"/>
            <w:vAlign w:val="center"/>
          </w:tcPr>
          <w:p w14:paraId="3CDD8D7C"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0.76</w:t>
            </w:r>
          </w:p>
        </w:tc>
        <w:tc>
          <w:tcPr>
            <w:tcW w:w="1134" w:type="dxa"/>
            <w:vAlign w:val="center"/>
          </w:tcPr>
          <w:p w14:paraId="1A89AC29"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1.17</w:t>
            </w:r>
          </w:p>
        </w:tc>
      </w:tr>
      <w:tr w:rsidR="003315AD" w:rsidRPr="003146EB" w14:paraId="0BDF0CAA" w14:textId="77777777" w:rsidTr="003146EB">
        <w:tc>
          <w:tcPr>
            <w:tcW w:w="2961" w:type="dxa"/>
            <w:vAlign w:val="center"/>
          </w:tcPr>
          <w:p w14:paraId="0BE688E0"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Five-factor rating model (overall score)</w:t>
            </w:r>
          </w:p>
        </w:tc>
        <w:tc>
          <w:tcPr>
            <w:tcW w:w="862" w:type="dxa"/>
            <w:vAlign w:val="center"/>
          </w:tcPr>
          <w:p w14:paraId="261DB698"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1</w:t>
            </w:r>
          </w:p>
        </w:tc>
        <w:tc>
          <w:tcPr>
            <w:tcW w:w="1275" w:type="dxa"/>
            <w:vAlign w:val="center"/>
          </w:tcPr>
          <w:p w14:paraId="5CF2A80E"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4.38</w:t>
            </w:r>
          </w:p>
        </w:tc>
        <w:tc>
          <w:tcPr>
            <w:tcW w:w="1418" w:type="dxa"/>
            <w:vAlign w:val="center"/>
          </w:tcPr>
          <w:p w14:paraId="6425FBD2"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2.45</w:t>
            </w:r>
          </w:p>
        </w:tc>
        <w:tc>
          <w:tcPr>
            <w:tcW w:w="1701" w:type="dxa"/>
            <w:vAlign w:val="center"/>
          </w:tcPr>
          <w:p w14:paraId="203AA638"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5.01</w:t>
            </w:r>
          </w:p>
        </w:tc>
        <w:tc>
          <w:tcPr>
            <w:tcW w:w="1134" w:type="dxa"/>
            <w:vAlign w:val="center"/>
          </w:tcPr>
          <w:p w14:paraId="050780A6"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0.95</w:t>
            </w:r>
          </w:p>
        </w:tc>
      </w:tr>
      <w:tr w:rsidR="003315AD" w:rsidRPr="003146EB" w14:paraId="3B86591E" w14:textId="77777777" w:rsidTr="003146EB">
        <w:tc>
          <w:tcPr>
            <w:tcW w:w="2961" w:type="dxa"/>
            <w:vAlign w:val="center"/>
          </w:tcPr>
          <w:p w14:paraId="06F59D9E"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Asset turnover ratio</w:t>
            </w:r>
          </w:p>
        </w:tc>
        <w:tc>
          <w:tcPr>
            <w:tcW w:w="862" w:type="dxa"/>
            <w:vAlign w:val="center"/>
          </w:tcPr>
          <w:p w14:paraId="17AC714B"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=2.5</w:t>
            </w:r>
          </w:p>
        </w:tc>
        <w:tc>
          <w:tcPr>
            <w:tcW w:w="1275" w:type="dxa"/>
            <w:vAlign w:val="center"/>
          </w:tcPr>
          <w:p w14:paraId="4D831B3E"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0.34</w:t>
            </w:r>
          </w:p>
        </w:tc>
        <w:tc>
          <w:tcPr>
            <w:tcW w:w="1418" w:type="dxa"/>
            <w:vAlign w:val="center"/>
          </w:tcPr>
          <w:p w14:paraId="39B900ED"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1.27</w:t>
            </w:r>
          </w:p>
        </w:tc>
        <w:tc>
          <w:tcPr>
            <w:tcW w:w="1701" w:type="dxa"/>
            <w:vAlign w:val="center"/>
          </w:tcPr>
          <w:p w14:paraId="0965510D"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3.81</w:t>
            </w:r>
          </w:p>
        </w:tc>
        <w:tc>
          <w:tcPr>
            <w:tcW w:w="1134" w:type="dxa"/>
            <w:vAlign w:val="center"/>
          </w:tcPr>
          <w:p w14:paraId="0EE3281B"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1.01</w:t>
            </w:r>
          </w:p>
        </w:tc>
      </w:tr>
      <w:tr w:rsidR="003315AD" w:rsidRPr="003146EB" w14:paraId="4A065118" w14:textId="77777777" w:rsidTr="003146EB">
        <w:tc>
          <w:tcPr>
            <w:tcW w:w="2961" w:type="dxa"/>
            <w:vAlign w:val="center"/>
          </w:tcPr>
          <w:p w14:paraId="2C15AE6A"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Sales profitability</w:t>
            </w:r>
          </w:p>
        </w:tc>
        <w:tc>
          <w:tcPr>
            <w:tcW w:w="862" w:type="dxa"/>
            <w:vAlign w:val="center"/>
          </w:tcPr>
          <w:p w14:paraId="56D0DC2B"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=0.45</w:t>
            </w:r>
          </w:p>
        </w:tc>
        <w:tc>
          <w:tcPr>
            <w:tcW w:w="1275" w:type="dxa"/>
            <w:vAlign w:val="center"/>
          </w:tcPr>
          <w:p w14:paraId="259B3849"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0.28</w:t>
            </w:r>
          </w:p>
        </w:tc>
        <w:tc>
          <w:tcPr>
            <w:tcW w:w="1418" w:type="dxa"/>
            <w:vAlign w:val="center"/>
          </w:tcPr>
          <w:p w14:paraId="4ECB1A1E"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0.42</w:t>
            </w:r>
          </w:p>
        </w:tc>
        <w:tc>
          <w:tcPr>
            <w:tcW w:w="1701" w:type="dxa"/>
            <w:vAlign w:val="center"/>
          </w:tcPr>
          <w:p w14:paraId="60B5C351"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0.09</w:t>
            </w:r>
          </w:p>
        </w:tc>
        <w:tc>
          <w:tcPr>
            <w:tcW w:w="1134" w:type="dxa"/>
            <w:vAlign w:val="center"/>
          </w:tcPr>
          <w:p w14:paraId="3812F323"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0.66</w:t>
            </w:r>
          </w:p>
        </w:tc>
      </w:tr>
    </w:tbl>
    <w:p w14:paraId="1E4C276F" w14:textId="77777777" w:rsidR="003315AD" w:rsidRPr="003146EB" w:rsidRDefault="003315AD" w:rsidP="003146EB">
      <w:pPr>
        <w:keepNext/>
        <w:overflowPunct w:val="0"/>
        <w:autoSpaceDE w:val="0"/>
        <w:autoSpaceDN w:val="0"/>
        <w:adjustRightInd w:val="0"/>
        <w:spacing w:after="0" w:line="240" w:lineRule="auto"/>
        <w:ind w:firstLine="284"/>
        <w:jc w:val="both"/>
        <w:textAlignment w:val="baseline"/>
        <w:outlineLvl w:val="5"/>
        <w:rPr>
          <w:rFonts w:ascii="Times New Roman" w:eastAsia="Times New Roman" w:hAnsi="Times New Roman" w:cs="Times New Roman"/>
          <w:bCs/>
          <w:sz w:val="20"/>
          <w:szCs w:val="20"/>
          <w:lang w:eastAsia="ru-RU"/>
        </w:rPr>
      </w:pPr>
    </w:p>
    <w:p w14:paraId="7F0F7E46" w14:textId="2531F4B9" w:rsidR="00C3684C" w:rsidRPr="003146EB" w:rsidRDefault="00A23826" w:rsidP="003146EB">
      <w:pPr>
        <w:keepNext/>
        <w:overflowPunct w:val="0"/>
        <w:autoSpaceDE w:val="0"/>
        <w:autoSpaceDN w:val="0"/>
        <w:adjustRightInd w:val="0"/>
        <w:spacing w:after="0" w:line="240" w:lineRule="auto"/>
        <w:ind w:firstLine="284"/>
        <w:jc w:val="both"/>
        <w:textAlignment w:val="baseline"/>
        <w:outlineLvl w:val="5"/>
        <w:rPr>
          <w:rFonts w:ascii="Times New Roman" w:hAnsi="Times New Roman" w:cs="Times New Roman"/>
          <w:sz w:val="20"/>
          <w:szCs w:val="20"/>
        </w:rPr>
      </w:pPr>
      <w:r w:rsidRPr="003146EB">
        <w:rPr>
          <w:rFonts w:ascii="Times New Roman" w:eastAsia="Times New Roman" w:hAnsi="Times New Roman" w:cs="Times New Roman"/>
          <w:bCs/>
          <w:sz w:val="20"/>
          <w:szCs w:val="20"/>
          <w:lang w:eastAsia="ru-RU"/>
        </w:rPr>
        <w:t>Rating</w:t>
      </w:r>
      <w:r w:rsidRPr="003146EB">
        <w:rPr>
          <w:rFonts w:ascii="Times New Roman" w:eastAsia="Times New Roman" w:hAnsi="Times New Roman" w:cs="Times New Roman"/>
          <w:bCs/>
          <w:sz w:val="20"/>
          <w:szCs w:val="20"/>
          <w:lang w:eastAsia="ru-RU"/>
        </w:rPr>
        <w:noBreakHyphen/>
        <w:t>based analyses further refined the risk assessment. Through the four</w:t>
      </w:r>
      <w:r w:rsidRPr="003146EB">
        <w:rPr>
          <w:rFonts w:ascii="Times New Roman" w:eastAsia="Times New Roman" w:hAnsi="Times New Roman" w:cs="Times New Roman"/>
          <w:bCs/>
          <w:sz w:val="20"/>
          <w:szCs w:val="20"/>
          <w:lang w:eastAsia="ru-RU"/>
        </w:rPr>
        <w:noBreakHyphen/>
        <w:t>factor rating model, current liquidity and proprietary turnover emerged as critical determinants of financial stability. The five</w:t>
      </w:r>
      <w:r w:rsidRPr="003146EB">
        <w:rPr>
          <w:rFonts w:ascii="Times New Roman" w:eastAsia="Times New Roman" w:hAnsi="Times New Roman" w:cs="Times New Roman"/>
          <w:bCs/>
          <w:sz w:val="20"/>
          <w:szCs w:val="20"/>
          <w:lang w:eastAsia="ru-RU"/>
        </w:rPr>
        <w:noBreakHyphen/>
        <w:t>factor model incorporated additional indicators—such as asset turnover and product profitability—providing a more comprehensive view of enterprise risk exposure.</w:t>
      </w:r>
      <w:r w:rsidR="00C3684C" w:rsidRPr="003146EB">
        <w:rPr>
          <w:rFonts w:ascii="Times New Roman" w:hAnsi="Times New Roman" w:cs="Times New Roman"/>
          <w:sz w:val="20"/>
          <w:szCs w:val="20"/>
        </w:rPr>
        <w:t xml:space="preserve"> </w:t>
      </w:r>
      <w:r w:rsidR="00C3684C" w:rsidRPr="003146EB">
        <w:rPr>
          <w:rFonts w:ascii="Times New Roman" w:hAnsi="Times New Roman" w:cs="Times New Roman"/>
          <w:sz w:val="20"/>
          <w:szCs w:val="20"/>
        </w:rPr>
        <w:fldChar w:fldCharType="begin"/>
      </w:r>
      <w:r w:rsidR="00C3684C" w:rsidRPr="003146EB">
        <w:rPr>
          <w:rFonts w:ascii="Times New Roman" w:hAnsi="Times New Roman" w:cs="Times New Roman"/>
          <w:sz w:val="20"/>
          <w:szCs w:val="20"/>
        </w:rPr>
        <w:instrText xml:space="preserve"> ADDIN ZOTERO_ITEM CSL_CITATION {"citationID":"L3zJYcEa","properties":{"formattedCitation":"[19]","plainCitation":"[19]","noteIndex":0},"citationItems":[{"id":150,"uris":["http://zotero.org/users/local/1ECEM6JQ/items/YVB6JXKB"],"itemData":{"id":150,"type":"document","title":"MEBEL SАNОАTI KОRХОNАLАRIDА RISKNI BОSHQАRISH MEХАNIZMLАRINI TАKОMILLАSHTIRISH"}}],"schema":"https://github.com/citation-style-language/schema/raw/master/csl-citation.json"} </w:instrText>
      </w:r>
      <w:r w:rsidR="00C3684C" w:rsidRPr="003146EB">
        <w:rPr>
          <w:rFonts w:ascii="Times New Roman" w:hAnsi="Times New Roman" w:cs="Times New Roman"/>
          <w:sz w:val="20"/>
          <w:szCs w:val="20"/>
        </w:rPr>
        <w:fldChar w:fldCharType="separate"/>
      </w:r>
      <w:r w:rsidR="00C3684C" w:rsidRPr="003146EB">
        <w:rPr>
          <w:rFonts w:ascii="Times New Roman" w:hAnsi="Times New Roman" w:cs="Times New Roman"/>
          <w:sz w:val="20"/>
          <w:szCs w:val="20"/>
        </w:rPr>
        <w:t>[19]</w:t>
      </w:r>
      <w:r w:rsidR="00C3684C" w:rsidRPr="003146EB">
        <w:rPr>
          <w:rFonts w:ascii="Times New Roman" w:hAnsi="Times New Roman" w:cs="Times New Roman"/>
          <w:sz w:val="20"/>
          <w:szCs w:val="20"/>
        </w:rPr>
        <w:fldChar w:fldCharType="end"/>
      </w:r>
    </w:p>
    <w:p w14:paraId="726BF006" w14:textId="24712F57" w:rsidR="00A23826" w:rsidRPr="003146EB" w:rsidRDefault="00A23826" w:rsidP="003146EB">
      <w:pPr>
        <w:keepNext/>
        <w:overflowPunct w:val="0"/>
        <w:autoSpaceDE w:val="0"/>
        <w:autoSpaceDN w:val="0"/>
        <w:adjustRightInd w:val="0"/>
        <w:spacing w:after="0" w:line="240" w:lineRule="auto"/>
        <w:jc w:val="both"/>
        <w:textAlignment w:val="baseline"/>
        <w:outlineLvl w:val="5"/>
        <w:rPr>
          <w:rFonts w:ascii="Times New Roman" w:eastAsia="Times New Roman" w:hAnsi="Times New Roman" w:cs="Times New Roman"/>
          <w:bCs/>
          <w:sz w:val="20"/>
          <w:szCs w:val="20"/>
          <w:lang w:eastAsia="ru-RU"/>
        </w:rPr>
      </w:pPr>
    </w:p>
    <w:p w14:paraId="22940BE7" w14:textId="11CEF942" w:rsidR="003315AD" w:rsidRPr="003146EB" w:rsidRDefault="00A23826" w:rsidP="003146EB">
      <w:pPr>
        <w:pStyle w:val="2"/>
        <w:spacing w:before="0" w:after="0" w:line="240" w:lineRule="auto"/>
        <w:ind w:firstLine="284"/>
        <w:jc w:val="center"/>
        <w:rPr>
          <w:rFonts w:ascii="Times New Roman" w:hAnsi="Times New Roman" w:cs="Times New Roman"/>
          <w:color w:val="auto"/>
          <w:sz w:val="20"/>
          <w:szCs w:val="20"/>
        </w:rPr>
      </w:pPr>
      <w:r w:rsidRPr="003146EB">
        <w:rPr>
          <w:rFonts w:ascii="Times New Roman" w:hAnsi="Times New Roman" w:cs="Times New Roman"/>
          <w:b/>
          <w:bCs/>
          <w:color w:val="auto"/>
          <w:sz w:val="20"/>
          <w:szCs w:val="20"/>
        </w:rPr>
        <w:t>TABLE 3.</w:t>
      </w:r>
      <w:r w:rsidRPr="003146EB">
        <w:rPr>
          <w:rFonts w:ascii="Times New Roman" w:hAnsi="Times New Roman" w:cs="Times New Roman"/>
          <w:color w:val="auto"/>
          <w:sz w:val="20"/>
          <w:szCs w:val="20"/>
        </w:rPr>
        <w:t xml:space="preserve"> Impact of internal risk factors on financial instability of furniture enterprises</w:t>
      </w:r>
    </w:p>
    <w:tbl>
      <w:tblPr>
        <w:tblStyle w:val="ae"/>
        <w:tblW w:w="9351" w:type="dxa"/>
        <w:tblLook w:val="04A0" w:firstRow="1" w:lastRow="0" w:firstColumn="1" w:lastColumn="0" w:noHBand="0" w:noVBand="1"/>
      </w:tblPr>
      <w:tblGrid>
        <w:gridCol w:w="4673"/>
        <w:gridCol w:w="4678"/>
      </w:tblGrid>
      <w:tr w:rsidR="003315AD" w:rsidRPr="003146EB" w14:paraId="67376630" w14:textId="77777777" w:rsidTr="003146EB">
        <w:tc>
          <w:tcPr>
            <w:tcW w:w="4673" w:type="dxa"/>
            <w:vAlign w:val="center"/>
          </w:tcPr>
          <w:p w14:paraId="159FAA6A" w14:textId="77777777" w:rsidR="003315AD" w:rsidRPr="003146EB" w:rsidRDefault="003315AD" w:rsidP="003146EB">
            <w:pPr>
              <w:jc w:val="center"/>
              <w:rPr>
                <w:rFonts w:ascii="Times New Roman" w:hAnsi="Times New Roman" w:cs="Times New Roman"/>
                <w:b/>
                <w:bCs/>
                <w:sz w:val="20"/>
                <w:szCs w:val="20"/>
              </w:rPr>
            </w:pPr>
            <w:r w:rsidRPr="003146EB">
              <w:rPr>
                <w:rFonts w:ascii="Times New Roman" w:hAnsi="Times New Roman" w:cs="Times New Roman"/>
                <w:b/>
                <w:bCs/>
                <w:sz w:val="20"/>
                <w:szCs w:val="20"/>
              </w:rPr>
              <w:t>Risk Factors</w:t>
            </w:r>
          </w:p>
        </w:tc>
        <w:tc>
          <w:tcPr>
            <w:tcW w:w="4678" w:type="dxa"/>
            <w:vAlign w:val="center"/>
          </w:tcPr>
          <w:p w14:paraId="29597056" w14:textId="77777777" w:rsidR="003315AD" w:rsidRPr="003146EB" w:rsidRDefault="003315AD" w:rsidP="003146EB">
            <w:pPr>
              <w:jc w:val="center"/>
              <w:rPr>
                <w:rFonts w:ascii="Times New Roman" w:hAnsi="Times New Roman" w:cs="Times New Roman"/>
                <w:b/>
                <w:bCs/>
                <w:sz w:val="20"/>
                <w:szCs w:val="20"/>
              </w:rPr>
            </w:pPr>
            <w:r w:rsidRPr="003146EB">
              <w:rPr>
                <w:rFonts w:ascii="Times New Roman" w:hAnsi="Times New Roman" w:cs="Times New Roman"/>
                <w:b/>
                <w:bCs/>
                <w:sz w:val="20"/>
                <w:szCs w:val="20"/>
              </w:rPr>
              <w:t>Consequences of Risk Factors</w:t>
            </w:r>
          </w:p>
        </w:tc>
      </w:tr>
      <w:tr w:rsidR="003315AD" w:rsidRPr="003146EB" w14:paraId="5C5CF25B" w14:textId="77777777" w:rsidTr="003146EB">
        <w:tc>
          <w:tcPr>
            <w:tcW w:w="4673" w:type="dxa"/>
            <w:vAlign w:val="center"/>
          </w:tcPr>
          <w:p w14:paraId="53581C33"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Low level of production organization, equipment and technology</w:t>
            </w:r>
          </w:p>
        </w:tc>
        <w:tc>
          <w:tcPr>
            <w:tcW w:w="4678" w:type="dxa"/>
            <w:vAlign w:val="center"/>
          </w:tcPr>
          <w:p w14:paraId="763EA56B"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Deficit of own working capital</w:t>
            </w:r>
          </w:p>
        </w:tc>
      </w:tr>
      <w:tr w:rsidR="003315AD" w:rsidRPr="003146EB" w14:paraId="7551B13C" w14:textId="77777777" w:rsidTr="003146EB">
        <w:tc>
          <w:tcPr>
            <w:tcW w:w="4673" w:type="dxa"/>
            <w:vAlign w:val="center"/>
          </w:tcPr>
          <w:p w14:paraId="74CA69E4"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Decline in efficiency of resource utilization</w:t>
            </w:r>
          </w:p>
        </w:tc>
        <w:tc>
          <w:tcPr>
            <w:tcW w:w="4678" w:type="dxa"/>
            <w:vAlign w:val="center"/>
          </w:tcPr>
          <w:p w14:paraId="144D520E"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High production cost, erosion of own capital</w:t>
            </w:r>
          </w:p>
        </w:tc>
      </w:tr>
      <w:tr w:rsidR="003315AD" w:rsidRPr="003146EB" w14:paraId="4D3AF457" w14:textId="77777777" w:rsidTr="003146EB">
        <w:tc>
          <w:tcPr>
            <w:tcW w:w="4673" w:type="dxa"/>
            <w:vAlign w:val="center"/>
          </w:tcPr>
          <w:p w14:paraId="5A0935F1"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Excessive inventory accumulation</w:t>
            </w:r>
          </w:p>
        </w:tc>
        <w:tc>
          <w:tcPr>
            <w:tcW w:w="4678" w:type="dxa"/>
            <w:vAlign w:val="center"/>
          </w:tcPr>
          <w:p w14:paraId="2E67552A"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Decrease in capital turnover, increase in indebtedness</w:t>
            </w:r>
          </w:p>
        </w:tc>
      </w:tr>
      <w:tr w:rsidR="003315AD" w:rsidRPr="003146EB" w14:paraId="1A0CA209" w14:textId="77777777" w:rsidTr="003146EB">
        <w:tc>
          <w:tcPr>
            <w:tcW w:w="4673" w:type="dxa"/>
            <w:vAlign w:val="center"/>
          </w:tcPr>
          <w:p w14:paraId="69BC7D67"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Attraction of debt capital under unfavorable conditions</w:t>
            </w:r>
          </w:p>
        </w:tc>
        <w:tc>
          <w:tcPr>
            <w:tcW w:w="4678" w:type="dxa"/>
            <w:vAlign w:val="center"/>
          </w:tcPr>
          <w:p w14:paraId="7F23C369"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Decrease in profitability and self-financing capability</w:t>
            </w:r>
          </w:p>
        </w:tc>
      </w:tr>
      <w:tr w:rsidR="003315AD" w:rsidRPr="003146EB" w14:paraId="3E98761F" w14:textId="77777777" w:rsidTr="003146EB">
        <w:tc>
          <w:tcPr>
            <w:tcW w:w="4673" w:type="dxa"/>
            <w:vAlign w:val="center"/>
          </w:tcPr>
          <w:p w14:paraId="71B0F5BA"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Uncontrolled rapid expansion of activity</w:t>
            </w:r>
          </w:p>
        </w:tc>
        <w:tc>
          <w:tcPr>
            <w:tcW w:w="4678" w:type="dxa"/>
            <w:vAlign w:val="center"/>
          </w:tcPr>
          <w:p w14:paraId="2CCFE532"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Increase in accounts receivable, need for short-term borrowing, creditor control</w:t>
            </w:r>
          </w:p>
        </w:tc>
      </w:tr>
      <w:tr w:rsidR="003315AD" w:rsidRPr="003146EB" w14:paraId="72E4BD98" w14:textId="77777777" w:rsidTr="003146EB">
        <w:tc>
          <w:tcPr>
            <w:tcW w:w="4673" w:type="dxa"/>
            <w:vAlign w:val="center"/>
          </w:tcPr>
          <w:p w14:paraId="79F85D9F"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Weak marketing and customer relations</w:t>
            </w:r>
          </w:p>
        </w:tc>
        <w:tc>
          <w:tcPr>
            <w:tcW w:w="4678" w:type="dxa"/>
            <w:vAlign w:val="center"/>
          </w:tcPr>
          <w:p w14:paraId="482C9F36"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Decline in profit and sales profitability</w:t>
            </w:r>
          </w:p>
        </w:tc>
      </w:tr>
      <w:tr w:rsidR="003315AD" w:rsidRPr="003146EB" w14:paraId="0C6D62A0" w14:textId="77777777" w:rsidTr="003146EB">
        <w:tc>
          <w:tcPr>
            <w:tcW w:w="4673" w:type="dxa"/>
            <w:vAlign w:val="center"/>
          </w:tcPr>
          <w:p w14:paraId="4C4A6E66"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Low wages and shortage of skilled labor</w:t>
            </w:r>
          </w:p>
        </w:tc>
        <w:tc>
          <w:tcPr>
            <w:tcW w:w="4678" w:type="dxa"/>
            <w:vAlign w:val="center"/>
          </w:tcPr>
          <w:p w14:paraId="5E7A1465" w14:textId="77777777" w:rsidR="003315AD" w:rsidRPr="003146EB" w:rsidRDefault="003315AD" w:rsidP="003146EB">
            <w:pPr>
              <w:jc w:val="center"/>
              <w:rPr>
                <w:rFonts w:ascii="Times New Roman" w:hAnsi="Times New Roman" w:cs="Times New Roman"/>
                <w:sz w:val="20"/>
                <w:szCs w:val="20"/>
              </w:rPr>
            </w:pPr>
            <w:r w:rsidRPr="003146EB">
              <w:rPr>
                <w:rFonts w:ascii="Times New Roman" w:hAnsi="Times New Roman" w:cs="Times New Roman"/>
                <w:sz w:val="20"/>
                <w:szCs w:val="20"/>
              </w:rPr>
              <w:t>Lower labor productivity, reduced capital turnover, failure to achieve expected revenues</w:t>
            </w:r>
          </w:p>
        </w:tc>
      </w:tr>
    </w:tbl>
    <w:p w14:paraId="7C1F592C" w14:textId="5E6C804B" w:rsidR="00A23826" w:rsidRPr="003146EB" w:rsidRDefault="00A23826" w:rsidP="003146EB">
      <w:pPr>
        <w:keepNext/>
        <w:overflowPunct w:val="0"/>
        <w:autoSpaceDE w:val="0"/>
        <w:autoSpaceDN w:val="0"/>
        <w:adjustRightInd w:val="0"/>
        <w:spacing w:after="0" w:line="240" w:lineRule="auto"/>
        <w:ind w:firstLine="284"/>
        <w:jc w:val="both"/>
        <w:textAlignment w:val="baseline"/>
        <w:outlineLvl w:val="5"/>
        <w:rPr>
          <w:rFonts w:ascii="Times New Roman" w:eastAsia="Times New Roman" w:hAnsi="Times New Roman" w:cs="Times New Roman"/>
          <w:bCs/>
          <w:sz w:val="20"/>
          <w:szCs w:val="20"/>
          <w:lang w:eastAsia="ru-RU"/>
        </w:rPr>
      </w:pPr>
      <w:r w:rsidRPr="003146EB">
        <w:rPr>
          <w:rFonts w:ascii="Times New Roman" w:eastAsia="Times New Roman" w:hAnsi="Times New Roman" w:cs="Times New Roman"/>
          <w:bCs/>
          <w:sz w:val="20"/>
          <w:szCs w:val="20"/>
          <w:lang w:eastAsia="ru-RU"/>
        </w:rPr>
        <w:lastRenderedPageBreak/>
        <w:t xml:space="preserve">Internal risk factors—such as outdated technology, inefficient resource utilization, low working capital turnover, and insufficient managerial and marketing capabilities—were found to materially affect financial results and are detailed in </w:t>
      </w:r>
      <w:r w:rsidRPr="003146EB">
        <w:rPr>
          <w:rFonts w:ascii="Times New Roman" w:eastAsia="Times New Roman" w:hAnsi="Times New Roman" w:cs="Times New Roman"/>
          <w:sz w:val="20"/>
          <w:szCs w:val="20"/>
          <w:lang w:eastAsia="ru-RU"/>
        </w:rPr>
        <w:t>3-table</w:t>
      </w:r>
      <w:r w:rsidRPr="003146EB">
        <w:rPr>
          <w:rFonts w:ascii="Times New Roman" w:eastAsia="Times New Roman" w:hAnsi="Times New Roman" w:cs="Times New Roman"/>
          <w:bCs/>
          <w:sz w:val="20"/>
          <w:szCs w:val="20"/>
          <w:lang w:eastAsia="ru-RU"/>
        </w:rPr>
        <w:t>. These internal dimensions, along with external environmental factors (e.g., input</w:t>
      </w:r>
      <w:r w:rsidRPr="003146EB">
        <w:rPr>
          <w:rFonts w:ascii="Times New Roman" w:eastAsia="Times New Roman" w:hAnsi="Times New Roman" w:cs="Times New Roman"/>
          <w:bCs/>
          <w:sz w:val="20"/>
          <w:szCs w:val="20"/>
          <w:lang w:eastAsia="ru-RU"/>
        </w:rPr>
        <w:noBreakHyphen/>
        <w:t>price volatility and market demand shifts), collectively shape the financial risk landscape for furniture producers.</w:t>
      </w:r>
      <w:r w:rsidR="00C3684C" w:rsidRPr="003146EB">
        <w:rPr>
          <w:rFonts w:ascii="Times New Roman" w:hAnsi="Times New Roman" w:cs="Times New Roman"/>
          <w:sz w:val="20"/>
          <w:szCs w:val="20"/>
        </w:rPr>
        <w:t xml:space="preserve"> </w:t>
      </w:r>
      <w:r w:rsidR="00C3684C" w:rsidRPr="003146EB">
        <w:rPr>
          <w:rFonts w:ascii="Times New Roman" w:hAnsi="Times New Roman" w:cs="Times New Roman"/>
          <w:sz w:val="20"/>
          <w:szCs w:val="20"/>
        </w:rPr>
        <w:fldChar w:fldCharType="begin"/>
      </w:r>
      <w:r w:rsidR="00C3684C" w:rsidRPr="003146EB">
        <w:rPr>
          <w:rFonts w:ascii="Times New Roman" w:hAnsi="Times New Roman" w:cs="Times New Roman"/>
          <w:sz w:val="20"/>
          <w:szCs w:val="20"/>
        </w:rPr>
        <w:instrText xml:space="preserve"> ADDIN ZOTERO_ITEM CSL_CITATION {"citationID":"1Y6LldYr","properties":{"formattedCitation":"[19]","plainCitation":"[19]","noteIndex":0},"citationItems":[{"id":150,"uris":["http://zotero.org/users/local/1ECEM6JQ/items/YVB6JXKB"],"itemData":{"id":150,"type":"document","title":"MEBEL SАNОАTI KОRХОNАLАRIDА RISKNI BОSHQАRISH MEХАNIZMLАRINI TАKОMILLАSHTIRISH"}}],"schema":"https://github.com/citation-style-language/schema/raw/master/csl-citation.json"} </w:instrText>
      </w:r>
      <w:r w:rsidR="00C3684C" w:rsidRPr="003146EB">
        <w:rPr>
          <w:rFonts w:ascii="Times New Roman" w:hAnsi="Times New Roman" w:cs="Times New Roman"/>
          <w:sz w:val="20"/>
          <w:szCs w:val="20"/>
        </w:rPr>
        <w:fldChar w:fldCharType="separate"/>
      </w:r>
      <w:r w:rsidR="00C3684C" w:rsidRPr="003146EB">
        <w:rPr>
          <w:rFonts w:ascii="Times New Roman" w:hAnsi="Times New Roman" w:cs="Times New Roman"/>
          <w:sz w:val="20"/>
          <w:szCs w:val="20"/>
        </w:rPr>
        <w:t>[19]</w:t>
      </w:r>
      <w:r w:rsidR="00C3684C" w:rsidRPr="003146EB">
        <w:rPr>
          <w:rFonts w:ascii="Times New Roman" w:hAnsi="Times New Roman" w:cs="Times New Roman"/>
          <w:sz w:val="20"/>
          <w:szCs w:val="20"/>
        </w:rPr>
        <w:fldChar w:fldCharType="end"/>
      </w:r>
    </w:p>
    <w:p w14:paraId="3DCC0008" w14:textId="1EB6286E" w:rsidR="00A23826" w:rsidRPr="003146EB" w:rsidRDefault="00A23826" w:rsidP="003146EB">
      <w:pPr>
        <w:keepNext/>
        <w:overflowPunct w:val="0"/>
        <w:autoSpaceDE w:val="0"/>
        <w:autoSpaceDN w:val="0"/>
        <w:adjustRightInd w:val="0"/>
        <w:spacing w:after="0" w:line="240" w:lineRule="auto"/>
        <w:ind w:firstLine="284"/>
        <w:jc w:val="both"/>
        <w:textAlignment w:val="baseline"/>
        <w:outlineLvl w:val="5"/>
        <w:rPr>
          <w:rFonts w:ascii="Times New Roman" w:eastAsia="Times New Roman" w:hAnsi="Times New Roman" w:cs="Times New Roman"/>
          <w:bCs/>
          <w:sz w:val="20"/>
          <w:szCs w:val="20"/>
          <w:lang w:eastAsia="ru-RU"/>
        </w:rPr>
      </w:pPr>
      <w:r w:rsidRPr="003146EB">
        <w:rPr>
          <w:rFonts w:ascii="Times New Roman" w:eastAsia="Times New Roman" w:hAnsi="Times New Roman" w:cs="Times New Roman"/>
          <w:bCs/>
          <w:sz w:val="20"/>
          <w:szCs w:val="20"/>
          <w:lang w:eastAsia="ru-RU"/>
        </w:rPr>
        <w:t>The findings demonstrate that applying classical financial distress prediction models can yield actionable insights into the risk profiles of furniture manufacturing enterprises, even when adapting models developed in Western contexts to the emerging market conditions of Uzbekistan. Firms with weaker liquidity positions, higher leverage, or limited operational efficiency consistently exhibited higher risk scores. This justifies the need for targeted financial management strategies, enhanced internal control systems, and tailored risk mitigation frameworks for the furniture sector.</w:t>
      </w:r>
    </w:p>
    <w:p w14:paraId="6C28CD8D" w14:textId="3EFF15E0" w:rsidR="00971F50" w:rsidRDefault="00971F50" w:rsidP="003146EB">
      <w:pPr>
        <w:spacing w:before="240" w:after="240" w:line="240" w:lineRule="auto"/>
        <w:jc w:val="center"/>
        <w:rPr>
          <w:rFonts w:ascii="Times New Roman" w:hAnsi="Times New Roman" w:cs="Times New Roman"/>
          <w:b/>
          <w:bCs/>
        </w:rPr>
      </w:pPr>
      <w:r w:rsidRPr="003D44DB">
        <w:rPr>
          <w:rFonts w:ascii="Times New Roman" w:hAnsi="Times New Roman" w:cs="Times New Roman"/>
          <w:b/>
          <w:bCs/>
        </w:rPr>
        <w:t>RESEARCH RESULTS</w:t>
      </w:r>
    </w:p>
    <w:p w14:paraId="12415825" w14:textId="77777777" w:rsidR="003146EB" w:rsidRPr="003146EB" w:rsidRDefault="003146EB" w:rsidP="003146EB">
      <w:pPr>
        <w:spacing w:after="0" w:line="240" w:lineRule="auto"/>
        <w:ind w:firstLine="284"/>
        <w:jc w:val="both"/>
        <w:rPr>
          <w:rFonts w:ascii="Times New Roman" w:hAnsi="Times New Roman" w:cs="Times New Roman"/>
          <w:sz w:val="20"/>
          <w:szCs w:val="20"/>
        </w:rPr>
      </w:pPr>
      <w:r w:rsidRPr="003146EB">
        <w:rPr>
          <w:rFonts w:ascii="Times New Roman" w:hAnsi="Times New Roman" w:cs="Times New Roman"/>
          <w:sz w:val="20"/>
          <w:szCs w:val="20"/>
        </w:rPr>
        <w:t xml:space="preserve">The furniture industry in Uzbekistan has experienced significant development over the past decade, influenced by multiple economic factors including production capacity, sales volume, enterprise risk levels, entrepreneurial activity, and per capita income. To analyze and forecast these dynamics, a multi-factor econometric modeling approach was employed using time series data from 2011–2022. </w:t>
      </w:r>
    </w:p>
    <w:p w14:paraId="174B2690" w14:textId="79A7C66E" w:rsidR="003146EB" w:rsidRDefault="003146EB" w:rsidP="003146EB">
      <w:pPr>
        <w:spacing w:after="0" w:line="240" w:lineRule="auto"/>
        <w:ind w:firstLine="284"/>
        <w:jc w:val="both"/>
        <w:rPr>
          <w:rFonts w:ascii="Times New Roman" w:hAnsi="Times New Roman" w:cs="Times New Roman"/>
          <w:sz w:val="20"/>
          <w:szCs w:val="20"/>
        </w:rPr>
      </w:pPr>
      <w:r w:rsidRPr="003146EB">
        <w:rPr>
          <w:rFonts w:ascii="Times New Roman" w:hAnsi="Times New Roman" w:cs="Times New Roman"/>
          <w:sz w:val="20"/>
          <w:szCs w:val="20"/>
        </w:rPr>
        <w:t>The analysis used key endogenous and exogenous variables identified through expert assessments and industry statistics. (Table 4) [20]</w:t>
      </w:r>
      <w:r>
        <w:rPr>
          <w:rFonts w:ascii="Times New Roman" w:hAnsi="Times New Roman" w:cs="Times New Roman"/>
          <w:sz w:val="20"/>
          <w:szCs w:val="20"/>
        </w:rPr>
        <w:t>.</w:t>
      </w:r>
    </w:p>
    <w:p w14:paraId="70B36415" w14:textId="77777777" w:rsidR="003146EB" w:rsidRDefault="003146EB" w:rsidP="003146EB">
      <w:pPr>
        <w:spacing w:after="0" w:line="240" w:lineRule="auto"/>
        <w:ind w:firstLine="284"/>
        <w:jc w:val="center"/>
        <w:rPr>
          <w:rFonts w:ascii="Times New Roman" w:hAnsi="Times New Roman" w:cs="Times New Roman"/>
          <w:b/>
          <w:bCs/>
          <w:sz w:val="20"/>
          <w:szCs w:val="20"/>
        </w:rPr>
      </w:pPr>
    </w:p>
    <w:p w14:paraId="0F8F0BC7" w14:textId="5210FC7F" w:rsidR="003146EB" w:rsidRDefault="003146EB" w:rsidP="003146EB">
      <w:pPr>
        <w:spacing w:after="0" w:line="240" w:lineRule="auto"/>
        <w:ind w:firstLine="284"/>
        <w:jc w:val="center"/>
        <w:rPr>
          <w:rFonts w:ascii="Times New Roman" w:hAnsi="Times New Roman" w:cs="Times New Roman"/>
          <w:sz w:val="20"/>
          <w:szCs w:val="20"/>
        </w:rPr>
      </w:pPr>
      <w:r w:rsidRPr="003146EB">
        <w:rPr>
          <w:rFonts w:ascii="Times New Roman" w:hAnsi="Times New Roman" w:cs="Times New Roman"/>
          <w:b/>
          <w:bCs/>
          <w:sz w:val="20"/>
          <w:szCs w:val="20"/>
        </w:rPr>
        <w:t>TABLE 4.</w:t>
      </w:r>
      <w:r w:rsidRPr="003146EB">
        <w:rPr>
          <w:rFonts w:ascii="Times New Roman" w:hAnsi="Times New Roman" w:cs="Times New Roman"/>
          <w:sz w:val="20"/>
          <w:szCs w:val="20"/>
        </w:rPr>
        <w:t xml:space="preserve">  Revenue and influencing factors in Uzbekistan’s furniture industry (2011–2022)</w:t>
      </w:r>
    </w:p>
    <w:tbl>
      <w:tblPr>
        <w:tblStyle w:val="11"/>
        <w:tblW w:w="0" w:type="auto"/>
        <w:jc w:val="center"/>
        <w:tblLook w:val="04A0" w:firstRow="1" w:lastRow="0" w:firstColumn="1" w:lastColumn="0" w:noHBand="0" w:noVBand="1"/>
      </w:tblPr>
      <w:tblGrid>
        <w:gridCol w:w="576"/>
        <w:gridCol w:w="1098"/>
        <w:gridCol w:w="1705"/>
        <w:gridCol w:w="1356"/>
        <w:gridCol w:w="1560"/>
        <w:gridCol w:w="1786"/>
        <w:gridCol w:w="1271"/>
      </w:tblGrid>
      <w:tr w:rsidR="003146EB" w:rsidRPr="003146EB" w14:paraId="1F234C0F" w14:textId="77777777" w:rsidTr="003146E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B3D9ABE" w14:textId="77777777" w:rsidR="003146EB" w:rsidRPr="003146EB" w:rsidRDefault="003146EB" w:rsidP="003146EB">
            <w:pPr>
              <w:keepNext/>
              <w:overflowPunct w:val="0"/>
              <w:autoSpaceDE w:val="0"/>
              <w:autoSpaceDN w:val="0"/>
              <w:adjustRightInd w:val="0"/>
              <w:jc w:val="center"/>
              <w:textAlignment w:val="baseline"/>
              <w:outlineLvl w:val="5"/>
              <w:rPr>
                <w:rFonts w:ascii="Times New Roman" w:eastAsia="Times New Roman" w:hAnsi="Times New Roman" w:cs="Times New Roman"/>
                <w:sz w:val="18"/>
                <w:szCs w:val="18"/>
                <w:lang w:eastAsia="ru-RU"/>
              </w:rPr>
            </w:pPr>
            <w:r w:rsidRPr="003146EB">
              <w:rPr>
                <w:rFonts w:ascii="Times New Roman" w:eastAsia="Times New Roman" w:hAnsi="Times New Roman" w:cs="Times New Roman"/>
                <w:sz w:val="18"/>
                <w:szCs w:val="18"/>
                <w:lang w:eastAsia="ru-RU"/>
              </w:rPr>
              <w:t>Year</w:t>
            </w:r>
          </w:p>
        </w:tc>
        <w:tc>
          <w:tcPr>
            <w:tcW w:w="0" w:type="auto"/>
            <w:vAlign w:val="center"/>
            <w:hideMark/>
          </w:tcPr>
          <w:p w14:paraId="3566611D" w14:textId="77777777" w:rsidR="003146EB" w:rsidRPr="003146EB" w:rsidRDefault="003146EB" w:rsidP="003146EB">
            <w:pPr>
              <w:keepNext/>
              <w:overflowPunct w:val="0"/>
              <w:autoSpaceDE w:val="0"/>
              <w:autoSpaceDN w:val="0"/>
              <w:adjustRightInd w:val="0"/>
              <w:jc w:val="center"/>
              <w:textAlignment w:val="baseline"/>
              <w:outlineLvl w:val="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3146EB">
              <w:rPr>
                <w:rFonts w:ascii="Times New Roman" w:eastAsia="Times New Roman" w:hAnsi="Times New Roman" w:cs="Times New Roman"/>
                <w:sz w:val="18"/>
                <w:szCs w:val="18"/>
                <w:lang w:eastAsia="ru-RU"/>
              </w:rPr>
              <w:t>Revenue, bln. UZS (Y)</w:t>
            </w:r>
          </w:p>
        </w:tc>
        <w:tc>
          <w:tcPr>
            <w:tcW w:w="0" w:type="auto"/>
            <w:vAlign w:val="center"/>
            <w:hideMark/>
          </w:tcPr>
          <w:p w14:paraId="33A85334" w14:textId="77777777" w:rsidR="003146EB" w:rsidRPr="003146EB" w:rsidRDefault="003146EB" w:rsidP="003146EB">
            <w:pPr>
              <w:keepNext/>
              <w:overflowPunct w:val="0"/>
              <w:autoSpaceDE w:val="0"/>
              <w:autoSpaceDN w:val="0"/>
              <w:adjustRightInd w:val="0"/>
              <w:jc w:val="center"/>
              <w:textAlignment w:val="baseline"/>
              <w:outlineLvl w:val="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3146EB">
              <w:rPr>
                <w:rFonts w:ascii="Times New Roman" w:eastAsia="Times New Roman" w:hAnsi="Times New Roman" w:cs="Times New Roman"/>
                <w:sz w:val="18"/>
                <w:szCs w:val="18"/>
                <w:lang w:eastAsia="ru-RU"/>
              </w:rPr>
              <w:t>Average Furniture Production per Capita, thous. UZS (X1)</w:t>
            </w:r>
          </w:p>
        </w:tc>
        <w:tc>
          <w:tcPr>
            <w:tcW w:w="0" w:type="auto"/>
            <w:vAlign w:val="center"/>
            <w:hideMark/>
          </w:tcPr>
          <w:p w14:paraId="5B8CB82C" w14:textId="77777777" w:rsidR="003146EB" w:rsidRPr="003146EB" w:rsidRDefault="003146EB" w:rsidP="003146EB">
            <w:pPr>
              <w:keepNext/>
              <w:overflowPunct w:val="0"/>
              <w:autoSpaceDE w:val="0"/>
              <w:autoSpaceDN w:val="0"/>
              <w:adjustRightInd w:val="0"/>
              <w:jc w:val="center"/>
              <w:textAlignment w:val="baseline"/>
              <w:outlineLvl w:val="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3146EB">
              <w:rPr>
                <w:rFonts w:ascii="Times New Roman" w:eastAsia="Times New Roman" w:hAnsi="Times New Roman" w:cs="Times New Roman"/>
                <w:sz w:val="18"/>
                <w:szCs w:val="18"/>
                <w:lang w:eastAsia="ru-RU"/>
              </w:rPr>
              <w:t>Furniture Sales Volume, bln. UZS (X2)</w:t>
            </w:r>
          </w:p>
        </w:tc>
        <w:tc>
          <w:tcPr>
            <w:tcW w:w="0" w:type="auto"/>
            <w:vAlign w:val="center"/>
            <w:hideMark/>
          </w:tcPr>
          <w:p w14:paraId="4082585C" w14:textId="77777777" w:rsidR="003146EB" w:rsidRPr="003146EB" w:rsidRDefault="003146EB" w:rsidP="003146EB">
            <w:pPr>
              <w:keepNext/>
              <w:overflowPunct w:val="0"/>
              <w:autoSpaceDE w:val="0"/>
              <w:autoSpaceDN w:val="0"/>
              <w:adjustRightInd w:val="0"/>
              <w:jc w:val="center"/>
              <w:textAlignment w:val="baseline"/>
              <w:outlineLvl w:val="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3146EB">
              <w:rPr>
                <w:rFonts w:ascii="Times New Roman" w:eastAsia="Times New Roman" w:hAnsi="Times New Roman" w:cs="Times New Roman"/>
                <w:sz w:val="18"/>
                <w:szCs w:val="18"/>
                <w:lang w:eastAsia="ru-RU"/>
              </w:rPr>
              <w:t>Average Enterprise Risk Coefficient, unit (X3)</w:t>
            </w:r>
          </w:p>
        </w:tc>
        <w:tc>
          <w:tcPr>
            <w:tcW w:w="0" w:type="auto"/>
            <w:vAlign w:val="center"/>
            <w:hideMark/>
          </w:tcPr>
          <w:p w14:paraId="63849C3C" w14:textId="77777777" w:rsidR="003146EB" w:rsidRPr="003146EB" w:rsidRDefault="003146EB" w:rsidP="003146EB">
            <w:pPr>
              <w:keepNext/>
              <w:overflowPunct w:val="0"/>
              <w:autoSpaceDE w:val="0"/>
              <w:autoSpaceDN w:val="0"/>
              <w:adjustRightInd w:val="0"/>
              <w:jc w:val="center"/>
              <w:textAlignment w:val="baseline"/>
              <w:outlineLvl w:val="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3146EB">
              <w:rPr>
                <w:rFonts w:ascii="Times New Roman" w:eastAsia="Times New Roman" w:hAnsi="Times New Roman" w:cs="Times New Roman"/>
                <w:sz w:val="18"/>
                <w:szCs w:val="18"/>
                <w:lang w:eastAsia="ru-RU"/>
              </w:rPr>
              <w:t>Number of Entrepreneurial Entities (X4)</w:t>
            </w:r>
          </w:p>
        </w:tc>
        <w:tc>
          <w:tcPr>
            <w:tcW w:w="0" w:type="auto"/>
            <w:vAlign w:val="center"/>
            <w:hideMark/>
          </w:tcPr>
          <w:p w14:paraId="716A8954" w14:textId="77777777" w:rsidR="003146EB" w:rsidRPr="003146EB" w:rsidRDefault="003146EB" w:rsidP="003146EB">
            <w:pPr>
              <w:keepNext/>
              <w:overflowPunct w:val="0"/>
              <w:autoSpaceDE w:val="0"/>
              <w:autoSpaceDN w:val="0"/>
              <w:adjustRightInd w:val="0"/>
              <w:jc w:val="center"/>
              <w:textAlignment w:val="baseline"/>
              <w:outlineLvl w:val="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3146EB">
              <w:rPr>
                <w:rFonts w:ascii="Times New Roman" w:eastAsia="Times New Roman" w:hAnsi="Times New Roman" w:cs="Times New Roman"/>
                <w:sz w:val="18"/>
                <w:szCs w:val="18"/>
                <w:lang w:eastAsia="ru-RU"/>
              </w:rPr>
              <w:t>Per Capita Real Income, thous. UZS (X5)</w:t>
            </w:r>
          </w:p>
        </w:tc>
      </w:tr>
      <w:tr w:rsidR="003146EB" w:rsidRPr="003146EB" w14:paraId="2430DB23" w14:textId="77777777" w:rsidTr="003146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829AEB2" w14:textId="77777777" w:rsidR="003146EB" w:rsidRPr="003146EB" w:rsidRDefault="003146EB" w:rsidP="003146EB">
            <w:pPr>
              <w:keepNext/>
              <w:overflowPunct w:val="0"/>
              <w:autoSpaceDE w:val="0"/>
              <w:autoSpaceDN w:val="0"/>
              <w:adjustRightInd w:val="0"/>
              <w:jc w:val="center"/>
              <w:textAlignment w:val="baseline"/>
              <w:outlineLvl w:val="5"/>
              <w:rPr>
                <w:rFonts w:ascii="Times New Roman" w:eastAsia="Times New Roman" w:hAnsi="Times New Roman" w:cs="Times New Roman"/>
                <w:sz w:val="18"/>
                <w:szCs w:val="18"/>
                <w:lang w:eastAsia="ru-RU"/>
              </w:rPr>
            </w:pPr>
            <w:r w:rsidRPr="003146EB">
              <w:rPr>
                <w:rFonts w:ascii="Times New Roman" w:eastAsia="Times New Roman" w:hAnsi="Times New Roman" w:cs="Times New Roman"/>
                <w:sz w:val="18"/>
                <w:szCs w:val="18"/>
                <w:lang w:eastAsia="ru-RU"/>
              </w:rPr>
              <w:t>2011</w:t>
            </w:r>
          </w:p>
        </w:tc>
        <w:tc>
          <w:tcPr>
            <w:tcW w:w="0" w:type="auto"/>
            <w:vAlign w:val="center"/>
            <w:hideMark/>
          </w:tcPr>
          <w:p w14:paraId="621FB4EF"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207.6</w:t>
            </w:r>
          </w:p>
        </w:tc>
        <w:tc>
          <w:tcPr>
            <w:tcW w:w="0" w:type="auto"/>
            <w:vAlign w:val="center"/>
            <w:hideMark/>
          </w:tcPr>
          <w:p w14:paraId="756D1F98"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7.9</w:t>
            </w:r>
          </w:p>
        </w:tc>
        <w:tc>
          <w:tcPr>
            <w:tcW w:w="0" w:type="auto"/>
            <w:vAlign w:val="center"/>
            <w:hideMark/>
          </w:tcPr>
          <w:p w14:paraId="76620433"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75.1</w:t>
            </w:r>
          </w:p>
        </w:tc>
        <w:tc>
          <w:tcPr>
            <w:tcW w:w="0" w:type="auto"/>
            <w:vAlign w:val="center"/>
            <w:hideMark/>
          </w:tcPr>
          <w:p w14:paraId="29480DA4"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0.56</w:t>
            </w:r>
          </w:p>
        </w:tc>
        <w:tc>
          <w:tcPr>
            <w:tcW w:w="0" w:type="auto"/>
            <w:vAlign w:val="center"/>
            <w:hideMark/>
          </w:tcPr>
          <w:p w14:paraId="4C4022D2"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1085</w:t>
            </w:r>
          </w:p>
        </w:tc>
        <w:tc>
          <w:tcPr>
            <w:tcW w:w="0" w:type="auto"/>
            <w:vAlign w:val="center"/>
            <w:hideMark/>
          </w:tcPr>
          <w:p w14:paraId="5384AEC0"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2729.9</w:t>
            </w:r>
          </w:p>
        </w:tc>
      </w:tr>
      <w:tr w:rsidR="003146EB" w:rsidRPr="003146EB" w14:paraId="77137C40" w14:textId="77777777" w:rsidTr="003146EB">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15389F6" w14:textId="77777777" w:rsidR="003146EB" w:rsidRPr="003146EB" w:rsidRDefault="003146EB" w:rsidP="003146EB">
            <w:pPr>
              <w:keepNext/>
              <w:overflowPunct w:val="0"/>
              <w:autoSpaceDE w:val="0"/>
              <w:autoSpaceDN w:val="0"/>
              <w:adjustRightInd w:val="0"/>
              <w:jc w:val="center"/>
              <w:textAlignment w:val="baseline"/>
              <w:outlineLvl w:val="5"/>
              <w:rPr>
                <w:rFonts w:ascii="Times New Roman" w:eastAsia="Times New Roman" w:hAnsi="Times New Roman" w:cs="Times New Roman"/>
                <w:sz w:val="18"/>
                <w:szCs w:val="18"/>
                <w:lang w:eastAsia="ru-RU"/>
              </w:rPr>
            </w:pPr>
            <w:r w:rsidRPr="003146EB">
              <w:rPr>
                <w:rFonts w:ascii="Times New Roman" w:eastAsia="Times New Roman" w:hAnsi="Times New Roman" w:cs="Times New Roman"/>
                <w:sz w:val="18"/>
                <w:szCs w:val="18"/>
                <w:lang w:eastAsia="ru-RU"/>
              </w:rPr>
              <w:t>2012</w:t>
            </w:r>
          </w:p>
        </w:tc>
        <w:tc>
          <w:tcPr>
            <w:tcW w:w="0" w:type="auto"/>
            <w:vAlign w:val="center"/>
            <w:hideMark/>
          </w:tcPr>
          <w:p w14:paraId="7CE05757"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228.0</w:t>
            </w:r>
          </w:p>
        </w:tc>
        <w:tc>
          <w:tcPr>
            <w:tcW w:w="0" w:type="auto"/>
            <w:vAlign w:val="center"/>
            <w:hideMark/>
          </w:tcPr>
          <w:p w14:paraId="45838E8E"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9.7</w:t>
            </w:r>
          </w:p>
        </w:tc>
        <w:tc>
          <w:tcPr>
            <w:tcW w:w="0" w:type="auto"/>
            <w:vAlign w:val="center"/>
            <w:hideMark/>
          </w:tcPr>
          <w:p w14:paraId="6300BCD1"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85.7</w:t>
            </w:r>
          </w:p>
        </w:tc>
        <w:tc>
          <w:tcPr>
            <w:tcW w:w="0" w:type="auto"/>
            <w:vAlign w:val="center"/>
            <w:hideMark/>
          </w:tcPr>
          <w:p w14:paraId="2E5898F6"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0.65</w:t>
            </w:r>
          </w:p>
        </w:tc>
        <w:tc>
          <w:tcPr>
            <w:tcW w:w="0" w:type="auto"/>
            <w:vAlign w:val="center"/>
            <w:hideMark/>
          </w:tcPr>
          <w:p w14:paraId="17F0D296"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1284</w:t>
            </w:r>
          </w:p>
        </w:tc>
        <w:tc>
          <w:tcPr>
            <w:tcW w:w="0" w:type="auto"/>
            <w:vAlign w:val="center"/>
            <w:hideMark/>
          </w:tcPr>
          <w:p w14:paraId="0CCB8755"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3267.8</w:t>
            </w:r>
          </w:p>
        </w:tc>
      </w:tr>
      <w:tr w:rsidR="003146EB" w:rsidRPr="003146EB" w14:paraId="351A20A2" w14:textId="77777777" w:rsidTr="003146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192A22E" w14:textId="77777777" w:rsidR="003146EB" w:rsidRPr="003146EB" w:rsidRDefault="003146EB" w:rsidP="003146EB">
            <w:pPr>
              <w:keepNext/>
              <w:overflowPunct w:val="0"/>
              <w:autoSpaceDE w:val="0"/>
              <w:autoSpaceDN w:val="0"/>
              <w:adjustRightInd w:val="0"/>
              <w:jc w:val="center"/>
              <w:textAlignment w:val="baseline"/>
              <w:outlineLvl w:val="5"/>
              <w:rPr>
                <w:rFonts w:ascii="Times New Roman" w:eastAsia="Times New Roman" w:hAnsi="Times New Roman" w:cs="Times New Roman"/>
                <w:sz w:val="18"/>
                <w:szCs w:val="18"/>
                <w:lang w:eastAsia="ru-RU"/>
              </w:rPr>
            </w:pPr>
            <w:r w:rsidRPr="003146EB">
              <w:rPr>
                <w:rFonts w:ascii="Times New Roman" w:eastAsia="Times New Roman" w:hAnsi="Times New Roman" w:cs="Times New Roman"/>
                <w:sz w:val="18"/>
                <w:szCs w:val="18"/>
                <w:lang w:eastAsia="ru-RU"/>
              </w:rPr>
              <w:t>2013</w:t>
            </w:r>
          </w:p>
        </w:tc>
        <w:tc>
          <w:tcPr>
            <w:tcW w:w="0" w:type="auto"/>
            <w:vAlign w:val="center"/>
            <w:hideMark/>
          </w:tcPr>
          <w:p w14:paraId="31648D29"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349.0</w:t>
            </w:r>
          </w:p>
        </w:tc>
        <w:tc>
          <w:tcPr>
            <w:tcW w:w="0" w:type="auto"/>
            <w:vAlign w:val="center"/>
            <w:hideMark/>
          </w:tcPr>
          <w:p w14:paraId="79883E8D"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12.5</w:t>
            </w:r>
          </w:p>
        </w:tc>
        <w:tc>
          <w:tcPr>
            <w:tcW w:w="0" w:type="auto"/>
            <w:vAlign w:val="center"/>
            <w:hideMark/>
          </w:tcPr>
          <w:p w14:paraId="7AD48D32"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146.0</w:t>
            </w:r>
          </w:p>
        </w:tc>
        <w:tc>
          <w:tcPr>
            <w:tcW w:w="0" w:type="auto"/>
            <w:vAlign w:val="center"/>
            <w:hideMark/>
          </w:tcPr>
          <w:p w14:paraId="4739BF9C"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0.68</w:t>
            </w:r>
          </w:p>
        </w:tc>
        <w:tc>
          <w:tcPr>
            <w:tcW w:w="0" w:type="auto"/>
            <w:vAlign w:val="center"/>
            <w:hideMark/>
          </w:tcPr>
          <w:p w14:paraId="0D7894AC"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2134</w:t>
            </w:r>
          </w:p>
        </w:tc>
        <w:tc>
          <w:tcPr>
            <w:tcW w:w="0" w:type="auto"/>
            <w:vAlign w:val="center"/>
            <w:hideMark/>
          </w:tcPr>
          <w:p w14:paraId="65EC4B85"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3902.7</w:t>
            </w:r>
          </w:p>
        </w:tc>
      </w:tr>
      <w:tr w:rsidR="003146EB" w:rsidRPr="003146EB" w14:paraId="56490B9F" w14:textId="77777777" w:rsidTr="003146EB">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662AF3B" w14:textId="77777777" w:rsidR="003146EB" w:rsidRPr="003146EB" w:rsidRDefault="003146EB" w:rsidP="003146EB">
            <w:pPr>
              <w:keepNext/>
              <w:overflowPunct w:val="0"/>
              <w:autoSpaceDE w:val="0"/>
              <w:autoSpaceDN w:val="0"/>
              <w:adjustRightInd w:val="0"/>
              <w:jc w:val="center"/>
              <w:textAlignment w:val="baseline"/>
              <w:outlineLvl w:val="5"/>
              <w:rPr>
                <w:rFonts w:ascii="Times New Roman" w:eastAsia="Times New Roman" w:hAnsi="Times New Roman" w:cs="Times New Roman"/>
                <w:sz w:val="18"/>
                <w:szCs w:val="18"/>
                <w:lang w:eastAsia="ru-RU"/>
              </w:rPr>
            </w:pPr>
            <w:r w:rsidRPr="003146EB">
              <w:rPr>
                <w:rFonts w:ascii="Times New Roman" w:eastAsia="Times New Roman" w:hAnsi="Times New Roman" w:cs="Times New Roman"/>
                <w:sz w:val="18"/>
                <w:szCs w:val="18"/>
                <w:lang w:eastAsia="ru-RU"/>
              </w:rPr>
              <w:t>2014</w:t>
            </w:r>
          </w:p>
        </w:tc>
        <w:tc>
          <w:tcPr>
            <w:tcW w:w="0" w:type="auto"/>
            <w:vAlign w:val="center"/>
            <w:hideMark/>
          </w:tcPr>
          <w:p w14:paraId="52E9561B"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491.4</w:t>
            </w:r>
          </w:p>
        </w:tc>
        <w:tc>
          <w:tcPr>
            <w:tcW w:w="0" w:type="auto"/>
            <w:vAlign w:val="center"/>
            <w:hideMark/>
          </w:tcPr>
          <w:p w14:paraId="5C992452"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16.2</w:t>
            </w:r>
          </w:p>
        </w:tc>
        <w:tc>
          <w:tcPr>
            <w:tcW w:w="0" w:type="auto"/>
            <w:vAlign w:val="center"/>
            <w:hideMark/>
          </w:tcPr>
          <w:p w14:paraId="7A1347CF"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341.0</w:t>
            </w:r>
          </w:p>
        </w:tc>
        <w:tc>
          <w:tcPr>
            <w:tcW w:w="0" w:type="auto"/>
            <w:vAlign w:val="center"/>
            <w:hideMark/>
          </w:tcPr>
          <w:p w14:paraId="50B6D13A"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0.72</w:t>
            </w:r>
          </w:p>
        </w:tc>
        <w:tc>
          <w:tcPr>
            <w:tcW w:w="0" w:type="auto"/>
            <w:vAlign w:val="center"/>
            <w:hideMark/>
          </w:tcPr>
          <w:p w14:paraId="10856FD2"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2336</w:t>
            </w:r>
          </w:p>
        </w:tc>
        <w:tc>
          <w:tcPr>
            <w:tcW w:w="0" w:type="auto"/>
            <w:vAlign w:val="center"/>
            <w:hideMark/>
          </w:tcPr>
          <w:p w14:paraId="6A1F8548"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4472.0</w:t>
            </w:r>
          </w:p>
        </w:tc>
      </w:tr>
      <w:tr w:rsidR="003146EB" w:rsidRPr="003146EB" w14:paraId="0BE4F79D" w14:textId="77777777" w:rsidTr="003146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B4FC540" w14:textId="77777777" w:rsidR="003146EB" w:rsidRPr="003146EB" w:rsidRDefault="003146EB" w:rsidP="003146EB">
            <w:pPr>
              <w:keepNext/>
              <w:overflowPunct w:val="0"/>
              <w:autoSpaceDE w:val="0"/>
              <w:autoSpaceDN w:val="0"/>
              <w:adjustRightInd w:val="0"/>
              <w:jc w:val="center"/>
              <w:textAlignment w:val="baseline"/>
              <w:outlineLvl w:val="5"/>
              <w:rPr>
                <w:rFonts w:ascii="Times New Roman" w:eastAsia="Times New Roman" w:hAnsi="Times New Roman" w:cs="Times New Roman"/>
                <w:sz w:val="18"/>
                <w:szCs w:val="18"/>
                <w:lang w:eastAsia="ru-RU"/>
              </w:rPr>
            </w:pPr>
            <w:r w:rsidRPr="003146EB">
              <w:rPr>
                <w:rFonts w:ascii="Times New Roman" w:eastAsia="Times New Roman" w:hAnsi="Times New Roman" w:cs="Times New Roman"/>
                <w:sz w:val="18"/>
                <w:szCs w:val="18"/>
                <w:lang w:eastAsia="ru-RU"/>
              </w:rPr>
              <w:t>2015</w:t>
            </w:r>
          </w:p>
        </w:tc>
        <w:tc>
          <w:tcPr>
            <w:tcW w:w="0" w:type="auto"/>
            <w:vAlign w:val="center"/>
            <w:hideMark/>
          </w:tcPr>
          <w:p w14:paraId="4E4F1712"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614.8</w:t>
            </w:r>
          </w:p>
        </w:tc>
        <w:tc>
          <w:tcPr>
            <w:tcW w:w="0" w:type="auto"/>
            <w:vAlign w:val="center"/>
            <w:hideMark/>
          </w:tcPr>
          <w:p w14:paraId="4B34D9D1"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19.8</w:t>
            </w:r>
          </w:p>
        </w:tc>
        <w:tc>
          <w:tcPr>
            <w:tcW w:w="0" w:type="auto"/>
            <w:vAlign w:val="center"/>
            <w:hideMark/>
          </w:tcPr>
          <w:p w14:paraId="4594FD51"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472.9</w:t>
            </w:r>
          </w:p>
        </w:tc>
        <w:tc>
          <w:tcPr>
            <w:tcW w:w="0" w:type="auto"/>
            <w:vAlign w:val="center"/>
            <w:hideMark/>
          </w:tcPr>
          <w:p w14:paraId="7FC6F6D2"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0.54</w:t>
            </w:r>
          </w:p>
        </w:tc>
        <w:tc>
          <w:tcPr>
            <w:tcW w:w="0" w:type="auto"/>
            <w:vAlign w:val="center"/>
            <w:hideMark/>
          </w:tcPr>
          <w:p w14:paraId="0EF7D3CC"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2385</w:t>
            </w:r>
          </w:p>
        </w:tc>
        <w:tc>
          <w:tcPr>
            <w:tcW w:w="0" w:type="auto"/>
            <w:vAlign w:val="center"/>
            <w:hideMark/>
          </w:tcPr>
          <w:p w14:paraId="5484F62D"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5127.5</w:t>
            </w:r>
          </w:p>
        </w:tc>
      </w:tr>
      <w:tr w:rsidR="003146EB" w:rsidRPr="003146EB" w14:paraId="4E5726C5" w14:textId="77777777" w:rsidTr="003146EB">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9FBFEA6" w14:textId="77777777" w:rsidR="003146EB" w:rsidRPr="003146EB" w:rsidRDefault="003146EB" w:rsidP="003146EB">
            <w:pPr>
              <w:keepNext/>
              <w:overflowPunct w:val="0"/>
              <w:autoSpaceDE w:val="0"/>
              <w:autoSpaceDN w:val="0"/>
              <w:adjustRightInd w:val="0"/>
              <w:jc w:val="center"/>
              <w:textAlignment w:val="baseline"/>
              <w:outlineLvl w:val="5"/>
              <w:rPr>
                <w:rFonts w:ascii="Times New Roman" w:eastAsia="Times New Roman" w:hAnsi="Times New Roman" w:cs="Times New Roman"/>
                <w:sz w:val="18"/>
                <w:szCs w:val="18"/>
                <w:lang w:eastAsia="ru-RU"/>
              </w:rPr>
            </w:pPr>
            <w:r w:rsidRPr="003146EB">
              <w:rPr>
                <w:rFonts w:ascii="Times New Roman" w:eastAsia="Times New Roman" w:hAnsi="Times New Roman" w:cs="Times New Roman"/>
                <w:sz w:val="18"/>
                <w:szCs w:val="18"/>
                <w:lang w:eastAsia="ru-RU"/>
              </w:rPr>
              <w:t>2016</w:t>
            </w:r>
          </w:p>
        </w:tc>
        <w:tc>
          <w:tcPr>
            <w:tcW w:w="0" w:type="auto"/>
            <w:vAlign w:val="center"/>
            <w:hideMark/>
          </w:tcPr>
          <w:p w14:paraId="0365247D"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1371.4</w:t>
            </w:r>
          </w:p>
        </w:tc>
        <w:tc>
          <w:tcPr>
            <w:tcW w:w="0" w:type="auto"/>
            <w:vAlign w:val="center"/>
            <w:hideMark/>
          </w:tcPr>
          <w:p w14:paraId="5A357E64"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43.4</w:t>
            </w:r>
          </w:p>
        </w:tc>
        <w:tc>
          <w:tcPr>
            <w:tcW w:w="0" w:type="auto"/>
            <w:vAlign w:val="center"/>
            <w:hideMark/>
          </w:tcPr>
          <w:p w14:paraId="513E97E5"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655.9</w:t>
            </w:r>
          </w:p>
        </w:tc>
        <w:tc>
          <w:tcPr>
            <w:tcW w:w="0" w:type="auto"/>
            <w:vAlign w:val="center"/>
            <w:hideMark/>
          </w:tcPr>
          <w:p w14:paraId="695616AA"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0.78</w:t>
            </w:r>
          </w:p>
        </w:tc>
        <w:tc>
          <w:tcPr>
            <w:tcW w:w="0" w:type="auto"/>
            <w:vAlign w:val="center"/>
            <w:hideMark/>
          </w:tcPr>
          <w:p w14:paraId="26B055DF"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2508</w:t>
            </w:r>
          </w:p>
        </w:tc>
        <w:tc>
          <w:tcPr>
            <w:tcW w:w="0" w:type="auto"/>
            <w:vAlign w:val="center"/>
            <w:hideMark/>
          </w:tcPr>
          <w:p w14:paraId="55DB04E2"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5887.9</w:t>
            </w:r>
          </w:p>
        </w:tc>
      </w:tr>
      <w:tr w:rsidR="003146EB" w:rsidRPr="003146EB" w14:paraId="28151502" w14:textId="77777777" w:rsidTr="003146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0773726" w14:textId="77777777" w:rsidR="003146EB" w:rsidRPr="003146EB" w:rsidRDefault="003146EB" w:rsidP="003146EB">
            <w:pPr>
              <w:keepNext/>
              <w:overflowPunct w:val="0"/>
              <w:autoSpaceDE w:val="0"/>
              <w:autoSpaceDN w:val="0"/>
              <w:adjustRightInd w:val="0"/>
              <w:jc w:val="center"/>
              <w:textAlignment w:val="baseline"/>
              <w:outlineLvl w:val="5"/>
              <w:rPr>
                <w:rFonts w:ascii="Times New Roman" w:eastAsia="Times New Roman" w:hAnsi="Times New Roman" w:cs="Times New Roman"/>
                <w:sz w:val="18"/>
                <w:szCs w:val="18"/>
                <w:lang w:eastAsia="ru-RU"/>
              </w:rPr>
            </w:pPr>
            <w:r w:rsidRPr="003146EB">
              <w:rPr>
                <w:rFonts w:ascii="Times New Roman" w:eastAsia="Times New Roman" w:hAnsi="Times New Roman" w:cs="Times New Roman"/>
                <w:sz w:val="18"/>
                <w:szCs w:val="18"/>
                <w:lang w:eastAsia="ru-RU"/>
              </w:rPr>
              <w:t>2017</w:t>
            </w:r>
          </w:p>
        </w:tc>
        <w:tc>
          <w:tcPr>
            <w:tcW w:w="0" w:type="auto"/>
            <w:vAlign w:val="center"/>
            <w:hideMark/>
          </w:tcPr>
          <w:p w14:paraId="788B6FA3"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1513.7</w:t>
            </w:r>
          </w:p>
        </w:tc>
        <w:tc>
          <w:tcPr>
            <w:tcW w:w="0" w:type="auto"/>
            <w:vAlign w:val="center"/>
            <w:hideMark/>
          </w:tcPr>
          <w:p w14:paraId="1846C152"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47.1</w:t>
            </w:r>
          </w:p>
        </w:tc>
        <w:tc>
          <w:tcPr>
            <w:tcW w:w="0" w:type="auto"/>
            <w:vAlign w:val="center"/>
            <w:hideMark/>
          </w:tcPr>
          <w:p w14:paraId="6D73249A"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909.6</w:t>
            </w:r>
          </w:p>
        </w:tc>
        <w:tc>
          <w:tcPr>
            <w:tcW w:w="0" w:type="auto"/>
            <w:vAlign w:val="center"/>
            <w:hideMark/>
          </w:tcPr>
          <w:p w14:paraId="75502286"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0.64</w:t>
            </w:r>
          </w:p>
        </w:tc>
        <w:tc>
          <w:tcPr>
            <w:tcW w:w="0" w:type="auto"/>
            <w:vAlign w:val="center"/>
            <w:hideMark/>
          </w:tcPr>
          <w:p w14:paraId="1E49752E"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2615</w:t>
            </w:r>
          </w:p>
        </w:tc>
        <w:tc>
          <w:tcPr>
            <w:tcW w:w="0" w:type="auto"/>
            <w:vAlign w:val="center"/>
            <w:hideMark/>
          </w:tcPr>
          <w:p w14:paraId="03211AFD"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6681.4</w:t>
            </w:r>
          </w:p>
        </w:tc>
      </w:tr>
      <w:tr w:rsidR="003146EB" w:rsidRPr="003146EB" w14:paraId="7BC9BBF0" w14:textId="77777777" w:rsidTr="003146EB">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BD3B0F0" w14:textId="77777777" w:rsidR="003146EB" w:rsidRPr="003146EB" w:rsidRDefault="003146EB" w:rsidP="003146EB">
            <w:pPr>
              <w:keepNext/>
              <w:overflowPunct w:val="0"/>
              <w:autoSpaceDE w:val="0"/>
              <w:autoSpaceDN w:val="0"/>
              <w:adjustRightInd w:val="0"/>
              <w:jc w:val="center"/>
              <w:textAlignment w:val="baseline"/>
              <w:outlineLvl w:val="5"/>
              <w:rPr>
                <w:rFonts w:ascii="Times New Roman" w:eastAsia="Times New Roman" w:hAnsi="Times New Roman" w:cs="Times New Roman"/>
                <w:sz w:val="18"/>
                <w:szCs w:val="18"/>
                <w:lang w:eastAsia="ru-RU"/>
              </w:rPr>
            </w:pPr>
            <w:r w:rsidRPr="003146EB">
              <w:rPr>
                <w:rFonts w:ascii="Times New Roman" w:eastAsia="Times New Roman" w:hAnsi="Times New Roman" w:cs="Times New Roman"/>
                <w:sz w:val="18"/>
                <w:szCs w:val="18"/>
                <w:lang w:eastAsia="ru-RU"/>
              </w:rPr>
              <w:t>2018</w:t>
            </w:r>
          </w:p>
        </w:tc>
        <w:tc>
          <w:tcPr>
            <w:tcW w:w="0" w:type="auto"/>
            <w:vAlign w:val="center"/>
            <w:hideMark/>
          </w:tcPr>
          <w:p w14:paraId="1337D569"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1694.9</w:t>
            </w:r>
          </w:p>
        </w:tc>
        <w:tc>
          <w:tcPr>
            <w:tcW w:w="0" w:type="auto"/>
            <w:vAlign w:val="center"/>
            <w:hideMark/>
          </w:tcPr>
          <w:p w14:paraId="6002D809"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51.9</w:t>
            </w:r>
          </w:p>
        </w:tc>
        <w:tc>
          <w:tcPr>
            <w:tcW w:w="0" w:type="auto"/>
            <w:vAlign w:val="center"/>
            <w:hideMark/>
          </w:tcPr>
          <w:p w14:paraId="6826C8A1"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1261.4</w:t>
            </w:r>
          </w:p>
        </w:tc>
        <w:tc>
          <w:tcPr>
            <w:tcW w:w="0" w:type="auto"/>
            <w:vAlign w:val="center"/>
            <w:hideMark/>
          </w:tcPr>
          <w:p w14:paraId="32EBAFE4"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0.75</w:t>
            </w:r>
          </w:p>
        </w:tc>
        <w:tc>
          <w:tcPr>
            <w:tcW w:w="0" w:type="auto"/>
            <w:vAlign w:val="center"/>
            <w:hideMark/>
          </w:tcPr>
          <w:p w14:paraId="16C78AC8"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2697</w:t>
            </w:r>
          </w:p>
        </w:tc>
        <w:tc>
          <w:tcPr>
            <w:tcW w:w="0" w:type="auto"/>
            <w:vAlign w:val="center"/>
            <w:hideMark/>
          </w:tcPr>
          <w:p w14:paraId="0023E30B"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7767.0</w:t>
            </w:r>
          </w:p>
        </w:tc>
      </w:tr>
      <w:tr w:rsidR="003146EB" w:rsidRPr="003146EB" w14:paraId="6D102192" w14:textId="77777777" w:rsidTr="003146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53BE712" w14:textId="77777777" w:rsidR="003146EB" w:rsidRPr="003146EB" w:rsidRDefault="003146EB" w:rsidP="003146EB">
            <w:pPr>
              <w:keepNext/>
              <w:overflowPunct w:val="0"/>
              <w:autoSpaceDE w:val="0"/>
              <w:autoSpaceDN w:val="0"/>
              <w:adjustRightInd w:val="0"/>
              <w:jc w:val="center"/>
              <w:textAlignment w:val="baseline"/>
              <w:outlineLvl w:val="5"/>
              <w:rPr>
                <w:rFonts w:ascii="Times New Roman" w:eastAsia="Times New Roman" w:hAnsi="Times New Roman" w:cs="Times New Roman"/>
                <w:sz w:val="18"/>
                <w:szCs w:val="18"/>
                <w:lang w:eastAsia="ru-RU"/>
              </w:rPr>
            </w:pPr>
            <w:r w:rsidRPr="003146EB">
              <w:rPr>
                <w:rFonts w:ascii="Times New Roman" w:eastAsia="Times New Roman" w:hAnsi="Times New Roman" w:cs="Times New Roman"/>
                <w:sz w:val="18"/>
                <w:szCs w:val="18"/>
                <w:lang w:eastAsia="ru-RU"/>
              </w:rPr>
              <w:t>2019</w:t>
            </w:r>
          </w:p>
        </w:tc>
        <w:tc>
          <w:tcPr>
            <w:tcW w:w="0" w:type="auto"/>
            <w:vAlign w:val="center"/>
            <w:hideMark/>
          </w:tcPr>
          <w:p w14:paraId="661C4938"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2299.1</w:t>
            </w:r>
          </w:p>
        </w:tc>
        <w:tc>
          <w:tcPr>
            <w:tcW w:w="0" w:type="auto"/>
            <w:vAlign w:val="center"/>
            <w:hideMark/>
          </w:tcPr>
          <w:p w14:paraId="6631E593"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69.1</w:t>
            </w:r>
          </w:p>
        </w:tc>
        <w:tc>
          <w:tcPr>
            <w:tcW w:w="0" w:type="auto"/>
            <w:vAlign w:val="center"/>
            <w:hideMark/>
          </w:tcPr>
          <w:p w14:paraId="23411863"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1749.4</w:t>
            </w:r>
          </w:p>
        </w:tc>
        <w:tc>
          <w:tcPr>
            <w:tcW w:w="0" w:type="auto"/>
            <w:vAlign w:val="center"/>
            <w:hideMark/>
          </w:tcPr>
          <w:p w14:paraId="13515B98"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0.82</w:t>
            </w:r>
          </w:p>
        </w:tc>
        <w:tc>
          <w:tcPr>
            <w:tcW w:w="0" w:type="auto"/>
            <w:vAlign w:val="center"/>
            <w:hideMark/>
          </w:tcPr>
          <w:p w14:paraId="33339097"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2925</w:t>
            </w:r>
          </w:p>
        </w:tc>
        <w:tc>
          <w:tcPr>
            <w:tcW w:w="0" w:type="auto"/>
            <w:vAlign w:val="center"/>
            <w:hideMark/>
          </w:tcPr>
          <w:p w14:paraId="5C3EB770"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9509.6</w:t>
            </w:r>
          </w:p>
        </w:tc>
      </w:tr>
      <w:tr w:rsidR="003146EB" w:rsidRPr="003146EB" w14:paraId="61EB079C" w14:textId="77777777" w:rsidTr="003146EB">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EE4CEBC" w14:textId="77777777" w:rsidR="003146EB" w:rsidRPr="003146EB" w:rsidRDefault="003146EB" w:rsidP="003146EB">
            <w:pPr>
              <w:keepNext/>
              <w:overflowPunct w:val="0"/>
              <w:autoSpaceDE w:val="0"/>
              <w:autoSpaceDN w:val="0"/>
              <w:adjustRightInd w:val="0"/>
              <w:jc w:val="center"/>
              <w:textAlignment w:val="baseline"/>
              <w:outlineLvl w:val="5"/>
              <w:rPr>
                <w:rFonts w:ascii="Times New Roman" w:eastAsia="Times New Roman" w:hAnsi="Times New Roman" w:cs="Times New Roman"/>
                <w:sz w:val="18"/>
                <w:szCs w:val="18"/>
                <w:lang w:eastAsia="ru-RU"/>
              </w:rPr>
            </w:pPr>
            <w:r w:rsidRPr="003146EB">
              <w:rPr>
                <w:rFonts w:ascii="Times New Roman" w:eastAsia="Times New Roman" w:hAnsi="Times New Roman" w:cs="Times New Roman"/>
                <w:sz w:val="18"/>
                <w:szCs w:val="18"/>
                <w:lang w:eastAsia="ru-RU"/>
              </w:rPr>
              <w:t>2020</w:t>
            </w:r>
          </w:p>
        </w:tc>
        <w:tc>
          <w:tcPr>
            <w:tcW w:w="0" w:type="auto"/>
            <w:vAlign w:val="center"/>
            <w:hideMark/>
          </w:tcPr>
          <w:p w14:paraId="4ADBBCF7"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2097.3</w:t>
            </w:r>
          </w:p>
        </w:tc>
        <w:tc>
          <w:tcPr>
            <w:tcW w:w="0" w:type="auto"/>
            <w:vAlign w:val="center"/>
            <w:hideMark/>
          </w:tcPr>
          <w:p w14:paraId="6AED322F"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61.8</w:t>
            </w:r>
          </w:p>
        </w:tc>
        <w:tc>
          <w:tcPr>
            <w:tcW w:w="0" w:type="auto"/>
            <w:vAlign w:val="center"/>
            <w:hideMark/>
          </w:tcPr>
          <w:p w14:paraId="28AB28D7"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2426.1</w:t>
            </w:r>
          </w:p>
        </w:tc>
        <w:tc>
          <w:tcPr>
            <w:tcW w:w="0" w:type="auto"/>
            <w:vAlign w:val="center"/>
            <w:hideMark/>
          </w:tcPr>
          <w:p w14:paraId="494A8C02"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0.69</w:t>
            </w:r>
          </w:p>
        </w:tc>
        <w:tc>
          <w:tcPr>
            <w:tcW w:w="0" w:type="auto"/>
            <w:vAlign w:val="center"/>
            <w:hideMark/>
          </w:tcPr>
          <w:p w14:paraId="4BEA02A4"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3219</w:t>
            </w:r>
          </w:p>
        </w:tc>
        <w:tc>
          <w:tcPr>
            <w:tcW w:w="0" w:type="auto"/>
            <w:vAlign w:val="center"/>
            <w:hideMark/>
          </w:tcPr>
          <w:p w14:paraId="6B742637"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10734.2</w:t>
            </w:r>
          </w:p>
        </w:tc>
      </w:tr>
      <w:tr w:rsidR="003146EB" w:rsidRPr="003146EB" w14:paraId="11198589" w14:textId="77777777" w:rsidTr="003146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08FE0CA" w14:textId="77777777" w:rsidR="003146EB" w:rsidRPr="003146EB" w:rsidRDefault="003146EB" w:rsidP="003146EB">
            <w:pPr>
              <w:keepNext/>
              <w:overflowPunct w:val="0"/>
              <w:autoSpaceDE w:val="0"/>
              <w:autoSpaceDN w:val="0"/>
              <w:adjustRightInd w:val="0"/>
              <w:jc w:val="center"/>
              <w:textAlignment w:val="baseline"/>
              <w:outlineLvl w:val="5"/>
              <w:rPr>
                <w:rFonts w:ascii="Times New Roman" w:eastAsia="Times New Roman" w:hAnsi="Times New Roman" w:cs="Times New Roman"/>
                <w:sz w:val="18"/>
                <w:szCs w:val="18"/>
                <w:lang w:eastAsia="ru-RU"/>
              </w:rPr>
            </w:pPr>
            <w:r w:rsidRPr="003146EB">
              <w:rPr>
                <w:rFonts w:ascii="Times New Roman" w:eastAsia="Times New Roman" w:hAnsi="Times New Roman" w:cs="Times New Roman"/>
                <w:sz w:val="18"/>
                <w:szCs w:val="18"/>
                <w:lang w:eastAsia="ru-RU"/>
              </w:rPr>
              <w:t>2021</w:t>
            </w:r>
          </w:p>
        </w:tc>
        <w:tc>
          <w:tcPr>
            <w:tcW w:w="0" w:type="auto"/>
            <w:vAlign w:val="center"/>
            <w:hideMark/>
          </w:tcPr>
          <w:p w14:paraId="7AAF552F"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3059.8</w:t>
            </w:r>
          </w:p>
        </w:tc>
        <w:tc>
          <w:tcPr>
            <w:tcW w:w="0" w:type="auto"/>
            <w:vAlign w:val="center"/>
            <w:hideMark/>
          </w:tcPr>
          <w:p w14:paraId="3363E7EF"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88.5</w:t>
            </w:r>
          </w:p>
        </w:tc>
        <w:tc>
          <w:tcPr>
            <w:tcW w:w="0" w:type="auto"/>
            <w:vAlign w:val="center"/>
            <w:hideMark/>
          </w:tcPr>
          <w:p w14:paraId="1AC5790B"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3364.6</w:t>
            </w:r>
          </w:p>
        </w:tc>
        <w:tc>
          <w:tcPr>
            <w:tcW w:w="0" w:type="auto"/>
            <w:vAlign w:val="center"/>
            <w:hideMark/>
          </w:tcPr>
          <w:p w14:paraId="24C15DD6"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0.87</w:t>
            </w:r>
          </w:p>
        </w:tc>
        <w:tc>
          <w:tcPr>
            <w:tcW w:w="0" w:type="auto"/>
            <w:vAlign w:val="center"/>
            <w:hideMark/>
          </w:tcPr>
          <w:p w14:paraId="29398F1E"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3336</w:t>
            </w:r>
          </w:p>
        </w:tc>
        <w:tc>
          <w:tcPr>
            <w:tcW w:w="0" w:type="auto"/>
            <w:vAlign w:val="center"/>
            <w:hideMark/>
          </w:tcPr>
          <w:p w14:paraId="20344A77"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13416.7</w:t>
            </w:r>
          </w:p>
        </w:tc>
      </w:tr>
      <w:tr w:rsidR="003146EB" w:rsidRPr="003146EB" w14:paraId="36E5F3E1" w14:textId="77777777" w:rsidTr="003146EB">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B248521" w14:textId="77777777" w:rsidR="003146EB" w:rsidRPr="003146EB" w:rsidRDefault="003146EB" w:rsidP="003146EB">
            <w:pPr>
              <w:keepNext/>
              <w:overflowPunct w:val="0"/>
              <w:autoSpaceDE w:val="0"/>
              <w:autoSpaceDN w:val="0"/>
              <w:adjustRightInd w:val="0"/>
              <w:jc w:val="center"/>
              <w:textAlignment w:val="baseline"/>
              <w:outlineLvl w:val="5"/>
              <w:rPr>
                <w:rFonts w:ascii="Times New Roman" w:eastAsia="Times New Roman" w:hAnsi="Times New Roman" w:cs="Times New Roman"/>
                <w:sz w:val="18"/>
                <w:szCs w:val="18"/>
                <w:lang w:eastAsia="ru-RU"/>
              </w:rPr>
            </w:pPr>
            <w:r w:rsidRPr="003146EB">
              <w:rPr>
                <w:rFonts w:ascii="Times New Roman" w:eastAsia="Times New Roman" w:hAnsi="Times New Roman" w:cs="Times New Roman"/>
                <w:sz w:val="18"/>
                <w:szCs w:val="18"/>
                <w:lang w:eastAsia="ru-RU"/>
              </w:rPr>
              <w:t>2022</w:t>
            </w:r>
          </w:p>
        </w:tc>
        <w:tc>
          <w:tcPr>
            <w:tcW w:w="0" w:type="auto"/>
            <w:vAlign w:val="center"/>
            <w:hideMark/>
          </w:tcPr>
          <w:p w14:paraId="63140AD8"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3404.0</w:t>
            </w:r>
          </w:p>
        </w:tc>
        <w:tc>
          <w:tcPr>
            <w:tcW w:w="0" w:type="auto"/>
            <w:vAlign w:val="center"/>
            <w:hideMark/>
          </w:tcPr>
          <w:p w14:paraId="12F0E1BB"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96.5</w:t>
            </w:r>
          </w:p>
        </w:tc>
        <w:tc>
          <w:tcPr>
            <w:tcW w:w="0" w:type="auto"/>
            <w:vAlign w:val="center"/>
            <w:hideMark/>
          </w:tcPr>
          <w:p w14:paraId="3E106D91"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4666.2</w:t>
            </w:r>
          </w:p>
        </w:tc>
        <w:tc>
          <w:tcPr>
            <w:tcW w:w="0" w:type="auto"/>
            <w:vAlign w:val="center"/>
            <w:hideMark/>
          </w:tcPr>
          <w:p w14:paraId="17483B14"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0.85</w:t>
            </w:r>
          </w:p>
        </w:tc>
        <w:tc>
          <w:tcPr>
            <w:tcW w:w="0" w:type="auto"/>
            <w:vAlign w:val="center"/>
            <w:hideMark/>
          </w:tcPr>
          <w:p w14:paraId="490F3B37"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3753</w:t>
            </w:r>
          </w:p>
        </w:tc>
        <w:tc>
          <w:tcPr>
            <w:tcW w:w="0" w:type="auto"/>
            <w:vAlign w:val="center"/>
            <w:hideMark/>
          </w:tcPr>
          <w:p w14:paraId="685F9BB9"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15979.3</w:t>
            </w:r>
          </w:p>
        </w:tc>
      </w:tr>
    </w:tbl>
    <w:p w14:paraId="24BDE5DD" w14:textId="77777777" w:rsidR="003146EB" w:rsidRDefault="003146EB" w:rsidP="003146EB">
      <w:pPr>
        <w:spacing w:after="0" w:line="240" w:lineRule="auto"/>
        <w:ind w:firstLine="284"/>
        <w:jc w:val="both"/>
        <w:rPr>
          <w:rFonts w:ascii="Times New Roman" w:hAnsi="Times New Roman" w:cs="Times New Roman"/>
          <w:sz w:val="20"/>
          <w:szCs w:val="20"/>
        </w:rPr>
      </w:pPr>
    </w:p>
    <w:p w14:paraId="71EE74DF" w14:textId="5848AFC1" w:rsidR="003146EB" w:rsidRDefault="003146EB" w:rsidP="003146EB">
      <w:pPr>
        <w:spacing w:after="0" w:line="240" w:lineRule="auto"/>
        <w:ind w:firstLine="284"/>
        <w:jc w:val="both"/>
        <w:rPr>
          <w:rFonts w:ascii="Times New Roman" w:hAnsi="Times New Roman" w:cs="Times New Roman"/>
          <w:sz w:val="20"/>
          <w:szCs w:val="20"/>
        </w:rPr>
      </w:pPr>
      <w:r w:rsidRPr="003146EB">
        <w:rPr>
          <w:rFonts w:ascii="Times New Roman" w:hAnsi="Times New Roman" w:cs="Times New Roman"/>
          <w:sz w:val="20"/>
          <w:szCs w:val="20"/>
        </w:rPr>
        <w:t>To account for differing measurement units and trends, variables were logarithmically transformed, producing the model in table 5 [19]:</w:t>
      </w:r>
    </w:p>
    <w:p w14:paraId="2054375B" w14:textId="77777777" w:rsidR="003146EB" w:rsidRDefault="003146EB" w:rsidP="003146EB">
      <w:pPr>
        <w:spacing w:after="0" w:line="240" w:lineRule="auto"/>
        <w:ind w:firstLine="284"/>
        <w:jc w:val="center"/>
        <w:rPr>
          <w:rFonts w:ascii="Times New Roman" w:hAnsi="Times New Roman" w:cs="Times New Roman"/>
          <w:sz w:val="20"/>
          <w:szCs w:val="20"/>
        </w:rPr>
      </w:pPr>
    </w:p>
    <w:p w14:paraId="113C738C" w14:textId="260B7354" w:rsidR="003146EB" w:rsidRDefault="003146EB" w:rsidP="00CC1CE4">
      <w:pPr>
        <w:spacing w:after="0" w:line="240" w:lineRule="auto"/>
        <w:ind w:firstLine="284"/>
        <w:jc w:val="center"/>
        <w:rPr>
          <w:rFonts w:ascii="Times New Roman" w:hAnsi="Times New Roman" w:cs="Times New Roman"/>
          <w:sz w:val="20"/>
          <w:szCs w:val="20"/>
        </w:rPr>
      </w:pPr>
      <w:r w:rsidRPr="003146EB">
        <w:rPr>
          <w:rFonts w:ascii="Times New Roman" w:hAnsi="Times New Roman" w:cs="Times New Roman"/>
          <w:b/>
          <w:bCs/>
          <w:sz w:val="20"/>
          <w:szCs w:val="20"/>
        </w:rPr>
        <w:t>TABLE 5.</w:t>
      </w:r>
      <w:r w:rsidRPr="003146EB">
        <w:rPr>
          <w:rFonts w:ascii="Times New Roman" w:hAnsi="Times New Roman" w:cs="Times New Roman"/>
          <w:sz w:val="20"/>
          <w:szCs w:val="20"/>
        </w:rPr>
        <w:t xml:space="preserve"> Logarithmic transformation of variables (2011–2022)</w:t>
      </w:r>
    </w:p>
    <w:tbl>
      <w:tblPr>
        <w:tblStyle w:val="11"/>
        <w:tblW w:w="9351" w:type="dxa"/>
        <w:jc w:val="center"/>
        <w:tblLook w:val="04A0" w:firstRow="1" w:lastRow="0" w:firstColumn="1" w:lastColumn="0" w:noHBand="0" w:noVBand="1"/>
      </w:tblPr>
      <w:tblGrid>
        <w:gridCol w:w="1413"/>
        <w:gridCol w:w="1276"/>
        <w:gridCol w:w="1417"/>
        <w:gridCol w:w="1356"/>
        <w:gridCol w:w="1370"/>
        <w:gridCol w:w="1259"/>
        <w:gridCol w:w="1260"/>
      </w:tblGrid>
      <w:tr w:rsidR="003146EB" w:rsidRPr="003146EB" w14:paraId="1C8428D7" w14:textId="77777777" w:rsidTr="003146E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vAlign w:val="center"/>
            <w:hideMark/>
          </w:tcPr>
          <w:p w14:paraId="59BA25F8" w14:textId="77777777" w:rsidR="003146EB" w:rsidRPr="003146EB" w:rsidRDefault="003146EB" w:rsidP="003146EB">
            <w:pPr>
              <w:keepNext/>
              <w:overflowPunct w:val="0"/>
              <w:autoSpaceDE w:val="0"/>
              <w:autoSpaceDN w:val="0"/>
              <w:adjustRightInd w:val="0"/>
              <w:jc w:val="center"/>
              <w:textAlignment w:val="baseline"/>
              <w:outlineLvl w:val="5"/>
              <w:rPr>
                <w:rFonts w:ascii="Times New Roman" w:eastAsia="Times New Roman" w:hAnsi="Times New Roman" w:cs="Times New Roman"/>
                <w:sz w:val="18"/>
                <w:szCs w:val="18"/>
                <w:lang w:eastAsia="ru-RU"/>
              </w:rPr>
            </w:pPr>
            <w:r w:rsidRPr="003146EB">
              <w:rPr>
                <w:rFonts w:ascii="Times New Roman" w:eastAsia="Times New Roman" w:hAnsi="Times New Roman" w:cs="Times New Roman"/>
                <w:sz w:val="18"/>
                <w:szCs w:val="18"/>
                <w:lang w:eastAsia="ru-RU"/>
              </w:rPr>
              <w:t>Year</w:t>
            </w:r>
          </w:p>
        </w:tc>
        <w:tc>
          <w:tcPr>
            <w:tcW w:w="1276" w:type="dxa"/>
            <w:vAlign w:val="center"/>
            <w:hideMark/>
          </w:tcPr>
          <w:p w14:paraId="554F777B" w14:textId="77777777" w:rsidR="003146EB" w:rsidRPr="003146EB" w:rsidRDefault="003146EB" w:rsidP="003146EB">
            <w:pPr>
              <w:keepNext/>
              <w:overflowPunct w:val="0"/>
              <w:autoSpaceDE w:val="0"/>
              <w:autoSpaceDN w:val="0"/>
              <w:adjustRightInd w:val="0"/>
              <w:jc w:val="center"/>
              <w:textAlignment w:val="baseline"/>
              <w:outlineLvl w:val="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3146EB">
              <w:rPr>
                <w:rFonts w:ascii="Times New Roman" w:eastAsia="Times New Roman" w:hAnsi="Times New Roman" w:cs="Times New Roman"/>
                <w:sz w:val="18"/>
                <w:szCs w:val="18"/>
                <w:lang w:eastAsia="ru-RU"/>
              </w:rPr>
              <w:t>LnY</w:t>
            </w:r>
          </w:p>
        </w:tc>
        <w:tc>
          <w:tcPr>
            <w:tcW w:w="1417" w:type="dxa"/>
            <w:vAlign w:val="center"/>
            <w:hideMark/>
          </w:tcPr>
          <w:p w14:paraId="64A78219" w14:textId="77777777" w:rsidR="003146EB" w:rsidRPr="003146EB" w:rsidRDefault="003146EB" w:rsidP="003146EB">
            <w:pPr>
              <w:keepNext/>
              <w:overflowPunct w:val="0"/>
              <w:autoSpaceDE w:val="0"/>
              <w:autoSpaceDN w:val="0"/>
              <w:adjustRightInd w:val="0"/>
              <w:jc w:val="center"/>
              <w:textAlignment w:val="baseline"/>
              <w:outlineLvl w:val="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3146EB">
              <w:rPr>
                <w:rFonts w:ascii="Times New Roman" w:eastAsia="Times New Roman" w:hAnsi="Times New Roman" w:cs="Times New Roman"/>
                <w:sz w:val="18"/>
                <w:szCs w:val="18"/>
                <w:lang w:eastAsia="ru-RU"/>
              </w:rPr>
              <w:t>LnX1</w:t>
            </w:r>
          </w:p>
        </w:tc>
        <w:tc>
          <w:tcPr>
            <w:tcW w:w="1356" w:type="dxa"/>
            <w:vAlign w:val="center"/>
            <w:hideMark/>
          </w:tcPr>
          <w:p w14:paraId="0936DFD0" w14:textId="77777777" w:rsidR="003146EB" w:rsidRPr="003146EB" w:rsidRDefault="003146EB" w:rsidP="003146EB">
            <w:pPr>
              <w:keepNext/>
              <w:overflowPunct w:val="0"/>
              <w:autoSpaceDE w:val="0"/>
              <w:autoSpaceDN w:val="0"/>
              <w:adjustRightInd w:val="0"/>
              <w:jc w:val="center"/>
              <w:textAlignment w:val="baseline"/>
              <w:outlineLvl w:val="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3146EB">
              <w:rPr>
                <w:rFonts w:ascii="Times New Roman" w:eastAsia="Times New Roman" w:hAnsi="Times New Roman" w:cs="Times New Roman"/>
                <w:sz w:val="18"/>
                <w:szCs w:val="18"/>
                <w:lang w:eastAsia="ru-RU"/>
              </w:rPr>
              <w:t>LnX2</w:t>
            </w:r>
          </w:p>
        </w:tc>
        <w:tc>
          <w:tcPr>
            <w:tcW w:w="1370" w:type="dxa"/>
            <w:vAlign w:val="center"/>
            <w:hideMark/>
          </w:tcPr>
          <w:p w14:paraId="1934E32A" w14:textId="77777777" w:rsidR="003146EB" w:rsidRPr="003146EB" w:rsidRDefault="003146EB" w:rsidP="003146EB">
            <w:pPr>
              <w:keepNext/>
              <w:overflowPunct w:val="0"/>
              <w:autoSpaceDE w:val="0"/>
              <w:autoSpaceDN w:val="0"/>
              <w:adjustRightInd w:val="0"/>
              <w:jc w:val="center"/>
              <w:textAlignment w:val="baseline"/>
              <w:outlineLvl w:val="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3146EB">
              <w:rPr>
                <w:rFonts w:ascii="Times New Roman" w:eastAsia="Times New Roman" w:hAnsi="Times New Roman" w:cs="Times New Roman"/>
                <w:sz w:val="18"/>
                <w:szCs w:val="18"/>
                <w:lang w:eastAsia="ru-RU"/>
              </w:rPr>
              <w:t>LnX3</w:t>
            </w:r>
          </w:p>
        </w:tc>
        <w:tc>
          <w:tcPr>
            <w:tcW w:w="1259" w:type="dxa"/>
            <w:vAlign w:val="center"/>
            <w:hideMark/>
          </w:tcPr>
          <w:p w14:paraId="1CFB895E" w14:textId="77777777" w:rsidR="003146EB" w:rsidRPr="003146EB" w:rsidRDefault="003146EB" w:rsidP="003146EB">
            <w:pPr>
              <w:keepNext/>
              <w:overflowPunct w:val="0"/>
              <w:autoSpaceDE w:val="0"/>
              <w:autoSpaceDN w:val="0"/>
              <w:adjustRightInd w:val="0"/>
              <w:jc w:val="center"/>
              <w:textAlignment w:val="baseline"/>
              <w:outlineLvl w:val="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3146EB">
              <w:rPr>
                <w:rFonts w:ascii="Times New Roman" w:eastAsia="Times New Roman" w:hAnsi="Times New Roman" w:cs="Times New Roman"/>
                <w:sz w:val="18"/>
                <w:szCs w:val="18"/>
                <w:lang w:eastAsia="ru-RU"/>
              </w:rPr>
              <w:t>LnX4</w:t>
            </w:r>
          </w:p>
        </w:tc>
        <w:tc>
          <w:tcPr>
            <w:tcW w:w="1260" w:type="dxa"/>
            <w:vAlign w:val="center"/>
            <w:hideMark/>
          </w:tcPr>
          <w:p w14:paraId="78D19D15" w14:textId="77777777" w:rsidR="003146EB" w:rsidRPr="003146EB" w:rsidRDefault="003146EB" w:rsidP="003146EB">
            <w:pPr>
              <w:keepNext/>
              <w:overflowPunct w:val="0"/>
              <w:autoSpaceDE w:val="0"/>
              <w:autoSpaceDN w:val="0"/>
              <w:adjustRightInd w:val="0"/>
              <w:jc w:val="center"/>
              <w:textAlignment w:val="baseline"/>
              <w:outlineLvl w:val="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3146EB">
              <w:rPr>
                <w:rFonts w:ascii="Times New Roman" w:eastAsia="Times New Roman" w:hAnsi="Times New Roman" w:cs="Times New Roman"/>
                <w:sz w:val="18"/>
                <w:szCs w:val="18"/>
                <w:lang w:eastAsia="ru-RU"/>
              </w:rPr>
              <w:t>LnX5</w:t>
            </w:r>
          </w:p>
        </w:tc>
      </w:tr>
      <w:tr w:rsidR="003146EB" w:rsidRPr="003146EB" w14:paraId="2C65A4D9" w14:textId="77777777" w:rsidTr="003146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vAlign w:val="center"/>
            <w:hideMark/>
          </w:tcPr>
          <w:p w14:paraId="151F7D7A" w14:textId="77777777" w:rsidR="003146EB" w:rsidRPr="003146EB" w:rsidRDefault="003146EB" w:rsidP="003146EB">
            <w:pPr>
              <w:keepNext/>
              <w:overflowPunct w:val="0"/>
              <w:autoSpaceDE w:val="0"/>
              <w:autoSpaceDN w:val="0"/>
              <w:adjustRightInd w:val="0"/>
              <w:jc w:val="center"/>
              <w:textAlignment w:val="baseline"/>
              <w:outlineLvl w:val="5"/>
              <w:rPr>
                <w:rFonts w:ascii="Times New Roman" w:eastAsia="Times New Roman" w:hAnsi="Times New Roman" w:cs="Times New Roman"/>
                <w:sz w:val="18"/>
                <w:szCs w:val="18"/>
                <w:lang w:eastAsia="ru-RU"/>
              </w:rPr>
            </w:pPr>
            <w:r w:rsidRPr="003146EB">
              <w:rPr>
                <w:rFonts w:ascii="Times New Roman" w:eastAsia="Times New Roman" w:hAnsi="Times New Roman" w:cs="Times New Roman"/>
                <w:sz w:val="18"/>
                <w:szCs w:val="18"/>
                <w:lang w:eastAsia="ru-RU"/>
              </w:rPr>
              <w:t>2011</w:t>
            </w:r>
          </w:p>
        </w:tc>
        <w:tc>
          <w:tcPr>
            <w:tcW w:w="1276" w:type="dxa"/>
            <w:vAlign w:val="center"/>
            <w:hideMark/>
          </w:tcPr>
          <w:p w14:paraId="741D5BBA"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5.3</w:t>
            </w:r>
          </w:p>
        </w:tc>
        <w:tc>
          <w:tcPr>
            <w:tcW w:w="1417" w:type="dxa"/>
            <w:vAlign w:val="center"/>
            <w:hideMark/>
          </w:tcPr>
          <w:p w14:paraId="2554E76E"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2.1</w:t>
            </w:r>
          </w:p>
        </w:tc>
        <w:tc>
          <w:tcPr>
            <w:tcW w:w="1356" w:type="dxa"/>
            <w:vAlign w:val="center"/>
            <w:hideMark/>
          </w:tcPr>
          <w:p w14:paraId="453F405A"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4.3</w:t>
            </w:r>
          </w:p>
        </w:tc>
        <w:tc>
          <w:tcPr>
            <w:tcW w:w="1370" w:type="dxa"/>
            <w:vAlign w:val="center"/>
            <w:hideMark/>
          </w:tcPr>
          <w:p w14:paraId="26948AEC"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-0.6</w:t>
            </w:r>
          </w:p>
        </w:tc>
        <w:tc>
          <w:tcPr>
            <w:tcW w:w="1259" w:type="dxa"/>
            <w:vAlign w:val="center"/>
            <w:hideMark/>
          </w:tcPr>
          <w:p w14:paraId="2BA24B7D"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7.0</w:t>
            </w:r>
          </w:p>
        </w:tc>
        <w:tc>
          <w:tcPr>
            <w:tcW w:w="1260" w:type="dxa"/>
            <w:vAlign w:val="center"/>
            <w:hideMark/>
          </w:tcPr>
          <w:p w14:paraId="0C36C664"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7.9</w:t>
            </w:r>
          </w:p>
        </w:tc>
      </w:tr>
      <w:tr w:rsidR="003146EB" w:rsidRPr="003146EB" w14:paraId="6514E2B6" w14:textId="77777777" w:rsidTr="003146EB">
        <w:trPr>
          <w:jc w:val="center"/>
        </w:trPr>
        <w:tc>
          <w:tcPr>
            <w:cnfStyle w:val="001000000000" w:firstRow="0" w:lastRow="0" w:firstColumn="1" w:lastColumn="0" w:oddVBand="0" w:evenVBand="0" w:oddHBand="0" w:evenHBand="0" w:firstRowFirstColumn="0" w:firstRowLastColumn="0" w:lastRowFirstColumn="0" w:lastRowLastColumn="0"/>
            <w:tcW w:w="1413" w:type="dxa"/>
            <w:vAlign w:val="center"/>
            <w:hideMark/>
          </w:tcPr>
          <w:p w14:paraId="5271ED5A" w14:textId="77777777" w:rsidR="003146EB" w:rsidRPr="003146EB" w:rsidRDefault="003146EB" w:rsidP="003146EB">
            <w:pPr>
              <w:keepNext/>
              <w:overflowPunct w:val="0"/>
              <w:autoSpaceDE w:val="0"/>
              <w:autoSpaceDN w:val="0"/>
              <w:adjustRightInd w:val="0"/>
              <w:jc w:val="center"/>
              <w:textAlignment w:val="baseline"/>
              <w:outlineLvl w:val="5"/>
              <w:rPr>
                <w:rFonts w:ascii="Times New Roman" w:eastAsia="Times New Roman" w:hAnsi="Times New Roman" w:cs="Times New Roman"/>
                <w:sz w:val="18"/>
                <w:szCs w:val="18"/>
                <w:lang w:eastAsia="ru-RU"/>
              </w:rPr>
            </w:pPr>
            <w:r w:rsidRPr="003146EB">
              <w:rPr>
                <w:rFonts w:ascii="Times New Roman" w:eastAsia="Times New Roman" w:hAnsi="Times New Roman" w:cs="Times New Roman"/>
                <w:sz w:val="18"/>
                <w:szCs w:val="18"/>
                <w:lang w:eastAsia="ru-RU"/>
              </w:rPr>
              <w:t>2012</w:t>
            </w:r>
          </w:p>
        </w:tc>
        <w:tc>
          <w:tcPr>
            <w:tcW w:w="1276" w:type="dxa"/>
            <w:vAlign w:val="center"/>
            <w:hideMark/>
          </w:tcPr>
          <w:p w14:paraId="77AB6B56"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5.4</w:t>
            </w:r>
          </w:p>
        </w:tc>
        <w:tc>
          <w:tcPr>
            <w:tcW w:w="1417" w:type="dxa"/>
            <w:vAlign w:val="center"/>
            <w:hideMark/>
          </w:tcPr>
          <w:p w14:paraId="0641B3B0"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2.3</w:t>
            </w:r>
          </w:p>
        </w:tc>
        <w:tc>
          <w:tcPr>
            <w:tcW w:w="1356" w:type="dxa"/>
            <w:vAlign w:val="center"/>
            <w:hideMark/>
          </w:tcPr>
          <w:p w14:paraId="21971AB7"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4.5</w:t>
            </w:r>
          </w:p>
        </w:tc>
        <w:tc>
          <w:tcPr>
            <w:tcW w:w="1370" w:type="dxa"/>
            <w:vAlign w:val="center"/>
            <w:hideMark/>
          </w:tcPr>
          <w:p w14:paraId="3CE8A5AA"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-0.4</w:t>
            </w:r>
          </w:p>
        </w:tc>
        <w:tc>
          <w:tcPr>
            <w:tcW w:w="1259" w:type="dxa"/>
            <w:vAlign w:val="center"/>
            <w:hideMark/>
          </w:tcPr>
          <w:p w14:paraId="442833AA"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7.2</w:t>
            </w:r>
          </w:p>
        </w:tc>
        <w:tc>
          <w:tcPr>
            <w:tcW w:w="1260" w:type="dxa"/>
            <w:vAlign w:val="center"/>
            <w:hideMark/>
          </w:tcPr>
          <w:p w14:paraId="5552D07B"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8.1</w:t>
            </w:r>
          </w:p>
        </w:tc>
      </w:tr>
      <w:tr w:rsidR="003146EB" w:rsidRPr="003146EB" w14:paraId="3F74C200" w14:textId="77777777" w:rsidTr="003146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vAlign w:val="center"/>
            <w:hideMark/>
          </w:tcPr>
          <w:p w14:paraId="6D4A4CC3" w14:textId="77777777" w:rsidR="003146EB" w:rsidRPr="003146EB" w:rsidRDefault="003146EB" w:rsidP="003146EB">
            <w:pPr>
              <w:keepNext/>
              <w:overflowPunct w:val="0"/>
              <w:autoSpaceDE w:val="0"/>
              <w:autoSpaceDN w:val="0"/>
              <w:adjustRightInd w:val="0"/>
              <w:jc w:val="center"/>
              <w:textAlignment w:val="baseline"/>
              <w:outlineLvl w:val="5"/>
              <w:rPr>
                <w:rFonts w:ascii="Times New Roman" w:eastAsia="Times New Roman" w:hAnsi="Times New Roman" w:cs="Times New Roman"/>
                <w:sz w:val="18"/>
                <w:szCs w:val="18"/>
                <w:lang w:eastAsia="ru-RU"/>
              </w:rPr>
            </w:pPr>
            <w:r w:rsidRPr="003146EB">
              <w:rPr>
                <w:rFonts w:ascii="Times New Roman" w:eastAsia="Times New Roman" w:hAnsi="Times New Roman" w:cs="Times New Roman"/>
                <w:sz w:val="18"/>
                <w:szCs w:val="18"/>
                <w:lang w:eastAsia="ru-RU"/>
              </w:rPr>
              <w:t>2013</w:t>
            </w:r>
          </w:p>
        </w:tc>
        <w:tc>
          <w:tcPr>
            <w:tcW w:w="1276" w:type="dxa"/>
            <w:vAlign w:val="center"/>
            <w:hideMark/>
          </w:tcPr>
          <w:p w14:paraId="566FBD37"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5.9</w:t>
            </w:r>
          </w:p>
        </w:tc>
        <w:tc>
          <w:tcPr>
            <w:tcW w:w="1417" w:type="dxa"/>
            <w:vAlign w:val="center"/>
            <w:hideMark/>
          </w:tcPr>
          <w:p w14:paraId="17BAC1DF"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2.5</w:t>
            </w:r>
          </w:p>
        </w:tc>
        <w:tc>
          <w:tcPr>
            <w:tcW w:w="1356" w:type="dxa"/>
            <w:vAlign w:val="center"/>
            <w:hideMark/>
          </w:tcPr>
          <w:p w14:paraId="72AC4826"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5.0</w:t>
            </w:r>
          </w:p>
        </w:tc>
        <w:tc>
          <w:tcPr>
            <w:tcW w:w="1370" w:type="dxa"/>
            <w:vAlign w:val="center"/>
            <w:hideMark/>
          </w:tcPr>
          <w:p w14:paraId="5658C63A"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-0.4</w:t>
            </w:r>
          </w:p>
        </w:tc>
        <w:tc>
          <w:tcPr>
            <w:tcW w:w="1259" w:type="dxa"/>
            <w:vAlign w:val="center"/>
            <w:hideMark/>
          </w:tcPr>
          <w:p w14:paraId="26B9729E"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7.7</w:t>
            </w:r>
          </w:p>
        </w:tc>
        <w:tc>
          <w:tcPr>
            <w:tcW w:w="1260" w:type="dxa"/>
            <w:vAlign w:val="center"/>
            <w:hideMark/>
          </w:tcPr>
          <w:p w14:paraId="336EDF2E"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8.3</w:t>
            </w:r>
          </w:p>
        </w:tc>
      </w:tr>
      <w:tr w:rsidR="003146EB" w:rsidRPr="003146EB" w14:paraId="4FD1183A" w14:textId="77777777" w:rsidTr="003146EB">
        <w:trPr>
          <w:jc w:val="center"/>
        </w:trPr>
        <w:tc>
          <w:tcPr>
            <w:cnfStyle w:val="001000000000" w:firstRow="0" w:lastRow="0" w:firstColumn="1" w:lastColumn="0" w:oddVBand="0" w:evenVBand="0" w:oddHBand="0" w:evenHBand="0" w:firstRowFirstColumn="0" w:firstRowLastColumn="0" w:lastRowFirstColumn="0" w:lastRowLastColumn="0"/>
            <w:tcW w:w="1413" w:type="dxa"/>
            <w:vAlign w:val="center"/>
            <w:hideMark/>
          </w:tcPr>
          <w:p w14:paraId="7D434F1D" w14:textId="77777777" w:rsidR="003146EB" w:rsidRPr="003146EB" w:rsidRDefault="003146EB" w:rsidP="003146EB">
            <w:pPr>
              <w:keepNext/>
              <w:overflowPunct w:val="0"/>
              <w:autoSpaceDE w:val="0"/>
              <w:autoSpaceDN w:val="0"/>
              <w:adjustRightInd w:val="0"/>
              <w:jc w:val="center"/>
              <w:textAlignment w:val="baseline"/>
              <w:outlineLvl w:val="5"/>
              <w:rPr>
                <w:rFonts w:ascii="Times New Roman" w:eastAsia="Times New Roman" w:hAnsi="Times New Roman" w:cs="Times New Roman"/>
                <w:sz w:val="18"/>
                <w:szCs w:val="18"/>
                <w:lang w:eastAsia="ru-RU"/>
              </w:rPr>
            </w:pPr>
            <w:r w:rsidRPr="003146EB">
              <w:rPr>
                <w:rFonts w:ascii="Times New Roman" w:eastAsia="Times New Roman" w:hAnsi="Times New Roman" w:cs="Times New Roman"/>
                <w:sz w:val="18"/>
                <w:szCs w:val="18"/>
                <w:lang w:eastAsia="ru-RU"/>
              </w:rPr>
              <w:t>2014</w:t>
            </w:r>
          </w:p>
        </w:tc>
        <w:tc>
          <w:tcPr>
            <w:tcW w:w="1276" w:type="dxa"/>
            <w:vAlign w:val="center"/>
            <w:hideMark/>
          </w:tcPr>
          <w:p w14:paraId="1A3F18ED"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6.2</w:t>
            </w:r>
          </w:p>
        </w:tc>
        <w:tc>
          <w:tcPr>
            <w:tcW w:w="1417" w:type="dxa"/>
            <w:vAlign w:val="center"/>
            <w:hideMark/>
          </w:tcPr>
          <w:p w14:paraId="01AC0CA6"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2.8</w:t>
            </w:r>
          </w:p>
        </w:tc>
        <w:tc>
          <w:tcPr>
            <w:tcW w:w="1356" w:type="dxa"/>
            <w:vAlign w:val="center"/>
            <w:hideMark/>
          </w:tcPr>
          <w:p w14:paraId="406DF9E5"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5.8</w:t>
            </w:r>
          </w:p>
        </w:tc>
        <w:tc>
          <w:tcPr>
            <w:tcW w:w="1370" w:type="dxa"/>
            <w:vAlign w:val="center"/>
            <w:hideMark/>
          </w:tcPr>
          <w:p w14:paraId="5618ABDF"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-0.3</w:t>
            </w:r>
          </w:p>
        </w:tc>
        <w:tc>
          <w:tcPr>
            <w:tcW w:w="1259" w:type="dxa"/>
            <w:vAlign w:val="center"/>
            <w:hideMark/>
          </w:tcPr>
          <w:p w14:paraId="0B866727"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7.8</w:t>
            </w:r>
          </w:p>
        </w:tc>
        <w:tc>
          <w:tcPr>
            <w:tcW w:w="1260" w:type="dxa"/>
            <w:vAlign w:val="center"/>
            <w:hideMark/>
          </w:tcPr>
          <w:p w14:paraId="3E2FEE2D"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8.4</w:t>
            </w:r>
          </w:p>
        </w:tc>
      </w:tr>
      <w:tr w:rsidR="003146EB" w:rsidRPr="003146EB" w14:paraId="03CD9087" w14:textId="77777777" w:rsidTr="003146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vAlign w:val="center"/>
            <w:hideMark/>
          </w:tcPr>
          <w:p w14:paraId="239B47C8" w14:textId="77777777" w:rsidR="003146EB" w:rsidRPr="003146EB" w:rsidRDefault="003146EB" w:rsidP="003146EB">
            <w:pPr>
              <w:keepNext/>
              <w:overflowPunct w:val="0"/>
              <w:autoSpaceDE w:val="0"/>
              <w:autoSpaceDN w:val="0"/>
              <w:adjustRightInd w:val="0"/>
              <w:jc w:val="center"/>
              <w:textAlignment w:val="baseline"/>
              <w:outlineLvl w:val="5"/>
              <w:rPr>
                <w:rFonts w:ascii="Times New Roman" w:eastAsia="Times New Roman" w:hAnsi="Times New Roman" w:cs="Times New Roman"/>
                <w:sz w:val="18"/>
                <w:szCs w:val="18"/>
                <w:lang w:eastAsia="ru-RU"/>
              </w:rPr>
            </w:pPr>
            <w:r w:rsidRPr="003146EB">
              <w:rPr>
                <w:rFonts w:ascii="Times New Roman" w:eastAsia="Times New Roman" w:hAnsi="Times New Roman" w:cs="Times New Roman"/>
                <w:sz w:val="18"/>
                <w:szCs w:val="18"/>
                <w:lang w:eastAsia="ru-RU"/>
              </w:rPr>
              <w:t>2015</w:t>
            </w:r>
          </w:p>
        </w:tc>
        <w:tc>
          <w:tcPr>
            <w:tcW w:w="1276" w:type="dxa"/>
            <w:vAlign w:val="center"/>
            <w:hideMark/>
          </w:tcPr>
          <w:p w14:paraId="171D8DEA"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6.4</w:t>
            </w:r>
          </w:p>
        </w:tc>
        <w:tc>
          <w:tcPr>
            <w:tcW w:w="1417" w:type="dxa"/>
            <w:vAlign w:val="center"/>
            <w:hideMark/>
          </w:tcPr>
          <w:p w14:paraId="63D9FDB5"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3.0</w:t>
            </w:r>
          </w:p>
        </w:tc>
        <w:tc>
          <w:tcPr>
            <w:tcW w:w="1356" w:type="dxa"/>
            <w:vAlign w:val="center"/>
            <w:hideMark/>
          </w:tcPr>
          <w:p w14:paraId="3CE6EF55"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6.2</w:t>
            </w:r>
          </w:p>
        </w:tc>
        <w:tc>
          <w:tcPr>
            <w:tcW w:w="1370" w:type="dxa"/>
            <w:vAlign w:val="center"/>
            <w:hideMark/>
          </w:tcPr>
          <w:p w14:paraId="02785CE9"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-0.6</w:t>
            </w:r>
          </w:p>
        </w:tc>
        <w:tc>
          <w:tcPr>
            <w:tcW w:w="1259" w:type="dxa"/>
            <w:vAlign w:val="center"/>
            <w:hideMark/>
          </w:tcPr>
          <w:p w14:paraId="5E90FFA1"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7.8</w:t>
            </w:r>
          </w:p>
        </w:tc>
        <w:tc>
          <w:tcPr>
            <w:tcW w:w="1260" w:type="dxa"/>
            <w:vAlign w:val="center"/>
            <w:hideMark/>
          </w:tcPr>
          <w:p w14:paraId="7BABAB0A"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8.5</w:t>
            </w:r>
          </w:p>
        </w:tc>
      </w:tr>
      <w:tr w:rsidR="003146EB" w:rsidRPr="003146EB" w14:paraId="6B0CFEC9" w14:textId="77777777" w:rsidTr="003146EB">
        <w:trPr>
          <w:jc w:val="center"/>
        </w:trPr>
        <w:tc>
          <w:tcPr>
            <w:cnfStyle w:val="001000000000" w:firstRow="0" w:lastRow="0" w:firstColumn="1" w:lastColumn="0" w:oddVBand="0" w:evenVBand="0" w:oddHBand="0" w:evenHBand="0" w:firstRowFirstColumn="0" w:firstRowLastColumn="0" w:lastRowFirstColumn="0" w:lastRowLastColumn="0"/>
            <w:tcW w:w="1413" w:type="dxa"/>
            <w:vAlign w:val="center"/>
            <w:hideMark/>
          </w:tcPr>
          <w:p w14:paraId="002E421F" w14:textId="77777777" w:rsidR="003146EB" w:rsidRPr="003146EB" w:rsidRDefault="003146EB" w:rsidP="003146EB">
            <w:pPr>
              <w:keepNext/>
              <w:overflowPunct w:val="0"/>
              <w:autoSpaceDE w:val="0"/>
              <w:autoSpaceDN w:val="0"/>
              <w:adjustRightInd w:val="0"/>
              <w:jc w:val="center"/>
              <w:textAlignment w:val="baseline"/>
              <w:outlineLvl w:val="5"/>
              <w:rPr>
                <w:rFonts w:ascii="Times New Roman" w:eastAsia="Times New Roman" w:hAnsi="Times New Roman" w:cs="Times New Roman"/>
                <w:sz w:val="18"/>
                <w:szCs w:val="18"/>
                <w:lang w:eastAsia="ru-RU"/>
              </w:rPr>
            </w:pPr>
            <w:r w:rsidRPr="003146EB">
              <w:rPr>
                <w:rFonts w:ascii="Times New Roman" w:eastAsia="Times New Roman" w:hAnsi="Times New Roman" w:cs="Times New Roman"/>
                <w:sz w:val="18"/>
                <w:szCs w:val="18"/>
                <w:lang w:eastAsia="ru-RU"/>
              </w:rPr>
              <w:t>2016</w:t>
            </w:r>
          </w:p>
        </w:tc>
        <w:tc>
          <w:tcPr>
            <w:tcW w:w="1276" w:type="dxa"/>
            <w:vAlign w:val="center"/>
            <w:hideMark/>
          </w:tcPr>
          <w:p w14:paraId="09AB3FC9"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7.2</w:t>
            </w:r>
          </w:p>
        </w:tc>
        <w:tc>
          <w:tcPr>
            <w:tcW w:w="1417" w:type="dxa"/>
            <w:vAlign w:val="center"/>
            <w:hideMark/>
          </w:tcPr>
          <w:p w14:paraId="09BAAF0E"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3.8</w:t>
            </w:r>
          </w:p>
        </w:tc>
        <w:tc>
          <w:tcPr>
            <w:tcW w:w="1356" w:type="dxa"/>
            <w:vAlign w:val="center"/>
            <w:hideMark/>
          </w:tcPr>
          <w:p w14:paraId="59DA744E"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6.5</w:t>
            </w:r>
          </w:p>
        </w:tc>
        <w:tc>
          <w:tcPr>
            <w:tcW w:w="1370" w:type="dxa"/>
            <w:vAlign w:val="center"/>
            <w:hideMark/>
          </w:tcPr>
          <w:p w14:paraId="2CACC92E"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-0.2</w:t>
            </w:r>
          </w:p>
        </w:tc>
        <w:tc>
          <w:tcPr>
            <w:tcW w:w="1259" w:type="dxa"/>
            <w:vAlign w:val="center"/>
            <w:hideMark/>
          </w:tcPr>
          <w:p w14:paraId="7BAEAB6B"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7.8</w:t>
            </w:r>
          </w:p>
        </w:tc>
        <w:tc>
          <w:tcPr>
            <w:tcW w:w="1260" w:type="dxa"/>
            <w:vAlign w:val="center"/>
            <w:hideMark/>
          </w:tcPr>
          <w:p w14:paraId="76F33389"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8.7</w:t>
            </w:r>
          </w:p>
        </w:tc>
      </w:tr>
      <w:tr w:rsidR="003146EB" w:rsidRPr="003146EB" w14:paraId="219D12AD" w14:textId="77777777" w:rsidTr="003146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vAlign w:val="center"/>
            <w:hideMark/>
          </w:tcPr>
          <w:p w14:paraId="6C975423" w14:textId="77777777" w:rsidR="003146EB" w:rsidRPr="003146EB" w:rsidRDefault="003146EB" w:rsidP="003146EB">
            <w:pPr>
              <w:keepNext/>
              <w:overflowPunct w:val="0"/>
              <w:autoSpaceDE w:val="0"/>
              <w:autoSpaceDN w:val="0"/>
              <w:adjustRightInd w:val="0"/>
              <w:jc w:val="center"/>
              <w:textAlignment w:val="baseline"/>
              <w:outlineLvl w:val="5"/>
              <w:rPr>
                <w:rFonts w:ascii="Times New Roman" w:eastAsia="Times New Roman" w:hAnsi="Times New Roman" w:cs="Times New Roman"/>
                <w:sz w:val="18"/>
                <w:szCs w:val="18"/>
                <w:lang w:eastAsia="ru-RU"/>
              </w:rPr>
            </w:pPr>
            <w:r w:rsidRPr="003146EB">
              <w:rPr>
                <w:rFonts w:ascii="Times New Roman" w:eastAsia="Times New Roman" w:hAnsi="Times New Roman" w:cs="Times New Roman"/>
                <w:sz w:val="18"/>
                <w:szCs w:val="18"/>
                <w:lang w:eastAsia="ru-RU"/>
              </w:rPr>
              <w:t>2017</w:t>
            </w:r>
          </w:p>
        </w:tc>
        <w:tc>
          <w:tcPr>
            <w:tcW w:w="1276" w:type="dxa"/>
            <w:vAlign w:val="center"/>
            <w:hideMark/>
          </w:tcPr>
          <w:p w14:paraId="0483AAF2"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7.3</w:t>
            </w:r>
          </w:p>
        </w:tc>
        <w:tc>
          <w:tcPr>
            <w:tcW w:w="1417" w:type="dxa"/>
            <w:vAlign w:val="center"/>
            <w:hideMark/>
          </w:tcPr>
          <w:p w14:paraId="4A41AC80"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3.9</w:t>
            </w:r>
          </w:p>
        </w:tc>
        <w:tc>
          <w:tcPr>
            <w:tcW w:w="1356" w:type="dxa"/>
            <w:vAlign w:val="center"/>
            <w:hideMark/>
          </w:tcPr>
          <w:p w14:paraId="5483993E"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6.8</w:t>
            </w:r>
          </w:p>
        </w:tc>
        <w:tc>
          <w:tcPr>
            <w:tcW w:w="1370" w:type="dxa"/>
            <w:vAlign w:val="center"/>
            <w:hideMark/>
          </w:tcPr>
          <w:p w14:paraId="579ACB32"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-0.4</w:t>
            </w:r>
          </w:p>
        </w:tc>
        <w:tc>
          <w:tcPr>
            <w:tcW w:w="1259" w:type="dxa"/>
            <w:vAlign w:val="center"/>
            <w:hideMark/>
          </w:tcPr>
          <w:p w14:paraId="687217AD"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7.9</w:t>
            </w:r>
          </w:p>
        </w:tc>
        <w:tc>
          <w:tcPr>
            <w:tcW w:w="1260" w:type="dxa"/>
            <w:vAlign w:val="center"/>
            <w:hideMark/>
          </w:tcPr>
          <w:p w14:paraId="7C0331DE"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8.8</w:t>
            </w:r>
          </w:p>
        </w:tc>
      </w:tr>
      <w:tr w:rsidR="003146EB" w:rsidRPr="003146EB" w14:paraId="100DAF49" w14:textId="77777777" w:rsidTr="003146EB">
        <w:trPr>
          <w:jc w:val="center"/>
        </w:trPr>
        <w:tc>
          <w:tcPr>
            <w:cnfStyle w:val="001000000000" w:firstRow="0" w:lastRow="0" w:firstColumn="1" w:lastColumn="0" w:oddVBand="0" w:evenVBand="0" w:oddHBand="0" w:evenHBand="0" w:firstRowFirstColumn="0" w:firstRowLastColumn="0" w:lastRowFirstColumn="0" w:lastRowLastColumn="0"/>
            <w:tcW w:w="1413" w:type="dxa"/>
            <w:vAlign w:val="center"/>
            <w:hideMark/>
          </w:tcPr>
          <w:p w14:paraId="21E24899" w14:textId="77777777" w:rsidR="003146EB" w:rsidRPr="003146EB" w:rsidRDefault="003146EB" w:rsidP="003146EB">
            <w:pPr>
              <w:keepNext/>
              <w:overflowPunct w:val="0"/>
              <w:autoSpaceDE w:val="0"/>
              <w:autoSpaceDN w:val="0"/>
              <w:adjustRightInd w:val="0"/>
              <w:jc w:val="center"/>
              <w:textAlignment w:val="baseline"/>
              <w:outlineLvl w:val="5"/>
              <w:rPr>
                <w:rFonts w:ascii="Times New Roman" w:eastAsia="Times New Roman" w:hAnsi="Times New Roman" w:cs="Times New Roman"/>
                <w:sz w:val="18"/>
                <w:szCs w:val="18"/>
                <w:lang w:eastAsia="ru-RU"/>
              </w:rPr>
            </w:pPr>
            <w:r w:rsidRPr="003146EB">
              <w:rPr>
                <w:rFonts w:ascii="Times New Roman" w:eastAsia="Times New Roman" w:hAnsi="Times New Roman" w:cs="Times New Roman"/>
                <w:sz w:val="18"/>
                <w:szCs w:val="18"/>
                <w:lang w:eastAsia="ru-RU"/>
              </w:rPr>
              <w:t>2018</w:t>
            </w:r>
          </w:p>
        </w:tc>
        <w:tc>
          <w:tcPr>
            <w:tcW w:w="1276" w:type="dxa"/>
            <w:vAlign w:val="center"/>
            <w:hideMark/>
          </w:tcPr>
          <w:p w14:paraId="0107CF95"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7.4</w:t>
            </w:r>
          </w:p>
        </w:tc>
        <w:tc>
          <w:tcPr>
            <w:tcW w:w="1417" w:type="dxa"/>
            <w:vAlign w:val="center"/>
            <w:hideMark/>
          </w:tcPr>
          <w:p w14:paraId="23B32ADF"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3.9</w:t>
            </w:r>
          </w:p>
        </w:tc>
        <w:tc>
          <w:tcPr>
            <w:tcW w:w="1356" w:type="dxa"/>
            <w:vAlign w:val="center"/>
            <w:hideMark/>
          </w:tcPr>
          <w:p w14:paraId="2B807924"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7.1</w:t>
            </w:r>
          </w:p>
        </w:tc>
        <w:tc>
          <w:tcPr>
            <w:tcW w:w="1370" w:type="dxa"/>
            <w:vAlign w:val="center"/>
            <w:hideMark/>
          </w:tcPr>
          <w:p w14:paraId="7AB42E08"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-0.3</w:t>
            </w:r>
          </w:p>
        </w:tc>
        <w:tc>
          <w:tcPr>
            <w:tcW w:w="1259" w:type="dxa"/>
            <w:vAlign w:val="center"/>
            <w:hideMark/>
          </w:tcPr>
          <w:p w14:paraId="6D56EA31"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7.9</w:t>
            </w:r>
          </w:p>
        </w:tc>
        <w:tc>
          <w:tcPr>
            <w:tcW w:w="1260" w:type="dxa"/>
            <w:vAlign w:val="center"/>
            <w:hideMark/>
          </w:tcPr>
          <w:p w14:paraId="3A635702"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9.0</w:t>
            </w:r>
          </w:p>
        </w:tc>
      </w:tr>
      <w:tr w:rsidR="003146EB" w:rsidRPr="003146EB" w14:paraId="0C4814DB" w14:textId="77777777" w:rsidTr="003146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vAlign w:val="center"/>
            <w:hideMark/>
          </w:tcPr>
          <w:p w14:paraId="780A48E6" w14:textId="77777777" w:rsidR="003146EB" w:rsidRPr="003146EB" w:rsidRDefault="003146EB" w:rsidP="003146EB">
            <w:pPr>
              <w:keepNext/>
              <w:overflowPunct w:val="0"/>
              <w:autoSpaceDE w:val="0"/>
              <w:autoSpaceDN w:val="0"/>
              <w:adjustRightInd w:val="0"/>
              <w:jc w:val="center"/>
              <w:textAlignment w:val="baseline"/>
              <w:outlineLvl w:val="5"/>
              <w:rPr>
                <w:rFonts w:ascii="Times New Roman" w:eastAsia="Times New Roman" w:hAnsi="Times New Roman" w:cs="Times New Roman"/>
                <w:sz w:val="18"/>
                <w:szCs w:val="18"/>
                <w:lang w:eastAsia="ru-RU"/>
              </w:rPr>
            </w:pPr>
            <w:r w:rsidRPr="003146EB">
              <w:rPr>
                <w:rFonts w:ascii="Times New Roman" w:eastAsia="Times New Roman" w:hAnsi="Times New Roman" w:cs="Times New Roman"/>
                <w:sz w:val="18"/>
                <w:szCs w:val="18"/>
                <w:lang w:eastAsia="ru-RU"/>
              </w:rPr>
              <w:t>2019</w:t>
            </w:r>
          </w:p>
        </w:tc>
        <w:tc>
          <w:tcPr>
            <w:tcW w:w="1276" w:type="dxa"/>
            <w:vAlign w:val="center"/>
            <w:hideMark/>
          </w:tcPr>
          <w:p w14:paraId="3D9BA766"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7.7</w:t>
            </w:r>
          </w:p>
        </w:tc>
        <w:tc>
          <w:tcPr>
            <w:tcW w:w="1417" w:type="dxa"/>
            <w:vAlign w:val="center"/>
            <w:hideMark/>
          </w:tcPr>
          <w:p w14:paraId="1771DA09"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4.2</w:t>
            </w:r>
          </w:p>
        </w:tc>
        <w:tc>
          <w:tcPr>
            <w:tcW w:w="1356" w:type="dxa"/>
            <w:vAlign w:val="center"/>
            <w:hideMark/>
          </w:tcPr>
          <w:p w14:paraId="05C646EB"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7.5</w:t>
            </w:r>
          </w:p>
        </w:tc>
        <w:tc>
          <w:tcPr>
            <w:tcW w:w="1370" w:type="dxa"/>
            <w:vAlign w:val="center"/>
            <w:hideMark/>
          </w:tcPr>
          <w:p w14:paraId="229B48F7"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-0.2</w:t>
            </w:r>
          </w:p>
        </w:tc>
        <w:tc>
          <w:tcPr>
            <w:tcW w:w="1259" w:type="dxa"/>
            <w:vAlign w:val="center"/>
            <w:hideMark/>
          </w:tcPr>
          <w:p w14:paraId="3A4AE9EC"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8.0</w:t>
            </w:r>
          </w:p>
        </w:tc>
        <w:tc>
          <w:tcPr>
            <w:tcW w:w="1260" w:type="dxa"/>
            <w:vAlign w:val="center"/>
            <w:hideMark/>
          </w:tcPr>
          <w:p w14:paraId="66FCD36E"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9.2</w:t>
            </w:r>
          </w:p>
        </w:tc>
      </w:tr>
      <w:tr w:rsidR="003146EB" w:rsidRPr="003146EB" w14:paraId="275EDE74" w14:textId="77777777" w:rsidTr="003146EB">
        <w:trPr>
          <w:jc w:val="center"/>
        </w:trPr>
        <w:tc>
          <w:tcPr>
            <w:cnfStyle w:val="001000000000" w:firstRow="0" w:lastRow="0" w:firstColumn="1" w:lastColumn="0" w:oddVBand="0" w:evenVBand="0" w:oddHBand="0" w:evenHBand="0" w:firstRowFirstColumn="0" w:firstRowLastColumn="0" w:lastRowFirstColumn="0" w:lastRowLastColumn="0"/>
            <w:tcW w:w="1413" w:type="dxa"/>
            <w:vAlign w:val="center"/>
            <w:hideMark/>
          </w:tcPr>
          <w:p w14:paraId="4454CCA2" w14:textId="77777777" w:rsidR="003146EB" w:rsidRPr="003146EB" w:rsidRDefault="003146EB" w:rsidP="003146EB">
            <w:pPr>
              <w:keepNext/>
              <w:overflowPunct w:val="0"/>
              <w:autoSpaceDE w:val="0"/>
              <w:autoSpaceDN w:val="0"/>
              <w:adjustRightInd w:val="0"/>
              <w:jc w:val="center"/>
              <w:textAlignment w:val="baseline"/>
              <w:outlineLvl w:val="5"/>
              <w:rPr>
                <w:rFonts w:ascii="Times New Roman" w:eastAsia="Times New Roman" w:hAnsi="Times New Roman" w:cs="Times New Roman"/>
                <w:sz w:val="18"/>
                <w:szCs w:val="18"/>
                <w:lang w:eastAsia="ru-RU"/>
              </w:rPr>
            </w:pPr>
            <w:r w:rsidRPr="003146EB">
              <w:rPr>
                <w:rFonts w:ascii="Times New Roman" w:eastAsia="Times New Roman" w:hAnsi="Times New Roman" w:cs="Times New Roman"/>
                <w:sz w:val="18"/>
                <w:szCs w:val="18"/>
                <w:lang w:eastAsia="ru-RU"/>
              </w:rPr>
              <w:t>2020</w:t>
            </w:r>
          </w:p>
        </w:tc>
        <w:tc>
          <w:tcPr>
            <w:tcW w:w="1276" w:type="dxa"/>
            <w:vAlign w:val="center"/>
            <w:hideMark/>
          </w:tcPr>
          <w:p w14:paraId="043B29BD"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7.6</w:t>
            </w:r>
          </w:p>
        </w:tc>
        <w:tc>
          <w:tcPr>
            <w:tcW w:w="1417" w:type="dxa"/>
            <w:vAlign w:val="center"/>
            <w:hideMark/>
          </w:tcPr>
          <w:p w14:paraId="6CBCE4B1"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4.1</w:t>
            </w:r>
          </w:p>
        </w:tc>
        <w:tc>
          <w:tcPr>
            <w:tcW w:w="1356" w:type="dxa"/>
            <w:vAlign w:val="center"/>
            <w:hideMark/>
          </w:tcPr>
          <w:p w14:paraId="259E3A83"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7.8</w:t>
            </w:r>
          </w:p>
        </w:tc>
        <w:tc>
          <w:tcPr>
            <w:tcW w:w="1370" w:type="dxa"/>
            <w:vAlign w:val="center"/>
            <w:hideMark/>
          </w:tcPr>
          <w:p w14:paraId="42376FC2"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-0.4</w:t>
            </w:r>
          </w:p>
        </w:tc>
        <w:tc>
          <w:tcPr>
            <w:tcW w:w="1259" w:type="dxa"/>
            <w:vAlign w:val="center"/>
            <w:hideMark/>
          </w:tcPr>
          <w:p w14:paraId="63C739D8"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8.1</w:t>
            </w:r>
          </w:p>
        </w:tc>
        <w:tc>
          <w:tcPr>
            <w:tcW w:w="1260" w:type="dxa"/>
            <w:vAlign w:val="center"/>
            <w:hideMark/>
          </w:tcPr>
          <w:p w14:paraId="6D030189"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9.3</w:t>
            </w:r>
          </w:p>
        </w:tc>
      </w:tr>
      <w:tr w:rsidR="003146EB" w:rsidRPr="003146EB" w14:paraId="4CB64A6C" w14:textId="77777777" w:rsidTr="003146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vAlign w:val="center"/>
            <w:hideMark/>
          </w:tcPr>
          <w:p w14:paraId="7D88E160" w14:textId="77777777" w:rsidR="003146EB" w:rsidRPr="003146EB" w:rsidRDefault="003146EB" w:rsidP="003146EB">
            <w:pPr>
              <w:keepNext/>
              <w:overflowPunct w:val="0"/>
              <w:autoSpaceDE w:val="0"/>
              <w:autoSpaceDN w:val="0"/>
              <w:adjustRightInd w:val="0"/>
              <w:jc w:val="center"/>
              <w:textAlignment w:val="baseline"/>
              <w:outlineLvl w:val="5"/>
              <w:rPr>
                <w:rFonts w:ascii="Times New Roman" w:eastAsia="Times New Roman" w:hAnsi="Times New Roman" w:cs="Times New Roman"/>
                <w:sz w:val="18"/>
                <w:szCs w:val="18"/>
                <w:lang w:eastAsia="ru-RU"/>
              </w:rPr>
            </w:pPr>
            <w:r w:rsidRPr="003146EB">
              <w:rPr>
                <w:rFonts w:ascii="Times New Roman" w:eastAsia="Times New Roman" w:hAnsi="Times New Roman" w:cs="Times New Roman"/>
                <w:sz w:val="18"/>
                <w:szCs w:val="18"/>
                <w:lang w:eastAsia="ru-RU"/>
              </w:rPr>
              <w:t>2021</w:t>
            </w:r>
          </w:p>
        </w:tc>
        <w:tc>
          <w:tcPr>
            <w:tcW w:w="1276" w:type="dxa"/>
            <w:vAlign w:val="center"/>
            <w:hideMark/>
          </w:tcPr>
          <w:p w14:paraId="073B2CE5"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8.0</w:t>
            </w:r>
          </w:p>
        </w:tc>
        <w:tc>
          <w:tcPr>
            <w:tcW w:w="1417" w:type="dxa"/>
            <w:vAlign w:val="center"/>
            <w:hideMark/>
          </w:tcPr>
          <w:p w14:paraId="0435FAFA"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4.5</w:t>
            </w:r>
          </w:p>
        </w:tc>
        <w:tc>
          <w:tcPr>
            <w:tcW w:w="1356" w:type="dxa"/>
            <w:vAlign w:val="center"/>
            <w:hideMark/>
          </w:tcPr>
          <w:p w14:paraId="25E9FBA0"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8.1</w:t>
            </w:r>
          </w:p>
        </w:tc>
        <w:tc>
          <w:tcPr>
            <w:tcW w:w="1370" w:type="dxa"/>
            <w:vAlign w:val="center"/>
            <w:hideMark/>
          </w:tcPr>
          <w:p w14:paraId="1C66E273"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-0.1</w:t>
            </w:r>
          </w:p>
        </w:tc>
        <w:tc>
          <w:tcPr>
            <w:tcW w:w="1259" w:type="dxa"/>
            <w:vAlign w:val="center"/>
            <w:hideMark/>
          </w:tcPr>
          <w:p w14:paraId="320A0788"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8.1</w:t>
            </w:r>
          </w:p>
        </w:tc>
        <w:tc>
          <w:tcPr>
            <w:tcW w:w="1260" w:type="dxa"/>
            <w:vAlign w:val="center"/>
            <w:hideMark/>
          </w:tcPr>
          <w:p w14:paraId="45CFB742" w14:textId="77777777" w:rsidR="003146EB" w:rsidRPr="003146EB"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9.5</w:t>
            </w:r>
          </w:p>
        </w:tc>
      </w:tr>
      <w:tr w:rsidR="003146EB" w:rsidRPr="003146EB" w14:paraId="5984CA5B" w14:textId="77777777" w:rsidTr="003146EB">
        <w:trPr>
          <w:jc w:val="center"/>
        </w:trPr>
        <w:tc>
          <w:tcPr>
            <w:cnfStyle w:val="001000000000" w:firstRow="0" w:lastRow="0" w:firstColumn="1" w:lastColumn="0" w:oddVBand="0" w:evenVBand="0" w:oddHBand="0" w:evenHBand="0" w:firstRowFirstColumn="0" w:firstRowLastColumn="0" w:lastRowFirstColumn="0" w:lastRowLastColumn="0"/>
            <w:tcW w:w="1413" w:type="dxa"/>
            <w:vAlign w:val="center"/>
            <w:hideMark/>
          </w:tcPr>
          <w:p w14:paraId="0851FD36" w14:textId="77777777" w:rsidR="003146EB" w:rsidRPr="003146EB" w:rsidRDefault="003146EB" w:rsidP="003146EB">
            <w:pPr>
              <w:keepNext/>
              <w:overflowPunct w:val="0"/>
              <w:autoSpaceDE w:val="0"/>
              <w:autoSpaceDN w:val="0"/>
              <w:adjustRightInd w:val="0"/>
              <w:jc w:val="center"/>
              <w:textAlignment w:val="baseline"/>
              <w:outlineLvl w:val="5"/>
              <w:rPr>
                <w:rFonts w:ascii="Times New Roman" w:eastAsia="Times New Roman" w:hAnsi="Times New Roman" w:cs="Times New Roman"/>
                <w:sz w:val="18"/>
                <w:szCs w:val="18"/>
                <w:lang w:eastAsia="ru-RU"/>
              </w:rPr>
            </w:pPr>
            <w:r w:rsidRPr="003146EB">
              <w:rPr>
                <w:rFonts w:ascii="Times New Roman" w:eastAsia="Times New Roman" w:hAnsi="Times New Roman" w:cs="Times New Roman"/>
                <w:sz w:val="18"/>
                <w:szCs w:val="18"/>
                <w:lang w:eastAsia="ru-RU"/>
              </w:rPr>
              <w:t>2022</w:t>
            </w:r>
          </w:p>
        </w:tc>
        <w:tc>
          <w:tcPr>
            <w:tcW w:w="1276" w:type="dxa"/>
            <w:vAlign w:val="center"/>
            <w:hideMark/>
          </w:tcPr>
          <w:p w14:paraId="4C6BAA47"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8.1</w:t>
            </w:r>
          </w:p>
        </w:tc>
        <w:tc>
          <w:tcPr>
            <w:tcW w:w="1417" w:type="dxa"/>
            <w:vAlign w:val="center"/>
            <w:hideMark/>
          </w:tcPr>
          <w:p w14:paraId="59703F55"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4.6</w:t>
            </w:r>
          </w:p>
        </w:tc>
        <w:tc>
          <w:tcPr>
            <w:tcW w:w="1356" w:type="dxa"/>
            <w:vAlign w:val="center"/>
            <w:hideMark/>
          </w:tcPr>
          <w:p w14:paraId="423A7C0A"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8.4</w:t>
            </w:r>
          </w:p>
        </w:tc>
        <w:tc>
          <w:tcPr>
            <w:tcW w:w="1370" w:type="dxa"/>
            <w:vAlign w:val="center"/>
            <w:hideMark/>
          </w:tcPr>
          <w:p w14:paraId="58B57581"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-0.2</w:t>
            </w:r>
          </w:p>
        </w:tc>
        <w:tc>
          <w:tcPr>
            <w:tcW w:w="1259" w:type="dxa"/>
            <w:vAlign w:val="center"/>
            <w:hideMark/>
          </w:tcPr>
          <w:p w14:paraId="4469C8F4"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8.2</w:t>
            </w:r>
          </w:p>
        </w:tc>
        <w:tc>
          <w:tcPr>
            <w:tcW w:w="1260" w:type="dxa"/>
            <w:vAlign w:val="center"/>
            <w:hideMark/>
          </w:tcPr>
          <w:p w14:paraId="294F127B" w14:textId="77777777" w:rsidR="003146EB" w:rsidRPr="003146EB"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8"/>
                <w:szCs w:val="18"/>
                <w:lang w:eastAsia="ru-RU"/>
              </w:rPr>
            </w:pPr>
            <w:r w:rsidRPr="003146EB">
              <w:rPr>
                <w:rFonts w:ascii="Times New Roman" w:eastAsia="Times New Roman" w:hAnsi="Times New Roman" w:cs="Times New Roman"/>
                <w:bCs/>
                <w:sz w:val="18"/>
                <w:szCs w:val="18"/>
                <w:lang w:eastAsia="ru-RU"/>
              </w:rPr>
              <w:t>9.7</w:t>
            </w:r>
          </w:p>
        </w:tc>
      </w:tr>
    </w:tbl>
    <w:p w14:paraId="5700EE13" w14:textId="77777777" w:rsidR="003146EB" w:rsidRDefault="003146EB" w:rsidP="003146EB">
      <w:pPr>
        <w:spacing w:after="0" w:line="240" w:lineRule="auto"/>
        <w:ind w:firstLine="284"/>
        <w:jc w:val="both"/>
        <w:rPr>
          <w:rFonts w:ascii="Times New Roman" w:hAnsi="Times New Roman" w:cs="Times New Roman"/>
          <w:sz w:val="20"/>
          <w:szCs w:val="20"/>
        </w:rPr>
      </w:pPr>
    </w:p>
    <w:p w14:paraId="2DA3EDCC" w14:textId="11E96821" w:rsidR="003146EB" w:rsidRDefault="003146EB" w:rsidP="003146EB">
      <w:pPr>
        <w:spacing w:after="0" w:line="240" w:lineRule="auto"/>
        <w:ind w:firstLine="284"/>
        <w:jc w:val="both"/>
        <w:rPr>
          <w:rFonts w:ascii="Times New Roman" w:hAnsi="Times New Roman" w:cs="Times New Roman"/>
          <w:sz w:val="20"/>
          <w:szCs w:val="20"/>
        </w:rPr>
      </w:pPr>
      <w:r w:rsidRPr="003146EB">
        <w:rPr>
          <w:rFonts w:ascii="Times New Roman" w:hAnsi="Times New Roman" w:cs="Times New Roman"/>
          <w:sz w:val="20"/>
          <w:szCs w:val="20"/>
        </w:rPr>
        <w:lastRenderedPageBreak/>
        <w:t>The resulting multi-factor logarithmic regression equation was estimated in EViews:</w:t>
      </w:r>
    </w:p>
    <w:p w14:paraId="673BF3ED" w14:textId="2F744AB3" w:rsidR="003146EB" w:rsidRPr="00CC1CE4" w:rsidRDefault="003146EB" w:rsidP="00CC1CE4">
      <w:pPr>
        <w:keepNext/>
        <w:overflowPunct w:val="0"/>
        <w:autoSpaceDE w:val="0"/>
        <w:autoSpaceDN w:val="0"/>
        <w:adjustRightInd w:val="0"/>
        <w:spacing w:after="0" w:line="240" w:lineRule="auto"/>
        <w:jc w:val="right"/>
        <w:textAlignment w:val="baseline"/>
        <w:outlineLvl w:val="5"/>
        <w:rPr>
          <w:rFonts w:ascii="Times New Roman" w:eastAsia="Times New Roman" w:hAnsi="Times New Roman" w:cs="Times New Roman"/>
          <w:sz w:val="20"/>
          <w:szCs w:val="20"/>
          <w:lang w:val="en-US" w:eastAsia="ru-RU"/>
        </w:rPr>
      </w:pPr>
      <m:oMath>
        <m:r>
          <m:rPr>
            <m:nor/>
          </m:rPr>
          <w:rPr>
            <w:rFonts w:ascii="Times New Roman" w:eastAsia="Times New Roman" w:hAnsi="Times New Roman" w:cs="Times New Roman"/>
            <w:bCs/>
            <w:sz w:val="20"/>
            <w:szCs w:val="20"/>
            <w:lang w:eastAsia="ru-RU"/>
          </w:rPr>
          <m:t>LnY</m:t>
        </m:r>
        <m:r>
          <w:rPr>
            <w:rFonts w:ascii="Cambria Math" w:eastAsia="Times New Roman" w:hAnsi="Cambria Math" w:cs="Times New Roman"/>
            <w:sz w:val="20"/>
            <w:szCs w:val="20"/>
            <w:lang w:eastAsia="ru-RU"/>
          </w:rPr>
          <m:t>=0.979⋅</m:t>
        </m:r>
        <m:r>
          <m:rPr>
            <m:nor/>
          </m:rPr>
          <w:rPr>
            <w:rFonts w:ascii="Times New Roman" w:eastAsia="Times New Roman" w:hAnsi="Times New Roman" w:cs="Times New Roman"/>
            <w:bCs/>
            <w:sz w:val="20"/>
            <w:szCs w:val="20"/>
            <w:lang w:eastAsia="ru-RU"/>
          </w:rPr>
          <m:t>LnX1</m:t>
        </m:r>
        <m:r>
          <w:rPr>
            <w:rFonts w:ascii="Cambria Math" w:eastAsia="Times New Roman" w:hAnsi="Cambria Math" w:cs="Times New Roman"/>
            <w:sz w:val="20"/>
            <w:szCs w:val="20"/>
            <w:lang w:eastAsia="ru-RU"/>
          </w:rPr>
          <m:t>+0.057⋅</m:t>
        </m:r>
        <m:r>
          <m:rPr>
            <m:nor/>
          </m:rPr>
          <w:rPr>
            <w:rFonts w:ascii="Times New Roman" w:eastAsia="Times New Roman" w:hAnsi="Times New Roman" w:cs="Times New Roman"/>
            <w:bCs/>
            <w:sz w:val="20"/>
            <w:szCs w:val="20"/>
            <w:lang w:eastAsia="ru-RU"/>
          </w:rPr>
          <m:t>LnX2</m:t>
        </m:r>
        <m:r>
          <w:rPr>
            <w:rFonts w:ascii="Cambria Math" w:eastAsia="Times New Roman" w:hAnsi="Cambria Math" w:cs="Times New Roman"/>
            <w:sz w:val="20"/>
            <w:szCs w:val="20"/>
            <w:lang w:eastAsia="ru-RU"/>
          </w:rPr>
          <m:t>-0.007⋅</m:t>
        </m:r>
        <m:r>
          <m:rPr>
            <m:nor/>
          </m:rPr>
          <w:rPr>
            <w:rFonts w:ascii="Times New Roman" w:eastAsia="Times New Roman" w:hAnsi="Times New Roman" w:cs="Times New Roman"/>
            <w:bCs/>
            <w:sz w:val="20"/>
            <w:szCs w:val="20"/>
            <w:lang w:eastAsia="ru-RU"/>
          </w:rPr>
          <m:t>LnX3</m:t>
        </m:r>
        <m:r>
          <w:rPr>
            <w:rFonts w:ascii="Cambria Math" w:eastAsia="Times New Roman" w:hAnsi="Cambria Math" w:cs="Times New Roman"/>
            <w:sz w:val="20"/>
            <w:szCs w:val="20"/>
            <w:lang w:eastAsia="ru-RU"/>
          </w:rPr>
          <m:t>+0.309⋅</m:t>
        </m:r>
        <m:r>
          <m:rPr>
            <m:nor/>
          </m:rPr>
          <w:rPr>
            <w:rFonts w:ascii="Times New Roman" w:eastAsia="Times New Roman" w:hAnsi="Times New Roman" w:cs="Times New Roman"/>
            <w:bCs/>
            <w:sz w:val="20"/>
            <w:szCs w:val="20"/>
            <w:lang w:eastAsia="ru-RU"/>
          </w:rPr>
          <m:t>LnX4</m:t>
        </m:r>
        <m:r>
          <w:rPr>
            <w:rFonts w:ascii="Cambria Math" w:eastAsia="Times New Roman" w:hAnsi="Cambria Math" w:cs="Times New Roman"/>
            <w:sz w:val="20"/>
            <w:szCs w:val="20"/>
            <w:lang w:eastAsia="ru-RU"/>
          </w:rPr>
          <m:t>-0.095⋅</m:t>
        </m:r>
        <m:r>
          <m:rPr>
            <m:nor/>
          </m:rPr>
          <w:rPr>
            <w:rFonts w:ascii="Times New Roman" w:eastAsia="Times New Roman" w:hAnsi="Times New Roman" w:cs="Times New Roman"/>
            <w:bCs/>
            <w:sz w:val="20"/>
            <w:szCs w:val="20"/>
            <w:lang w:eastAsia="ru-RU"/>
          </w:rPr>
          <m:t>LnX5</m:t>
        </m:r>
        <m:r>
          <w:rPr>
            <w:rFonts w:ascii="Cambria Math" w:eastAsia="Times New Roman" w:hAnsi="Cambria Math" w:cs="Times New Roman"/>
            <w:sz w:val="20"/>
            <w:szCs w:val="20"/>
            <w:lang w:eastAsia="ru-RU"/>
          </w:rPr>
          <m:t>+1.5</m:t>
        </m:r>
        <m:r>
          <w:rPr>
            <w:rFonts w:ascii="Cambria Math" w:eastAsia="Times New Roman" w:hAnsi="Cambria Math" w:cs="Times New Roman"/>
            <w:sz w:val="20"/>
            <w:szCs w:val="20"/>
            <w:lang w:eastAsia="ru-RU"/>
          </w:rPr>
          <m:t>2</m:t>
        </m:r>
      </m:oMath>
      <w:r w:rsidR="00CC1CE4" w:rsidRPr="00CC1CE4">
        <w:rPr>
          <w:rFonts w:ascii="Times New Roman" w:eastAsia="Times New Roman" w:hAnsi="Times New Roman" w:cs="Times New Roman"/>
          <w:sz w:val="20"/>
          <w:szCs w:val="20"/>
          <w:lang w:val="en-US" w:eastAsia="ru-RU"/>
        </w:rPr>
        <w:t xml:space="preserve"> </w:t>
      </w:r>
      <w:r w:rsidR="00CC1CE4" w:rsidRPr="00CC1CE4">
        <w:rPr>
          <w:rFonts w:ascii="Times New Roman" w:eastAsiaTheme="minorEastAsia" w:hAnsi="Times New Roman" w:cs="Times New Roman"/>
          <w:bCs/>
          <w:sz w:val="20"/>
          <w:szCs w:val="20"/>
          <w:lang w:val="en-US" w:eastAsia="ru-RU"/>
        </w:rPr>
        <w:tab/>
      </w:r>
      <w:r w:rsidR="00CC1CE4" w:rsidRPr="00CC1CE4">
        <w:rPr>
          <w:rFonts w:ascii="Times New Roman" w:eastAsiaTheme="minorEastAsia" w:hAnsi="Times New Roman" w:cs="Times New Roman"/>
          <w:bCs/>
          <w:sz w:val="20"/>
          <w:szCs w:val="20"/>
          <w:lang w:val="en-US" w:eastAsia="ru-RU"/>
        </w:rPr>
        <w:tab/>
        <w:t>(1)</w:t>
      </w:r>
    </w:p>
    <w:p w14:paraId="1AE32BD0" w14:textId="3BB1F897" w:rsidR="003146EB" w:rsidRDefault="003146EB" w:rsidP="003146EB">
      <w:pPr>
        <w:spacing w:after="0" w:line="240" w:lineRule="auto"/>
        <w:ind w:firstLine="284"/>
        <w:jc w:val="both"/>
        <w:rPr>
          <w:rFonts w:ascii="Times New Roman" w:hAnsi="Times New Roman" w:cs="Times New Roman"/>
          <w:sz w:val="20"/>
          <w:szCs w:val="20"/>
        </w:rPr>
      </w:pPr>
      <w:r w:rsidRPr="003146EB">
        <w:rPr>
          <w:rFonts w:ascii="Times New Roman" w:hAnsi="Times New Roman" w:cs="Times New Roman"/>
          <w:sz w:val="20"/>
          <w:szCs w:val="20"/>
        </w:rPr>
        <w:t>Exponentiating this equation yields the non-linear econometric model for revenue prediction:</w:t>
      </w:r>
    </w:p>
    <w:p w14:paraId="685EB2D5" w14:textId="693D345A" w:rsidR="003146EB" w:rsidRPr="00CC1CE4" w:rsidRDefault="00000000" w:rsidP="00CC1CE4">
      <w:pPr>
        <w:spacing w:after="0" w:line="240" w:lineRule="auto"/>
        <w:ind w:firstLine="284"/>
        <w:jc w:val="right"/>
        <w:rPr>
          <w:rFonts w:ascii="Times New Roman" w:hAnsi="Times New Roman" w:cs="Times New Roman"/>
          <w:sz w:val="20"/>
          <w:szCs w:val="20"/>
          <w:lang w:val="ru-RU"/>
        </w:rPr>
      </w:pPr>
      <m:oMath>
        <m:sSub>
          <m:sSubPr>
            <m:ctrlPr>
              <w:rPr>
                <w:rFonts w:ascii="Cambria Math" w:eastAsia="Times New Roman" w:hAnsi="Cambria Math" w:cs="Times New Roman"/>
                <w:bCs/>
                <w:sz w:val="20"/>
                <w:szCs w:val="20"/>
                <w:lang w:eastAsia="ru-RU"/>
              </w:rPr>
            </m:ctrlPr>
          </m:sSubPr>
          <m:e>
            <m:r>
              <w:rPr>
                <w:rFonts w:ascii="Cambria Math" w:eastAsia="Times New Roman" w:hAnsi="Cambria Math" w:cs="Times New Roman"/>
                <w:sz w:val="20"/>
                <w:szCs w:val="20"/>
                <w:lang w:eastAsia="ru-RU"/>
              </w:rPr>
              <m:t>Y</m:t>
            </m:r>
          </m:e>
          <m:sub>
            <m:r>
              <w:rPr>
                <w:rFonts w:ascii="Cambria Math" w:eastAsia="Times New Roman" w:hAnsi="Cambria Math" w:cs="Times New Roman"/>
                <w:sz w:val="20"/>
                <w:szCs w:val="20"/>
                <w:lang w:eastAsia="ru-RU"/>
              </w:rPr>
              <m:t>1</m:t>
            </m:r>
          </m:sub>
        </m:sSub>
        <m:r>
          <w:rPr>
            <w:rFonts w:ascii="Cambria Math" w:eastAsia="Times New Roman" w:hAnsi="Cambria Math" w:cs="Times New Roman"/>
            <w:sz w:val="20"/>
            <w:szCs w:val="20"/>
            <w:lang w:eastAsia="ru-RU"/>
          </w:rPr>
          <m:t>=</m:t>
        </m:r>
        <m:f>
          <m:fPr>
            <m:ctrlPr>
              <w:rPr>
                <w:rFonts w:ascii="Cambria Math" w:eastAsia="Times New Roman" w:hAnsi="Cambria Math" w:cs="Times New Roman"/>
                <w:bCs/>
                <w:sz w:val="20"/>
                <w:szCs w:val="20"/>
                <w:lang w:eastAsia="ru-RU"/>
              </w:rPr>
            </m:ctrlPr>
          </m:fPr>
          <m:num>
            <m:sSubSup>
              <m:sSubSupPr>
                <m:ctrlPr>
                  <w:rPr>
                    <w:rFonts w:ascii="Cambria Math" w:eastAsia="Times New Roman" w:hAnsi="Cambria Math" w:cs="Times New Roman"/>
                    <w:bCs/>
                    <w:sz w:val="20"/>
                    <w:szCs w:val="20"/>
                    <w:lang w:eastAsia="ru-RU"/>
                  </w:rPr>
                </m:ctrlPr>
              </m:sSubSupPr>
              <m:e>
                <m:r>
                  <w:rPr>
                    <w:rFonts w:ascii="Cambria Math" w:eastAsia="Times New Roman" w:hAnsi="Cambria Math" w:cs="Times New Roman"/>
                    <w:sz w:val="20"/>
                    <w:szCs w:val="20"/>
                    <w:lang w:eastAsia="ru-RU"/>
                  </w:rPr>
                  <m:t>X</m:t>
                </m:r>
              </m:e>
              <m:sub>
                <m:r>
                  <w:rPr>
                    <w:rFonts w:ascii="Cambria Math" w:eastAsia="Times New Roman" w:hAnsi="Cambria Math" w:cs="Times New Roman"/>
                    <w:sz w:val="20"/>
                    <w:szCs w:val="20"/>
                    <w:lang w:eastAsia="ru-RU"/>
                  </w:rPr>
                  <m:t>1</m:t>
                </m:r>
              </m:sub>
              <m:sup>
                <m:r>
                  <w:rPr>
                    <w:rFonts w:ascii="Cambria Math" w:eastAsia="Times New Roman" w:hAnsi="Cambria Math" w:cs="Times New Roman"/>
                    <w:sz w:val="20"/>
                    <w:szCs w:val="20"/>
                    <w:lang w:eastAsia="ru-RU"/>
                  </w:rPr>
                  <m:t>0.979</m:t>
                </m:r>
              </m:sup>
            </m:sSubSup>
            <m:r>
              <w:rPr>
                <w:rFonts w:ascii="Cambria Math" w:eastAsia="Times New Roman" w:hAnsi="Cambria Math" w:cs="Times New Roman"/>
                <w:sz w:val="20"/>
                <w:szCs w:val="20"/>
                <w:lang w:eastAsia="ru-RU"/>
              </w:rPr>
              <m:t>⋅</m:t>
            </m:r>
            <m:sSubSup>
              <m:sSubSupPr>
                <m:ctrlPr>
                  <w:rPr>
                    <w:rFonts w:ascii="Cambria Math" w:eastAsia="Times New Roman" w:hAnsi="Cambria Math" w:cs="Times New Roman"/>
                    <w:bCs/>
                    <w:sz w:val="20"/>
                    <w:szCs w:val="20"/>
                    <w:lang w:eastAsia="ru-RU"/>
                  </w:rPr>
                </m:ctrlPr>
              </m:sSubSupPr>
              <m:e>
                <m:r>
                  <w:rPr>
                    <w:rFonts w:ascii="Cambria Math" w:eastAsia="Times New Roman" w:hAnsi="Cambria Math" w:cs="Times New Roman"/>
                    <w:sz w:val="20"/>
                    <w:szCs w:val="20"/>
                    <w:lang w:eastAsia="ru-RU"/>
                  </w:rPr>
                  <m:t>X</m:t>
                </m:r>
              </m:e>
              <m:sub>
                <m:r>
                  <w:rPr>
                    <w:rFonts w:ascii="Cambria Math" w:eastAsia="Times New Roman" w:hAnsi="Cambria Math" w:cs="Times New Roman"/>
                    <w:sz w:val="20"/>
                    <w:szCs w:val="20"/>
                    <w:lang w:eastAsia="ru-RU"/>
                  </w:rPr>
                  <m:t>2</m:t>
                </m:r>
              </m:sub>
              <m:sup>
                <m:r>
                  <w:rPr>
                    <w:rFonts w:ascii="Cambria Math" w:eastAsia="Times New Roman" w:hAnsi="Cambria Math" w:cs="Times New Roman"/>
                    <w:sz w:val="20"/>
                    <w:szCs w:val="20"/>
                    <w:lang w:eastAsia="ru-RU"/>
                  </w:rPr>
                  <m:t>0.057</m:t>
                </m:r>
              </m:sup>
            </m:sSubSup>
            <m:r>
              <w:rPr>
                <w:rFonts w:ascii="Cambria Math" w:eastAsia="Times New Roman" w:hAnsi="Cambria Math" w:cs="Times New Roman"/>
                <w:sz w:val="20"/>
                <w:szCs w:val="20"/>
                <w:lang w:eastAsia="ru-RU"/>
              </w:rPr>
              <m:t>⋅</m:t>
            </m:r>
            <m:sSubSup>
              <m:sSubSupPr>
                <m:ctrlPr>
                  <w:rPr>
                    <w:rFonts w:ascii="Cambria Math" w:eastAsia="Times New Roman" w:hAnsi="Cambria Math" w:cs="Times New Roman"/>
                    <w:bCs/>
                    <w:sz w:val="20"/>
                    <w:szCs w:val="20"/>
                    <w:lang w:eastAsia="ru-RU"/>
                  </w:rPr>
                </m:ctrlPr>
              </m:sSubSupPr>
              <m:e>
                <m:r>
                  <w:rPr>
                    <w:rFonts w:ascii="Cambria Math" w:eastAsia="Times New Roman" w:hAnsi="Cambria Math" w:cs="Times New Roman"/>
                    <w:sz w:val="20"/>
                    <w:szCs w:val="20"/>
                    <w:lang w:eastAsia="ru-RU"/>
                  </w:rPr>
                  <m:t>X</m:t>
                </m:r>
              </m:e>
              <m:sub>
                <m:r>
                  <w:rPr>
                    <w:rFonts w:ascii="Cambria Math" w:eastAsia="Times New Roman" w:hAnsi="Cambria Math" w:cs="Times New Roman"/>
                    <w:sz w:val="20"/>
                    <w:szCs w:val="20"/>
                    <w:lang w:eastAsia="ru-RU"/>
                  </w:rPr>
                  <m:t>4</m:t>
                </m:r>
              </m:sub>
              <m:sup>
                <m:r>
                  <w:rPr>
                    <w:rFonts w:ascii="Cambria Math" w:eastAsia="Times New Roman" w:hAnsi="Cambria Math" w:cs="Times New Roman"/>
                    <w:sz w:val="20"/>
                    <w:szCs w:val="20"/>
                    <w:lang w:eastAsia="ru-RU"/>
                  </w:rPr>
                  <m:t>0.309</m:t>
                </m:r>
              </m:sup>
            </m:sSubSup>
            <m:r>
              <w:rPr>
                <w:rFonts w:ascii="Cambria Math" w:eastAsia="Times New Roman" w:hAnsi="Cambria Math" w:cs="Times New Roman"/>
                <w:sz w:val="20"/>
                <w:szCs w:val="20"/>
                <w:lang w:eastAsia="ru-RU"/>
              </w:rPr>
              <m:t>⋅</m:t>
            </m:r>
            <m:sSup>
              <m:sSupPr>
                <m:ctrlPr>
                  <w:rPr>
                    <w:rFonts w:ascii="Cambria Math" w:eastAsia="Times New Roman" w:hAnsi="Cambria Math" w:cs="Times New Roman"/>
                    <w:bCs/>
                    <w:sz w:val="20"/>
                    <w:szCs w:val="20"/>
                    <w:lang w:eastAsia="ru-RU"/>
                  </w:rPr>
                </m:ctrlPr>
              </m:sSupPr>
              <m:e>
                <m:r>
                  <w:rPr>
                    <w:rFonts w:ascii="Cambria Math" w:eastAsia="Times New Roman" w:hAnsi="Cambria Math" w:cs="Times New Roman"/>
                    <w:sz w:val="20"/>
                    <w:szCs w:val="20"/>
                    <w:lang w:eastAsia="ru-RU"/>
                  </w:rPr>
                  <m:t>e</m:t>
                </m:r>
              </m:e>
              <m:sup>
                <m:r>
                  <w:rPr>
                    <w:rFonts w:ascii="Cambria Math" w:eastAsia="Times New Roman" w:hAnsi="Cambria Math" w:cs="Times New Roman"/>
                    <w:sz w:val="20"/>
                    <w:szCs w:val="20"/>
                    <w:lang w:eastAsia="ru-RU"/>
                  </w:rPr>
                  <m:t>1.52</m:t>
                </m:r>
              </m:sup>
            </m:sSup>
          </m:num>
          <m:den>
            <m:sSubSup>
              <m:sSubSupPr>
                <m:ctrlPr>
                  <w:rPr>
                    <w:rFonts w:ascii="Cambria Math" w:eastAsia="Times New Roman" w:hAnsi="Cambria Math" w:cs="Times New Roman"/>
                    <w:bCs/>
                    <w:sz w:val="20"/>
                    <w:szCs w:val="20"/>
                    <w:lang w:eastAsia="ru-RU"/>
                  </w:rPr>
                </m:ctrlPr>
              </m:sSubSupPr>
              <m:e>
                <m:r>
                  <w:rPr>
                    <w:rFonts w:ascii="Cambria Math" w:eastAsia="Times New Roman" w:hAnsi="Cambria Math" w:cs="Times New Roman"/>
                    <w:sz w:val="20"/>
                    <w:szCs w:val="20"/>
                    <w:lang w:eastAsia="ru-RU"/>
                  </w:rPr>
                  <m:t>X</m:t>
                </m:r>
              </m:e>
              <m:sub>
                <m:r>
                  <w:rPr>
                    <w:rFonts w:ascii="Cambria Math" w:eastAsia="Times New Roman" w:hAnsi="Cambria Math" w:cs="Times New Roman"/>
                    <w:sz w:val="20"/>
                    <w:szCs w:val="20"/>
                    <w:lang w:eastAsia="ru-RU"/>
                  </w:rPr>
                  <m:t>3</m:t>
                </m:r>
              </m:sub>
              <m:sup>
                <m:r>
                  <w:rPr>
                    <w:rFonts w:ascii="Cambria Math" w:eastAsia="Times New Roman" w:hAnsi="Cambria Math" w:cs="Times New Roman"/>
                    <w:sz w:val="20"/>
                    <w:szCs w:val="20"/>
                    <w:lang w:eastAsia="ru-RU"/>
                  </w:rPr>
                  <m:t>0.007</m:t>
                </m:r>
              </m:sup>
            </m:sSubSup>
            <m:r>
              <w:rPr>
                <w:rFonts w:ascii="Cambria Math" w:eastAsia="Times New Roman" w:hAnsi="Cambria Math" w:cs="Times New Roman"/>
                <w:sz w:val="20"/>
                <w:szCs w:val="20"/>
                <w:lang w:eastAsia="ru-RU"/>
              </w:rPr>
              <m:t>⋅</m:t>
            </m:r>
            <m:sSubSup>
              <m:sSubSupPr>
                <m:ctrlPr>
                  <w:rPr>
                    <w:rFonts w:ascii="Cambria Math" w:eastAsia="Times New Roman" w:hAnsi="Cambria Math" w:cs="Times New Roman"/>
                    <w:bCs/>
                    <w:sz w:val="20"/>
                    <w:szCs w:val="20"/>
                    <w:lang w:eastAsia="ru-RU"/>
                  </w:rPr>
                </m:ctrlPr>
              </m:sSubSupPr>
              <m:e>
                <m:r>
                  <w:rPr>
                    <w:rFonts w:ascii="Cambria Math" w:eastAsia="Times New Roman" w:hAnsi="Cambria Math" w:cs="Times New Roman"/>
                    <w:sz w:val="20"/>
                    <w:szCs w:val="20"/>
                    <w:lang w:eastAsia="ru-RU"/>
                  </w:rPr>
                  <m:t>X</m:t>
                </m:r>
              </m:e>
              <m:sub>
                <m:r>
                  <w:rPr>
                    <w:rFonts w:ascii="Cambria Math" w:eastAsia="Times New Roman" w:hAnsi="Cambria Math" w:cs="Times New Roman"/>
                    <w:sz w:val="20"/>
                    <w:szCs w:val="20"/>
                    <w:lang w:eastAsia="ru-RU"/>
                  </w:rPr>
                  <m:t>5</m:t>
                </m:r>
              </m:sub>
              <m:sup>
                <m:r>
                  <w:rPr>
                    <w:rFonts w:ascii="Cambria Math" w:eastAsia="Times New Roman" w:hAnsi="Cambria Math" w:cs="Times New Roman"/>
                    <w:sz w:val="20"/>
                    <w:szCs w:val="20"/>
                    <w:lang w:eastAsia="ru-RU"/>
                  </w:rPr>
                  <m:t>0.095</m:t>
                </m:r>
              </m:sup>
            </m:sSubSup>
          </m:den>
        </m:f>
      </m:oMath>
      <w:r w:rsidR="00CC1CE4">
        <w:rPr>
          <w:rFonts w:ascii="Times New Roman" w:eastAsiaTheme="minorEastAsia" w:hAnsi="Times New Roman" w:cs="Times New Roman"/>
          <w:bCs/>
          <w:sz w:val="20"/>
          <w:szCs w:val="20"/>
          <w:lang w:val="ru-RU" w:eastAsia="ru-RU"/>
        </w:rPr>
        <w:t xml:space="preserve"> </w:t>
      </w:r>
      <w:r w:rsidR="00CC1CE4">
        <w:rPr>
          <w:rFonts w:ascii="Times New Roman" w:eastAsiaTheme="minorEastAsia" w:hAnsi="Times New Roman" w:cs="Times New Roman"/>
          <w:bCs/>
          <w:sz w:val="20"/>
          <w:szCs w:val="20"/>
          <w:lang w:val="ru-RU" w:eastAsia="ru-RU"/>
        </w:rPr>
        <w:tab/>
      </w:r>
      <w:r w:rsidR="00CC1CE4">
        <w:rPr>
          <w:rFonts w:ascii="Times New Roman" w:eastAsiaTheme="minorEastAsia" w:hAnsi="Times New Roman" w:cs="Times New Roman"/>
          <w:bCs/>
          <w:sz w:val="20"/>
          <w:szCs w:val="20"/>
          <w:lang w:val="ru-RU" w:eastAsia="ru-RU"/>
        </w:rPr>
        <w:tab/>
      </w:r>
      <w:r w:rsidR="00CC1CE4">
        <w:rPr>
          <w:rFonts w:ascii="Times New Roman" w:eastAsiaTheme="minorEastAsia" w:hAnsi="Times New Roman" w:cs="Times New Roman"/>
          <w:bCs/>
          <w:sz w:val="20"/>
          <w:szCs w:val="20"/>
          <w:lang w:val="ru-RU" w:eastAsia="ru-RU"/>
        </w:rPr>
        <w:tab/>
      </w:r>
      <w:r w:rsidR="00CC1CE4">
        <w:rPr>
          <w:rFonts w:ascii="Times New Roman" w:eastAsiaTheme="minorEastAsia" w:hAnsi="Times New Roman" w:cs="Times New Roman"/>
          <w:bCs/>
          <w:sz w:val="20"/>
          <w:szCs w:val="20"/>
          <w:lang w:val="ru-RU" w:eastAsia="ru-RU"/>
        </w:rPr>
        <w:tab/>
      </w:r>
      <w:r w:rsidR="00CC1CE4">
        <w:rPr>
          <w:rFonts w:ascii="Times New Roman" w:eastAsiaTheme="minorEastAsia" w:hAnsi="Times New Roman" w:cs="Times New Roman"/>
          <w:bCs/>
          <w:sz w:val="20"/>
          <w:szCs w:val="20"/>
          <w:lang w:val="ru-RU" w:eastAsia="ru-RU"/>
        </w:rPr>
        <w:tab/>
        <w:t>(2)</w:t>
      </w:r>
    </w:p>
    <w:p w14:paraId="4D59DAFA" w14:textId="59FAA3BE" w:rsidR="003146EB" w:rsidRDefault="003146EB" w:rsidP="003146EB">
      <w:pPr>
        <w:spacing w:after="0" w:line="240" w:lineRule="auto"/>
        <w:ind w:firstLine="284"/>
        <w:jc w:val="both"/>
        <w:rPr>
          <w:rFonts w:ascii="Times New Roman" w:hAnsi="Times New Roman" w:cs="Times New Roman"/>
          <w:sz w:val="20"/>
          <w:szCs w:val="20"/>
        </w:rPr>
      </w:pPr>
      <w:r w:rsidRPr="003146EB">
        <w:rPr>
          <w:rFonts w:ascii="Times New Roman" w:hAnsi="Times New Roman" w:cs="Times New Roman"/>
          <w:sz w:val="20"/>
          <w:szCs w:val="20"/>
        </w:rPr>
        <w:t>Using the model and trends of the key factors, revenue and its determinants were forecasted for 2023–2027. The projections are summarized in table 6[19]:</w:t>
      </w:r>
    </w:p>
    <w:p w14:paraId="70CCB4E1" w14:textId="77777777" w:rsidR="003146EB" w:rsidRDefault="003146EB" w:rsidP="003146EB">
      <w:pPr>
        <w:spacing w:after="0" w:line="240" w:lineRule="auto"/>
        <w:ind w:firstLine="284"/>
        <w:jc w:val="both"/>
        <w:rPr>
          <w:rFonts w:ascii="Times New Roman" w:hAnsi="Times New Roman" w:cs="Times New Roman"/>
          <w:b/>
          <w:bCs/>
          <w:sz w:val="20"/>
          <w:szCs w:val="20"/>
        </w:rPr>
      </w:pPr>
    </w:p>
    <w:p w14:paraId="74984D3F" w14:textId="0FC76DD1" w:rsidR="003146EB" w:rsidRDefault="003146EB" w:rsidP="003146EB">
      <w:pPr>
        <w:spacing w:after="0" w:line="240" w:lineRule="auto"/>
        <w:ind w:firstLine="284"/>
        <w:jc w:val="center"/>
        <w:rPr>
          <w:rFonts w:ascii="Times New Roman" w:hAnsi="Times New Roman" w:cs="Times New Roman"/>
          <w:sz w:val="20"/>
          <w:szCs w:val="20"/>
        </w:rPr>
      </w:pPr>
      <w:r w:rsidRPr="003146EB">
        <w:rPr>
          <w:rFonts w:ascii="Times New Roman" w:hAnsi="Times New Roman" w:cs="Times New Roman"/>
          <w:b/>
          <w:bCs/>
          <w:sz w:val="20"/>
          <w:szCs w:val="20"/>
        </w:rPr>
        <w:t>TABLE 6.</w:t>
      </w:r>
      <w:r w:rsidRPr="003146EB">
        <w:rPr>
          <w:rFonts w:ascii="Times New Roman" w:hAnsi="Times New Roman" w:cs="Times New Roman"/>
          <w:sz w:val="20"/>
          <w:szCs w:val="20"/>
        </w:rPr>
        <w:t xml:space="preserve"> Forecast of revenue and key determinants in Uzbekistan’s furniture industry (2023–2027)</w:t>
      </w:r>
    </w:p>
    <w:tbl>
      <w:tblPr>
        <w:tblStyle w:val="11"/>
        <w:tblW w:w="9351" w:type="dxa"/>
        <w:jc w:val="center"/>
        <w:tblLook w:val="04A0" w:firstRow="1" w:lastRow="0" w:firstColumn="1" w:lastColumn="0" w:noHBand="0" w:noVBand="1"/>
      </w:tblPr>
      <w:tblGrid>
        <w:gridCol w:w="4361"/>
        <w:gridCol w:w="866"/>
        <w:gridCol w:w="866"/>
        <w:gridCol w:w="866"/>
        <w:gridCol w:w="866"/>
        <w:gridCol w:w="1526"/>
      </w:tblGrid>
      <w:tr w:rsidR="003146EB" w:rsidRPr="00873D26" w14:paraId="13A83A7A" w14:textId="77777777" w:rsidTr="003146E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17BB84F" w14:textId="77777777" w:rsidR="003146EB" w:rsidRPr="00873D26" w:rsidRDefault="003146EB" w:rsidP="003146EB">
            <w:pPr>
              <w:keepNext/>
              <w:overflowPunct w:val="0"/>
              <w:autoSpaceDE w:val="0"/>
              <w:autoSpaceDN w:val="0"/>
              <w:adjustRightInd w:val="0"/>
              <w:jc w:val="center"/>
              <w:textAlignment w:val="baseline"/>
              <w:outlineLvl w:val="5"/>
              <w:rPr>
                <w:rFonts w:ascii="Times New Roman" w:eastAsia="Times New Roman" w:hAnsi="Times New Roman" w:cs="Times New Roman"/>
                <w:sz w:val="20"/>
                <w:szCs w:val="20"/>
                <w:lang w:eastAsia="ru-RU"/>
              </w:rPr>
            </w:pPr>
            <w:r w:rsidRPr="00873D26">
              <w:rPr>
                <w:rFonts w:ascii="Times New Roman" w:eastAsia="Times New Roman" w:hAnsi="Times New Roman" w:cs="Times New Roman"/>
                <w:sz w:val="20"/>
                <w:szCs w:val="20"/>
                <w:lang w:eastAsia="ru-RU"/>
              </w:rPr>
              <w:t>Variable</w:t>
            </w:r>
          </w:p>
        </w:tc>
        <w:tc>
          <w:tcPr>
            <w:tcW w:w="0" w:type="auto"/>
            <w:vAlign w:val="center"/>
            <w:hideMark/>
          </w:tcPr>
          <w:p w14:paraId="425A87DD" w14:textId="77777777" w:rsidR="003146EB" w:rsidRPr="00873D26" w:rsidRDefault="003146EB" w:rsidP="003146EB">
            <w:pPr>
              <w:keepNext/>
              <w:overflowPunct w:val="0"/>
              <w:autoSpaceDE w:val="0"/>
              <w:autoSpaceDN w:val="0"/>
              <w:adjustRightInd w:val="0"/>
              <w:jc w:val="center"/>
              <w:textAlignment w:val="baseline"/>
              <w:outlineLvl w:val="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873D26">
              <w:rPr>
                <w:rFonts w:ascii="Times New Roman" w:eastAsia="Times New Roman" w:hAnsi="Times New Roman" w:cs="Times New Roman"/>
                <w:sz w:val="20"/>
                <w:szCs w:val="20"/>
                <w:lang w:eastAsia="ru-RU"/>
              </w:rPr>
              <w:t>2023</w:t>
            </w:r>
          </w:p>
        </w:tc>
        <w:tc>
          <w:tcPr>
            <w:tcW w:w="0" w:type="auto"/>
            <w:vAlign w:val="center"/>
            <w:hideMark/>
          </w:tcPr>
          <w:p w14:paraId="261B08F8" w14:textId="77777777" w:rsidR="003146EB" w:rsidRPr="00873D26" w:rsidRDefault="003146EB" w:rsidP="003146EB">
            <w:pPr>
              <w:keepNext/>
              <w:overflowPunct w:val="0"/>
              <w:autoSpaceDE w:val="0"/>
              <w:autoSpaceDN w:val="0"/>
              <w:adjustRightInd w:val="0"/>
              <w:jc w:val="center"/>
              <w:textAlignment w:val="baseline"/>
              <w:outlineLvl w:val="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873D26">
              <w:rPr>
                <w:rFonts w:ascii="Times New Roman" w:eastAsia="Times New Roman" w:hAnsi="Times New Roman" w:cs="Times New Roman"/>
                <w:sz w:val="20"/>
                <w:szCs w:val="20"/>
                <w:lang w:eastAsia="ru-RU"/>
              </w:rPr>
              <w:t>2024</w:t>
            </w:r>
          </w:p>
        </w:tc>
        <w:tc>
          <w:tcPr>
            <w:tcW w:w="0" w:type="auto"/>
            <w:vAlign w:val="center"/>
            <w:hideMark/>
          </w:tcPr>
          <w:p w14:paraId="7633EA35" w14:textId="77777777" w:rsidR="003146EB" w:rsidRPr="00873D26" w:rsidRDefault="003146EB" w:rsidP="003146EB">
            <w:pPr>
              <w:keepNext/>
              <w:overflowPunct w:val="0"/>
              <w:autoSpaceDE w:val="0"/>
              <w:autoSpaceDN w:val="0"/>
              <w:adjustRightInd w:val="0"/>
              <w:jc w:val="center"/>
              <w:textAlignment w:val="baseline"/>
              <w:outlineLvl w:val="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873D26">
              <w:rPr>
                <w:rFonts w:ascii="Times New Roman" w:eastAsia="Times New Roman" w:hAnsi="Times New Roman" w:cs="Times New Roman"/>
                <w:sz w:val="20"/>
                <w:szCs w:val="20"/>
                <w:lang w:eastAsia="ru-RU"/>
              </w:rPr>
              <w:t>2025</w:t>
            </w:r>
          </w:p>
        </w:tc>
        <w:tc>
          <w:tcPr>
            <w:tcW w:w="0" w:type="auto"/>
            <w:vAlign w:val="center"/>
            <w:hideMark/>
          </w:tcPr>
          <w:p w14:paraId="40ACE479" w14:textId="77777777" w:rsidR="003146EB" w:rsidRPr="00873D26" w:rsidRDefault="003146EB" w:rsidP="003146EB">
            <w:pPr>
              <w:keepNext/>
              <w:overflowPunct w:val="0"/>
              <w:autoSpaceDE w:val="0"/>
              <w:autoSpaceDN w:val="0"/>
              <w:adjustRightInd w:val="0"/>
              <w:jc w:val="center"/>
              <w:textAlignment w:val="baseline"/>
              <w:outlineLvl w:val="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873D26">
              <w:rPr>
                <w:rFonts w:ascii="Times New Roman" w:eastAsia="Times New Roman" w:hAnsi="Times New Roman" w:cs="Times New Roman"/>
                <w:sz w:val="20"/>
                <w:szCs w:val="20"/>
                <w:lang w:eastAsia="ru-RU"/>
              </w:rPr>
              <w:t>2026</w:t>
            </w:r>
          </w:p>
        </w:tc>
        <w:tc>
          <w:tcPr>
            <w:tcW w:w="1526" w:type="dxa"/>
            <w:vAlign w:val="center"/>
            <w:hideMark/>
          </w:tcPr>
          <w:p w14:paraId="43C5BB1E" w14:textId="77777777" w:rsidR="003146EB" w:rsidRPr="00873D26" w:rsidRDefault="003146EB" w:rsidP="003146EB">
            <w:pPr>
              <w:keepNext/>
              <w:overflowPunct w:val="0"/>
              <w:autoSpaceDE w:val="0"/>
              <w:autoSpaceDN w:val="0"/>
              <w:adjustRightInd w:val="0"/>
              <w:jc w:val="center"/>
              <w:textAlignment w:val="baseline"/>
              <w:outlineLvl w:val="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873D26">
              <w:rPr>
                <w:rFonts w:ascii="Times New Roman" w:eastAsia="Times New Roman" w:hAnsi="Times New Roman" w:cs="Times New Roman"/>
                <w:sz w:val="20"/>
                <w:szCs w:val="20"/>
                <w:lang w:eastAsia="ru-RU"/>
              </w:rPr>
              <w:t>2027</w:t>
            </w:r>
          </w:p>
        </w:tc>
      </w:tr>
      <w:tr w:rsidR="003146EB" w:rsidRPr="00873D26" w14:paraId="25D723BA" w14:textId="77777777" w:rsidTr="003146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7D82639" w14:textId="77777777" w:rsidR="003146EB" w:rsidRPr="00873D26" w:rsidRDefault="003146EB" w:rsidP="003146EB">
            <w:pPr>
              <w:keepNext/>
              <w:overflowPunct w:val="0"/>
              <w:autoSpaceDE w:val="0"/>
              <w:autoSpaceDN w:val="0"/>
              <w:adjustRightInd w:val="0"/>
              <w:jc w:val="center"/>
              <w:textAlignment w:val="baseline"/>
              <w:outlineLvl w:val="5"/>
              <w:rPr>
                <w:rFonts w:ascii="Times New Roman" w:eastAsia="Times New Roman" w:hAnsi="Times New Roman" w:cs="Times New Roman"/>
                <w:sz w:val="20"/>
                <w:szCs w:val="20"/>
                <w:lang w:eastAsia="ru-RU"/>
              </w:rPr>
            </w:pPr>
            <w:r w:rsidRPr="00873D26">
              <w:rPr>
                <w:rFonts w:ascii="Times New Roman" w:eastAsia="Times New Roman" w:hAnsi="Times New Roman" w:cs="Times New Roman"/>
                <w:sz w:val="20"/>
                <w:szCs w:val="20"/>
                <w:lang w:eastAsia="ru-RU"/>
              </w:rPr>
              <w:t>Revenue, bln. UZS (Y1)</w:t>
            </w:r>
          </w:p>
        </w:tc>
        <w:tc>
          <w:tcPr>
            <w:tcW w:w="0" w:type="auto"/>
            <w:vAlign w:val="center"/>
            <w:hideMark/>
          </w:tcPr>
          <w:p w14:paraId="7A3F329E" w14:textId="77777777" w:rsidR="003146EB" w:rsidRPr="00873D26"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ru-RU"/>
              </w:rPr>
            </w:pPr>
            <w:r w:rsidRPr="00873D26">
              <w:rPr>
                <w:rFonts w:ascii="Times New Roman" w:eastAsia="Times New Roman" w:hAnsi="Times New Roman" w:cs="Times New Roman"/>
                <w:bCs/>
                <w:sz w:val="20"/>
                <w:szCs w:val="20"/>
                <w:lang w:eastAsia="ru-RU"/>
              </w:rPr>
              <w:t>3350.7</w:t>
            </w:r>
          </w:p>
        </w:tc>
        <w:tc>
          <w:tcPr>
            <w:tcW w:w="0" w:type="auto"/>
            <w:vAlign w:val="center"/>
            <w:hideMark/>
          </w:tcPr>
          <w:p w14:paraId="6585D666" w14:textId="77777777" w:rsidR="003146EB" w:rsidRPr="00873D26"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ru-RU"/>
              </w:rPr>
            </w:pPr>
            <w:r w:rsidRPr="00873D26">
              <w:rPr>
                <w:rFonts w:ascii="Times New Roman" w:eastAsia="Times New Roman" w:hAnsi="Times New Roman" w:cs="Times New Roman"/>
                <w:bCs/>
                <w:sz w:val="20"/>
                <w:szCs w:val="20"/>
                <w:lang w:eastAsia="ru-RU"/>
              </w:rPr>
              <w:t>3682.3</w:t>
            </w:r>
          </w:p>
        </w:tc>
        <w:tc>
          <w:tcPr>
            <w:tcW w:w="0" w:type="auto"/>
            <w:vAlign w:val="center"/>
            <w:hideMark/>
          </w:tcPr>
          <w:p w14:paraId="5A7F02C3" w14:textId="77777777" w:rsidR="003146EB" w:rsidRPr="00873D26"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ru-RU"/>
              </w:rPr>
            </w:pPr>
            <w:r w:rsidRPr="00873D26">
              <w:rPr>
                <w:rFonts w:ascii="Times New Roman" w:eastAsia="Times New Roman" w:hAnsi="Times New Roman" w:cs="Times New Roman"/>
                <w:bCs/>
                <w:sz w:val="20"/>
                <w:szCs w:val="20"/>
                <w:lang w:eastAsia="ru-RU"/>
              </w:rPr>
              <w:t>4019.5</w:t>
            </w:r>
          </w:p>
        </w:tc>
        <w:tc>
          <w:tcPr>
            <w:tcW w:w="0" w:type="auto"/>
            <w:vAlign w:val="center"/>
            <w:hideMark/>
          </w:tcPr>
          <w:p w14:paraId="5599C868" w14:textId="77777777" w:rsidR="003146EB" w:rsidRPr="00873D26"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ru-RU"/>
              </w:rPr>
            </w:pPr>
            <w:r w:rsidRPr="00873D26">
              <w:rPr>
                <w:rFonts w:ascii="Times New Roman" w:eastAsia="Times New Roman" w:hAnsi="Times New Roman" w:cs="Times New Roman"/>
                <w:bCs/>
                <w:sz w:val="20"/>
                <w:szCs w:val="20"/>
                <w:lang w:eastAsia="ru-RU"/>
              </w:rPr>
              <w:t>4361.0</w:t>
            </w:r>
          </w:p>
        </w:tc>
        <w:tc>
          <w:tcPr>
            <w:tcW w:w="1526" w:type="dxa"/>
            <w:vAlign w:val="center"/>
            <w:hideMark/>
          </w:tcPr>
          <w:p w14:paraId="07AA2842" w14:textId="77777777" w:rsidR="003146EB" w:rsidRPr="00873D26"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ru-RU"/>
              </w:rPr>
            </w:pPr>
            <w:r w:rsidRPr="00873D26">
              <w:rPr>
                <w:rFonts w:ascii="Times New Roman" w:eastAsia="Times New Roman" w:hAnsi="Times New Roman" w:cs="Times New Roman"/>
                <w:bCs/>
                <w:sz w:val="20"/>
                <w:szCs w:val="20"/>
                <w:lang w:eastAsia="ru-RU"/>
              </w:rPr>
              <w:t>4709.9</w:t>
            </w:r>
          </w:p>
        </w:tc>
      </w:tr>
      <w:tr w:rsidR="003146EB" w:rsidRPr="00873D26" w14:paraId="5BC80E89" w14:textId="77777777" w:rsidTr="003146EB">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9824F71" w14:textId="77777777" w:rsidR="003146EB" w:rsidRPr="00873D26" w:rsidRDefault="003146EB" w:rsidP="003146EB">
            <w:pPr>
              <w:keepNext/>
              <w:overflowPunct w:val="0"/>
              <w:autoSpaceDE w:val="0"/>
              <w:autoSpaceDN w:val="0"/>
              <w:adjustRightInd w:val="0"/>
              <w:jc w:val="center"/>
              <w:textAlignment w:val="baseline"/>
              <w:outlineLvl w:val="5"/>
              <w:rPr>
                <w:rFonts w:ascii="Times New Roman" w:eastAsia="Times New Roman" w:hAnsi="Times New Roman" w:cs="Times New Roman"/>
                <w:sz w:val="20"/>
                <w:szCs w:val="20"/>
                <w:lang w:eastAsia="ru-RU"/>
              </w:rPr>
            </w:pPr>
            <w:r w:rsidRPr="00873D26">
              <w:rPr>
                <w:rFonts w:ascii="Times New Roman" w:eastAsia="Times New Roman" w:hAnsi="Times New Roman" w:cs="Times New Roman"/>
                <w:sz w:val="20"/>
                <w:szCs w:val="20"/>
                <w:lang w:eastAsia="ru-RU"/>
              </w:rPr>
              <w:t>Average Production per Capita, thous. UZS (X1)</w:t>
            </w:r>
          </w:p>
        </w:tc>
        <w:tc>
          <w:tcPr>
            <w:tcW w:w="0" w:type="auto"/>
            <w:vAlign w:val="center"/>
            <w:hideMark/>
          </w:tcPr>
          <w:p w14:paraId="272E76B9" w14:textId="77777777" w:rsidR="003146EB" w:rsidRPr="00873D26"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eastAsia="ru-RU"/>
              </w:rPr>
            </w:pPr>
            <w:r w:rsidRPr="00873D26">
              <w:rPr>
                <w:rFonts w:ascii="Times New Roman" w:eastAsia="Times New Roman" w:hAnsi="Times New Roman" w:cs="Times New Roman"/>
                <w:bCs/>
                <w:sz w:val="20"/>
                <w:szCs w:val="20"/>
                <w:lang w:eastAsia="ru-RU"/>
              </w:rPr>
              <w:t>98.1</w:t>
            </w:r>
          </w:p>
        </w:tc>
        <w:tc>
          <w:tcPr>
            <w:tcW w:w="0" w:type="auto"/>
            <w:vAlign w:val="center"/>
            <w:hideMark/>
          </w:tcPr>
          <w:p w14:paraId="3C8D546D" w14:textId="77777777" w:rsidR="003146EB" w:rsidRPr="00873D26"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eastAsia="ru-RU"/>
              </w:rPr>
            </w:pPr>
            <w:r w:rsidRPr="00873D26">
              <w:rPr>
                <w:rFonts w:ascii="Times New Roman" w:eastAsia="Times New Roman" w:hAnsi="Times New Roman" w:cs="Times New Roman"/>
                <w:bCs/>
                <w:sz w:val="20"/>
                <w:szCs w:val="20"/>
                <w:lang w:eastAsia="ru-RU"/>
              </w:rPr>
              <w:t>106.5</w:t>
            </w:r>
          </w:p>
        </w:tc>
        <w:tc>
          <w:tcPr>
            <w:tcW w:w="0" w:type="auto"/>
            <w:vAlign w:val="center"/>
            <w:hideMark/>
          </w:tcPr>
          <w:p w14:paraId="14EC9C70" w14:textId="77777777" w:rsidR="003146EB" w:rsidRPr="00873D26"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eastAsia="ru-RU"/>
              </w:rPr>
            </w:pPr>
            <w:r w:rsidRPr="00873D26">
              <w:rPr>
                <w:rFonts w:ascii="Times New Roman" w:eastAsia="Times New Roman" w:hAnsi="Times New Roman" w:cs="Times New Roman"/>
                <w:bCs/>
                <w:sz w:val="20"/>
                <w:szCs w:val="20"/>
                <w:lang w:eastAsia="ru-RU"/>
              </w:rPr>
              <w:t>114.9</w:t>
            </w:r>
          </w:p>
        </w:tc>
        <w:tc>
          <w:tcPr>
            <w:tcW w:w="0" w:type="auto"/>
            <w:vAlign w:val="center"/>
            <w:hideMark/>
          </w:tcPr>
          <w:p w14:paraId="543A2910" w14:textId="77777777" w:rsidR="003146EB" w:rsidRPr="00873D26"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eastAsia="ru-RU"/>
              </w:rPr>
            </w:pPr>
            <w:r w:rsidRPr="00873D26">
              <w:rPr>
                <w:rFonts w:ascii="Times New Roman" w:eastAsia="Times New Roman" w:hAnsi="Times New Roman" w:cs="Times New Roman"/>
                <w:bCs/>
                <w:sz w:val="20"/>
                <w:szCs w:val="20"/>
                <w:lang w:eastAsia="ru-RU"/>
              </w:rPr>
              <w:t>123.2</w:t>
            </w:r>
          </w:p>
        </w:tc>
        <w:tc>
          <w:tcPr>
            <w:tcW w:w="1526" w:type="dxa"/>
            <w:vAlign w:val="center"/>
            <w:hideMark/>
          </w:tcPr>
          <w:p w14:paraId="56462360" w14:textId="77777777" w:rsidR="003146EB" w:rsidRPr="00873D26"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eastAsia="ru-RU"/>
              </w:rPr>
            </w:pPr>
            <w:r w:rsidRPr="00873D26">
              <w:rPr>
                <w:rFonts w:ascii="Times New Roman" w:eastAsia="Times New Roman" w:hAnsi="Times New Roman" w:cs="Times New Roman"/>
                <w:bCs/>
                <w:sz w:val="20"/>
                <w:szCs w:val="20"/>
                <w:lang w:eastAsia="ru-RU"/>
              </w:rPr>
              <w:t>131.6</w:t>
            </w:r>
          </w:p>
        </w:tc>
      </w:tr>
      <w:tr w:rsidR="003146EB" w:rsidRPr="00873D26" w14:paraId="37F876E4" w14:textId="77777777" w:rsidTr="003146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4E296DB" w14:textId="77777777" w:rsidR="003146EB" w:rsidRPr="00873D26" w:rsidRDefault="003146EB" w:rsidP="003146EB">
            <w:pPr>
              <w:keepNext/>
              <w:overflowPunct w:val="0"/>
              <w:autoSpaceDE w:val="0"/>
              <w:autoSpaceDN w:val="0"/>
              <w:adjustRightInd w:val="0"/>
              <w:jc w:val="center"/>
              <w:textAlignment w:val="baseline"/>
              <w:outlineLvl w:val="5"/>
              <w:rPr>
                <w:rFonts w:ascii="Times New Roman" w:eastAsia="Times New Roman" w:hAnsi="Times New Roman" w:cs="Times New Roman"/>
                <w:sz w:val="20"/>
                <w:szCs w:val="20"/>
                <w:lang w:eastAsia="ru-RU"/>
              </w:rPr>
            </w:pPr>
            <w:r w:rsidRPr="00873D26">
              <w:rPr>
                <w:rFonts w:ascii="Times New Roman" w:eastAsia="Times New Roman" w:hAnsi="Times New Roman" w:cs="Times New Roman"/>
                <w:sz w:val="20"/>
                <w:szCs w:val="20"/>
                <w:lang w:eastAsia="ru-RU"/>
              </w:rPr>
              <w:t>Sales Volume, bln. UZS (X2)</w:t>
            </w:r>
          </w:p>
        </w:tc>
        <w:tc>
          <w:tcPr>
            <w:tcW w:w="0" w:type="auto"/>
            <w:vAlign w:val="center"/>
            <w:hideMark/>
          </w:tcPr>
          <w:p w14:paraId="23C2176B" w14:textId="77777777" w:rsidR="003146EB" w:rsidRPr="00873D26"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ru-RU"/>
              </w:rPr>
            </w:pPr>
            <w:r w:rsidRPr="00873D26">
              <w:rPr>
                <w:rFonts w:ascii="Times New Roman" w:eastAsia="Times New Roman" w:hAnsi="Times New Roman" w:cs="Times New Roman"/>
                <w:bCs/>
                <w:sz w:val="20"/>
                <w:szCs w:val="20"/>
                <w:lang w:eastAsia="ru-RU"/>
              </w:rPr>
              <w:t>3746.9</w:t>
            </w:r>
          </w:p>
        </w:tc>
        <w:tc>
          <w:tcPr>
            <w:tcW w:w="0" w:type="auto"/>
            <w:vAlign w:val="center"/>
            <w:hideMark/>
          </w:tcPr>
          <w:p w14:paraId="68091EC3" w14:textId="77777777" w:rsidR="003146EB" w:rsidRPr="00873D26"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ru-RU"/>
              </w:rPr>
            </w:pPr>
            <w:r w:rsidRPr="00873D26">
              <w:rPr>
                <w:rFonts w:ascii="Times New Roman" w:eastAsia="Times New Roman" w:hAnsi="Times New Roman" w:cs="Times New Roman"/>
                <w:bCs/>
                <w:sz w:val="20"/>
                <w:szCs w:val="20"/>
                <w:lang w:eastAsia="ru-RU"/>
              </w:rPr>
              <w:t>4116.3</w:t>
            </w:r>
          </w:p>
        </w:tc>
        <w:tc>
          <w:tcPr>
            <w:tcW w:w="0" w:type="auto"/>
            <w:vAlign w:val="center"/>
            <w:hideMark/>
          </w:tcPr>
          <w:p w14:paraId="40EE1633" w14:textId="77777777" w:rsidR="003146EB" w:rsidRPr="00873D26"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ru-RU"/>
              </w:rPr>
            </w:pPr>
            <w:r w:rsidRPr="00873D26">
              <w:rPr>
                <w:rFonts w:ascii="Times New Roman" w:eastAsia="Times New Roman" w:hAnsi="Times New Roman" w:cs="Times New Roman"/>
                <w:bCs/>
                <w:sz w:val="20"/>
                <w:szCs w:val="20"/>
                <w:lang w:eastAsia="ru-RU"/>
              </w:rPr>
              <w:t>4485.6</w:t>
            </w:r>
          </w:p>
        </w:tc>
        <w:tc>
          <w:tcPr>
            <w:tcW w:w="0" w:type="auto"/>
            <w:vAlign w:val="center"/>
            <w:hideMark/>
          </w:tcPr>
          <w:p w14:paraId="08D689EF" w14:textId="77777777" w:rsidR="003146EB" w:rsidRPr="00873D26"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ru-RU"/>
              </w:rPr>
            </w:pPr>
            <w:r w:rsidRPr="00873D26">
              <w:rPr>
                <w:rFonts w:ascii="Times New Roman" w:eastAsia="Times New Roman" w:hAnsi="Times New Roman" w:cs="Times New Roman"/>
                <w:bCs/>
                <w:sz w:val="20"/>
                <w:szCs w:val="20"/>
                <w:lang w:eastAsia="ru-RU"/>
              </w:rPr>
              <w:t>4855.0</w:t>
            </w:r>
          </w:p>
        </w:tc>
        <w:tc>
          <w:tcPr>
            <w:tcW w:w="1526" w:type="dxa"/>
            <w:vAlign w:val="center"/>
            <w:hideMark/>
          </w:tcPr>
          <w:p w14:paraId="29763C6A" w14:textId="77777777" w:rsidR="003146EB" w:rsidRPr="00873D26"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ru-RU"/>
              </w:rPr>
            </w:pPr>
            <w:r w:rsidRPr="00873D26">
              <w:rPr>
                <w:rFonts w:ascii="Times New Roman" w:eastAsia="Times New Roman" w:hAnsi="Times New Roman" w:cs="Times New Roman"/>
                <w:bCs/>
                <w:sz w:val="20"/>
                <w:szCs w:val="20"/>
                <w:lang w:eastAsia="ru-RU"/>
              </w:rPr>
              <w:t>5224.3</w:t>
            </w:r>
          </w:p>
        </w:tc>
      </w:tr>
      <w:tr w:rsidR="003146EB" w:rsidRPr="00873D26" w14:paraId="3FA270A0" w14:textId="77777777" w:rsidTr="003146EB">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1F5CE23" w14:textId="77777777" w:rsidR="003146EB" w:rsidRPr="00873D26" w:rsidRDefault="003146EB" w:rsidP="003146EB">
            <w:pPr>
              <w:keepNext/>
              <w:overflowPunct w:val="0"/>
              <w:autoSpaceDE w:val="0"/>
              <w:autoSpaceDN w:val="0"/>
              <w:adjustRightInd w:val="0"/>
              <w:jc w:val="center"/>
              <w:textAlignment w:val="baseline"/>
              <w:outlineLvl w:val="5"/>
              <w:rPr>
                <w:rFonts w:ascii="Times New Roman" w:eastAsia="Times New Roman" w:hAnsi="Times New Roman" w:cs="Times New Roman"/>
                <w:sz w:val="20"/>
                <w:szCs w:val="20"/>
                <w:lang w:eastAsia="ru-RU"/>
              </w:rPr>
            </w:pPr>
            <w:r w:rsidRPr="00873D26">
              <w:rPr>
                <w:rFonts w:ascii="Times New Roman" w:eastAsia="Times New Roman" w:hAnsi="Times New Roman" w:cs="Times New Roman"/>
                <w:sz w:val="20"/>
                <w:szCs w:val="20"/>
                <w:lang w:eastAsia="ru-RU"/>
              </w:rPr>
              <w:t>Average Enterprise Risk Coefficient, unit (X3)</w:t>
            </w:r>
          </w:p>
        </w:tc>
        <w:tc>
          <w:tcPr>
            <w:tcW w:w="0" w:type="auto"/>
            <w:vAlign w:val="center"/>
            <w:hideMark/>
          </w:tcPr>
          <w:p w14:paraId="5DF1EF3A" w14:textId="77777777" w:rsidR="003146EB" w:rsidRPr="00873D26"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eastAsia="ru-RU"/>
              </w:rPr>
            </w:pPr>
            <w:r w:rsidRPr="00873D26">
              <w:rPr>
                <w:rFonts w:ascii="Times New Roman" w:eastAsia="Times New Roman" w:hAnsi="Times New Roman" w:cs="Times New Roman"/>
                <w:bCs/>
                <w:sz w:val="20"/>
                <w:szCs w:val="20"/>
                <w:lang w:eastAsia="ru-RU"/>
              </w:rPr>
              <w:t>0.85</w:t>
            </w:r>
          </w:p>
        </w:tc>
        <w:tc>
          <w:tcPr>
            <w:tcW w:w="0" w:type="auto"/>
            <w:vAlign w:val="center"/>
            <w:hideMark/>
          </w:tcPr>
          <w:p w14:paraId="25736E19" w14:textId="77777777" w:rsidR="003146EB" w:rsidRPr="00873D26"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eastAsia="ru-RU"/>
              </w:rPr>
            </w:pPr>
            <w:r w:rsidRPr="00873D26">
              <w:rPr>
                <w:rFonts w:ascii="Times New Roman" w:eastAsia="Times New Roman" w:hAnsi="Times New Roman" w:cs="Times New Roman"/>
                <w:bCs/>
                <w:sz w:val="20"/>
                <w:szCs w:val="20"/>
                <w:lang w:eastAsia="ru-RU"/>
              </w:rPr>
              <w:t>0.88</w:t>
            </w:r>
          </w:p>
        </w:tc>
        <w:tc>
          <w:tcPr>
            <w:tcW w:w="0" w:type="auto"/>
            <w:vAlign w:val="center"/>
            <w:hideMark/>
          </w:tcPr>
          <w:p w14:paraId="58536961" w14:textId="77777777" w:rsidR="003146EB" w:rsidRPr="00873D26"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eastAsia="ru-RU"/>
              </w:rPr>
            </w:pPr>
            <w:r w:rsidRPr="00873D26">
              <w:rPr>
                <w:rFonts w:ascii="Times New Roman" w:eastAsia="Times New Roman" w:hAnsi="Times New Roman" w:cs="Times New Roman"/>
                <w:bCs/>
                <w:sz w:val="20"/>
                <w:szCs w:val="20"/>
                <w:lang w:eastAsia="ru-RU"/>
              </w:rPr>
              <w:t>0.90</w:t>
            </w:r>
          </w:p>
        </w:tc>
        <w:tc>
          <w:tcPr>
            <w:tcW w:w="0" w:type="auto"/>
            <w:vAlign w:val="center"/>
            <w:hideMark/>
          </w:tcPr>
          <w:p w14:paraId="12FEA634" w14:textId="77777777" w:rsidR="003146EB" w:rsidRPr="00873D26"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eastAsia="ru-RU"/>
              </w:rPr>
            </w:pPr>
            <w:r w:rsidRPr="00873D26">
              <w:rPr>
                <w:rFonts w:ascii="Times New Roman" w:eastAsia="Times New Roman" w:hAnsi="Times New Roman" w:cs="Times New Roman"/>
                <w:bCs/>
                <w:sz w:val="20"/>
                <w:szCs w:val="20"/>
                <w:lang w:eastAsia="ru-RU"/>
              </w:rPr>
              <w:t>0.92</w:t>
            </w:r>
          </w:p>
        </w:tc>
        <w:tc>
          <w:tcPr>
            <w:tcW w:w="1526" w:type="dxa"/>
            <w:vAlign w:val="center"/>
            <w:hideMark/>
          </w:tcPr>
          <w:p w14:paraId="4E3AC4F3" w14:textId="77777777" w:rsidR="003146EB" w:rsidRPr="00873D26"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eastAsia="ru-RU"/>
              </w:rPr>
            </w:pPr>
            <w:r w:rsidRPr="00873D26">
              <w:rPr>
                <w:rFonts w:ascii="Times New Roman" w:eastAsia="Times New Roman" w:hAnsi="Times New Roman" w:cs="Times New Roman"/>
                <w:bCs/>
                <w:sz w:val="20"/>
                <w:szCs w:val="20"/>
                <w:lang w:eastAsia="ru-RU"/>
              </w:rPr>
              <w:t>0.94</w:t>
            </w:r>
          </w:p>
        </w:tc>
      </w:tr>
      <w:tr w:rsidR="003146EB" w:rsidRPr="00873D26" w14:paraId="4035BD8F" w14:textId="77777777" w:rsidTr="003146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5C77580" w14:textId="77777777" w:rsidR="003146EB" w:rsidRPr="00873D26" w:rsidRDefault="003146EB" w:rsidP="003146EB">
            <w:pPr>
              <w:keepNext/>
              <w:overflowPunct w:val="0"/>
              <w:autoSpaceDE w:val="0"/>
              <w:autoSpaceDN w:val="0"/>
              <w:adjustRightInd w:val="0"/>
              <w:jc w:val="center"/>
              <w:textAlignment w:val="baseline"/>
              <w:outlineLvl w:val="5"/>
              <w:rPr>
                <w:rFonts w:ascii="Times New Roman" w:eastAsia="Times New Roman" w:hAnsi="Times New Roman" w:cs="Times New Roman"/>
                <w:sz w:val="20"/>
                <w:szCs w:val="20"/>
                <w:lang w:eastAsia="ru-RU"/>
              </w:rPr>
            </w:pPr>
            <w:r w:rsidRPr="00873D26">
              <w:rPr>
                <w:rFonts w:ascii="Times New Roman" w:eastAsia="Times New Roman" w:hAnsi="Times New Roman" w:cs="Times New Roman"/>
                <w:sz w:val="20"/>
                <w:szCs w:val="20"/>
                <w:lang w:eastAsia="ru-RU"/>
              </w:rPr>
              <w:t>Number of Entrepreneurial Entities (X4)</w:t>
            </w:r>
          </w:p>
        </w:tc>
        <w:tc>
          <w:tcPr>
            <w:tcW w:w="0" w:type="auto"/>
            <w:vAlign w:val="center"/>
            <w:hideMark/>
          </w:tcPr>
          <w:p w14:paraId="5FF3A55C" w14:textId="77777777" w:rsidR="003146EB" w:rsidRPr="00873D26"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ru-RU"/>
              </w:rPr>
            </w:pPr>
            <w:r w:rsidRPr="00873D26">
              <w:rPr>
                <w:rFonts w:ascii="Times New Roman" w:eastAsia="Times New Roman" w:hAnsi="Times New Roman" w:cs="Times New Roman"/>
                <w:bCs/>
                <w:sz w:val="20"/>
                <w:szCs w:val="20"/>
                <w:lang w:eastAsia="ru-RU"/>
              </w:rPr>
              <w:t>3873</w:t>
            </w:r>
          </w:p>
        </w:tc>
        <w:tc>
          <w:tcPr>
            <w:tcW w:w="0" w:type="auto"/>
            <w:vAlign w:val="center"/>
            <w:hideMark/>
          </w:tcPr>
          <w:p w14:paraId="211BAFE9" w14:textId="77777777" w:rsidR="003146EB" w:rsidRPr="00873D26"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ru-RU"/>
              </w:rPr>
            </w:pPr>
            <w:r w:rsidRPr="00873D26">
              <w:rPr>
                <w:rFonts w:ascii="Times New Roman" w:eastAsia="Times New Roman" w:hAnsi="Times New Roman" w:cs="Times New Roman"/>
                <w:bCs/>
                <w:sz w:val="20"/>
                <w:szCs w:val="20"/>
                <w:lang w:eastAsia="ru-RU"/>
              </w:rPr>
              <w:t>4081</w:t>
            </w:r>
          </w:p>
        </w:tc>
        <w:tc>
          <w:tcPr>
            <w:tcW w:w="0" w:type="auto"/>
            <w:vAlign w:val="center"/>
            <w:hideMark/>
          </w:tcPr>
          <w:p w14:paraId="3E38504A" w14:textId="77777777" w:rsidR="003146EB" w:rsidRPr="00873D26"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ru-RU"/>
              </w:rPr>
            </w:pPr>
            <w:r w:rsidRPr="00873D26">
              <w:rPr>
                <w:rFonts w:ascii="Times New Roman" w:eastAsia="Times New Roman" w:hAnsi="Times New Roman" w:cs="Times New Roman"/>
                <w:bCs/>
                <w:sz w:val="20"/>
                <w:szCs w:val="20"/>
                <w:lang w:eastAsia="ru-RU"/>
              </w:rPr>
              <w:t>4288</w:t>
            </w:r>
          </w:p>
        </w:tc>
        <w:tc>
          <w:tcPr>
            <w:tcW w:w="0" w:type="auto"/>
            <w:vAlign w:val="center"/>
            <w:hideMark/>
          </w:tcPr>
          <w:p w14:paraId="116D0E23" w14:textId="77777777" w:rsidR="003146EB" w:rsidRPr="00873D26"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ru-RU"/>
              </w:rPr>
            </w:pPr>
            <w:r w:rsidRPr="00873D26">
              <w:rPr>
                <w:rFonts w:ascii="Times New Roman" w:eastAsia="Times New Roman" w:hAnsi="Times New Roman" w:cs="Times New Roman"/>
                <w:bCs/>
                <w:sz w:val="20"/>
                <w:szCs w:val="20"/>
                <w:lang w:eastAsia="ru-RU"/>
              </w:rPr>
              <w:t>4496</w:t>
            </w:r>
          </w:p>
        </w:tc>
        <w:tc>
          <w:tcPr>
            <w:tcW w:w="1526" w:type="dxa"/>
            <w:vAlign w:val="center"/>
            <w:hideMark/>
          </w:tcPr>
          <w:p w14:paraId="1FC413BB" w14:textId="77777777" w:rsidR="003146EB" w:rsidRPr="00873D26" w:rsidRDefault="003146EB" w:rsidP="003146EB">
            <w:pPr>
              <w:keepNext/>
              <w:overflowPunct w:val="0"/>
              <w:autoSpaceDE w:val="0"/>
              <w:autoSpaceDN w:val="0"/>
              <w:adjustRightInd w:val="0"/>
              <w:jc w:val="center"/>
              <w:textAlignment w:val="baseline"/>
              <w:outlineLvl w:val="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ru-RU"/>
              </w:rPr>
            </w:pPr>
            <w:r w:rsidRPr="00873D26">
              <w:rPr>
                <w:rFonts w:ascii="Times New Roman" w:eastAsia="Times New Roman" w:hAnsi="Times New Roman" w:cs="Times New Roman"/>
                <w:bCs/>
                <w:sz w:val="20"/>
                <w:szCs w:val="20"/>
                <w:lang w:eastAsia="ru-RU"/>
              </w:rPr>
              <w:t>4704</w:t>
            </w:r>
          </w:p>
        </w:tc>
      </w:tr>
      <w:tr w:rsidR="003146EB" w:rsidRPr="00873D26" w14:paraId="3F28801B" w14:textId="77777777" w:rsidTr="003146EB">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8B5DB82" w14:textId="77777777" w:rsidR="003146EB" w:rsidRPr="00873D26" w:rsidRDefault="003146EB" w:rsidP="003146EB">
            <w:pPr>
              <w:keepNext/>
              <w:overflowPunct w:val="0"/>
              <w:autoSpaceDE w:val="0"/>
              <w:autoSpaceDN w:val="0"/>
              <w:adjustRightInd w:val="0"/>
              <w:jc w:val="center"/>
              <w:textAlignment w:val="baseline"/>
              <w:outlineLvl w:val="5"/>
              <w:rPr>
                <w:rFonts w:ascii="Times New Roman" w:eastAsia="Times New Roman" w:hAnsi="Times New Roman" w:cs="Times New Roman"/>
                <w:sz w:val="20"/>
                <w:szCs w:val="20"/>
                <w:lang w:eastAsia="ru-RU"/>
              </w:rPr>
            </w:pPr>
            <w:r w:rsidRPr="00873D26">
              <w:rPr>
                <w:rFonts w:ascii="Times New Roman" w:eastAsia="Times New Roman" w:hAnsi="Times New Roman" w:cs="Times New Roman"/>
                <w:sz w:val="20"/>
                <w:szCs w:val="20"/>
                <w:lang w:eastAsia="ru-RU"/>
              </w:rPr>
              <w:t>Per Capita Real Income, thous. UZS (X5)</w:t>
            </w:r>
          </w:p>
        </w:tc>
        <w:tc>
          <w:tcPr>
            <w:tcW w:w="0" w:type="auto"/>
            <w:vAlign w:val="center"/>
            <w:hideMark/>
          </w:tcPr>
          <w:p w14:paraId="23B2EBC9" w14:textId="77777777" w:rsidR="003146EB" w:rsidRPr="00873D26"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eastAsia="ru-RU"/>
              </w:rPr>
            </w:pPr>
            <w:r w:rsidRPr="00873D26">
              <w:rPr>
                <w:rFonts w:ascii="Times New Roman" w:eastAsia="Times New Roman" w:hAnsi="Times New Roman" w:cs="Times New Roman"/>
                <w:bCs/>
                <w:sz w:val="20"/>
                <w:szCs w:val="20"/>
                <w:lang w:eastAsia="ru-RU"/>
              </w:rPr>
              <w:t>14701.9</w:t>
            </w:r>
          </w:p>
        </w:tc>
        <w:tc>
          <w:tcPr>
            <w:tcW w:w="0" w:type="auto"/>
            <w:vAlign w:val="center"/>
            <w:hideMark/>
          </w:tcPr>
          <w:p w14:paraId="220C4487" w14:textId="77777777" w:rsidR="003146EB" w:rsidRPr="00873D26"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eastAsia="ru-RU"/>
              </w:rPr>
            </w:pPr>
            <w:r w:rsidRPr="00873D26">
              <w:rPr>
                <w:rFonts w:ascii="Times New Roman" w:eastAsia="Times New Roman" w:hAnsi="Times New Roman" w:cs="Times New Roman"/>
                <w:bCs/>
                <w:sz w:val="20"/>
                <w:szCs w:val="20"/>
                <w:lang w:eastAsia="ru-RU"/>
              </w:rPr>
              <w:t>15816.6</w:t>
            </w:r>
          </w:p>
        </w:tc>
        <w:tc>
          <w:tcPr>
            <w:tcW w:w="0" w:type="auto"/>
            <w:vAlign w:val="center"/>
            <w:hideMark/>
          </w:tcPr>
          <w:p w14:paraId="4BADC5F6" w14:textId="77777777" w:rsidR="003146EB" w:rsidRPr="00873D26"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eastAsia="ru-RU"/>
              </w:rPr>
            </w:pPr>
            <w:r w:rsidRPr="00873D26">
              <w:rPr>
                <w:rFonts w:ascii="Times New Roman" w:eastAsia="Times New Roman" w:hAnsi="Times New Roman" w:cs="Times New Roman"/>
                <w:bCs/>
                <w:sz w:val="20"/>
                <w:szCs w:val="20"/>
                <w:lang w:eastAsia="ru-RU"/>
              </w:rPr>
              <w:t>16931.3</w:t>
            </w:r>
          </w:p>
        </w:tc>
        <w:tc>
          <w:tcPr>
            <w:tcW w:w="0" w:type="auto"/>
            <w:vAlign w:val="center"/>
            <w:hideMark/>
          </w:tcPr>
          <w:p w14:paraId="64903CD1" w14:textId="77777777" w:rsidR="003146EB" w:rsidRPr="00873D26"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eastAsia="ru-RU"/>
              </w:rPr>
            </w:pPr>
            <w:r w:rsidRPr="00873D26">
              <w:rPr>
                <w:rFonts w:ascii="Times New Roman" w:eastAsia="Times New Roman" w:hAnsi="Times New Roman" w:cs="Times New Roman"/>
                <w:bCs/>
                <w:sz w:val="20"/>
                <w:szCs w:val="20"/>
                <w:lang w:eastAsia="ru-RU"/>
              </w:rPr>
              <w:t>18046.0</w:t>
            </w:r>
          </w:p>
        </w:tc>
        <w:tc>
          <w:tcPr>
            <w:tcW w:w="1526" w:type="dxa"/>
            <w:vAlign w:val="center"/>
            <w:hideMark/>
          </w:tcPr>
          <w:p w14:paraId="0C79FE96" w14:textId="77777777" w:rsidR="003146EB" w:rsidRPr="00873D26" w:rsidRDefault="003146EB" w:rsidP="003146EB">
            <w:pPr>
              <w:keepNext/>
              <w:overflowPunct w:val="0"/>
              <w:autoSpaceDE w:val="0"/>
              <w:autoSpaceDN w:val="0"/>
              <w:adjustRightInd w:val="0"/>
              <w:jc w:val="center"/>
              <w:textAlignment w:val="baseline"/>
              <w:outlineLvl w:val="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eastAsia="ru-RU"/>
              </w:rPr>
            </w:pPr>
            <w:r w:rsidRPr="00873D26">
              <w:rPr>
                <w:rFonts w:ascii="Times New Roman" w:eastAsia="Times New Roman" w:hAnsi="Times New Roman" w:cs="Times New Roman"/>
                <w:bCs/>
                <w:sz w:val="20"/>
                <w:szCs w:val="20"/>
                <w:lang w:eastAsia="ru-RU"/>
              </w:rPr>
              <w:t>19160.7</w:t>
            </w:r>
          </w:p>
        </w:tc>
      </w:tr>
    </w:tbl>
    <w:p w14:paraId="35960FAC" w14:textId="77777777" w:rsidR="003146EB" w:rsidRDefault="003146EB" w:rsidP="003146EB">
      <w:pPr>
        <w:spacing w:after="0" w:line="240" w:lineRule="auto"/>
        <w:ind w:firstLine="284"/>
        <w:jc w:val="both"/>
        <w:rPr>
          <w:rFonts w:ascii="Times New Roman" w:hAnsi="Times New Roman" w:cs="Times New Roman"/>
          <w:sz w:val="20"/>
          <w:szCs w:val="20"/>
        </w:rPr>
      </w:pPr>
    </w:p>
    <w:p w14:paraId="417580EF" w14:textId="38EC1328" w:rsidR="003146EB" w:rsidRDefault="003146EB" w:rsidP="003146EB">
      <w:pPr>
        <w:spacing w:after="0" w:line="240" w:lineRule="auto"/>
        <w:ind w:firstLine="284"/>
        <w:jc w:val="both"/>
        <w:rPr>
          <w:rFonts w:ascii="Times New Roman" w:hAnsi="Times New Roman" w:cs="Times New Roman"/>
          <w:sz w:val="20"/>
          <w:szCs w:val="20"/>
        </w:rPr>
      </w:pPr>
      <w:r w:rsidRPr="003146EB">
        <w:rPr>
          <w:rFonts w:ascii="Times New Roman" w:hAnsi="Times New Roman" w:cs="Times New Roman"/>
          <w:sz w:val="20"/>
          <w:szCs w:val="20"/>
        </w:rPr>
        <w:t>Figure 1 illustrates the revenue trend from 2011 to 2027, including the forecasted period</w:t>
      </w:r>
      <w:r>
        <w:rPr>
          <w:rFonts w:ascii="Times New Roman" w:hAnsi="Times New Roman" w:cs="Times New Roman"/>
          <w:sz w:val="20"/>
          <w:szCs w:val="20"/>
        </w:rPr>
        <w:t xml:space="preserve"> </w:t>
      </w:r>
      <w:r w:rsidRPr="003146EB">
        <w:rPr>
          <w:rFonts w:ascii="Times New Roman" w:hAnsi="Times New Roman" w:cs="Times New Roman"/>
          <w:sz w:val="20"/>
          <w:szCs w:val="20"/>
        </w:rPr>
        <w:t>[19]</w:t>
      </w:r>
      <w:r>
        <w:rPr>
          <w:rFonts w:ascii="Times New Roman" w:hAnsi="Times New Roman" w:cs="Times New Roman"/>
          <w:sz w:val="20"/>
          <w:szCs w:val="20"/>
        </w:rPr>
        <w:t>.</w:t>
      </w:r>
    </w:p>
    <w:p w14:paraId="5C529097" w14:textId="64B1B8BD" w:rsidR="003146EB" w:rsidRDefault="003146EB" w:rsidP="003146EB">
      <w:pPr>
        <w:spacing w:after="0" w:line="240" w:lineRule="auto"/>
        <w:ind w:firstLine="284"/>
        <w:jc w:val="center"/>
        <w:rPr>
          <w:rFonts w:ascii="Times New Roman" w:hAnsi="Times New Roman" w:cs="Times New Roman"/>
          <w:sz w:val="20"/>
          <w:szCs w:val="20"/>
        </w:rPr>
      </w:pPr>
      <w:r w:rsidRPr="00077D0A">
        <w:rPr>
          <w:b/>
          <w:noProof/>
          <w:highlight w:val="lightGray"/>
          <w:lang w:val="en-US"/>
        </w:rPr>
        <w:drawing>
          <wp:inline distT="0" distB="0" distL="0" distR="0" wp14:anchorId="11091B21" wp14:editId="67C37E61">
            <wp:extent cx="5638800" cy="3895725"/>
            <wp:effectExtent l="0" t="0" r="0" b="9525"/>
            <wp:docPr id="1867" name="Диаграмма 186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41459A9" w14:textId="3D1E50DB" w:rsidR="003146EB" w:rsidRPr="003146EB" w:rsidRDefault="003146EB" w:rsidP="003146EB">
      <w:pPr>
        <w:spacing w:after="0" w:line="240" w:lineRule="auto"/>
        <w:ind w:firstLine="284"/>
        <w:jc w:val="center"/>
        <w:rPr>
          <w:rFonts w:ascii="Times New Roman" w:hAnsi="Times New Roman" w:cs="Times New Roman"/>
          <w:sz w:val="20"/>
          <w:szCs w:val="20"/>
        </w:rPr>
      </w:pPr>
      <w:r w:rsidRPr="003146EB">
        <w:rPr>
          <w:rFonts w:ascii="Times New Roman" w:hAnsi="Times New Roman" w:cs="Times New Roman"/>
          <w:b/>
          <w:bCs/>
          <w:sz w:val="20"/>
          <w:szCs w:val="20"/>
        </w:rPr>
        <w:t>FIGURE 1.</w:t>
      </w:r>
      <w:r w:rsidRPr="003146EB">
        <w:rPr>
          <w:rFonts w:ascii="Times New Roman" w:hAnsi="Times New Roman" w:cs="Times New Roman"/>
          <w:sz w:val="20"/>
          <w:szCs w:val="20"/>
        </w:rPr>
        <w:t xml:space="preserve"> Revenue Growth in Uzbekistan’s Furniture Industry, 2011–2027 (bln. UZS)</w:t>
      </w:r>
    </w:p>
    <w:p w14:paraId="3C5CD31D" w14:textId="77777777" w:rsidR="00CC1CE4" w:rsidRDefault="00CC1CE4" w:rsidP="003146EB">
      <w:pPr>
        <w:spacing w:after="0" w:line="240" w:lineRule="auto"/>
        <w:ind w:firstLine="284"/>
        <w:jc w:val="both"/>
        <w:rPr>
          <w:rFonts w:ascii="Times New Roman" w:hAnsi="Times New Roman" w:cs="Times New Roman"/>
          <w:sz w:val="20"/>
          <w:szCs w:val="20"/>
          <w:lang w:val="ru-RU"/>
        </w:rPr>
      </w:pPr>
    </w:p>
    <w:p w14:paraId="1C7ABE24" w14:textId="180CC135" w:rsidR="003146EB" w:rsidRDefault="003146EB" w:rsidP="003146EB">
      <w:pPr>
        <w:spacing w:after="0" w:line="240" w:lineRule="auto"/>
        <w:ind w:firstLine="284"/>
        <w:jc w:val="both"/>
        <w:rPr>
          <w:rFonts w:ascii="Times New Roman" w:hAnsi="Times New Roman" w:cs="Times New Roman"/>
          <w:sz w:val="20"/>
          <w:szCs w:val="20"/>
        </w:rPr>
      </w:pPr>
      <w:r w:rsidRPr="003146EB">
        <w:rPr>
          <w:rFonts w:ascii="Times New Roman" w:hAnsi="Times New Roman" w:cs="Times New Roman"/>
          <w:sz w:val="20"/>
          <w:szCs w:val="20"/>
        </w:rPr>
        <w:t>Note: Insert your plotted graph here, showing historical and forecasted revenue.</w:t>
      </w:r>
    </w:p>
    <w:p w14:paraId="5C239E2C" w14:textId="77777777" w:rsidR="003146EB" w:rsidRPr="003146EB" w:rsidRDefault="003146EB" w:rsidP="003146EB">
      <w:pPr>
        <w:tabs>
          <w:tab w:val="left" w:pos="284"/>
          <w:tab w:val="left" w:pos="567"/>
        </w:tabs>
        <w:spacing w:after="0" w:line="240" w:lineRule="auto"/>
        <w:ind w:firstLine="284"/>
        <w:jc w:val="both"/>
        <w:rPr>
          <w:rFonts w:ascii="Times New Roman" w:hAnsi="Times New Roman" w:cs="Times New Roman"/>
          <w:sz w:val="20"/>
          <w:szCs w:val="20"/>
        </w:rPr>
      </w:pPr>
      <w:r w:rsidRPr="003146EB">
        <w:rPr>
          <w:rFonts w:ascii="Times New Roman" w:hAnsi="Times New Roman" w:cs="Times New Roman"/>
          <w:sz w:val="20"/>
          <w:szCs w:val="20"/>
        </w:rPr>
        <w:t>1.</w:t>
      </w:r>
      <w:r w:rsidRPr="003146EB">
        <w:rPr>
          <w:rFonts w:ascii="Times New Roman" w:hAnsi="Times New Roman" w:cs="Times New Roman"/>
          <w:sz w:val="20"/>
          <w:szCs w:val="20"/>
        </w:rPr>
        <w:tab/>
        <w:t>The multi-factor econometric model demonstrates a strong fit, capturing the relationship between revenue and key economic determinants.</w:t>
      </w:r>
    </w:p>
    <w:p w14:paraId="5D77D619" w14:textId="77777777" w:rsidR="003146EB" w:rsidRPr="003146EB" w:rsidRDefault="003146EB" w:rsidP="003146EB">
      <w:pPr>
        <w:tabs>
          <w:tab w:val="left" w:pos="284"/>
          <w:tab w:val="left" w:pos="567"/>
        </w:tabs>
        <w:spacing w:after="0" w:line="240" w:lineRule="auto"/>
        <w:ind w:firstLine="284"/>
        <w:jc w:val="both"/>
        <w:rPr>
          <w:rFonts w:ascii="Times New Roman" w:hAnsi="Times New Roman" w:cs="Times New Roman"/>
          <w:sz w:val="20"/>
          <w:szCs w:val="20"/>
        </w:rPr>
      </w:pPr>
      <w:r w:rsidRPr="003146EB">
        <w:rPr>
          <w:rFonts w:ascii="Times New Roman" w:hAnsi="Times New Roman" w:cs="Times New Roman"/>
          <w:sz w:val="20"/>
          <w:szCs w:val="20"/>
        </w:rPr>
        <w:t>2.</w:t>
      </w:r>
      <w:r w:rsidRPr="003146EB">
        <w:rPr>
          <w:rFonts w:ascii="Times New Roman" w:hAnsi="Times New Roman" w:cs="Times New Roman"/>
          <w:sz w:val="20"/>
          <w:szCs w:val="20"/>
        </w:rPr>
        <w:tab/>
        <w:t>The largest impact on revenue comes from per capita production volume (X1) and number of entrepreneurial entities (X4), consistent with industry expert evaluations.</w:t>
      </w:r>
    </w:p>
    <w:p w14:paraId="595D6E4C" w14:textId="77777777" w:rsidR="003146EB" w:rsidRPr="003146EB" w:rsidRDefault="003146EB" w:rsidP="003146EB">
      <w:pPr>
        <w:tabs>
          <w:tab w:val="left" w:pos="284"/>
          <w:tab w:val="left" w:pos="567"/>
        </w:tabs>
        <w:spacing w:after="0" w:line="240" w:lineRule="auto"/>
        <w:ind w:firstLine="284"/>
        <w:jc w:val="both"/>
        <w:rPr>
          <w:rFonts w:ascii="Times New Roman" w:hAnsi="Times New Roman" w:cs="Times New Roman"/>
          <w:sz w:val="20"/>
          <w:szCs w:val="20"/>
        </w:rPr>
      </w:pPr>
      <w:r w:rsidRPr="003146EB">
        <w:rPr>
          <w:rFonts w:ascii="Times New Roman" w:hAnsi="Times New Roman" w:cs="Times New Roman"/>
          <w:sz w:val="20"/>
          <w:szCs w:val="20"/>
        </w:rPr>
        <w:t>3.</w:t>
      </w:r>
      <w:r w:rsidRPr="003146EB">
        <w:rPr>
          <w:rFonts w:ascii="Times New Roman" w:hAnsi="Times New Roman" w:cs="Times New Roman"/>
          <w:sz w:val="20"/>
          <w:szCs w:val="20"/>
        </w:rPr>
        <w:tab/>
        <w:t>The forecast indicates steady growth in the furniture sector, with revenue potentially reaching 4.7 trillion UZS by 2027 under current trends.</w:t>
      </w:r>
    </w:p>
    <w:p w14:paraId="705D450E" w14:textId="77777777" w:rsidR="003146EB" w:rsidRPr="003146EB" w:rsidRDefault="003146EB" w:rsidP="003146EB">
      <w:pPr>
        <w:tabs>
          <w:tab w:val="left" w:pos="284"/>
          <w:tab w:val="left" w:pos="567"/>
        </w:tabs>
        <w:spacing w:after="0" w:line="240" w:lineRule="auto"/>
        <w:ind w:firstLine="284"/>
        <w:jc w:val="both"/>
        <w:rPr>
          <w:rFonts w:ascii="Times New Roman" w:hAnsi="Times New Roman" w:cs="Times New Roman"/>
          <w:sz w:val="20"/>
          <w:szCs w:val="20"/>
        </w:rPr>
      </w:pPr>
      <w:r w:rsidRPr="003146EB">
        <w:rPr>
          <w:rFonts w:ascii="Times New Roman" w:hAnsi="Times New Roman" w:cs="Times New Roman"/>
          <w:sz w:val="20"/>
          <w:szCs w:val="20"/>
        </w:rPr>
        <w:lastRenderedPageBreak/>
        <w:t>4.</w:t>
      </w:r>
      <w:r w:rsidRPr="003146EB">
        <w:rPr>
          <w:rFonts w:ascii="Times New Roman" w:hAnsi="Times New Roman" w:cs="Times New Roman"/>
          <w:sz w:val="20"/>
          <w:szCs w:val="20"/>
        </w:rPr>
        <w:tab/>
        <w:t>The model allows policymakers and industry stakeholders to optimize resource allocation, minimize risks, and implement proactive strategies to enhance sector growth.</w:t>
      </w:r>
    </w:p>
    <w:p w14:paraId="452F160F" w14:textId="77777777" w:rsidR="003146EB" w:rsidRPr="003146EB" w:rsidRDefault="003146EB" w:rsidP="003146EB">
      <w:pPr>
        <w:spacing w:after="0" w:line="240" w:lineRule="auto"/>
        <w:ind w:firstLine="284"/>
        <w:jc w:val="both"/>
        <w:rPr>
          <w:rFonts w:ascii="Times New Roman" w:hAnsi="Times New Roman" w:cs="Times New Roman"/>
          <w:sz w:val="20"/>
          <w:szCs w:val="20"/>
        </w:rPr>
      </w:pPr>
      <w:r w:rsidRPr="003146EB">
        <w:rPr>
          <w:rFonts w:ascii="Times New Roman" w:hAnsi="Times New Roman" w:cs="Times New Roman"/>
          <w:sz w:val="20"/>
          <w:szCs w:val="20"/>
        </w:rPr>
        <w:t>This study presents a detailed econometric assessment of the furniture industry in Uzbekistan, focusing on the dynamics of enterprise revenue and production performance. Utilizing both linear logarithmic and nonlinear multiplicative models, the research identifies the quantitative impact of five critical explanatory variables: average per capita furniture production, total sales volume, average enterprise risk coefficient, the number of entrepreneurial entities, and per capita real income. The analysis demonstrates that production intensity and entrepreneurial engagement, supported by macroeconomic income levels, are the primary drivers of revenue growth, whereas enterprise risk and sales volumes contribute comparatively less to overall performance.</w:t>
      </w:r>
    </w:p>
    <w:p w14:paraId="5DD89486" w14:textId="3A6E0D8C" w:rsidR="003146EB" w:rsidRDefault="003146EB" w:rsidP="003146EB">
      <w:pPr>
        <w:spacing w:after="0" w:line="240" w:lineRule="auto"/>
        <w:ind w:firstLine="284"/>
        <w:jc w:val="both"/>
        <w:rPr>
          <w:rFonts w:ascii="Times New Roman" w:hAnsi="Times New Roman" w:cs="Times New Roman"/>
          <w:sz w:val="20"/>
          <w:szCs w:val="20"/>
        </w:rPr>
      </w:pPr>
      <w:r w:rsidRPr="003146EB">
        <w:rPr>
          <w:rFonts w:ascii="Times New Roman" w:hAnsi="Times New Roman" w:cs="Times New Roman"/>
          <w:sz w:val="20"/>
          <w:szCs w:val="20"/>
        </w:rPr>
        <w:t>The constructed models provide robust predictive capabilities for historical data spanning 2011–2022, and the forecasts for 2023–2027 offer actionable insights for medium- and long-term sectoral planning. The findings emphasize the importance of strategic resource allocation, risk management, and targeted interventions to optimize industry outcomes. By integrating econometric modeling with expert evaluation, this research enables informed decision-making under conditions of uncertainty and market variability. These results not only facilitate effective enterprise management but also provide a foundation for policy development and investment planning, ensuring sustainable growth and enhanced competitiveness of Uzbekistan’s furniture industry.</w:t>
      </w:r>
    </w:p>
    <w:p w14:paraId="4C9A3F46" w14:textId="77777777" w:rsidR="003146EB" w:rsidRPr="00287E0A" w:rsidRDefault="003146EB" w:rsidP="003146EB">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rPr>
      </w:pPr>
      <w:r w:rsidRPr="00287E0A">
        <w:rPr>
          <w:rFonts w:ascii="Times New Roman" w:hAnsi="Times New Roman" w:cs="Times New Roman"/>
          <w:b/>
        </w:rPr>
        <w:t>CONCLUSIONS</w:t>
      </w:r>
    </w:p>
    <w:p w14:paraId="72F39D5B" w14:textId="77777777" w:rsidR="003146EB" w:rsidRPr="003146EB" w:rsidRDefault="003146EB" w:rsidP="003146EB">
      <w:pPr>
        <w:spacing w:after="0" w:line="240" w:lineRule="auto"/>
        <w:ind w:firstLine="284"/>
        <w:jc w:val="both"/>
        <w:rPr>
          <w:rFonts w:ascii="Times New Roman" w:hAnsi="Times New Roman" w:cs="Times New Roman"/>
          <w:sz w:val="20"/>
          <w:szCs w:val="20"/>
        </w:rPr>
      </w:pPr>
      <w:r w:rsidRPr="003146EB">
        <w:rPr>
          <w:rFonts w:ascii="Times New Roman" w:hAnsi="Times New Roman" w:cs="Times New Roman"/>
          <w:sz w:val="20"/>
          <w:szCs w:val="20"/>
        </w:rPr>
        <w:t>This study examined the development and revenue dynamics of the furniture industry in Uzbekistan using econometric modeling and trend analysis. The research identified key factors influencing industry performance, including per capita production, sales volume, average enterprise risk, number of business entities, and real per capita income. By applying a multi-factor logarithmic regression model, the study quantified the impact of these variables on revenue growth and generated forecasts for the period 2023–2027.</w:t>
      </w:r>
    </w:p>
    <w:p w14:paraId="06E8AC90" w14:textId="77777777" w:rsidR="003146EB" w:rsidRPr="003146EB" w:rsidRDefault="003146EB" w:rsidP="003146EB">
      <w:pPr>
        <w:spacing w:after="0" w:line="240" w:lineRule="auto"/>
        <w:ind w:firstLine="284"/>
        <w:jc w:val="both"/>
        <w:rPr>
          <w:rFonts w:ascii="Times New Roman" w:hAnsi="Times New Roman" w:cs="Times New Roman"/>
          <w:sz w:val="20"/>
          <w:szCs w:val="20"/>
        </w:rPr>
      </w:pPr>
      <w:r w:rsidRPr="003146EB">
        <w:rPr>
          <w:rFonts w:ascii="Times New Roman" w:hAnsi="Times New Roman" w:cs="Times New Roman"/>
          <w:sz w:val="20"/>
          <w:szCs w:val="20"/>
        </w:rPr>
        <w:t>The results indicate that optimal allocation of resources, management of entrepreneurial activities, and consideration of market risks are critical for ensuring sustainable growth in the sector. The econometric model provides a reliable tool for policymakers and industry stakeholders to anticipate revenue trends and implement strategic decisions under conditions of uncertainty.</w:t>
      </w:r>
    </w:p>
    <w:p w14:paraId="5A25C534" w14:textId="2730D792" w:rsidR="003146EB" w:rsidRDefault="003146EB" w:rsidP="003146EB">
      <w:pPr>
        <w:spacing w:after="0" w:line="240" w:lineRule="auto"/>
        <w:ind w:firstLine="284"/>
        <w:jc w:val="both"/>
        <w:rPr>
          <w:rFonts w:ascii="Times New Roman" w:hAnsi="Times New Roman" w:cs="Times New Roman"/>
          <w:sz w:val="20"/>
          <w:szCs w:val="20"/>
        </w:rPr>
      </w:pPr>
      <w:r w:rsidRPr="003146EB">
        <w:rPr>
          <w:rFonts w:ascii="Times New Roman" w:hAnsi="Times New Roman" w:cs="Times New Roman"/>
          <w:sz w:val="20"/>
          <w:szCs w:val="20"/>
        </w:rPr>
        <w:t>Furthermore, this analysis highlights the importance of integrating modern forecasting methods into industrial planning and management. Future research could expand the model by including additional macroeconomic and sector-specific variables or exploring non-linear and machine learning approaches to improve predictive accuracy. Overall, the findings contribute to a deeper understanding of the furniture industry’s growth mechanisms and offer practical guidance for enhancing productivity and profitability in Uzbekistan’s manufacturing sector.</w:t>
      </w:r>
    </w:p>
    <w:p w14:paraId="71479413" w14:textId="77777777" w:rsidR="003146EB" w:rsidRPr="00061888" w:rsidRDefault="003146EB" w:rsidP="003146EB">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lang w:val="en-US"/>
        </w:rPr>
      </w:pPr>
      <w:r w:rsidRPr="00287E0A">
        <w:rPr>
          <w:rFonts w:ascii="Times New Roman" w:hAnsi="Times New Roman" w:cs="Times New Roman"/>
          <w:b/>
        </w:rPr>
        <w:t>REFERENCES</w:t>
      </w:r>
    </w:p>
    <w:p w14:paraId="48BA8D36" w14:textId="25E02F7A" w:rsidR="003146EB" w:rsidRPr="004B65A8" w:rsidRDefault="003146EB" w:rsidP="004B65A8">
      <w:pPr>
        <w:pStyle w:val="a7"/>
        <w:numPr>
          <w:ilvl w:val="0"/>
          <w:numId w:val="5"/>
        </w:numPr>
        <w:tabs>
          <w:tab w:val="left" w:pos="284"/>
        </w:tabs>
        <w:spacing w:after="0" w:line="240" w:lineRule="auto"/>
        <w:ind w:left="0" w:firstLine="0"/>
        <w:jc w:val="both"/>
        <w:rPr>
          <w:rFonts w:ascii="Times New Roman" w:hAnsi="Times New Roman" w:cs="Times New Roman"/>
          <w:sz w:val="20"/>
          <w:szCs w:val="20"/>
          <w:lang w:val="en-US"/>
        </w:rPr>
      </w:pPr>
      <w:proofErr w:type="spellStart"/>
      <w:r w:rsidRPr="004B65A8">
        <w:rPr>
          <w:rFonts w:ascii="Times New Roman" w:hAnsi="Times New Roman" w:cs="Times New Roman"/>
          <w:sz w:val="20"/>
          <w:szCs w:val="20"/>
          <w:lang w:val="en-US"/>
        </w:rPr>
        <w:t>Gurtu</w:t>
      </w:r>
      <w:proofErr w:type="spellEnd"/>
      <w:r w:rsidRPr="004B65A8">
        <w:rPr>
          <w:rFonts w:ascii="Times New Roman" w:hAnsi="Times New Roman" w:cs="Times New Roman"/>
          <w:sz w:val="20"/>
          <w:szCs w:val="20"/>
          <w:lang w:val="en-US"/>
        </w:rPr>
        <w:t xml:space="preserve"> A., Johny J. Supply chain risk management: Literature review // Risks 9(1). 2021.</w:t>
      </w:r>
      <w:r w:rsidR="004B65A8" w:rsidRPr="004B65A8">
        <w:rPr>
          <w:rFonts w:ascii="Times New Roman" w:hAnsi="Times New Roman" w:cs="Times New Roman"/>
          <w:sz w:val="20"/>
          <w:szCs w:val="20"/>
          <w:lang w:val="en-US"/>
        </w:rPr>
        <w:t xml:space="preserve"> </w:t>
      </w:r>
      <w:r w:rsidRPr="004B65A8">
        <w:rPr>
          <w:rFonts w:ascii="Times New Roman" w:hAnsi="Times New Roman" w:cs="Times New Roman"/>
          <w:sz w:val="20"/>
          <w:szCs w:val="20"/>
          <w:lang w:val="en-US"/>
        </w:rPr>
        <w:t>DOI: 10.3390/risks9010016</w:t>
      </w:r>
    </w:p>
    <w:p w14:paraId="37C82570" w14:textId="5F88F83A" w:rsidR="003146EB" w:rsidRPr="004B65A8" w:rsidRDefault="003146EB" w:rsidP="004B65A8">
      <w:pPr>
        <w:pStyle w:val="a7"/>
        <w:numPr>
          <w:ilvl w:val="0"/>
          <w:numId w:val="5"/>
        </w:numPr>
        <w:tabs>
          <w:tab w:val="left" w:pos="284"/>
        </w:tabs>
        <w:spacing w:after="0" w:line="240" w:lineRule="auto"/>
        <w:ind w:left="0" w:firstLine="0"/>
        <w:jc w:val="both"/>
        <w:rPr>
          <w:rFonts w:ascii="Times New Roman" w:hAnsi="Times New Roman" w:cs="Times New Roman"/>
          <w:sz w:val="20"/>
          <w:szCs w:val="20"/>
          <w:lang w:val="en-US"/>
        </w:rPr>
      </w:pPr>
      <w:r w:rsidRPr="004B65A8">
        <w:rPr>
          <w:rFonts w:ascii="Times New Roman" w:hAnsi="Times New Roman" w:cs="Times New Roman"/>
          <w:sz w:val="20"/>
          <w:szCs w:val="20"/>
          <w:lang w:val="en-US"/>
        </w:rPr>
        <w:t>Andry J.F., Hadiyanto, Gunawan V. Intelligent decision support system for supply chain risk management process (SCRMP) with COBIT 5 in furniture industry // Int. J. Adv. Sci. Eng. Inf. Technol. 13(2). 2023. Pp. 736–743.</w:t>
      </w:r>
      <w:r w:rsidR="004B65A8" w:rsidRPr="004B65A8">
        <w:rPr>
          <w:rFonts w:ascii="Times New Roman" w:hAnsi="Times New Roman" w:cs="Times New Roman"/>
          <w:sz w:val="20"/>
          <w:szCs w:val="20"/>
          <w:lang w:val="en-US"/>
        </w:rPr>
        <w:t xml:space="preserve"> </w:t>
      </w:r>
      <w:r w:rsidRPr="004B65A8">
        <w:rPr>
          <w:rFonts w:ascii="Times New Roman" w:hAnsi="Times New Roman" w:cs="Times New Roman"/>
          <w:sz w:val="20"/>
          <w:szCs w:val="20"/>
          <w:lang w:val="en-US"/>
        </w:rPr>
        <w:t>DOI: 10.18517/ijaseit.13.2.17359</w:t>
      </w:r>
    </w:p>
    <w:p w14:paraId="145104D8" w14:textId="5226A804" w:rsidR="003146EB" w:rsidRPr="004B65A8" w:rsidRDefault="003146EB" w:rsidP="004B65A8">
      <w:pPr>
        <w:pStyle w:val="a7"/>
        <w:numPr>
          <w:ilvl w:val="0"/>
          <w:numId w:val="5"/>
        </w:numPr>
        <w:tabs>
          <w:tab w:val="left" w:pos="284"/>
        </w:tabs>
        <w:spacing w:after="0" w:line="240" w:lineRule="auto"/>
        <w:ind w:left="0" w:firstLine="0"/>
        <w:jc w:val="both"/>
        <w:rPr>
          <w:rFonts w:ascii="Times New Roman" w:hAnsi="Times New Roman" w:cs="Times New Roman"/>
          <w:sz w:val="20"/>
          <w:szCs w:val="20"/>
          <w:lang w:val="en-US"/>
        </w:rPr>
      </w:pPr>
      <w:r w:rsidRPr="004B65A8">
        <w:rPr>
          <w:rFonts w:ascii="Times New Roman" w:hAnsi="Times New Roman" w:cs="Times New Roman"/>
          <w:sz w:val="20"/>
          <w:szCs w:val="20"/>
          <w:lang w:val="en-US"/>
        </w:rPr>
        <w:t>Diem C., Borsos A., Reisch T., Kertész J., Thurner S. Quantifying firm-level economic systemic risk from nation-wide supply networks // Scientific Reports 12(1). 2022. Article 7719.</w:t>
      </w:r>
      <w:r w:rsidR="004B65A8" w:rsidRPr="004B65A8">
        <w:rPr>
          <w:rFonts w:ascii="Times New Roman" w:hAnsi="Times New Roman" w:cs="Times New Roman"/>
          <w:sz w:val="20"/>
          <w:szCs w:val="20"/>
          <w:lang w:val="en-US"/>
        </w:rPr>
        <w:t xml:space="preserve"> </w:t>
      </w:r>
      <w:r w:rsidRPr="004B65A8">
        <w:rPr>
          <w:rFonts w:ascii="Times New Roman" w:hAnsi="Times New Roman" w:cs="Times New Roman"/>
          <w:sz w:val="20"/>
          <w:szCs w:val="20"/>
          <w:lang w:val="en-US"/>
        </w:rPr>
        <w:t>DOI: 10.1038/s41598-022-11522-z</w:t>
      </w:r>
    </w:p>
    <w:p w14:paraId="03338D11" w14:textId="537C9ABE" w:rsidR="003146EB" w:rsidRPr="004B65A8" w:rsidRDefault="003146EB" w:rsidP="004B65A8">
      <w:pPr>
        <w:pStyle w:val="a7"/>
        <w:numPr>
          <w:ilvl w:val="0"/>
          <w:numId w:val="5"/>
        </w:numPr>
        <w:tabs>
          <w:tab w:val="left" w:pos="284"/>
        </w:tabs>
        <w:spacing w:after="0" w:line="240" w:lineRule="auto"/>
        <w:ind w:left="0" w:firstLine="0"/>
        <w:jc w:val="both"/>
        <w:rPr>
          <w:rFonts w:ascii="Times New Roman" w:hAnsi="Times New Roman" w:cs="Times New Roman"/>
          <w:sz w:val="20"/>
          <w:szCs w:val="20"/>
          <w:lang w:val="en-US"/>
        </w:rPr>
      </w:pPr>
      <w:r w:rsidRPr="004B65A8">
        <w:rPr>
          <w:rFonts w:ascii="Times New Roman" w:hAnsi="Times New Roman" w:cs="Times New Roman"/>
          <w:sz w:val="20"/>
          <w:szCs w:val="20"/>
          <w:lang w:val="en-US"/>
        </w:rPr>
        <w:t>Altman E.I. Financial ratios, discriminant analysis and the prediction of corporate bankruptcy // Journal of Finance 23(4). 1968. Pp. 589–609.</w:t>
      </w:r>
      <w:r w:rsidR="004B65A8" w:rsidRPr="004B65A8">
        <w:rPr>
          <w:rFonts w:ascii="Times New Roman" w:hAnsi="Times New Roman" w:cs="Times New Roman"/>
          <w:sz w:val="20"/>
          <w:szCs w:val="20"/>
          <w:lang w:val="en-US"/>
        </w:rPr>
        <w:t xml:space="preserve"> </w:t>
      </w:r>
      <w:r w:rsidRPr="004B65A8">
        <w:rPr>
          <w:rFonts w:ascii="Times New Roman" w:hAnsi="Times New Roman" w:cs="Times New Roman"/>
          <w:sz w:val="20"/>
          <w:szCs w:val="20"/>
          <w:lang w:val="en-US"/>
        </w:rPr>
        <w:t>DOI: 10.2307/2978933</w:t>
      </w:r>
    </w:p>
    <w:p w14:paraId="6BB77A4C" w14:textId="0A907339" w:rsidR="003146EB" w:rsidRPr="004B65A8" w:rsidRDefault="003146EB" w:rsidP="004B65A8">
      <w:pPr>
        <w:pStyle w:val="a7"/>
        <w:numPr>
          <w:ilvl w:val="0"/>
          <w:numId w:val="5"/>
        </w:numPr>
        <w:tabs>
          <w:tab w:val="left" w:pos="284"/>
        </w:tabs>
        <w:spacing w:after="0" w:line="240" w:lineRule="auto"/>
        <w:ind w:left="0" w:firstLine="0"/>
        <w:jc w:val="both"/>
        <w:rPr>
          <w:rFonts w:ascii="Times New Roman" w:hAnsi="Times New Roman" w:cs="Times New Roman"/>
          <w:sz w:val="20"/>
          <w:szCs w:val="20"/>
          <w:lang w:val="en-US"/>
        </w:rPr>
      </w:pPr>
      <w:r w:rsidRPr="004B65A8">
        <w:rPr>
          <w:rFonts w:ascii="Times New Roman" w:hAnsi="Times New Roman" w:cs="Times New Roman"/>
          <w:sz w:val="20"/>
          <w:szCs w:val="20"/>
          <w:lang w:val="en-US"/>
        </w:rPr>
        <w:t xml:space="preserve">International Journal of Financial, Accounting, and Management // Int. J. </w:t>
      </w:r>
      <w:proofErr w:type="spellStart"/>
      <w:r w:rsidRPr="004B65A8">
        <w:rPr>
          <w:rFonts w:ascii="Times New Roman" w:hAnsi="Times New Roman" w:cs="Times New Roman"/>
          <w:sz w:val="20"/>
          <w:szCs w:val="20"/>
          <w:lang w:val="en-US"/>
        </w:rPr>
        <w:t>Financ</w:t>
      </w:r>
      <w:proofErr w:type="spellEnd"/>
      <w:r w:rsidRPr="004B65A8">
        <w:rPr>
          <w:rFonts w:ascii="Times New Roman" w:hAnsi="Times New Roman" w:cs="Times New Roman"/>
          <w:sz w:val="20"/>
          <w:szCs w:val="20"/>
          <w:lang w:val="en-US"/>
        </w:rPr>
        <w:t>. Account. Manag. Online journal. Accessed: 13.12.2025.</w:t>
      </w:r>
      <w:r w:rsidR="004B65A8" w:rsidRPr="004B65A8">
        <w:rPr>
          <w:rFonts w:ascii="Times New Roman" w:hAnsi="Times New Roman" w:cs="Times New Roman"/>
          <w:sz w:val="20"/>
          <w:szCs w:val="20"/>
          <w:lang w:val="en-US"/>
        </w:rPr>
        <w:t xml:space="preserve"> </w:t>
      </w:r>
      <w:r w:rsidRPr="004B65A8">
        <w:rPr>
          <w:rFonts w:ascii="Times New Roman" w:hAnsi="Times New Roman" w:cs="Times New Roman"/>
          <w:sz w:val="20"/>
          <w:szCs w:val="20"/>
          <w:lang w:val="en-US"/>
        </w:rPr>
        <w:t xml:space="preserve">Available: </w:t>
      </w:r>
      <w:hyperlink r:id="rId7" w:tgtFrame="_new" w:history="1">
        <w:r w:rsidRPr="004B65A8">
          <w:rPr>
            <w:rStyle w:val="ad"/>
            <w:rFonts w:ascii="Times New Roman" w:hAnsi="Times New Roman" w:cs="Times New Roman"/>
            <w:sz w:val="20"/>
            <w:szCs w:val="20"/>
            <w:lang w:val="en-US"/>
          </w:rPr>
          <w:t>https://goodwoodpub.com/index.php/ijfam/article/view/1090</w:t>
        </w:r>
      </w:hyperlink>
    </w:p>
    <w:p w14:paraId="78DBAD7E" w14:textId="546243FD" w:rsidR="003146EB" w:rsidRPr="004B65A8" w:rsidRDefault="003146EB" w:rsidP="004B65A8">
      <w:pPr>
        <w:pStyle w:val="a7"/>
        <w:numPr>
          <w:ilvl w:val="0"/>
          <w:numId w:val="5"/>
        </w:numPr>
        <w:tabs>
          <w:tab w:val="left" w:pos="284"/>
        </w:tabs>
        <w:spacing w:after="0" w:line="240" w:lineRule="auto"/>
        <w:ind w:left="0" w:firstLine="0"/>
        <w:jc w:val="both"/>
        <w:rPr>
          <w:rFonts w:ascii="Times New Roman" w:hAnsi="Times New Roman" w:cs="Times New Roman"/>
          <w:sz w:val="20"/>
          <w:szCs w:val="20"/>
          <w:lang w:val="en-US"/>
        </w:rPr>
      </w:pPr>
      <w:r w:rsidRPr="004B65A8">
        <w:rPr>
          <w:rFonts w:ascii="Times New Roman" w:hAnsi="Times New Roman" w:cs="Times New Roman"/>
          <w:sz w:val="20"/>
          <w:szCs w:val="20"/>
          <w:lang w:val="en-US"/>
        </w:rPr>
        <w:t xml:space="preserve">Fernando Y., Tseng M.-L., Wahyuni-Td I.S., de Sousa Jabbour A.B.L., Chiappetta Jabbour C.J., </w:t>
      </w:r>
      <w:proofErr w:type="spellStart"/>
      <w:r w:rsidRPr="004B65A8">
        <w:rPr>
          <w:rFonts w:ascii="Times New Roman" w:hAnsi="Times New Roman" w:cs="Times New Roman"/>
          <w:sz w:val="20"/>
          <w:szCs w:val="20"/>
          <w:lang w:val="en-US"/>
        </w:rPr>
        <w:t>Foropon</w:t>
      </w:r>
      <w:proofErr w:type="spellEnd"/>
      <w:r w:rsidRPr="004B65A8">
        <w:rPr>
          <w:rFonts w:ascii="Times New Roman" w:hAnsi="Times New Roman" w:cs="Times New Roman"/>
          <w:sz w:val="20"/>
          <w:szCs w:val="20"/>
          <w:lang w:val="en-US"/>
        </w:rPr>
        <w:t xml:space="preserve"> C. Cyber supply chain risk management and performance in industry 4.0 era: information system security practices in Malaysia // J. Ind. Prod. Eng. 40(2). 2023. Pp. 102–116.</w:t>
      </w:r>
      <w:r w:rsidR="004B65A8" w:rsidRPr="004B65A8">
        <w:rPr>
          <w:rFonts w:ascii="Times New Roman" w:hAnsi="Times New Roman" w:cs="Times New Roman"/>
          <w:sz w:val="20"/>
          <w:szCs w:val="20"/>
          <w:lang w:val="en-US"/>
        </w:rPr>
        <w:t xml:space="preserve"> </w:t>
      </w:r>
      <w:r w:rsidRPr="004B65A8">
        <w:rPr>
          <w:rFonts w:ascii="Times New Roman" w:hAnsi="Times New Roman" w:cs="Times New Roman"/>
          <w:sz w:val="20"/>
          <w:szCs w:val="20"/>
          <w:lang w:val="en-US"/>
        </w:rPr>
        <w:t>DOI: 10.1080/21681015.2022.2116495</w:t>
      </w:r>
    </w:p>
    <w:p w14:paraId="1E9BC3AB" w14:textId="51D62AA4" w:rsidR="003146EB" w:rsidRPr="004B65A8" w:rsidRDefault="003146EB" w:rsidP="004B65A8">
      <w:pPr>
        <w:pStyle w:val="a7"/>
        <w:numPr>
          <w:ilvl w:val="0"/>
          <w:numId w:val="5"/>
        </w:numPr>
        <w:tabs>
          <w:tab w:val="left" w:pos="284"/>
        </w:tabs>
        <w:spacing w:after="0" w:line="240" w:lineRule="auto"/>
        <w:ind w:left="0" w:firstLine="0"/>
        <w:jc w:val="both"/>
        <w:rPr>
          <w:rFonts w:ascii="Times New Roman" w:hAnsi="Times New Roman" w:cs="Times New Roman"/>
          <w:sz w:val="20"/>
          <w:szCs w:val="20"/>
          <w:lang w:val="en-US"/>
        </w:rPr>
      </w:pPr>
      <w:r w:rsidRPr="004B65A8">
        <w:rPr>
          <w:rFonts w:ascii="Times New Roman" w:hAnsi="Times New Roman" w:cs="Times New Roman"/>
          <w:sz w:val="20"/>
          <w:szCs w:val="20"/>
          <w:lang w:val="en-US"/>
        </w:rPr>
        <w:t>Christopher M., Peck H. Building the resilient supply chain // Int. J. Logistics Management 15. 2004. Pp. 1–13.</w:t>
      </w:r>
      <w:r w:rsidR="004B65A8" w:rsidRPr="004B65A8">
        <w:rPr>
          <w:rFonts w:ascii="Times New Roman" w:hAnsi="Times New Roman" w:cs="Times New Roman"/>
          <w:sz w:val="20"/>
          <w:szCs w:val="20"/>
          <w:lang w:val="en-US"/>
        </w:rPr>
        <w:t xml:space="preserve"> </w:t>
      </w:r>
      <w:r w:rsidRPr="004B65A8">
        <w:rPr>
          <w:rFonts w:ascii="Times New Roman" w:hAnsi="Times New Roman" w:cs="Times New Roman"/>
          <w:sz w:val="20"/>
          <w:szCs w:val="20"/>
          <w:lang w:val="en-US"/>
        </w:rPr>
        <w:t>DOI: 10.1108/09574090410700275</w:t>
      </w:r>
    </w:p>
    <w:p w14:paraId="58AE4B90" w14:textId="3C79519C" w:rsidR="003146EB" w:rsidRPr="004B65A8" w:rsidRDefault="003146EB" w:rsidP="004B65A8">
      <w:pPr>
        <w:pStyle w:val="a7"/>
        <w:numPr>
          <w:ilvl w:val="0"/>
          <w:numId w:val="5"/>
        </w:numPr>
        <w:tabs>
          <w:tab w:val="left" w:pos="284"/>
        </w:tabs>
        <w:spacing w:after="0" w:line="240" w:lineRule="auto"/>
        <w:ind w:left="0" w:firstLine="0"/>
        <w:jc w:val="both"/>
        <w:rPr>
          <w:rFonts w:ascii="Times New Roman" w:hAnsi="Times New Roman" w:cs="Times New Roman"/>
          <w:sz w:val="20"/>
          <w:szCs w:val="20"/>
          <w:lang w:val="en-US"/>
        </w:rPr>
      </w:pPr>
      <w:proofErr w:type="spellStart"/>
      <w:r w:rsidRPr="004B65A8">
        <w:rPr>
          <w:rFonts w:ascii="Times New Roman" w:hAnsi="Times New Roman" w:cs="Times New Roman"/>
          <w:sz w:val="20"/>
          <w:szCs w:val="20"/>
          <w:lang w:val="en-US"/>
        </w:rPr>
        <w:t>Jüttner</w:t>
      </w:r>
      <w:proofErr w:type="spellEnd"/>
      <w:r w:rsidRPr="004B65A8">
        <w:rPr>
          <w:rFonts w:ascii="Times New Roman" w:hAnsi="Times New Roman" w:cs="Times New Roman"/>
          <w:sz w:val="20"/>
          <w:szCs w:val="20"/>
          <w:lang w:val="en-US"/>
        </w:rPr>
        <w:t xml:space="preserve"> U., Peck H., Christopher M. Supply chain risk management: outlining an agenda for future research // Int. J. Logistics Research and Applications 6(4). 2003. Pp. 197–210.</w:t>
      </w:r>
      <w:r w:rsidR="004B65A8" w:rsidRPr="004B65A8">
        <w:rPr>
          <w:rFonts w:ascii="Times New Roman" w:hAnsi="Times New Roman" w:cs="Times New Roman"/>
          <w:sz w:val="20"/>
          <w:szCs w:val="20"/>
          <w:lang w:val="en-US"/>
        </w:rPr>
        <w:t xml:space="preserve"> </w:t>
      </w:r>
      <w:r w:rsidRPr="004B65A8">
        <w:rPr>
          <w:rFonts w:ascii="Times New Roman" w:hAnsi="Times New Roman" w:cs="Times New Roman"/>
          <w:sz w:val="20"/>
          <w:szCs w:val="20"/>
          <w:lang w:val="en-US"/>
        </w:rPr>
        <w:t>DOI: 10.1080/13675560310001627016</w:t>
      </w:r>
    </w:p>
    <w:p w14:paraId="3195C85A" w14:textId="3BA990D9" w:rsidR="003146EB" w:rsidRPr="004B65A8" w:rsidRDefault="003146EB" w:rsidP="004B65A8">
      <w:pPr>
        <w:pStyle w:val="a7"/>
        <w:numPr>
          <w:ilvl w:val="0"/>
          <w:numId w:val="5"/>
        </w:numPr>
        <w:tabs>
          <w:tab w:val="left" w:pos="284"/>
        </w:tabs>
        <w:spacing w:after="0" w:line="240" w:lineRule="auto"/>
        <w:ind w:left="0" w:firstLine="0"/>
        <w:jc w:val="both"/>
        <w:rPr>
          <w:rFonts w:ascii="Times New Roman" w:hAnsi="Times New Roman" w:cs="Times New Roman"/>
          <w:sz w:val="20"/>
          <w:szCs w:val="20"/>
          <w:lang w:val="en-US"/>
        </w:rPr>
      </w:pPr>
      <w:r w:rsidRPr="004B65A8">
        <w:rPr>
          <w:rFonts w:ascii="Times New Roman" w:hAnsi="Times New Roman" w:cs="Times New Roman"/>
          <w:sz w:val="20"/>
          <w:szCs w:val="20"/>
          <w:lang w:val="en-US"/>
        </w:rPr>
        <w:lastRenderedPageBreak/>
        <w:t>Tang C.S. Perspectives in supply chain risk management // Int. J. Production Economics 103(2). 2006. Pp. 451–488.</w:t>
      </w:r>
      <w:r w:rsidR="004B65A8">
        <w:rPr>
          <w:rFonts w:ascii="Times New Roman" w:hAnsi="Times New Roman" w:cs="Times New Roman"/>
          <w:sz w:val="20"/>
          <w:szCs w:val="20"/>
          <w:lang w:val="en-US"/>
        </w:rPr>
        <w:t xml:space="preserve"> </w:t>
      </w:r>
      <w:r w:rsidRPr="004B65A8">
        <w:rPr>
          <w:rFonts w:ascii="Times New Roman" w:hAnsi="Times New Roman" w:cs="Times New Roman"/>
          <w:sz w:val="20"/>
          <w:szCs w:val="20"/>
          <w:lang w:val="en-US"/>
        </w:rPr>
        <w:t>DOI: 10.1016/j.ijpe.2005.12.006</w:t>
      </w:r>
    </w:p>
    <w:p w14:paraId="5A33F3E5" w14:textId="153C9F46" w:rsidR="003146EB" w:rsidRPr="004B65A8" w:rsidRDefault="003146EB" w:rsidP="004B65A8">
      <w:pPr>
        <w:pStyle w:val="a7"/>
        <w:numPr>
          <w:ilvl w:val="0"/>
          <w:numId w:val="5"/>
        </w:numPr>
        <w:tabs>
          <w:tab w:val="left" w:pos="284"/>
        </w:tabs>
        <w:spacing w:after="0" w:line="240" w:lineRule="auto"/>
        <w:ind w:left="0" w:firstLine="0"/>
        <w:jc w:val="both"/>
        <w:rPr>
          <w:rFonts w:ascii="Times New Roman" w:hAnsi="Times New Roman" w:cs="Times New Roman"/>
          <w:sz w:val="20"/>
          <w:szCs w:val="20"/>
          <w:lang w:val="en-US"/>
        </w:rPr>
      </w:pPr>
      <w:r w:rsidRPr="004B65A8">
        <w:rPr>
          <w:rFonts w:ascii="Times New Roman" w:hAnsi="Times New Roman" w:cs="Times New Roman"/>
          <w:sz w:val="20"/>
          <w:szCs w:val="20"/>
          <w:lang w:val="en-US"/>
        </w:rPr>
        <w:t xml:space="preserve">Pettit T.J., </w:t>
      </w:r>
      <w:proofErr w:type="spellStart"/>
      <w:r w:rsidRPr="004B65A8">
        <w:rPr>
          <w:rFonts w:ascii="Times New Roman" w:hAnsi="Times New Roman" w:cs="Times New Roman"/>
          <w:sz w:val="20"/>
          <w:szCs w:val="20"/>
          <w:lang w:val="en-US"/>
        </w:rPr>
        <w:t>Fiksel</w:t>
      </w:r>
      <w:proofErr w:type="spellEnd"/>
      <w:r w:rsidRPr="004B65A8">
        <w:rPr>
          <w:rFonts w:ascii="Times New Roman" w:hAnsi="Times New Roman" w:cs="Times New Roman"/>
          <w:sz w:val="20"/>
          <w:szCs w:val="20"/>
          <w:lang w:val="en-US"/>
        </w:rPr>
        <w:t xml:space="preserve"> J., </w:t>
      </w:r>
      <w:proofErr w:type="spellStart"/>
      <w:r w:rsidRPr="004B65A8">
        <w:rPr>
          <w:rFonts w:ascii="Times New Roman" w:hAnsi="Times New Roman" w:cs="Times New Roman"/>
          <w:sz w:val="20"/>
          <w:szCs w:val="20"/>
          <w:lang w:val="en-US"/>
        </w:rPr>
        <w:t>Croxton</w:t>
      </w:r>
      <w:proofErr w:type="spellEnd"/>
      <w:r w:rsidRPr="004B65A8">
        <w:rPr>
          <w:rFonts w:ascii="Times New Roman" w:hAnsi="Times New Roman" w:cs="Times New Roman"/>
          <w:sz w:val="20"/>
          <w:szCs w:val="20"/>
          <w:lang w:val="en-US"/>
        </w:rPr>
        <w:t xml:space="preserve"> K.L. Ensuring supply chain resilience: Development of a conceptual framework // Journal of Business Logistics 31(1). 2010. Pp. 1–21.DOI: 10.1002/j.2158-</w:t>
      </w:r>
      <w:proofErr w:type="gramStart"/>
      <w:r w:rsidRPr="004B65A8">
        <w:rPr>
          <w:rFonts w:ascii="Times New Roman" w:hAnsi="Times New Roman" w:cs="Times New Roman"/>
          <w:sz w:val="20"/>
          <w:szCs w:val="20"/>
          <w:lang w:val="en-US"/>
        </w:rPr>
        <w:t>1592.2010.tb</w:t>
      </w:r>
      <w:proofErr w:type="gramEnd"/>
      <w:r w:rsidRPr="004B65A8">
        <w:rPr>
          <w:rFonts w:ascii="Times New Roman" w:hAnsi="Times New Roman" w:cs="Times New Roman"/>
          <w:sz w:val="20"/>
          <w:szCs w:val="20"/>
          <w:lang w:val="en-US"/>
        </w:rPr>
        <w:t>00125.x</w:t>
      </w:r>
    </w:p>
    <w:p w14:paraId="162071CF" w14:textId="73DAB6A7" w:rsidR="003146EB" w:rsidRPr="004B65A8" w:rsidRDefault="003146EB" w:rsidP="004B65A8">
      <w:pPr>
        <w:pStyle w:val="a7"/>
        <w:numPr>
          <w:ilvl w:val="0"/>
          <w:numId w:val="5"/>
        </w:numPr>
        <w:tabs>
          <w:tab w:val="left" w:pos="284"/>
        </w:tabs>
        <w:spacing w:after="0" w:line="240" w:lineRule="auto"/>
        <w:ind w:left="0" w:firstLine="0"/>
        <w:jc w:val="both"/>
        <w:rPr>
          <w:rFonts w:ascii="Times New Roman" w:hAnsi="Times New Roman" w:cs="Times New Roman"/>
          <w:sz w:val="20"/>
          <w:szCs w:val="20"/>
          <w:lang w:val="en-US"/>
        </w:rPr>
      </w:pPr>
      <w:r w:rsidRPr="004B65A8">
        <w:rPr>
          <w:rFonts w:ascii="Times New Roman" w:hAnsi="Times New Roman" w:cs="Times New Roman"/>
          <w:sz w:val="20"/>
          <w:szCs w:val="20"/>
          <w:lang w:val="en-US"/>
        </w:rPr>
        <w:t>Supply chain risk management: Theory and practice // Scientific Journal of Economics and Management Research. Online journal. Accessed: 13.12.2025.</w:t>
      </w:r>
      <w:r w:rsidR="004B65A8">
        <w:rPr>
          <w:rFonts w:ascii="Times New Roman" w:hAnsi="Times New Roman" w:cs="Times New Roman"/>
          <w:sz w:val="20"/>
          <w:szCs w:val="20"/>
          <w:lang w:val="en-US"/>
        </w:rPr>
        <w:t xml:space="preserve"> </w:t>
      </w:r>
      <w:r w:rsidRPr="004B65A8">
        <w:rPr>
          <w:rFonts w:ascii="Times New Roman" w:hAnsi="Times New Roman" w:cs="Times New Roman"/>
          <w:sz w:val="20"/>
          <w:szCs w:val="20"/>
          <w:lang w:val="en-US"/>
        </w:rPr>
        <w:t xml:space="preserve">Available: </w:t>
      </w:r>
      <w:hyperlink r:id="rId8" w:tgtFrame="_new" w:history="1">
        <w:r w:rsidRPr="004B65A8">
          <w:rPr>
            <w:rStyle w:val="ad"/>
            <w:rFonts w:ascii="Times New Roman" w:hAnsi="Times New Roman" w:cs="Times New Roman"/>
            <w:sz w:val="20"/>
            <w:szCs w:val="20"/>
            <w:lang w:val="en-US"/>
          </w:rPr>
          <w:t>https://bcpublication.org/index.php/SJEMR/article/view/8167</w:t>
        </w:r>
      </w:hyperlink>
    </w:p>
    <w:p w14:paraId="75BACEF7" w14:textId="6D6962DA" w:rsidR="003146EB" w:rsidRPr="004B65A8" w:rsidRDefault="003146EB" w:rsidP="004B65A8">
      <w:pPr>
        <w:pStyle w:val="a7"/>
        <w:numPr>
          <w:ilvl w:val="0"/>
          <w:numId w:val="5"/>
        </w:numPr>
        <w:tabs>
          <w:tab w:val="left" w:pos="284"/>
        </w:tabs>
        <w:spacing w:after="0" w:line="240" w:lineRule="auto"/>
        <w:ind w:left="0" w:firstLine="0"/>
        <w:jc w:val="both"/>
        <w:rPr>
          <w:rFonts w:ascii="Times New Roman" w:hAnsi="Times New Roman" w:cs="Times New Roman"/>
          <w:sz w:val="20"/>
          <w:szCs w:val="20"/>
          <w:lang w:val="en-US"/>
        </w:rPr>
      </w:pPr>
      <w:r w:rsidRPr="004B65A8">
        <w:rPr>
          <w:rFonts w:ascii="Times New Roman" w:hAnsi="Times New Roman" w:cs="Times New Roman"/>
          <w:sz w:val="20"/>
          <w:szCs w:val="20"/>
          <w:lang w:val="en-US"/>
        </w:rPr>
        <w:t>Altman E.I. Financial ratios, discriminant analysis and the prediction of corporate bankruptcy // Journal of Finance 23(4). 1968. Pp. 589–609.</w:t>
      </w:r>
      <w:r w:rsidR="004B65A8" w:rsidRPr="004B65A8">
        <w:rPr>
          <w:rFonts w:ascii="Times New Roman" w:hAnsi="Times New Roman" w:cs="Times New Roman"/>
          <w:sz w:val="20"/>
          <w:szCs w:val="20"/>
          <w:lang w:val="en-US"/>
        </w:rPr>
        <w:t xml:space="preserve"> </w:t>
      </w:r>
      <w:r w:rsidRPr="004B65A8">
        <w:rPr>
          <w:rFonts w:ascii="Times New Roman" w:hAnsi="Times New Roman" w:cs="Times New Roman"/>
          <w:sz w:val="20"/>
          <w:szCs w:val="20"/>
          <w:lang w:val="en-US"/>
        </w:rPr>
        <w:t>DOI: 10.1111/j.1540-</w:t>
      </w:r>
      <w:proofErr w:type="gramStart"/>
      <w:r w:rsidRPr="004B65A8">
        <w:rPr>
          <w:rFonts w:ascii="Times New Roman" w:hAnsi="Times New Roman" w:cs="Times New Roman"/>
          <w:sz w:val="20"/>
          <w:szCs w:val="20"/>
          <w:lang w:val="en-US"/>
        </w:rPr>
        <w:t>6261.1968.tb</w:t>
      </w:r>
      <w:proofErr w:type="gramEnd"/>
      <w:r w:rsidRPr="004B65A8">
        <w:rPr>
          <w:rFonts w:ascii="Times New Roman" w:hAnsi="Times New Roman" w:cs="Times New Roman"/>
          <w:sz w:val="20"/>
          <w:szCs w:val="20"/>
          <w:lang w:val="en-US"/>
        </w:rPr>
        <w:t>00843.x</w:t>
      </w:r>
    </w:p>
    <w:p w14:paraId="1AA2BF7C" w14:textId="13A63D65" w:rsidR="003146EB" w:rsidRPr="004B65A8" w:rsidRDefault="003146EB" w:rsidP="004B65A8">
      <w:pPr>
        <w:pStyle w:val="a7"/>
        <w:numPr>
          <w:ilvl w:val="0"/>
          <w:numId w:val="5"/>
        </w:numPr>
        <w:tabs>
          <w:tab w:val="left" w:pos="284"/>
        </w:tabs>
        <w:spacing w:after="0" w:line="240" w:lineRule="auto"/>
        <w:ind w:left="0" w:firstLine="0"/>
        <w:jc w:val="both"/>
        <w:rPr>
          <w:rFonts w:ascii="Times New Roman" w:hAnsi="Times New Roman" w:cs="Times New Roman"/>
          <w:sz w:val="20"/>
          <w:szCs w:val="20"/>
          <w:lang w:val="en-US"/>
        </w:rPr>
      </w:pPr>
      <w:r w:rsidRPr="004B65A8">
        <w:rPr>
          <w:rFonts w:ascii="Times New Roman" w:hAnsi="Times New Roman" w:cs="Times New Roman"/>
          <w:sz w:val="20"/>
          <w:szCs w:val="20"/>
          <w:lang w:val="en-US"/>
        </w:rPr>
        <w:t>Ohlson J.A. Ohlson O-score // Wikipedia. 2024. Accessed: 13.12.2025.</w:t>
      </w:r>
      <w:r w:rsidR="004B65A8" w:rsidRPr="004B65A8">
        <w:rPr>
          <w:rFonts w:ascii="Times New Roman" w:hAnsi="Times New Roman" w:cs="Times New Roman"/>
          <w:sz w:val="20"/>
          <w:szCs w:val="20"/>
          <w:lang w:val="en-US"/>
        </w:rPr>
        <w:t xml:space="preserve"> </w:t>
      </w:r>
      <w:r w:rsidRPr="004B65A8">
        <w:rPr>
          <w:rFonts w:ascii="Times New Roman" w:hAnsi="Times New Roman" w:cs="Times New Roman"/>
          <w:sz w:val="20"/>
          <w:szCs w:val="20"/>
          <w:lang w:val="en-US"/>
        </w:rPr>
        <w:t xml:space="preserve">Available: </w:t>
      </w:r>
      <w:hyperlink r:id="rId9" w:tgtFrame="_new" w:history="1">
        <w:r w:rsidRPr="004B65A8">
          <w:rPr>
            <w:rStyle w:val="ad"/>
            <w:rFonts w:ascii="Times New Roman" w:hAnsi="Times New Roman" w:cs="Times New Roman"/>
            <w:sz w:val="20"/>
            <w:szCs w:val="20"/>
            <w:lang w:val="en-US"/>
          </w:rPr>
          <w:t>https://en.wikipedia.org/wiki/Ohlson_O-score</w:t>
        </w:r>
      </w:hyperlink>
    </w:p>
    <w:p w14:paraId="7098C54C" w14:textId="055101A4" w:rsidR="003146EB" w:rsidRPr="004B65A8" w:rsidRDefault="003146EB" w:rsidP="004B65A8">
      <w:pPr>
        <w:pStyle w:val="a7"/>
        <w:numPr>
          <w:ilvl w:val="0"/>
          <w:numId w:val="5"/>
        </w:numPr>
        <w:tabs>
          <w:tab w:val="left" w:pos="284"/>
        </w:tabs>
        <w:spacing w:after="0" w:line="240" w:lineRule="auto"/>
        <w:ind w:left="0" w:firstLine="0"/>
        <w:jc w:val="both"/>
        <w:rPr>
          <w:rFonts w:ascii="Times New Roman" w:hAnsi="Times New Roman" w:cs="Times New Roman"/>
          <w:sz w:val="20"/>
          <w:szCs w:val="20"/>
          <w:lang w:val="en-US"/>
        </w:rPr>
      </w:pPr>
      <w:r w:rsidRPr="004B65A8">
        <w:rPr>
          <w:rFonts w:ascii="Times New Roman" w:hAnsi="Times New Roman" w:cs="Times New Roman"/>
          <w:sz w:val="20"/>
          <w:szCs w:val="20"/>
          <w:lang w:val="en-US"/>
        </w:rPr>
        <w:t>Agarwal V., Taffler R.J. Twenty-five years of the Taffler z-score model: Does it really have predictive ability? // Accounting and Business Research 37(4). 2007. Pp. 285–300.</w:t>
      </w:r>
    </w:p>
    <w:p w14:paraId="2FD5D8DD" w14:textId="4040F4C7" w:rsidR="003146EB" w:rsidRPr="004B65A8" w:rsidRDefault="003146EB" w:rsidP="004B65A8">
      <w:pPr>
        <w:pStyle w:val="a7"/>
        <w:numPr>
          <w:ilvl w:val="0"/>
          <w:numId w:val="5"/>
        </w:numPr>
        <w:tabs>
          <w:tab w:val="left" w:pos="284"/>
        </w:tabs>
        <w:spacing w:after="0" w:line="240" w:lineRule="auto"/>
        <w:ind w:left="0" w:firstLine="0"/>
        <w:jc w:val="both"/>
        <w:rPr>
          <w:rFonts w:ascii="Times New Roman" w:hAnsi="Times New Roman" w:cs="Times New Roman"/>
          <w:sz w:val="20"/>
          <w:szCs w:val="20"/>
          <w:lang w:val="en-US"/>
        </w:rPr>
      </w:pPr>
      <w:r w:rsidRPr="004B65A8">
        <w:rPr>
          <w:rFonts w:ascii="Times New Roman" w:hAnsi="Times New Roman" w:cs="Times New Roman"/>
          <w:sz w:val="20"/>
          <w:szCs w:val="20"/>
          <w:lang w:val="en-US"/>
        </w:rPr>
        <w:t>Christopher M., Peck H. Building the resilient supply chain // Int. J. Logistics Management 15(2). 2004. Online version.</w:t>
      </w:r>
      <w:r w:rsidR="004B65A8" w:rsidRPr="004B65A8">
        <w:rPr>
          <w:rFonts w:ascii="Times New Roman" w:hAnsi="Times New Roman" w:cs="Times New Roman"/>
          <w:sz w:val="20"/>
          <w:szCs w:val="20"/>
          <w:lang w:val="en-US"/>
        </w:rPr>
        <w:t xml:space="preserve"> </w:t>
      </w:r>
      <w:r w:rsidRPr="004B65A8">
        <w:rPr>
          <w:rFonts w:ascii="Times New Roman" w:hAnsi="Times New Roman" w:cs="Times New Roman"/>
          <w:sz w:val="20"/>
          <w:szCs w:val="20"/>
          <w:lang w:val="en-US"/>
        </w:rPr>
        <w:t>Available: https://www.emerald.com/insight/content/doi/10.1108/09574090410700275</w:t>
      </w:r>
    </w:p>
    <w:p w14:paraId="39ED71A0" w14:textId="7326AF58" w:rsidR="003146EB" w:rsidRPr="004B65A8" w:rsidRDefault="003146EB" w:rsidP="004B65A8">
      <w:pPr>
        <w:pStyle w:val="a7"/>
        <w:numPr>
          <w:ilvl w:val="0"/>
          <w:numId w:val="5"/>
        </w:numPr>
        <w:tabs>
          <w:tab w:val="left" w:pos="284"/>
        </w:tabs>
        <w:spacing w:after="0" w:line="240" w:lineRule="auto"/>
        <w:ind w:left="0" w:firstLine="0"/>
        <w:jc w:val="both"/>
        <w:rPr>
          <w:rFonts w:ascii="Times New Roman" w:hAnsi="Times New Roman" w:cs="Times New Roman"/>
          <w:sz w:val="20"/>
          <w:szCs w:val="20"/>
          <w:lang w:val="en-US"/>
        </w:rPr>
      </w:pPr>
      <w:r w:rsidRPr="004B65A8">
        <w:rPr>
          <w:rFonts w:ascii="Times New Roman" w:hAnsi="Times New Roman" w:cs="Times New Roman"/>
          <w:sz w:val="20"/>
          <w:szCs w:val="20"/>
          <w:lang w:val="en-US"/>
        </w:rPr>
        <w:t xml:space="preserve">Pettit T.J., </w:t>
      </w:r>
      <w:proofErr w:type="spellStart"/>
      <w:r w:rsidRPr="004B65A8">
        <w:rPr>
          <w:rFonts w:ascii="Times New Roman" w:hAnsi="Times New Roman" w:cs="Times New Roman"/>
          <w:sz w:val="20"/>
          <w:szCs w:val="20"/>
          <w:lang w:val="en-US"/>
        </w:rPr>
        <w:t>Fiksel</w:t>
      </w:r>
      <w:proofErr w:type="spellEnd"/>
      <w:r w:rsidRPr="004B65A8">
        <w:rPr>
          <w:rFonts w:ascii="Times New Roman" w:hAnsi="Times New Roman" w:cs="Times New Roman"/>
          <w:sz w:val="20"/>
          <w:szCs w:val="20"/>
          <w:lang w:val="en-US"/>
        </w:rPr>
        <w:t xml:space="preserve"> J., </w:t>
      </w:r>
      <w:proofErr w:type="spellStart"/>
      <w:r w:rsidRPr="004B65A8">
        <w:rPr>
          <w:rFonts w:ascii="Times New Roman" w:hAnsi="Times New Roman" w:cs="Times New Roman"/>
          <w:sz w:val="20"/>
          <w:szCs w:val="20"/>
          <w:lang w:val="en-US"/>
        </w:rPr>
        <w:t>Croxton</w:t>
      </w:r>
      <w:proofErr w:type="spellEnd"/>
      <w:r w:rsidRPr="004B65A8">
        <w:rPr>
          <w:rFonts w:ascii="Times New Roman" w:hAnsi="Times New Roman" w:cs="Times New Roman"/>
          <w:sz w:val="20"/>
          <w:szCs w:val="20"/>
          <w:lang w:val="en-US"/>
        </w:rPr>
        <w:t xml:space="preserve"> K.L. Ensuring supply chain resilience: Development of a conceptual framework // Journal of Business Logistics 31(1). 2010. Pp. 1–21.</w:t>
      </w:r>
      <w:r w:rsidR="004B65A8" w:rsidRPr="004B65A8">
        <w:rPr>
          <w:rFonts w:ascii="Times New Roman" w:hAnsi="Times New Roman" w:cs="Times New Roman"/>
          <w:sz w:val="20"/>
          <w:szCs w:val="20"/>
          <w:lang w:val="en-US"/>
        </w:rPr>
        <w:t xml:space="preserve"> </w:t>
      </w:r>
      <w:r w:rsidRPr="004B65A8">
        <w:rPr>
          <w:rFonts w:ascii="Times New Roman" w:hAnsi="Times New Roman" w:cs="Times New Roman"/>
          <w:sz w:val="20"/>
          <w:szCs w:val="20"/>
          <w:lang w:val="en-US"/>
        </w:rPr>
        <w:t>DOI: 10.1002/j.2158-</w:t>
      </w:r>
      <w:proofErr w:type="gramStart"/>
      <w:r w:rsidRPr="004B65A8">
        <w:rPr>
          <w:rFonts w:ascii="Times New Roman" w:hAnsi="Times New Roman" w:cs="Times New Roman"/>
          <w:sz w:val="20"/>
          <w:szCs w:val="20"/>
          <w:lang w:val="en-US"/>
        </w:rPr>
        <w:t>1592.2010.tb</w:t>
      </w:r>
      <w:proofErr w:type="gramEnd"/>
      <w:r w:rsidRPr="004B65A8">
        <w:rPr>
          <w:rFonts w:ascii="Times New Roman" w:hAnsi="Times New Roman" w:cs="Times New Roman"/>
          <w:sz w:val="20"/>
          <w:szCs w:val="20"/>
          <w:lang w:val="en-US"/>
        </w:rPr>
        <w:t>00125.</w:t>
      </w:r>
    </w:p>
    <w:p w14:paraId="652CCAB5" w14:textId="5CF66703" w:rsidR="003146EB" w:rsidRPr="004B65A8" w:rsidRDefault="003146EB" w:rsidP="004B65A8">
      <w:pPr>
        <w:pStyle w:val="a7"/>
        <w:numPr>
          <w:ilvl w:val="0"/>
          <w:numId w:val="5"/>
        </w:numPr>
        <w:tabs>
          <w:tab w:val="left" w:pos="284"/>
        </w:tabs>
        <w:spacing w:after="0" w:line="240" w:lineRule="auto"/>
        <w:ind w:left="0" w:firstLine="0"/>
        <w:jc w:val="both"/>
        <w:rPr>
          <w:rFonts w:ascii="Times New Roman" w:hAnsi="Times New Roman" w:cs="Times New Roman"/>
          <w:sz w:val="20"/>
          <w:szCs w:val="20"/>
          <w:lang w:val="en-US"/>
        </w:rPr>
      </w:pPr>
      <w:r w:rsidRPr="004B65A8">
        <w:rPr>
          <w:rFonts w:ascii="Times New Roman" w:hAnsi="Times New Roman" w:cs="Times New Roman"/>
          <w:sz w:val="20"/>
          <w:szCs w:val="20"/>
          <w:lang w:val="en-US"/>
        </w:rPr>
        <w:t>Tang C.S. Perspectives in supply chain risk management // Int. J. Production Economics 103(2). 2006. Pp. 451–488.</w:t>
      </w:r>
      <w:r w:rsidR="004B65A8">
        <w:rPr>
          <w:rFonts w:ascii="Times New Roman" w:hAnsi="Times New Roman" w:cs="Times New Roman"/>
          <w:sz w:val="20"/>
          <w:szCs w:val="20"/>
          <w:lang w:val="en-US"/>
        </w:rPr>
        <w:t xml:space="preserve"> </w:t>
      </w:r>
      <w:r w:rsidRPr="004B65A8">
        <w:rPr>
          <w:rFonts w:ascii="Times New Roman" w:hAnsi="Times New Roman" w:cs="Times New Roman"/>
          <w:sz w:val="20"/>
          <w:szCs w:val="20"/>
          <w:lang w:val="en-US"/>
        </w:rPr>
        <w:t>DOI: 10.1016/j.ijpe.2005.12.006</w:t>
      </w:r>
    </w:p>
    <w:p w14:paraId="02697BD1" w14:textId="6B4A1EB2" w:rsidR="003146EB" w:rsidRPr="004B65A8" w:rsidRDefault="003146EB" w:rsidP="004B65A8">
      <w:pPr>
        <w:pStyle w:val="a7"/>
        <w:numPr>
          <w:ilvl w:val="0"/>
          <w:numId w:val="5"/>
        </w:numPr>
        <w:tabs>
          <w:tab w:val="left" w:pos="284"/>
        </w:tabs>
        <w:spacing w:after="0" w:line="240" w:lineRule="auto"/>
        <w:ind w:left="0" w:firstLine="0"/>
        <w:jc w:val="both"/>
        <w:rPr>
          <w:rFonts w:ascii="Times New Roman" w:hAnsi="Times New Roman" w:cs="Times New Roman"/>
          <w:sz w:val="20"/>
          <w:szCs w:val="20"/>
          <w:lang w:val="en-US"/>
        </w:rPr>
      </w:pPr>
      <w:r w:rsidRPr="004B65A8">
        <w:rPr>
          <w:rFonts w:ascii="Times New Roman" w:hAnsi="Times New Roman" w:cs="Times New Roman"/>
          <w:sz w:val="20"/>
          <w:szCs w:val="20"/>
          <w:lang w:val="en-US"/>
        </w:rPr>
        <w:t xml:space="preserve">Pettit T.J., </w:t>
      </w:r>
      <w:proofErr w:type="spellStart"/>
      <w:r w:rsidRPr="004B65A8">
        <w:rPr>
          <w:rFonts w:ascii="Times New Roman" w:hAnsi="Times New Roman" w:cs="Times New Roman"/>
          <w:sz w:val="20"/>
          <w:szCs w:val="20"/>
          <w:lang w:val="en-US"/>
        </w:rPr>
        <w:t>Fiksel</w:t>
      </w:r>
      <w:proofErr w:type="spellEnd"/>
      <w:r w:rsidRPr="004B65A8">
        <w:rPr>
          <w:rFonts w:ascii="Times New Roman" w:hAnsi="Times New Roman" w:cs="Times New Roman"/>
          <w:sz w:val="20"/>
          <w:szCs w:val="20"/>
          <w:lang w:val="en-US"/>
        </w:rPr>
        <w:t xml:space="preserve"> J., </w:t>
      </w:r>
      <w:proofErr w:type="spellStart"/>
      <w:r w:rsidRPr="004B65A8">
        <w:rPr>
          <w:rFonts w:ascii="Times New Roman" w:hAnsi="Times New Roman" w:cs="Times New Roman"/>
          <w:sz w:val="20"/>
          <w:szCs w:val="20"/>
          <w:lang w:val="en-US"/>
        </w:rPr>
        <w:t>Croxton</w:t>
      </w:r>
      <w:proofErr w:type="spellEnd"/>
      <w:r w:rsidRPr="004B65A8">
        <w:rPr>
          <w:rFonts w:ascii="Times New Roman" w:hAnsi="Times New Roman" w:cs="Times New Roman"/>
          <w:sz w:val="20"/>
          <w:szCs w:val="20"/>
          <w:lang w:val="en-US"/>
        </w:rPr>
        <w:t xml:space="preserve"> K.L. Ensuring supply chain resilience: Development of a conceptual framework // Journal of Business Logistics 31(1). 2010. Online source.</w:t>
      </w:r>
      <w:r w:rsidR="004B65A8" w:rsidRPr="004B65A8">
        <w:rPr>
          <w:rFonts w:ascii="Times New Roman" w:hAnsi="Times New Roman" w:cs="Times New Roman"/>
          <w:sz w:val="20"/>
          <w:szCs w:val="20"/>
          <w:lang w:val="en-US"/>
        </w:rPr>
        <w:t xml:space="preserve"> </w:t>
      </w:r>
      <w:r w:rsidRPr="004B65A8">
        <w:rPr>
          <w:rFonts w:ascii="Times New Roman" w:hAnsi="Times New Roman" w:cs="Times New Roman"/>
          <w:sz w:val="20"/>
          <w:szCs w:val="20"/>
          <w:lang w:val="en-US"/>
        </w:rPr>
        <w:t xml:space="preserve">Available: </w:t>
      </w:r>
      <w:hyperlink r:id="rId10" w:tgtFrame="_new" w:history="1">
        <w:r w:rsidRPr="004B65A8">
          <w:rPr>
            <w:rStyle w:val="ad"/>
            <w:rFonts w:ascii="Times New Roman" w:hAnsi="Times New Roman" w:cs="Times New Roman"/>
            <w:sz w:val="20"/>
            <w:szCs w:val="20"/>
            <w:lang w:val="en-US"/>
          </w:rPr>
          <w:t>https://onlinelibrary.wiley.com/doi/10.1002/j.2158-1592.2010.tb00125.x</w:t>
        </w:r>
      </w:hyperlink>
    </w:p>
    <w:p w14:paraId="23BFB048" w14:textId="30C53F6F" w:rsidR="003146EB" w:rsidRPr="004B65A8" w:rsidRDefault="003146EB" w:rsidP="004B65A8">
      <w:pPr>
        <w:pStyle w:val="a7"/>
        <w:numPr>
          <w:ilvl w:val="0"/>
          <w:numId w:val="5"/>
        </w:numPr>
        <w:tabs>
          <w:tab w:val="left" w:pos="284"/>
        </w:tabs>
        <w:spacing w:after="0" w:line="240" w:lineRule="auto"/>
        <w:ind w:left="0" w:firstLine="0"/>
        <w:jc w:val="both"/>
        <w:rPr>
          <w:rFonts w:ascii="Times New Roman" w:hAnsi="Times New Roman" w:cs="Times New Roman"/>
          <w:sz w:val="20"/>
          <w:szCs w:val="20"/>
          <w:lang w:val="en-US"/>
        </w:rPr>
      </w:pPr>
      <w:r w:rsidRPr="004B65A8">
        <w:rPr>
          <w:rFonts w:ascii="Times New Roman" w:hAnsi="Times New Roman" w:cs="Times New Roman"/>
          <w:sz w:val="20"/>
          <w:szCs w:val="20"/>
          <w:lang w:val="en-US"/>
        </w:rPr>
        <w:t>Mahmudova N. Improving risk management mechanisms in furniture industry enterprises // PhD dissertation abstract. Fergana Polytechnic Institute, Fergana, Uzbekistan, 2023.</w:t>
      </w:r>
      <w:r w:rsidR="004B65A8" w:rsidRPr="004B65A8">
        <w:rPr>
          <w:rFonts w:ascii="Times New Roman" w:hAnsi="Times New Roman" w:cs="Times New Roman"/>
          <w:sz w:val="20"/>
          <w:szCs w:val="20"/>
          <w:lang w:val="en-US"/>
        </w:rPr>
        <w:t xml:space="preserve"> </w:t>
      </w:r>
      <w:r w:rsidRPr="004B65A8">
        <w:rPr>
          <w:rFonts w:ascii="Times New Roman" w:hAnsi="Times New Roman" w:cs="Times New Roman"/>
          <w:sz w:val="20"/>
          <w:szCs w:val="20"/>
          <w:lang w:val="en-US"/>
        </w:rPr>
        <w:t xml:space="preserve">Available: </w:t>
      </w:r>
      <w:hyperlink r:id="rId11" w:tgtFrame="_new" w:history="1">
        <w:r w:rsidRPr="004B65A8">
          <w:rPr>
            <w:rStyle w:val="ad"/>
            <w:rFonts w:ascii="Times New Roman" w:hAnsi="Times New Roman" w:cs="Times New Roman"/>
            <w:sz w:val="20"/>
            <w:szCs w:val="20"/>
            <w:lang w:val="en-US"/>
          </w:rPr>
          <w:t>https://api.ziyonet.uz/uploads/books/10000014/ZFN4MVlt9ag3W3F.pdf</w:t>
        </w:r>
      </w:hyperlink>
    </w:p>
    <w:p w14:paraId="690662D0" w14:textId="404AC32A" w:rsidR="00742065" w:rsidRPr="004B65A8" w:rsidRDefault="003146EB" w:rsidP="004B65A8">
      <w:pPr>
        <w:pStyle w:val="a7"/>
        <w:numPr>
          <w:ilvl w:val="0"/>
          <w:numId w:val="5"/>
        </w:numPr>
        <w:tabs>
          <w:tab w:val="left" w:pos="284"/>
        </w:tabs>
        <w:spacing w:after="0" w:line="240" w:lineRule="auto"/>
        <w:ind w:left="0" w:firstLine="0"/>
        <w:jc w:val="both"/>
        <w:rPr>
          <w:rFonts w:ascii="Times New Roman" w:hAnsi="Times New Roman" w:cs="Times New Roman"/>
          <w:sz w:val="20"/>
          <w:szCs w:val="20"/>
          <w:lang w:val="en-US"/>
        </w:rPr>
      </w:pPr>
      <w:proofErr w:type="spellStart"/>
      <w:proofErr w:type="gramStart"/>
      <w:r w:rsidRPr="004B65A8">
        <w:rPr>
          <w:rFonts w:ascii="Times New Roman" w:hAnsi="Times New Roman" w:cs="Times New Roman"/>
          <w:sz w:val="20"/>
          <w:szCs w:val="20"/>
          <w:lang w:val="en-US"/>
        </w:rPr>
        <w:t>O‘</w:t>
      </w:r>
      <w:proofErr w:type="gramEnd"/>
      <w:r w:rsidRPr="004B65A8">
        <w:rPr>
          <w:rFonts w:ascii="Times New Roman" w:hAnsi="Times New Roman" w:cs="Times New Roman"/>
          <w:sz w:val="20"/>
          <w:szCs w:val="20"/>
          <w:lang w:val="en-US"/>
        </w:rPr>
        <w:t>zbekiston</w:t>
      </w:r>
      <w:proofErr w:type="spellEnd"/>
      <w:r w:rsidRPr="004B65A8">
        <w:rPr>
          <w:rFonts w:ascii="Times New Roman" w:hAnsi="Times New Roman" w:cs="Times New Roman"/>
          <w:sz w:val="20"/>
          <w:szCs w:val="20"/>
          <w:lang w:val="en-US"/>
        </w:rPr>
        <w:t xml:space="preserve"> </w:t>
      </w:r>
      <w:proofErr w:type="spellStart"/>
      <w:r w:rsidRPr="004B65A8">
        <w:rPr>
          <w:rFonts w:ascii="Times New Roman" w:hAnsi="Times New Roman" w:cs="Times New Roman"/>
          <w:sz w:val="20"/>
          <w:szCs w:val="20"/>
          <w:lang w:val="en-US"/>
        </w:rPr>
        <w:t>Respublikasi</w:t>
      </w:r>
      <w:proofErr w:type="spellEnd"/>
      <w:r w:rsidRPr="004B65A8">
        <w:rPr>
          <w:rFonts w:ascii="Times New Roman" w:hAnsi="Times New Roman" w:cs="Times New Roman"/>
          <w:sz w:val="20"/>
          <w:szCs w:val="20"/>
          <w:lang w:val="en-US"/>
        </w:rPr>
        <w:t xml:space="preserve"> </w:t>
      </w:r>
      <w:proofErr w:type="spellStart"/>
      <w:r w:rsidRPr="004B65A8">
        <w:rPr>
          <w:rFonts w:ascii="Times New Roman" w:hAnsi="Times New Roman" w:cs="Times New Roman"/>
          <w:sz w:val="20"/>
          <w:szCs w:val="20"/>
          <w:lang w:val="en-US"/>
        </w:rPr>
        <w:t>Milliy</w:t>
      </w:r>
      <w:proofErr w:type="spellEnd"/>
      <w:r w:rsidRPr="004B65A8">
        <w:rPr>
          <w:rFonts w:ascii="Times New Roman" w:hAnsi="Times New Roman" w:cs="Times New Roman"/>
          <w:sz w:val="20"/>
          <w:szCs w:val="20"/>
          <w:lang w:val="en-US"/>
        </w:rPr>
        <w:t xml:space="preserve"> </w:t>
      </w:r>
      <w:proofErr w:type="spellStart"/>
      <w:r w:rsidRPr="004B65A8">
        <w:rPr>
          <w:rFonts w:ascii="Times New Roman" w:hAnsi="Times New Roman" w:cs="Times New Roman"/>
          <w:sz w:val="20"/>
          <w:szCs w:val="20"/>
          <w:lang w:val="en-US"/>
        </w:rPr>
        <w:t>statistika</w:t>
      </w:r>
      <w:proofErr w:type="spellEnd"/>
      <w:r w:rsidRPr="004B65A8">
        <w:rPr>
          <w:rFonts w:ascii="Times New Roman" w:hAnsi="Times New Roman" w:cs="Times New Roman"/>
          <w:sz w:val="20"/>
          <w:szCs w:val="20"/>
          <w:lang w:val="en-US"/>
        </w:rPr>
        <w:t xml:space="preserve"> </w:t>
      </w:r>
      <w:proofErr w:type="spellStart"/>
      <w:proofErr w:type="gramStart"/>
      <w:r w:rsidRPr="004B65A8">
        <w:rPr>
          <w:rFonts w:ascii="Times New Roman" w:hAnsi="Times New Roman" w:cs="Times New Roman"/>
          <w:sz w:val="20"/>
          <w:szCs w:val="20"/>
          <w:lang w:val="en-US"/>
        </w:rPr>
        <w:t>qo‘</w:t>
      </w:r>
      <w:proofErr w:type="gramEnd"/>
      <w:r w:rsidRPr="004B65A8">
        <w:rPr>
          <w:rFonts w:ascii="Times New Roman" w:hAnsi="Times New Roman" w:cs="Times New Roman"/>
          <w:sz w:val="20"/>
          <w:szCs w:val="20"/>
          <w:lang w:val="en-US"/>
        </w:rPr>
        <w:t>mitasi</w:t>
      </w:r>
      <w:proofErr w:type="spellEnd"/>
      <w:r w:rsidRPr="004B65A8">
        <w:rPr>
          <w:rFonts w:ascii="Times New Roman" w:hAnsi="Times New Roman" w:cs="Times New Roman"/>
          <w:sz w:val="20"/>
          <w:szCs w:val="20"/>
          <w:lang w:val="en-US"/>
        </w:rPr>
        <w:t xml:space="preserve"> // Official statistical portal. Accessed: 13.12.2025.</w:t>
      </w:r>
      <w:r w:rsidR="004B65A8" w:rsidRPr="004B65A8">
        <w:rPr>
          <w:rFonts w:ascii="Times New Roman" w:hAnsi="Times New Roman" w:cs="Times New Roman"/>
          <w:sz w:val="20"/>
          <w:szCs w:val="20"/>
          <w:lang w:val="en-US"/>
        </w:rPr>
        <w:t xml:space="preserve"> </w:t>
      </w:r>
      <w:r w:rsidRPr="004B65A8">
        <w:rPr>
          <w:rFonts w:ascii="Times New Roman" w:hAnsi="Times New Roman" w:cs="Times New Roman"/>
          <w:sz w:val="20"/>
          <w:szCs w:val="20"/>
          <w:lang w:val="en-US"/>
        </w:rPr>
        <w:t xml:space="preserve">Available: </w:t>
      </w:r>
      <w:hyperlink r:id="rId12" w:tgtFrame="_new" w:history="1">
        <w:r w:rsidRPr="004B65A8">
          <w:rPr>
            <w:rStyle w:val="ad"/>
            <w:rFonts w:ascii="Times New Roman" w:hAnsi="Times New Roman" w:cs="Times New Roman"/>
            <w:sz w:val="20"/>
            <w:szCs w:val="20"/>
            <w:lang w:val="en-US"/>
          </w:rPr>
          <w:t>https://stat.uz/uz/</w:t>
        </w:r>
      </w:hyperlink>
    </w:p>
    <w:sectPr w:rsidR="00742065" w:rsidRPr="004B65A8" w:rsidSect="00447431">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C2D46"/>
    <w:multiLevelType w:val="hybridMultilevel"/>
    <w:tmpl w:val="3D80D4A4"/>
    <w:lvl w:ilvl="0" w:tplc="913AE6C2">
      <w:numFmt w:val="bullet"/>
      <w:lvlText w:val=""/>
      <w:lvlJc w:val="left"/>
      <w:pPr>
        <w:ind w:left="900" w:hanging="54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0576821"/>
    <w:multiLevelType w:val="multilevel"/>
    <w:tmpl w:val="2E1EC5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FB5239"/>
    <w:multiLevelType w:val="multilevel"/>
    <w:tmpl w:val="1B7E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F35C18"/>
    <w:multiLevelType w:val="hybridMultilevel"/>
    <w:tmpl w:val="C276A0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1447B3"/>
    <w:multiLevelType w:val="hybridMultilevel"/>
    <w:tmpl w:val="E200C6D2"/>
    <w:lvl w:ilvl="0" w:tplc="04430001">
      <w:start w:val="1"/>
      <w:numFmt w:val="bullet"/>
      <w:lvlText w:val=""/>
      <w:lvlJc w:val="left"/>
      <w:pPr>
        <w:ind w:left="720" w:hanging="360"/>
      </w:pPr>
      <w:rPr>
        <w:rFonts w:ascii="Symbol" w:hAnsi="Symbol" w:hint="default"/>
      </w:rPr>
    </w:lvl>
    <w:lvl w:ilvl="1" w:tplc="04430003" w:tentative="1">
      <w:start w:val="1"/>
      <w:numFmt w:val="bullet"/>
      <w:lvlText w:val="o"/>
      <w:lvlJc w:val="left"/>
      <w:pPr>
        <w:ind w:left="1440" w:hanging="360"/>
      </w:pPr>
      <w:rPr>
        <w:rFonts w:ascii="Courier New" w:hAnsi="Courier New" w:cs="Courier New" w:hint="default"/>
      </w:rPr>
    </w:lvl>
    <w:lvl w:ilvl="2" w:tplc="04430005" w:tentative="1">
      <w:start w:val="1"/>
      <w:numFmt w:val="bullet"/>
      <w:lvlText w:val=""/>
      <w:lvlJc w:val="left"/>
      <w:pPr>
        <w:ind w:left="2160" w:hanging="360"/>
      </w:pPr>
      <w:rPr>
        <w:rFonts w:ascii="Wingdings" w:hAnsi="Wingdings" w:hint="default"/>
      </w:rPr>
    </w:lvl>
    <w:lvl w:ilvl="3" w:tplc="04430001" w:tentative="1">
      <w:start w:val="1"/>
      <w:numFmt w:val="bullet"/>
      <w:lvlText w:val=""/>
      <w:lvlJc w:val="left"/>
      <w:pPr>
        <w:ind w:left="2880" w:hanging="360"/>
      </w:pPr>
      <w:rPr>
        <w:rFonts w:ascii="Symbol" w:hAnsi="Symbol" w:hint="default"/>
      </w:rPr>
    </w:lvl>
    <w:lvl w:ilvl="4" w:tplc="04430003" w:tentative="1">
      <w:start w:val="1"/>
      <w:numFmt w:val="bullet"/>
      <w:lvlText w:val="o"/>
      <w:lvlJc w:val="left"/>
      <w:pPr>
        <w:ind w:left="3600" w:hanging="360"/>
      </w:pPr>
      <w:rPr>
        <w:rFonts w:ascii="Courier New" w:hAnsi="Courier New" w:cs="Courier New" w:hint="default"/>
      </w:rPr>
    </w:lvl>
    <w:lvl w:ilvl="5" w:tplc="04430005" w:tentative="1">
      <w:start w:val="1"/>
      <w:numFmt w:val="bullet"/>
      <w:lvlText w:val=""/>
      <w:lvlJc w:val="left"/>
      <w:pPr>
        <w:ind w:left="4320" w:hanging="360"/>
      </w:pPr>
      <w:rPr>
        <w:rFonts w:ascii="Wingdings" w:hAnsi="Wingdings" w:hint="default"/>
      </w:rPr>
    </w:lvl>
    <w:lvl w:ilvl="6" w:tplc="04430001" w:tentative="1">
      <w:start w:val="1"/>
      <w:numFmt w:val="bullet"/>
      <w:lvlText w:val=""/>
      <w:lvlJc w:val="left"/>
      <w:pPr>
        <w:ind w:left="5040" w:hanging="360"/>
      </w:pPr>
      <w:rPr>
        <w:rFonts w:ascii="Symbol" w:hAnsi="Symbol" w:hint="default"/>
      </w:rPr>
    </w:lvl>
    <w:lvl w:ilvl="7" w:tplc="04430003" w:tentative="1">
      <w:start w:val="1"/>
      <w:numFmt w:val="bullet"/>
      <w:lvlText w:val="o"/>
      <w:lvlJc w:val="left"/>
      <w:pPr>
        <w:ind w:left="5760" w:hanging="360"/>
      </w:pPr>
      <w:rPr>
        <w:rFonts w:ascii="Courier New" w:hAnsi="Courier New" w:cs="Courier New" w:hint="default"/>
      </w:rPr>
    </w:lvl>
    <w:lvl w:ilvl="8" w:tplc="04430005" w:tentative="1">
      <w:start w:val="1"/>
      <w:numFmt w:val="bullet"/>
      <w:lvlText w:val=""/>
      <w:lvlJc w:val="left"/>
      <w:pPr>
        <w:ind w:left="6480" w:hanging="360"/>
      </w:pPr>
      <w:rPr>
        <w:rFonts w:ascii="Wingdings" w:hAnsi="Wingdings" w:hint="default"/>
      </w:rPr>
    </w:lvl>
  </w:abstractNum>
  <w:abstractNum w:abstractNumId="5" w15:restartNumberingAfterBreak="0">
    <w:nsid w:val="79074810"/>
    <w:multiLevelType w:val="multilevel"/>
    <w:tmpl w:val="9A9C0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7357621">
    <w:abstractNumId w:val="2"/>
  </w:num>
  <w:num w:numId="2" w16cid:durableId="370493384">
    <w:abstractNumId w:val="4"/>
  </w:num>
  <w:num w:numId="3" w16cid:durableId="1742555874">
    <w:abstractNumId w:val="1"/>
  </w:num>
  <w:num w:numId="4" w16cid:durableId="1550875255">
    <w:abstractNumId w:val="5"/>
  </w:num>
  <w:num w:numId="5" w16cid:durableId="457066122">
    <w:abstractNumId w:val="3"/>
  </w:num>
  <w:num w:numId="6" w16cid:durableId="1255285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B2A"/>
    <w:rsid w:val="00061888"/>
    <w:rsid w:val="000E4B2A"/>
    <w:rsid w:val="00280535"/>
    <w:rsid w:val="003146EB"/>
    <w:rsid w:val="00320C8F"/>
    <w:rsid w:val="003315AD"/>
    <w:rsid w:val="0041736E"/>
    <w:rsid w:val="00445ACE"/>
    <w:rsid w:val="00447431"/>
    <w:rsid w:val="004B65A8"/>
    <w:rsid w:val="004E01DF"/>
    <w:rsid w:val="006230D9"/>
    <w:rsid w:val="006C0C1A"/>
    <w:rsid w:val="00742065"/>
    <w:rsid w:val="007A7DFF"/>
    <w:rsid w:val="007B0EA3"/>
    <w:rsid w:val="007B5702"/>
    <w:rsid w:val="007C10CC"/>
    <w:rsid w:val="007F3088"/>
    <w:rsid w:val="00826AF9"/>
    <w:rsid w:val="00873D26"/>
    <w:rsid w:val="008949DE"/>
    <w:rsid w:val="00971F50"/>
    <w:rsid w:val="00984460"/>
    <w:rsid w:val="00A23826"/>
    <w:rsid w:val="00A702C6"/>
    <w:rsid w:val="00C3684C"/>
    <w:rsid w:val="00CC1CE4"/>
    <w:rsid w:val="00CF44B4"/>
    <w:rsid w:val="00D3718F"/>
    <w:rsid w:val="00DA26B3"/>
    <w:rsid w:val="00E01F6E"/>
    <w:rsid w:val="00E214F4"/>
    <w:rsid w:val="00E50B85"/>
    <w:rsid w:val="00EB52D3"/>
  </w:rsids>
  <m:mathPr>
    <m:mathFont m:val="Cambria Math"/>
    <m:brkBin m:val="before"/>
    <m:brkBinSub m:val="--"/>
    <m:smallFrac m:val="0"/>
    <m:dispDef/>
    <m:lMargin m:val="0"/>
    <m:rMargin m:val="0"/>
    <m:defJc m:val="centerGroup"/>
    <m:wrapIndent m:val="1440"/>
    <m:intLim m:val="subSup"/>
    <m:naryLim m:val="undOvr"/>
  </m:mathPr>
  <w:themeFontLang w:val="uz-Latn-U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A9EF4"/>
  <w15:chartTrackingRefBased/>
  <w15:docId w15:val="{F2F5E69F-58CA-4618-B512-262B2656D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z-Latn-U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E4B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0E4B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E4B2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E4B2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E4B2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E4B2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E4B2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E4B2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E4B2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4B2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0E4B2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E4B2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E4B2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E4B2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E4B2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E4B2A"/>
    <w:rPr>
      <w:rFonts w:eastAsiaTheme="majorEastAsia" w:cstheme="majorBidi"/>
      <w:color w:val="595959" w:themeColor="text1" w:themeTint="A6"/>
    </w:rPr>
  </w:style>
  <w:style w:type="character" w:customStyle="1" w:styleId="80">
    <w:name w:val="Заголовок 8 Знак"/>
    <w:basedOn w:val="a0"/>
    <w:link w:val="8"/>
    <w:uiPriority w:val="9"/>
    <w:semiHidden/>
    <w:rsid w:val="000E4B2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E4B2A"/>
    <w:rPr>
      <w:rFonts w:eastAsiaTheme="majorEastAsia" w:cstheme="majorBidi"/>
      <w:color w:val="272727" w:themeColor="text1" w:themeTint="D8"/>
    </w:rPr>
  </w:style>
  <w:style w:type="paragraph" w:styleId="a3">
    <w:name w:val="Title"/>
    <w:basedOn w:val="a"/>
    <w:next w:val="a"/>
    <w:link w:val="a4"/>
    <w:uiPriority w:val="10"/>
    <w:qFormat/>
    <w:rsid w:val="000E4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E4B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4B2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E4B2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E4B2A"/>
    <w:pPr>
      <w:spacing w:before="160"/>
      <w:jc w:val="center"/>
    </w:pPr>
    <w:rPr>
      <w:i/>
      <w:iCs/>
      <w:color w:val="404040" w:themeColor="text1" w:themeTint="BF"/>
    </w:rPr>
  </w:style>
  <w:style w:type="character" w:customStyle="1" w:styleId="22">
    <w:name w:val="Цитата 2 Знак"/>
    <w:basedOn w:val="a0"/>
    <w:link w:val="21"/>
    <w:uiPriority w:val="29"/>
    <w:rsid w:val="000E4B2A"/>
    <w:rPr>
      <w:i/>
      <w:iCs/>
      <w:color w:val="404040" w:themeColor="text1" w:themeTint="BF"/>
    </w:rPr>
  </w:style>
  <w:style w:type="paragraph" w:styleId="a7">
    <w:name w:val="List Paragraph"/>
    <w:aliases w:val="Абзац вправо-1,List Paragraph1"/>
    <w:basedOn w:val="a"/>
    <w:link w:val="a8"/>
    <w:uiPriority w:val="34"/>
    <w:qFormat/>
    <w:rsid w:val="000E4B2A"/>
    <w:pPr>
      <w:ind w:left="720"/>
      <w:contextualSpacing/>
    </w:pPr>
  </w:style>
  <w:style w:type="character" w:styleId="a9">
    <w:name w:val="Intense Emphasis"/>
    <w:basedOn w:val="a0"/>
    <w:uiPriority w:val="21"/>
    <w:qFormat/>
    <w:rsid w:val="000E4B2A"/>
    <w:rPr>
      <w:i/>
      <w:iCs/>
      <w:color w:val="2F5496" w:themeColor="accent1" w:themeShade="BF"/>
    </w:rPr>
  </w:style>
  <w:style w:type="paragraph" w:styleId="aa">
    <w:name w:val="Intense Quote"/>
    <w:basedOn w:val="a"/>
    <w:next w:val="a"/>
    <w:link w:val="ab"/>
    <w:uiPriority w:val="30"/>
    <w:qFormat/>
    <w:rsid w:val="000E4B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0E4B2A"/>
    <w:rPr>
      <w:i/>
      <w:iCs/>
      <w:color w:val="2F5496" w:themeColor="accent1" w:themeShade="BF"/>
    </w:rPr>
  </w:style>
  <w:style w:type="character" w:styleId="ac">
    <w:name w:val="Intense Reference"/>
    <w:basedOn w:val="a0"/>
    <w:uiPriority w:val="32"/>
    <w:qFormat/>
    <w:rsid w:val="000E4B2A"/>
    <w:rPr>
      <w:b/>
      <w:bCs/>
      <w:smallCaps/>
      <w:color w:val="2F5496" w:themeColor="accent1" w:themeShade="BF"/>
      <w:spacing w:val="5"/>
    </w:rPr>
  </w:style>
  <w:style w:type="character" w:styleId="ad">
    <w:name w:val="Hyperlink"/>
    <w:basedOn w:val="a0"/>
    <w:uiPriority w:val="99"/>
    <w:unhideWhenUsed/>
    <w:rsid w:val="00E50B85"/>
    <w:rPr>
      <w:color w:val="0563C1" w:themeColor="hyperlink"/>
      <w:u w:val="single"/>
    </w:rPr>
  </w:style>
  <w:style w:type="character" w:customStyle="1" w:styleId="a8">
    <w:name w:val="Абзац списка Знак"/>
    <w:aliases w:val="Абзац вправо-1 Знак,List Paragraph1 Знак"/>
    <w:link w:val="a7"/>
    <w:uiPriority w:val="34"/>
    <w:locked/>
    <w:rsid w:val="00EB52D3"/>
  </w:style>
  <w:style w:type="table" w:styleId="ae">
    <w:name w:val="Table Grid"/>
    <w:basedOn w:val="a1"/>
    <w:uiPriority w:val="59"/>
    <w:rsid w:val="003315AD"/>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Grid Table Light"/>
    <w:basedOn w:val="a1"/>
    <w:uiPriority w:val="40"/>
    <w:rsid w:val="002805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Plain Table 1"/>
    <w:basedOn w:val="a1"/>
    <w:uiPriority w:val="41"/>
    <w:rsid w:val="00873D2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0">
    <w:name w:val="Bibliography"/>
    <w:basedOn w:val="a"/>
    <w:next w:val="a"/>
    <w:uiPriority w:val="37"/>
    <w:unhideWhenUsed/>
    <w:rsid w:val="007C10CC"/>
    <w:pPr>
      <w:tabs>
        <w:tab w:val="left" w:pos="384"/>
      </w:tabs>
      <w:spacing w:after="0" w:line="240" w:lineRule="auto"/>
      <w:ind w:left="384" w:hanging="384"/>
    </w:pPr>
  </w:style>
  <w:style w:type="character" w:customStyle="1" w:styleId="12">
    <w:name w:val="Неразрешенное упоминание1"/>
    <w:basedOn w:val="a0"/>
    <w:uiPriority w:val="99"/>
    <w:semiHidden/>
    <w:unhideWhenUsed/>
    <w:rsid w:val="00314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cpublication.org/index.php/SJEMR/article/view/816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odwoodpub.com/index.php/ijfam/article/view/1090" TargetMode="External"/><Relationship Id="rId12" Type="http://schemas.openxmlformats.org/officeDocument/2006/relationships/hyperlink" Target="https://stat.uz/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api.ziyonet.uz/uploads/books/10000014/ZFN4MVlt9ag3W3F.pdf" TargetMode="External"/><Relationship Id="rId5" Type="http://schemas.openxmlformats.org/officeDocument/2006/relationships/hyperlink" Target="mailto:muslimasotvoldiyeva201@gmail.com" TargetMode="External"/><Relationship Id="rId10" Type="http://schemas.openxmlformats.org/officeDocument/2006/relationships/hyperlink" Target="https://onlinelibrary.wiley.com/doi/10.1002/j.2158-1592.2010.tb00125.x" TargetMode="External"/><Relationship Id="rId4" Type="http://schemas.openxmlformats.org/officeDocument/2006/relationships/webSettings" Target="webSettings.xml"/><Relationship Id="rId9" Type="http://schemas.openxmlformats.org/officeDocument/2006/relationships/hyperlink" Target="https://en.wikipedia.org/wiki/Ohlson_O-score"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040959252074166E-2"/>
          <c:y val="4.5155993431855501E-2"/>
          <c:w val="0.9073412200286558"/>
          <c:h val="0.88583065047903498"/>
        </c:manualLayout>
      </c:layout>
      <c:lineChart>
        <c:grouping val="standard"/>
        <c:varyColors val="0"/>
        <c:ser>
          <c:idx val="0"/>
          <c:order val="0"/>
          <c:tx>
            <c:strRef>
              <c:f>Лист1!$B$1</c:f>
              <c:strCache>
                <c:ptCount val="1"/>
                <c:pt idx="0">
                  <c:v>Столбец1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Pt>
            <c:idx val="10"/>
            <c:marker>
              <c:symbol val="circle"/>
              <c:size val="5"/>
              <c:spPr>
                <a:solidFill>
                  <a:schemeClr val="accent1"/>
                </a:solidFill>
                <a:ln w="9525">
                  <a:solidFill>
                    <a:schemeClr val="accent1"/>
                  </a:solidFill>
                </a:ln>
                <a:effectLst/>
              </c:spPr>
            </c:marker>
            <c:bubble3D val="0"/>
            <c:spPr>
              <a:ln w="28575" cap="rnd">
                <a:solidFill>
                  <a:schemeClr val="accent1"/>
                </a:solidFill>
                <a:round/>
              </a:ln>
              <a:effectLst/>
            </c:spPr>
            <c:extLst>
              <c:ext xmlns:c16="http://schemas.microsoft.com/office/drawing/2014/chart" uri="{C3380CC4-5D6E-409C-BE32-E72D297353CC}">
                <c16:uniqueId val="{00000001-E1D4-459D-BD9B-CD49B0A7B538}"/>
              </c:ext>
            </c:extLst>
          </c:dPt>
          <c:dPt>
            <c:idx val="11"/>
            <c:marker>
              <c:symbol val="circle"/>
              <c:size val="5"/>
              <c:spPr>
                <a:solidFill>
                  <a:schemeClr val="accent1"/>
                </a:solidFill>
                <a:ln w="9525">
                  <a:solidFill>
                    <a:schemeClr val="accent1"/>
                  </a:solidFill>
                </a:ln>
                <a:effectLst/>
              </c:spPr>
            </c:marker>
            <c:bubble3D val="0"/>
            <c:spPr>
              <a:ln w="28575" cap="rnd">
                <a:solidFill>
                  <a:schemeClr val="accent1"/>
                </a:solidFill>
                <a:round/>
              </a:ln>
              <a:effectLst/>
            </c:spPr>
            <c:extLst>
              <c:ext xmlns:c16="http://schemas.microsoft.com/office/drawing/2014/chart" uri="{C3380CC4-5D6E-409C-BE32-E72D297353CC}">
                <c16:uniqueId val="{00000003-E1D4-459D-BD9B-CD49B0A7B538}"/>
              </c:ext>
            </c:extLst>
          </c:dPt>
          <c:dPt>
            <c:idx val="12"/>
            <c:marker>
              <c:symbol val="circle"/>
              <c:size val="5"/>
              <c:spPr>
                <a:solidFill>
                  <a:schemeClr val="accent1"/>
                </a:solidFill>
                <a:ln w="9525">
                  <a:solidFill>
                    <a:schemeClr val="accent1"/>
                  </a:solidFill>
                </a:ln>
                <a:effectLst/>
              </c:spPr>
            </c:marker>
            <c:bubble3D val="0"/>
            <c:spPr>
              <a:ln w="28575" cap="rnd">
                <a:solidFill>
                  <a:srgbClr val="7030A0"/>
                </a:solidFill>
                <a:round/>
              </a:ln>
              <a:effectLst/>
            </c:spPr>
            <c:extLst>
              <c:ext xmlns:c16="http://schemas.microsoft.com/office/drawing/2014/chart" uri="{C3380CC4-5D6E-409C-BE32-E72D297353CC}">
                <c16:uniqueId val="{00000005-E1D4-459D-BD9B-CD49B0A7B538}"/>
              </c:ext>
            </c:extLst>
          </c:dPt>
          <c:dPt>
            <c:idx val="13"/>
            <c:marker>
              <c:symbol val="circle"/>
              <c:size val="5"/>
              <c:spPr>
                <a:solidFill>
                  <a:schemeClr val="accent1"/>
                </a:solidFill>
                <a:ln w="9525">
                  <a:solidFill>
                    <a:schemeClr val="accent1"/>
                  </a:solidFill>
                </a:ln>
                <a:effectLst/>
              </c:spPr>
            </c:marker>
            <c:bubble3D val="0"/>
            <c:spPr>
              <a:ln w="28575" cap="rnd">
                <a:solidFill>
                  <a:srgbClr val="7030A0"/>
                </a:solidFill>
                <a:round/>
              </a:ln>
              <a:effectLst/>
            </c:spPr>
            <c:extLst>
              <c:ext xmlns:c16="http://schemas.microsoft.com/office/drawing/2014/chart" uri="{C3380CC4-5D6E-409C-BE32-E72D297353CC}">
                <c16:uniqueId val="{00000007-E1D4-459D-BD9B-CD49B0A7B538}"/>
              </c:ext>
            </c:extLst>
          </c:dPt>
          <c:dPt>
            <c:idx val="14"/>
            <c:marker>
              <c:symbol val="circle"/>
              <c:size val="5"/>
              <c:spPr>
                <a:solidFill>
                  <a:schemeClr val="accent1"/>
                </a:solidFill>
                <a:ln w="9525">
                  <a:solidFill>
                    <a:schemeClr val="accent1"/>
                  </a:solidFill>
                </a:ln>
                <a:effectLst/>
              </c:spPr>
            </c:marker>
            <c:bubble3D val="0"/>
            <c:spPr>
              <a:ln w="28575" cap="rnd">
                <a:solidFill>
                  <a:srgbClr val="7030A0"/>
                </a:solidFill>
                <a:round/>
              </a:ln>
              <a:effectLst/>
            </c:spPr>
            <c:extLst>
              <c:ext xmlns:c16="http://schemas.microsoft.com/office/drawing/2014/chart" uri="{C3380CC4-5D6E-409C-BE32-E72D297353CC}">
                <c16:uniqueId val="{00000009-E1D4-459D-BD9B-CD49B0A7B538}"/>
              </c:ext>
            </c:extLst>
          </c:dPt>
          <c:dPt>
            <c:idx val="15"/>
            <c:marker>
              <c:symbol val="circle"/>
              <c:size val="5"/>
              <c:spPr>
                <a:solidFill>
                  <a:schemeClr val="accent1"/>
                </a:solidFill>
                <a:ln w="9525">
                  <a:solidFill>
                    <a:schemeClr val="accent1"/>
                  </a:solidFill>
                </a:ln>
                <a:effectLst/>
              </c:spPr>
            </c:marker>
            <c:bubble3D val="0"/>
            <c:spPr>
              <a:ln w="28575" cap="rnd">
                <a:solidFill>
                  <a:srgbClr val="7030A0"/>
                </a:solidFill>
                <a:round/>
              </a:ln>
              <a:effectLst/>
            </c:spPr>
            <c:extLst>
              <c:ext xmlns:c16="http://schemas.microsoft.com/office/drawing/2014/chart" uri="{C3380CC4-5D6E-409C-BE32-E72D297353CC}">
                <c16:uniqueId val="{0000000B-E1D4-459D-BD9B-CD49B0A7B538}"/>
              </c:ext>
            </c:extLst>
          </c:dPt>
          <c:dPt>
            <c:idx val="16"/>
            <c:marker>
              <c:symbol val="circle"/>
              <c:size val="5"/>
              <c:spPr>
                <a:solidFill>
                  <a:schemeClr val="accent1"/>
                </a:solidFill>
                <a:ln w="9525">
                  <a:solidFill>
                    <a:schemeClr val="accent1"/>
                  </a:solidFill>
                </a:ln>
                <a:effectLst/>
              </c:spPr>
            </c:marker>
            <c:bubble3D val="0"/>
            <c:spPr>
              <a:ln w="28575" cap="rnd">
                <a:solidFill>
                  <a:srgbClr val="7030A0"/>
                </a:solidFill>
                <a:round/>
              </a:ln>
              <a:effectLst/>
            </c:spPr>
            <c:extLst>
              <c:ext xmlns:c16="http://schemas.microsoft.com/office/drawing/2014/chart" uri="{C3380CC4-5D6E-409C-BE32-E72D297353CC}">
                <c16:uniqueId val="{0000000D-E1D4-459D-BD9B-CD49B0A7B538}"/>
              </c:ext>
            </c:extLst>
          </c:dPt>
          <c:dLbls>
            <c:dLbl>
              <c:idx val="0"/>
              <c:layout>
                <c:manualLayout>
                  <c:x val="-4.3344026441139299E-2"/>
                  <c:y val="-9.97055500512767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1D4-459D-BD9B-CD49B0A7B538}"/>
                </c:ext>
              </c:extLst>
            </c:dLbl>
            <c:dLbl>
              <c:idx val="1"/>
              <c:layout>
                <c:manualLayout>
                  <c:x val="-3.4722222222222224E-2"/>
                  <c:y val="4.76190476190474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1D4-459D-BD9B-CD49B0A7B538}"/>
                </c:ext>
              </c:extLst>
            </c:dLbl>
            <c:dLbl>
              <c:idx val="2"/>
              <c:layout>
                <c:manualLayout>
                  <c:x val="-6.7129629629629678E-2"/>
                  <c:y val="-4.76190476190477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1D4-459D-BD9B-CD49B0A7B538}"/>
                </c:ext>
              </c:extLst>
            </c:dLbl>
            <c:dLbl>
              <c:idx val="3"/>
              <c:layout>
                <c:manualLayout>
                  <c:x val="-4.1666666666666706E-2"/>
                  <c:y val="5.95238095238093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1D4-459D-BD9B-CD49B0A7B538}"/>
                </c:ext>
              </c:extLst>
            </c:dLbl>
            <c:dLbl>
              <c:idx val="4"/>
              <c:layout>
                <c:manualLayout>
                  <c:x val="-7.6388888888888895E-2"/>
                  <c:y val="-5.55555555555554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E1D4-459D-BD9B-CD49B0A7B538}"/>
                </c:ext>
              </c:extLst>
            </c:dLbl>
            <c:dLbl>
              <c:idx val="5"/>
              <c:layout>
                <c:manualLayout>
                  <c:x val="-3.0092592592592591E-2"/>
                  <c:y val="4.7619047619047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E1D4-459D-BD9B-CD49B0A7B538}"/>
                </c:ext>
              </c:extLst>
            </c:dLbl>
            <c:dLbl>
              <c:idx val="6"/>
              <c:layout>
                <c:manualLayout>
                  <c:x val="-8.1018518518518517E-2"/>
                  <c:y val="-4.36507936507936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E1D4-459D-BD9B-CD49B0A7B538}"/>
                </c:ext>
              </c:extLst>
            </c:dLbl>
            <c:dLbl>
              <c:idx val="7"/>
              <c:layout>
                <c:manualLayout>
                  <c:x val="-2.0833333333333419E-2"/>
                  <c:y val="5.55555555555554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E1D4-459D-BD9B-CD49B0A7B538}"/>
                </c:ext>
              </c:extLst>
            </c:dLbl>
            <c:dLbl>
              <c:idx val="8"/>
              <c:layout>
                <c:manualLayout>
                  <c:x val="-6.25E-2"/>
                  <c:y val="-5.1587301587301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E1D4-459D-BD9B-CD49B0A7B538}"/>
                </c:ext>
              </c:extLst>
            </c:dLbl>
            <c:dLbl>
              <c:idx val="9"/>
              <c:layout>
                <c:manualLayout>
                  <c:x val="-4.6296296296296384E-2"/>
                  <c:y val="4.7619047619047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E1D4-459D-BD9B-CD49B0A7B538}"/>
                </c:ext>
              </c:extLst>
            </c:dLbl>
            <c:dLbl>
              <c:idx val="10"/>
              <c:layout>
                <c:manualLayout>
                  <c:x val="-8.7962962962963048E-2"/>
                  <c:y val="-5.95238095238095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1D4-459D-BD9B-CD49B0A7B538}"/>
                </c:ext>
              </c:extLst>
            </c:dLbl>
            <c:dLbl>
              <c:idx val="11"/>
              <c:layout>
                <c:manualLayout>
                  <c:x val="-2.0363734726395917E-2"/>
                  <c:y val="3.96301124611079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1D4-459D-BD9B-CD49B0A7B538}"/>
                </c:ext>
              </c:extLst>
            </c:dLbl>
            <c:dLbl>
              <c:idx val="12"/>
              <c:layout>
                <c:manualLayout>
                  <c:x val="-5.5589114162662032E-2"/>
                  <c:y val="-6.83537571048652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1D4-459D-BD9B-CD49B0A7B538}"/>
                </c:ext>
              </c:extLst>
            </c:dLbl>
            <c:dLbl>
              <c:idx val="13"/>
              <c:layout>
                <c:manualLayout>
                  <c:x val="0"/>
                  <c:y val="7.53968253968253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1D4-459D-BD9B-CD49B0A7B538}"/>
                </c:ext>
              </c:extLst>
            </c:dLbl>
            <c:dLbl>
              <c:idx val="14"/>
              <c:layout>
                <c:manualLayout>
                  <c:x val="-3.6500268384326358E-2"/>
                  <c:y val="-3.53200883002207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1D4-459D-BD9B-CD49B0A7B538}"/>
                </c:ext>
              </c:extLst>
            </c:dLbl>
            <c:dLbl>
              <c:idx val="15"/>
              <c:layout>
                <c:manualLayout>
                  <c:x val="-1.7176596886741814E-2"/>
                  <c:y val="4.41501103752759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1D4-459D-BD9B-CD49B0A7B538}"/>
                </c:ext>
              </c:extLst>
            </c:dLbl>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Лист1!$A$2:$A$18</c:f>
              <c:numCache>
                <c:formatCode>General</c:formatCode>
                <c:ptCount val="17"/>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numCache>
            </c:numRef>
          </c:cat>
          <c:val>
            <c:numRef>
              <c:f>Лист1!$B$2:$B$18</c:f>
              <c:numCache>
                <c:formatCode>General</c:formatCode>
                <c:ptCount val="17"/>
                <c:pt idx="0">
                  <c:v>207.6</c:v>
                </c:pt>
                <c:pt idx="1">
                  <c:v>228</c:v>
                </c:pt>
                <c:pt idx="2">
                  <c:v>349</c:v>
                </c:pt>
                <c:pt idx="3">
                  <c:v>491.4</c:v>
                </c:pt>
                <c:pt idx="4">
                  <c:v>614.79999999999995</c:v>
                </c:pt>
                <c:pt idx="5" formatCode="#,##0.00">
                  <c:v>1371.4</c:v>
                </c:pt>
                <c:pt idx="6" formatCode="#,##0.00">
                  <c:v>1513.7</c:v>
                </c:pt>
                <c:pt idx="7" formatCode="#,##0.00">
                  <c:v>1694.9</c:v>
                </c:pt>
                <c:pt idx="8" formatCode="#,##0.00">
                  <c:v>2299.1</c:v>
                </c:pt>
                <c:pt idx="9" formatCode="#,##0.00">
                  <c:v>2097.3000000000002</c:v>
                </c:pt>
                <c:pt idx="10" formatCode="#,##0.00">
                  <c:v>3059.8</c:v>
                </c:pt>
                <c:pt idx="11">
                  <c:v>3404</c:v>
                </c:pt>
                <c:pt idx="12" formatCode="0.0">
                  <c:v>3350.7074413956529</c:v>
                </c:pt>
                <c:pt idx="13" formatCode="0.0">
                  <c:v>3682.2788300186417</c:v>
                </c:pt>
                <c:pt idx="14" formatCode="0.0">
                  <c:v>4019.5145215819557</c:v>
                </c:pt>
                <c:pt idx="15" formatCode="0.0">
                  <c:v>4361.0272139502522</c:v>
                </c:pt>
                <c:pt idx="16" formatCode="0.0">
                  <c:v>4709.9052779342819</c:v>
                </c:pt>
              </c:numCache>
            </c:numRef>
          </c:val>
          <c:smooth val="0"/>
          <c:extLst>
            <c:ext xmlns:c16="http://schemas.microsoft.com/office/drawing/2014/chart" uri="{C3380CC4-5D6E-409C-BE32-E72D297353CC}">
              <c16:uniqueId val="{00000018-E1D4-459D-BD9B-CD49B0A7B538}"/>
            </c:ext>
          </c:extLst>
        </c:ser>
        <c:dLbls>
          <c:showLegendKey val="0"/>
          <c:showVal val="0"/>
          <c:showCatName val="0"/>
          <c:showSerName val="0"/>
          <c:showPercent val="0"/>
          <c:showBubbleSize val="0"/>
        </c:dLbls>
        <c:marker val="1"/>
        <c:smooth val="0"/>
        <c:axId val="561474200"/>
        <c:axId val="561468320"/>
      </c:lineChart>
      <c:catAx>
        <c:axId val="561474200"/>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61468320"/>
        <c:crosses val="autoZero"/>
        <c:auto val="1"/>
        <c:lblAlgn val="ctr"/>
        <c:lblOffset val="100"/>
        <c:noMultiLvlLbl val="0"/>
      </c:catAx>
      <c:valAx>
        <c:axId val="561468320"/>
        <c:scaling>
          <c:orientation val="minMax"/>
        </c:scaling>
        <c:delete val="0"/>
        <c:axPos val="l"/>
        <c:numFmt formatCode="General" sourceLinked="1"/>
        <c:majorTickMark val="none"/>
        <c:minorTickMark val="none"/>
        <c:tickLblPos val="nextTo"/>
        <c:spPr>
          <a:noFill/>
          <a:ln w="6350">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61474200"/>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24</TotalTime>
  <Pages>7</Pages>
  <Words>6415</Words>
  <Characters>36572</Characters>
  <Application>Microsoft Office Word</Application>
  <DocSecurity>0</DocSecurity>
  <Lines>304</Lines>
  <Paragraphs>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Muslima Sotvoldiyeva</dc:creator>
  <cp:keywords/>
  <dc:description/>
  <cp:lastModifiedBy>Пользователь</cp:lastModifiedBy>
  <cp:revision>6</cp:revision>
  <dcterms:created xsi:type="dcterms:W3CDTF">2025-12-20T15:19:00Z</dcterms:created>
  <dcterms:modified xsi:type="dcterms:W3CDTF">2026-01-08T09:47:00Z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id="sjj6VAEk"/&gt;&lt;style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