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2D0B" w:rsidRPr="009D6D75" w:rsidRDefault="009D6D75" w:rsidP="00525645">
      <w:pPr>
        <w:spacing w:before="1200" w:after="200"/>
        <w:jc w:val="center"/>
        <w:rPr>
          <w:b/>
          <w:sz w:val="36"/>
          <w:szCs w:val="36"/>
          <w:lang w:val="en-US"/>
        </w:rPr>
      </w:pPr>
      <w:r w:rsidRPr="009D6D75">
        <w:rPr>
          <w:b/>
          <w:sz w:val="36"/>
          <w:szCs w:val="36"/>
          <w:lang w:val="en-US"/>
        </w:rPr>
        <w:t>Improving Mechanical Power Monitoring of Rotating Mechanisms Under Unstable Loads</w:t>
      </w:r>
    </w:p>
    <w:p w:rsidR="004500A5" w:rsidRDefault="00824DFA" w:rsidP="00525645">
      <w:pPr>
        <w:spacing w:before="240" w:after="200"/>
        <w:jc w:val="center"/>
        <w:rPr>
          <w:sz w:val="28"/>
          <w:szCs w:val="28"/>
          <w:lang w:val="en-US"/>
        </w:rPr>
      </w:pPr>
      <w:r w:rsidRPr="004500A5">
        <w:rPr>
          <w:sz w:val="28"/>
          <w:szCs w:val="28"/>
          <w:lang w:val="en-US"/>
        </w:rPr>
        <w:t>Rustam Baratov</w:t>
      </w:r>
      <w:r w:rsidRPr="004500A5">
        <w:rPr>
          <w:sz w:val="28"/>
          <w:szCs w:val="28"/>
          <w:vertAlign w:val="superscript"/>
          <w:lang w:val="en-US"/>
        </w:rPr>
        <w:t>1</w:t>
      </w:r>
      <w:r w:rsidR="004A43B7">
        <w:rPr>
          <w:sz w:val="28"/>
          <w:szCs w:val="28"/>
          <w:lang w:val="en-US"/>
        </w:rPr>
        <w:t xml:space="preserve">, </w:t>
      </w:r>
      <w:r w:rsidR="004A43B7" w:rsidRPr="004A43B7">
        <w:rPr>
          <w:sz w:val="28"/>
          <w:szCs w:val="28"/>
          <w:lang w:val="en-US"/>
        </w:rPr>
        <w:t>Murodjon</w:t>
      </w:r>
      <w:r w:rsidR="004500A5" w:rsidRPr="004A43B7">
        <w:rPr>
          <w:sz w:val="28"/>
          <w:szCs w:val="28"/>
          <w:lang w:val="en-US"/>
        </w:rPr>
        <w:t xml:space="preserve"> </w:t>
      </w:r>
      <w:r w:rsidR="004500A5" w:rsidRPr="004500A5">
        <w:rPr>
          <w:sz w:val="28"/>
          <w:szCs w:val="28"/>
          <w:lang w:val="en-US"/>
        </w:rPr>
        <w:t>Begmatov</w:t>
      </w:r>
      <w:proofErr w:type="gramStart"/>
      <w:r w:rsidR="004500A5" w:rsidRPr="004500A5">
        <w:rPr>
          <w:sz w:val="28"/>
          <w:szCs w:val="28"/>
          <w:vertAlign w:val="superscript"/>
          <w:lang w:val="en-US"/>
        </w:rPr>
        <w:t>1,a</w:t>
      </w:r>
      <w:proofErr w:type="gramEnd"/>
      <w:r w:rsidR="004500A5" w:rsidRPr="004500A5">
        <w:rPr>
          <w:sz w:val="28"/>
          <w:szCs w:val="28"/>
          <w:vertAlign w:val="superscript"/>
          <w:lang w:val="en-US"/>
        </w:rPr>
        <w:t>)</w:t>
      </w:r>
      <w:r w:rsidR="004500A5" w:rsidRPr="004500A5">
        <w:rPr>
          <w:sz w:val="28"/>
          <w:szCs w:val="28"/>
          <w:lang w:val="en-US"/>
        </w:rPr>
        <w:t xml:space="preserve">, </w:t>
      </w:r>
      <w:r w:rsidR="004500A5">
        <w:rPr>
          <w:sz w:val="28"/>
          <w:szCs w:val="28"/>
          <w:lang w:val="en-US"/>
        </w:rPr>
        <w:t>Mashrab Abdullayev</w:t>
      </w:r>
      <w:proofErr w:type="gramStart"/>
      <w:r w:rsidR="004500A5">
        <w:rPr>
          <w:sz w:val="28"/>
          <w:szCs w:val="28"/>
          <w:vertAlign w:val="superscript"/>
          <w:lang w:val="en-US"/>
        </w:rPr>
        <w:t>2</w:t>
      </w:r>
      <w:r w:rsidR="004500A5">
        <w:rPr>
          <w:sz w:val="28"/>
          <w:szCs w:val="28"/>
          <w:lang w:val="en-US"/>
        </w:rPr>
        <w:t xml:space="preserve">, </w:t>
      </w:r>
      <w:r w:rsidR="00927A34" w:rsidRPr="00927A34">
        <w:rPr>
          <w:sz w:val="28"/>
          <w:szCs w:val="28"/>
          <w:lang w:val="en-US"/>
        </w:rPr>
        <w:t xml:space="preserve">  </w:t>
      </w:r>
      <w:proofErr w:type="gramEnd"/>
      <w:r w:rsidR="00927A34" w:rsidRPr="00927A34">
        <w:rPr>
          <w:sz w:val="28"/>
          <w:szCs w:val="28"/>
          <w:lang w:val="en-US"/>
        </w:rPr>
        <w:t xml:space="preserve">                              </w:t>
      </w:r>
      <w:r w:rsidR="004500A5">
        <w:rPr>
          <w:sz w:val="28"/>
          <w:szCs w:val="28"/>
          <w:lang w:val="en-US"/>
        </w:rPr>
        <w:t>Botir Xushboqov</w:t>
      </w:r>
      <w:r w:rsidR="004500A5">
        <w:rPr>
          <w:sz w:val="28"/>
          <w:szCs w:val="28"/>
          <w:vertAlign w:val="superscript"/>
          <w:lang w:val="en-US"/>
        </w:rPr>
        <w:t>3</w:t>
      </w:r>
      <w:r w:rsidR="004500A5">
        <w:rPr>
          <w:sz w:val="28"/>
          <w:szCs w:val="28"/>
          <w:lang w:val="en-US"/>
        </w:rPr>
        <w:t>, Jumanazar Kodirov</w:t>
      </w:r>
      <w:r w:rsidR="004500A5">
        <w:rPr>
          <w:sz w:val="28"/>
          <w:szCs w:val="28"/>
          <w:vertAlign w:val="superscript"/>
          <w:lang w:val="en-US"/>
        </w:rPr>
        <w:t>3</w:t>
      </w:r>
    </w:p>
    <w:p w:rsidR="004500A5" w:rsidRPr="00D867C4" w:rsidRDefault="004500A5" w:rsidP="004500A5">
      <w:pPr>
        <w:jc w:val="center"/>
        <w:rPr>
          <w:i/>
          <w:sz w:val="22"/>
          <w:szCs w:val="22"/>
          <w:lang w:val="en-US"/>
        </w:rPr>
      </w:pPr>
      <w:r w:rsidRPr="00B5362E">
        <w:rPr>
          <w:i/>
          <w:sz w:val="20"/>
          <w:szCs w:val="22"/>
          <w:vertAlign w:val="superscript"/>
          <w:lang w:val="en-US"/>
        </w:rPr>
        <w:t>1</w:t>
      </w:r>
      <w:r w:rsidR="00952494">
        <w:rPr>
          <w:i/>
          <w:sz w:val="20"/>
          <w:szCs w:val="22"/>
          <w:vertAlign w:val="superscript"/>
          <w:lang w:val="en-US"/>
        </w:rPr>
        <w:t xml:space="preserve"> </w:t>
      </w:r>
      <w:r w:rsidRPr="00D867C4">
        <w:rPr>
          <w:i/>
          <w:sz w:val="20"/>
          <w:szCs w:val="22"/>
          <w:lang w:val="en-US"/>
        </w:rPr>
        <w:t xml:space="preserve">“Tashkent institute of irrigation and agricultural mechanization engineers” </w:t>
      </w:r>
      <w:r>
        <w:rPr>
          <w:i/>
          <w:sz w:val="20"/>
          <w:szCs w:val="22"/>
          <w:lang w:val="en-US"/>
        </w:rPr>
        <w:t>National Research University</w:t>
      </w:r>
      <w:r w:rsidRPr="00D867C4">
        <w:rPr>
          <w:i/>
          <w:sz w:val="20"/>
          <w:szCs w:val="22"/>
          <w:lang w:val="en-US"/>
        </w:rPr>
        <w:t xml:space="preserve">, </w:t>
      </w:r>
      <w:r w:rsidRPr="000C3651">
        <w:rPr>
          <w:i/>
          <w:sz w:val="20"/>
          <w:szCs w:val="20"/>
          <w:lang w:val="en-US"/>
        </w:rPr>
        <w:t>Tashkent, Uzbekistan</w:t>
      </w:r>
      <w:r>
        <w:rPr>
          <w:lang w:val="uz-Cyrl-UZ"/>
        </w:rPr>
        <w:t xml:space="preserve"> </w:t>
      </w:r>
    </w:p>
    <w:p w:rsidR="00C51880" w:rsidRPr="00C51880" w:rsidRDefault="00C51880" w:rsidP="00F007B6">
      <w:pPr>
        <w:jc w:val="center"/>
        <w:rPr>
          <w:i/>
          <w:sz w:val="20"/>
          <w:szCs w:val="22"/>
          <w:lang w:val="en-US"/>
        </w:rPr>
      </w:pPr>
      <w:r>
        <w:rPr>
          <w:i/>
          <w:sz w:val="20"/>
          <w:szCs w:val="22"/>
          <w:vertAlign w:val="superscript"/>
          <w:lang w:val="en-US"/>
        </w:rPr>
        <w:t>2</w:t>
      </w:r>
      <w:r w:rsidR="00952494">
        <w:rPr>
          <w:i/>
          <w:sz w:val="20"/>
          <w:szCs w:val="22"/>
          <w:vertAlign w:val="superscript"/>
          <w:lang w:val="en-US"/>
        </w:rPr>
        <w:t xml:space="preserve"> </w:t>
      </w:r>
      <w:r w:rsidRPr="00C51880">
        <w:rPr>
          <w:i/>
          <w:sz w:val="20"/>
          <w:szCs w:val="22"/>
          <w:lang w:val="en-US"/>
        </w:rPr>
        <w:t>Urgench state university, Urgench, Uzbekistan.</w:t>
      </w:r>
    </w:p>
    <w:p w:rsidR="004500A5" w:rsidRDefault="004500A5" w:rsidP="00F007B6">
      <w:pPr>
        <w:jc w:val="center"/>
        <w:rPr>
          <w:i/>
          <w:sz w:val="20"/>
          <w:szCs w:val="22"/>
          <w:lang w:val="en-US"/>
        </w:rPr>
      </w:pPr>
      <w:r>
        <w:rPr>
          <w:i/>
          <w:sz w:val="20"/>
          <w:szCs w:val="22"/>
          <w:vertAlign w:val="superscript"/>
          <w:lang w:val="en-US"/>
        </w:rPr>
        <w:t>3</w:t>
      </w:r>
      <w:r w:rsidR="00952494">
        <w:rPr>
          <w:i/>
          <w:sz w:val="20"/>
          <w:szCs w:val="22"/>
          <w:vertAlign w:val="superscript"/>
          <w:lang w:val="en-US"/>
        </w:rPr>
        <w:t xml:space="preserve"> </w:t>
      </w:r>
      <w:r w:rsidRPr="004500A5">
        <w:rPr>
          <w:i/>
          <w:sz w:val="20"/>
          <w:szCs w:val="22"/>
          <w:lang w:val="en-US"/>
        </w:rPr>
        <w:t>Termez State University of Engineering and Agrotechnologies, Termez, Uzbekistan</w:t>
      </w:r>
    </w:p>
    <w:p w:rsidR="0076423C" w:rsidRPr="00952494" w:rsidRDefault="0076423C" w:rsidP="00525645">
      <w:pPr>
        <w:spacing w:before="200" w:after="200"/>
        <w:jc w:val="center"/>
        <w:rPr>
          <w:i/>
          <w:sz w:val="20"/>
          <w:szCs w:val="20"/>
          <w:lang w:val="en-US"/>
        </w:rPr>
      </w:pPr>
      <w:r w:rsidRPr="00952494">
        <w:rPr>
          <w:rFonts w:eastAsia="Calibri"/>
          <w:i/>
          <w:sz w:val="20"/>
          <w:szCs w:val="20"/>
          <w:vertAlign w:val="superscript"/>
          <w:lang w:val="en-US" w:eastAsia="en-US"/>
        </w:rPr>
        <w:t>a)</w:t>
      </w:r>
      <w:r w:rsidRPr="00952494">
        <w:rPr>
          <w:rFonts w:eastAsia="Calibri"/>
          <w:i/>
          <w:sz w:val="20"/>
          <w:szCs w:val="20"/>
          <w:lang w:val="en-US" w:eastAsia="en-US"/>
        </w:rPr>
        <w:t xml:space="preserve"> Corresponding author: </w:t>
      </w:r>
      <w:hyperlink r:id="rId6" w:history="1">
        <w:r w:rsidRPr="00952494">
          <w:rPr>
            <w:rStyle w:val="a8"/>
            <w:rFonts w:eastAsia="Calibri"/>
            <w:i/>
            <w:sz w:val="20"/>
            <w:szCs w:val="20"/>
            <w:lang w:val="en-US" w:eastAsia="en-US"/>
          </w:rPr>
          <w:t>murod05071991@mail.ru</w:t>
        </w:r>
      </w:hyperlink>
    </w:p>
    <w:p w:rsidR="004A43B7" w:rsidRPr="00E356CE" w:rsidRDefault="00F007B6" w:rsidP="00AA4C24">
      <w:pPr>
        <w:spacing w:before="360" w:after="360"/>
        <w:ind w:left="284" w:right="284"/>
        <w:jc w:val="both"/>
        <w:rPr>
          <w:b/>
          <w:color w:val="C00000"/>
          <w:sz w:val="20"/>
          <w:szCs w:val="20"/>
          <w:lang w:val="en-US"/>
        </w:rPr>
      </w:pPr>
      <w:r w:rsidRPr="004A43B7">
        <w:rPr>
          <w:b/>
          <w:color w:val="000000" w:themeColor="text1"/>
          <w:sz w:val="18"/>
          <w:szCs w:val="18"/>
          <w:lang w:val="en-US"/>
        </w:rPr>
        <w:t>Abstract</w:t>
      </w:r>
      <w:r w:rsidR="0076423C" w:rsidRPr="004A43B7">
        <w:rPr>
          <w:b/>
          <w:color w:val="000000" w:themeColor="text1"/>
          <w:sz w:val="18"/>
          <w:szCs w:val="18"/>
          <w:lang w:val="en-US"/>
        </w:rPr>
        <w:t xml:space="preserve">. </w:t>
      </w:r>
      <w:r w:rsidR="00E356CE" w:rsidRPr="00974608">
        <w:rPr>
          <w:sz w:val="18"/>
          <w:szCs w:val="18"/>
          <w:lang w:val="en-US"/>
        </w:rPr>
        <w:t>Real-time mechanical power measurement of agricultural tractor rotating mechanisms, particularly the power take-off (PTO), is affected by unstable loads and dynamic operating conditions. The purpose of this study is to improve the accuracy of mechanical power monitoring under such conditions. The dynamic behavior of the PTO was analyzed experimentally, and the limitations of conventional power measurement methods based on instantaneous torque and angular velocity were investigated. It was found that mechanical oscillations of the power take-off shaft, transmission, and engine, together with sensor response mismatches, phase shifts, and digital signal processing delays, lead to significant dynamic measurement errors. To address these limitations, an electromagnetic angular acceleration sensor is proposed and evaluated. The results demonstrate that the proposed approach enables more reliable real-time mechanical power measurement under unstable loading conditions, increases measurement accuracy and sensitivity, and provides a basis for predicting emergency operating states and implementing predictive maintenance strategies.</w:t>
      </w:r>
    </w:p>
    <w:p w:rsidR="00F007B6" w:rsidRPr="003F568B" w:rsidRDefault="00A878C7" w:rsidP="00A878C7">
      <w:pPr>
        <w:spacing w:before="240" w:after="240"/>
        <w:ind w:firstLine="567"/>
        <w:jc w:val="center"/>
        <w:rPr>
          <w:rFonts w:eastAsia="Calibri"/>
          <w:b/>
          <w:lang w:val="en-US" w:eastAsia="en-US"/>
        </w:rPr>
      </w:pPr>
      <w:r w:rsidRPr="0016186C">
        <w:rPr>
          <w:rFonts w:eastAsia="Calibri"/>
          <w:b/>
          <w:lang w:val="en-US" w:eastAsia="en-US"/>
        </w:rPr>
        <w:t>INTRODUCTION</w:t>
      </w:r>
    </w:p>
    <w:p w:rsidR="00A41A48" w:rsidRDefault="00A41A48" w:rsidP="00980CD4">
      <w:pPr>
        <w:ind w:firstLine="284"/>
        <w:jc w:val="both"/>
        <w:rPr>
          <w:sz w:val="20"/>
          <w:szCs w:val="20"/>
          <w:lang w:val="en-US"/>
        </w:rPr>
      </w:pPr>
      <w:r w:rsidRPr="00A41A48">
        <w:rPr>
          <w:sz w:val="20"/>
          <w:szCs w:val="20"/>
          <w:lang w:val="en-US"/>
        </w:rPr>
        <w:t>In recent years, the increasing global demand for food has contributed to a substantial rise in food prices. Addressing this challenge necessitates, first, a reduction in the cost of energy resources utilized in food production, as well as the accelerated adoption of energy-efficient agricultural machinery. In this context, the Republic of Uzbekistan has implemented the Agricultural Development Strategy for the period 2020–2030 [1]. The strategy underscores the importance of deploying high-performance modern agricultural machinery and equipment to support the intensive and sustainable development of the agricultural sector.</w:t>
      </w:r>
    </w:p>
    <w:p w:rsidR="00A41A48" w:rsidRPr="00A41A48" w:rsidRDefault="00A41A48" w:rsidP="00980CD4">
      <w:pPr>
        <w:ind w:firstLine="284"/>
        <w:jc w:val="both"/>
        <w:rPr>
          <w:rFonts w:eastAsia="Calibri"/>
          <w:b/>
          <w:sz w:val="20"/>
          <w:szCs w:val="20"/>
          <w:lang w:val="en-US" w:eastAsia="en-US"/>
        </w:rPr>
      </w:pPr>
      <w:r w:rsidRPr="00A41A48">
        <w:rPr>
          <w:sz w:val="20"/>
          <w:szCs w:val="20"/>
          <w:lang w:val="en-US"/>
        </w:rPr>
        <w:t>According to studies reported in the technical literature, approximately 40–45% of the power generated by modern tractor engines is consumed by onboard systems [2</w:t>
      </w:r>
      <w:r w:rsidR="002C7EF2">
        <w:rPr>
          <w:sz w:val="20"/>
          <w:szCs w:val="20"/>
          <w:lang w:val="en-US"/>
        </w:rPr>
        <w:t>-</w:t>
      </w:r>
      <w:r w:rsidR="00103F82">
        <w:rPr>
          <w:sz w:val="20"/>
          <w:szCs w:val="20"/>
          <w:lang w:val="en-US"/>
        </w:rPr>
        <w:t>3]</w:t>
      </w:r>
      <w:r w:rsidRPr="00A41A48">
        <w:rPr>
          <w:sz w:val="20"/>
          <w:szCs w:val="20"/>
          <w:lang w:val="en-US"/>
        </w:rPr>
        <w:t>.</w:t>
      </w:r>
    </w:p>
    <w:p w:rsidR="00A41A48" w:rsidRPr="007B1BE8" w:rsidRDefault="007B1BE8" w:rsidP="00980CD4">
      <w:pPr>
        <w:ind w:firstLine="284"/>
        <w:jc w:val="both"/>
        <w:rPr>
          <w:rFonts w:eastAsia="Calibri"/>
          <w:b/>
          <w:sz w:val="20"/>
          <w:szCs w:val="20"/>
          <w:lang w:val="en-US" w:eastAsia="en-US"/>
        </w:rPr>
      </w:pPr>
      <w:r w:rsidRPr="007B1BE8">
        <w:rPr>
          <w:sz w:val="20"/>
          <w:szCs w:val="20"/>
          <w:lang w:val="en-US"/>
        </w:rPr>
        <w:t>A portion of the tractor’s power is expended to overcome inertial forces during acceleration. However, most agricultural operations are typically performed under steady-state operating conditions [2</w:t>
      </w:r>
      <w:r w:rsidR="002C7EF2">
        <w:rPr>
          <w:sz w:val="20"/>
          <w:szCs w:val="20"/>
          <w:lang w:val="en-US"/>
        </w:rPr>
        <w:t>-5]</w:t>
      </w:r>
      <w:r w:rsidRPr="007B1BE8">
        <w:rPr>
          <w:sz w:val="20"/>
          <w:szCs w:val="20"/>
          <w:lang w:val="en-US"/>
        </w:rPr>
        <w:t>.</w:t>
      </w:r>
      <w:r w:rsidRPr="007B1BE8">
        <w:rPr>
          <w:lang w:val="en-US"/>
        </w:rPr>
        <w:t xml:space="preserve"> </w:t>
      </w:r>
      <w:r w:rsidRPr="007B1BE8">
        <w:rPr>
          <w:sz w:val="20"/>
          <w:szCs w:val="20"/>
          <w:lang w:val="en-US"/>
        </w:rPr>
        <w:t xml:space="preserve">Under steady-state conditions, the tractor’s inertial forces and angular acceleration are zero. However, variations in field topography and soil resistance result in non-uniform tractor motion. Consequently, angular acceleration represents a key parameter in the assessment of tractor </w:t>
      </w:r>
      <w:proofErr w:type="gramStart"/>
      <w:r w:rsidRPr="007B1BE8">
        <w:rPr>
          <w:sz w:val="20"/>
          <w:szCs w:val="20"/>
          <w:lang w:val="en-US"/>
        </w:rPr>
        <w:t>power</w:t>
      </w:r>
      <w:r w:rsidR="002C7EF2">
        <w:rPr>
          <w:sz w:val="20"/>
          <w:szCs w:val="20"/>
          <w:lang w:val="en-US"/>
        </w:rPr>
        <w:t>[</w:t>
      </w:r>
      <w:proofErr w:type="gramEnd"/>
      <w:r w:rsidR="002C7EF2">
        <w:rPr>
          <w:sz w:val="20"/>
          <w:szCs w:val="20"/>
          <w:lang w:val="en-US"/>
        </w:rPr>
        <w:t>6-8]</w:t>
      </w:r>
      <w:r w:rsidRPr="007B1BE8">
        <w:rPr>
          <w:sz w:val="20"/>
          <w:szCs w:val="20"/>
          <w:lang w:val="en-US"/>
        </w:rPr>
        <w:t>.</w:t>
      </w:r>
    </w:p>
    <w:p w:rsidR="00A41A48" w:rsidRDefault="007B1BE8" w:rsidP="00980CD4">
      <w:pPr>
        <w:ind w:firstLine="284"/>
        <w:jc w:val="both"/>
        <w:rPr>
          <w:sz w:val="20"/>
          <w:szCs w:val="20"/>
          <w:lang w:val="en-US"/>
        </w:rPr>
      </w:pPr>
      <w:r w:rsidRPr="007B1BE8">
        <w:rPr>
          <w:sz w:val="20"/>
          <w:szCs w:val="20"/>
          <w:lang w:val="en-US"/>
        </w:rPr>
        <w:t>According to [2], increasing travel speed reduces the penetration depth of plows operated by tillage tractors. Uniform plowing depth is therefore a key performance indicator, as it provides consistent conditions for crop development and maturation.</w:t>
      </w:r>
    </w:p>
    <w:p w:rsidR="00BE7046" w:rsidRDefault="00BE7046" w:rsidP="00952494">
      <w:pPr>
        <w:spacing w:before="240" w:after="240"/>
        <w:ind w:firstLine="567"/>
        <w:jc w:val="center"/>
        <w:rPr>
          <w:b/>
          <w:lang w:val="en-US"/>
        </w:rPr>
      </w:pPr>
      <w:r w:rsidRPr="00BE7046">
        <w:rPr>
          <w:b/>
          <w:lang w:val="en-US"/>
        </w:rPr>
        <w:t>RELATED RESEARCH WORKS</w:t>
      </w:r>
    </w:p>
    <w:p w:rsidR="00A41A48" w:rsidRDefault="00BE7046" w:rsidP="00952494">
      <w:pPr>
        <w:ind w:firstLine="284"/>
        <w:jc w:val="both"/>
        <w:rPr>
          <w:sz w:val="20"/>
          <w:szCs w:val="20"/>
          <w:lang w:val="en-US"/>
        </w:rPr>
      </w:pPr>
      <w:r w:rsidRPr="00BE7046">
        <w:rPr>
          <w:sz w:val="20"/>
          <w:szCs w:val="20"/>
          <w:lang w:val="en-US"/>
        </w:rPr>
        <w:t>Recent research has focused on the development of angular acceleration sensors for measur</w:t>
      </w:r>
      <w:r w:rsidR="008E3E97">
        <w:rPr>
          <w:sz w:val="20"/>
          <w:szCs w:val="20"/>
          <w:lang w:val="en-US"/>
        </w:rPr>
        <w:t xml:space="preserve">ement </w:t>
      </w:r>
      <w:r w:rsidRPr="00BE7046">
        <w:rPr>
          <w:sz w:val="20"/>
          <w:szCs w:val="20"/>
          <w:lang w:val="en-US"/>
        </w:rPr>
        <w:t xml:space="preserve">the actual power transmitted by agricultural tractors to external implements. For agricultural tractors, the power and torque at </w:t>
      </w:r>
      <w:r w:rsidRPr="00BE7046">
        <w:rPr>
          <w:sz w:val="20"/>
          <w:szCs w:val="20"/>
          <w:lang w:val="en-US"/>
        </w:rPr>
        <w:lastRenderedPageBreak/>
        <w:t>the power take-off (PTO) shaft represent key technical characteristics, as they directly influence tractor performance and cost. Consequently, a variety of angular acceleration sensor designs based on different operating principles has been proposed for the measurement of power and torque [</w:t>
      </w:r>
      <w:r w:rsidR="009B4AF2">
        <w:rPr>
          <w:sz w:val="20"/>
          <w:szCs w:val="20"/>
          <w:lang w:val="en-US"/>
        </w:rPr>
        <w:t>9</w:t>
      </w:r>
      <w:r w:rsidR="00A67D86">
        <w:rPr>
          <w:sz w:val="20"/>
          <w:szCs w:val="20"/>
          <w:lang w:val="en-US"/>
        </w:rPr>
        <w:t>-</w:t>
      </w:r>
      <w:r w:rsidR="009B4AF2">
        <w:rPr>
          <w:sz w:val="20"/>
          <w:szCs w:val="20"/>
          <w:lang w:val="en-US"/>
        </w:rPr>
        <w:t>13</w:t>
      </w:r>
      <w:r w:rsidRPr="00BE7046">
        <w:rPr>
          <w:sz w:val="20"/>
          <w:szCs w:val="20"/>
          <w:lang w:val="en-US"/>
        </w:rPr>
        <w:t>].</w:t>
      </w:r>
    </w:p>
    <w:p w:rsidR="005A3431" w:rsidRPr="005A3431" w:rsidRDefault="005A3431" w:rsidP="00952494">
      <w:pPr>
        <w:ind w:firstLine="284"/>
        <w:jc w:val="both"/>
        <w:rPr>
          <w:rFonts w:eastAsia="Calibri"/>
          <w:b/>
          <w:sz w:val="20"/>
          <w:szCs w:val="20"/>
          <w:lang w:val="en-US" w:eastAsia="en-US"/>
        </w:rPr>
      </w:pPr>
      <w:r w:rsidRPr="005A3431">
        <w:rPr>
          <w:sz w:val="20"/>
          <w:szCs w:val="20"/>
          <w:lang w:val="en-US"/>
        </w:rPr>
        <w:t>Non-contact methods for measur</w:t>
      </w:r>
      <w:r w:rsidR="008E3E97">
        <w:rPr>
          <w:sz w:val="20"/>
          <w:szCs w:val="20"/>
          <w:lang w:val="en-US"/>
        </w:rPr>
        <w:t xml:space="preserve">ement </w:t>
      </w:r>
      <w:r w:rsidRPr="005A3431">
        <w:rPr>
          <w:sz w:val="20"/>
          <w:szCs w:val="20"/>
          <w:lang w:val="en-US"/>
        </w:rPr>
        <w:t>angular acceleration have been developed, among which electromagnetic angular acceler</w:t>
      </w:r>
      <w:r w:rsidR="00D46E89">
        <w:rPr>
          <w:sz w:val="20"/>
          <w:szCs w:val="20"/>
          <w:lang w:val="en-US"/>
        </w:rPr>
        <w:t>ation sensors are widely used [14</w:t>
      </w:r>
      <w:r w:rsidRPr="005A3431">
        <w:rPr>
          <w:sz w:val="20"/>
          <w:szCs w:val="20"/>
          <w:lang w:val="en-US"/>
        </w:rPr>
        <w:t>]. Such sensors typically consist of excitation and measurement coils, a stator and a rotor, an inductive angular sensor, and a spring. To extend the service life of the device, the spring is integrated into the stator excitation coil. In addition, the rotor comprises two toothed rings that mechanicall</w:t>
      </w:r>
      <w:r w:rsidR="00A3267E">
        <w:rPr>
          <w:sz w:val="20"/>
          <w:szCs w:val="20"/>
          <w:lang w:val="en-US"/>
        </w:rPr>
        <w:t>y couple the stator and rotor [14</w:t>
      </w:r>
      <w:r w:rsidRPr="005A3431">
        <w:rPr>
          <w:sz w:val="20"/>
          <w:szCs w:val="20"/>
          <w:lang w:val="en-US"/>
        </w:rPr>
        <w:t>].</w:t>
      </w:r>
    </w:p>
    <w:p w:rsidR="007B1BE8" w:rsidRPr="008E3E97" w:rsidRDefault="008E3E97" w:rsidP="00952494">
      <w:pPr>
        <w:ind w:firstLine="284"/>
        <w:jc w:val="both"/>
        <w:rPr>
          <w:rFonts w:eastAsia="Calibri"/>
          <w:b/>
          <w:sz w:val="20"/>
          <w:szCs w:val="20"/>
          <w:lang w:val="en-US" w:eastAsia="en-US"/>
        </w:rPr>
      </w:pPr>
      <w:r w:rsidRPr="008E3E97">
        <w:rPr>
          <w:sz w:val="20"/>
          <w:szCs w:val="20"/>
          <w:lang w:val="en-US"/>
        </w:rPr>
        <w:t xml:space="preserve">The primary limitation of this design is its low reliability, resulting from manufacturing complexity and the presence of a toothed rotating element. A related angular acceleration sensor based on the transformer principle employs a </w:t>
      </w:r>
      <w:r>
        <w:rPr>
          <w:sz w:val="20"/>
          <w:szCs w:val="20"/>
        </w:rPr>
        <w:t>П</w:t>
      </w:r>
      <w:r w:rsidRPr="008E3E97">
        <w:rPr>
          <w:sz w:val="20"/>
          <w:szCs w:val="20"/>
          <w:lang w:val="en-US"/>
        </w:rPr>
        <w:t xml:space="preserve">-shaped magnetic core with a wound coil, while the rotor is positioned opposite the stator poles. The rotor coils are interconnected, with one stator coil driven by a high-frequency generator and the other </w:t>
      </w:r>
      <w:r w:rsidR="00D46E89">
        <w:rPr>
          <w:sz w:val="20"/>
          <w:szCs w:val="20"/>
          <w:lang w:val="en-US"/>
        </w:rPr>
        <w:t>connected to a recording unit [15</w:t>
      </w:r>
      <w:r w:rsidRPr="008E3E97">
        <w:rPr>
          <w:sz w:val="20"/>
          <w:szCs w:val="20"/>
          <w:lang w:val="en-US"/>
        </w:rPr>
        <w:t>].</w:t>
      </w:r>
    </w:p>
    <w:p w:rsidR="00BE7046" w:rsidRPr="005E7BCB" w:rsidRDefault="005E7BCB" w:rsidP="00952494">
      <w:pPr>
        <w:pStyle w:val="a5"/>
        <w:spacing w:before="0" w:beforeAutospacing="0" w:after="0" w:afterAutospacing="0"/>
        <w:ind w:firstLine="284"/>
        <w:jc w:val="both"/>
        <w:rPr>
          <w:sz w:val="20"/>
          <w:szCs w:val="20"/>
          <w:lang w:val="en-US"/>
        </w:rPr>
      </w:pPr>
      <w:r w:rsidRPr="005E7BCB">
        <w:rPr>
          <w:sz w:val="20"/>
          <w:szCs w:val="20"/>
          <w:lang w:val="en-US"/>
        </w:rPr>
        <w:t xml:space="preserve">This type of angular acceleration sensor has a relatively complex design and requires a stable power supply. In the capacitive sensor proposed by Yu. I. Getman, Kogan, and L. B. Masandilov, variations in angular velocity cause deformation of an elastic element, thereby changing the relative rotation between the inertial disk and the shaft and altering the spacing between capacitor plates. The resulting change in capacitance produces a variation in </w:t>
      </w:r>
      <w:r w:rsidR="00D46E89">
        <w:rPr>
          <w:sz w:val="20"/>
          <w:szCs w:val="20"/>
          <w:lang w:val="en-US"/>
        </w:rPr>
        <w:t>the output voltage frequency [16</w:t>
      </w:r>
      <w:r w:rsidRPr="005E7BCB">
        <w:rPr>
          <w:sz w:val="20"/>
          <w:szCs w:val="20"/>
          <w:lang w:val="en-US"/>
        </w:rPr>
        <w:t>].</w:t>
      </w:r>
    </w:p>
    <w:p w:rsidR="008E3E97" w:rsidRPr="006F217B" w:rsidRDefault="006F217B" w:rsidP="00952494">
      <w:pPr>
        <w:pStyle w:val="a5"/>
        <w:spacing w:before="0" w:beforeAutospacing="0" w:after="0" w:afterAutospacing="0"/>
        <w:ind w:firstLine="284"/>
        <w:jc w:val="both"/>
        <w:rPr>
          <w:sz w:val="20"/>
          <w:szCs w:val="20"/>
          <w:lang w:val="en-US"/>
        </w:rPr>
      </w:pPr>
      <w:r w:rsidRPr="006F217B">
        <w:rPr>
          <w:sz w:val="20"/>
          <w:szCs w:val="20"/>
          <w:lang w:val="en-US"/>
        </w:rPr>
        <w:t>One of the primary limitations of this sensor is the sensitivity of its capacitance to environmental factors. Accurate capacitance measurements require consideration of the dielectric properties of the surrounding medium. M. F. Zaripov and N. U. Mallin developed sensors based on the induction principle. These sensors operate by detecting changes in the electromotive force in the output circuit, which occur when angular acceleration causes displacement of the inertial mass and alters the number of t</w:t>
      </w:r>
      <w:r w:rsidR="00D46E89">
        <w:rPr>
          <w:sz w:val="20"/>
          <w:szCs w:val="20"/>
          <w:lang w:val="en-US"/>
        </w:rPr>
        <w:t>urns in the measurement coil [17</w:t>
      </w:r>
      <w:r w:rsidRPr="006F217B">
        <w:rPr>
          <w:sz w:val="20"/>
          <w:szCs w:val="20"/>
          <w:lang w:val="en-US"/>
        </w:rPr>
        <w:t>].</w:t>
      </w:r>
    </w:p>
    <w:p w:rsidR="008E3E97" w:rsidRPr="00DE6503" w:rsidRDefault="00DE6503" w:rsidP="00952494">
      <w:pPr>
        <w:pStyle w:val="a5"/>
        <w:spacing w:before="0" w:beforeAutospacing="0" w:after="0" w:afterAutospacing="0"/>
        <w:ind w:firstLine="284"/>
        <w:jc w:val="both"/>
        <w:rPr>
          <w:sz w:val="20"/>
          <w:szCs w:val="20"/>
          <w:lang w:val="en-US"/>
        </w:rPr>
      </w:pPr>
      <w:r w:rsidRPr="00DE6503">
        <w:rPr>
          <w:sz w:val="20"/>
          <w:szCs w:val="20"/>
          <w:lang w:val="en-US"/>
        </w:rPr>
        <w:t>However, due to the nonlinearity of its static characteristics, this sensor exhibits low measurement accuracy. In addition, angular acceleration sensors operating on the electromagnetic p</w:t>
      </w:r>
      <w:r w:rsidR="00D46E89">
        <w:rPr>
          <w:sz w:val="20"/>
          <w:szCs w:val="20"/>
          <w:lang w:val="en-US"/>
        </w:rPr>
        <w:t>rinciple have been developed [18</w:t>
      </w:r>
      <w:r w:rsidRPr="00DE6503">
        <w:rPr>
          <w:sz w:val="20"/>
          <w:szCs w:val="20"/>
          <w:lang w:val="en-US"/>
        </w:rPr>
        <w:t>].These sensors typically comprise a magnetic core, an inertial mass mounted on the core, and excitation and measurement coils. Their operation is based on the displacement of the inertial mass under angular acceleration, which induces an electromotive force in the measurement coil.</w:t>
      </w:r>
    </w:p>
    <w:p w:rsidR="008E3E97"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Limitations of this sensor is that the inertial mass is composed of two different materials, which causes the center of mass to shift from the geometric center. This displacement, in turn, results in measurement errors.</w:t>
      </w:r>
    </w:p>
    <w:p w:rsidR="008E3E97"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S. A. Orlov, L. A. Zavinovsky, and A. I. Skalon proposed the use of an angular accelerometer for measur</w:t>
      </w:r>
      <w:r>
        <w:rPr>
          <w:sz w:val="20"/>
          <w:szCs w:val="20"/>
          <w:lang w:val="en-US"/>
        </w:rPr>
        <w:t xml:space="preserve">ement </w:t>
      </w:r>
      <w:r w:rsidRPr="00D718A6">
        <w:rPr>
          <w:sz w:val="20"/>
          <w:szCs w:val="20"/>
          <w:lang w:val="en-US"/>
        </w:rPr>
        <w:t xml:space="preserve">angular acceleration. In their design, the inertial mass oscillates about the sensitivity axis in response to angular acceleration. The input motion produces temporary modulation of the output signal, and feedback within the sensor is </w:t>
      </w:r>
      <w:r w:rsidR="00D46E89">
        <w:rPr>
          <w:sz w:val="20"/>
          <w:szCs w:val="20"/>
          <w:lang w:val="en-US"/>
        </w:rPr>
        <w:t>implemented via a comparator [19</w:t>
      </w:r>
      <w:r w:rsidRPr="00D718A6">
        <w:rPr>
          <w:sz w:val="20"/>
          <w:szCs w:val="20"/>
          <w:lang w:val="en-US"/>
        </w:rPr>
        <w:t>].</w:t>
      </w:r>
    </w:p>
    <w:p w:rsidR="008E3E97"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The complexity of the angular accelerometer design, combined with changes in the properties of its permanent magnet due to temperature rise, contributes to increased measurement errors.</w:t>
      </w:r>
    </w:p>
    <w:p w:rsidR="006F217B"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In liquid-rotor-based angular acceleration sensors, the electrical conductivity and viscosity of the workin</w:t>
      </w:r>
      <w:r w:rsidR="00D46E89">
        <w:rPr>
          <w:sz w:val="20"/>
          <w:szCs w:val="20"/>
          <w:lang w:val="en-US"/>
        </w:rPr>
        <w:t>g fluid play a critical role [20</w:t>
      </w:r>
      <w:r w:rsidRPr="00D718A6">
        <w:rPr>
          <w:sz w:val="20"/>
          <w:szCs w:val="20"/>
          <w:lang w:val="en-US"/>
        </w:rPr>
        <w:t xml:space="preserve">]. The sensor’s detector element comprises a dielectric cylinder, within which metal electrodes are positioned diametrically opposite each other. Excitation coils are arranged above and below the electrodes, perpendicular to their plane, while the annular gap is filled with the working fluid. An electrical signal, proportional to angular acceleration, is transmitted through the fluid to the electrodes and then to the measurement device, producing an output signal corresponding to angular acceleration. In sensors operating on the electrokinetic principle, a liquid medium is also employed, where a potential difference arises because of electrokinetic </w:t>
      </w:r>
      <w:r w:rsidR="00D46E89">
        <w:rPr>
          <w:sz w:val="20"/>
          <w:szCs w:val="20"/>
          <w:lang w:val="en-US"/>
        </w:rPr>
        <w:t>effects [21</w:t>
      </w:r>
      <w:r w:rsidRPr="00D718A6">
        <w:rPr>
          <w:sz w:val="20"/>
          <w:szCs w:val="20"/>
          <w:lang w:val="en-US"/>
        </w:rPr>
        <w:t>].</w:t>
      </w:r>
    </w:p>
    <w:p w:rsidR="006F217B"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However, the primary limitation of liquid-based sensors is that the working fluid does not immediately return to its equilibrium state. In inductive-type angular acceleration sensors, the viscosity of the ferromagnetic fluid has been observed</w:t>
      </w:r>
      <w:r w:rsidR="00DB3B16">
        <w:rPr>
          <w:sz w:val="20"/>
          <w:szCs w:val="20"/>
          <w:lang w:val="en-US"/>
        </w:rPr>
        <w:t xml:space="preserve"> to vary with the current [21</w:t>
      </w:r>
      <w:r w:rsidRPr="00D718A6">
        <w:rPr>
          <w:sz w:val="20"/>
          <w:szCs w:val="20"/>
          <w:lang w:val="en-US"/>
        </w:rPr>
        <w:t>]. In these sensors, angular acceleration is converted into changes in the inductance of a coil. Measurement errors caused by mechanical play prevent the rotating magnetic core from maintaining fully synchronous rotation.</w:t>
      </w:r>
    </w:p>
    <w:p w:rsidR="00DE6503" w:rsidRPr="00D718A6" w:rsidRDefault="00D718A6" w:rsidP="00952494">
      <w:pPr>
        <w:pStyle w:val="a5"/>
        <w:spacing w:before="0" w:beforeAutospacing="0" w:after="0" w:afterAutospacing="0"/>
        <w:ind w:firstLine="284"/>
        <w:jc w:val="both"/>
        <w:rPr>
          <w:sz w:val="20"/>
          <w:szCs w:val="20"/>
          <w:lang w:val="en-US"/>
        </w:rPr>
      </w:pPr>
      <w:r w:rsidRPr="00D718A6">
        <w:rPr>
          <w:sz w:val="20"/>
          <w:szCs w:val="20"/>
          <w:lang w:val="en-US"/>
        </w:rPr>
        <w:t>In this type of sensor, angular acceleration causes the movable casing of the sensitive element to deflect by a certain angle, resulting in a change in the senso</w:t>
      </w:r>
      <w:r w:rsidR="00DB3B16">
        <w:rPr>
          <w:sz w:val="20"/>
          <w:szCs w:val="20"/>
          <w:lang w:val="en-US"/>
        </w:rPr>
        <w:t>r’s differential capacitance [22-23</w:t>
      </w:r>
      <w:r w:rsidRPr="00D718A6">
        <w:rPr>
          <w:sz w:val="20"/>
          <w:szCs w:val="20"/>
          <w:lang w:val="en-US"/>
        </w:rPr>
        <w:t xml:space="preserve">]. When the balance of the alternating-current bridge is disturbed, the resulting signal is processed by the sensor electronics and applied to the bridge coils, with the voltage adjusted according to the load resistance </w:t>
      </w:r>
      <w:r w:rsidRPr="00D718A6">
        <w:rPr>
          <w:rStyle w:val="katex-mathml"/>
          <w:sz w:val="20"/>
          <w:szCs w:val="20"/>
          <w:lang w:val="en-US"/>
        </w:rPr>
        <w:t>Rn</w:t>
      </w:r>
      <w:r w:rsidRPr="00D718A6">
        <w:rPr>
          <w:rStyle w:val="vlist-s"/>
          <w:sz w:val="20"/>
          <w:szCs w:val="20"/>
          <w:lang w:val="en-US"/>
        </w:rPr>
        <w:t>​</w:t>
      </w:r>
      <w:r w:rsidRPr="00D718A6">
        <w:rPr>
          <w:sz w:val="20"/>
          <w:szCs w:val="20"/>
          <w:lang w:val="en-US"/>
        </w:rPr>
        <w:t>. The construction of this sensor is relatively complex, comprising numerous small components. Furthermore, the flexible elements are temperature-dependent, which may lead to measurement errors.</w:t>
      </w:r>
    </w:p>
    <w:p w:rsidR="00E81F5B" w:rsidRDefault="003B0059" w:rsidP="00952494">
      <w:pPr>
        <w:pStyle w:val="a5"/>
        <w:spacing w:before="0" w:beforeAutospacing="0" w:after="0" w:afterAutospacing="0"/>
        <w:ind w:firstLine="284"/>
        <w:jc w:val="both"/>
        <w:rPr>
          <w:sz w:val="20"/>
          <w:szCs w:val="20"/>
          <w:lang w:val="en-US"/>
        </w:rPr>
      </w:pPr>
      <w:r w:rsidRPr="003B0059">
        <w:rPr>
          <w:sz w:val="20"/>
          <w:szCs w:val="20"/>
          <w:lang w:val="en-US"/>
        </w:rPr>
        <w:lastRenderedPageBreak/>
        <w:t>Another study utilized measurements of torque and angular velocit</w:t>
      </w:r>
      <w:r w:rsidR="00DB3B16">
        <w:rPr>
          <w:sz w:val="20"/>
          <w:szCs w:val="20"/>
          <w:lang w:val="en-US"/>
        </w:rPr>
        <w:t>y to determine tractor power [25</w:t>
      </w:r>
      <w:r w:rsidRPr="003B0059">
        <w:rPr>
          <w:sz w:val="20"/>
          <w:szCs w:val="20"/>
          <w:lang w:val="en-US"/>
        </w:rPr>
        <w:t xml:space="preserve">]. In this approach, the device resembles a vehicle disc brake system, with a load artificially applied to the power take-off (PTO) shaft while torque and angular velocity are measured. </w:t>
      </w:r>
      <w:r w:rsidRPr="00A67D86">
        <w:rPr>
          <w:sz w:val="20"/>
          <w:szCs w:val="20"/>
          <w:lang w:val="en-US"/>
        </w:rPr>
        <w:t>Tractor power is subsequently calculated using the following formula:</w:t>
      </w:r>
    </w:p>
    <w:p w:rsidR="00952494" w:rsidRDefault="00952494" w:rsidP="00952494">
      <w:pPr>
        <w:pStyle w:val="a5"/>
        <w:spacing w:before="0" w:beforeAutospacing="0" w:after="0" w:afterAutospacing="0"/>
        <w:ind w:firstLine="284"/>
        <w:jc w:val="both"/>
        <w:rPr>
          <w:sz w:val="20"/>
          <w:szCs w:val="20"/>
          <w:lang w:val="en-US"/>
        </w:rPr>
      </w:pPr>
    </w:p>
    <w:p w:rsidR="00171557" w:rsidRPr="007E4450" w:rsidRDefault="00171557" w:rsidP="00952494">
      <w:pPr>
        <w:pStyle w:val="a5"/>
        <w:spacing w:before="0" w:beforeAutospacing="0" w:after="0" w:afterAutospacing="0"/>
        <w:ind w:firstLine="284"/>
        <w:jc w:val="right"/>
        <w:rPr>
          <w:rFonts w:eastAsiaTheme="minorEastAsia"/>
          <w:bCs/>
          <w:sz w:val="20"/>
          <w:szCs w:val="20"/>
          <w:lang w:val="en-US"/>
        </w:rPr>
      </w:pPr>
      <m:oMath>
        <m:r>
          <w:rPr>
            <w:rFonts w:ascii="Cambria Math" w:hAnsi="Cambria Math"/>
            <w:sz w:val="22"/>
            <w:szCs w:val="28"/>
          </w:rPr>
          <m:t>P</m:t>
        </m:r>
        <m:r>
          <w:rPr>
            <w:rFonts w:ascii="Cambria Math" w:hAnsi="Cambria Math"/>
            <w:sz w:val="22"/>
            <w:szCs w:val="28"/>
            <w:lang w:val="en-US"/>
          </w:rPr>
          <m:t>=</m:t>
        </m:r>
        <m:f>
          <m:fPr>
            <m:ctrlPr>
              <w:rPr>
                <w:rFonts w:ascii="Cambria Math" w:hAnsi="Cambria Math"/>
                <w:bCs/>
                <w:i/>
                <w:sz w:val="22"/>
                <w:szCs w:val="28"/>
              </w:rPr>
            </m:ctrlPr>
          </m:fPr>
          <m:num>
            <m:r>
              <w:rPr>
                <w:rFonts w:ascii="Cambria Math" w:hAnsi="Cambria Math"/>
                <w:sz w:val="22"/>
                <w:szCs w:val="28"/>
                <w:lang w:val="en-US"/>
              </w:rPr>
              <m:t>2</m:t>
            </m:r>
            <m:r>
              <w:rPr>
                <w:rFonts w:ascii="Cambria Math" w:hAnsi="Cambria Math"/>
                <w:sz w:val="22"/>
                <w:szCs w:val="28"/>
              </w:rPr>
              <m:t>πNT</m:t>
            </m:r>
          </m:num>
          <m:den>
            <m:r>
              <w:rPr>
                <w:rFonts w:ascii="Cambria Math" w:hAnsi="Cambria Math"/>
                <w:sz w:val="22"/>
                <w:szCs w:val="28"/>
                <w:lang w:val="en-US"/>
              </w:rPr>
              <m:t>60000</m:t>
            </m:r>
          </m:den>
        </m:f>
      </m:oMath>
      <w:r w:rsidRPr="003B0059">
        <w:rPr>
          <w:rFonts w:eastAsiaTheme="minorEastAsia"/>
          <w:bCs/>
          <w:sz w:val="28"/>
          <w:szCs w:val="28"/>
          <w:lang w:val="en-US"/>
        </w:rPr>
        <w:t xml:space="preserve">, </w:t>
      </w:r>
      <w:r w:rsidRPr="007E4450">
        <w:rPr>
          <w:rFonts w:eastAsiaTheme="minorEastAsia"/>
          <w:bCs/>
          <w:sz w:val="20"/>
          <w:szCs w:val="20"/>
          <w:lang w:val="en-US"/>
        </w:rPr>
        <w:tab/>
      </w:r>
      <w:r w:rsidRPr="007E4450">
        <w:rPr>
          <w:rFonts w:eastAsiaTheme="minorEastAsia"/>
          <w:bCs/>
          <w:sz w:val="20"/>
          <w:szCs w:val="20"/>
          <w:lang w:val="en-US"/>
        </w:rPr>
        <w:tab/>
      </w:r>
      <w:r w:rsidRPr="007E4450">
        <w:rPr>
          <w:rFonts w:eastAsiaTheme="minorEastAsia"/>
          <w:bCs/>
          <w:sz w:val="20"/>
          <w:szCs w:val="20"/>
          <w:lang w:val="en-US"/>
        </w:rPr>
        <w:tab/>
      </w:r>
      <w:r w:rsidRPr="007E4450">
        <w:rPr>
          <w:rFonts w:eastAsiaTheme="minorEastAsia"/>
          <w:bCs/>
          <w:sz w:val="20"/>
          <w:szCs w:val="20"/>
          <w:lang w:val="en-US"/>
        </w:rPr>
        <w:tab/>
      </w:r>
      <w:r w:rsidRPr="007E4450">
        <w:rPr>
          <w:rFonts w:eastAsiaTheme="minorEastAsia"/>
          <w:bCs/>
          <w:sz w:val="20"/>
          <w:szCs w:val="20"/>
          <w:lang w:val="en-US"/>
        </w:rPr>
        <w:tab/>
      </w:r>
      <w:r w:rsidRPr="007E4450">
        <w:rPr>
          <w:rFonts w:eastAsiaTheme="minorEastAsia"/>
          <w:bCs/>
          <w:sz w:val="20"/>
          <w:szCs w:val="20"/>
          <w:lang w:val="en-US"/>
        </w:rPr>
        <w:tab/>
        <w:t>(1)</w:t>
      </w:r>
    </w:p>
    <w:p w:rsidR="00952494" w:rsidRDefault="00952494" w:rsidP="00952494">
      <w:pPr>
        <w:pStyle w:val="a5"/>
        <w:spacing w:before="0" w:beforeAutospacing="0" w:after="0" w:afterAutospacing="0"/>
        <w:ind w:firstLine="284"/>
        <w:rPr>
          <w:sz w:val="20"/>
          <w:szCs w:val="20"/>
          <w:lang w:val="en-US"/>
        </w:rPr>
      </w:pPr>
    </w:p>
    <w:p w:rsidR="00171557" w:rsidRDefault="003B0059" w:rsidP="00952494">
      <w:pPr>
        <w:pStyle w:val="a5"/>
        <w:spacing w:before="0" w:beforeAutospacing="0" w:after="0" w:afterAutospacing="0"/>
        <w:ind w:firstLine="284"/>
        <w:rPr>
          <w:sz w:val="20"/>
          <w:szCs w:val="20"/>
          <w:lang w:val="en-US"/>
        </w:rPr>
      </w:pPr>
      <w:r>
        <w:rPr>
          <w:sz w:val="20"/>
          <w:szCs w:val="20"/>
          <w:lang w:val="en-US"/>
        </w:rPr>
        <w:t>where</w:t>
      </w:r>
      <w:r w:rsidR="00171557" w:rsidRPr="007E4450">
        <w:rPr>
          <w:sz w:val="20"/>
          <w:szCs w:val="20"/>
          <w:lang w:val="en-US"/>
        </w:rPr>
        <w:t xml:space="preserve">, </w:t>
      </w:r>
      <w:r w:rsidR="00171557" w:rsidRPr="007E4450">
        <w:rPr>
          <w:rStyle w:val="katex-mathml"/>
          <w:sz w:val="20"/>
          <w:szCs w:val="20"/>
          <w:lang w:val="en-US"/>
        </w:rPr>
        <w:t>N</w:t>
      </w:r>
      <w:r w:rsidR="00171557" w:rsidRPr="007E4450">
        <w:rPr>
          <w:sz w:val="20"/>
          <w:szCs w:val="20"/>
          <w:lang w:val="en-US"/>
        </w:rPr>
        <w:t xml:space="preserve"> </w:t>
      </w:r>
      <w:r>
        <w:rPr>
          <w:sz w:val="20"/>
          <w:szCs w:val="20"/>
          <w:lang w:val="en-US"/>
        </w:rPr>
        <w:t xml:space="preserve">- </w:t>
      </w:r>
      <w:r w:rsidR="00171557" w:rsidRPr="007E4450">
        <w:rPr>
          <w:sz w:val="20"/>
          <w:szCs w:val="20"/>
          <w:lang w:val="en-US"/>
        </w:rPr>
        <w:t xml:space="preserve">is the rotational speed of the shaft, and </w:t>
      </w:r>
      <w:r w:rsidR="00171557" w:rsidRPr="007E4450">
        <w:rPr>
          <w:rStyle w:val="katex-mathml"/>
          <w:sz w:val="20"/>
          <w:szCs w:val="20"/>
          <w:lang w:val="en-US"/>
        </w:rPr>
        <w:t>T</w:t>
      </w:r>
      <w:r w:rsidR="00171557" w:rsidRPr="007E4450">
        <w:rPr>
          <w:sz w:val="20"/>
          <w:szCs w:val="20"/>
          <w:lang w:val="en-US"/>
        </w:rPr>
        <w:t xml:space="preserve"> </w:t>
      </w:r>
      <w:r>
        <w:rPr>
          <w:sz w:val="20"/>
          <w:szCs w:val="20"/>
          <w:lang w:val="en-US"/>
        </w:rPr>
        <w:t xml:space="preserve">- </w:t>
      </w:r>
      <w:r w:rsidR="00171557" w:rsidRPr="007E4450">
        <w:rPr>
          <w:sz w:val="20"/>
          <w:szCs w:val="20"/>
          <w:lang w:val="en-US"/>
        </w:rPr>
        <w:t>is torque.</w:t>
      </w:r>
    </w:p>
    <w:p w:rsidR="003B0059" w:rsidRPr="00DB3B16" w:rsidRDefault="003B0059" w:rsidP="00952494">
      <w:pPr>
        <w:pStyle w:val="a5"/>
        <w:spacing w:before="0" w:beforeAutospacing="0" w:after="0" w:afterAutospacing="0"/>
        <w:ind w:firstLine="284"/>
        <w:jc w:val="both"/>
        <w:rPr>
          <w:sz w:val="20"/>
          <w:szCs w:val="20"/>
          <w:lang w:val="en-US"/>
        </w:rPr>
      </w:pPr>
      <w:r w:rsidRPr="003B0059">
        <w:rPr>
          <w:sz w:val="20"/>
          <w:szCs w:val="20"/>
          <w:lang w:val="en-US"/>
        </w:rPr>
        <w:t>However, this device cannot be employed during actual tractor operation due to its large size and the hazardous nature of the braking process. A torque sensor based on the slip-ring principle is mounted directly on th</w:t>
      </w:r>
      <w:r w:rsidR="00DB3B16">
        <w:rPr>
          <w:sz w:val="20"/>
          <w:szCs w:val="20"/>
          <w:lang w:val="en-US"/>
        </w:rPr>
        <w:t>e power take-off (PTO) shaft [25-27</w:t>
      </w:r>
      <w:r w:rsidRPr="003B0059">
        <w:rPr>
          <w:sz w:val="20"/>
          <w:szCs w:val="20"/>
          <w:lang w:val="en-US"/>
        </w:rPr>
        <w:t>]. A specialized dynamometer is used to calibrate and evaluate its performance, while dedicated software tools facilitate data acquisition and processing. Nevertheless, the sensor’s measurement error</w:t>
      </w:r>
      <w:r w:rsidRPr="00DB3B16">
        <w:rPr>
          <w:sz w:val="20"/>
          <w:szCs w:val="20"/>
          <w:lang w:val="en-US"/>
        </w:rPr>
        <w:t xml:space="preserve"> increases under excessive load, and during prolonged operation, its temperature can rise to as high as 90</w:t>
      </w:r>
      <w:r w:rsidRPr="00DB3B16">
        <w:rPr>
          <w:sz w:val="20"/>
          <w:szCs w:val="20"/>
          <w:vertAlign w:val="superscript"/>
          <w:lang w:val="en-US"/>
        </w:rPr>
        <w:t>0</w:t>
      </w:r>
      <w:r w:rsidRPr="00DB3B16">
        <w:rPr>
          <w:sz w:val="20"/>
          <w:szCs w:val="20"/>
          <w:lang w:val="en-US"/>
        </w:rPr>
        <w:t>C.</w:t>
      </w:r>
    </w:p>
    <w:p w:rsidR="006B60A9" w:rsidRPr="006B60A9" w:rsidRDefault="006B60A9" w:rsidP="00952494">
      <w:pPr>
        <w:pStyle w:val="a5"/>
        <w:spacing w:before="240" w:beforeAutospacing="0" w:after="240" w:afterAutospacing="0"/>
        <w:ind w:firstLine="709"/>
        <w:jc w:val="center"/>
        <w:rPr>
          <w:b/>
          <w:sz w:val="20"/>
          <w:szCs w:val="20"/>
          <w:lang w:val="en-US"/>
        </w:rPr>
      </w:pPr>
      <w:r w:rsidRPr="006B60A9">
        <w:rPr>
          <w:b/>
          <w:lang w:val="en-US"/>
        </w:rPr>
        <w:t>MATERIALS AND METHODS</w:t>
      </w:r>
    </w:p>
    <w:p w:rsidR="006B60A9" w:rsidRPr="00025CA9" w:rsidRDefault="00025CA9" w:rsidP="00952494">
      <w:pPr>
        <w:pStyle w:val="a5"/>
        <w:spacing w:before="0" w:beforeAutospacing="0" w:after="0" w:afterAutospacing="0"/>
        <w:ind w:firstLine="284"/>
        <w:jc w:val="both"/>
        <w:rPr>
          <w:sz w:val="20"/>
          <w:lang w:val="en-US"/>
        </w:rPr>
      </w:pPr>
      <w:r w:rsidRPr="00025CA9">
        <w:rPr>
          <w:sz w:val="20"/>
          <w:lang w:val="en-US"/>
        </w:rPr>
        <w:t xml:space="preserve">Below in Fig. 1 the design of the </w:t>
      </w:r>
      <w:r>
        <w:rPr>
          <w:sz w:val="20"/>
          <w:lang w:val="en-US"/>
        </w:rPr>
        <w:t xml:space="preserve">electromagnetic </w:t>
      </w:r>
      <w:r w:rsidRPr="00025CA9">
        <w:rPr>
          <w:sz w:val="20"/>
          <w:lang w:val="en-US"/>
        </w:rPr>
        <w:t>sensor developed by the author is presented</w:t>
      </w:r>
      <w:r w:rsidR="00A549C2">
        <w:rPr>
          <w:sz w:val="20"/>
          <w:lang w:val="en-US"/>
        </w:rPr>
        <w:t xml:space="preserve"> [</w:t>
      </w:r>
      <w:r w:rsidR="00D46E89">
        <w:rPr>
          <w:sz w:val="20"/>
          <w:lang w:val="en-US"/>
        </w:rPr>
        <w:t>24</w:t>
      </w:r>
      <w:r w:rsidR="00A549C2">
        <w:rPr>
          <w:sz w:val="20"/>
          <w:lang w:val="en-US"/>
        </w:rPr>
        <w:t>]</w:t>
      </w:r>
      <w:r w:rsidRPr="00025CA9">
        <w:rPr>
          <w:sz w:val="20"/>
          <w:lang w:val="en-US"/>
        </w:rPr>
        <w:t>.</w:t>
      </w:r>
    </w:p>
    <w:p w:rsidR="006B60A9" w:rsidRDefault="00025CA9" w:rsidP="00952494">
      <w:pPr>
        <w:pStyle w:val="a5"/>
        <w:spacing w:before="0" w:beforeAutospacing="0" w:after="0" w:afterAutospacing="0"/>
        <w:ind w:firstLine="284"/>
        <w:jc w:val="both"/>
        <w:rPr>
          <w:sz w:val="20"/>
          <w:szCs w:val="20"/>
          <w:lang w:val="en-US"/>
        </w:rPr>
      </w:pPr>
      <w:r w:rsidRPr="00025CA9">
        <w:rPr>
          <w:sz w:val="20"/>
          <w:szCs w:val="20"/>
          <w:lang w:val="en-US"/>
        </w:rPr>
        <w:t xml:space="preserve">The angular acceleration sensor comprises an O-shaped magnetic circuit (1) with a circular cross-section segment (3) formed on a </w:t>
      </w:r>
      <w:r w:rsidR="00A549C2">
        <w:rPr>
          <w:sz w:val="20"/>
          <w:szCs w:val="20"/>
          <w:lang w:val="en-US"/>
        </w:rPr>
        <w:t xml:space="preserve">magnetic </w:t>
      </w:r>
      <w:r w:rsidRPr="00025CA9">
        <w:rPr>
          <w:sz w:val="20"/>
          <w:szCs w:val="20"/>
          <w:lang w:val="en-US"/>
        </w:rPr>
        <w:t>rod (2), which serves as the axis for mounting the inertial mass (4). The inertial mass is fabricated from a soft magnetic material and is divided into four sectors. When subjected to angular acceleration, the magnetic flux path between the magnetic circuit limbs is altered, resulting in a change in the magnetic reluctance of the annular inertial mass, which is given by</w:t>
      </w:r>
    </w:p>
    <w:p w:rsidR="00952494" w:rsidRPr="00025CA9" w:rsidRDefault="00952494" w:rsidP="00952494">
      <w:pPr>
        <w:pStyle w:val="a5"/>
        <w:spacing w:before="0" w:beforeAutospacing="0" w:after="0" w:afterAutospacing="0"/>
        <w:ind w:firstLine="284"/>
        <w:jc w:val="both"/>
        <w:rPr>
          <w:sz w:val="20"/>
          <w:szCs w:val="20"/>
          <w:lang w:val="en-US"/>
        </w:rPr>
      </w:pPr>
    </w:p>
    <w:p w:rsidR="00A549C2" w:rsidRDefault="00000000" w:rsidP="00952494">
      <w:pPr>
        <w:pStyle w:val="a3"/>
        <w:autoSpaceDE w:val="0"/>
        <w:autoSpaceDN w:val="0"/>
        <w:adjustRightInd w:val="0"/>
        <w:ind w:left="0"/>
        <w:jc w:val="right"/>
        <w:rPr>
          <w:rFonts w:eastAsiaTheme="minorEastAsia"/>
          <w:color w:val="000000"/>
          <w:sz w:val="20"/>
          <w:szCs w:val="20"/>
          <w:lang w:val="en-US"/>
        </w:rPr>
      </w:pP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R</m:t>
            </m:r>
          </m:e>
          <m:sub>
            <m:r>
              <w:rPr>
                <w:rFonts w:ascii="Cambria Math" w:hAnsi="Cambria Math"/>
                <w:color w:val="000000"/>
                <w:sz w:val="20"/>
                <w:szCs w:val="20"/>
                <w:lang w:val="en-US"/>
              </w:rPr>
              <m:t>μk</m:t>
            </m:r>
          </m:sub>
        </m:sSub>
        <m:r>
          <w:rPr>
            <w:rFonts w:ascii="Cambria Math" w:hAnsi="Cambria Math"/>
            <w:color w:val="000000"/>
            <w:sz w:val="20"/>
            <w:szCs w:val="20"/>
            <w:lang w:val="en-US"/>
          </w:rPr>
          <m:t>=</m:t>
        </m:r>
        <m:f>
          <m:fPr>
            <m:ctrlPr>
              <w:rPr>
                <w:rFonts w:ascii="Cambria Math" w:hAnsi="Cambria Math"/>
                <w:i/>
                <w:color w:val="000000"/>
                <w:sz w:val="20"/>
                <w:szCs w:val="20"/>
                <w:lang w:val="en-US"/>
              </w:rPr>
            </m:ctrlPr>
          </m:fPr>
          <m:num>
            <m:sSub>
              <m:sSubPr>
                <m:ctrlPr>
                  <w:rPr>
                    <w:rFonts w:ascii="Cambria Math" w:hAnsi="Cambria Math"/>
                    <w:i/>
                    <w:color w:val="000000"/>
                    <w:sz w:val="20"/>
                    <w:szCs w:val="20"/>
                    <w:lang w:val="en-US"/>
                  </w:rPr>
                </m:ctrlPr>
              </m:sSubPr>
              <m:e>
                <m:r>
                  <w:rPr>
                    <w:rFonts w:ascii="Cambria Math" w:hAnsi="Cambria Math"/>
                    <w:color w:val="000000"/>
                    <w:sz w:val="20"/>
                    <w:szCs w:val="20"/>
                    <w:lang w:val="en-US"/>
                  </w:rPr>
                  <m:t>l</m:t>
                </m:r>
              </m:e>
              <m:sub>
                <m:r>
                  <w:rPr>
                    <w:rFonts w:ascii="Cambria Math" w:hAnsi="Cambria Math"/>
                    <w:color w:val="000000"/>
                    <w:sz w:val="20"/>
                    <w:szCs w:val="20"/>
                    <w:lang w:val="en-US"/>
                  </w:rPr>
                  <m:t>μ</m:t>
                </m:r>
              </m:sub>
            </m:sSub>
          </m:num>
          <m:den>
            <m:sSub>
              <m:sSubPr>
                <m:ctrlPr>
                  <w:rPr>
                    <w:rFonts w:ascii="Cambria Math" w:hAnsi="Cambria Math"/>
                    <w:i/>
                    <w:color w:val="000000"/>
                    <w:sz w:val="20"/>
                    <w:szCs w:val="20"/>
                    <w:lang w:val="en-US"/>
                  </w:rPr>
                </m:ctrlPr>
              </m:sSubPr>
              <m:e>
                <m:r>
                  <w:rPr>
                    <w:rFonts w:ascii="Cambria Math" w:hAnsi="Cambria Math"/>
                    <w:color w:val="000000"/>
                    <w:sz w:val="20"/>
                    <w:szCs w:val="20"/>
                    <w:lang w:val="en-US"/>
                  </w:rPr>
                  <m:t>μ</m:t>
                </m:r>
              </m:e>
              <m:sub>
                <m:r>
                  <w:rPr>
                    <w:rFonts w:ascii="Cambria Math" w:hAnsi="Cambria Math"/>
                    <w:color w:val="000000"/>
                    <w:sz w:val="20"/>
                    <w:szCs w:val="20"/>
                    <w:lang w:val="en-US"/>
                  </w:rPr>
                  <m:t>0</m:t>
                </m:r>
              </m:sub>
            </m:sSub>
            <m:r>
              <w:rPr>
                <w:rFonts w:ascii="Cambria Math" w:hAnsi="Cambria Math"/>
                <w:color w:val="000000"/>
                <w:sz w:val="20"/>
                <w:szCs w:val="20"/>
                <w:lang w:val="en-US"/>
              </w:rPr>
              <m:t>∙S</m:t>
            </m:r>
          </m:den>
        </m:f>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K</m:t>
            </m:r>
          </m:e>
          <m:sub>
            <m:r>
              <w:rPr>
                <w:rFonts w:ascii="Cambria Math" w:hAnsi="Cambria Math"/>
                <w:color w:val="000000"/>
                <w:sz w:val="20"/>
                <w:szCs w:val="20"/>
                <w:lang w:val="en-US"/>
              </w:rPr>
              <m:t>2</m:t>
            </m:r>
          </m:sub>
        </m:sSub>
        <m:d>
          <m:dPr>
            <m:ctrlPr>
              <w:rPr>
                <w:rFonts w:ascii="Cambria Math" w:hAnsi="Cambria Math"/>
                <w:i/>
                <w:color w:val="000000"/>
                <w:sz w:val="20"/>
                <w:szCs w:val="20"/>
                <w:lang w:val="en-US"/>
              </w:rPr>
            </m:ctrlPr>
          </m:dPr>
          <m:e>
            <m:r>
              <w:rPr>
                <w:rFonts w:ascii="Cambria Math" w:hAnsi="Cambria Math"/>
                <w:color w:val="000000"/>
                <w:sz w:val="20"/>
                <w:szCs w:val="20"/>
                <w:lang w:val="en-US"/>
              </w:rPr>
              <m:t>1-cos4α</m:t>
            </m:r>
          </m:e>
        </m:d>
        <m:r>
          <w:rPr>
            <w:rFonts w:ascii="Cambria Math" w:hAnsi="Cambria Math"/>
            <w:color w:val="000000"/>
            <w:sz w:val="20"/>
            <w:szCs w:val="20"/>
            <w:lang w:val="en-US"/>
          </w:rPr>
          <m:t>,</m:t>
        </m:r>
      </m:oMath>
      <w:r w:rsidR="00A549C2" w:rsidRPr="00A41A48">
        <w:rPr>
          <w:rFonts w:eastAsiaTheme="minorEastAsia"/>
          <w:color w:val="000000"/>
          <w:sz w:val="20"/>
          <w:szCs w:val="20"/>
          <w:lang w:val="en-US"/>
        </w:rPr>
        <w:t xml:space="preserve"> </w:t>
      </w:r>
      <w:r w:rsidR="00A549C2" w:rsidRPr="00A41A48">
        <w:rPr>
          <w:rFonts w:eastAsiaTheme="minorEastAsia"/>
          <w:color w:val="000000"/>
          <w:sz w:val="20"/>
          <w:szCs w:val="20"/>
          <w:lang w:val="en-US"/>
        </w:rPr>
        <w:tab/>
      </w:r>
      <w:r w:rsidR="00952494">
        <w:rPr>
          <w:rFonts w:eastAsiaTheme="minorEastAsia"/>
          <w:color w:val="000000"/>
          <w:sz w:val="20"/>
          <w:szCs w:val="20"/>
          <w:lang w:val="en-US"/>
        </w:rPr>
        <w:tab/>
      </w:r>
      <w:r w:rsidR="00A549C2" w:rsidRPr="00A41A48">
        <w:rPr>
          <w:rFonts w:eastAsiaTheme="minorEastAsia"/>
          <w:color w:val="000000"/>
          <w:sz w:val="20"/>
          <w:szCs w:val="20"/>
          <w:lang w:val="en-US"/>
        </w:rPr>
        <w:tab/>
      </w:r>
      <w:r w:rsidR="00A549C2" w:rsidRPr="00A41A48">
        <w:rPr>
          <w:rFonts w:eastAsiaTheme="minorEastAsia"/>
          <w:color w:val="000000"/>
          <w:sz w:val="20"/>
          <w:szCs w:val="20"/>
          <w:lang w:val="en-US"/>
        </w:rPr>
        <w:tab/>
        <w:t>(2)</w:t>
      </w:r>
    </w:p>
    <w:p w:rsidR="00952494" w:rsidRPr="00A41A48" w:rsidRDefault="00952494" w:rsidP="00952494">
      <w:pPr>
        <w:pStyle w:val="a3"/>
        <w:autoSpaceDE w:val="0"/>
        <w:autoSpaceDN w:val="0"/>
        <w:adjustRightInd w:val="0"/>
        <w:ind w:left="0"/>
        <w:jc w:val="right"/>
        <w:rPr>
          <w:rFonts w:eastAsiaTheme="minorEastAsia"/>
          <w:color w:val="000000"/>
          <w:sz w:val="20"/>
          <w:szCs w:val="20"/>
          <w:lang w:val="en-US"/>
        </w:rPr>
      </w:pPr>
    </w:p>
    <w:p w:rsidR="00A549C2" w:rsidRDefault="00A549C2" w:rsidP="00952494">
      <w:pPr>
        <w:pStyle w:val="a5"/>
        <w:tabs>
          <w:tab w:val="left" w:pos="284"/>
        </w:tabs>
        <w:spacing w:before="0" w:beforeAutospacing="0" w:after="0" w:afterAutospacing="0"/>
        <w:ind w:firstLine="284"/>
        <w:jc w:val="both"/>
        <w:rPr>
          <w:sz w:val="20"/>
          <w:szCs w:val="20"/>
          <w:lang w:val="en-US"/>
        </w:rPr>
      </w:pPr>
      <w:r>
        <w:rPr>
          <w:sz w:val="20"/>
          <w:szCs w:val="20"/>
          <w:lang w:val="en-US"/>
        </w:rPr>
        <w:t>wher</w:t>
      </w:r>
      <w:r w:rsidRPr="007E4450">
        <w:rPr>
          <w:sz w:val="20"/>
          <w:szCs w:val="20"/>
          <w:lang w:val="en-US"/>
        </w:rPr>
        <w:t xml:space="preserve">, </w:t>
      </w:r>
      <m:oMath>
        <m:sSub>
          <m:sSubPr>
            <m:ctrlPr>
              <w:rPr>
                <w:rFonts w:ascii="Cambria Math" w:eastAsiaTheme="minorEastAsia" w:hAnsi="Cambria Math"/>
                <w:i/>
                <w:sz w:val="20"/>
                <w:szCs w:val="20"/>
                <w:vertAlign w:val="subscript"/>
              </w:rPr>
            </m:ctrlPr>
          </m:sSubPr>
          <m:e>
            <m:r>
              <w:rPr>
                <w:rFonts w:ascii="Cambria Math" w:eastAsiaTheme="minorEastAsia" w:hAnsi="Cambria Math"/>
                <w:sz w:val="20"/>
                <w:szCs w:val="20"/>
                <w:vertAlign w:val="subscript"/>
              </w:rPr>
              <m:t>К</m:t>
            </m:r>
          </m:e>
          <m:sub>
            <m:r>
              <w:rPr>
                <w:rFonts w:ascii="Cambria Math" w:eastAsiaTheme="minorEastAsia" w:hAnsi="Cambria Math"/>
                <w:sz w:val="20"/>
                <w:szCs w:val="20"/>
                <w:vertAlign w:val="subscript"/>
                <w:lang w:val="en-US"/>
              </w:rPr>
              <m:t>2</m:t>
            </m:r>
          </m:sub>
        </m:sSub>
        <m:r>
          <w:rPr>
            <w:rFonts w:ascii="Cambria Math" w:eastAsiaTheme="minorEastAsia" w:hAnsi="Cambria Math"/>
            <w:sz w:val="20"/>
            <w:szCs w:val="20"/>
            <w:vertAlign w:val="subscript"/>
            <w:lang w:val="en-US"/>
          </w:rPr>
          <m:t>=</m:t>
        </m:r>
        <m:f>
          <m:fPr>
            <m:ctrlPr>
              <w:rPr>
                <w:rFonts w:ascii="Cambria Math" w:hAnsi="Cambria Math"/>
                <w:i/>
                <w:sz w:val="20"/>
                <w:szCs w:val="20"/>
              </w:rPr>
            </m:ctrlPr>
          </m:fPr>
          <m:num>
            <m:r>
              <w:rPr>
                <w:rFonts w:ascii="Cambria Math" w:hAnsi="Cambria Math"/>
                <w:sz w:val="20"/>
                <w:szCs w:val="20"/>
                <w:lang w:val="en-US"/>
              </w:rPr>
              <m:t>1</m:t>
            </m:r>
          </m:num>
          <m:den>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lang w:val="en-US"/>
                  </w:rPr>
                  <m:t>0</m:t>
                </m:r>
              </m:sub>
            </m:sSub>
            <m:r>
              <w:rPr>
                <w:rFonts w:ascii="Cambria Math" w:hAnsi="Cambria Math"/>
                <w:sz w:val="20"/>
                <w:szCs w:val="20"/>
                <w:lang w:val="en-US"/>
              </w:rPr>
              <m:t>∙</m:t>
            </m:r>
            <m:r>
              <w:rPr>
                <w:rFonts w:ascii="Cambria Math" w:hAnsi="Cambria Math"/>
                <w:sz w:val="20"/>
                <w:szCs w:val="20"/>
              </w:rPr>
              <m:t>S</m:t>
            </m:r>
          </m:den>
        </m:f>
      </m:oMath>
      <w:r w:rsidRPr="007E4450">
        <w:rPr>
          <w:sz w:val="20"/>
          <w:szCs w:val="20"/>
          <w:lang w:val="en-US"/>
        </w:rPr>
        <w:t xml:space="preserve"> -</w:t>
      </w:r>
      <w:r w:rsidRPr="007E4450">
        <w:rPr>
          <w:rStyle w:val="vlist-s"/>
          <w:sz w:val="20"/>
          <w:szCs w:val="20"/>
          <w:lang w:val="en-US"/>
        </w:rPr>
        <w:t>​</w:t>
      </w:r>
      <w:r w:rsidRPr="007E4450">
        <w:rPr>
          <w:sz w:val="20"/>
          <w:szCs w:val="20"/>
          <w:lang w:val="en-US"/>
        </w:rPr>
        <w:t xml:space="preserve"> is a coefficient that depends on the geometric dimensions of the inertial mass, </w:t>
      </w:r>
      <w:r w:rsidRPr="007E4450">
        <w:rPr>
          <w:rStyle w:val="katex-mathml"/>
          <w:sz w:val="20"/>
          <w:szCs w:val="20"/>
        </w:rPr>
        <w:t>α</w:t>
      </w:r>
      <w:r w:rsidRPr="007E4450">
        <w:rPr>
          <w:sz w:val="20"/>
          <w:szCs w:val="20"/>
          <w:lang w:val="en-US"/>
        </w:rPr>
        <w:t xml:space="preserve"> is the angular displacement of the inertial mass,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μ</m:t>
            </m:r>
          </m:e>
          <m:sub>
            <m:r>
              <w:rPr>
                <w:rFonts w:ascii="Cambria Math" w:hAnsi="Cambria Math"/>
                <w:color w:val="000000"/>
                <w:sz w:val="20"/>
                <w:szCs w:val="20"/>
                <w:lang w:val="en-US"/>
              </w:rPr>
              <m:t>0</m:t>
            </m:r>
          </m:sub>
        </m:sSub>
        <m:r>
          <w:rPr>
            <w:rFonts w:ascii="Cambria Math" w:hAnsi="Cambria Math"/>
            <w:color w:val="000000"/>
            <w:sz w:val="20"/>
            <w:szCs w:val="20"/>
            <w:lang w:val="en-US"/>
          </w:rPr>
          <m:t>-</m:t>
        </m:r>
      </m:oMath>
      <w:r w:rsidRPr="007E4450">
        <w:rPr>
          <w:sz w:val="20"/>
          <w:szCs w:val="20"/>
          <w:lang w:val="en-US"/>
        </w:rPr>
        <w:t xml:space="preserve">is the magnetic constant, </w:t>
      </w:r>
      <m:oMath>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l</m:t>
            </m:r>
          </m:e>
          <m:sub>
            <m:r>
              <w:rPr>
                <w:rFonts w:ascii="Cambria Math" w:eastAsiaTheme="minorEastAsia" w:hAnsi="Cambria Math"/>
                <w:sz w:val="20"/>
                <w:szCs w:val="20"/>
              </w:rPr>
              <m:t>μ</m:t>
            </m:r>
          </m:sub>
        </m:sSub>
      </m:oMath>
      <w:r w:rsidRPr="007E4450">
        <w:rPr>
          <w:sz w:val="20"/>
          <w:szCs w:val="20"/>
          <w:lang w:val="en-US"/>
        </w:rPr>
        <w:t xml:space="preserve">- is the length of the magnetic flux path (m), and </w:t>
      </w:r>
      <w:r w:rsidRPr="007E4450">
        <w:rPr>
          <w:rStyle w:val="katex-mathml"/>
          <w:sz w:val="20"/>
          <w:szCs w:val="20"/>
          <w:lang w:val="en-US"/>
        </w:rPr>
        <w:t>S</w:t>
      </w:r>
      <w:r w:rsidRPr="007E4450">
        <w:rPr>
          <w:sz w:val="20"/>
          <w:szCs w:val="20"/>
          <w:lang w:val="en-US"/>
        </w:rPr>
        <w:t xml:space="preserve"> is the cross-sectional area of the inertial mass (m²).</w:t>
      </w:r>
    </w:p>
    <w:p w:rsidR="00952494" w:rsidRDefault="00952494" w:rsidP="00952494">
      <w:pPr>
        <w:pStyle w:val="a5"/>
        <w:tabs>
          <w:tab w:val="left" w:pos="284"/>
        </w:tabs>
        <w:spacing w:before="0" w:beforeAutospacing="0" w:after="0" w:afterAutospacing="0"/>
        <w:ind w:firstLine="284"/>
        <w:jc w:val="both"/>
        <w:rPr>
          <w:sz w:val="20"/>
          <w:szCs w:val="20"/>
          <w:lang w:val="en-US"/>
        </w:rPr>
      </w:pPr>
    </w:p>
    <w:p w:rsidR="00175457" w:rsidRDefault="00175457" w:rsidP="00952494">
      <w:pPr>
        <w:pStyle w:val="a5"/>
        <w:spacing w:before="0" w:beforeAutospacing="0" w:after="0" w:afterAutospacing="0"/>
        <w:ind w:firstLine="708"/>
        <w:jc w:val="both"/>
        <w:rPr>
          <w:sz w:val="20"/>
          <w:szCs w:val="20"/>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75457" w:rsidTr="00A67D86">
        <w:tc>
          <w:tcPr>
            <w:tcW w:w="4672" w:type="dxa"/>
          </w:tcPr>
          <w:p w:rsidR="00175457" w:rsidRPr="003F568B" w:rsidRDefault="00E81F5B" w:rsidP="00952494">
            <w:pPr>
              <w:pStyle w:val="a5"/>
              <w:spacing w:before="0" w:beforeAutospacing="0" w:after="0" w:afterAutospacing="0"/>
              <w:jc w:val="center"/>
              <w:rPr>
                <w:sz w:val="20"/>
                <w:szCs w:val="20"/>
                <w:lang w:val="en-US"/>
              </w:rPr>
            </w:pPr>
            <w:r>
              <w:rPr>
                <w:rFonts w:ascii="Times New Roman" w:eastAsia="Times New Roman" w:hAnsi="Times New Roman" w:cs="Times New Roman"/>
              </w:rPr>
              <w:object w:dxaOrig="8604" w:dyaOrig="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29pt" o:ole="">
                  <v:imagedata r:id="rId7" o:title=""/>
                </v:shape>
                <o:OLEObject Type="Embed" ProgID="PBrush" ShapeID="_x0000_i1025" DrawAspect="Content" ObjectID="_1829389052" r:id="rId8"/>
              </w:object>
            </w:r>
          </w:p>
          <w:p w:rsidR="00175457" w:rsidRPr="00D80E16" w:rsidRDefault="00D80E16" w:rsidP="00952494">
            <w:pPr>
              <w:tabs>
                <w:tab w:val="left" w:pos="5904"/>
              </w:tabs>
              <w:jc w:val="center"/>
              <w:rPr>
                <w:rFonts w:ascii="Times New Roman" w:hAnsi="Times New Roman" w:cs="Times New Roman"/>
                <w:sz w:val="20"/>
                <w:szCs w:val="20"/>
                <w:lang w:val="en-US"/>
              </w:rPr>
            </w:pPr>
            <w:r w:rsidRPr="00614A80">
              <w:rPr>
                <w:rFonts w:ascii="Times New Roman" w:hAnsi="Times New Roman" w:cs="Times New Roman"/>
                <w:sz w:val="18"/>
                <w:szCs w:val="20"/>
                <w:lang w:val="en-US"/>
              </w:rPr>
              <w:t>(</w:t>
            </w:r>
            <w:r w:rsidR="00175457" w:rsidRPr="00614A80">
              <w:rPr>
                <w:rFonts w:ascii="Times New Roman" w:hAnsi="Times New Roman" w:cs="Times New Roman"/>
                <w:sz w:val="18"/>
                <w:szCs w:val="20"/>
                <w:lang w:val="en-US"/>
              </w:rPr>
              <w:t>a)</w:t>
            </w:r>
          </w:p>
        </w:tc>
        <w:tc>
          <w:tcPr>
            <w:tcW w:w="4672" w:type="dxa"/>
          </w:tcPr>
          <w:p w:rsidR="00175457" w:rsidRPr="00D80E16" w:rsidRDefault="00175457" w:rsidP="00952494">
            <w:pPr>
              <w:pStyle w:val="a5"/>
              <w:spacing w:before="0" w:beforeAutospacing="0" w:after="0" w:afterAutospacing="0"/>
              <w:jc w:val="center"/>
              <w:rPr>
                <w:sz w:val="20"/>
                <w:szCs w:val="20"/>
              </w:rPr>
            </w:pPr>
          </w:p>
          <w:p w:rsidR="00175457" w:rsidRPr="00D80E16" w:rsidRDefault="00175457" w:rsidP="00952494">
            <w:pPr>
              <w:pStyle w:val="a5"/>
              <w:spacing w:before="0" w:beforeAutospacing="0" w:after="0" w:afterAutospacing="0"/>
              <w:jc w:val="center"/>
              <w:rPr>
                <w:sz w:val="20"/>
                <w:szCs w:val="20"/>
              </w:rPr>
            </w:pPr>
            <w:r w:rsidRPr="00D80E16">
              <w:rPr>
                <w:noProof/>
                <w:sz w:val="20"/>
                <w:szCs w:val="20"/>
                <w:lang w:val="en-US" w:eastAsia="en-US"/>
              </w:rPr>
              <w:drawing>
                <wp:inline distT="0" distB="0" distL="0" distR="0" wp14:anchorId="76CDFEC1" wp14:editId="57B31924">
                  <wp:extent cx="2478618" cy="141277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18"/>
                          <a:stretch/>
                        </pic:blipFill>
                        <pic:spPr bwMode="auto">
                          <a:xfrm>
                            <a:off x="0" y="0"/>
                            <a:ext cx="2532937" cy="1443731"/>
                          </a:xfrm>
                          <a:prstGeom prst="rect">
                            <a:avLst/>
                          </a:prstGeom>
                          <a:noFill/>
                          <a:ln>
                            <a:noFill/>
                          </a:ln>
                          <a:extLst>
                            <a:ext uri="{53640926-AAD7-44D8-BBD7-CCE9431645EC}">
                              <a14:shadowObscured xmlns:a14="http://schemas.microsoft.com/office/drawing/2010/main"/>
                            </a:ext>
                          </a:extLst>
                        </pic:spPr>
                      </pic:pic>
                    </a:graphicData>
                  </a:graphic>
                </wp:inline>
              </w:drawing>
            </w:r>
          </w:p>
          <w:p w:rsidR="00175457" w:rsidRPr="00D80E16" w:rsidRDefault="00D80E16" w:rsidP="00952494">
            <w:pPr>
              <w:jc w:val="center"/>
              <w:rPr>
                <w:rFonts w:ascii="Times New Roman" w:hAnsi="Times New Roman" w:cs="Times New Roman"/>
                <w:sz w:val="20"/>
                <w:szCs w:val="20"/>
              </w:rPr>
            </w:pPr>
            <w:r w:rsidRPr="00614A80">
              <w:rPr>
                <w:rFonts w:ascii="Times New Roman" w:hAnsi="Times New Roman" w:cs="Times New Roman"/>
                <w:sz w:val="18"/>
                <w:szCs w:val="20"/>
                <w:lang w:val="en-US"/>
              </w:rPr>
              <w:t>(</w:t>
            </w:r>
            <w:r w:rsidR="00175457" w:rsidRPr="00614A80">
              <w:rPr>
                <w:rFonts w:ascii="Times New Roman" w:hAnsi="Times New Roman" w:cs="Times New Roman"/>
                <w:sz w:val="18"/>
                <w:szCs w:val="20"/>
                <w:lang w:val="en-US"/>
              </w:rPr>
              <w:t>b</w:t>
            </w:r>
            <w:r w:rsidR="00175457" w:rsidRPr="00614A80">
              <w:rPr>
                <w:rFonts w:ascii="Times New Roman" w:hAnsi="Times New Roman" w:cs="Times New Roman"/>
                <w:sz w:val="18"/>
                <w:szCs w:val="20"/>
              </w:rPr>
              <w:t>)</w:t>
            </w:r>
          </w:p>
        </w:tc>
      </w:tr>
    </w:tbl>
    <w:p w:rsidR="00F526A6" w:rsidRPr="00D01239" w:rsidRDefault="007E4450" w:rsidP="00952494">
      <w:pPr>
        <w:pStyle w:val="a5"/>
        <w:spacing w:before="0" w:beforeAutospacing="0" w:after="0" w:afterAutospacing="0"/>
        <w:ind w:firstLine="708"/>
        <w:jc w:val="center"/>
        <w:rPr>
          <w:sz w:val="18"/>
          <w:lang w:val="en-US"/>
        </w:rPr>
      </w:pPr>
      <w:r w:rsidRPr="00521634">
        <w:rPr>
          <w:b/>
          <w:sz w:val="18"/>
          <w:lang w:val="en-US"/>
        </w:rPr>
        <w:t>FIGURE 1.</w:t>
      </w:r>
      <w:r w:rsidRPr="00521634">
        <w:rPr>
          <w:sz w:val="18"/>
          <w:lang w:val="en-US"/>
        </w:rPr>
        <w:t xml:space="preserve"> </w:t>
      </w:r>
      <w:r w:rsidR="00D80E16" w:rsidRPr="00521634">
        <w:rPr>
          <w:sz w:val="18"/>
          <w:lang w:val="en-US"/>
        </w:rPr>
        <w:t>Electromagnetic a</w:t>
      </w:r>
      <w:r w:rsidR="00F526A6" w:rsidRPr="00521634">
        <w:rPr>
          <w:sz w:val="18"/>
          <w:lang w:val="en-US"/>
        </w:rPr>
        <w:t xml:space="preserve">ngular </w:t>
      </w:r>
      <w:r w:rsidR="00D80E16" w:rsidRPr="00521634">
        <w:rPr>
          <w:sz w:val="18"/>
          <w:lang w:val="en-US"/>
        </w:rPr>
        <w:t>a</w:t>
      </w:r>
      <w:r w:rsidR="00F526A6" w:rsidRPr="00521634">
        <w:rPr>
          <w:sz w:val="18"/>
          <w:lang w:val="en-US"/>
        </w:rPr>
        <w:t xml:space="preserve">cceleration </w:t>
      </w:r>
      <w:r w:rsidR="00D80E16" w:rsidRPr="00521634">
        <w:rPr>
          <w:sz w:val="18"/>
          <w:lang w:val="en-US"/>
        </w:rPr>
        <w:t>s</w:t>
      </w:r>
      <w:r w:rsidR="00F526A6" w:rsidRPr="00521634">
        <w:rPr>
          <w:sz w:val="18"/>
          <w:lang w:val="en-US"/>
        </w:rPr>
        <w:t>ensor</w:t>
      </w:r>
      <w:r w:rsidR="00521634" w:rsidRPr="00521634">
        <w:rPr>
          <w:sz w:val="18"/>
          <w:lang w:val="en-US"/>
        </w:rPr>
        <w:t>:</w:t>
      </w:r>
      <w:r w:rsidR="00952494" w:rsidRPr="00521634">
        <w:rPr>
          <w:sz w:val="18"/>
          <w:lang w:val="en-US"/>
        </w:rPr>
        <w:t xml:space="preserve"> </w:t>
      </w:r>
      <w:r w:rsidR="00D01239" w:rsidRPr="00521634">
        <w:rPr>
          <w:sz w:val="18"/>
          <w:lang w:val="en-US"/>
        </w:rPr>
        <w:t>a) sensor output signal</w:t>
      </w:r>
      <w:r w:rsidR="00952494" w:rsidRPr="00521634">
        <w:rPr>
          <w:sz w:val="18"/>
          <w:lang w:val="en-US"/>
        </w:rPr>
        <w:t xml:space="preserve">; b) </w:t>
      </w:r>
      <w:r w:rsidR="00D01239" w:rsidRPr="00521634">
        <w:rPr>
          <w:sz w:val="18"/>
          <w:lang w:val="en-US"/>
        </w:rPr>
        <w:t>g</w:t>
      </w:r>
      <w:r w:rsidR="00D01239" w:rsidRPr="00521634">
        <w:rPr>
          <w:sz w:val="20"/>
          <w:szCs w:val="20"/>
          <w:lang w:val="en-US"/>
        </w:rPr>
        <w:t>eneral</w:t>
      </w:r>
      <w:r w:rsidR="00D01239" w:rsidRPr="00D01239">
        <w:rPr>
          <w:sz w:val="20"/>
          <w:szCs w:val="20"/>
          <w:lang w:val="en-US"/>
        </w:rPr>
        <w:t xml:space="preserve"> view of the sensor</w:t>
      </w:r>
    </w:p>
    <w:p w:rsidR="00614EC0" w:rsidRPr="007E4450" w:rsidRDefault="00614EC0" w:rsidP="00952494">
      <w:pPr>
        <w:pStyle w:val="a5"/>
        <w:spacing w:before="0" w:beforeAutospacing="0" w:after="0" w:afterAutospacing="0"/>
        <w:ind w:firstLine="708"/>
        <w:jc w:val="center"/>
        <w:rPr>
          <w:sz w:val="20"/>
          <w:lang w:val="en-US"/>
        </w:rPr>
      </w:pPr>
    </w:p>
    <w:p w:rsidR="002579A5" w:rsidRPr="00E81F5B" w:rsidRDefault="00175457" w:rsidP="00952494">
      <w:pPr>
        <w:pStyle w:val="a5"/>
        <w:spacing w:before="0" w:beforeAutospacing="0" w:after="0" w:afterAutospacing="0"/>
        <w:ind w:firstLine="284"/>
        <w:jc w:val="both"/>
        <w:rPr>
          <w:sz w:val="20"/>
          <w:szCs w:val="20"/>
          <w:lang w:val="en-US"/>
        </w:rPr>
      </w:pPr>
      <w:r w:rsidRPr="00175457">
        <w:rPr>
          <w:sz w:val="20"/>
          <w:szCs w:val="20"/>
          <w:lang w:val="en-US"/>
        </w:rPr>
        <w:t xml:space="preserve">Based on this law governing the variation of magnetic reluctance </w:t>
      </w:r>
      <w:r w:rsidRPr="00175457">
        <w:rPr>
          <w:rStyle w:val="katex-mathml"/>
          <w:sz w:val="20"/>
          <w:szCs w:val="20"/>
          <w:lang w:val="en-US"/>
        </w:rPr>
        <w:t>R</w:t>
      </w:r>
      <w:r w:rsidRPr="00D80E16">
        <w:rPr>
          <w:rStyle w:val="katex-mathml"/>
          <w:sz w:val="20"/>
          <w:szCs w:val="20"/>
          <w:vertAlign w:val="subscript"/>
        </w:rPr>
        <w:t>μ</w:t>
      </w:r>
      <w:r w:rsidRPr="00175457">
        <w:rPr>
          <w:rStyle w:val="vlist-s"/>
          <w:sz w:val="20"/>
          <w:szCs w:val="20"/>
          <w:lang w:val="en-US"/>
        </w:rPr>
        <w:t>​</w:t>
      </w:r>
      <w:r w:rsidRPr="00175457">
        <w:rPr>
          <w:sz w:val="20"/>
          <w:szCs w:val="20"/>
          <w:lang w:val="en-US"/>
        </w:rPr>
        <w:t>, a pulse signal was obtained at the output using digital filtering, as shown in Fig.1a.</w:t>
      </w:r>
      <w:r w:rsidR="00E81F5B">
        <w:rPr>
          <w:sz w:val="20"/>
          <w:szCs w:val="20"/>
          <w:lang w:val="en-US"/>
        </w:rPr>
        <w:t xml:space="preserve"> </w:t>
      </w:r>
      <w:r w:rsidR="006813E2">
        <w:rPr>
          <w:sz w:val="20"/>
          <w:szCs w:val="20"/>
          <w:lang w:val="en-US"/>
        </w:rPr>
        <w:t xml:space="preserve">Fig.1 </w:t>
      </w:r>
      <w:r w:rsidR="00E81F5B" w:rsidRPr="00E81F5B">
        <w:rPr>
          <w:sz w:val="20"/>
          <w:szCs w:val="20"/>
          <w:lang w:val="en-US"/>
        </w:rPr>
        <w:t xml:space="preserve">b </w:t>
      </w:r>
      <w:r w:rsidR="00E81F5B" w:rsidRPr="00657AEB">
        <w:rPr>
          <w:sz w:val="20"/>
          <w:szCs w:val="20"/>
          <w:lang w:val="en-US"/>
        </w:rPr>
        <w:t>presents</w:t>
      </w:r>
      <w:r w:rsidR="00E81F5B" w:rsidRPr="00E81F5B">
        <w:rPr>
          <w:sz w:val="20"/>
          <w:szCs w:val="20"/>
          <w:lang w:val="en-US"/>
        </w:rPr>
        <w:t xml:space="preserve"> the new design of the angular acceleration sensor.</w:t>
      </w:r>
    </w:p>
    <w:p w:rsidR="002579A5" w:rsidRDefault="00125455" w:rsidP="00952494">
      <w:pPr>
        <w:pStyle w:val="a5"/>
        <w:spacing w:before="0" w:beforeAutospacing="0" w:after="0" w:afterAutospacing="0"/>
        <w:ind w:firstLine="284"/>
        <w:jc w:val="both"/>
        <w:rPr>
          <w:sz w:val="20"/>
          <w:szCs w:val="20"/>
          <w:lang w:val="en-US"/>
        </w:rPr>
      </w:pPr>
      <w:r w:rsidRPr="00125455">
        <w:rPr>
          <w:sz w:val="20"/>
          <w:szCs w:val="20"/>
          <w:lang w:val="en-US"/>
        </w:rPr>
        <w:t>The magnetic circuits of the proposed electromagnetic sensor were investigated using analytical approaches and numerical finite element methods</w:t>
      </w:r>
      <w:r w:rsidR="000D4E83">
        <w:rPr>
          <w:sz w:val="20"/>
          <w:szCs w:val="20"/>
          <w:lang w:val="en-US"/>
        </w:rPr>
        <w:t xml:space="preserve"> (FEM)</w:t>
      </w:r>
      <w:r w:rsidRPr="00125455">
        <w:rPr>
          <w:sz w:val="20"/>
          <w:szCs w:val="20"/>
          <w:lang w:val="en-US"/>
        </w:rPr>
        <w:t>.</w:t>
      </w:r>
      <w:r w:rsidR="00657AEB" w:rsidRPr="00657AEB">
        <w:rPr>
          <w:sz w:val="20"/>
          <w:szCs w:val="20"/>
          <w:lang w:val="en-US"/>
        </w:rPr>
        <w:t xml:space="preserve"> Fig</w:t>
      </w:r>
      <w:r w:rsidR="00657AEB">
        <w:rPr>
          <w:sz w:val="20"/>
          <w:szCs w:val="20"/>
          <w:lang w:val="en-US"/>
        </w:rPr>
        <w:t>.</w:t>
      </w:r>
      <w:r w:rsidR="00657AEB" w:rsidRPr="00657AEB">
        <w:rPr>
          <w:sz w:val="20"/>
          <w:szCs w:val="20"/>
          <w:lang w:val="en-US"/>
        </w:rPr>
        <w:t>2</w:t>
      </w:r>
      <w:r w:rsidR="00657AEB">
        <w:rPr>
          <w:sz w:val="20"/>
          <w:szCs w:val="20"/>
          <w:lang w:val="en-US"/>
        </w:rPr>
        <w:t xml:space="preserve"> </w:t>
      </w:r>
      <w:r w:rsidR="00657AEB" w:rsidRPr="00657AEB">
        <w:rPr>
          <w:sz w:val="20"/>
          <w:szCs w:val="20"/>
          <w:lang w:val="en-US"/>
        </w:rPr>
        <w:t>a illustrates the equivalent magnetic circuit of the electromagnetic angular sensor, while Fig</w:t>
      </w:r>
      <w:r w:rsidR="00657AEB">
        <w:rPr>
          <w:sz w:val="20"/>
          <w:szCs w:val="20"/>
          <w:lang w:val="en-US"/>
        </w:rPr>
        <w:t>.</w:t>
      </w:r>
      <w:r w:rsidR="00657AEB" w:rsidRPr="00657AEB">
        <w:rPr>
          <w:sz w:val="20"/>
          <w:szCs w:val="20"/>
          <w:lang w:val="en-US"/>
        </w:rPr>
        <w:t>2</w:t>
      </w:r>
      <w:r w:rsidR="00657AEB">
        <w:rPr>
          <w:sz w:val="20"/>
          <w:szCs w:val="20"/>
          <w:lang w:val="en-US"/>
        </w:rPr>
        <w:t xml:space="preserve"> </w:t>
      </w:r>
      <w:r w:rsidR="00657AEB" w:rsidRPr="00657AEB">
        <w:rPr>
          <w:sz w:val="20"/>
          <w:szCs w:val="20"/>
          <w:lang w:val="en-US"/>
        </w:rPr>
        <w:t>b presents the magnetic f</w:t>
      </w:r>
      <w:r w:rsidR="000D4E83">
        <w:rPr>
          <w:sz w:val="20"/>
          <w:szCs w:val="20"/>
          <w:lang w:val="en-US"/>
        </w:rPr>
        <w:t xml:space="preserve">lux leakage </w:t>
      </w:r>
      <w:r w:rsidR="00657AEB" w:rsidRPr="00657AEB">
        <w:rPr>
          <w:sz w:val="20"/>
          <w:szCs w:val="20"/>
          <w:lang w:val="en-US"/>
        </w:rPr>
        <w:t>and edge effects in the air gap.</w:t>
      </w:r>
    </w:p>
    <w:p w:rsidR="00952494" w:rsidRPr="00824DFA" w:rsidRDefault="00952494" w:rsidP="00952494">
      <w:pPr>
        <w:pStyle w:val="a5"/>
        <w:spacing w:before="0" w:beforeAutospacing="0" w:after="0" w:afterAutospacing="0"/>
        <w:ind w:firstLine="284"/>
        <w:jc w:val="both"/>
        <w:rPr>
          <w:sz w:val="20"/>
          <w:szCs w:val="20"/>
          <w:lang w:val="en-US"/>
        </w:rPr>
      </w:pPr>
      <w:r w:rsidRPr="00824DFA">
        <w:rPr>
          <w:sz w:val="20"/>
          <w:szCs w:val="20"/>
          <w:lang w:val="en-US"/>
        </w:rPr>
        <w:t>As a result of the analytical analysis, an expression for the magnetic flux passing through the measuring coil was derived:</w:t>
      </w:r>
    </w:p>
    <w:p w:rsidR="00952494" w:rsidRPr="00824DFA" w:rsidRDefault="00000000" w:rsidP="00952494">
      <w:pPr>
        <w:ind w:firstLine="708"/>
        <w:jc w:val="right"/>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rPr>
              <m:t>Ф</m:t>
            </m:r>
          </m:e>
          <m:sub>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 xml:space="preserve"> </m:t>
                </m:r>
              </m:e>
            </m:nary>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U</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1</m:t>
                    </m:r>
                  </m:sub>
                </m:sSub>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U</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2</m:t>
                    </m:r>
                  </m:sub>
                </m:sSub>
              </m:sub>
            </m:sSub>
          </m:num>
          <m:den>
            <m:sSub>
              <m:sSubPr>
                <m:ctrlPr>
                  <w:rPr>
                    <w:rFonts w:ascii="Cambria Math" w:hAnsi="Cambria Math"/>
                    <w:i/>
                    <w:sz w:val="20"/>
                    <w:szCs w:val="20"/>
                    <w:lang w:val="en-US"/>
                  </w:rPr>
                </m:ctrlPr>
              </m:sSubPr>
              <m:e>
                <m:r>
                  <w:rPr>
                    <w:rFonts w:ascii="Cambria Math" w:hAnsi="Cambria Math"/>
                    <w:sz w:val="20"/>
                    <w:szCs w:val="20"/>
                    <w:lang w:val="en-US"/>
                  </w:rPr>
                  <m:t>R</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a</m:t>
                    </m:r>
                  </m:sub>
                </m:sSub>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R</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1</m:t>
                    </m:r>
                  </m:sub>
                </m:sSub>
              </m:sub>
            </m:sSub>
            <m:r>
              <w:rPr>
                <w:rFonts w:ascii="Cambria Math" w:hAnsi="Cambria Math"/>
                <w:sz w:val="20"/>
                <w:szCs w:val="20"/>
                <w:lang w:val="en-US"/>
              </w:rPr>
              <m:t>+2</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R</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δ</m:t>
                        </m:r>
                      </m:sub>
                    </m:sSub>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R</m:t>
                    </m:r>
                  </m:e>
                  <m:sub>
                    <m:sSub>
                      <m:sSubPr>
                        <m:ctrlPr>
                          <w:rPr>
                            <w:rFonts w:ascii="Cambria Math" w:hAnsi="Cambria Math"/>
                            <w:i/>
                            <w:sz w:val="20"/>
                            <w:szCs w:val="20"/>
                            <w:lang w:val="en-US"/>
                          </w:rPr>
                        </m:ctrlPr>
                      </m:sSubPr>
                      <m:e>
                        <m:r>
                          <w:rPr>
                            <w:rFonts w:ascii="Cambria Math" w:hAnsi="Cambria Math"/>
                            <w:sz w:val="20"/>
                            <w:szCs w:val="20"/>
                            <w:lang w:val="en-US"/>
                          </w:rPr>
                          <m:t>μ</m:t>
                        </m:r>
                      </m:e>
                      <m:sub>
                        <m:r>
                          <w:rPr>
                            <w:rFonts w:ascii="Cambria Math" w:hAnsi="Cambria Math"/>
                            <w:sz w:val="20"/>
                            <w:szCs w:val="20"/>
                            <w:lang w:val="en-US"/>
                          </w:rPr>
                          <m:t>i.m</m:t>
                        </m:r>
                      </m:sub>
                    </m:sSub>
                  </m:sub>
                </m:sSub>
              </m:e>
            </m:d>
          </m:den>
        </m:f>
      </m:oMath>
      <w:r w:rsidR="00952494" w:rsidRPr="00824DFA">
        <w:rPr>
          <w:sz w:val="20"/>
          <w:szCs w:val="20"/>
          <w:lang w:val="en-US"/>
        </w:rPr>
        <w:t xml:space="preserve">  </w:t>
      </w:r>
      <w:r w:rsidR="00952494" w:rsidRPr="00824DFA">
        <w:rPr>
          <w:sz w:val="20"/>
          <w:szCs w:val="20"/>
          <w:lang w:val="en-US"/>
        </w:rPr>
        <w:tab/>
        <w:t>,</w:t>
      </w:r>
      <w:r w:rsidR="00952494" w:rsidRPr="00824DFA">
        <w:rPr>
          <w:sz w:val="20"/>
          <w:szCs w:val="20"/>
          <w:lang w:val="en-US"/>
        </w:rPr>
        <w:tab/>
      </w:r>
      <w:r w:rsidR="00952494" w:rsidRPr="00824DFA">
        <w:rPr>
          <w:sz w:val="20"/>
          <w:szCs w:val="20"/>
          <w:lang w:val="en-US"/>
        </w:rPr>
        <w:tab/>
      </w:r>
      <w:r w:rsidR="00952494" w:rsidRPr="00824DFA">
        <w:rPr>
          <w:sz w:val="20"/>
          <w:szCs w:val="20"/>
          <w:lang w:val="en-US"/>
        </w:rPr>
        <w:tab/>
        <w:t>(3)</w:t>
      </w:r>
    </w:p>
    <w:p w:rsidR="00952494" w:rsidRPr="00B9550E" w:rsidRDefault="00952494" w:rsidP="00952494">
      <w:pPr>
        <w:pStyle w:val="a5"/>
        <w:spacing w:before="0" w:beforeAutospacing="0" w:after="0" w:afterAutospacing="0"/>
        <w:ind w:firstLine="284"/>
        <w:jc w:val="both"/>
        <w:rPr>
          <w:sz w:val="20"/>
          <w:szCs w:val="20"/>
          <w:lang w:val="en-US"/>
        </w:rPr>
      </w:pPr>
      <w:r>
        <w:rPr>
          <w:sz w:val="20"/>
          <w:szCs w:val="20"/>
          <w:lang w:val="en-US"/>
        </w:rPr>
        <w:t>w</w:t>
      </w:r>
      <w:r w:rsidRPr="00824DFA">
        <w:rPr>
          <w:sz w:val="20"/>
          <w:szCs w:val="20"/>
          <w:lang w:val="en-US"/>
        </w:rPr>
        <w:t>here</w:t>
      </w:r>
      <w:r>
        <w:rPr>
          <w:sz w:val="20"/>
          <w:szCs w:val="20"/>
          <w:lang w:val="en-US"/>
        </w:rPr>
        <w:t xml:space="preserve">, </w:t>
      </w:r>
      <w:r w:rsidRPr="00824DFA">
        <w:rPr>
          <w:rStyle w:val="katex-mathml"/>
          <w:sz w:val="20"/>
          <w:szCs w:val="20"/>
          <w:lang w:val="en-US"/>
        </w:rPr>
        <w:t>U</w:t>
      </w:r>
      <w:r w:rsidRPr="00824DFA">
        <w:rPr>
          <w:rStyle w:val="katex-mathml"/>
          <w:sz w:val="20"/>
          <w:szCs w:val="20"/>
        </w:rPr>
        <w:t>μ</w:t>
      </w:r>
      <w:r w:rsidRPr="00824DFA">
        <w:rPr>
          <w:rStyle w:val="katex-mathml"/>
          <w:sz w:val="20"/>
          <w:szCs w:val="20"/>
          <w:vertAlign w:val="subscript"/>
          <w:lang w:val="en-US"/>
        </w:rPr>
        <w:t>1</w:t>
      </w:r>
      <w:r>
        <w:rPr>
          <w:rStyle w:val="katex-mathml"/>
          <w:sz w:val="20"/>
          <w:szCs w:val="20"/>
          <w:lang w:val="en-US"/>
        </w:rPr>
        <w:t xml:space="preserve"> </w:t>
      </w:r>
      <w:r w:rsidRPr="00824DFA">
        <w:rPr>
          <w:sz w:val="20"/>
          <w:szCs w:val="20"/>
          <w:lang w:val="en-US"/>
        </w:rPr>
        <w:t xml:space="preserve">and </w:t>
      </w:r>
      <w:r w:rsidRPr="00824DFA">
        <w:rPr>
          <w:rStyle w:val="katex-mathml"/>
          <w:sz w:val="20"/>
          <w:szCs w:val="20"/>
          <w:lang w:val="en-US"/>
        </w:rPr>
        <w:t>U</w:t>
      </w:r>
      <w:r w:rsidRPr="00824DFA">
        <w:rPr>
          <w:rStyle w:val="katex-mathml"/>
          <w:sz w:val="20"/>
          <w:szCs w:val="20"/>
        </w:rPr>
        <w:t>μ</w:t>
      </w:r>
      <w:r w:rsidRPr="00824DFA">
        <w:rPr>
          <w:rStyle w:val="katex-mathml"/>
          <w:sz w:val="20"/>
          <w:szCs w:val="20"/>
          <w:vertAlign w:val="subscript"/>
          <w:lang w:val="en-US"/>
        </w:rPr>
        <w:t xml:space="preserve">2 </w:t>
      </w:r>
      <w:r w:rsidRPr="00824DFA">
        <w:rPr>
          <w:sz w:val="20"/>
          <w:szCs w:val="20"/>
          <w:lang w:val="en-US"/>
        </w:rPr>
        <w:t xml:space="preserve">denote the magnetic voltages </w:t>
      </w:r>
      <w:r>
        <w:rPr>
          <w:sz w:val="20"/>
          <w:szCs w:val="20"/>
          <w:lang w:val="en-US"/>
        </w:rPr>
        <w:t xml:space="preserve">(magnetomotive force - MMF) </w:t>
      </w:r>
      <w:r w:rsidRPr="00824DFA">
        <w:rPr>
          <w:sz w:val="20"/>
          <w:szCs w:val="20"/>
          <w:lang w:val="en-US"/>
        </w:rPr>
        <w:t>of the first and second magnetic circuits, respectively (A).</w:t>
      </w:r>
      <w:r w:rsidRPr="00B9550E">
        <w:rPr>
          <w:sz w:val="20"/>
          <w:szCs w:val="20"/>
          <w:lang w:val="en-US"/>
        </w:rPr>
        <w:t xml:space="preserve"> </w:t>
      </w:r>
    </w:p>
    <w:p w:rsidR="00952494" w:rsidRDefault="00952494" w:rsidP="00952494">
      <w:pPr>
        <w:pStyle w:val="a5"/>
        <w:spacing w:before="0" w:beforeAutospacing="0" w:after="0" w:afterAutospacing="0"/>
        <w:ind w:firstLine="284"/>
        <w:jc w:val="both"/>
        <w:rPr>
          <w:sz w:val="20"/>
          <w:szCs w:val="20"/>
          <w:lang w:val="en-US"/>
        </w:rPr>
      </w:pPr>
      <w:r w:rsidRPr="000D4E83">
        <w:rPr>
          <w:sz w:val="20"/>
          <w:szCs w:val="20"/>
          <w:lang w:val="en-US"/>
        </w:rPr>
        <w:t>An analysis of the magnetic circuits, together with the derived equations and characteristics, shows that the static characteristics are significantly nonlinear due to the air gap, flux leakage, and edge effects.</w:t>
      </w:r>
      <w:r w:rsidRPr="002A7FB6">
        <w:rPr>
          <w:lang w:val="en-US"/>
        </w:rPr>
        <w:t xml:space="preserve"> </w:t>
      </w:r>
      <w:r w:rsidRPr="002A7FB6">
        <w:rPr>
          <w:sz w:val="20"/>
          <w:szCs w:val="20"/>
          <w:lang w:val="en-US"/>
        </w:rPr>
        <w:t>To obtain a linear static characteristic, a finite element model of the electromagnetic sensor magnetic circuit was developed. Based on this model, it was found that an air gap length of 5 mm provides a linear static characteristic for measur</w:t>
      </w:r>
      <w:r>
        <w:rPr>
          <w:sz w:val="20"/>
          <w:szCs w:val="20"/>
          <w:lang w:val="en-US"/>
        </w:rPr>
        <w:t xml:space="preserve">ement </w:t>
      </w:r>
      <w:r w:rsidRPr="002A7FB6">
        <w:rPr>
          <w:sz w:val="20"/>
          <w:szCs w:val="20"/>
          <w:lang w:val="en-US"/>
        </w:rPr>
        <w:t>the angular acceleration of rotating mechanisms.</w:t>
      </w:r>
    </w:p>
    <w:p w:rsidR="00952494" w:rsidRDefault="00952494" w:rsidP="00952494">
      <w:pPr>
        <w:pStyle w:val="a5"/>
        <w:spacing w:before="0" w:beforeAutospacing="0" w:after="0" w:afterAutospacing="0"/>
        <w:ind w:firstLine="284"/>
        <w:jc w:val="both"/>
        <w:rPr>
          <w:sz w:val="20"/>
          <w:szCs w:val="20"/>
          <w:lang w:val="en-US"/>
        </w:rPr>
      </w:pPr>
    </w:p>
    <w:p w:rsidR="00824DFA" w:rsidRPr="00195247" w:rsidRDefault="00824DFA" w:rsidP="00952494">
      <w:pPr>
        <w:jc w:val="center"/>
        <w:rPr>
          <w:bCs/>
          <w:sz w:val="28"/>
          <w:szCs w:val="28"/>
          <w:lang w:val="en-US"/>
        </w:rPr>
      </w:pPr>
      <w:r w:rsidRPr="00195247">
        <w:rPr>
          <w:noProof/>
          <w:sz w:val="28"/>
          <w:szCs w:val="28"/>
          <w:lang w:val="en-US" w:eastAsia="en-US"/>
        </w:rPr>
        <w:drawing>
          <wp:inline distT="0" distB="0" distL="0" distR="0" wp14:anchorId="51195B11" wp14:editId="54C77B75">
            <wp:extent cx="2470181" cy="1459484"/>
            <wp:effectExtent l="0" t="0" r="6350" b="7620"/>
            <wp:docPr id="14" name="Рисунок 14" descr="D:\1. doktorantura\dissertatsiya\1\26,12\Диаграмма 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doktorantura\dissertatsiya\1\26,12\Диаграмма без названия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5" r="4500" b="-1"/>
                    <a:stretch/>
                  </pic:blipFill>
                  <pic:spPr bwMode="auto">
                    <a:xfrm>
                      <a:off x="0" y="0"/>
                      <a:ext cx="2496080" cy="1474786"/>
                    </a:xfrm>
                    <a:prstGeom prst="rect">
                      <a:avLst/>
                    </a:prstGeom>
                    <a:noFill/>
                    <a:ln>
                      <a:noFill/>
                    </a:ln>
                    <a:extLst>
                      <a:ext uri="{53640926-AAD7-44D8-BBD7-CCE9431645EC}">
                        <a14:shadowObscured xmlns:a14="http://schemas.microsoft.com/office/drawing/2010/main"/>
                      </a:ext>
                    </a:extLst>
                  </pic:spPr>
                </pic:pic>
              </a:graphicData>
            </a:graphic>
          </wp:inline>
        </w:drawing>
      </w:r>
      <w:r w:rsidR="00952494">
        <w:rPr>
          <w:bCs/>
          <w:noProof/>
          <w:sz w:val="28"/>
          <w:szCs w:val="28"/>
          <w:lang w:val="en-US"/>
        </w:rPr>
        <w:t xml:space="preserve">             </w:t>
      </w:r>
      <w:r w:rsidR="003F568B">
        <w:rPr>
          <w:bCs/>
          <w:noProof/>
          <w:sz w:val="28"/>
          <w:szCs w:val="28"/>
          <w:lang w:val="en-US" w:eastAsia="en-US"/>
        </w:rPr>
        <w:drawing>
          <wp:inline distT="0" distB="0" distL="0" distR="0" wp14:anchorId="7BE1CD9B" wp14:editId="2099B9BC">
            <wp:extent cx="2151854" cy="1326852"/>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057" cy="1328827"/>
                    </a:xfrm>
                    <a:prstGeom prst="rect">
                      <a:avLst/>
                    </a:prstGeom>
                    <a:noFill/>
                    <a:ln>
                      <a:noFill/>
                    </a:ln>
                  </pic:spPr>
                </pic:pic>
              </a:graphicData>
            </a:graphic>
          </wp:inline>
        </w:drawing>
      </w:r>
    </w:p>
    <w:p w:rsidR="00824DFA" w:rsidRPr="00614A80" w:rsidRDefault="00952494" w:rsidP="00612F91">
      <w:pPr>
        <w:pStyle w:val="a3"/>
        <w:numPr>
          <w:ilvl w:val="0"/>
          <w:numId w:val="3"/>
        </w:numPr>
        <w:ind w:left="0"/>
        <w:jc w:val="center"/>
        <w:rPr>
          <w:sz w:val="18"/>
          <w:lang w:val="en-US"/>
        </w:rPr>
      </w:pPr>
      <w:r>
        <w:rPr>
          <w:bCs/>
          <w:sz w:val="18"/>
          <w:szCs w:val="28"/>
          <w:lang w:val="en-US"/>
        </w:rPr>
        <w:t xml:space="preserve">                                                                                             </w:t>
      </w:r>
      <w:r w:rsidR="00824DFA" w:rsidRPr="00614A80">
        <w:rPr>
          <w:bCs/>
          <w:sz w:val="18"/>
          <w:szCs w:val="28"/>
          <w:lang w:val="en-US"/>
        </w:rPr>
        <w:t>b)</w:t>
      </w:r>
      <w:r w:rsidR="00612F91">
        <w:rPr>
          <w:b/>
          <w:bCs/>
          <w:sz w:val="18"/>
          <w:lang w:val="en-AU"/>
        </w:rPr>
        <w:t xml:space="preserve"> </w:t>
      </w:r>
      <w:r w:rsidR="00612F91">
        <w:rPr>
          <w:b/>
          <w:bCs/>
          <w:sz w:val="18"/>
          <w:lang w:val="en-AU"/>
        </w:rPr>
        <w:br/>
        <w:t>FIGURE</w:t>
      </w:r>
      <w:r w:rsidR="00824DFA" w:rsidRPr="00952494">
        <w:rPr>
          <w:b/>
          <w:bCs/>
          <w:sz w:val="18"/>
          <w:lang w:val="en-US"/>
        </w:rPr>
        <w:t xml:space="preserve"> 2. </w:t>
      </w:r>
      <w:r w:rsidR="00824DFA" w:rsidRPr="00614A80">
        <w:rPr>
          <w:sz w:val="18"/>
          <w:lang w:val="en-US"/>
        </w:rPr>
        <w:t>Equivalent circuit diagram of the magnetic circuit of the electromagnetic angular acceleration sensor (a) and the edge effect (b).</w:t>
      </w:r>
    </w:p>
    <w:p w:rsidR="00952494" w:rsidRDefault="00952494" w:rsidP="00952494">
      <w:pPr>
        <w:pStyle w:val="a5"/>
        <w:spacing w:before="0" w:beforeAutospacing="0" w:after="0" w:afterAutospacing="0"/>
        <w:ind w:firstLine="284"/>
        <w:jc w:val="both"/>
        <w:rPr>
          <w:sz w:val="20"/>
          <w:szCs w:val="20"/>
          <w:lang w:val="en-US"/>
        </w:rPr>
      </w:pPr>
    </w:p>
    <w:p w:rsidR="006C5F99" w:rsidRDefault="006C5F99" w:rsidP="00952494">
      <w:pPr>
        <w:pStyle w:val="a5"/>
        <w:spacing w:before="0" w:beforeAutospacing="0" w:after="0" w:afterAutospacing="0"/>
        <w:ind w:firstLine="284"/>
        <w:jc w:val="both"/>
        <w:rPr>
          <w:sz w:val="20"/>
          <w:szCs w:val="20"/>
          <w:lang w:val="en-US"/>
        </w:rPr>
      </w:pPr>
      <w:r w:rsidRPr="006C5F99">
        <w:rPr>
          <w:sz w:val="20"/>
          <w:szCs w:val="20"/>
          <w:lang w:val="en-US"/>
        </w:rPr>
        <w:t>FEM</w:t>
      </w:r>
      <w:r w:rsidR="000D4E83">
        <w:rPr>
          <w:sz w:val="20"/>
          <w:szCs w:val="20"/>
          <w:lang w:val="en-US"/>
        </w:rPr>
        <w:t xml:space="preserve"> </w:t>
      </w:r>
      <w:r w:rsidRPr="006C5F99">
        <w:rPr>
          <w:sz w:val="20"/>
          <w:szCs w:val="20"/>
          <w:lang w:val="en-US"/>
        </w:rPr>
        <w:t xml:space="preserve">models of the magnetic circuits are presented in Figure </w:t>
      </w:r>
      <w:r w:rsidR="007C6BBD">
        <w:rPr>
          <w:sz w:val="20"/>
          <w:szCs w:val="20"/>
          <w:lang w:val="en-US"/>
        </w:rPr>
        <w:t>3</w:t>
      </w:r>
      <w:r>
        <w:rPr>
          <w:sz w:val="20"/>
          <w:szCs w:val="20"/>
          <w:lang w:val="en-US"/>
        </w:rPr>
        <w:t xml:space="preserve">, (a). </w:t>
      </w:r>
      <w:r w:rsidRPr="006C5F99">
        <w:rPr>
          <w:sz w:val="20"/>
          <w:szCs w:val="20"/>
          <w:lang w:val="en-US"/>
        </w:rPr>
        <w:t>Using this model, the magnetic</w:t>
      </w:r>
      <w:r w:rsidR="007C6BBD">
        <w:rPr>
          <w:sz w:val="20"/>
          <w:szCs w:val="20"/>
          <w:lang w:val="en-US"/>
        </w:rPr>
        <w:t xml:space="preserve"> flux density</w:t>
      </w:r>
      <w:r w:rsidRPr="006C5F99">
        <w:rPr>
          <w:sz w:val="20"/>
          <w:szCs w:val="20"/>
          <w:lang w:val="en-US"/>
        </w:rPr>
        <w:t xml:space="preserve">, magnetic field </w:t>
      </w:r>
      <w:r>
        <w:rPr>
          <w:sz w:val="20"/>
          <w:szCs w:val="20"/>
          <w:lang w:val="en-US"/>
        </w:rPr>
        <w:t>intensity</w:t>
      </w:r>
      <w:r w:rsidRPr="006C5F99">
        <w:rPr>
          <w:sz w:val="20"/>
          <w:szCs w:val="20"/>
          <w:lang w:val="en-US"/>
        </w:rPr>
        <w:t>, magnetic flux, and other relevant parameters can be obtained at any point within the magnetic circuit</w:t>
      </w:r>
      <w:r w:rsidR="007C6BBD">
        <w:rPr>
          <w:sz w:val="20"/>
          <w:szCs w:val="20"/>
          <w:lang w:val="en-US"/>
        </w:rPr>
        <w:t>(see fig.3, (b))</w:t>
      </w:r>
      <w:r w:rsidRPr="006C5F99">
        <w:rPr>
          <w:sz w:val="20"/>
          <w:szCs w:val="20"/>
          <w:lang w:val="en-US"/>
        </w:rPr>
        <w:t>.</w:t>
      </w:r>
    </w:p>
    <w:p w:rsidR="00952494" w:rsidRDefault="00952494" w:rsidP="00952494">
      <w:pPr>
        <w:pStyle w:val="a5"/>
        <w:spacing w:before="0" w:beforeAutospacing="0" w:after="0" w:afterAutospacing="0"/>
        <w:ind w:firstLine="284"/>
        <w:jc w:val="both"/>
        <w:rPr>
          <w:sz w:val="20"/>
          <w:szCs w:val="20"/>
          <w:lang w:val="en-US"/>
        </w:rPr>
      </w:pPr>
    </w:p>
    <w:p w:rsidR="003A1B32" w:rsidRDefault="003A1B32" w:rsidP="00952494">
      <w:pPr>
        <w:pStyle w:val="a5"/>
        <w:spacing w:before="0" w:beforeAutospacing="0" w:after="0" w:afterAutospacing="0"/>
        <w:jc w:val="center"/>
        <w:rPr>
          <w:sz w:val="18"/>
          <w:szCs w:val="20"/>
          <w:lang w:val="en-US"/>
        </w:rPr>
      </w:pPr>
      <w:r w:rsidRPr="00195247">
        <w:rPr>
          <w:noProof/>
          <w:sz w:val="28"/>
          <w:szCs w:val="28"/>
          <w:lang w:val="en-US" w:eastAsia="en-US"/>
        </w:rPr>
        <w:drawing>
          <wp:inline distT="0" distB="0" distL="0" distR="0" wp14:anchorId="648957A3" wp14:editId="03F3ED4C">
            <wp:extent cx="5434839" cy="3024254"/>
            <wp:effectExtent l="0" t="0" r="0" b="5080"/>
            <wp:docPr id="1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50064" cy="3032726"/>
                    </a:xfrm>
                    <a:prstGeom prst="rect">
                      <a:avLst/>
                    </a:prstGeom>
                    <a:noFill/>
                    <a:ln>
                      <a:noFill/>
                    </a:ln>
                  </pic:spPr>
                </pic:pic>
              </a:graphicData>
            </a:graphic>
          </wp:inline>
        </w:drawing>
      </w:r>
    </w:p>
    <w:p w:rsidR="003A1B32" w:rsidRPr="003A1B32" w:rsidRDefault="003A1B32" w:rsidP="00952494">
      <w:pPr>
        <w:pStyle w:val="a5"/>
        <w:spacing w:before="0" w:beforeAutospacing="0" w:after="0" w:afterAutospacing="0"/>
        <w:ind w:firstLine="284"/>
        <w:jc w:val="center"/>
        <w:rPr>
          <w:sz w:val="18"/>
          <w:szCs w:val="20"/>
          <w:lang w:val="en-US"/>
        </w:rPr>
      </w:pPr>
      <w:r w:rsidRPr="00614A80">
        <w:rPr>
          <w:sz w:val="18"/>
          <w:szCs w:val="20"/>
          <w:lang w:val="en-US"/>
        </w:rPr>
        <w:t>(a)</w:t>
      </w:r>
    </w:p>
    <w:p w:rsidR="003A1B32" w:rsidRDefault="00952494" w:rsidP="00952494">
      <w:pPr>
        <w:pStyle w:val="a5"/>
        <w:spacing w:before="0" w:beforeAutospacing="0" w:after="0" w:afterAutospacing="0"/>
        <w:jc w:val="center"/>
        <w:rPr>
          <w:lang w:val="en-US"/>
        </w:rPr>
      </w:pPr>
      <w:r>
        <w:object w:dxaOrig="6792" w:dyaOrig="4644">
          <v:shape id="_x0000_i1026" type="#_x0000_t75" style="width:318pt;height:217.5pt" o:ole="">
            <v:imagedata r:id="rId14" o:title=""/>
          </v:shape>
          <o:OLEObject Type="Embed" ProgID="PBrush" ShapeID="_x0000_i1026" DrawAspect="Content" ObjectID="_1829389053" r:id="rId15"/>
        </w:object>
      </w:r>
    </w:p>
    <w:p w:rsidR="003A1B32" w:rsidRDefault="003A1B32" w:rsidP="00952494">
      <w:pPr>
        <w:pStyle w:val="a5"/>
        <w:spacing w:before="0" w:beforeAutospacing="0" w:after="0" w:afterAutospacing="0"/>
        <w:jc w:val="center"/>
        <w:rPr>
          <w:sz w:val="18"/>
          <w:szCs w:val="20"/>
          <w:lang w:val="en-US"/>
        </w:rPr>
      </w:pPr>
      <w:r w:rsidRPr="00614A80">
        <w:rPr>
          <w:sz w:val="18"/>
          <w:szCs w:val="20"/>
          <w:lang w:val="en-US"/>
        </w:rPr>
        <w:t>(b)</w:t>
      </w:r>
    </w:p>
    <w:p w:rsidR="003A1B32" w:rsidRDefault="003A1B32" w:rsidP="00952494">
      <w:pPr>
        <w:pStyle w:val="a5"/>
        <w:spacing w:before="0" w:beforeAutospacing="0" w:after="0" w:afterAutospacing="0"/>
        <w:jc w:val="center"/>
        <w:rPr>
          <w:sz w:val="18"/>
          <w:szCs w:val="20"/>
          <w:lang w:val="en-US"/>
        </w:rPr>
      </w:pPr>
      <w:r w:rsidRPr="003A1B32">
        <w:rPr>
          <w:sz w:val="18"/>
          <w:szCs w:val="20"/>
          <w:lang w:val="en-US"/>
        </w:rPr>
        <w:t xml:space="preserve"> </w:t>
      </w:r>
      <w:r w:rsidR="00612F91">
        <w:rPr>
          <w:b/>
          <w:bCs/>
          <w:sz w:val="18"/>
          <w:szCs w:val="20"/>
          <w:lang w:val="en-US"/>
        </w:rPr>
        <w:t xml:space="preserve">FIGURE </w:t>
      </w:r>
      <w:r w:rsidRPr="00952494">
        <w:rPr>
          <w:b/>
          <w:bCs/>
          <w:sz w:val="18"/>
          <w:szCs w:val="20"/>
          <w:lang w:val="en-US"/>
        </w:rPr>
        <w:t>3.</w:t>
      </w:r>
      <w:r w:rsidRPr="00614A80">
        <w:rPr>
          <w:sz w:val="18"/>
          <w:szCs w:val="20"/>
          <w:lang w:val="en-US"/>
        </w:rPr>
        <w:t xml:space="preserve"> Magnetic circuit models obtained using FEM (a) and graph of magnetic flux density dependence on the air gap length (b)</w:t>
      </w:r>
    </w:p>
    <w:p w:rsidR="00952494" w:rsidRDefault="00952494" w:rsidP="00952494">
      <w:pPr>
        <w:pStyle w:val="a5"/>
        <w:spacing w:before="0" w:beforeAutospacing="0" w:after="0" w:afterAutospacing="0"/>
        <w:ind w:firstLine="284"/>
        <w:jc w:val="both"/>
        <w:rPr>
          <w:sz w:val="20"/>
          <w:szCs w:val="20"/>
          <w:lang w:val="en-US"/>
        </w:rPr>
      </w:pPr>
    </w:p>
    <w:p w:rsidR="00FA458A" w:rsidRDefault="00486974" w:rsidP="00952494">
      <w:pPr>
        <w:pStyle w:val="a5"/>
        <w:spacing w:before="0" w:beforeAutospacing="0" w:after="0" w:afterAutospacing="0"/>
        <w:ind w:firstLine="284"/>
        <w:jc w:val="both"/>
        <w:rPr>
          <w:sz w:val="20"/>
          <w:szCs w:val="20"/>
          <w:lang w:val="en-US"/>
        </w:rPr>
      </w:pPr>
      <w:r w:rsidRPr="00486974">
        <w:rPr>
          <w:sz w:val="20"/>
          <w:szCs w:val="20"/>
          <w:lang w:val="en-US"/>
        </w:rPr>
        <w:t>Another factor that significantly influences the accuracy of measur</w:t>
      </w:r>
      <w:r>
        <w:rPr>
          <w:sz w:val="20"/>
          <w:szCs w:val="20"/>
          <w:lang w:val="en-US"/>
        </w:rPr>
        <w:t xml:space="preserve">ement </w:t>
      </w:r>
      <w:r w:rsidRPr="00486974">
        <w:rPr>
          <w:sz w:val="20"/>
          <w:szCs w:val="20"/>
          <w:lang w:val="en-US"/>
        </w:rPr>
        <w:t>the angular acceleration of the tractor's power take-off (PTO) shaft is the noise generated by vibrations of agricultural tractors.</w:t>
      </w:r>
      <w:r w:rsidR="000F7F60" w:rsidRPr="000F7F60">
        <w:rPr>
          <w:sz w:val="20"/>
          <w:szCs w:val="20"/>
          <w:lang w:val="en-US"/>
        </w:rPr>
        <w:t xml:space="preserve"> The measur</w:t>
      </w:r>
      <w:r w:rsidR="000F7F60">
        <w:rPr>
          <w:sz w:val="20"/>
          <w:szCs w:val="20"/>
          <w:lang w:val="en-US"/>
        </w:rPr>
        <w:t xml:space="preserve">ement </w:t>
      </w:r>
      <w:r w:rsidR="000F7F60" w:rsidRPr="000F7F60">
        <w:rPr>
          <w:sz w:val="20"/>
          <w:szCs w:val="20"/>
          <w:lang w:val="en-US"/>
        </w:rPr>
        <w:t>circuit of the electromagnetic sensor, designed to effectively suppress such noise, is analyzed, and the corresponding expression for its input circuit is given as follows:</w:t>
      </w:r>
    </w:p>
    <w:p w:rsidR="00FA458A" w:rsidRPr="00FA458A" w:rsidRDefault="00000000" w:rsidP="00952494">
      <w:pPr>
        <w:rPr>
          <w:rFonts w:eastAsiaTheme="minorEastAsia"/>
          <w:sz w:val="20"/>
          <w:szCs w:val="20"/>
          <w:lang w:val="en-US"/>
        </w:rPr>
      </w:pPr>
      <m:oMathPara>
        <m:oMath>
          <m:sSub>
            <m:sSubPr>
              <m:ctrlPr>
                <w:rPr>
                  <w:rFonts w:ascii="Cambria Math" w:eastAsiaTheme="minorEastAsia" w:hAnsi="Cambria Math"/>
                  <w:i/>
                  <w:sz w:val="20"/>
                  <w:szCs w:val="20"/>
                  <w:lang w:val="en-US"/>
                </w:rPr>
              </m:ctrlPr>
            </m:sSubPr>
            <m:e>
              <m:bar>
                <m:barPr>
                  <m:ctrlPr>
                    <w:rPr>
                      <w:rFonts w:ascii="Cambria Math" w:eastAsiaTheme="minorEastAsia" w:hAnsi="Cambria Math"/>
                      <w:i/>
                      <w:sz w:val="20"/>
                      <w:szCs w:val="20"/>
                      <w:lang w:val="en-US"/>
                    </w:rPr>
                  </m:ctrlPr>
                </m:barPr>
                <m:e>
                  <m:r>
                    <w:rPr>
                      <w:rFonts w:ascii="Cambria Math" w:eastAsiaTheme="minorEastAsia" w:hAnsi="Cambria Math"/>
                      <w:sz w:val="20"/>
                      <w:szCs w:val="20"/>
                      <w:lang w:val="en-US"/>
                    </w:rPr>
                    <m:t>U</m:t>
                  </m:r>
                </m:e>
              </m:bar>
            </m:e>
            <m:sub>
              <m:r>
                <w:rPr>
                  <w:rFonts w:ascii="Cambria Math" w:eastAsiaTheme="minorEastAsia" w:hAnsi="Cambria Math"/>
                  <w:sz w:val="20"/>
                  <w:szCs w:val="20"/>
                  <w:lang w:val="en-US"/>
                </w:rPr>
                <m:t>input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bar>
                <m:barPr>
                  <m:ctrlPr>
                    <w:rPr>
                      <w:rFonts w:ascii="Cambria Math" w:eastAsiaTheme="minorEastAsia" w:hAnsi="Cambria Math"/>
                      <w:i/>
                      <w:sz w:val="20"/>
                      <w:szCs w:val="20"/>
                      <w:lang w:val="en-US"/>
                    </w:rPr>
                  </m:ctrlPr>
                </m:barPr>
                <m:e>
                  <m:r>
                    <w:rPr>
                      <w:rFonts w:ascii="Cambria Math" w:eastAsiaTheme="minorEastAsia" w:hAnsi="Cambria Math"/>
                      <w:sz w:val="20"/>
                      <w:szCs w:val="20"/>
                      <w:lang w:val="en-US"/>
                    </w:rPr>
                    <m:t>U</m:t>
                  </m:r>
                </m:e>
              </m:bar>
            </m:e>
            <m:sub>
              <m:r>
                <w:rPr>
                  <w:rFonts w:ascii="Cambria Math" w:eastAsiaTheme="minorEastAsia" w:hAnsi="Cambria Math"/>
                  <w:sz w:val="20"/>
                  <w:szCs w:val="20"/>
                  <w:lang w:val="en-US"/>
                </w:rPr>
                <m:t>L</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bar>
                <m:barPr>
                  <m:ctrlPr>
                    <w:rPr>
                      <w:rFonts w:ascii="Cambria Math" w:eastAsiaTheme="minorEastAsia" w:hAnsi="Cambria Math"/>
                      <w:i/>
                      <w:sz w:val="20"/>
                      <w:szCs w:val="20"/>
                      <w:lang w:val="en-US"/>
                    </w:rPr>
                  </m:ctrlPr>
                </m:barPr>
                <m:e>
                  <m:r>
                    <w:rPr>
                      <w:rFonts w:ascii="Cambria Math" w:eastAsiaTheme="minorEastAsia" w:hAnsi="Cambria Math"/>
                      <w:sz w:val="20"/>
                      <w:szCs w:val="20"/>
                      <w:lang w:val="en-US"/>
                    </w:rPr>
                    <m:t>U</m:t>
                  </m:r>
                </m:e>
              </m:bar>
            </m:e>
            <m:sub>
              <m:r>
                <w:rPr>
                  <w:rFonts w:ascii="Cambria Math" w:eastAsiaTheme="minorEastAsia" w:hAnsi="Cambria Math"/>
                  <w:sz w:val="20"/>
                  <w:szCs w:val="20"/>
                  <w:lang w:val="en-US"/>
                </w:rPr>
                <m:t>R</m:t>
              </m:r>
            </m:sub>
          </m:sSub>
          <m:r>
            <w:rPr>
              <w:rFonts w:ascii="Cambria Math" w:eastAsiaTheme="minorEastAsia" w:hAnsi="Cambria Math"/>
              <w:sz w:val="20"/>
              <w:szCs w:val="20"/>
              <w:lang w:val="en-US"/>
            </w:rPr>
            <m:t>=L</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di</m:t>
              </m:r>
            </m:num>
            <m:den>
              <m:r>
                <w:rPr>
                  <w:rFonts w:ascii="Cambria Math" w:eastAsiaTheme="minorEastAsia" w:hAnsi="Cambria Math"/>
                  <w:sz w:val="20"/>
                  <w:szCs w:val="20"/>
                  <w:lang w:val="en-US"/>
                </w:rPr>
                <m:t>dt</m:t>
              </m:r>
            </m:den>
          </m:f>
          <m:r>
            <w:rPr>
              <w:rFonts w:ascii="Cambria Math" w:eastAsiaTheme="minorEastAsia" w:hAnsi="Cambria Math"/>
              <w:sz w:val="20"/>
              <w:szCs w:val="20"/>
              <w:lang w:val="en-US"/>
            </w:rPr>
            <m:t>+i∙R=L∙</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d</m:t>
              </m:r>
              <m:d>
                <m:dPr>
                  <m:ctrlPr>
                    <w:rPr>
                      <w:rFonts w:ascii="Cambria Math" w:eastAsiaTheme="minorEastAsia" w:hAnsi="Cambria Math"/>
                      <w:i/>
                      <w:sz w:val="20"/>
                      <w:szCs w:val="20"/>
                      <w:lang w:val="en-US"/>
                    </w:rPr>
                  </m:ctrlPr>
                </m:dPr>
                <m:e>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e>
              </m:d>
            </m:num>
            <m:den>
              <m:r>
                <w:rPr>
                  <w:rFonts w:ascii="Cambria Math" w:eastAsiaTheme="minorEastAsia" w:hAnsi="Cambria Math"/>
                  <w:sz w:val="20"/>
                  <w:szCs w:val="20"/>
                  <w:lang w:val="en-US"/>
                </w:rPr>
                <m:t>di</m:t>
              </m:r>
            </m:den>
          </m:f>
          <m:r>
            <w:rPr>
              <w:rFonts w:ascii="Cambria Math" w:eastAsiaTheme="minorEastAsia" w:hAnsi="Cambria Math"/>
              <w:sz w:val="20"/>
              <w:szCs w:val="20"/>
              <w:lang w:val="en-US"/>
            </w:rPr>
            <m:t>+R∙</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r>
            <w:rPr>
              <w:rFonts w:ascii="Cambria Math" w:eastAsiaTheme="minorEastAsia" w:hAnsi="Cambria Math"/>
              <w:sz w:val="20"/>
              <w:szCs w:val="20"/>
              <w:lang w:val="en-US"/>
            </w:rPr>
            <m:t>=</m:t>
          </m:r>
        </m:oMath>
      </m:oMathPara>
    </w:p>
    <w:p w:rsidR="00FA458A" w:rsidRPr="00FA458A" w:rsidRDefault="00FA458A" w:rsidP="00952494">
      <w:pPr>
        <w:rPr>
          <w:rFonts w:eastAsiaTheme="minorEastAsia"/>
          <w:sz w:val="20"/>
          <w:szCs w:val="20"/>
          <w:lang w:val="en-US"/>
        </w:rPr>
      </w:pPr>
      <m:oMathPara>
        <m:oMath>
          <m:r>
            <w:rPr>
              <w:rFonts w:ascii="Cambria Math" w:eastAsiaTheme="minorEastAsia" w:hAnsi="Cambria Math"/>
              <w:sz w:val="20"/>
              <w:szCs w:val="20"/>
              <w:lang w:val="en-US"/>
            </w:rPr>
            <m:t>=jωL∙</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r>
            <w:rPr>
              <w:rFonts w:ascii="Cambria Math" w:eastAsiaTheme="minorEastAsia" w:hAnsi="Cambria Math"/>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r>
            <w:rPr>
              <w:rFonts w:ascii="Cambria Math" w:eastAsiaTheme="minorEastAsia" w:hAnsi="Cambria Math"/>
              <w:sz w:val="20"/>
              <w:szCs w:val="20"/>
              <w:lang w:val="en-US"/>
            </w:rPr>
            <m:t>+R∙</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r>
            <w:rPr>
              <w:rFonts w:ascii="Cambria Math" w:eastAsiaTheme="minorEastAsia" w:hAnsi="Cambria Math"/>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r>
            <w:rPr>
              <w:rFonts w:ascii="Cambria Math" w:eastAsiaTheme="minorEastAsia" w:hAnsi="Cambria Math"/>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R+jωL</m:t>
              </m:r>
            </m:e>
          </m:d>
          <m:r>
            <w:rPr>
              <w:rFonts w:ascii="Cambria Math" w:eastAsiaTheme="minorEastAsia" w:hAnsi="Cambria Math"/>
              <w:sz w:val="20"/>
              <w:szCs w:val="20"/>
              <w:lang w:val="en-US"/>
            </w:rPr>
            <m:t>=</m:t>
          </m:r>
        </m:oMath>
      </m:oMathPara>
    </w:p>
    <w:p w:rsidR="00FA458A" w:rsidRPr="00FA458A" w:rsidRDefault="00FA458A" w:rsidP="00952494">
      <w:pPr>
        <w:pStyle w:val="a5"/>
        <w:spacing w:before="0" w:beforeAutospacing="0" w:after="0" w:afterAutospacing="0"/>
        <w:ind w:firstLine="709"/>
        <w:jc w:val="right"/>
        <w:rPr>
          <w:sz w:val="20"/>
          <w:szCs w:val="20"/>
          <w:lang w:val="en-US"/>
        </w:rPr>
      </w:pPr>
      <m:oMath>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m</m:t>
            </m:r>
          </m:sub>
        </m:sSub>
        <m:r>
          <w:rPr>
            <w:rFonts w:ascii="Cambria Math" w:eastAsiaTheme="minorEastAsia" w:hAnsi="Cambria Math"/>
            <w:sz w:val="20"/>
            <w:szCs w:val="20"/>
            <w:lang w:val="en-US"/>
          </w:rPr>
          <m:t>∙</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j</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ωt+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φ</m:t>
                    </m:r>
                  </m:e>
                  <m:sub>
                    <m:r>
                      <w:rPr>
                        <w:rFonts w:ascii="Cambria Math" w:eastAsiaTheme="minorEastAsia" w:hAnsi="Cambria Math"/>
                        <w:sz w:val="20"/>
                        <w:szCs w:val="20"/>
                        <w:lang w:val="en-US"/>
                      </w:rPr>
                      <m:t>i</m:t>
                    </m:r>
                  </m:sub>
                </m:sSub>
              </m:e>
            </m:d>
          </m:sup>
        </m:sSup>
        <m:r>
          <w:rPr>
            <w:rFonts w:ascii="Cambria Math" w:eastAsiaTheme="minorEastAsia" w:hAnsi="Cambria Math"/>
            <w:sz w:val="20"/>
            <w:szCs w:val="20"/>
            <w:lang w:val="en-US"/>
          </w:rPr>
          <m:t>(R+j</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X</m:t>
            </m:r>
          </m:e>
          <m:sub>
            <m:r>
              <w:rPr>
                <w:rFonts w:ascii="Cambria Math" w:eastAsiaTheme="minorEastAsia" w:hAnsi="Cambria Math"/>
                <w:sz w:val="20"/>
                <w:szCs w:val="20"/>
                <w:lang w:val="en-US"/>
              </w:rPr>
              <m:t>L</m:t>
            </m:r>
          </m:sub>
        </m:sSub>
        <m:r>
          <w:rPr>
            <w:rFonts w:ascii="Cambria Math" w:eastAsiaTheme="minorEastAsia" w:hAnsi="Cambria Math"/>
            <w:sz w:val="20"/>
            <w:szCs w:val="20"/>
            <w:lang w:val="en-US"/>
          </w:rPr>
          <m:t>)</m:t>
        </m:r>
      </m:oMath>
      <w:r>
        <w:rPr>
          <w:sz w:val="20"/>
          <w:szCs w:val="20"/>
          <w:lang w:val="en-US"/>
        </w:rPr>
        <w:t xml:space="preserve">                                                                                                                       (4)</w:t>
      </w:r>
    </w:p>
    <w:p w:rsidR="00FA458A" w:rsidRDefault="00FA458A" w:rsidP="00952494">
      <w:pPr>
        <w:jc w:val="both"/>
        <w:rPr>
          <w:rFonts w:eastAsiaTheme="minorEastAsia"/>
          <w:sz w:val="20"/>
          <w:szCs w:val="20"/>
          <w:lang w:val="en-US"/>
        </w:rPr>
      </w:pPr>
    </w:p>
    <w:p w:rsidR="00FA458A" w:rsidRPr="000F7F60" w:rsidRDefault="00FA458A" w:rsidP="00952494">
      <w:pPr>
        <w:jc w:val="both"/>
        <w:rPr>
          <w:rFonts w:eastAsiaTheme="minorEastAsia"/>
          <w:sz w:val="20"/>
          <w:szCs w:val="20"/>
          <w:lang w:val="en-US"/>
        </w:rPr>
      </w:pPr>
      <w:r w:rsidRPr="00FA458A">
        <w:rPr>
          <w:rFonts w:eastAsiaTheme="minorEastAsia"/>
          <w:sz w:val="20"/>
          <w:szCs w:val="20"/>
          <w:lang w:val="en-US"/>
        </w:rPr>
        <w:t>Then the output voltage of the circuit is equal to:</w:t>
      </w:r>
    </w:p>
    <w:p w:rsidR="00FA458A" w:rsidRPr="00FA458A" w:rsidRDefault="00000000" w:rsidP="00952494">
      <w:pPr>
        <w:jc w:val="right"/>
        <w:rPr>
          <w:rFonts w:ascii="Courier New" w:eastAsiaTheme="minorEastAsia" w:hAnsi="Courier New" w:cs="Courier New"/>
          <w:sz w:val="20"/>
          <w:szCs w:val="20"/>
          <w:lang w:val="en-US"/>
        </w:rPr>
      </w:pPr>
      <m:oMath>
        <m:sSub>
          <m:sSubPr>
            <m:ctrlPr>
              <w:rPr>
                <w:rFonts w:ascii="Cambria Math" w:eastAsiaTheme="minorEastAsia" w:hAnsi="Cambria Math" w:cs="Courier New"/>
                <w:i/>
                <w:sz w:val="20"/>
                <w:szCs w:val="20"/>
                <w:lang w:val="en-US"/>
              </w:rPr>
            </m:ctrlPr>
          </m:sSubPr>
          <m:e>
            <m:bar>
              <m:barPr>
                <m:ctrlPr>
                  <w:rPr>
                    <w:rFonts w:ascii="Cambria Math" w:eastAsiaTheme="minorEastAsia" w:hAnsi="Cambria Math" w:cs="Courier New"/>
                    <w:i/>
                    <w:sz w:val="20"/>
                    <w:szCs w:val="20"/>
                    <w:lang w:val="en-US"/>
                  </w:rPr>
                </m:ctrlPr>
              </m:barPr>
              <m:e>
                <m:r>
                  <w:rPr>
                    <w:rFonts w:ascii="Cambria Math" w:eastAsiaTheme="minorEastAsia" w:hAnsi="Cambria Math" w:cs="Courier New"/>
                    <w:sz w:val="20"/>
                    <w:szCs w:val="20"/>
                    <w:lang w:val="en-US"/>
                  </w:rPr>
                  <m:t>U</m:t>
                </m:r>
              </m:e>
            </m:bar>
          </m:e>
          <m:sub>
            <m:r>
              <w:rPr>
                <w:rFonts w:ascii="Cambria Math" w:eastAsiaTheme="minorEastAsia" w:hAnsi="Cambria Math" w:cs="Courier New"/>
                <w:sz w:val="20"/>
                <w:szCs w:val="20"/>
                <w:lang w:val="en-US"/>
              </w:rPr>
              <m:t>output</m:t>
            </m:r>
          </m:sub>
        </m:sSub>
        <m:r>
          <w:rPr>
            <w:rFonts w:ascii="Cambria Math" w:eastAsiaTheme="minorEastAsia" w:hAnsi="Cambria Math" w:cs="Courier New"/>
            <w:sz w:val="20"/>
            <w:szCs w:val="20"/>
            <w:lang w:val="en-US"/>
          </w:rPr>
          <m:t>=</m:t>
        </m:r>
        <m:bar>
          <m:barPr>
            <m:ctrlPr>
              <w:rPr>
                <w:rFonts w:ascii="Cambria Math" w:eastAsiaTheme="minorEastAsia" w:hAnsi="Cambria Math" w:cs="Courier New"/>
                <w:i/>
                <w:sz w:val="20"/>
                <w:szCs w:val="20"/>
                <w:lang w:val="en-US"/>
              </w:rPr>
            </m:ctrlPr>
          </m:barPr>
          <m:e>
            <m:r>
              <w:rPr>
                <w:rFonts w:ascii="Cambria Math" w:eastAsiaTheme="minorEastAsia" w:hAnsi="Cambria Math" w:cs="Courier New"/>
                <w:sz w:val="20"/>
                <w:szCs w:val="20"/>
                <w:lang w:val="en-US"/>
              </w:rPr>
              <m:t>I</m:t>
            </m:r>
          </m:e>
        </m:bar>
        <m:r>
          <w:rPr>
            <w:rFonts w:ascii="Cambria Math" w:eastAsiaTheme="minorEastAsia" w:hAnsi="Cambria Math" w:cs="Courier New"/>
            <w:sz w:val="20"/>
            <w:szCs w:val="20"/>
            <w:lang w:val="en-US"/>
          </w:rPr>
          <m:t>∙R=</m:t>
        </m:r>
        <m:f>
          <m:fPr>
            <m:ctrlPr>
              <w:rPr>
                <w:rFonts w:ascii="Cambria Math" w:eastAsiaTheme="minorEastAsia" w:hAnsi="Cambria Math" w:cs="Courier New"/>
                <w:i/>
                <w:sz w:val="20"/>
                <w:szCs w:val="20"/>
                <w:lang w:val="en-US"/>
              </w:rPr>
            </m:ctrlPr>
          </m:fPr>
          <m:num>
            <m:sSub>
              <m:sSubPr>
                <m:ctrlPr>
                  <w:rPr>
                    <w:rFonts w:ascii="Cambria Math" w:eastAsiaTheme="minorEastAsia" w:hAnsi="Cambria Math" w:cs="Courier New"/>
                    <w:i/>
                    <w:sz w:val="20"/>
                    <w:szCs w:val="20"/>
                    <w:lang w:val="en-US"/>
                  </w:rPr>
                </m:ctrlPr>
              </m:sSubPr>
              <m:e>
                <m:bar>
                  <m:barPr>
                    <m:ctrlPr>
                      <w:rPr>
                        <w:rFonts w:ascii="Cambria Math" w:eastAsiaTheme="minorEastAsia" w:hAnsi="Cambria Math" w:cs="Courier New"/>
                        <w:i/>
                        <w:sz w:val="20"/>
                        <w:szCs w:val="20"/>
                        <w:lang w:val="en-US"/>
                      </w:rPr>
                    </m:ctrlPr>
                  </m:barPr>
                  <m:e>
                    <m:r>
                      <w:rPr>
                        <w:rFonts w:ascii="Cambria Math" w:eastAsiaTheme="minorEastAsia" w:hAnsi="Cambria Math" w:cs="Courier New"/>
                        <w:sz w:val="20"/>
                        <w:szCs w:val="20"/>
                        <w:lang w:val="en-US"/>
                      </w:rPr>
                      <m:t>U</m:t>
                    </m:r>
                  </m:e>
                </m:bar>
              </m:e>
              <m:sub>
                <m:r>
                  <w:rPr>
                    <w:rFonts w:ascii="Cambria Math" w:eastAsiaTheme="minorEastAsia" w:hAnsi="Cambria Math" w:cs="Courier New"/>
                    <w:sz w:val="20"/>
                    <w:szCs w:val="20"/>
                    <w:lang w:val="en-US"/>
                  </w:rPr>
                  <m:t>input</m:t>
                </m:r>
              </m:sub>
            </m:sSub>
          </m:num>
          <m:den>
            <m:r>
              <w:rPr>
                <w:rFonts w:ascii="Cambria Math" w:eastAsiaTheme="minorEastAsia" w:hAnsi="Cambria Math" w:cs="Courier New"/>
                <w:sz w:val="20"/>
                <w:szCs w:val="20"/>
                <w:lang w:val="en-US"/>
              </w:rPr>
              <m:t>R+jωL</m:t>
            </m:r>
          </m:den>
        </m:f>
        <m:r>
          <w:rPr>
            <w:rFonts w:ascii="Cambria Math" w:eastAsiaTheme="minorEastAsia" w:hAnsi="Cambria Math" w:cs="Courier New"/>
            <w:sz w:val="20"/>
            <w:szCs w:val="20"/>
            <w:lang w:val="en-US"/>
          </w:rPr>
          <m:t>∙R=</m:t>
        </m:r>
        <m:sSub>
          <m:sSubPr>
            <m:ctrlPr>
              <w:rPr>
                <w:rFonts w:ascii="Cambria Math" w:eastAsiaTheme="minorEastAsia" w:hAnsi="Cambria Math" w:cs="Courier New"/>
                <w:i/>
                <w:sz w:val="20"/>
                <w:szCs w:val="20"/>
                <w:lang w:val="en-US"/>
              </w:rPr>
            </m:ctrlPr>
          </m:sSubPr>
          <m:e>
            <m:bar>
              <m:barPr>
                <m:ctrlPr>
                  <w:rPr>
                    <w:rFonts w:ascii="Cambria Math" w:eastAsiaTheme="minorEastAsia" w:hAnsi="Cambria Math" w:cs="Courier New"/>
                    <w:i/>
                    <w:sz w:val="20"/>
                    <w:szCs w:val="20"/>
                    <w:lang w:val="en-US"/>
                  </w:rPr>
                </m:ctrlPr>
              </m:barPr>
              <m:e>
                <m:r>
                  <w:rPr>
                    <w:rFonts w:ascii="Cambria Math" w:eastAsiaTheme="minorEastAsia" w:hAnsi="Cambria Math" w:cs="Courier New"/>
                    <w:sz w:val="20"/>
                    <w:szCs w:val="20"/>
                    <w:lang w:val="en-US"/>
                  </w:rPr>
                  <m:t>U</m:t>
                </m:r>
              </m:e>
            </m:bar>
          </m:e>
          <m:sub>
            <m:r>
              <w:rPr>
                <w:rFonts w:ascii="Cambria Math" w:eastAsiaTheme="minorEastAsia" w:hAnsi="Cambria Math" w:cs="Courier New"/>
                <w:sz w:val="20"/>
                <w:szCs w:val="20"/>
                <w:lang w:val="en-US"/>
              </w:rPr>
              <m:t>input</m:t>
            </m:r>
          </m:sub>
        </m:sSub>
        <m:r>
          <w:rPr>
            <w:rFonts w:ascii="Cambria Math" w:eastAsiaTheme="minorEastAsia" w:hAnsi="Cambria Math" w:cs="Courier New"/>
            <w:sz w:val="20"/>
            <w:szCs w:val="20"/>
            <w:lang w:val="en-US"/>
          </w:rPr>
          <m:t>∙</m:t>
        </m:r>
        <m:f>
          <m:fPr>
            <m:ctrlPr>
              <w:rPr>
                <w:rFonts w:ascii="Cambria Math" w:eastAsiaTheme="minorEastAsia" w:hAnsi="Cambria Math" w:cs="Courier New"/>
                <w:i/>
                <w:sz w:val="20"/>
                <w:szCs w:val="20"/>
                <w:lang w:val="en-US"/>
              </w:rPr>
            </m:ctrlPr>
          </m:fPr>
          <m:num>
            <m:r>
              <w:rPr>
                <w:rFonts w:ascii="Cambria Math" w:eastAsiaTheme="minorEastAsia" w:hAnsi="Cambria Math" w:cs="Courier New"/>
                <w:sz w:val="20"/>
                <w:szCs w:val="20"/>
                <w:lang w:val="en-US"/>
              </w:rPr>
              <m:t>1</m:t>
            </m:r>
          </m:num>
          <m:den>
            <m:r>
              <w:rPr>
                <w:rFonts w:ascii="Cambria Math" w:eastAsiaTheme="minorEastAsia" w:hAnsi="Cambria Math" w:cs="Courier New"/>
                <w:sz w:val="20"/>
                <w:szCs w:val="20"/>
                <w:lang w:val="en-US"/>
              </w:rPr>
              <m:t>1+jω</m:t>
            </m:r>
            <m:f>
              <m:fPr>
                <m:ctrlPr>
                  <w:rPr>
                    <w:rFonts w:ascii="Cambria Math" w:eastAsiaTheme="minorEastAsia" w:hAnsi="Cambria Math" w:cs="Courier New"/>
                    <w:i/>
                    <w:sz w:val="20"/>
                    <w:szCs w:val="20"/>
                    <w:lang w:val="en-US"/>
                  </w:rPr>
                </m:ctrlPr>
              </m:fPr>
              <m:num>
                <m:r>
                  <w:rPr>
                    <w:rFonts w:ascii="Cambria Math" w:eastAsiaTheme="minorEastAsia" w:hAnsi="Cambria Math" w:cs="Courier New"/>
                    <w:sz w:val="20"/>
                    <w:szCs w:val="20"/>
                    <w:lang w:val="en-US"/>
                  </w:rPr>
                  <m:t>L</m:t>
                </m:r>
              </m:num>
              <m:den>
                <m:r>
                  <w:rPr>
                    <w:rFonts w:ascii="Cambria Math" w:eastAsiaTheme="minorEastAsia" w:hAnsi="Cambria Math" w:cs="Courier New"/>
                    <w:sz w:val="20"/>
                    <w:szCs w:val="20"/>
                    <w:lang w:val="en-US"/>
                  </w:rPr>
                  <m:t>R</m:t>
                </m:r>
              </m:den>
            </m:f>
          </m:den>
        </m:f>
        <m:r>
          <w:rPr>
            <w:rFonts w:ascii="Cambria Math" w:eastAsiaTheme="minorEastAsia" w:hAnsi="Cambria Math" w:cs="Courier New"/>
            <w:sz w:val="20"/>
            <w:szCs w:val="20"/>
            <w:lang w:val="en-US"/>
          </w:rPr>
          <m:t>=</m:t>
        </m:r>
        <m:bar>
          <m:barPr>
            <m:ctrlPr>
              <w:rPr>
                <w:rFonts w:ascii="Cambria Math" w:eastAsiaTheme="minorEastAsia" w:hAnsi="Cambria Math" w:cs="Courier New"/>
                <w:i/>
                <w:sz w:val="20"/>
                <w:szCs w:val="20"/>
                <w:lang w:val="en-US"/>
              </w:rPr>
            </m:ctrlPr>
          </m:barPr>
          <m:e>
            <m:r>
              <w:rPr>
                <w:rFonts w:ascii="Cambria Math" w:eastAsiaTheme="minorEastAsia" w:hAnsi="Cambria Math" w:cs="Courier New"/>
                <w:sz w:val="20"/>
                <w:szCs w:val="20"/>
                <w:lang w:val="en-US"/>
              </w:rPr>
              <m:t>U</m:t>
            </m:r>
          </m:e>
        </m:bar>
        <m:r>
          <w:rPr>
            <w:rFonts w:ascii="Cambria Math" w:eastAsiaTheme="minorEastAsia" w:hAnsi="Cambria Math" w:cs="Courier New"/>
            <w:sz w:val="20"/>
            <w:szCs w:val="20"/>
            <w:lang w:val="en-US"/>
          </w:rPr>
          <m:t>∙K(f)</m:t>
        </m:r>
      </m:oMath>
      <w:r w:rsidR="00FA458A" w:rsidRPr="00FA458A">
        <w:rPr>
          <w:rFonts w:ascii="Courier New" w:eastAsiaTheme="minorEastAsia" w:hAnsi="Courier New" w:cs="Courier New"/>
          <w:sz w:val="20"/>
          <w:szCs w:val="20"/>
          <w:lang w:val="en-US"/>
        </w:rPr>
        <w:t xml:space="preserve"> ,</w:t>
      </w:r>
      <w:r w:rsidR="00FA458A">
        <w:rPr>
          <w:rFonts w:ascii="Courier New" w:eastAsiaTheme="minorEastAsia" w:hAnsi="Courier New" w:cs="Courier New"/>
          <w:sz w:val="20"/>
          <w:szCs w:val="20"/>
          <w:lang w:val="en-US"/>
        </w:rPr>
        <w:t xml:space="preserve">                   </w:t>
      </w:r>
      <w:r w:rsidR="00FA458A" w:rsidRPr="00FA458A">
        <w:rPr>
          <w:rFonts w:ascii="Courier New" w:eastAsiaTheme="minorEastAsia" w:hAnsi="Courier New" w:cs="Courier New"/>
          <w:sz w:val="20"/>
          <w:szCs w:val="20"/>
          <w:lang w:val="en-US"/>
        </w:rPr>
        <w:t xml:space="preserve"> </w:t>
      </w:r>
      <w:r w:rsidR="00FA458A" w:rsidRPr="00FA458A">
        <w:rPr>
          <w:rFonts w:eastAsiaTheme="minorEastAsia"/>
          <w:sz w:val="20"/>
          <w:szCs w:val="20"/>
          <w:lang w:val="en-US"/>
        </w:rPr>
        <w:t>(</w:t>
      </w:r>
      <w:r w:rsidR="00FA458A">
        <w:rPr>
          <w:rFonts w:eastAsiaTheme="minorEastAsia"/>
          <w:sz w:val="20"/>
          <w:szCs w:val="20"/>
          <w:lang w:val="en-US"/>
        </w:rPr>
        <w:t>5</w:t>
      </w:r>
      <w:r w:rsidR="00FA458A" w:rsidRPr="00FA458A">
        <w:rPr>
          <w:rFonts w:eastAsiaTheme="minorEastAsia"/>
          <w:sz w:val="20"/>
          <w:szCs w:val="20"/>
          <w:lang w:val="en-US"/>
        </w:rPr>
        <w:t>)</w:t>
      </w:r>
    </w:p>
    <w:p w:rsidR="000F7F60" w:rsidRPr="007C0192" w:rsidRDefault="007C0192" w:rsidP="00952494">
      <w:pPr>
        <w:pStyle w:val="a5"/>
        <w:spacing w:before="0" w:beforeAutospacing="0" w:after="0" w:afterAutospacing="0"/>
        <w:ind w:firstLine="284"/>
        <w:jc w:val="both"/>
        <w:rPr>
          <w:sz w:val="20"/>
          <w:szCs w:val="20"/>
          <w:lang w:val="en-US"/>
        </w:rPr>
      </w:pPr>
      <w:r>
        <w:rPr>
          <w:sz w:val="20"/>
          <w:szCs w:val="20"/>
          <w:lang w:val="en-US"/>
        </w:rPr>
        <w:t>w</w:t>
      </w:r>
      <w:r w:rsidRPr="007C0192">
        <w:rPr>
          <w:sz w:val="20"/>
          <w:szCs w:val="20"/>
          <w:lang w:val="en-US"/>
        </w:rPr>
        <w:t>here</w:t>
      </w:r>
      <w:r>
        <w:rPr>
          <w:sz w:val="20"/>
          <w:szCs w:val="20"/>
          <w:lang w:val="en-US"/>
        </w:rPr>
        <w:t xml:space="preserve">, </w:t>
      </w:r>
      <w:r w:rsidRPr="007C0192">
        <w:rPr>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K</m:t>
            </m:r>
          </m:e>
          <m:sub>
            <m:r>
              <w:rPr>
                <w:rFonts w:ascii="Cambria Math" w:eastAsiaTheme="minorEastAsia" w:hAnsi="Cambria Math"/>
                <w:sz w:val="20"/>
                <w:szCs w:val="20"/>
                <w:lang w:val="en-US"/>
              </w:rPr>
              <m:t>t.c</m:t>
            </m:r>
          </m:sub>
        </m:sSub>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1</m:t>
            </m:r>
          </m:num>
          <m:den>
            <m:r>
              <w:rPr>
                <w:rFonts w:ascii="Cambria Math" w:eastAsiaTheme="minorEastAsia" w:hAnsi="Cambria Math"/>
                <w:sz w:val="20"/>
                <w:szCs w:val="20"/>
                <w:lang w:val="en-US"/>
              </w:rPr>
              <m:t>1+jω</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L</m:t>
                </m:r>
              </m:num>
              <m:den>
                <m:r>
                  <w:rPr>
                    <w:rFonts w:ascii="Cambria Math" w:eastAsiaTheme="minorEastAsia" w:hAnsi="Cambria Math"/>
                    <w:sz w:val="20"/>
                    <w:szCs w:val="20"/>
                    <w:lang w:val="en-US"/>
                  </w:rPr>
                  <m:t>R</m:t>
                </m:r>
              </m:den>
            </m:f>
          </m:den>
        </m:f>
      </m:oMath>
      <w:r w:rsidRPr="007C0192">
        <w:rPr>
          <w:sz w:val="20"/>
          <w:szCs w:val="20"/>
          <w:lang w:val="en-US"/>
        </w:rPr>
        <w:t xml:space="preserve">  - this is referred to as the transmission coefficient of the circuit.</w:t>
      </w:r>
    </w:p>
    <w:p w:rsidR="000F7F60" w:rsidRPr="008E4122" w:rsidRDefault="007C0192" w:rsidP="00952494">
      <w:pPr>
        <w:pStyle w:val="a5"/>
        <w:spacing w:before="0" w:beforeAutospacing="0" w:after="0" w:afterAutospacing="0"/>
        <w:ind w:firstLine="284"/>
        <w:jc w:val="both"/>
        <w:rPr>
          <w:sz w:val="20"/>
          <w:szCs w:val="20"/>
          <w:lang w:val="en-US"/>
        </w:rPr>
      </w:pPr>
      <w:r w:rsidRPr="008E4122">
        <w:rPr>
          <w:sz w:val="20"/>
          <w:szCs w:val="20"/>
          <w:lang w:val="en-US"/>
        </w:rPr>
        <w:t>The equasion (5) derived above fully describes the frequency response of the integrating circuit. In this equasion, its magnitude is given as follows, representing the amplitude</w:t>
      </w:r>
      <w:r w:rsidR="00A67D86">
        <w:rPr>
          <w:sz w:val="20"/>
          <w:szCs w:val="20"/>
          <w:lang w:val="en-US"/>
        </w:rPr>
        <w:t>-</w:t>
      </w:r>
      <w:r w:rsidRPr="008E4122">
        <w:rPr>
          <w:sz w:val="20"/>
          <w:szCs w:val="20"/>
          <w:lang w:val="en-US"/>
        </w:rPr>
        <w:t>frequency response (A</w:t>
      </w:r>
      <w:r w:rsidR="008E4122" w:rsidRPr="008E4122">
        <w:rPr>
          <w:sz w:val="20"/>
          <w:szCs w:val="20"/>
          <w:lang w:val="en-US"/>
        </w:rPr>
        <w:t>FR</w:t>
      </w:r>
      <w:r w:rsidRPr="008E4122">
        <w:rPr>
          <w:sz w:val="20"/>
          <w:szCs w:val="20"/>
          <w:lang w:val="en-US"/>
        </w:rPr>
        <w:t>) of the integrating circuit comprising an inductance:</w:t>
      </w:r>
    </w:p>
    <w:p w:rsidR="008E4122" w:rsidRPr="00FA458A" w:rsidRDefault="00000000" w:rsidP="00952494">
      <w:pPr>
        <w:jc w:val="right"/>
        <w:rPr>
          <w:rFonts w:ascii="Courier New" w:eastAsiaTheme="minorEastAsia" w:hAnsi="Courier New" w:cs="Courier New"/>
          <w:sz w:val="20"/>
          <w:szCs w:val="20"/>
          <w:lang w:val="en-US"/>
        </w:rPr>
      </w:pPr>
      <m:oMath>
        <m:d>
          <m:dPr>
            <m:begChr m:val="|"/>
            <m:endChr m:val="|"/>
            <m:ctrlPr>
              <w:rPr>
                <w:rFonts w:ascii="Cambria Math" w:eastAsiaTheme="minorEastAsia" w:hAnsi="Cambria Math"/>
                <w:i/>
                <w:sz w:val="20"/>
                <w:szCs w:val="20"/>
                <w:lang w:val="en-US"/>
              </w:rPr>
            </m:ctrlPr>
          </m:dPr>
          <m:e>
            <m:r>
              <w:rPr>
                <w:rFonts w:ascii="Cambria Math" w:eastAsiaTheme="minorEastAsia" w:hAnsi="Cambria Math"/>
                <w:sz w:val="20"/>
                <w:szCs w:val="20"/>
                <w:lang w:val="en-US"/>
              </w:rPr>
              <m:t>K(f)</m:t>
            </m:r>
          </m:e>
        </m:d>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1</m:t>
            </m:r>
          </m:num>
          <m:den>
            <m:rad>
              <m:radPr>
                <m:degHide m:val="1"/>
                <m:ctrlPr>
                  <w:rPr>
                    <w:rFonts w:ascii="Cambria Math" w:eastAsiaTheme="minorEastAsia" w:hAnsi="Cambria Math"/>
                    <w:i/>
                    <w:sz w:val="20"/>
                    <w:szCs w:val="20"/>
                    <w:lang w:val="en-US"/>
                  </w:rPr>
                </m:ctrlPr>
              </m:radPr>
              <m:deg/>
              <m:e>
                <m:r>
                  <w:rPr>
                    <w:rFonts w:ascii="Cambria Math" w:eastAsiaTheme="minorEastAsia" w:hAnsi="Cambria Math"/>
                    <w:sz w:val="20"/>
                    <w:szCs w:val="20"/>
                    <w:lang w:val="en-US"/>
                  </w:rPr>
                  <m:t>1+</m:t>
                </m:r>
                <m:sSup>
                  <m:sSupPr>
                    <m:ctrlPr>
                      <w:rPr>
                        <w:rFonts w:ascii="Cambria Math" w:eastAsiaTheme="minorEastAsia" w:hAnsi="Cambria Math"/>
                        <w:i/>
                        <w:sz w:val="20"/>
                        <w:szCs w:val="20"/>
                        <w:lang w:val="en-US"/>
                      </w:rPr>
                    </m:ctrlPr>
                  </m:sSupPr>
                  <m:e>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2πf∙</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L</m:t>
                            </m:r>
                          </m:num>
                          <m:den>
                            <m:r>
                              <w:rPr>
                                <w:rFonts w:ascii="Cambria Math" w:eastAsiaTheme="minorEastAsia" w:hAnsi="Cambria Math"/>
                                <w:sz w:val="20"/>
                                <w:szCs w:val="20"/>
                                <w:lang w:val="en-US"/>
                              </w:rPr>
                              <m:t>R</m:t>
                            </m:r>
                          </m:den>
                        </m:f>
                      </m:e>
                    </m:d>
                  </m:e>
                  <m:sup>
                    <m:r>
                      <w:rPr>
                        <w:rFonts w:ascii="Cambria Math" w:eastAsiaTheme="minorEastAsia" w:hAnsi="Cambria Math"/>
                        <w:sz w:val="20"/>
                        <w:szCs w:val="20"/>
                        <w:lang w:val="en-US"/>
                      </w:rPr>
                      <m:t>2</m:t>
                    </m:r>
                  </m:sup>
                </m:sSup>
              </m:e>
            </m:rad>
          </m:den>
        </m:f>
      </m:oMath>
      <w:r w:rsidR="008E4122" w:rsidRPr="00B52A3F">
        <w:rPr>
          <w:rFonts w:eastAsiaTheme="minorEastAsia"/>
          <w:sz w:val="28"/>
          <w:szCs w:val="28"/>
          <w:lang w:val="en-US"/>
        </w:rPr>
        <w:t xml:space="preserve"> </w:t>
      </w:r>
      <w:r w:rsidR="008E4122">
        <w:rPr>
          <w:rFonts w:eastAsiaTheme="minorEastAsia"/>
          <w:sz w:val="28"/>
          <w:szCs w:val="28"/>
          <w:lang w:val="en-US"/>
        </w:rPr>
        <w:t xml:space="preserve"> .                                                          </w:t>
      </w:r>
      <w:r w:rsidR="008E4122" w:rsidRPr="00FA458A">
        <w:rPr>
          <w:rFonts w:eastAsiaTheme="minorEastAsia"/>
          <w:sz w:val="20"/>
          <w:szCs w:val="20"/>
          <w:lang w:val="en-US"/>
        </w:rPr>
        <w:t>(</w:t>
      </w:r>
      <w:r w:rsidR="008E4122">
        <w:rPr>
          <w:rFonts w:eastAsiaTheme="minorEastAsia"/>
          <w:sz w:val="20"/>
          <w:szCs w:val="20"/>
          <w:lang w:val="en-US"/>
        </w:rPr>
        <w:t>6</w:t>
      </w:r>
      <w:r w:rsidR="008E4122" w:rsidRPr="00FA458A">
        <w:rPr>
          <w:rFonts w:eastAsiaTheme="minorEastAsia"/>
          <w:sz w:val="20"/>
          <w:szCs w:val="20"/>
          <w:lang w:val="en-US"/>
        </w:rPr>
        <w:t>)</w:t>
      </w:r>
    </w:p>
    <w:p w:rsidR="008E4122" w:rsidRPr="008E4122" w:rsidRDefault="008E4122" w:rsidP="00952494">
      <w:pPr>
        <w:pStyle w:val="a5"/>
        <w:spacing w:before="0" w:beforeAutospacing="0" w:after="0" w:afterAutospacing="0"/>
        <w:ind w:firstLine="284"/>
        <w:jc w:val="both"/>
        <w:rPr>
          <w:sz w:val="20"/>
          <w:szCs w:val="20"/>
          <w:lang w:val="en-US"/>
        </w:rPr>
      </w:pPr>
      <w:r w:rsidRPr="008E4122">
        <w:rPr>
          <w:sz w:val="20"/>
          <w:szCs w:val="20"/>
          <w:lang w:val="en-US"/>
        </w:rPr>
        <w:t>The phase</w:t>
      </w:r>
      <w:r>
        <w:rPr>
          <w:sz w:val="20"/>
          <w:szCs w:val="20"/>
          <w:lang w:val="en-US"/>
        </w:rPr>
        <w:t xml:space="preserve"> - </w:t>
      </w:r>
      <w:r w:rsidRPr="008E4122">
        <w:rPr>
          <w:sz w:val="20"/>
          <w:szCs w:val="20"/>
          <w:lang w:val="en-US"/>
        </w:rPr>
        <w:t xml:space="preserve">frequency </w:t>
      </w:r>
      <w:r>
        <w:rPr>
          <w:sz w:val="20"/>
          <w:szCs w:val="20"/>
          <w:lang w:val="en-US"/>
        </w:rPr>
        <w:t xml:space="preserve">response </w:t>
      </w:r>
      <w:r w:rsidRPr="008E4122">
        <w:rPr>
          <w:sz w:val="20"/>
          <w:szCs w:val="20"/>
          <w:lang w:val="en-US"/>
        </w:rPr>
        <w:t>(</w:t>
      </w:r>
      <w:r>
        <w:rPr>
          <w:sz w:val="20"/>
          <w:szCs w:val="20"/>
          <w:lang w:val="en-US"/>
        </w:rPr>
        <w:t>P</w:t>
      </w:r>
      <w:r w:rsidRPr="008E4122">
        <w:rPr>
          <w:sz w:val="20"/>
          <w:szCs w:val="20"/>
          <w:lang w:val="en-US"/>
        </w:rPr>
        <w:t>F</w:t>
      </w:r>
      <w:r>
        <w:rPr>
          <w:sz w:val="20"/>
          <w:szCs w:val="20"/>
          <w:lang w:val="en-US"/>
        </w:rPr>
        <w:t>R</w:t>
      </w:r>
      <w:r w:rsidRPr="008E4122">
        <w:rPr>
          <w:sz w:val="20"/>
          <w:szCs w:val="20"/>
          <w:lang w:val="en-US"/>
        </w:rPr>
        <w:t>) of the integrating circuit is determined by the phase of expression (</w:t>
      </w:r>
      <w:r>
        <w:rPr>
          <w:sz w:val="20"/>
          <w:szCs w:val="20"/>
          <w:lang w:val="en-US"/>
        </w:rPr>
        <w:t>5</w:t>
      </w:r>
      <w:r w:rsidRPr="008E4122">
        <w:rPr>
          <w:sz w:val="20"/>
          <w:szCs w:val="20"/>
          <w:lang w:val="en-US"/>
        </w:rPr>
        <w:t xml:space="preserve">) and is given as follows: </w:t>
      </w:r>
    </w:p>
    <w:p w:rsidR="008E4122" w:rsidRPr="008E4122" w:rsidRDefault="008E4122" w:rsidP="00952494">
      <w:pPr>
        <w:jc w:val="right"/>
        <w:rPr>
          <w:rFonts w:eastAsiaTheme="minorEastAsia"/>
          <w:sz w:val="20"/>
          <w:szCs w:val="20"/>
          <w:lang w:val="en-US"/>
        </w:rPr>
      </w:pPr>
      <m:oMath>
        <m:r>
          <w:rPr>
            <w:rFonts w:ascii="Cambria Math" w:eastAsiaTheme="minorEastAsia" w:hAnsi="Cambria Math" w:cs="Courier New"/>
            <w:sz w:val="20"/>
            <w:szCs w:val="20"/>
            <w:lang w:val="en-US"/>
          </w:rPr>
          <m:t>φ</m:t>
        </m:r>
        <m:d>
          <m:dPr>
            <m:ctrlPr>
              <w:rPr>
                <w:rFonts w:ascii="Cambria Math" w:eastAsiaTheme="minorEastAsia" w:hAnsi="Cambria Math" w:cs="Courier New"/>
                <w:i/>
                <w:sz w:val="20"/>
                <w:szCs w:val="20"/>
                <w:lang w:val="en-US"/>
              </w:rPr>
            </m:ctrlPr>
          </m:dPr>
          <m:e>
            <m:r>
              <w:rPr>
                <w:rFonts w:ascii="Cambria Math" w:eastAsiaTheme="minorEastAsia" w:hAnsi="Cambria Math" w:cs="Courier New"/>
                <w:sz w:val="20"/>
                <w:szCs w:val="20"/>
                <w:lang w:val="en-US"/>
              </w:rPr>
              <m:t>f</m:t>
            </m:r>
          </m:e>
        </m:d>
        <m:r>
          <w:rPr>
            <w:rFonts w:ascii="Cambria Math" w:eastAsiaTheme="minorEastAsia" w:hAnsi="Cambria Math" w:cs="Courier New"/>
            <w:sz w:val="20"/>
            <w:szCs w:val="20"/>
            <w:lang w:val="en-US"/>
          </w:rPr>
          <m:t>=-arctg</m:t>
        </m:r>
        <m:d>
          <m:dPr>
            <m:ctrlPr>
              <w:rPr>
                <w:rFonts w:ascii="Cambria Math" w:eastAsiaTheme="minorEastAsia" w:hAnsi="Cambria Math" w:cs="Courier New"/>
                <w:i/>
                <w:sz w:val="20"/>
                <w:szCs w:val="20"/>
                <w:lang w:val="en-US"/>
              </w:rPr>
            </m:ctrlPr>
          </m:dPr>
          <m:e>
            <m:r>
              <w:rPr>
                <w:rFonts w:ascii="Cambria Math" w:eastAsiaTheme="minorEastAsia" w:hAnsi="Cambria Math" w:cs="Courier New"/>
                <w:sz w:val="20"/>
                <w:szCs w:val="20"/>
                <w:lang w:val="en-US"/>
              </w:rPr>
              <m:t>2πf∙</m:t>
            </m:r>
            <m:f>
              <m:fPr>
                <m:ctrlPr>
                  <w:rPr>
                    <w:rFonts w:ascii="Cambria Math" w:eastAsiaTheme="minorEastAsia" w:hAnsi="Cambria Math" w:cs="Courier New"/>
                    <w:i/>
                    <w:sz w:val="20"/>
                    <w:szCs w:val="20"/>
                    <w:lang w:val="en-US"/>
                  </w:rPr>
                </m:ctrlPr>
              </m:fPr>
              <m:num>
                <m:r>
                  <w:rPr>
                    <w:rFonts w:ascii="Cambria Math" w:eastAsiaTheme="minorEastAsia" w:hAnsi="Cambria Math" w:cs="Courier New"/>
                    <w:sz w:val="20"/>
                    <w:szCs w:val="20"/>
                    <w:lang w:val="en-US"/>
                  </w:rPr>
                  <m:t>L</m:t>
                </m:r>
              </m:num>
              <m:den>
                <m:r>
                  <w:rPr>
                    <w:rFonts w:ascii="Cambria Math" w:eastAsiaTheme="minorEastAsia" w:hAnsi="Cambria Math" w:cs="Courier New"/>
                    <w:sz w:val="20"/>
                    <w:szCs w:val="20"/>
                    <w:lang w:val="en-US"/>
                  </w:rPr>
                  <m:t>R</m:t>
                </m:r>
              </m:den>
            </m:f>
          </m:e>
        </m:d>
        <m:r>
          <w:rPr>
            <w:rFonts w:ascii="Cambria Math" w:eastAsiaTheme="minorEastAsia" w:hAnsi="Cambria Math" w:cs="Courier New"/>
            <w:sz w:val="20"/>
            <w:szCs w:val="20"/>
            <w:lang w:val="en-US"/>
          </w:rPr>
          <m:t>=-arctg(2πf∙τ)</m:t>
        </m:r>
      </m:oMath>
      <w:r w:rsidRPr="008E4122">
        <w:rPr>
          <w:rFonts w:ascii="Courier New" w:eastAsiaTheme="minorEastAsia" w:hAnsi="Courier New" w:cs="Courier New"/>
          <w:sz w:val="20"/>
          <w:szCs w:val="20"/>
          <w:lang w:val="en-US"/>
        </w:rPr>
        <w:t xml:space="preserve"> .</w:t>
      </w:r>
      <w:r w:rsidRPr="008E4122">
        <w:rPr>
          <w:rFonts w:ascii="Courier New" w:eastAsiaTheme="minorEastAsia" w:hAnsi="Courier New" w:cs="Courier New"/>
          <w:sz w:val="20"/>
          <w:szCs w:val="20"/>
          <w:lang w:val="en-US"/>
        </w:rPr>
        <w:tab/>
      </w:r>
      <w:r>
        <w:rPr>
          <w:rFonts w:ascii="Courier New" w:eastAsiaTheme="minorEastAsia" w:hAnsi="Courier New" w:cs="Courier New"/>
          <w:sz w:val="20"/>
          <w:szCs w:val="20"/>
          <w:lang w:val="en-US"/>
        </w:rPr>
        <w:t xml:space="preserve"> </w:t>
      </w:r>
      <w:r w:rsidRPr="008E4122">
        <w:rPr>
          <w:rFonts w:ascii="Courier New" w:eastAsiaTheme="minorEastAsia" w:hAnsi="Courier New" w:cs="Courier New"/>
          <w:sz w:val="20"/>
          <w:szCs w:val="20"/>
          <w:lang w:val="en-US"/>
        </w:rPr>
        <w:tab/>
      </w:r>
      <w:r w:rsidRPr="008E4122">
        <w:rPr>
          <w:rFonts w:ascii="Courier New" w:eastAsiaTheme="minorEastAsia" w:hAnsi="Courier New" w:cs="Courier New"/>
          <w:sz w:val="20"/>
          <w:szCs w:val="20"/>
          <w:lang w:val="en-US"/>
        </w:rPr>
        <w:tab/>
      </w:r>
      <w:r w:rsidRPr="008E4122">
        <w:rPr>
          <w:rFonts w:eastAsiaTheme="minorEastAsia"/>
          <w:sz w:val="20"/>
          <w:szCs w:val="20"/>
          <w:lang w:val="en-US"/>
        </w:rPr>
        <w:t>(7)</w:t>
      </w:r>
    </w:p>
    <w:p w:rsidR="008E4122" w:rsidRPr="008E4122" w:rsidRDefault="008E4122" w:rsidP="00952494">
      <w:pPr>
        <w:pStyle w:val="a5"/>
        <w:spacing w:before="0" w:beforeAutospacing="0" w:after="0" w:afterAutospacing="0"/>
        <w:ind w:firstLine="284"/>
        <w:jc w:val="both"/>
        <w:rPr>
          <w:sz w:val="20"/>
          <w:szCs w:val="20"/>
          <w:lang w:val="en-US"/>
        </w:rPr>
      </w:pPr>
      <w:r w:rsidRPr="008E4122">
        <w:rPr>
          <w:sz w:val="20"/>
          <w:szCs w:val="20"/>
          <w:lang w:val="en-US"/>
        </w:rPr>
        <w:t>If we define R/2πL=f</w:t>
      </w:r>
      <w:r w:rsidRPr="008E4122">
        <w:rPr>
          <w:sz w:val="20"/>
          <w:szCs w:val="20"/>
          <w:vertAlign w:val="subscript"/>
          <w:lang w:val="en-US"/>
        </w:rPr>
        <w:t>1</w:t>
      </w:r>
      <w:r w:rsidRPr="008E4122">
        <w:rPr>
          <w:sz w:val="20"/>
          <w:szCs w:val="20"/>
          <w:lang w:val="en-US"/>
        </w:rPr>
        <w:t xml:space="preserve"> in expression (</w:t>
      </w:r>
      <w:r>
        <w:rPr>
          <w:sz w:val="20"/>
          <w:szCs w:val="20"/>
          <w:lang w:val="en-US"/>
        </w:rPr>
        <w:t>6</w:t>
      </w:r>
      <w:r w:rsidRPr="008E4122">
        <w:rPr>
          <w:sz w:val="20"/>
          <w:szCs w:val="20"/>
          <w:lang w:val="en-US"/>
        </w:rPr>
        <w:t>), then K(f) can be written as:</w:t>
      </w:r>
    </w:p>
    <w:p w:rsidR="008E4122" w:rsidRPr="008E4122" w:rsidRDefault="008E4122" w:rsidP="00952494">
      <w:pPr>
        <w:jc w:val="right"/>
        <w:rPr>
          <w:rFonts w:eastAsiaTheme="minorEastAsia"/>
          <w:sz w:val="20"/>
          <w:szCs w:val="20"/>
          <w:lang w:val="en-US"/>
        </w:rPr>
      </w:pPr>
      <m:oMath>
        <m:r>
          <w:rPr>
            <w:rFonts w:ascii="Cambria Math" w:eastAsiaTheme="minorEastAsia" w:hAnsi="Cambria Math"/>
            <w:sz w:val="20"/>
            <w:szCs w:val="20"/>
            <w:lang w:val="en-US"/>
          </w:rPr>
          <m:t>K</m:t>
        </m:r>
        <m:d>
          <m:dPr>
            <m:ctrlPr>
              <w:rPr>
                <w:rFonts w:ascii="Cambria Math" w:eastAsiaTheme="minorEastAsia" w:hAnsi="Cambria Math"/>
                <w:i/>
                <w:sz w:val="20"/>
                <w:szCs w:val="20"/>
                <w:lang w:val="en-US"/>
              </w:rPr>
            </m:ctrlPr>
          </m:dPr>
          <m:e>
            <m:r>
              <w:rPr>
                <w:rFonts w:ascii="Cambria Math" w:eastAsiaTheme="minorEastAsia" w:hAnsi="Cambria Math"/>
                <w:sz w:val="20"/>
                <w:szCs w:val="20"/>
                <w:lang w:val="en-US"/>
              </w:rPr>
              <m:t>f</m:t>
            </m:r>
          </m:e>
        </m:d>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1</m:t>
            </m:r>
          </m:num>
          <m:den>
            <m:r>
              <w:rPr>
                <w:rFonts w:ascii="Cambria Math" w:eastAsiaTheme="minorEastAsia" w:hAnsi="Cambria Math"/>
                <w:sz w:val="20"/>
                <w:szCs w:val="20"/>
                <w:lang w:val="en-US"/>
              </w:rPr>
              <m:t>1+j</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f</m:t>
                </m:r>
              </m:num>
              <m:den>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1</m:t>
                    </m:r>
                  </m:sub>
                </m:sSub>
              </m:den>
            </m:f>
          </m:den>
        </m:f>
      </m:oMath>
      <w:r w:rsidRPr="008E4122">
        <w:rPr>
          <w:rFonts w:eastAsiaTheme="minorEastAsia"/>
          <w:sz w:val="20"/>
          <w:szCs w:val="20"/>
          <w:lang w:val="en-US"/>
        </w:rPr>
        <w:t xml:space="preserve">   .</w:t>
      </w:r>
      <w:r w:rsidRPr="008E4122">
        <w:rPr>
          <w:rFonts w:eastAsiaTheme="minorEastAsia"/>
          <w:sz w:val="20"/>
          <w:szCs w:val="20"/>
          <w:lang w:val="en-US"/>
        </w:rPr>
        <w:tab/>
      </w:r>
      <w:r>
        <w:rPr>
          <w:rFonts w:eastAsiaTheme="minorEastAsia"/>
          <w:sz w:val="20"/>
          <w:szCs w:val="20"/>
          <w:lang w:val="en-US"/>
        </w:rPr>
        <w:t xml:space="preserve">             </w:t>
      </w:r>
      <w:r w:rsidRPr="008E4122">
        <w:rPr>
          <w:rFonts w:eastAsiaTheme="minorEastAsia"/>
          <w:sz w:val="20"/>
          <w:szCs w:val="20"/>
          <w:lang w:val="en-US"/>
        </w:rPr>
        <w:tab/>
      </w:r>
      <w:r w:rsidRPr="008E4122">
        <w:rPr>
          <w:rFonts w:eastAsiaTheme="minorEastAsia"/>
          <w:sz w:val="20"/>
          <w:szCs w:val="20"/>
          <w:lang w:val="en-US"/>
        </w:rPr>
        <w:tab/>
      </w:r>
      <w:r>
        <w:rPr>
          <w:rFonts w:eastAsiaTheme="minorEastAsia"/>
          <w:sz w:val="20"/>
          <w:szCs w:val="20"/>
          <w:lang w:val="en-US"/>
        </w:rPr>
        <w:t xml:space="preserve">                                                     </w:t>
      </w:r>
      <w:r w:rsidRPr="008E4122">
        <w:rPr>
          <w:rFonts w:eastAsiaTheme="minorEastAsia"/>
          <w:sz w:val="20"/>
          <w:szCs w:val="20"/>
          <w:lang w:val="en-US"/>
        </w:rPr>
        <w:tab/>
        <w:t>(</w:t>
      </w:r>
      <w:r>
        <w:rPr>
          <w:rFonts w:eastAsiaTheme="minorEastAsia"/>
          <w:sz w:val="20"/>
          <w:szCs w:val="20"/>
          <w:lang w:val="en-US"/>
        </w:rPr>
        <w:t>8</w:t>
      </w:r>
      <w:r w:rsidRPr="008E4122">
        <w:rPr>
          <w:rFonts w:eastAsiaTheme="minorEastAsia"/>
          <w:sz w:val="20"/>
          <w:szCs w:val="20"/>
          <w:lang w:val="en-US"/>
        </w:rPr>
        <w:t>)</w:t>
      </w:r>
    </w:p>
    <w:p w:rsidR="008E4122" w:rsidRDefault="008E4122" w:rsidP="00952494">
      <w:pPr>
        <w:pStyle w:val="a5"/>
        <w:spacing w:before="0" w:beforeAutospacing="0" w:after="0" w:afterAutospacing="0"/>
        <w:ind w:firstLine="284"/>
        <w:jc w:val="both"/>
        <w:rPr>
          <w:sz w:val="20"/>
          <w:szCs w:val="20"/>
          <w:lang w:val="en-US"/>
        </w:rPr>
      </w:pPr>
      <w:r w:rsidRPr="008E4122">
        <w:rPr>
          <w:sz w:val="20"/>
          <w:szCs w:val="20"/>
          <w:lang w:val="en-US"/>
        </w:rPr>
        <w:t>or its modulus is equal to:</w:t>
      </w:r>
    </w:p>
    <w:p w:rsidR="008E4122" w:rsidRPr="008E4122" w:rsidRDefault="00000000" w:rsidP="00952494">
      <w:pPr>
        <w:jc w:val="right"/>
        <w:rPr>
          <w:rFonts w:ascii="Courier New" w:eastAsiaTheme="minorEastAsia" w:hAnsi="Courier New" w:cs="Courier New"/>
          <w:sz w:val="20"/>
          <w:szCs w:val="20"/>
          <w:lang w:val="en-US"/>
        </w:rPr>
      </w:pPr>
      <m:oMath>
        <m:d>
          <m:dPr>
            <m:begChr m:val="|"/>
            <m:endChr m:val="|"/>
            <m:ctrlPr>
              <w:rPr>
                <w:rFonts w:ascii="Cambria Math" w:eastAsiaTheme="minorEastAsia" w:hAnsi="Cambria Math" w:cs="Courier New"/>
                <w:i/>
                <w:sz w:val="20"/>
                <w:szCs w:val="20"/>
                <w:lang w:val="en-US"/>
              </w:rPr>
            </m:ctrlPr>
          </m:dPr>
          <m:e>
            <m:r>
              <w:rPr>
                <w:rFonts w:ascii="Cambria Math" w:eastAsiaTheme="minorEastAsia" w:hAnsi="Cambria Math" w:cs="Courier New"/>
                <w:sz w:val="20"/>
                <w:szCs w:val="20"/>
                <w:lang w:val="en-US"/>
              </w:rPr>
              <m:t>K(f)</m:t>
            </m:r>
          </m:e>
        </m:d>
        <m:r>
          <w:rPr>
            <w:rFonts w:ascii="Cambria Math" w:eastAsiaTheme="minorEastAsia" w:hAnsi="Cambria Math" w:cs="Courier New"/>
            <w:sz w:val="20"/>
            <w:szCs w:val="20"/>
            <w:lang w:val="en-US"/>
          </w:rPr>
          <m:t>=</m:t>
        </m:r>
        <m:f>
          <m:fPr>
            <m:ctrlPr>
              <w:rPr>
                <w:rFonts w:ascii="Cambria Math" w:eastAsiaTheme="minorEastAsia" w:hAnsi="Cambria Math" w:cs="Courier New"/>
                <w:i/>
                <w:sz w:val="20"/>
                <w:szCs w:val="20"/>
                <w:lang w:val="en-US"/>
              </w:rPr>
            </m:ctrlPr>
          </m:fPr>
          <m:num>
            <m:r>
              <w:rPr>
                <w:rFonts w:ascii="Cambria Math" w:eastAsiaTheme="minorEastAsia" w:hAnsi="Cambria Math" w:cs="Courier New"/>
                <w:sz w:val="20"/>
                <w:szCs w:val="20"/>
                <w:lang w:val="en-US"/>
              </w:rPr>
              <m:t>1</m:t>
            </m:r>
          </m:num>
          <m:den>
            <m:rad>
              <m:radPr>
                <m:degHide m:val="1"/>
                <m:ctrlPr>
                  <w:rPr>
                    <w:rFonts w:ascii="Cambria Math" w:eastAsiaTheme="minorEastAsia" w:hAnsi="Cambria Math" w:cs="Courier New"/>
                    <w:i/>
                    <w:sz w:val="20"/>
                    <w:szCs w:val="20"/>
                    <w:lang w:val="en-US"/>
                  </w:rPr>
                </m:ctrlPr>
              </m:radPr>
              <m:deg/>
              <m:e>
                <m:r>
                  <w:rPr>
                    <w:rFonts w:ascii="Cambria Math" w:eastAsiaTheme="minorEastAsia" w:hAnsi="Cambria Math" w:cs="Courier New"/>
                    <w:sz w:val="20"/>
                    <w:szCs w:val="20"/>
                    <w:lang w:val="en-US"/>
                  </w:rPr>
                  <m:t>1+</m:t>
                </m:r>
                <m:sSup>
                  <m:sSupPr>
                    <m:ctrlPr>
                      <w:rPr>
                        <w:rFonts w:ascii="Cambria Math" w:eastAsiaTheme="minorEastAsia" w:hAnsi="Cambria Math" w:cs="Courier New"/>
                        <w:i/>
                        <w:sz w:val="20"/>
                        <w:szCs w:val="20"/>
                        <w:lang w:val="en-US"/>
                      </w:rPr>
                    </m:ctrlPr>
                  </m:sSupPr>
                  <m:e>
                    <m:d>
                      <m:dPr>
                        <m:ctrlPr>
                          <w:rPr>
                            <w:rFonts w:ascii="Cambria Math" w:eastAsiaTheme="minorEastAsia" w:hAnsi="Cambria Math" w:cs="Courier New"/>
                            <w:i/>
                            <w:sz w:val="20"/>
                            <w:szCs w:val="20"/>
                            <w:lang w:val="en-US"/>
                          </w:rPr>
                        </m:ctrlPr>
                      </m:dPr>
                      <m:e>
                        <m:f>
                          <m:fPr>
                            <m:ctrlPr>
                              <w:rPr>
                                <w:rFonts w:ascii="Cambria Math" w:eastAsiaTheme="minorEastAsia" w:hAnsi="Cambria Math" w:cs="Courier New"/>
                                <w:i/>
                                <w:sz w:val="20"/>
                                <w:szCs w:val="20"/>
                                <w:lang w:val="en-US"/>
                              </w:rPr>
                            </m:ctrlPr>
                          </m:fPr>
                          <m:num>
                            <m:r>
                              <w:rPr>
                                <w:rFonts w:ascii="Cambria Math" w:eastAsiaTheme="minorEastAsia" w:hAnsi="Cambria Math" w:cs="Courier New"/>
                                <w:sz w:val="20"/>
                                <w:szCs w:val="20"/>
                                <w:lang w:val="en-US"/>
                              </w:rPr>
                              <m:t>f</m:t>
                            </m:r>
                          </m:num>
                          <m:den>
                            <m:sSub>
                              <m:sSubPr>
                                <m:ctrlPr>
                                  <w:rPr>
                                    <w:rFonts w:ascii="Cambria Math" w:eastAsiaTheme="minorEastAsia" w:hAnsi="Cambria Math" w:cs="Courier New"/>
                                    <w:i/>
                                    <w:sz w:val="20"/>
                                    <w:szCs w:val="20"/>
                                    <w:lang w:val="en-US"/>
                                  </w:rPr>
                                </m:ctrlPr>
                              </m:sSubPr>
                              <m:e>
                                <m:r>
                                  <w:rPr>
                                    <w:rFonts w:ascii="Cambria Math" w:eastAsiaTheme="minorEastAsia" w:hAnsi="Cambria Math" w:cs="Courier New"/>
                                    <w:sz w:val="20"/>
                                    <w:szCs w:val="20"/>
                                    <w:lang w:val="en-US"/>
                                  </w:rPr>
                                  <m:t>f</m:t>
                                </m:r>
                              </m:e>
                              <m:sub>
                                <m:r>
                                  <w:rPr>
                                    <w:rFonts w:ascii="Cambria Math" w:eastAsiaTheme="minorEastAsia" w:hAnsi="Cambria Math" w:cs="Courier New"/>
                                    <w:sz w:val="20"/>
                                    <w:szCs w:val="20"/>
                                    <w:lang w:val="en-US"/>
                                  </w:rPr>
                                  <m:t>1</m:t>
                                </m:r>
                              </m:sub>
                            </m:sSub>
                          </m:den>
                        </m:f>
                      </m:e>
                    </m:d>
                  </m:e>
                  <m:sup>
                    <m:r>
                      <w:rPr>
                        <w:rFonts w:ascii="Cambria Math" w:eastAsiaTheme="minorEastAsia" w:hAnsi="Cambria Math" w:cs="Courier New"/>
                        <w:sz w:val="20"/>
                        <w:szCs w:val="20"/>
                        <w:lang w:val="en-US"/>
                      </w:rPr>
                      <m:t>2</m:t>
                    </m:r>
                  </m:sup>
                </m:sSup>
              </m:e>
            </m:rad>
          </m:den>
        </m:f>
      </m:oMath>
      <w:r w:rsidR="008E4122" w:rsidRPr="008E4122">
        <w:rPr>
          <w:rFonts w:ascii="Courier New" w:eastAsiaTheme="minorEastAsia" w:hAnsi="Courier New" w:cs="Courier New"/>
          <w:sz w:val="20"/>
          <w:szCs w:val="20"/>
          <w:lang w:val="en-US"/>
        </w:rPr>
        <w:t xml:space="preserve">   ,</w:t>
      </w:r>
      <w:r w:rsidR="008E4122" w:rsidRPr="008E4122">
        <w:rPr>
          <w:rFonts w:ascii="Courier New" w:eastAsiaTheme="minorEastAsia" w:hAnsi="Courier New" w:cs="Courier New"/>
          <w:sz w:val="20"/>
          <w:szCs w:val="20"/>
          <w:lang w:val="en-US"/>
        </w:rPr>
        <w:tab/>
      </w:r>
      <w:r w:rsidR="008E4122">
        <w:rPr>
          <w:rFonts w:ascii="Courier New" w:eastAsiaTheme="minorEastAsia" w:hAnsi="Courier New" w:cs="Courier New"/>
          <w:sz w:val="20"/>
          <w:szCs w:val="20"/>
          <w:lang w:val="en-US"/>
        </w:rPr>
        <w:t xml:space="preserve">           </w:t>
      </w:r>
      <w:r w:rsidR="008E4122" w:rsidRPr="008E4122">
        <w:rPr>
          <w:rFonts w:ascii="Courier New" w:eastAsiaTheme="minorEastAsia" w:hAnsi="Courier New" w:cs="Courier New"/>
          <w:sz w:val="20"/>
          <w:szCs w:val="20"/>
          <w:lang w:val="en-US"/>
        </w:rPr>
        <w:tab/>
      </w:r>
      <w:r w:rsidR="008E4122" w:rsidRPr="008E4122">
        <w:rPr>
          <w:rFonts w:ascii="Courier New" w:eastAsiaTheme="minorEastAsia" w:hAnsi="Courier New" w:cs="Courier New"/>
          <w:sz w:val="20"/>
          <w:szCs w:val="20"/>
          <w:lang w:val="en-US"/>
        </w:rPr>
        <w:tab/>
      </w:r>
      <w:r w:rsidR="008E4122" w:rsidRPr="008E4122">
        <w:rPr>
          <w:rFonts w:ascii="Courier New" w:eastAsiaTheme="minorEastAsia" w:hAnsi="Courier New" w:cs="Courier New"/>
          <w:sz w:val="20"/>
          <w:szCs w:val="20"/>
          <w:lang w:val="en-US"/>
        </w:rPr>
        <w:tab/>
      </w:r>
      <w:r w:rsidR="008E4122" w:rsidRPr="008E4122">
        <w:rPr>
          <w:rFonts w:eastAsiaTheme="minorEastAsia"/>
          <w:sz w:val="20"/>
          <w:szCs w:val="20"/>
          <w:lang w:val="en-US"/>
        </w:rPr>
        <w:t>(</w:t>
      </w:r>
      <w:r w:rsidR="008E4122">
        <w:rPr>
          <w:rFonts w:eastAsiaTheme="minorEastAsia"/>
          <w:sz w:val="20"/>
          <w:szCs w:val="20"/>
          <w:lang w:val="en-US"/>
        </w:rPr>
        <w:t>9</w:t>
      </w:r>
      <w:r w:rsidR="008E4122" w:rsidRPr="008E4122">
        <w:rPr>
          <w:rFonts w:eastAsiaTheme="minorEastAsia"/>
          <w:sz w:val="20"/>
          <w:szCs w:val="20"/>
          <w:lang w:val="en-US"/>
        </w:rPr>
        <w:t>)</w:t>
      </w:r>
    </w:p>
    <w:p w:rsidR="008E4122" w:rsidRPr="008E4122" w:rsidRDefault="00A67D86" w:rsidP="00952494">
      <w:pPr>
        <w:pStyle w:val="a5"/>
        <w:spacing w:before="0" w:beforeAutospacing="0" w:after="0" w:afterAutospacing="0"/>
        <w:ind w:firstLine="284"/>
        <w:jc w:val="both"/>
        <w:rPr>
          <w:sz w:val="20"/>
          <w:szCs w:val="20"/>
          <w:lang w:val="en-US"/>
        </w:rPr>
      </w:pPr>
      <w:r w:rsidRPr="00270E7A">
        <w:rPr>
          <w:rFonts w:eastAsiaTheme="minorEastAsia"/>
          <w:sz w:val="20"/>
          <w:szCs w:val="20"/>
          <w:lang w:val="en-US"/>
        </w:rPr>
        <w:t>w</w:t>
      </w:r>
      <w:r w:rsidR="008E4122" w:rsidRPr="008E4122">
        <w:rPr>
          <w:rFonts w:eastAsiaTheme="minorEastAsia"/>
          <w:sz w:val="20"/>
          <w:szCs w:val="20"/>
          <w:lang w:val="en-US"/>
        </w:rPr>
        <w:t>here,</w:t>
      </w:r>
      <w:r w:rsidR="008E4122">
        <w:rPr>
          <w:rFonts w:ascii="Courier New" w:eastAsiaTheme="minorEastAsia" w:hAnsi="Courier New" w:cs="Courier New"/>
          <w:sz w:val="20"/>
          <w:szCs w:val="20"/>
          <w:lang w:val="en-US"/>
        </w:rPr>
        <w:t xml:space="preserv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1</m:t>
            </m:r>
          </m:sub>
        </m:sSub>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R</m:t>
            </m:r>
          </m:num>
          <m:den>
            <m:r>
              <w:rPr>
                <w:rFonts w:ascii="Cambria Math" w:eastAsiaTheme="minorEastAsia" w:hAnsi="Cambria Math"/>
                <w:sz w:val="20"/>
                <w:szCs w:val="20"/>
                <w:lang w:val="en-US"/>
              </w:rPr>
              <m:t>2πL</m:t>
            </m:r>
          </m:den>
        </m:f>
      </m:oMath>
      <w:r w:rsidR="008E4122">
        <w:rPr>
          <w:rFonts w:ascii="Courier New" w:eastAsiaTheme="minorEastAsia" w:hAnsi="Courier New" w:cs="Courier New"/>
          <w:sz w:val="20"/>
          <w:szCs w:val="20"/>
          <w:lang w:val="en-US"/>
        </w:rPr>
        <w:t xml:space="preserve"> </w:t>
      </w:r>
      <w:r w:rsidR="008E4122">
        <w:rPr>
          <w:rFonts w:eastAsiaTheme="minorEastAsia"/>
          <w:sz w:val="20"/>
          <w:szCs w:val="20"/>
          <w:lang w:val="en-US"/>
        </w:rPr>
        <w:t xml:space="preserve">– cuttoff frequency. </w:t>
      </w:r>
      <w:r w:rsidR="008E4122" w:rsidRPr="008E4122">
        <w:rPr>
          <w:rFonts w:eastAsiaTheme="minorEastAsia"/>
          <w:sz w:val="20"/>
          <w:szCs w:val="20"/>
          <w:lang w:val="en-US"/>
        </w:rPr>
        <w:t xml:space="preserve"> </w:t>
      </w:r>
    </w:p>
    <w:p w:rsidR="007C0192" w:rsidRPr="007C0192" w:rsidRDefault="007C0192" w:rsidP="00952494">
      <w:pPr>
        <w:pStyle w:val="a5"/>
        <w:spacing w:before="0" w:beforeAutospacing="0" w:after="0" w:afterAutospacing="0"/>
        <w:ind w:firstLine="709"/>
        <w:jc w:val="both"/>
        <w:rPr>
          <w:sz w:val="20"/>
          <w:szCs w:val="20"/>
          <w:lang w:val="en-US"/>
        </w:rPr>
      </w:pPr>
    </w:p>
    <w:p w:rsidR="00F34A4F" w:rsidRPr="00F34A4F" w:rsidRDefault="00F34A4F" w:rsidP="00952494">
      <w:pPr>
        <w:pStyle w:val="a5"/>
        <w:spacing w:before="0" w:beforeAutospacing="0" w:after="0" w:afterAutospacing="0"/>
        <w:ind w:firstLine="284"/>
        <w:jc w:val="both"/>
        <w:rPr>
          <w:sz w:val="20"/>
          <w:szCs w:val="20"/>
          <w:lang w:val="en-US"/>
        </w:rPr>
      </w:pPr>
      <w:r w:rsidRPr="00F34A4F">
        <w:rPr>
          <w:sz w:val="20"/>
          <w:szCs w:val="20"/>
          <w:lang w:val="en-US"/>
        </w:rPr>
        <w:lastRenderedPageBreak/>
        <w:t>To effectively suppress low</w:t>
      </w:r>
      <w:r w:rsidR="00270E7A">
        <w:rPr>
          <w:sz w:val="20"/>
          <w:szCs w:val="20"/>
          <w:lang w:val="en-US"/>
        </w:rPr>
        <w:t xml:space="preserve"> </w:t>
      </w:r>
      <w:r w:rsidRPr="00F34A4F">
        <w:rPr>
          <w:sz w:val="20"/>
          <w:szCs w:val="20"/>
          <w:lang w:val="en-US"/>
        </w:rPr>
        <w:t>-</w:t>
      </w:r>
      <w:r w:rsidR="00270E7A">
        <w:rPr>
          <w:sz w:val="20"/>
          <w:szCs w:val="20"/>
          <w:lang w:val="en-US"/>
        </w:rPr>
        <w:t xml:space="preserve"> </w:t>
      </w:r>
      <w:r w:rsidRPr="00F34A4F">
        <w:rPr>
          <w:sz w:val="20"/>
          <w:szCs w:val="20"/>
          <w:lang w:val="en-US"/>
        </w:rPr>
        <w:t>frequency noise (20</w:t>
      </w:r>
      <w:r w:rsidR="00270E7A">
        <w:rPr>
          <w:sz w:val="20"/>
          <w:szCs w:val="20"/>
          <w:lang w:val="en-US"/>
        </w:rPr>
        <w:t xml:space="preserve"> - </w:t>
      </w:r>
      <w:r w:rsidRPr="00F34A4F">
        <w:rPr>
          <w:sz w:val="20"/>
          <w:szCs w:val="20"/>
          <w:lang w:val="en-US"/>
        </w:rPr>
        <w:t>30 Hz) caused by vibrations during mechanical power measurements in agricultural tractors, the amplitude -</w:t>
      </w:r>
      <w:r w:rsidR="00270E7A">
        <w:rPr>
          <w:sz w:val="20"/>
          <w:szCs w:val="20"/>
          <w:lang w:val="en-US"/>
        </w:rPr>
        <w:t xml:space="preserve"> </w:t>
      </w:r>
      <w:r w:rsidRPr="00F34A4F">
        <w:rPr>
          <w:sz w:val="20"/>
          <w:szCs w:val="20"/>
          <w:lang w:val="en-US"/>
        </w:rPr>
        <w:t>frequency response (AFR) and phase</w:t>
      </w:r>
      <w:r w:rsidR="00270E7A">
        <w:rPr>
          <w:sz w:val="20"/>
          <w:szCs w:val="20"/>
          <w:lang w:val="en-US"/>
        </w:rPr>
        <w:t xml:space="preserve"> </w:t>
      </w:r>
      <w:r w:rsidRPr="00F34A4F">
        <w:rPr>
          <w:sz w:val="20"/>
          <w:szCs w:val="20"/>
          <w:lang w:val="en-US"/>
        </w:rPr>
        <w:t>-</w:t>
      </w:r>
      <w:r w:rsidR="00270E7A">
        <w:rPr>
          <w:sz w:val="20"/>
          <w:szCs w:val="20"/>
          <w:lang w:val="en-US"/>
        </w:rPr>
        <w:t xml:space="preserve"> </w:t>
      </w:r>
      <w:r w:rsidRPr="00F34A4F">
        <w:rPr>
          <w:sz w:val="20"/>
          <w:szCs w:val="20"/>
          <w:lang w:val="en-US"/>
        </w:rPr>
        <w:t xml:space="preserve">frequency response (PFR) characteristics of the developed electromagnetic sensor were investigated. The results are presented in Figure </w:t>
      </w:r>
      <w:r w:rsidR="00525645">
        <w:rPr>
          <w:sz w:val="20"/>
          <w:szCs w:val="20"/>
          <w:lang w:val="en-US"/>
        </w:rPr>
        <w:t>4</w:t>
      </w:r>
      <w:r>
        <w:rPr>
          <w:sz w:val="20"/>
          <w:szCs w:val="20"/>
          <w:lang w:val="en-US"/>
        </w:rPr>
        <w:t>,</w:t>
      </w:r>
      <w:r w:rsidRPr="00270E7A">
        <w:rPr>
          <w:sz w:val="20"/>
          <w:szCs w:val="20"/>
          <w:lang w:val="en-US"/>
        </w:rPr>
        <w:t xml:space="preserve"> </w:t>
      </w:r>
      <w:r>
        <w:rPr>
          <w:sz w:val="20"/>
          <w:szCs w:val="20"/>
          <w:lang w:val="en-US"/>
        </w:rPr>
        <w:t>a and b</w:t>
      </w:r>
      <w:r w:rsidRPr="00F34A4F">
        <w:rPr>
          <w:sz w:val="20"/>
          <w:szCs w:val="20"/>
          <w:lang w:val="en-US"/>
        </w:rPr>
        <w:t>.</w:t>
      </w:r>
      <w:r w:rsidRPr="00270E7A">
        <w:rPr>
          <w:sz w:val="20"/>
          <w:szCs w:val="20"/>
          <w:lang w:val="en-US"/>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94"/>
      </w:tblGrid>
      <w:tr w:rsidR="00F34A4F" w:rsidTr="00911360">
        <w:tc>
          <w:tcPr>
            <w:tcW w:w="4632" w:type="dxa"/>
          </w:tcPr>
          <w:p w:rsidR="00F34A4F" w:rsidRPr="00F34A4F" w:rsidRDefault="00F34A4F" w:rsidP="00952494">
            <w:pPr>
              <w:jc w:val="center"/>
              <w:rPr>
                <w:rFonts w:ascii="Times New Roman" w:hAnsi="Times New Roman" w:cs="Times New Roman"/>
                <w:sz w:val="20"/>
                <w:szCs w:val="20"/>
                <w:lang w:val="en-US"/>
              </w:rPr>
            </w:pPr>
          </w:p>
          <w:p w:rsidR="00F34A4F" w:rsidRPr="00F34A4F" w:rsidRDefault="00491B2E" w:rsidP="00952494">
            <w:pPr>
              <w:jc w:val="center"/>
              <w:rPr>
                <w:rFonts w:ascii="Times New Roman" w:hAnsi="Times New Roman" w:cs="Times New Roman"/>
                <w:sz w:val="20"/>
                <w:szCs w:val="20"/>
              </w:rPr>
            </w:pPr>
            <w:r>
              <w:rPr>
                <w:rFonts w:ascii="Times New Roman" w:eastAsia="Times New Roman" w:hAnsi="Times New Roman" w:cs="Times New Roman"/>
              </w:rPr>
              <w:object w:dxaOrig="8520" w:dyaOrig="5964">
                <v:shape id="_x0000_i1027" type="#_x0000_t75" style="width:212.25pt;height:148.5pt" o:ole="">
                  <v:imagedata r:id="rId16" o:title=""/>
                </v:shape>
                <o:OLEObject Type="Embed" ProgID="PBrush" ShapeID="_x0000_i1027" DrawAspect="Content" ObjectID="_1829389054" r:id="rId17"/>
              </w:object>
            </w:r>
          </w:p>
          <w:p w:rsidR="00F34A4F" w:rsidRPr="00F34A4F" w:rsidRDefault="00F34A4F" w:rsidP="00952494">
            <w:pPr>
              <w:jc w:val="center"/>
              <w:rPr>
                <w:rFonts w:ascii="Times New Roman" w:hAnsi="Times New Roman" w:cs="Times New Roman"/>
                <w:sz w:val="20"/>
                <w:szCs w:val="20"/>
                <w:lang w:val="uz-Cyrl-UZ"/>
              </w:rPr>
            </w:pPr>
            <w:r w:rsidRPr="00614A80">
              <w:rPr>
                <w:rFonts w:ascii="Times New Roman" w:hAnsi="Times New Roman" w:cs="Times New Roman"/>
                <w:sz w:val="18"/>
                <w:szCs w:val="20"/>
                <w:lang w:val="en-US"/>
              </w:rPr>
              <w:t>a)</w:t>
            </w:r>
          </w:p>
        </w:tc>
        <w:tc>
          <w:tcPr>
            <w:tcW w:w="4394" w:type="dxa"/>
          </w:tcPr>
          <w:p w:rsidR="00F34A4F" w:rsidRPr="00F34A4F" w:rsidRDefault="00F34A4F" w:rsidP="00952494">
            <w:pPr>
              <w:jc w:val="center"/>
              <w:rPr>
                <w:rFonts w:ascii="Times New Roman" w:hAnsi="Times New Roman" w:cs="Times New Roman"/>
                <w:sz w:val="20"/>
                <w:szCs w:val="20"/>
              </w:rPr>
            </w:pPr>
          </w:p>
          <w:p w:rsidR="00F34A4F" w:rsidRPr="00F34A4F" w:rsidRDefault="00491B2E" w:rsidP="00952494">
            <w:pPr>
              <w:jc w:val="center"/>
              <w:rPr>
                <w:rFonts w:ascii="Times New Roman" w:hAnsi="Times New Roman" w:cs="Times New Roman"/>
                <w:sz w:val="20"/>
                <w:szCs w:val="20"/>
              </w:rPr>
            </w:pPr>
            <w:r>
              <w:rPr>
                <w:rFonts w:ascii="Times New Roman" w:eastAsia="Times New Roman" w:hAnsi="Times New Roman" w:cs="Times New Roman"/>
              </w:rPr>
              <w:object w:dxaOrig="8568" w:dyaOrig="6144">
                <v:shape id="_x0000_i1028" type="#_x0000_t75" style="width:199.5pt;height:143.25pt" o:ole="">
                  <v:imagedata r:id="rId18" o:title=""/>
                </v:shape>
                <o:OLEObject Type="Embed" ProgID="PBrush" ShapeID="_x0000_i1028" DrawAspect="Content" ObjectID="_1829389055" r:id="rId19"/>
              </w:object>
            </w:r>
          </w:p>
          <w:p w:rsidR="00F34A4F" w:rsidRPr="00614A80" w:rsidRDefault="00F34A4F" w:rsidP="00952494">
            <w:pPr>
              <w:jc w:val="center"/>
              <w:rPr>
                <w:rFonts w:ascii="Times New Roman" w:hAnsi="Times New Roman" w:cs="Times New Roman"/>
                <w:sz w:val="18"/>
                <w:szCs w:val="20"/>
              </w:rPr>
            </w:pPr>
            <w:r w:rsidRPr="00614A80">
              <w:rPr>
                <w:rFonts w:ascii="Times New Roman" w:hAnsi="Times New Roman" w:cs="Times New Roman"/>
                <w:sz w:val="18"/>
                <w:szCs w:val="20"/>
                <w:lang w:val="en-US"/>
              </w:rPr>
              <w:t>b</w:t>
            </w:r>
            <w:r w:rsidRPr="00614A80">
              <w:rPr>
                <w:rFonts w:ascii="Times New Roman" w:hAnsi="Times New Roman" w:cs="Times New Roman"/>
                <w:sz w:val="18"/>
                <w:szCs w:val="20"/>
              </w:rPr>
              <w:t>)</w:t>
            </w:r>
          </w:p>
          <w:p w:rsidR="00F34A4F" w:rsidRPr="00F34A4F" w:rsidRDefault="00F34A4F" w:rsidP="00952494">
            <w:pPr>
              <w:jc w:val="center"/>
              <w:rPr>
                <w:rFonts w:ascii="Times New Roman" w:hAnsi="Times New Roman" w:cs="Times New Roman"/>
                <w:sz w:val="20"/>
                <w:szCs w:val="20"/>
              </w:rPr>
            </w:pPr>
          </w:p>
        </w:tc>
      </w:tr>
    </w:tbl>
    <w:p w:rsidR="00270E7A" w:rsidRPr="00614A80" w:rsidRDefault="00270E7A" w:rsidP="00952494">
      <w:pPr>
        <w:pStyle w:val="a5"/>
        <w:spacing w:before="0" w:beforeAutospacing="0" w:after="0" w:afterAutospacing="0"/>
        <w:ind w:firstLine="708"/>
        <w:jc w:val="center"/>
        <w:rPr>
          <w:sz w:val="18"/>
          <w:szCs w:val="20"/>
          <w:lang w:val="en-US"/>
        </w:rPr>
      </w:pPr>
      <w:r w:rsidRPr="00614A80">
        <w:rPr>
          <w:b/>
          <w:sz w:val="18"/>
          <w:szCs w:val="20"/>
          <w:lang w:val="en-US"/>
        </w:rPr>
        <w:t xml:space="preserve">FIGURE </w:t>
      </w:r>
      <w:r w:rsidR="00525645" w:rsidRPr="00614A80">
        <w:rPr>
          <w:b/>
          <w:sz w:val="18"/>
          <w:szCs w:val="20"/>
          <w:lang w:val="en-US"/>
        </w:rPr>
        <w:t>4</w:t>
      </w:r>
      <w:r w:rsidRPr="00614A80">
        <w:rPr>
          <w:b/>
          <w:sz w:val="18"/>
          <w:szCs w:val="20"/>
          <w:lang w:val="en-US"/>
        </w:rPr>
        <w:t>.</w:t>
      </w:r>
      <w:r w:rsidRPr="00614A80">
        <w:rPr>
          <w:sz w:val="18"/>
          <w:szCs w:val="20"/>
          <w:lang w:val="en-US"/>
        </w:rPr>
        <w:t xml:space="preserve"> Amplitude-frequency (a) and phase </w:t>
      </w:r>
      <w:r w:rsidR="00AD0468" w:rsidRPr="00614A80">
        <w:rPr>
          <w:sz w:val="18"/>
          <w:szCs w:val="20"/>
          <w:lang w:val="en-US"/>
        </w:rPr>
        <w:t>-</w:t>
      </w:r>
      <w:r w:rsidRPr="00614A80">
        <w:rPr>
          <w:sz w:val="18"/>
          <w:szCs w:val="20"/>
          <w:lang w:val="en-US"/>
        </w:rPr>
        <w:t xml:space="preserve"> frequency (b) responses of the electromagnetic angular acceleration sensor</w:t>
      </w:r>
    </w:p>
    <w:p w:rsidR="00F34A4F" w:rsidRDefault="00F34A4F" w:rsidP="00952494">
      <w:pPr>
        <w:pStyle w:val="a5"/>
        <w:spacing w:before="0" w:beforeAutospacing="0" w:after="0" w:afterAutospacing="0"/>
        <w:ind w:firstLine="708"/>
        <w:jc w:val="both"/>
        <w:rPr>
          <w:sz w:val="20"/>
          <w:szCs w:val="20"/>
          <w:lang w:val="en-US"/>
        </w:rPr>
      </w:pPr>
    </w:p>
    <w:p w:rsidR="00EF6DCA" w:rsidRDefault="00EF6DCA" w:rsidP="00952494">
      <w:pPr>
        <w:pStyle w:val="a5"/>
        <w:spacing w:before="0" w:beforeAutospacing="0" w:after="0" w:afterAutospacing="0"/>
        <w:ind w:firstLine="284"/>
        <w:jc w:val="both"/>
        <w:rPr>
          <w:sz w:val="20"/>
          <w:szCs w:val="20"/>
          <w:lang w:val="en-US"/>
        </w:rPr>
      </w:pPr>
      <w:r w:rsidRPr="00EF6DCA">
        <w:rPr>
          <w:sz w:val="20"/>
          <w:szCs w:val="20"/>
          <w:lang w:val="en-US"/>
        </w:rPr>
        <w:t>When the input signal frequency is much lower than the cutoff frequency, i.e.</w:t>
      </w:r>
      <w:r w:rsidR="00C250FF" w:rsidRPr="00C250FF">
        <w:rPr>
          <w:sz w:val="20"/>
          <w:szCs w:val="20"/>
          <w:lang w:val="en-US"/>
        </w:rPr>
        <w:t xml:space="preserve"> </w:t>
      </w:r>
      <w:r w:rsidRPr="00EF6DCA">
        <w:rPr>
          <w:sz w:val="20"/>
          <w:szCs w:val="20"/>
          <w:lang w:val="en-US"/>
        </w:rPr>
        <w:t xml:space="preserve"> </w:t>
      </w:r>
      <m:oMath>
        <m:r>
          <w:rPr>
            <w:rFonts w:ascii="Cambria Math" w:hAnsi="Cambria Math"/>
            <w:sz w:val="20"/>
            <w:szCs w:val="20"/>
            <w:lang w:val="en-US"/>
          </w:rPr>
          <m:t>f≪</m:t>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с</m:t>
            </m:r>
            <m:r>
              <w:rPr>
                <w:rFonts w:ascii="Cambria Math" w:hAnsi="Cambria Math"/>
                <w:sz w:val="20"/>
                <w:szCs w:val="20"/>
                <w:lang w:val="en-US"/>
              </w:rPr>
              <m:t>1</m:t>
            </m:r>
          </m:sub>
        </m:sSub>
      </m:oMath>
      <w:r w:rsidRPr="00EF6DCA">
        <w:rPr>
          <w:sz w:val="20"/>
          <w:szCs w:val="20"/>
          <w:lang w:val="en-US"/>
        </w:rPr>
        <w:t>​,</w:t>
      </w:r>
      <w:r w:rsidRPr="00EF6DCA">
        <w:rPr>
          <w:sz w:val="28"/>
          <w:szCs w:val="28"/>
          <w:lang w:val="en-US"/>
        </w:rPr>
        <w:t xml:space="preserve"> </w:t>
      </w:r>
      <w:r w:rsidRPr="00EF6DCA">
        <w:rPr>
          <w:sz w:val="20"/>
          <w:szCs w:val="20"/>
          <w:lang w:val="en-US"/>
        </w:rPr>
        <w:t xml:space="preserve">the magnitude of the transfer function </w:t>
      </w:r>
      <w:r w:rsidR="00C250FF" w:rsidRPr="00EF6DCA">
        <w:rPr>
          <w:sz w:val="20"/>
          <w:szCs w:val="20"/>
          <w:lang w:val="en-US"/>
        </w:rPr>
        <w:t>satisfies</w:t>
      </w:r>
      <m:oMath>
        <m:r>
          <w:rPr>
            <w:rFonts w:ascii="Cambria Math" w:hAnsi="Cambria Math"/>
            <w:sz w:val="20"/>
            <w:szCs w:val="20"/>
            <w:lang w:val="en-US"/>
          </w:rPr>
          <m:t xml:space="preserve"> </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1</m:t>
                </m:r>
              </m:sub>
            </m:sSub>
            <m:r>
              <w:rPr>
                <w:rFonts w:ascii="Cambria Math" w:hAnsi="Cambria Math"/>
                <w:sz w:val="20"/>
                <w:szCs w:val="20"/>
                <w:lang w:val="en-US"/>
              </w:rPr>
              <m:t>(f)</m:t>
            </m:r>
          </m:e>
        </m:d>
        <m:r>
          <w:rPr>
            <w:rFonts w:ascii="Cambria Math" w:hAnsi="Cambria Math"/>
            <w:sz w:val="20"/>
            <w:szCs w:val="20"/>
            <w:lang w:val="en-US"/>
          </w:rPr>
          <m:t>&lt;1</m:t>
        </m:r>
      </m:oMath>
      <w:r w:rsidRPr="00EF6DCA">
        <w:rPr>
          <w:sz w:val="20"/>
          <w:szCs w:val="20"/>
          <w:lang w:val="en-US"/>
        </w:rPr>
        <w:t xml:space="preserve">. At </w:t>
      </w:r>
      <m:oMath>
        <m:r>
          <w:rPr>
            <w:rFonts w:ascii="Cambria Math" w:hAnsi="Cambria Math"/>
            <w:sz w:val="20"/>
            <w:szCs w:val="20"/>
            <w:lang w:val="en-US"/>
          </w:rPr>
          <m:t xml:space="preserve"> f=</m:t>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с</m:t>
            </m:r>
            <m:r>
              <w:rPr>
                <w:rFonts w:ascii="Cambria Math" w:hAnsi="Cambria Math"/>
                <w:sz w:val="20"/>
                <w:szCs w:val="20"/>
                <w:lang w:val="en-US"/>
              </w:rPr>
              <m:t>1</m:t>
            </m:r>
          </m:sub>
        </m:sSub>
        <m:r>
          <w:rPr>
            <w:rFonts w:ascii="Cambria Math" w:hAnsi="Cambria Math"/>
            <w:sz w:val="20"/>
            <w:szCs w:val="20"/>
            <w:lang w:val="en-US"/>
          </w:rPr>
          <m:t xml:space="preserve"> ,   </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1</m:t>
                </m:r>
              </m:sub>
            </m:sSub>
            <m:r>
              <w:rPr>
                <w:rFonts w:ascii="Cambria Math" w:hAnsi="Cambria Math"/>
                <w:sz w:val="20"/>
                <w:szCs w:val="20"/>
                <w:lang w:val="en-US"/>
              </w:rPr>
              <m:t>(f)</m:t>
            </m:r>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ad>
              <m:radPr>
                <m:degHide m:val="1"/>
                <m:ctrlPr>
                  <w:rPr>
                    <w:rFonts w:ascii="Cambria Math" w:hAnsi="Cambria Math"/>
                    <w:i/>
                    <w:sz w:val="20"/>
                    <w:szCs w:val="20"/>
                    <w:lang w:val="en-US"/>
                  </w:rPr>
                </m:ctrlPr>
              </m:radPr>
              <m:deg/>
              <m:e>
                <m:r>
                  <w:rPr>
                    <w:rFonts w:ascii="Cambria Math" w:hAnsi="Cambria Math"/>
                    <w:sz w:val="20"/>
                    <w:szCs w:val="20"/>
                    <w:lang w:val="en-US"/>
                  </w:rPr>
                  <m:t>2</m:t>
                </m:r>
              </m:e>
            </m:rad>
          </m:den>
        </m:f>
      </m:oMath>
      <w:r w:rsidR="00C250FF" w:rsidRPr="003F568B">
        <w:rPr>
          <w:sz w:val="28"/>
          <w:szCs w:val="28"/>
          <w:lang w:val="en-US"/>
        </w:rPr>
        <w:t xml:space="preserve">​ </w:t>
      </w:r>
      <w:r w:rsidRPr="00EF6DCA">
        <w:rPr>
          <w:rStyle w:val="vlist-s"/>
          <w:sz w:val="20"/>
          <w:szCs w:val="20"/>
          <w:lang w:val="en-US"/>
        </w:rPr>
        <w:t>​</w:t>
      </w:r>
      <w:r w:rsidRPr="00EF6DCA">
        <w:rPr>
          <w:sz w:val="20"/>
          <w:szCs w:val="20"/>
          <w:lang w:val="en-US"/>
        </w:rPr>
        <w:t xml:space="preserve">. For </w:t>
      </w:r>
      <w:r w:rsidRPr="00EF6DCA">
        <w:rPr>
          <w:rStyle w:val="katex-mathml"/>
          <w:sz w:val="20"/>
          <w:szCs w:val="20"/>
          <w:lang w:val="en-US"/>
        </w:rPr>
        <w:t xml:space="preserve">f </w:t>
      </w:r>
      <w:r w:rsidRPr="00EF6DCA">
        <w:rPr>
          <w:rStyle w:val="katex-mathml"/>
          <w:rFonts w:ascii="Cambria Math" w:hAnsi="Cambria Math" w:cs="Cambria Math"/>
          <w:sz w:val="20"/>
          <w:szCs w:val="20"/>
          <w:lang w:val="en-US"/>
        </w:rPr>
        <w:t xml:space="preserve">≫ </w:t>
      </w:r>
      <w:r w:rsidRPr="00EF6DCA">
        <w:rPr>
          <w:rStyle w:val="katex-mathml"/>
          <w:sz w:val="20"/>
          <w:szCs w:val="20"/>
          <w:lang w:val="en-US"/>
        </w:rPr>
        <w:t>fc</w:t>
      </w:r>
      <w:r w:rsidRPr="00EF6DCA">
        <w:rPr>
          <w:rStyle w:val="katex-mathml"/>
          <w:sz w:val="20"/>
          <w:szCs w:val="20"/>
          <w:vertAlign w:val="subscript"/>
          <w:lang w:val="en-US"/>
        </w:rPr>
        <w:t>1</w:t>
      </w:r>
      <w:r w:rsidRPr="00EF6DCA">
        <w:rPr>
          <w:rStyle w:val="katex-mathml"/>
          <w:sz w:val="20"/>
          <w:szCs w:val="20"/>
          <w:lang w:val="en-US"/>
        </w:rPr>
        <w:t>,</w:t>
      </w:r>
      <w:r w:rsidRPr="00EF6DCA">
        <w:rPr>
          <w:sz w:val="20"/>
          <w:szCs w:val="20"/>
          <w:lang w:val="en-US"/>
        </w:rPr>
        <w:t xml:space="preserve"> </w:t>
      </w:r>
      <w:r w:rsidRPr="00EF6DCA">
        <w:rPr>
          <w:rStyle w:val="katex-mathml"/>
          <w:rFonts w:ascii="Cambria Math" w:hAnsi="Cambria Math" w:cs="Cambria Math"/>
          <w:sz w:val="20"/>
          <w:szCs w:val="20"/>
          <w:lang w:val="en-US"/>
        </w:rPr>
        <w:t>∣</w:t>
      </w:r>
      <w:r w:rsidRPr="00EF6DCA">
        <w:rPr>
          <w:rStyle w:val="katex-mathml"/>
          <w:sz w:val="20"/>
          <w:szCs w:val="20"/>
          <w:lang w:val="en-US"/>
        </w:rPr>
        <w:t>K</w:t>
      </w:r>
      <w:r w:rsidRPr="00EF6DCA">
        <w:rPr>
          <w:rStyle w:val="katex-mathml"/>
          <w:sz w:val="20"/>
          <w:szCs w:val="20"/>
          <w:vertAlign w:val="subscript"/>
          <w:lang w:val="en-US"/>
        </w:rPr>
        <w:t>1</w:t>
      </w:r>
      <w:r w:rsidRPr="00EF6DCA">
        <w:rPr>
          <w:rStyle w:val="katex-mathml"/>
          <w:sz w:val="20"/>
          <w:szCs w:val="20"/>
          <w:lang w:val="en-US"/>
        </w:rPr>
        <w:t>(f)</w:t>
      </w:r>
      <w:r w:rsidRPr="00EF6DCA">
        <w:rPr>
          <w:rStyle w:val="katex-mathml"/>
          <w:rFonts w:ascii="Cambria Math" w:hAnsi="Cambria Math" w:cs="Cambria Math"/>
          <w:sz w:val="20"/>
          <w:szCs w:val="20"/>
          <w:lang w:val="en-US"/>
        </w:rPr>
        <w:t xml:space="preserve">∣ </w:t>
      </w:r>
      <w:r w:rsidRPr="00EF6DCA">
        <w:rPr>
          <w:sz w:val="20"/>
          <w:szCs w:val="20"/>
          <w:lang w:val="en-US"/>
        </w:rPr>
        <w:t xml:space="preserve">reaches its maximum value </w:t>
      </w:r>
      <w:r w:rsidRPr="00EF6DCA">
        <w:rPr>
          <w:rStyle w:val="katex-mathml"/>
          <w:sz w:val="20"/>
          <w:szCs w:val="20"/>
          <w:lang w:val="en-US"/>
        </w:rPr>
        <w:t>K</w:t>
      </w:r>
      <w:r w:rsidRPr="00EF6DCA">
        <w:rPr>
          <w:rStyle w:val="katex-mathml"/>
          <w:sz w:val="20"/>
          <w:szCs w:val="20"/>
          <w:vertAlign w:val="subscript"/>
          <w:lang w:val="en-US"/>
        </w:rPr>
        <w:t>1max</w:t>
      </w:r>
      <w:r w:rsidRPr="00EF6DCA">
        <w:rPr>
          <w:rStyle w:val="katex-mathml"/>
          <w:sz w:val="20"/>
          <w:szCs w:val="20"/>
          <w:lang w:val="en-US"/>
        </w:rPr>
        <w:t xml:space="preserve"> </w:t>
      </w:r>
      <w:r w:rsidRPr="00EF6DCA">
        <w:rPr>
          <w:rStyle w:val="vlist-s"/>
          <w:sz w:val="20"/>
          <w:szCs w:val="20"/>
          <w:lang w:val="en-US"/>
        </w:rPr>
        <w:t>​</w:t>
      </w:r>
      <w:r w:rsidRPr="00EF6DCA">
        <w:rPr>
          <w:sz w:val="20"/>
          <w:szCs w:val="20"/>
          <w:lang w:val="en-US"/>
        </w:rPr>
        <w:t xml:space="preserve">; therefore, the circuit passes signals with frequencies above </w:t>
      </w:r>
      <w:r w:rsidRPr="00EF6DCA">
        <w:rPr>
          <w:rStyle w:val="katex-mathml"/>
          <w:sz w:val="20"/>
          <w:szCs w:val="20"/>
          <w:lang w:val="en-US"/>
        </w:rPr>
        <w:t>fc</w:t>
      </w:r>
      <w:r w:rsidRPr="00EF6DCA">
        <w:rPr>
          <w:rStyle w:val="katex-mathml"/>
          <w:sz w:val="20"/>
          <w:szCs w:val="20"/>
          <w:vertAlign w:val="subscript"/>
          <w:lang w:val="en-US"/>
        </w:rPr>
        <w:t>1</w:t>
      </w:r>
      <w:r w:rsidRPr="00EF6DCA">
        <w:rPr>
          <w:rStyle w:val="vlist-s"/>
          <w:sz w:val="20"/>
          <w:szCs w:val="20"/>
          <w:lang w:val="en-US"/>
        </w:rPr>
        <w:t>​</w:t>
      </w:r>
      <w:r w:rsidRPr="00EF6DCA">
        <w:rPr>
          <w:sz w:val="20"/>
          <w:szCs w:val="20"/>
          <w:lang w:val="en-US"/>
        </w:rPr>
        <w:t>.</w:t>
      </w:r>
    </w:p>
    <w:p w:rsidR="00C250FF" w:rsidRPr="00C250FF" w:rsidRDefault="00C250FF" w:rsidP="00952494">
      <w:pPr>
        <w:pStyle w:val="a5"/>
        <w:spacing w:before="0" w:beforeAutospacing="0" w:after="0" w:afterAutospacing="0"/>
        <w:ind w:firstLine="284"/>
        <w:jc w:val="both"/>
        <w:rPr>
          <w:sz w:val="20"/>
          <w:szCs w:val="20"/>
          <w:lang w:val="en-US"/>
        </w:rPr>
      </w:pPr>
      <w:r w:rsidRPr="00C250FF">
        <w:rPr>
          <w:sz w:val="20"/>
          <w:szCs w:val="20"/>
          <w:lang w:val="en-US"/>
        </w:rPr>
        <w:t>At high input signal frequencies, the gain of the RL integrating circuit becomes very small, resulting in a strongly attenuated output signal.</w:t>
      </w:r>
    </w:p>
    <w:p w:rsidR="00824DFA" w:rsidRPr="00C250FF" w:rsidRDefault="00C250FF" w:rsidP="00952494">
      <w:pPr>
        <w:pStyle w:val="a5"/>
        <w:spacing w:before="0" w:beforeAutospacing="0" w:after="0" w:afterAutospacing="0"/>
        <w:ind w:firstLine="284"/>
        <w:jc w:val="both"/>
        <w:rPr>
          <w:sz w:val="20"/>
          <w:szCs w:val="20"/>
          <w:lang w:val="en-US"/>
        </w:rPr>
      </w:pPr>
      <w:r w:rsidRPr="00C250FF">
        <w:rPr>
          <w:sz w:val="20"/>
          <w:szCs w:val="20"/>
          <w:lang w:val="en-US"/>
        </w:rPr>
        <w:t xml:space="preserve">The input signal is transmitted almost completely up to the cutoff frequency </w:t>
      </w:r>
      <w:r w:rsidRPr="00C250FF">
        <w:rPr>
          <w:rStyle w:val="katex-mathml"/>
          <w:sz w:val="20"/>
          <w:szCs w:val="20"/>
          <w:lang w:val="en-US"/>
        </w:rPr>
        <w:t>fc</w:t>
      </w:r>
      <w:r w:rsidRPr="00C250FF">
        <w:rPr>
          <w:rStyle w:val="katex-mathml"/>
          <w:sz w:val="20"/>
          <w:szCs w:val="20"/>
          <w:vertAlign w:val="subscript"/>
          <w:lang w:val="en-US"/>
        </w:rPr>
        <w:t>1</w:t>
      </w:r>
      <w:r w:rsidRPr="00C250FF">
        <w:rPr>
          <w:rStyle w:val="vlist-s"/>
          <w:sz w:val="20"/>
          <w:szCs w:val="20"/>
          <w:lang w:val="en-US"/>
        </w:rPr>
        <w:t>​</w:t>
      </w:r>
      <w:r w:rsidRPr="00C250FF">
        <w:rPr>
          <w:sz w:val="20"/>
          <w:szCs w:val="20"/>
          <w:lang w:val="en-US"/>
        </w:rPr>
        <w:t>. Additionally, no appreciable phase shift occurs at high frequencies.</w:t>
      </w:r>
    </w:p>
    <w:p w:rsidR="00B0737F" w:rsidRPr="004043A7" w:rsidRDefault="00B0737F" w:rsidP="00B0737F">
      <w:pPr>
        <w:overflowPunct w:val="0"/>
        <w:autoSpaceDE w:val="0"/>
        <w:autoSpaceDN w:val="0"/>
        <w:adjustRightInd w:val="0"/>
        <w:spacing w:before="240" w:after="240"/>
        <w:ind w:firstLine="284"/>
        <w:jc w:val="center"/>
        <w:textAlignment w:val="baseline"/>
        <w:rPr>
          <w:b/>
          <w:lang w:val="en-US"/>
        </w:rPr>
      </w:pPr>
      <w:r w:rsidRPr="004043A7">
        <w:rPr>
          <w:b/>
          <w:lang w:val="en-US"/>
        </w:rPr>
        <w:t>CONCLUSIONS</w:t>
      </w:r>
    </w:p>
    <w:p w:rsidR="00946529" w:rsidRPr="004A43B7" w:rsidRDefault="004A43B7" w:rsidP="00980CD4">
      <w:pPr>
        <w:pStyle w:val="a5"/>
        <w:spacing w:before="0" w:beforeAutospacing="0" w:after="0" w:afterAutospacing="0"/>
        <w:ind w:firstLine="284"/>
        <w:jc w:val="both"/>
        <w:rPr>
          <w:sz w:val="20"/>
          <w:szCs w:val="20"/>
          <w:lang w:val="en-US"/>
        </w:rPr>
      </w:pPr>
      <w:r w:rsidRPr="004A43B7">
        <w:rPr>
          <w:sz w:val="20"/>
          <w:szCs w:val="20"/>
          <w:lang w:val="en-US"/>
        </w:rPr>
        <w:t>The results of this study indicate that the rotating mechanisms of agricultural tractors, particularly the PTO, operate under continuously dynamic conditions characterized by unstable loading, sharp variations in torque and angular velocity, and persistent low-frequency vibrations. It was established that conventional methods for measuring torque and angular velocity to determine mechanical power on the PTO are affected by significant dynamic errors caused by mechanical oscillations in the power take-off shaft, transmission, and engine, which reduce the stability of sensor readings. Furthermore, real-time power measurements based on instantaneous torque and angular velocity are compromised by sensor response mismatches, phase shifts, system inertia, digital filtering delays, and computational time lags. Consequently, the application of an electromagnetic angular acceleration sensor enables reliable monitoring of mechanical power under unstable operating conditions, enhances measurement accuracy and sensitivity, supports the prediction of emergency states, and facilitates predictive maintenance.</w:t>
      </w:r>
    </w:p>
    <w:p w:rsidR="00DA4801" w:rsidRPr="00A41A48" w:rsidRDefault="00DA4801" w:rsidP="00DA4801">
      <w:pPr>
        <w:overflowPunct w:val="0"/>
        <w:autoSpaceDE w:val="0"/>
        <w:autoSpaceDN w:val="0"/>
        <w:adjustRightInd w:val="0"/>
        <w:spacing w:before="240" w:after="240"/>
        <w:ind w:firstLine="284"/>
        <w:jc w:val="center"/>
        <w:textAlignment w:val="baseline"/>
        <w:rPr>
          <w:b/>
          <w:sz w:val="20"/>
          <w:szCs w:val="20"/>
          <w:lang w:val="en-US"/>
        </w:rPr>
      </w:pPr>
      <w:r w:rsidRPr="00A41A48">
        <w:rPr>
          <w:b/>
          <w:sz w:val="20"/>
          <w:szCs w:val="20"/>
          <w:lang w:val="en-US"/>
        </w:rPr>
        <w:t>REFERENCES</w:t>
      </w:r>
    </w:p>
    <w:p w:rsidR="004A49F9" w:rsidRDefault="004A49F9" w:rsidP="00911E18">
      <w:pPr>
        <w:widowControl w:val="0"/>
        <w:autoSpaceDE w:val="0"/>
        <w:autoSpaceDN w:val="0"/>
        <w:adjustRightInd w:val="0"/>
        <w:jc w:val="both"/>
        <w:rPr>
          <w:noProof/>
          <w:sz w:val="20"/>
          <w:szCs w:val="20"/>
          <w:lang w:val="en-US"/>
        </w:rPr>
      </w:pPr>
      <w:r w:rsidRPr="00DA4801">
        <w:rPr>
          <w:rFonts w:eastAsia="WipoUniExt"/>
          <w:sz w:val="20"/>
          <w:szCs w:val="20"/>
          <w:lang w:val="en-US"/>
        </w:rPr>
        <w:fldChar w:fldCharType="begin" w:fldLock="1"/>
      </w:r>
      <w:r w:rsidRPr="00DA4801">
        <w:rPr>
          <w:rFonts w:eastAsia="WipoUniExt"/>
          <w:sz w:val="20"/>
          <w:szCs w:val="20"/>
          <w:lang w:val="en-US"/>
        </w:rPr>
        <w:instrText xml:space="preserve">ADDIN Mendeley Bibliography CSL_BIBLIOGRAPHY </w:instrText>
      </w:r>
      <w:r w:rsidRPr="00DA4801">
        <w:rPr>
          <w:rFonts w:eastAsia="WipoUniExt"/>
          <w:sz w:val="20"/>
          <w:szCs w:val="20"/>
          <w:lang w:val="en-US"/>
        </w:rPr>
        <w:fldChar w:fldCharType="separate"/>
      </w:r>
      <w:r w:rsidR="00614EC0">
        <w:rPr>
          <w:noProof/>
          <w:sz w:val="20"/>
          <w:szCs w:val="20"/>
          <w:lang w:val="en-US"/>
        </w:rPr>
        <w:t xml:space="preserve">1. </w:t>
      </w:r>
      <w:r w:rsidRPr="00DA4801">
        <w:rPr>
          <w:noProof/>
          <w:sz w:val="20"/>
          <w:szCs w:val="20"/>
          <w:lang w:val="en-US"/>
        </w:rPr>
        <w:t xml:space="preserve">“PF-5853, dated 23.10.2019. *On the approval of the strategy for the development of agriculture of the Republic of Uzbekistan for 2020–2030.*” Accessed: Apr. 16, 2024. [Online]. Available: [https://lex.uz/docs/-4567334](https://lex.uz/docs/-4567334) </w:t>
      </w:r>
      <w:r w:rsidR="00103F82">
        <w:rPr>
          <w:noProof/>
          <w:sz w:val="20"/>
          <w:szCs w:val="20"/>
          <w:lang w:val="en-US"/>
        </w:rPr>
        <w:t>.</w:t>
      </w:r>
    </w:p>
    <w:p w:rsidR="001D524C" w:rsidRDefault="00614EC0" w:rsidP="00911E18">
      <w:pPr>
        <w:pStyle w:val="a5"/>
        <w:spacing w:before="0" w:beforeAutospacing="0" w:after="0" w:afterAutospacing="0"/>
        <w:jc w:val="both"/>
        <w:rPr>
          <w:bCs/>
          <w:noProof/>
          <w:sz w:val="20"/>
          <w:szCs w:val="20"/>
          <w:lang w:val="en-US"/>
        </w:rPr>
      </w:pPr>
      <w:r>
        <w:rPr>
          <w:noProof/>
          <w:sz w:val="20"/>
          <w:szCs w:val="20"/>
          <w:lang w:val="en-US"/>
        </w:rPr>
        <w:t xml:space="preserve">2. </w:t>
      </w:r>
      <w:r w:rsidR="00103F82" w:rsidRPr="00103F82">
        <w:rPr>
          <w:bCs/>
          <w:noProof/>
          <w:sz w:val="20"/>
          <w:szCs w:val="20"/>
          <w:lang w:val="en-US"/>
        </w:rPr>
        <w:t xml:space="preserve">Z. S. Sharipov, P. T. Berdimuratov, and B. B. Xakimov. </w:t>
      </w:r>
      <w:r w:rsidR="00103F82" w:rsidRPr="00103F82">
        <w:rPr>
          <w:i/>
          <w:iCs/>
          <w:noProof/>
          <w:sz w:val="20"/>
          <w:szCs w:val="20"/>
          <w:lang w:val="en-US"/>
        </w:rPr>
        <w:t>Diagnostics and Technical Service of Machines and Tractor Aggregates</w:t>
      </w:r>
      <w:r w:rsidR="00103F82" w:rsidRPr="00103F82">
        <w:rPr>
          <w:bCs/>
          <w:noProof/>
          <w:sz w:val="20"/>
          <w:szCs w:val="20"/>
          <w:lang w:val="en-US"/>
        </w:rPr>
        <w:t>, pp. 1–184, 2021.</w:t>
      </w:r>
    </w:p>
    <w:p w:rsidR="00103F82" w:rsidRDefault="00614EC0" w:rsidP="00911E18">
      <w:pPr>
        <w:pStyle w:val="a5"/>
        <w:spacing w:before="0" w:beforeAutospacing="0" w:after="0" w:afterAutospacing="0"/>
        <w:jc w:val="both"/>
        <w:rPr>
          <w:bCs/>
          <w:noProof/>
          <w:sz w:val="20"/>
          <w:szCs w:val="20"/>
          <w:lang w:val="en-US"/>
        </w:rPr>
      </w:pPr>
      <w:r>
        <w:rPr>
          <w:bCs/>
          <w:noProof/>
          <w:sz w:val="20"/>
          <w:szCs w:val="20"/>
          <w:lang w:val="en-US"/>
        </w:rPr>
        <w:t>3.</w:t>
      </w:r>
      <w:r w:rsidR="00103F82">
        <w:rPr>
          <w:bCs/>
          <w:noProof/>
          <w:sz w:val="20"/>
          <w:szCs w:val="20"/>
          <w:lang w:val="en-US"/>
        </w:rPr>
        <w:t xml:space="preserve"> </w:t>
      </w:r>
      <w:r w:rsidR="00103F82" w:rsidRPr="00103F82">
        <w:rPr>
          <w:bCs/>
          <w:noProof/>
          <w:sz w:val="20"/>
          <w:szCs w:val="20"/>
          <w:lang w:val="en-US"/>
        </w:rPr>
        <w:t xml:space="preserve">A. K. Igamberdiev, S. Aliqulov. </w:t>
      </w:r>
      <w:r w:rsidR="00103F82" w:rsidRPr="00103F82">
        <w:rPr>
          <w:bCs/>
          <w:i/>
          <w:iCs/>
          <w:noProof/>
          <w:sz w:val="20"/>
          <w:szCs w:val="20"/>
          <w:lang w:val="en-US"/>
        </w:rPr>
        <w:t>Operation and Technical Service of Tractors and Agricultural Machines</w:t>
      </w:r>
      <w:r w:rsidR="00103F82" w:rsidRPr="00103F82">
        <w:rPr>
          <w:bCs/>
          <w:noProof/>
          <w:sz w:val="20"/>
          <w:szCs w:val="20"/>
          <w:lang w:val="en-US"/>
        </w:rPr>
        <w:t>. учебное пособие (Textbook). Tashkent: TIQXMMI, 2020, 228 pp.</w:t>
      </w:r>
    </w:p>
    <w:p w:rsidR="002C7EF2" w:rsidRDefault="00614EC0" w:rsidP="00911E18">
      <w:pPr>
        <w:pStyle w:val="a5"/>
        <w:spacing w:before="0" w:beforeAutospacing="0" w:after="0" w:afterAutospacing="0"/>
        <w:jc w:val="both"/>
        <w:rPr>
          <w:bCs/>
          <w:noProof/>
          <w:sz w:val="20"/>
          <w:szCs w:val="20"/>
          <w:lang w:val="en-US"/>
        </w:rPr>
      </w:pPr>
      <w:r>
        <w:rPr>
          <w:bCs/>
          <w:noProof/>
          <w:sz w:val="20"/>
          <w:szCs w:val="20"/>
          <w:lang w:val="en-US"/>
        </w:rPr>
        <w:t xml:space="preserve">4. </w:t>
      </w:r>
      <w:r w:rsidR="002C7EF2" w:rsidRPr="002C7EF2">
        <w:rPr>
          <w:noProof/>
          <w:sz w:val="20"/>
          <w:szCs w:val="20"/>
          <w:lang w:val="en-US"/>
        </w:rPr>
        <w:t>Kutkov, G.M., 2004.</w:t>
      </w:r>
      <w:r w:rsidR="002C7EF2">
        <w:rPr>
          <w:b/>
          <w:noProof/>
          <w:sz w:val="20"/>
          <w:szCs w:val="20"/>
          <w:lang w:val="en-US"/>
        </w:rPr>
        <w:tab/>
      </w:r>
      <w:r w:rsidR="002C7EF2" w:rsidRPr="002C7EF2">
        <w:rPr>
          <w:bCs/>
          <w:i/>
          <w:iCs/>
          <w:noProof/>
          <w:sz w:val="20"/>
          <w:szCs w:val="20"/>
          <w:lang w:val="en-US"/>
        </w:rPr>
        <w:t>Tractors and automobiles: theory and operation.</w:t>
      </w:r>
      <w:r w:rsidR="002C7EF2" w:rsidRPr="002C7EF2">
        <w:rPr>
          <w:bCs/>
          <w:noProof/>
          <w:sz w:val="20"/>
          <w:szCs w:val="20"/>
          <w:lang w:val="en-US"/>
        </w:rPr>
        <w:t xml:space="preserve"> Kolos, Moscow, 376 p.</w:t>
      </w:r>
    </w:p>
    <w:p w:rsidR="002C7EF2" w:rsidRDefault="002C7EF2" w:rsidP="00911E18">
      <w:pPr>
        <w:pStyle w:val="a5"/>
        <w:spacing w:before="0" w:beforeAutospacing="0" w:after="0" w:afterAutospacing="0"/>
        <w:jc w:val="both"/>
        <w:rPr>
          <w:bCs/>
          <w:noProof/>
          <w:sz w:val="20"/>
          <w:szCs w:val="20"/>
          <w:lang w:val="en-US"/>
        </w:rPr>
      </w:pPr>
      <w:r>
        <w:rPr>
          <w:bCs/>
          <w:noProof/>
          <w:sz w:val="20"/>
          <w:szCs w:val="20"/>
          <w:lang w:val="en-US"/>
        </w:rPr>
        <w:t>5</w:t>
      </w:r>
      <w:r w:rsidR="00614EC0">
        <w:rPr>
          <w:bCs/>
          <w:noProof/>
          <w:sz w:val="20"/>
          <w:szCs w:val="20"/>
          <w:lang w:val="en-US"/>
        </w:rPr>
        <w:t>.</w:t>
      </w:r>
      <w:r>
        <w:rPr>
          <w:bCs/>
          <w:noProof/>
          <w:sz w:val="20"/>
          <w:szCs w:val="20"/>
          <w:lang w:val="en-US"/>
        </w:rPr>
        <w:t xml:space="preserve"> </w:t>
      </w:r>
      <w:r w:rsidRPr="002C7EF2">
        <w:rPr>
          <w:noProof/>
          <w:sz w:val="20"/>
          <w:szCs w:val="20"/>
          <w:lang w:val="en-US"/>
        </w:rPr>
        <w:t>Zangiev, V.A., Tishchenko, V.F., 2013.</w:t>
      </w:r>
      <w:r>
        <w:rPr>
          <w:b/>
          <w:noProof/>
          <w:sz w:val="20"/>
          <w:szCs w:val="20"/>
          <w:lang w:val="en-US"/>
        </w:rPr>
        <w:t xml:space="preserve"> </w:t>
      </w:r>
      <w:r w:rsidRPr="002C7EF2">
        <w:rPr>
          <w:bCs/>
          <w:i/>
          <w:iCs/>
          <w:noProof/>
          <w:sz w:val="20"/>
          <w:szCs w:val="20"/>
          <w:lang w:val="en-US"/>
        </w:rPr>
        <w:t>Dynamics of agricultural machines.</w:t>
      </w:r>
      <w:r w:rsidRPr="002C7EF2">
        <w:rPr>
          <w:bCs/>
          <w:noProof/>
          <w:sz w:val="20"/>
          <w:szCs w:val="20"/>
          <w:lang w:val="en-US"/>
        </w:rPr>
        <w:t xml:space="preserve"> KolosS, Moscow, 320 p.</w:t>
      </w:r>
    </w:p>
    <w:p w:rsidR="002C7EF2" w:rsidRDefault="00614EC0" w:rsidP="00911E18">
      <w:pPr>
        <w:pStyle w:val="a5"/>
        <w:spacing w:before="0" w:beforeAutospacing="0" w:after="0" w:afterAutospacing="0"/>
        <w:jc w:val="both"/>
        <w:rPr>
          <w:noProof/>
          <w:sz w:val="20"/>
          <w:szCs w:val="20"/>
          <w:lang w:val="en-US"/>
        </w:rPr>
      </w:pPr>
      <w:r>
        <w:rPr>
          <w:bCs/>
          <w:noProof/>
          <w:sz w:val="20"/>
          <w:szCs w:val="20"/>
          <w:lang w:val="en-US"/>
        </w:rPr>
        <w:lastRenderedPageBreak/>
        <w:t>6.</w:t>
      </w:r>
      <w:r w:rsidR="002C7EF2">
        <w:rPr>
          <w:bCs/>
          <w:noProof/>
          <w:sz w:val="20"/>
          <w:szCs w:val="20"/>
          <w:lang w:val="en-US"/>
        </w:rPr>
        <w:t xml:space="preserve"> </w:t>
      </w:r>
      <w:r w:rsidR="002C7EF2" w:rsidRPr="002C7EF2">
        <w:rPr>
          <w:bCs/>
          <w:noProof/>
          <w:sz w:val="20"/>
          <w:szCs w:val="20"/>
          <w:lang w:val="en-US"/>
        </w:rPr>
        <w:t>Goering, C.E., Hansen, A.C., Schueller, J.K., 2014.</w:t>
      </w:r>
      <w:r w:rsidR="002C7EF2">
        <w:rPr>
          <w:b/>
          <w:bCs/>
          <w:noProof/>
          <w:sz w:val="20"/>
          <w:szCs w:val="20"/>
          <w:lang w:val="en-US"/>
        </w:rPr>
        <w:t xml:space="preserve"> </w:t>
      </w:r>
      <w:r w:rsidR="002C7EF2" w:rsidRPr="002C7EF2">
        <w:rPr>
          <w:i/>
          <w:iCs/>
          <w:noProof/>
          <w:sz w:val="20"/>
          <w:szCs w:val="20"/>
          <w:lang w:val="en-US"/>
        </w:rPr>
        <w:t>Engine and tractor power.</w:t>
      </w:r>
      <w:r w:rsidR="002C7EF2" w:rsidRPr="002C7EF2">
        <w:rPr>
          <w:noProof/>
          <w:sz w:val="20"/>
          <w:szCs w:val="20"/>
          <w:lang w:val="en-US"/>
        </w:rPr>
        <w:t xml:space="preserve"> 4th ed. ASABE, St. Joseph, MI, 384 p.</w:t>
      </w:r>
    </w:p>
    <w:p w:rsidR="002C7EF2" w:rsidRDefault="00614EC0" w:rsidP="00911E18">
      <w:pPr>
        <w:pStyle w:val="a5"/>
        <w:spacing w:before="0" w:beforeAutospacing="0" w:after="0" w:afterAutospacing="0"/>
        <w:jc w:val="both"/>
        <w:rPr>
          <w:bCs/>
          <w:noProof/>
          <w:sz w:val="20"/>
          <w:szCs w:val="20"/>
          <w:lang w:val="en-US"/>
        </w:rPr>
      </w:pPr>
      <w:r>
        <w:rPr>
          <w:noProof/>
          <w:sz w:val="20"/>
          <w:szCs w:val="20"/>
          <w:lang w:val="en-US"/>
        </w:rPr>
        <w:t>7.</w:t>
      </w:r>
      <w:r w:rsidR="002C7EF2">
        <w:rPr>
          <w:noProof/>
          <w:sz w:val="20"/>
          <w:szCs w:val="20"/>
          <w:lang w:val="en-US"/>
        </w:rPr>
        <w:t xml:space="preserve"> </w:t>
      </w:r>
      <w:r w:rsidR="002C7EF2" w:rsidRPr="002C7EF2">
        <w:rPr>
          <w:bCs/>
          <w:noProof/>
          <w:sz w:val="20"/>
          <w:szCs w:val="20"/>
          <w:lang w:val="en-US"/>
        </w:rPr>
        <w:t>Grisso, R.D., Perumpral, J.V., Vaughan, D.H., Roberson, G.T., Pitman, R.M., 2004.</w:t>
      </w:r>
      <w:r w:rsidR="002C7EF2" w:rsidRPr="002C7EF2">
        <w:rPr>
          <w:bCs/>
          <w:noProof/>
          <w:sz w:val="20"/>
          <w:szCs w:val="20"/>
          <w:lang w:val="en-US"/>
        </w:rPr>
        <w:br/>
        <w:t xml:space="preserve">Predicting tractor fuel consumption. </w:t>
      </w:r>
      <w:r w:rsidR="002C7EF2" w:rsidRPr="002C7EF2">
        <w:rPr>
          <w:bCs/>
          <w:i/>
          <w:iCs/>
          <w:noProof/>
          <w:sz w:val="20"/>
          <w:szCs w:val="20"/>
          <w:lang w:val="en-US"/>
        </w:rPr>
        <w:t>Applied Engineering in Agriculture</w:t>
      </w:r>
      <w:r w:rsidR="002C7EF2" w:rsidRPr="002C7EF2">
        <w:rPr>
          <w:bCs/>
          <w:noProof/>
          <w:sz w:val="20"/>
          <w:szCs w:val="20"/>
          <w:lang w:val="en-US"/>
        </w:rPr>
        <w:t>, 20(5), pp. 553–561.</w:t>
      </w:r>
    </w:p>
    <w:p w:rsidR="002C7EF2" w:rsidRPr="002C7EF2" w:rsidRDefault="00614EC0" w:rsidP="00911E18">
      <w:pPr>
        <w:pStyle w:val="a5"/>
        <w:spacing w:before="0" w:beforeAutospacing="0" w:after="0" w:afterAutospacing="0"/>
        <w:jc w:val="both"/>
        <w:rPr>
          <w:bCs/>
          <w:noProof/>
          <w:sz w:val="20"/>
          <w:szCs w:val="20"/>
          <w:lang w:val="en-US"/>
        </w:rPr>
      </w:pPr>
      <w:r>
        <w:rPr>
          <w:bCs/>
          <w:noProof/>
          <w:sz w:val="20"/>
          <w:szCs w:val="20"/>
          <w:lang w:val="en-US"/>
        </w:rPr>
        <w:t>8.</w:t>
      </w:r>
      <w:r w:rsidR="002C7EF2">
        <w:rPr>
          <w:bCs/>
          <w:noProof/>
          <w:sz w:val="20"/>
          <w:szCs w:val="20"/>
          <w:lang w:val="en-US"/>
        </w:rPr>
        <w:t xml:space="preserve"> </w:t>
      </w:r>
      <w:r w:rsidR="002C7EF2" w:rsidRPr="002C7EF2">
        <w:rPr>
          <w:noProof/>
          <w:sz w:val="20"/>
          <w:szCs w:val="20"/>
          <w:lang w:val="en-US"/>
        </w:rPr>
        <w:t>Liljedahl, J.B., Turnquist, P.K., Smith, D.W., Hoki, M., 1996.</w:t>
      </w:r>
      <w:r w:rsidR="002C7EF2">
        <w:rPr>
          <w:noProof/>
          <w:sz w:val="20"/>
          <w:szCs w:val="20"/>
          <w:lang w:val="en-US"/>
        </w:rPr>
        <w:t xml:space="preserve"> </w:t>
      </w:r>
      <w:r w:rsidR="002C7EF2" w:rsidRPr="002C7EF2">
        <w:rPr>
          <w:bCs/>
          <w:i/>
          <w:iCs/>
          <w:noProof/>
          <w:sz w:val="20"/>
          <w:szCs w:val="20"/>
          <w:lang w:val="en-US"/>
        </w:rPr>
        <w:t>Tractors and their power units.</w:t>
      </w:r>
      <w:r w:rsidR="002C7EF2" w:rsidRPr="002C7EF2">
        <w:rPr>
          <w:bCs/>
          <w:noProof/>
          <w:sz w:val="20"/>
          <w:szCs w:val="20"/>
          <w:lang w:val="en-US"/>
        </w:rPr>
        <w:t xml:space="preserve"> 4th ed. John Wiley &amp; Sons, Hoboken, NJ, 404 p.</w:t>
      </w:r>
    </w:p>
    <w:p w:rsidR="009B4AF2" w:rsidRPr="009B4AF2" w:rsidRDefault="00614EC0" w:rsidP="00911E18">
      <w:pPr>
        <w:pStyle w:val="a3"/>
        <w:widowControl w:val="0"/>
        <w:tabs>
          <w:tab w:val="num" w:pos="709"/>
        </w:tabs>
        <w:autoSpaceDE w:val="0"/>
        <w:autoSpaceDN w:val="0"/>
        <w:adjustRightInd w:val="0"/>
        <w:ind w:left="0"/>
        <w:jc w:val="both"/>
        <w:rPr>
          <w:bCs/>
          <w:noProof/>
          <w:sz w:val="20"/>
          <w:szCs w:val="20"/>
          <w:lang w:val="en-US"/>
        </w:rPr>
      </w:pPr>
      <w:r>
        <w:rPr>
          <w:noProof/>
          <w:sz w:val="20"/>
          <w:szCs w:val="20"/>
          <w:lang w:val="en-US"/>
        </w:rPr>
        <w:t xml:space="preserve">9. </w:t>
      </w:r>
      <w:r w:rsidR="009B4AF2" w:rsidRPr="009B4AF2">
        <w:rPr>
          <w:bCs/>
          <w:noProof/>
          <w:sz w:val="20"/>
          <w:szCs w:val="20"/>
          <w:lang w:val="en-US"/>
        </w:rPr>
        <w:t>M.I.Borisov, S.A.Vlyadkin/Angular accelerometer for bench microvibration testing of high-precision guidance and stabilization system,” vol. 2, no. 13, 2016.</w:t>
      </w:r>
    </w:p>
    <w:p w:rsidR="004A49F9" w:rsidRPr="00DA4801" w:rsidRDefault="009B4AF2" w:rsidP="00911E18">
      <w:pPr>
        <w:widowControl w:val="0"/>
        <w:autoSpaceDE w:val="0"/>
        <w:autoSpaceDN w:val="0"/>
        <w:adjustRightInd w:val="0"/>
        <w:jc w:val="both"/>
        <w:rPr>
          <w:noProof/>
          <w:sz w:val="20"/>
          <w:szCs w:val="20"/>
          <w:lang w:val="en-US"/>
        </w:rPr>
      </w:pPr>
      <w:r>
        <w:rPr>
          <w:noProof/>
          <w:sz w:val="20"/>
          <w:szCs w:val="20"/>
          <w:lang w:val="en-US"/>
        </w:rPr>
        <w:t>10</w:t>
      </w:r>
      <w:r w:rsidR="00614EC0">
        <w:rPr>
          <w:noProof/>
          <w:sz w:val="20"/>
          <w:szCs w:val="20"/>
          <w:lang w:val="en-US"/>
        </w:rPr>
        <w:t xml:space="preserve">. </w:t>
      </w:r>
      <w:r w:rsidR="004A49F9" w:rsidRPr="00DA4801">
        <w:rPr>
          <w:noProof/>
          <w:sz w:val="20"/>
          <w:szCs w:val="20"/>
          <w:lang w:val="en-US"/>
        </w:rPr>
        <w:t xml:space="preserve">A. S. Chernysheva, “*Angular Acceleration Sensor,*” pp. 176–183, 2013. </w:t>
      </w:r>
    </w:p>
    <w:p w:rsidR="004A49F9" w:rsidRPr="00DA4801" w:rsidRDefault="009B4AF2" w:rsidP="00911E18">
      <w:pPr>
        <w:widowControl w:val="0"/>
        <w:autoSpaceDE w:val="0"/>
        <w:autoSpaceDN w:val="0"/>
        <w:adjustRightInd w:val="0"/>
        <w:jc w:val="both"/>
        <w:rPr>
          <w:noProof/>
          <w:sz w:val="20"/>
          <w:szCs w:val="20"/>
          <w:lang w:val="en-US"/>
        </w:rPr>
      </w:pPr>
      <w:r>
        <w:rPr>
          <w:noProof/>
          <w:sz w:val="20"/>
          <w:szCs w:val="20"/>
          <w:lang w:val="en-US"/>
        </w:rPr>
        <w:t>11</w:t>
      </w:r>
      <w:r w:rsidR="00614EC0">
        <w:rPr>
          <w:noProof/>
          <w:sz w:val="20"/>
          <w:szCs w:val="20"/>
          <w:lang w:val="en-US"/>
        </w:rPr>
        <w:t xml:space="preserve">. </w:t>
      </w:r>
      <w:r w:rsidR="004A49F9" w:rsidRPr="00DA4801">
        <w:rPr>
          <w:noProof/>
          <w:sz w:val="20"/>
          <w:szCs w:val="20"/>
          <w:lang w:val="en-US"/>
        </w:rPr>
        <w:t>S. Nitriles, “C1 C1 C1,” vol. 40, no. 2, pp. 267–268, 1975.</w:t>
      </w:r>
    </w:p>
    <w:p w:rsidR="004A49F9" w:rsidRPr="00DA4801" w:rsidRDefault="009B4AF2" w:rsidP="00911E18">
      <w:pPr>
        <w:widowControl w:val="0"/>
        <w:autoSpaceDE w:val="0"/>
        <w:autoSpaceDN w:val="0"/>
        <w:adjustRightInd w:val="0"/>
        <w:jc w:val="both"/>
        <w:rPr>
          <w:noProof/>
          <w:sz w:val="20"/>
          <w:szCs w:val="20"/>
          <w:lang w:val="en-US"/>
        </w:rPr>
      </w:pPr>
      <w:r>
        <w:rPr>
          <w:noProof/>
          <w:sz w:val="20"/>
          <w:szCs w:val="20"/>
          <w:lang w:val="en-US"/>
        </w:rPr>
        <w:t>12</w:t>
      </w:r>
      <w:r w:rsidR="00614EC0">
        <w:rPr>
          <w:noProof/>
          <w:sz w:val="20"/>
          <w:szCs w:val="20"/>
          <w:lang w:val="en-US"/>
        </w:rPr>
        <w:t xml:space="preserve">. </w:t>
      </w:r>
      <w:r w:rsidR="004A49F9" w:rsidRPr="00DA4801">
        <w:rPr>
          <w:noProof/>
          <w:sz w:val="20"/>
          <w:szCs w:val="20"/>
          <w:lang w:val="en-US"/>
        </w:rPr>
        <w:t xml:space="preserve">R. Baratov and A. Mustafoqulov, “Model of field robot manipulators and sensor for measuring angular displacement of its rotating parts,” </w:t>
      </w:r>
      <w:r w:rsidR="004A49F9" w:rsidRPr="00DA4801">
        <w:rPr>
          <w:i/>
          <w:iCs/>
          <w:noProof/>
          <w:sz w:val="20"/>
          <w:szCs w:val="20"/>
          <w:lang w:val="en-US"/>
        </w:rPr>
        <w:t>E3S Web Conf.</w:t>
      </w:r>
      <w:r w:rsidR="004A49F9" w:rsidRPr="00DA4801">
        <w:rPr>
          <w:noProof/>
          <w:sz w:val="20"/>
          <w:szCs w:val="20"/>
          <w:lang w:val="en-US"/>
        </w:rPr>
        <w:t>, vol. 401, p. 04006, Jul. 2023, doi: 10.1051/E3SCONF/202340104006.</w:t>
      </w:r>
    </w:p>
    <w:p w:rsidR="004A49F9" w:rsidRPr="00DA4801" w:rsidRDefault="009B4AF2" w:rsidP="00911E18">
      <w:pPr>
        <w:widowControl w:val="0"/>
        <w:autoSpaceDE w:val="0"/>
        <w:autoSpaceDN w:val="0"/>
        <w:adjustRightInd w:val="0"/>
        <w:jc w:val="both"/>
        <w:rPr>
          <w:noProof/>
          <w:sz w:val="20"/>
          <w:szCs w:val="20"/>
          <w:lang w:val="en-US"/>
        </w:rPr>
      </w:pPr>
      <w:r>
        <w:rPr>
          <w:noProof/>
          <w:sz w:val="20"/>
          <w:szCs w:val="20"/>
          <w:lang w:val="en-US"/>
        </w:rPr>
        <w:t>13</w:t>
      </w:r>
      <w:r w:rsidR="00614EC0">
        <w:rPr>
          <w:noProof/>
          <w:sz w:val="20"/>
          <w:szCs w:val="20"/>
          <w:lang w:val="en-US"/>
        </w:rPr>
        <w:t xml:space="preserve">. </w:t>
      </w:r>
      <w:r w:rsidR="004A49F9" w:rsidRPr="00DA4801">
        <w:rPr>
          <w:noProof/>
          <w:sz w:val="20"/>
          <w:szCs w:val="20"/>
          <w:lang w:val="en-US"/>
        </w:rPr>
        <w:t xml:space="preserve">R. Baratov and A. Mustafoqulov, “Smart angular displacement sensor for agricultural field robot manipulators,” </w:t>
      </w:r>
      <w:r w:rsidR="004A49F9" w:rsidRPr="00DA4801">
        <w:rPr>
          <w:i/>
          <w:iCs/>
          <w:noProof/>
          <w:sz w:val="20"/>
          <w:szCs w:val="20"/>
          <w:lang w:val="en-US"/>
        </w:rPr>
        <w:t>E3S Web Conf.</w:t>
      </w:r>
      <w:r w:rsidR="004A49F9" w:rsidRPr="00DA4801">
        <w:rPr>
          <w:noProof/>
          <w:sz w:val="20"/>
          <w:szCs w:val="20"/>
          <w:lang w:val="en-US"/>
        </w:rPr>
        <w:t>, vol. 386, p. 03008, May 2023, doi: 10.1051/E3SCONF/202338603008.</w:t>
      </w:r>
    </w:p>
    <w:p w:rsidR="00A3267E" w:rsidRDefault="009B4AF2" w:rsidP="00911E18">
      <w:pPr>
        <w:widowControl w:val="0"/>
        <w:autoSpaceDE w:val="0"/>
        <w:autoSpaceDN w:val="0"/>
        <w:adjustRightInd w:val="0"/>
        <w:jc w:val="both"/>
        <w:rPr>
          <w:noProof/>
          <w:sz w:val="20"/>
          <w:szCs w:val="20"/>
          <w:lang w:val="en-US"/>
        </w:rPr>
      </w:pPr>
      <w:r>
        <w:rPr>
          <w:noProof/>
          <w:sz w:val="20"/>
          <w:szCs w:val="20"/>
          <w:lang w:val="en-US"/>
        </w:rPr>
        <w:t>14</w:t>
      </w:r>
      <w:r w:rsidR="00614EC0">
        <w:rPr>
          <w:noProof/>
          <w:sz w:val="20"/>
          <w:szCs w:val="20"/>
          <w:lang w:val="en-US"/>
        </w:rPr>
        <w:t xml:space="preserve">. </w:t>
      </w:r>
      <w:r w:rsidR="00A3267E" w:rsidRPr="00A3267E">
        <w:rPr>
          <w:noProof/>
          <w:sz w:val="20"/>
          <w:szCs w:val="20"/>
          <w:lang w:val="en-US"/>
        </w:rPr>
        <w:t>Patent SU №387287. Contactless Angular Acceleration Sensor / E.G. Shvetsov, V.V. Moskvin, L.M. Perikov, Yu.N. Kozmin, A.I. Molchanov, V.Sh. Nabutovsky, and Yu.M. Yukhanov // Bulletin No. 27, 21.06.1973.</w:t>
      </w:r>
      <w:r w:rsidR="00A3267E" w:rsidRPr="00DA4801">
        <w:rPr>
          <w:noProof/>
          <w:sz w:val="20"/>
          <w:szCs w:val="20"/>
          <w:lang w:val="en-US"/>
        </w:rPr>
        <w:t xml:space="preserve"> </w:t>
      </w:r>
    </w:p>
    <w:p w:rsidR="004A49F9" w:rsidRPr="00A3267E" w:rsidRDefault="009B4AF2" w:rsidP="00911E18">
      <w:pPr>
        <w:widowControl w:val="0"/>
        <w:autoSpaceDE w:val="0"/>
        <w:autoSpaceDN w:val="0"/>
        <w:adjustRightInd w:val="0"/>
        <w:jc w:val="both"/>
        <w:rPr>
          <w:noProof/>
          <w:sz w:val="20"/>
          <w:szCs w:val="20"/>
          <w:lang w:val="en-US"/>
        </w:rPr>
      </w:pPr>
      <w:r>
        <w:rPr>
          <w:noProof/>
          <w:sz w:val="20"/>
          <w:szCs w:val="20"/>
          <w:lang w:val="en-US"/>
        </w:rPr>
        <w:t>15</w:t>
      </w:r>
      <w:r w:rsidR="00614EC0">
        <w:rPr>
          <w:noProof/>
          <w:sz w:val="20"/>
          <w:szCs w:val="20"/>
          <w:lang w:val="en-US"/>
        </w:rPr>
        <w:t xml:space="preserve">. </w:t>
      </w:r>
      <w:r w:rsidR="00A3267E" w:rsidRPr="00A3267E">
        <w:rPr>
          <w:noProof/>
          <w:sz w:val="20"/>
          <w:szCs w:val="20"/>
          <w:lang w:val="en-US"/>
        </w:rPr>
        <w:t>Patent №714286. Angular Acceleration Sensor / V.N. Glushenkov and I.A. Musin // Bulletin No. 5, 05.02.1980.</w:t>
      </w:r>
    </w:p>
    <w:p w:rsidR="004A49F9" w:rsidRPr="00DA4801" w:rsidRDefault="00614EC0" w:rsidP="00911E18">
      <w:pPr>
        <w:widowControl w:val="0"/>
        <w:autoSpaceDE w:val="0"/>
        <w:autoSpaceDN w:val="0"/>
        <w:adjustRightInd w:val="0"/>
        <w:jc w:val="both"/>
        <w:rPr>
          <w:noProof/>
          <w:sz w:val="20"/>
          <w:szCs w:val="20"/>
          <w:lang w:val="en-US"/>
        </w:rPr>
      </w:pPr>
      <w:r>
        <w:rPr>
          <w:noProof/>
          <w:sz w:val="20"/>
          <w:szCs w:val="20"/>
          <w:lang w:val="en-US"/>
        </w:rPr>
        <w:t xml:space="preserve">16. </w:t>
      </w:r>
      <w:r w:rsidR="004A49F9" w:rsidRPr="00DA4801">
        <w:rPr>
          <w:noProof/>
          <w:sz w:val="20"/>
          <w:szCs w:val="20"/>
          <w:lang w:val="en-US"/>
        </w:rPr>
        <w:t xml:space="preserve">“Device for Measuring Angular Accelerations. Soviet Patent 1983 SU 1035523 A1. Invention under IPC G01P15/125,*” Accessed: Apr. 16, 2024. [Online]. Available: [https://patenton.ru/patent/SU1035523A1](https://patenton.ru/patent/SU1035523A1) </w:t>
      </w:r>
    </w:p>
    <w:p w:rsidR="004A49F9" w:rsidRPr="00A3267E" w:rsidRDefault="00614EC0" w:rsidP="00911E18">
      <w:pPr>
        <w:widowControl w:val="0"/>
        <w:autoSpaceDE w:val="0"/>
        <w:autoSpaceDN w:val="0"/>
        <w:adjustRightInd w:val="0"/>
        <w:jc w:val="both"/>
        <w:rPr>
          <w:noProof/>
          <w:sz w:val="20"/>
          <w:szCs w:val="20"/>
          <w:lang w:val="en-US"/>
        </w:rPr>
      </w:pPr>
      <w:r>
        <w:rPr>
          <w:noProof/>
          <w:sz w:val="20"/>
          <w:szCs w:val="20"/>
          <w:lang w:val="en-US"/>
        </w:rPr>
        <w:t xml:space="preserve">17. </w:t>
      </w:r>
      <w:r w:rsidR="00A3267E" w:rsidRPr="00A3267E">
        <w:rPr>
          <w:noProof/>
          <w:sz w:val="20"/>
          <w:szCs w:val="20"/>
          <w:lang w:val="en-US"/>
        </w:rPr>
        <w:t>Patent SU №1793384. Angular Acceleration Sensor / R.K. Azimov and N.U. Mallin // Bulletin No. 5, 07.02.1993.</w:t>
      </w:r>
    </w:p>
    <w:p w:rsidR="004A49F9" w:rsidRPr="00DA4801" w:rsidRDefault="00614EC0" w:rsidP="00911E18">
      <w:pPr>
        <w:widowControl w:val="0"/>
        <w:autoSpaceDE w:val="0"/>
        <w:autoSpaceDN w:val="0"/>
        <w:adjustRightInd w:val="0"/>
        <w:jc w:val="both"/>
        <w:rPr>
          <w:noProof/>
          <w:sz w:val="20"/>
          <w:szCs w:val="20"/>
          <w:lang w:val="en-US"/>
        </w:rPr>
      </w:pPr>
      <w:r>
        <w:rPr>
          <w:noProof/>
          <w:sz w:val="20"/>
          <w:szCs w:val="20"/>
          <w:lang w:val="en-US"/>
        </w:rPr>
        <w:t xml:space="preserve">18. </w:t>
      </w:r>
      <w:r w:rsidR="004A49F9" w:rsidRPr="00DA4801">
        <w:rPr>
          <w:noProof/>
          <w:sz w:val="20"/>
          <w:szCs w:val="20"/>
          <w:lang w:val="en-US"/>
        </w:rPr>
        <w:t>R. Bara</w:t>
      </w:r>
      <w:r w:rsidR="004A49F9" w:rsidRPr="007F4F40">
        <w:rPr>
          <w:noProof/>
          <w:sz w:val="20"/>
          <w:szCs w:val="20"/>
          <w:lang w:val="en-US"/>
        </w:rPr>
        <w:t>tov, K. Sattarov,</w:t>
      </w:r>
      <w:r w:rsidR="004A49F9" w:rsidRPr="00DA4801">
        <w:rPr>
          <w:noProof/>
          <w:sz w:val="20"/>
          <w:szCs w:val="20"/>
          <w:lang w:val="en-US"/>
        </w:rPr>
        <w:t xml:space="preserve"> M. Begmatov, A. Mustafoqulov, and F. Kucharov, “</w:t>
      </w:r>
      <w:r w:rsidR="00C51880">
        <w:rPr>
          <w:noProof/>
          <w:sz w:val="20"/>
          <w:szCs w:val="20"/>
          <w:lang w:val="en-US"/>
        </w:rPr>
        <w:t>D</w:t>
      </w:r>
      <w:r w:rsidR="00C51880" w:rsidRPr="00C51880">
        <w:rPr>
          <w:noProof/>
          <w:sz w:val="20"/>
          <w:szCs w:val="20"/>
          <w:lang w:val="en-US"/>
        </w:rPr>
        <w:t>etermination of key features and errors of rotary mechanisms measuring accelerators</w:t>
      </w:r>
      <w:r w:rsidR="004A49F9" w:rsidRPr="00DA4801">
        <w:rPr>
          <w:noProof/>
          <w:sz w:val="20"/>
          <w:szCs w:val="20"/>
          <w:lang w:val="en-US"/>
        </w:rPr>
        <w:t xml:space="preserve">,” </w:t>
      </w:r>
      <w:r w:rsidR="004A49F9" w:rsidRPr="00DA4801">
        <w:rPr>
          <w:i/>
          <w:iCs/>
          <w:noProof/>
          <w:sz w:val="20"/>
          <w:szCs w:val="20"/>
          <w:lang w:val="en-US"/>
        </w:rPr>
        <w:t>Int. J. Adv. Logist. Transp. Eng.</w:t>
      </w:r>
      <w:r w:rsidR="004A49F9" w:rsidRPr="00DA4801">
        <w:rPr>
          <w:noProof/>
          <w:sz w:val="20"/>
          <w:szCs w:val="20"/>
          <w:lang w:val="en-US"/>
        </w:rPr>
        <w:t>, vol. 3, no. 3, pp. 12–20, Aug. 2022, doi: 10.52167/2790-5829-2022-3-3-12-20.</w:t>
      </w:r>
    </w:p>
    <w:p w:rsidR="004A49F9" w:rsidRPr="00DA4801" w:rsidRDefault="00614EC0" w:rsidP="00911E18">
      <w:pPr>
        <w:widowControl w:val="0"/>
        <w:autoSpaceDE w:val="0"/>
        <w:autoSpaceDN w:val="0"/>
        <w:adjustRightInd w:val="0"/>
        <w:jc w:val="both"/>
        <w:rPr>
          <w:noProof/>
          <w:sz w:val="20"/>
          <w:szCs w:val="20"/>
          <w:lang w:val="en-US"/>
        </w:rPr>
      </w:pPr>
      <w:r>
        <w:rPr>
          <w:noProof/>
          <w:sz w:val="20"/>
          <w:szCs w:val="20"/>
          <w:lang w:val="en-US"/>
        </w:rPr>
        <w:t>19.</w:t>
      </w:r>
      <w:r w:rsidR="00265365">
        <w:rPr>
          <w:noProof/>
          <w:sz w:val="20"/>
          <w:szCs w:val="20"/>
          <w:lang w:val="en-US"/>
        </w:rPr>
        <w:t xml:space="preserve"> </w:t>
      </w:r>
      <w:r w:rsidR="00174A8E" w:rsidRPr="00A3267E">
        <w:rPr>
          <w:noProof/>
          <w:sz w:val="20"/>
          <w:szCs w:val="20"/>
          <w:lang w:val="en-US"/>
        </w:rPr>
        <w:t>Patent</w:t>
      </w:r>
      <w:r w:rsidR="00265365">
        <w:rPr>
          <w:noProof/>
          <w:sz w:val="20"/>
          <w:szCs w:val="20"/>
          <w:lang w:val="en-US"/>
        </w:rPr>
        <w:t xml:space="preserve"> </w:t>
      </w:r>
      <w:r w:rsidR="00265365" w:rsidRPr="00A3267E">
        <w:rPr>
          <w:noProof/>
          <w:sz w:val="20"/>
          <w:szCs w:val="20"/>
          <w:lang w:val="en-US"/>
        </w:rPr>
        <w:t>№</w:t>
      </w:r>
      <w:r w:rsidR="00265365">
        <w:rPr>
          <w:noProof/>
          <w:sz w:val="20"/>
          <w:szCs w:val="20"/>
          <w:lang w:val="en-US"/>
        </w:rPr>
        <w:t>2399915. Angular accelerometre/</w:t>
      </w:r>
      <w:r w:rsidR="00265365" w:rsidRPr="00265365">
        <w:rPr>
          <w:rFonts w:ascii="WipoUniExt+1" w:hAnsi="WipoUniExt+1" w:cs="WipoUniExt+1"/>
          <w:sz w:val="20"/>
          <w:szCs w:val="20"/>
          <w:lang w:val="en-US" w:eastAsia="en-US"/>
        </w:rPr>
        <w:t xml:space="preserve"> </w:t>
      </w:r>
      <w:r w:rsidR="00265365">
        <w:rPr>
          <w:rFonts w:ascii="WipoUniExt+1" w:hAnsi="WipoUniExt+1" w:cs="WipoUniExt+1"/>
          <w:sz w:val="20"/>
          <w:szCs w:val="20"/>
          <w:lang w:val="en-US" w:eastAsia="en-US"/>
        </w:rPr>
        <w:t>A.S.</w:t>
      </w:r>
      <w:r w:rsidR="00265365" w:rsidRPr="00265365">
        <w:rPr>
          <w:rFonts w:ascii="WipoUniExt+1" w:hAnsi="WipoUniExt+1" w:cs="WipoUniExt+1"/>
          <w:sz w:val="20"/>
          <w:szCs w:val="20"/>
          <w:lang w:val="en-US" w:eastAsia="en-US"/>
        </w:rPr>
        <w:t>Orlov</w:t>
      </w:r>
      <w:r w:rsidR="00265365">
        <w:rPr>
          <w:rFonts w:ascii="WipoUniExt+1" w:hAnsi="WipoUniExt+1" w:cs="WipoUniExt+1"/>
          <w:sz w:val="20"/>
          <w:szCs w:val="20"/>
          <w:lang w:val="en-US" w:eastAsia="en-US"/>
        </w:rPr>
        <w:t>, L.A. Zavinovskij, S.A.</w:t>
      </w:r>
      <w:r w:rsidR="00265365" w:rsidRPr="00265365">
        <w:rPr>
          <w:rFonts w:ascii="WipoUniExt+1" w:hAnsi="WipoUniExt+1" w:cs="WipoUniExt+1"/>
          <w:sz w:val="20"/>
          <w:szCs w:val="20"/>
          <w:lang w:val="en-US" w:eastAsia="en-US"/>
        </w:rPr>
        <w:t xml:space="preserve"> Anatolij</w:t>
      </w:r>
      <w:r w:rsidR="00265365">
        <w:rPr>
          <w:rFonts w:ascii="WipoUniExt+1" w:hAnsi="WipoUniExt+1" w:cs="WipoUniExt+1"/>
          <w:sz w:val="20"/>
          <w:szCs w:val="20"/>
          <w:lang w:val="en-US" w:eastAsia="en-US"/>
        </w:rPr>
        <w:t>//</w:t>
      </w:r>
      <w:r w:rsidR="00265365" w:rsidRPr="00265365">
        <w:rPr>
          <w:rFonts w:ascii="WipoUniExt+1" w:hAnsi="WipoUniExt+1" w:cs="WipoUniExt+1"/>
          <w:sz w:val="20"/>
          <w:szCs w:val="20"/>
          <w:lang w:val="en-US" w:eastAsia="en-US"/>
        </w:rPr>
        <w:t xml:space="preserve"> 20.09.2010 Bull. 26</w:t>
      </w:r>
      <w:r w:rsidR="004A49F9" w:rsidRPr="00DA4801">
        <w:rPr>
          <w:noProof/>
          <w:sz w:val="20"/>
          <w:szCs w:val="20"/>
          <w:lang w:val="en-US"/>
        </w:rPr>
        <w:t>.</w:t>
      </w:r>
    </w:p>
    <w:p w:rsidR="004A49F9" w:rsidRPr="00DA4801" w:rsidRDefault="00A3267E" w:rsidP="00911E18">
      <w:pPr>
        <w:widowControl w:val="0"/>
        <w:autoSpaceDE w:val="0"/>
        <w:autoSpaceDN w:val="0"/>
        <w:adjustRightInd w:val="0"/>
        <w:jc w:val="both"/>
        <w:rPr>
          <w:noProof/>
          <w:sz w:val="20"/>
          <w:szCs w:val="20"/>
          <w:lang w:val="en-US"/>
        </w:rPr>
      </w:pPr>
      <w:r>
        <w:rPr>
          <w:noProof/>
          <w:sz w:val="20"/>
          <w:szCs w:val="20"/>
          <w:lang w:val="en-US"/>
        </w:rPr>
        <w:t>20</w:t>
      </w:r>
      <w:r w:rsidR="00614EC0">
        <w:rPr>
          <w:noProof/>
          <w:sz w:val="20"/>
          <w:szCs w:val="20"/>
          <w:lang w:val="en-US"/>
        </w:rPr>
        <w:t xml:space="preserve">. </w:t>
      </w:r>
      <w:r w:rsidR="004A49F9" w:rsidRPr="00DA4801">
        <w:rPr>
          <w:noProof/>
          <w:sz w:val="20"/>
          <w:szCs w:val="20"/>
          <w:lang w:val="en-US"/>
        </w:rPr>
        <w:t>“RU2469337C1 - Angular acceleration sensor with liquid rotor - Google Patents.” Accessed: May 07, 2022. [Online]. Available: https://patents.google.com/patent/RU2469337C1/en</w:t>
      </w:r>
    </w:p>
    <w:p w:rsidR="004A49F9" w:rsidRPr="00DA4801" w:rsidRDefault="00614EC0" w:rsidP="00911E18">
      <w:pPr>
        <w:widowControl w:val="0"/>
        <w:autoSpaceDE w:val="0"/>
        <w:autoSpaceDN w:val="0"/>
        <w:adjustRightInd w:val="0"/>
        <w:jc w:val="both"/>
        <w:rPr>
          <w:noProof/>
          <w:sz w:val="20"/>
          <w:szCs w:val="20"/>
          <w:lang w:val="en-US"/>
        </w:rPr>
      </w:pPr>
      <w:r>
        <w:rPr>
          <w:noProof/>
          <w:sz w:val="20"/>
          <w:szCs w:val="20"/>
          <w:lang w:val="en-US"/>
        </w:rPr>
        <w:t xml:space="preserve">21. </w:t>
      </w:r>
      <w:r w:rsidR="004A49F9" w:rsidRPr="00DA4801">
        <w:rPr>
          <w:noProof/>
          <w:sz w:val="20"/>
          <w:szCs w:val="20"/>
          <w:lang w:val="en-US"/>
        </w:rPr>
        <w:t>“</w:t>
      </w:r>
      <w:r w:rsidR="007F4F40">
        <w:rPr>
          <w:noProof/>
          <w:sz w:val="20"/>
          <w:szCs w:val="20"/>
          <w:lang w:val="en-US"/>
        </w:rPr>
        <w:t>E</w:t>
      </w:r>
      <w:r w:rsidR="007F4F40" w:rsidRPr="00DA4801">
        <w:rPr>
          <w:noProof/>
          <w:sz w:val="20"/>
          <w:szCs w:val="20"/>
          <w:lang w:val="en-US"/>
        </w:rPr>
        <w:t>lectrokinetic angular acceleration sensor</w:t>
      </w:r>
      <w:r w:rsidR="004A49F9" w:rsidRPr="00DA4801">
        <w:rPr>
          <w:noProof/>
          <w:sz w:val="20"/>
          <w:szCs w:val="20"/>
          <w:lang w:val="en-US"/>
        </w:rPr>
        <w:t xml:space="preserve">. Russian patent RU 2018851 C1 published in 1994. Invention WIPO IPC.” Accessed: Apr. 18, 2024. [Online]. Available: </w:t>
      </w:r>
      <w:hyperlink r:id="rId20" w:history="1">
        <w:r w:rsidR="004A49F9" w:rsidRPr="00DA4801">
          <w:rPr>
            <w:rStyle w:val="a8"/>
            <w:noProof/>
            <w:sz w:val="20"/>
            <w:szCs w:val="20"/>
            <w:lang w:val="en-US"/>
          </w:rPr>
          <w:t>https://patenton.ru/patent/RU2018851C1/en</w:t>
        </w:r>
      </w:hyperlink>
    </w:p>
    <w:p w:rsidR="004A49F9" w:rsidRPr="00DA4801" w:rsidRDefault="00614EC0" w:rsidP="00911E18">
      <w:pPr>
        <w:widowControl w:val="0"/>
        <w:autoSpaceDE w:val="0"/>
        <w:autoSpaceDN w:val="0"/>
        <w:adjustRightInd w:val="0"/>
        <w:jc w:val="both"/>
        <w:rPr>
          <w:noProof/>
          <w:sz w:val="20"/>
          <w:szCs w:val="20"/>
          <w:lang w:val="en-US"/>
        </w:rPr>
      </w:pPr>
      <w:r>
        <w:rPr>
          <w:noProof/>
          <w:sz w:val="20"/>
          <w:szCs w:val="20"/>
          <w:lang w:val="en-US"/>
        </w:rPr>
        <w:t>22.</w:t>
      </w:r>
      <w:r w:rsidR="00911E18">
        <w:rPr>
          <w:noProof/>
          <w:sz w:val="20"/>
          <w:szCs w:val="20"/>
          <w:lang w:val="en-US"/>
        </w:rPr>
        <w:t xml:space="preserve"> </w:t>
      </w:r>
      <w:r w:rsidR="004A49F9" w:rsidRPr="00DA4801">
        <w:rPr>
          <w:noProof/>
          <w:sz w:val="20"/>
          <w:szCs w:val="20"/>
          <w:lang w:val="en-US"/>
        </w:rPr>
        <w:t xml:space="preserve">K. Sattarov, </w:t>
      </w:r>
      <w:r w:rsidR="00C51880">
        <w:rPr>
          <w:noProof/>
          <w:sz w:val="20"/>
          <w:szCs w:val="20"/>
          <w:lang w:val="en-US"/>
        </w:rPr>
        <w:t>I</w:t>
      </w:r>
      <w:r w:rsidR="00C51880" w:rsidRPr="00DA4801">
        <w:rPr>
          <w:noProof/>
          <w:sz w:val="20"/>
          <w:szCs w:val="20"/>
          <w:lang w:val="en-US"/>
        </w:rPr>
        <w:t>nductive angular acceleration sensor for automatic speed control system of train traffic</w:t>
      </w:r>
      <w:r w:rsidR="004A49F9" w:rsidRPr="00DA4801">
        <w:rPr>
          <w:noProof/>
          <w:sz w:val="20"/>
          <w:szCs w:val="20"/>
          <w:lang w:val="en-US"/>
        </w:rPr>
        <w:t>.</w:t>
      </w:r>
      <w:r w:rsidR="00C51880" w:rsidRPr="00C51880">
        <w:rPr>
          <w:noProof/>
          <w:sz w:val="20"/>
          <w:szCs w:val="20"/>
          <w:lang w:val="en-US"/>
        </w:rPr>
        <w:t xml:space="preserve"> </w:t>
      </w:r>
      <w:r w:rsidR="00C51880">
        <w:rPr>
          <w:noProof/>
          <w:sz w:val="20"/>
          <w:szCs w:val="20"/>
          <w:lang w:val="en-US"/>
        </w:rPr>
        <w:t>"</w:t>
      </w:r>
      <w:r w:rsidR="00C51880" w:rsidRPr="00DA4801">
        <w:rPr>
          <w:noProof/>
          <w:sz w:val="20"/>
          <w:szCs w:val="20"/>
          <w:lang w:val="en-US"/>
        </w:rPr>
        <w:t xml:space="preserve">European Journal </w:t>
      </w:r>
      <w:r w:rsidR="00C51880" w:rsidRPr="007F4F40">
        <w:rPr>
          <w:noProof/>
          <w:sz w:val="20"/>
          <w:szCs w:val="20"/>
          <w:lang w:val="en-US"/>
        </w:rPr>
        <w:t>of Mol</w:t>
      </w:r>
      <w:r w:rsidR="00C51880" w:rsidRPr="00DA4801">
        <w:rPr>
          <w:noProof/>
          <w:sz w:val="20"/>
          <w:szCs w:val="20"/>
          <w:lang w:val="en-US"/>
        </w:rPr>
        <w:t>ecular &amp; Clinical Medicine</w:t>
      </w:r>
      <w:r w:rsidR="00C51880">
        <w:rPr>
          <w:noProof/>
          <w:sz w:val="20"/>
          <w:szCs w:val="20"/>
          <w:lang w:val="en-US"/>
        </w:rPr>
        <w:t>"</w:t>
      </w:r>
      <w:r w:rsidR="007F4F40">
        <w:rPr>
          <w:noProof/>
          <w:sz w:val="20"/>
          <w:szCs w:val="20"/>
          <w:lang w:val="en-US"/>
        </w:rPr>
        <w:t>344-354, 2020.</w:t>
      </w:r>
    </w:p>
    <w:p w:rsidR="004A49F9" w:rsidRPr="00DA4801" w:rsidRDefault="00911E18" w:rsidP="00911E18">
      <w:pPr>
        <w:widowControl w:val="0"/>
        <w:autoSpaceDE w:val="0"/>
        <w:autoSpaceDN w:val="0"/>
        <w:adjustRightInd w:val="0"/>
        <w:jc w:val="both"/>
        <w:rPr>
          <w:noProof/>
          <w:sz w:val="20"/>
          <w:szCs w:val="20"/>
          <w:lang w:val="en-US"/>
        </w:rPr>
      </w:pPr>
      <w:r>
        <w:rPr>
          <w:noProof/>
          <w:sz w:val="20"/>
          <w:szCs w:val="20"/>
          <w:lang w:val="en-US"/>
        </w:rPr>
        <w:t xml:space="preserve">23. </w:t>
      </w:r>
      <w:r w:rsidR="004A49F9" w:rsidRPr="00DA4801">
        <w:rPr>
          <w:noProof/>
          <w:sz w:val="20"/>
          <w:szCs w:val="20"/>
          <w:lang w:val="en-US"/>
        </w:rPr>
        <w:t xml:space="preserve">A. N. Shipunov, A. A. Gavrilov, and E. N. Gavrilova, “*Balancing of the Integrated Angular Acceleration Sensor,*” *Proceedings of the Nizhny Novgorod State Technical University named after R.E. Alekseev,* vol. 2, no. 87, pp. 302–308, 2011. </w:t>
      </w:r>
    </w:p>
    <w:p w:rsidR="00D46E89" w:rsidRDefault="00911E18" w:rsidP="00911E18">
      <w:pPr>
        <w:widowControl w:val="0"/>
        <w:autoSpaceDE w:val="0"/>
        <w:autoSpaceDN w:val="0"/>
        <w:adjustRightInd w:val="0"/>
        <w:jc w:val="both"/>
        <w:rPr>
          <w:noProof/>
          <w:sz w:val="20"/>
          <w:szCs w:val="20"/>
          <w:lang w:val="en-US"/>
        </w:rPr>
      </w:pPr>
      <w:r>
        <w:rPr>
          <w:noProof/>
          <w:sz w:val="20"/>
          <w:szCs w:val="20"/>
          <w:lang w:val="en-US"/>
        </w:rPr>
        <w:t>24</w:t>
      </w:r>
      <w:r>
        <w:rPr>
          <w:lang w:val="en-US"/>
        </w:rPr>
        <w:t xml:space="preserve">. </w:t>
      </w:r>
      <w:r w:rsidR="00D46E89" w:rsidRPr="00D46E89">
        <w:rPr>
          <w:noProof/>
          <w:sz w:val="20"/>
          <w:szCs w:val="20"/>
          <w:lang w:val="en-US"/>
        </w:rPr>
        <w:t>Patent IAP7827. Angular Acceleration Sensor / R.J. Baratov, M.T. Begmatov // Bulletin No. 10, 2024.</w:t>
      </w:r>
      <w:r w:rsidR="00D46E89" w:rsidRPr="00DA4801">
        <w:rPr>
          <w:noProof/>
          <w:sz w:val="20"/>
          <w:szCs w:val="20"/>
          <w:lang w:val="en-US"/>
        </w:rPr>
        <w:t xml:space="preserve"> </w:t>
      </w:r>
    </w:p>
    <w:p w:rsidR="004A49F9" w:rsidRPr="00DA4801" w:rsidRDefault="00C51880" w:rsidP="00911E18">
      <w:pPr>
        <w:widowControl w:val="0"/>
        <w:autoSpaceDE w:val="0"/>
        <w:autoSpaceDN w:val="0"/>
        <w:adjustRightInd w:val="0"/>
        <w:jc w:val="both"/>
        <w:rPr>
          <w:noProof/>
          <w:sz w:val="20"/>
          <w:szCs w:val="20"/>
          <w:lang w:val="en-US"/>
        </w:rPr>
      </w:pPr>
      <w:r>
        <w:rPr>
          <w:noProof/>
          <w:sz w:val="20"/>
          <w:szCs w:val="20"/>
          <w:lang w:val="en-US"/>
        </w:rPr>
        <w:t>25.</w:t>
      </w:r>
      <w:r w:rsidR="004A49F9" w:rsidRPr="00DA4801">
        <w:rPr>
          <w:noProof/>
          <w:sz w:val="20"/>
          <w:szCs w:val="20"/>
          <w:lang w:val="en-US"/>
        </w:rPr>
        <w:t xml:space="preserve"> M. Minyawi, “A Stationery Loading Unit for Measuring Farm Tractors Power in PTO,” </w:t>
      </w:r>
      <w:r w:rsidR="004A49F9" w:rsidRPr="00DA4801">
        <w:rPr>
          <w:i/>
          <w:iCs/>
          <w:noProof/>
          <w:sz w:val="20"/>
          <w:szCs w:val="20"/>
          <w:lang w:val="en-US"/>
        </w:rPr>
        <w:t>J. Soil Sci. Agric. Eng.</w:t>
      </w:r>
      <w:r w:rsidR="004A49F9" w:rsidRPr="00DA4801">
        <w:rPr>
          <w:noProof/>
          <w:sz w:val="20"/>
          <w:szCs w:val="20"/>
          <w:lang w:val="en-US"/>
        </w:rPr>
        <w:t>, vol. 8, no. 2, pp. 73–76, 2017, doi: 10.21608/jssae.2017.37094.</w:t>
      </w:r>
    </w:p>
    <w:p w:rsidR="004A49F9" w:rsidRPr="00DA4801" w:rsidRDefault="00911E18" w:rsidP="00911E18">
      <w:pPr>
        <w:widowControl w:val="0"/>
        <w:autoSpaceDE w:val="0"/>
        <w:autoSpaceDN w:val="0"/>
        <w:adjustRightInd w:val="0"/>
        <w:jc w:val="both"/>
        <w:rPr>
          <w:noProof/>
          <w:sz w:val="20"/>
          <w:szCs w:val="20"/>
          <w:lang w:val="en-US"/>
        </w:rPr>
      </w:pPr>
      <w:r>
        <w:rPr>
          <w:noProof/>
          <w:sz w:val="20"/>
          <w:szCs w:val="20"/>
          <w:lang w:val="en-US"/>
        </w:rPr>
        <w:t xml:space="preserve">26. </w:t>
      </w:r>
      <w:r w:rsidR="004A49F9" w:rsidRPr="00DA4801">
        <w:rPr>
          <w:noProof/>
          <w:sz w:val="20"/>
          <w:szCs w:val="20"/>
          <w:lang w:val="en-US"/>
        </w:rPr>
        <w:t xml:space="preserve">J. B. W. Roeber, S. K. Pitla, R. M. Hoy, J. D. Luck, and M. F. Kocher, “Tractor power take-off torque measurement and data acquisition system,” </w:t>
      </w:r>
      <w:r w:rsidR="004A49F9" w:rsidRPr="00DA4801">
        <w:rPr>
          <w:i/>
          <w:iCs/>
          <w:noProof/>
          <w:sz w:val="20"/>
          <w:szCs w:val="20"/>
          <w:lang w:val="en-US"/>
        </w:rPr>
        <w:t>Appl. Eng. Agric.</w:t>
      </w:r>
      <w:r w:rsidR="004A49F9" w:rsidRPr="00DA4801">
        <w:rPr>
          <w:noProof/>
          <w:sz w:val="20"/>
          <w:szCs w:val="20"/>
          <w:lang w:val="en-US"/>
        </w:rPr>
        <w:t>, vol. 33, no. 5, pp. 679–686, 2017, doi: 10.13031/aea.11994.</w:t>
      </w:r>
    </w:p>
    <w:p w:rsidR="00F007B6" w:rsidRPr="00DA4801" w:rsidRDefault="00911E18" w:rsidP="00911E18">
      <w:pPr>
        <w:widowControl w:val="0"/>
        <w:autoSpaceDE w:val="0"/>
        <w:autoSpaceDN w:val="0"/>
        <w:adjustRightInd w:val="0"/>
        <w:jc w:val="both"/>
        <w:rPr>
          <w:sz w:val="20"/>
          <w:szCs w:val="20"/>
          <w:lang w:val="en-US"/>
        </w:rPr>
      </w:pPr>
      <w:r>
        <w:rPr>
          <w:noProof/>
          <w:sz w:val="20"/>
          <w:szCs w:val="20"/>
          <w:lang w:val="en-US"/>
        </w:rPr>
        <w:t xml:space="preserve">27. </w:t>
      </w:r>
      <w:r w:rsidR="004A49F9" w:rsidRPr="00DA4801">
        <w:rPr>
          <w:noProof/>
          <w:sz w:val="20"/>
          <w:szCs w:val="20"/>
          <w:lang w:val="en-US"/>
        </w:rPr>
        <w:t xml:space="preserve">R. Baratov, M. Begmatov, A. Mustafoqulov, F. Kucharov, and E. Sabirov, “Study on the methods of measuring power of the rotating mechanisms,” </w:t>
      </w:r>
      <w:r w:rsidR="004A49F9" w:rsidRPr="00DA4801">
        <w:rPr>
          <w:i/>
          <w:iCs/>
          <w:noProof/>
          <w:sz w:val="20"/>
          <w:szCs w:val="20"/>
          <w:lang w:val="en-US"/>
        </w:rPr>
        <w:t>E3S Web Conf.</w:t>
      </w:r>
      <w:r w:rsidR="004A49F9" w:rsidRPr="00DA4801">
        <w:rPr>
          <w:noProof/>
          <w:sz w:val="20"/>
          <w:szCs w:val="20"/>
          <w:lang w:val="en-US"/>
        </w:rPr>
        <w:t>, vol. 434, pp. 1–7, 2023, doi: 10.1051/e3sconf/202343401014.</w:t>
      </w:r>
      <w:r w:rsidR="004A49F9" w:rsidRPr="00DA4801">
        <w:rPr>
          <w:rFonts w:eastAsia="WipoUniExt"/>
          <w:sz w:val="20"/>
          <w:szCs w:val="20"/>
          <w:lang w:val="en-US"/>
        </w:rPr>
        <w:fldChar w:fldCharType="end"/>
      </w:r>
    </w:p>
    <w:sectPr w:rsidR="00F007B6" w:rsidRPr="00DA4801" w:rsidSect="00952494">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PANDA Times UZ">
    <w:altName w:val="Microsoft YaHe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poUniExt">
    <w:altName w:val="MS Gothic"/>
    <w:panose1 w:val="00000000000000000000"/>
    <w:charset w:val="80"/>
    <w:family w:val="auto"/>
    <w:notTrueType/>
    <w:pitch w:val="default"/>
    <w:sig w:usb0="00000001" w:usb1="09070000" w:usb2="00000010" w:usb3="00000000" w:csb0="000A0000" w:csb1="00000000"/>
  </w:font>
  <w:font w:name="WipoUniExt+1">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680"/>
    <w:multiLevelType w:val="multilevel"/>
    <w:tmpl w:val="CBAC4492"/>
    <w:lvl w:ilvl="0">
      <w:start w:val="1"/>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0307E"/>
    <w:multiLevelType w:val="hybridMultilevel"/>
    <w:tmpl w:val="636210C8"/>
    <w:lvl w:ilvl="0" w:tplc="9CF6FE5A">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38D538B"/>
    <w:multiLevelType w:val="hybridMultilevel"/>
    <w:tmpl w:val="AD9472F2"/>
    <w:lvl w:ilvl="0" w:tplc="4A82AD9C">
      <w:start w:val="1"/>
      <w:numFmt w:val="lowerLetter"/>
      <w:lvlText w:val="%1)"/>
      <w:lvlJc w:val="left"/>
      <w:pPr>
        <w:ind w:left="2880" w:hanging="360"/>
      </w:pPr>
      <w:rPr>
        <w:rFonts w:hint="default"/>
        <w:sz w:val="18"/>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 w15:restartNumberingAfterBreak="0">
    <w:nsid w:val="774E427C"/>
    <w:multiLevelType w:val="hybridMultilevel"/>
    <w:tmpl w:val="CEAEA0FE"/>
    <w:lvl w:ilvl="0" w:tplc="3F16B664">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005934055">
    <w:abstractNumId w:val="1"/>
  </w:num>
  <w:num w:numId="2" w16cid:durableId="131951224">
    <w:abstractNumId w:val="3"/>
  </w:num>
  <w:num w:numId="3" w16cid:durableId="2026130544">
    <w:abstractNumId w:val="2"/>
  </w:num>
  <w:num w:numId="4" w16cid:durableId="467749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9C3"/>
    <w:rsid w:val="00025CA9"/>
    <w:rsid w:val="0004093D"/>
    <w:rsid w:val="00080053"/>
    <w:rsid w:val="00082D0B"/>
    <w:rsid w:val="00085CC7"/>
    <w:rsid w:val="000D4E83"/>
    <w:rsid w:val="000F7F60"/>
    <w:rsid w:val="00103F82"/>
    <w:rsid w:val="001155EC"/>
    <w:rsid w:val="00122C49"/>
    <w:rsid w:val="00125455"/>
    <w:rsid w:val="00171557"/>
    <w:rsid w:val="00174A8E"/>
    <w:rsid w:val="00175457"/>
    <w:rsid w:val="001D524C"/>
    <w:rsid w:val="002579A5"/>
    <w:rsid w:val="00265365"/>
    <w:rsid w:val="00270E7A"/>
    <w:rsid w:val="002A7FB6"/>
    <w:rsid w:val="002C7EF2"/>
    <w:rsid w:val="00357924"/>
    <w:rsid w:val="00394BAB"/>
    <w:rsid w:val="003A1B32"/>
    <w:rsid w:val="003B0059"/>
    <w:rsid w:val="003B04C5"/>
    <w:rsid w:val="003F568B"/>
    <w:rsid w:val="004043A7"/>
    <w:rsid w:val="004500A5"/>
    <w:rsid w:val="00486974"/>
    <w:rsid w:val="00491B2E"/>
    <w:rsid w:val="004A43B7"/>
    <w:rsid w:val="004A49F9"/>
    <w:rsid w:val="00521634"/>
    <w:rsid w:val="00525645"/>
    <w:rsid w:val="005A3431"/>
    <w:rsid w:val="005E7BCB"/>
    <w:rsid w:val="00612F91"/>
    <w:rsid w:val="00614A80"/>
    <w:rsid w:val="00614EC0"/>
    <w:rsid w:val="006230D9"/>
    <w:rsid w:val="00645CE7"/>
    <w:rsid w:val="00657AEB"/>
    <w:rsid w:val="006813E2"/>
    <w:rsid w:val="00684379"/>
    <w:rsid w:val="006A7B53"/>
    <w:rsid w:val="006B60A9"/>
    <w:rsid w:val="006C5F99"/>
    <w:rsid w:val="006F217B"/>
    <w:rsid w:val="0076423C"/>
    <w:rsid w:val="007B1BE8"/>
    <w:rsid w:val="007B5702"/>
    <w:rsid w:val="007C0192"/>
    <w:rsid w:val="007C6BBD"/>
    <w:rsid w:val="007E4450"/>
    <w:rsid w:val="007F4F40"/>
    <w:rsid w:val="00824DFA"/>
    <w:rsid w:val="008E3E97"/>
    <w:rsid w:val="008E4122"/>
    <w:rsid w:val="00911360"/>
    <w:rsid w:val="00911E18"/>
    <w:rsid w:val="00913AD9"/>
    <w:rsid w:val="00917ADB"/>
    <w:rsid w:val="00927A34"/>
    <w:rsid w:val="00946529"/>
    <w:rsid w:val="00952494"/>
    <w:rsid w:val="00974608"/>
    <w:rsid w:val="00980CD4"/>
    <w:rsid w:val="009B4AF2"/>
    <w:rsid w:val="009D6D75"/>
    <w:rsid w:val="00A279C3"/>
    <w:rsid w:val="00A3267E"/>
    <w:rsid w:val="00A41A48"/>
    <w:rsid w:val="00A548AD"/>
    <w:rsid w:val="00A549C2"/>
    <w:rsid w:val="00A67D86"/>
    <w:rsid w:val="00A70D82"/>
    <w:rsid w:val="00A878C7"/>
    <w:rsid w:val="00AA4C24"/>
    <w:rsid w:val="00AD0468"/>
    <w:rsid w:val="00B0737F"/>
    <w:rsid w:val="00B9550E"/>
    <w:rsid w:val="00BE7046"/>
    <w:rsid w:val="00C250FF"/>
    <w:rsid w:val="00C32CE4"/>
    <w:rsid w:val="00C51880"/>
    <w:rsid w:val="00D01239"/>
    <w:rsid w:val="00D15606"/>
    <w:rsid w:val="00D46E89"/>
    <w:rsid w:val="00D718A6"/>
    <w:rsid w:val="00D80E16"/>
    <w:rsid w:val="00DA4801"/>
    <w:rsid w:val="00DB3B16"/>
    <w:rsid w:val="00DE6503"/>
    <w:rsid w:val="00E01D86"/>
    <w:rsid w:val="00E1031F"/>
    <w:rsid w:val="00E356CE"/>
    <w:rsid w:val="00E81F5B"/>
    <w:rsid w:val="00EF6DCA"/>
    <w:rsid w:val="00F007B6"/>
    <w:rsid w:val="00F13E2A"/>
    <w:rsid w:val="00F34A4F"/>
    <w:rsid w:val="00F526A6"/>
    <w:rsid w:val="00F628D0"/>
    <w:rsid w:val="00F83DDA"/>
    <w:rsid w:val="00FA458A"/>
    <w:rsid w:val="00FC3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9AA98"/>
  <w15:docId w15:val="{01D395DF-6064-4F66-8FB5-DA8F717D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28D0"/>
    <w:rPr>
      <w:sz w:val="24"/>
      <w:szCs w:val="24"/>
      <w:lang w:eastAsia="ru-RU"/>
    </w:rPr>
  </w:style>
  <w:style w:type="paragraph" w:styleId="1">
    <w:name w:val="heading 1"/>
    <w:basedOn w:val="a"/>
    <w:next w:val="a"/>
    <w:link w:val="10"/>
    <w:qFormat/>
    <w:rsid w:val="00F628D0"/>
    <w:pPr>
      <w:keepNext/>
      <w:spacing w:before="240" w:after="60"/>
      <w:outlineLvl w:val="0"/>
    </w:pPr>
    <w:rPr>
      <w:rFonts w:ascii="Calibri Light" w:hAnsi="Calibri Light"/>
      <w:b/>
      <w:bCs/>
      <w:kern w:val="32"/>
      <w:sz w:val="32"/>
      <w:szCs w:val="32"/>
      <w:lang w:eastAsia="en-US"/>
    </w:rPr>
  </w:style>
  <w:style w:type="paragraph" w:styleId="2">
    <w:name w:val="heading 2"/>
    <w:basedOn w:val="a"/>
    <w:next w:val="a"/>
    <w:link w:val="20"/>
    <w:qFormat/>
    <w:rsid w:val="00F628D0"/>
    <w:pPr>
      <w:keepNext/>
      <w:jc w:val="both"/>
      <w:outlineLvl w:val="1"/>
    </w:pPr>
    <w:rPr>
      <w:rFonts w:ascii="PANDA Times UZ" w:hAnsi="PANDA Times UZ"/>
      <w:b/>
      <w:bCs/>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628D0"/>
    <w:rPr>
      <w:rFonts w:ascii="Calibri Light" w:hAnsi="Calibri Light"/>
      <w:b/>
      <w:bCs/>
      <w:kern w:val="32"/>
      <w:sz w:val="32"/>
      <w:szCs w:val="32"/>
    </w:rPr>
  </w:style>
  <w:style w:type="character" w:customStyle="1" w:styleId="20">
    <w:name w:val="Заголовок 2 Знак"/>
    <w:link w:val="2"/>
    <w:rsid w:val="00F628D0"/>
    <w:rPr>
      <w:rFonts w:ascii="PANDA Times UZ" w:hAnsi="PANDA Times UZ"/>
      <w:b/>
      <w:bCs/>
      <w:sz w:val="22"/>
      <w:szCs w:val="24"/>
    </w:rPr>
  </w:style>
  <w:style w:type="paragraph" w:styleId="a3">
    <w:name w:val="List Paragraph"/>
    <w:aliases w:val="Абзац вправо-1,List Paragraph1"/>
    <w:basedOn w:val="a"/>
    <w:link w:val="a4"/>
    <w:uiPriority w:val="34"/>
    <w:qFormat/>
    <w:rsid w:val="00F007B6"/>
    <w:pPr>
      <w:ind w:left="720"/>
      <w:contextualSpacing/>
    </w:pPr>
  </w:style>
  <w:style w:type="paragraph" w:styleId="a5">
    <w:name w:val="Normal (Web)"/>
    <w:basedOn w:val="a"/>
    <w:uiPriority w:val="99"/>
    <w:unhideWhenUsed/>
    <w:rsid w:val="00F007B6"/>
    <w:pPr>
      <w:spacing w:before="100" w:beforeAutospacing="1" w:after="100" w:afterAutospacing="1"/>
    </w:pPr>
  </w:style>
  <w:style w:type="character" w:customStyle="1" w:styleId="katex-mathml">
    <w:name w:val="katex-mathml"/>
    <w:basedOn w:val="a0"/>
    <w:rsid w:val="00171557"/>
  </w:style>
  <w:style w:type="character" w:customStyle="1" w:styleId="mord">
    <w:name w:val="mord"/>
    <w:basedOn w:val="a0"/>
    <w:rsid w:val="00171557"/>
  </w:style>
  <w:style w:type="character" w:customStyle="1" w:styleId="vlist-s">
    <w:name w:val="vlist-s"/>
    <w:basedOn w:val="a0"/>
    <w:rsid w:val="00171557"/>
  </w:style>
  <w:style w:type="paragraph" w:styleId="a6">
    <w:name w:val="Balloon Text"/>
    <w:basedOn w:val="a"/>
    <w:link w:val="a7"/>
    <w:uiPriority w:val="99"/>
    <w:semiHidden/>
    <w:unhideWhenUsed/>
    <w:rsid w:val="00171557"/>
    <w:rPr>
      <w:rFonts w:ascii="Tahoma" w:hAnsi="Tahoma" w:cs="Tahoma"/>
      <w:sz w:val="16"/>
      <w:szCs w:val="16"/>
    </w:rPr>
  </w:style>
  <w:style w:type="character" w:customStyle="1" w:styleId="a7">
    <w:name w:val="Текст выноски Знак"/>
    <w:basedOn w:val="a0"/>
    <w:link w:val="a6"/>
    <w:uiPriority w:val="99"/>
    <w:semiHidden/>
    <w:rsid w:val="00171557"/>
    <w:rPr>
      <w:rFonts w:ascii="Tahoma" w:hAnsi="Tahoma" w:cs="Tahoma"/>
      <w:sz w:val="16"/>
      <w:szCs w:val="16"/>
      <w:lang w:eastAsia="ru-RU"/>
    </w:rPr>
  </w:style>
  <w:style w:type="character" w:styleId="a8">
    <w:name w:val="Hyperlink"/>
    <w:basedOn w:val="a0"/>
    <w:uiPriority w:val="99"/>
    <w:unhideWhenUsed/>
    <w:rsid w:val="0076423C"/>
    <w:rPr>
      <w:color w:val="0000FF" w:themeColor="hyperlink"/>
      <w:u w:val="single"/>
    </w:rPr>
  </w:style>
  <w:style w:type="character" w:styleId="a9">
    <w:name w:val="Strong"/>
    <w:basedOn w:val="a0"/>
    <w:uiPriority w:val="22"/>
    <w:qFormat/>
    <w:rsid w:val="0076423C"/>
    <w:rPr>
      <w:b/>
      <w:bCs/>
    </w:rPr>
  </w:style>
  <w:style w:type="character" w:customStyle="1" w:styleId="mrel">
    <w:name w:val="mrel"/>
    <w:basedOn w:val="a0"/>
    <w:rsid w:val="00E1031F"/>
  </w:style>
  <w:style w:type="character" w:customStyle="1" w:styleId="mbin">
    <w:name w:val="mbin"/>
    <w:basedOn w:val="a0"/>
    <w:rsid w:val="00E1031F"/>
  </w:style>
  <w:style w:type="table" w:styleId="-3">
    <w:name w:val="Light Grid Accent 3"/>
    <w:basedOn w:val="a1"/>
    <w:uiPriority w:val="62"/>
    <w:rsid w:val="006A7B53"/>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a">
    <w:name w:val="Placeholder Text"/>
    <w:basedOn w:val="a0"/>
    <w:uiPriority w:val="99"/>
    <w:semiHidden/>
    <w:rsid w:val="006A7B53"/>
    <w:rPr>
      <w:color w:val="808080"/>
    </w:rPr>
  </w:style>
  <w:style w:type="character" w:customStyle="1" w:styleId="a4">
    <w:name w:val="Абзац списка Знак"/>
    <w:aliases w:val="Абзац вправо-1 Знак,List Paragraph1 Знак"/>
    <w:link w:val="a3"/>
    <w:uiPriority w:val="34"/>
    <w:locked/>
    <w:rsid w:val="007E4450"/>
    <w:rPr>
      <w:sz w:val="24"/>
      <w:szCs w:val="24"/>
      <w:lang w:eastAsia="ru-RU"/>
    </w:rPr>
  </w:style>
  <w:style w:type="table" w:styleId="ab">
    <w:name w:val="Table Grid"/>
    <w:basedOn w:val="a1"/>
    <w:uiPriority w:val="59"/>
    <w:rsid w:val="0017545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pen">
    <w:name w:val="mopen"/>
    <w:basedOn w:val="a0"/>
    <w:rsid w:val="00EF6DCA"/>
  </w:style>
  <w:style w:type="character" w:customStyle="1" w:styleId="mclose">
    <w:name w:val="mclose"/>
    <w:basedOn w:val="a0"/>
    <w:rsid w:val="00EF6DCA"/>
  </w:style>
  <w:style w:type="character" w:customStyle="1" w:styleId="mpunct">
    <w:name w:val="mpunct"/>
    <w:basedOn w:val="a0"/>
    <w:rsid w:val="00EF6DCA"/>
  </w:style>
  <w:style w:type="character" w:customStyle="1" w:styleId="mtight">
    <w:name w:val="mtight"/>
    <w:basedOn w:val="a0"/>
    <w:rsid w:val="00EF6DCA"/>
  </w:style>
  <w:style w:type="character" w:styleId="ac">
    <w:name w:val="Emphasis"/>
    <w:basedOn w:val="a0"/>
    <w:uiPriority w:val="20"/>
    <w:qFormat/>
    <w:rsid w:val="00103F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6260">
      <w:bodyDiv w:val="1"/>
      <w:marLeft w:val="0"/>
      <w:marRight w:val="0"/>
      <w:marTop w:val="0"/>
      <w:marBottom w:val="0"/>
      <w:divBdr>
        <w:top w:val="none" w:sz="0" w:space="0" w:color="auto"/>
        <w:left w:val="none" w:sz="0" w:space="0" w:color="auto"/>
        <w:bottom w:val="none" w:sz="0" w:space="0" w:color="auto"/>
        <w:right w:val="none" w:sz="0" w:space="0" w:color="auto"/>
      </w:divBdr>
    </w:div>
    <w:div w:id="193733711">
      <w:bodyDiv w:val="1"/>
      <w:marLeft w:val="0"/>
      <w:marRight w:val="0"/>
      <w:marTop w:val="0"/>
      <w:marBottom w:val="0"/>
      <w:divBdr>
        <w:top w:val="none" w:sz="0" w:space="0" w:color="auto"/>
        <w:left w:val="none" w:sz="0" w:space="0" w:color="auto"/>
        <w:bottom w:val="none" w:sz="0" w:space="0" w:color="auto"/>
        <w:right w:val="none" w:sz="0" w:space="0" w:color="auto"/>
      </w:divBdr>
      <w:divsChild>
        <w:div w:id="555359171">
          <w:marLeft w:val="0"/>
          <w:marRight w:val="0"/>
          <w:marTop w:val="0"/>
          <w:marBottom w:val="0"/>
          <w:divBdr>
            <w:top w:val="none" w:sz="0" w:space="0" w:color="auto"/>
            <w:left w:val="none" w:sz="0" w:space="0" w:color="auto"/>
            <w:bottom w:val="none" w:sz="0" w:space="0" w:color="auto"/>
            <w:right w:val="none" w:sz="0" w:space="0" w:color="auto"/>
          </w:divBdr>
          <w:divsChild>
            <w:div w:id="1981185851">
              <w:marLeft w:val="0"/>
              <w:marRight w:val="0"/>
              <w:marTop w:val="0"/>
              <w:marBottom w:val="0"/>
              <w:divBdr>
                <w:top w:val="none" w:sz="0" w:space="0" w:color="auto"/>
                <w:left w:val="none" w:sz="0" w:space="0" w:color="auto"/>
                <w:bottom w:val="none" w:sz="0" w:space="0" w:color="auto"/>
                <w:right w:val="none" w:sz="0" w:space="0" w:color="auto"/>
              </w:divBdr>
              <w:divsChild>
                <w:div w:id="1806045565">
                  <w:marLeft w:val="0"/>
                  <w:marRight w:val="0"/>
                  <w:marTop w:val="0"/>
                  <w:marBottom w:val="0"/>
                  <w:divBdr>
                    <w:top w:val="none" w:sz="0" w:space="0" w:color="auto"/>
                    <w:left w:val="none" w:sz="0" w:space="0" w:color="auto"/>
                    <w:bottom w:val="none" w:sz="0" w:space="0" w:color="auto"/>
                    <w:right w:val="none" w:sz="0" w:space="0" w:color="auto"/>
                  </w:divBdr>
                  <w:divsChild>
                    <w:div w:id="11289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5959">
      <w:bodyDiv w:val="1"/>
      <w:marLeft w:val="0"/>
      <w:marRight w:val="0"/>
      <w:marTop w:val="0"/>
      <w:marBottom w:val="0"/>
      <w:divBdr>
        <w:top w:val="none" w:sz="0" w:space="0" w:color="auto"/>
        <w:left w:val="none" w:sz="0" w:space="0" w:color="auto"/>
        <w:bottom w:val="none" w:sz="0" w:space="0" w:color="auto"/>
        <w:right w:val="none" w:sz="0" w:space="0" w:color="auto"/>
      </w:divBdr>
    </w:div>
    <w:div w:id="249169271">
      <w:bodyDiv w:val="1"/>
      <w:marLeft w:val="0"/>
      <w:marRight w:val="0"/>
      <w:marTop w:val="0"/>
      <w:marBottom w:val="0"/>
      <w:divBdr>
        <w:top w:val="none" w:sz="0" w:space="0" w:color="auto"/>
        <w:left w:val="none" w:sz="0" w:space="0" w:color="auto"/>
        <w:bottom w:val="none" w:sz="0" w:space="0" w:color="auto"/>
        <w:right w:val="none" w:sz="0" w:space="0" w:color="auto"/>
      </w:divBdr>
      <w:divsChild>
        <w:div w:id="593704777">
          <w:marLeft w:val="0"/>
          <w:marRight w:val="0"/>
          <w:marTop w:val="0"/>
          <w:marBottom w:val="0"/>
          <w:divBdr>
            <w:top w:val="none" w:sz="0" w:space="0" w:color="auto"/>
            <w:left w:val="none" w:sz="0" w:space="0" w:color="auto"/>
            <w:bottom w:val="none" w:sz="0" w:space="0" w:color="auto"/>
            <w:right w:val="none" w:sz="0" w:space="0" w:color="auto"/>
          </w:divBdr>
          <w:divsChild>
            <w:div w:id="335813234">
              <w:marLeft w:val="0"/>
              <w:marRight w:val="0"/>
              <w:marTop w:val="0"/>
              <w:marBottom w:val="0"/>
              <w:divBdr>
                <w:top w:val="none" w:sz="0" w:space="0" w:color="auto"/>
                <w:left w:val="none" w:sz="0" w:space="0" w:color="auto"/>
                <w:bottom w:val="none" w:sz="0" w:space="0" w:color="auto"/>
                <w:right w:val="none" w:sz="0" w:space="0" w:color="auto"/>
              </w:divBdr>
              <w:divsChild>
                <w:div w:id="1605532794">
                  <w:marLeft w:val="0"/>
                  <w:marRight w:val="0"/>
                  <w:marTop w:val="0"/>
                  <w:marBottom w:val="0"/>
                  <w:divBdr>
                    <w:top w:val="none" w:sz="0" w:space="0" w:color="auto"/>
                    <w:left w:val="none" w:sz="0" w:space="0" w:color="auto"/>
                    <w:bottom w:val="none" w:sz="0" w:space="0" w:color="auto"/>
                    <w:right w:val="none" w:sz="0" w:space="0" w:color="auto"/>
                  </w:divBdr>
                  <w:divsChild>
                    <w:div w:id="731197713">
                      <w:marLeft w:val="0"/>
                      <w:marRight w:val="0"/>
                      <w:marTop w:val="0"/>
                      <w:marBottom w:val="0"/>
                      <w:divBdr>
                        <w:top w:val="none" w:sz="0" w:space="0" w:color="auto"/>
                        <w:left w:val="none" w:sz="0" w:space="0" w:color="auto"/>
                        <w:bottom w:val="none" w:sz="0" w:space="0" w:color="auto"/>
                        <w:right w:val="none" w:sz="0" w:space="0" w:color="auto"/>
                      </w:divBdr>
                      <w:divsChild>
                        <w:div w:id="1664550420">
                          <w:marLeft w:val="0"/>
                          <w:marRight w:val="0"/>
                          <w:marTop w:val="0"/>
                          <w:marBottom w:val="0"/>
                          <w:divBdr>
                            <w:top w:val="none" w:sz="0" w:space="0" w:color="auto"/>
                            <w:left w:val="none" w:sz="0" w:space="0" w:color="auto"/>
                            <w:bottom w:val="none" w:sz="0" w:space="0" w:color="auto"/>
                            <w:right w:val="none" w:sz="0" w:space="0" w:color="auto"/>
                          </w:divBdr>
                          <w:divsChild>
                            <w:div w:id="626854081">
                              <w:marLeft w:val="0"/>
                              <w:marRight w:val="0"/>
                              <w:marTop w:val="0"/>
                              <w:marBottom w:val="0"/>
                              <w:divBdr>
                                <w:top w:val="none" w:sz="0" w:space="0" w:color="auto"/>
                                <w:left w:val="none" w:sz="0" w:space="0" w:color="auto"/>
                                <w:bottom w:val="none" w:sz="0" w:space="0" w:color="auto"/>
                                <w:right w:val="none" w:sz="0" w:space="0" w:color="auto"/>
                              </w:divBdr>
                              <w:divsChild>
                                <w:div w:id="19323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46952">
      <w:bodyDiv w:val="1"/>
      <w:marLeft w:val="0"/>
      <w:marRight w:val="0"/>
      <w:marTop w:val="0"/>
      <w:marBottom w:val="0"/>
      <w:divBdr>
        <w:top w:val="none" w:sz="0" w:space="0" w:color="auto"/>
        <w:left w:val="none" w:sz="0" w:space="0" w:color="auto"/>
        <w:bottom w:val="none" w:sz="0" w:space="0" w:color="auto"/>
        <w:right w:val="none" w:sz="0" w:space="0" w:color="auto"/>
      </w:divBdr>
      <w:divsChild>
        <w:div w:id="1039431949">
          <w:marLeft w:val="0"/>
          <w:marRight w:val="0"/>
          <w:marTop w:val="0"/>
          <w:marBottom w:val="0"/>
          <w:divBdr>
            <w:top w:val="none" w:sz="0" w:space="0" w:color="auto"/>
            <w:left w:val="none" w:sz="0" w:space="0" w:color="auto"/>
            <w:bottom w:val="none" w:sz="0" w:space="0" w:color="auto"/>
            <w:right w:val="none" w:sz="0" w:space="0" w:color="auto"/>
          </w:divBdr>
          <w:divsChild>
            <w:div w:id="553809703">
              <w:marLeft w:val="0"/>
              <w:marRight w:val="0"/>
              <w:marTop w:val="0"/>
              <w:marBottom w:val="0"/>
              <w:divBdr>
                <w:top w:val="none" w:sz="0" w:space="0" w:color="auto"/>
                <w:left w:val="none" w:sz="0" w:space="0" w:color="auto"/>
                <w:bottom w:val="none" w:sz="0" w:space="0" w:color="auto"/>
                <w:right w:val="none" w:sz="0" w:space="0" w:color="auto"/>
              </w:divBdr>
              <w:divsChild>
                <w:div w:id="1303585799">
                  <w:marLeft w:val="0"/>
                  <w:marRight w:val="0"/>
                  <w:marTop w:val="0"/>
                  <w:marBottom w:val="0"/>
                  <w:divBdr>
                    <w:top w:val="none" w:sz="0" w:space="0" w:color="auto"/>
                    <w:left w:val="none" w:sz="0" w:space="0" w:color="auto"/>
                    <w:bottom w:val="none" w:sz="0" w:space="0" w:color="auto"/>
                    <w:right w:val="none" w:sz="0" w:space="0" w:color="auto"/>
                  </w:divBdr>
                  <w:divsChild>
                    <w:div w:id="1814370287">
                      <w:marLeft w:val="0"/>
                      <w:marRight w:val="0"/>
                      <w:marTop w:val="0"/>
                      <w:marBottom w:val="0"/>
                      <w:divBdr>
                        <w:top w:val="none" w:sz="0" w:space="0" w:color="auto"/>
                        <w:left w:val="none" w:sz="0" w:space="0" w:color="auto"/>
                        <w:bottom w:val="none" w:sz="0" w:space="0" w:color="auto"/>
                        <w:right w:val="none" w:sz="0" w:space="0" w:color="auto"/>
                      </w:divBdr>
                      <w:divsChild>
                        <w:div w:id="310646288">
                          <w:marLeft w:val="0"/>
                          <w:marRight w:val="0"/>
                          <w:marTop w:val="0"/>
                          <w:marBottom w:val="0"/>
                          <w:divBdr>
                            <w:top w:val="none" w:sz="0" w:space="0" w:color="auto"/>
                            <w:left w:val="none" w:sz="0" w:space="0" w:color="auto"/>
                            <w:bottom w:val="none" w:sz="0" w:space="0" w:color="auto"/>
                            <w:right w:val="none" w:sz="0" w:space="0" w:color="auto"/>
                          </w:divBdr>
                          <w:divsChild>
                            <w:div w:id="1567641112">
                              <w:marLeft w:val="0"/>
                              <w:marRight w:val="0"/>
                              <w:marTop w:val="0"/>
                              <w:marBottom w:val="0"/>
                              <w:divBdr>
                                <w:top w:val="none" w:sz="0" w:space="0" w:color="auto"/>
                                <w:left w:val="none" w:sz="0" w:space="0" w:color="auto"/>
                                <w:bottom w:val="none" w:sz="0" w:space="0" w:color="auto"/>
                                <w:right w:val="none" w:sz="0" w:space="0" w:color="auto"/>
                              </w:divBdr>
                              <w:divsChild>
                                <w:div w:id="8633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21343">
      <w:bodyDiv w:val="1"/>
      <w:marLeft w:val="0"/>
      <w:marRight w:val="0"/>
      <w:marTop w:val="0"/>
      <w:marBottom w:val="0"/>
      <w:divBdr>
        <w:top w:val="none" w:sz="0" w:space="0" w:color="auto"/>
        <w:left w:val="none" w:sz="0" w:space="0" w:color="auto"/>
        <w:bottom w:val="none" w:sz="0" w:space="0" w:color="auto"/>
        <w:right w:val="none" w:sz="0" w:space="0" w:color="auto"/>
      </w:divBdr>
    </w:div>
    <w:div w:id="878783726">
      <w:bodyDiv w:val="1"/>
      <w:marLeft w:val="0"/>
      <w:marRight w:val="0"/>
      <w:marTop w:val="0"/>
      <w:marBottom w:val="0"/>
      <w:divBdr>
        <w:top w:val="none" w:sz="0" w:space="0" w:color="auto"/>
        <w:left w:val="none" w:sz="0" w:space="0" w:color="auto"/>
        <w:bottom w:val="none" w:sz="0" w:space="0" w:color="auto"/>
        <w:right w:val="none" w:sz="0" w:space="0" w:color="auto"/>
      </w:divBdr>
    </w:div>
    <w:div w:id="978725773">
      <w:bodyDiv w:val="1"/>
      <w:marLeft w:val="0"/>
      <w:marRight w:val="0"/>
      <w:marTop w:val="0"/>
      <w:marBottom w:val="0"/>
      <w:divBdr>
        <w:top w:val="none" w:sz="0" w:space="0" w:color="auto"/>
        <w:left w:val="none" w:sz="0" w:space="0" w:color="auto"/>
        <w:bottom w:val="none" w:sz="0" w:space="0" w:color="auto"/>
        <w:right w:val="none" w:sz="0" w:space="0" w:color="auto"/>
      </w:divBdr>
    </w:div>
    <w:div w:id="1197232518">
      <w:bodyDiv w:val="1"/>
      <w:marLeft w:val="0"/>
      <w:marRight w:val="0"/>
      <w:marTop w:val="0"/>
      <w:marBottom w:val="0"/>
      <w:divBdr>
        <w:top w:val="none" w:sz="0" w:space="0" w:color="auto"/>
        <w:left w:val="none" w:sz="0" w:space="0" w:color="auto"/>
        <w:bottom w:val="none" w:sz="0" w:space="0" w:color="auto"/>
        <w:right w:val="none" w:sz="0" w:space="0" w:color="auto"/>
      </w:divBdr>
    </w:div>
    <w:div w:id="1471703958">
      <w:bodyDiv w:val="1"/>
      <w:marLeft w:val="0"/>
      <w:marRight w:val="0"/>
      <w:marTop w:val="0"/>
      <w:marBottom w:val="0"/>
      <w:divBdr>
        <w:top w:val="none" w:sz="0" w:space="0" w:color="auto"/>
        <w:left w:val="none" w:sz="0" w:space="0" w:color="auto"/>
        <w:bottom w:val="none" w:sz="0" w:space="0" w:color="auto"/>
        <w:right w:val="none" w:sz="0" w:space="0" w:color="auto"/>
      </w:divBdr>
    </w:div>
    <w:div w:id="1567299714">
      <w:bodyDiv w:val="1"/>
      <w:marLeft w:val="0"/>
      <w:marRight w:val="0"/>
      <w:marTop w:val="0"/>
      <w:marBottom w:val="0"/>
      <w:divBdr>
        <w:top w:val="none" w:sz="0" w:space="0" w:color="auto"/>
        <w:left w:val="none" w:sz="0" w:space="0" w:color="auto"/>
        <w:bottom w:val="none" w:sz="0" w:space="0" w:color="auto"/>
        <w:right w:val="none" w:sz="0" w:space="0" w:color="auto"/>
      </w:divBdr>
      <w:divsChild>
        <w:div w:id="518814177">
          <w:marLeft w:val="0"/>
          <w:marRight w:val="0"/>
          <w:marTop w:val="0"/>
          <w:marBottom w:val="0"/>
          <w:divBdr>
            <w:top w:val="none" w:sz="0" w:space="0" w:color="auto"/>
            <w:left w:val="none" w:sz="0" w:space="0" w:color="auto"/>
            <w:bottom w:val="none" w:sz="0" w:space="0" w:color="auto"/>
            <w:right w:val="none" w:sz="0" w:space="0" w:color="auto"/>
          </w:divBdr>
          <w:divsChild>
            <w:div w:id="1041828652">
              <w:marLeft w:val="0"/>
              <w:marRight w:val="0"/>
              <w:marTop w:val="0"/>
              <w:marBottom w:val="0"/>
              <w:divBdr>
                <w:top w:val="none" w:sz="0" w:space="0" w:color="auto"/>
                <w:left w:val="none" w:sz="0" w:space="0" w:color="auto"/>
                <w:bottom w:val="none" w:sz="0" w:space="0" w:color="auto"/>
                <w:right w:val="none" w:sz="0" w:space="0" w:color="auto"/>
              </w:divBdr>
              <w:divsChild>
                <w:div w:id="280383338">
                  <w:marLeft w:val="0"/>
                  <w:marRight w:val="0"/>
                  <w:marTop w:val="0"/>
                  <w:marBottom w:val="0"/>
                  <w:divBdr>
                    <w:top w:val="none" w:sz="0" w:space="0" w:color="auto"/>
                    <w:left w:val="none" w:sz="0" w:space="0" w:color="auto"/>
                    <w:bottom w:val="none" w:sz="0" w:space="0" w:color="auto"/>
                    <w:right w:val="none" w:sz="0" w:space="0" w:color="auto"/>
                  </w:divBdr>
                  <w:divsChild>
                    <w:div w:id="427579425">
                      <w:marLeft w:val="0"/>
                      <w:marRight w:val="0"/>
                      <w:marTop w:val="0"/>
                      <w:marBottom w:val="0"/>
                      <w:divBdr>
                        <w:top w:val="none" w:sz="0" w:space="0" w:color="auto"/>
                        <w:left w:val="none" w:sz="0" w:space="0" w:color="auto"/>
                        <w:bottom w:val="none" w:sz="0" w:space="0" w:color="auto"/>
                        <w:right w:val="none" w:sz="0" w:space="0" w:color="auto"/>
                      </w:divBdr>
                      <w:divsChild>
                        <w:div w:id="501313174">
                          <w:marLeft w:val="0"/>
                          <w:marRight w:val="0"/>
                          <w:marTop w:val="0"/>
                          <w:marBottom w:val="0"/>
                          <w:divBdr>
                            <w:top w:val="none" w:sz="0" w:space="0" w:color="auto"/>
                            <w:left w:val="none" w:sz="0" w:space="0" w:color="auto"/>
                            <w:bottom w:val="none" w:sz="0" w:space="0" w:color="auto"/>
                            <w:right w:val="none" w:sz="0" w:space="0" w:color="auto"/>
                          </w:divBdr>
                          <w:divsChild>
                            <w:div w:id="763261734">
                              <w:marLeft w:val="0"/>
                              <w:marRight w:val="0"/>
                              <w:marTop w:val="0"/>
                              <w:marBottom w:val="0"/>
                              <w:divBdr>
                                <w:top w:val="none" w:sz="0" w:space="0" w:color="auto"/>
                                <w:left w:val="none" w:sz="0" w:space="0" w:color="auto"/>
                                <w:bottom w:val="none" w:sz="0" w:space="0" w:color="auto"/>
                                <w:right w:val="none" w:sz="0" w:space="0" w:color="auto"/>
                              </w:divBdr>
                              <w:divsChild>
                                <w:div w:id="20195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atenton.ru/patent/RU2018851C1/en" TargetMode="External"/><Relationship Id="rId1" Type="http://schemas.openxmlformats.org/officeDocument/2006/relationships/customXml" Target="../customXml/item1.xml"/><Relationship Id="rId6" Type="http://schemas.openxmlformats.org/officeDocument/2006/relationships/hyperlink" Target="mailto:murod05071991@mail.r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3BD16-3F54-458C-B62F-B4DF5B122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3304</Words>
  <Characters>18835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Begmatov Murodjon</dc:creator>
  <cp:lastModifiedBy>Пользователь</cp:lastModifiedBy>
  <cp:revision>6</cp:revision>
  <dcterms:created xsi:type="dcterms:W3CDTF">2025-12-21T07:26:00Z</dcterms:created>
  <dcterms:modified xsi:type="dcterms:W3CDTF">2026-01-08T09:51:00Z</dcterms:modified>
</cp:coreProperties>
</file>