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4805CCD" w:rsidR="001E129E" w:rsidRPr="00DA1E93" w:rsidRDefault="00B9049B" w:rsidP="008745D5">
      <w:pPr>
        <w:spacing w:before="1200" w:after="200" w:line="240" w:lineRule="auto"/>
        <w:ind w:firstLine="567"/>
        <w:jc w:val="center"/>
        <w:rPr>
          <w:rFonts w:ascii="Times New Roman" w:hAnsi="Times New Roman" w:cs="Times New Roman"/>
          <w:b/>
          <w:sz w:val="36"/>
          <w:szCs w:val="36"/>
        </w:rPr>
      </w:pPr>
      <w:r w:rsidRPr="00DA1E93">
        <w:rPr>
          <w:rFonts w:ascii="Times New Roman" w:hAnsi="Times New Roman" w:cs="Times New Roman"/>
          <w:b/>
          <w:sz w:val="36"/>
          <w:szCs w:val="36"/>
        </w:rPr>
        <w:t>Technological innovation and international standards in education: methodological recommendations for modern lesson design</w:t>
      </w:r>
    </w:p>
    <w:p w14:paraId="1F5E1B4F" w14:textId="71AAB1CE" w:rsidR="00CA398A" w:rsidRPr="00DA1E93" w:rsidRDefault="00B9049B" w:rsidP="008745D5">
      <w:pPr>
        <w:pStyle w:val="AuthorName"/>
        <w:spacing w:before="240" w:after="200"/>
        <w:rPr>
          <w:sz w:val="20"/>
          <w:lang w:val="uz-Cyrl-UZ" w:eastAsia="en-GB"/>
        </w:rPr>
      </w:pPr>
      <w:proofErr w:type="spellStart"/>
      <w:r w:rsidRPr="00DA1E93">
        <w:rPr>
          <w:bCs/>
          <w:color w:val="000000"/>
          <w:szCs w:val="28"/>
        </w:rPr>
        <w:t>Sodiqjon</w:t>
      </w:r>
      <w:proofErr w:type="spellEnd"/>
      <w:r w:rsidRPr="00DA1E93">
        <w:rPr>
          <w:bCs/>
          <w:color w:val="000000"/>
          <w:szCs w:val="28"/>
        </w:rPr>
        <w:t xml:space="preserve"> Khakimov</w:t>
      </w:r>
      <w:r w:rsidRPr="00DA1E93">
        <w:rPr>
          <w:bCs/>
          <w:color w:val="000000"/>
          <w:szCs w:val="28"/>
          <w:vertAlign w:val="superscript"/>
        </w:rPr>
        <w:t>1, a)</w:t>
      </w:r>
      <w:r w:rsidRPr="00DA1E93">
        <w:rPr>
          <w:bCs/>
          <w:color w:val="000000"/>
          <w:szCs w:val="28"/>
        </w:rPr>
        <w:t xml:space="preserve">, </w:t>
      </w:r>
      <w:proofErr w:type="spellStart"/>
      <w:proofErr w:type="gramStart"/>
      <w:r w:rsidRPr="00DA1E93">
        <w:rPr>
          <w:bCs/>
          <w:color w:val="000000"/>
          <w:szCs w:val="28"/>
        </w:rPr>
        <w:t>To‘</w:t>
      </w:r>
      <w:proofErr w:type="gramEnd"/>
      <w:r w:rsidRPr="00DA1E93">
        <w:rPr>
          <w:bCs/>
          <w:color w:val="000000"/>
          <w:szCs w:val="28"/>
        </w:rPr>
        <w:t>lqinjon</w:t>
      </w:r>
      <w:proofErr w:type="spellEnd"/>
      <w:r w:rsidRPr="00DA1E93">
        <w:rPr>
          <w:bCs/>
          <w:color w:val="000000"/>
          <w:szCs w:val="28"/>
        </w:rPr>
        <w:t xml:space="preserve"> Bakirov</w:t>
      </w:r>
      <w:r w:rsidRPr="00DA1E93">
        <w:rPr>
          <w:bCs/>
          <w:color w:val="000000"/>
          <w:szCs w:val="28"/>
          <w:vertAlign w:val="superscript"/>
        </w:rPr>
        <w:t>2</w:t>
      </w:r>
      <w:r w:rsidRPr="00DA1E93">
        <w:rPr>
          <w:bCs/>
          <w:color w:val="000000"/>
          <w:szCs w:val="28"/>
        </w:rPr>
        <w:t xml:space="preserve">, </w:t>
      </w:r>
      <w:proofErr w:type="spellStart"/>
      <w:r w:rsidRPr="00DA1E93">
        <w:rPr>
          <w:bCs/>
          <w:color w:val="000000"/>
          <w:szCs w:val="28"/>
        </w:rPr>
        <w:t>Temurbek</w:t>
      </w:r>
      <w:proofErr w:type="spellEnd"/>
      <w:r w:rsidRPr="00DA1E93">
        <w:rPr>
          <w:bCs/>
          <w:color w:val="000000"/>
          <w:szCs w:val="28"/>
        </w:rPr>
        <w:t xml:space="preserve"> Ismoilov</w:t>
      </w:r>
      <w:r w:rsidRPr="00DA1E93">
        <w:rPr>
          <w:bCs/>
          <w:color w:val="000000"/>
          <w:szCs w:val="28"/>
          <w:vertAlign w:val="superscript"/>
        </w:rPr>
        <w:t>3</w:t>
      </w:r>
      <w:r w:rsidRPr="00DA1E93">
        <w:rPr>
          <w:bCs/>
          <w:color w:val="000000"/>
          <w:szCs w:val="28"/>
        </w:rPr>
        <w:t xml:space="preserve">, </w:t>
      </w:r>
      <w:proofErr w:type="spellStart"/>
      <w:r w:rsidRPr="00DA1E93">
        <w:rPr>
          <w:bCs/>
          <w:color w:val="000000"/>
          <w:szCs w:val="28"/>
        </w:rPr>
        <w:t>A’zamjon</w:t>
      </w:r>
      <w:proofErr w:type="spellEnd"/>
      <w:r w:rsidRPr="00DA1E93">
        <w:rPr>
          <w:bCs/>
          <w:color w:val="000000"/>
          <w:szCs w:val="28"/>
        </w:rPr>
        <w:t xml:space="preserve"> Abdullayev</w:t>
      </w:r>
      <w:r w:rsidRPr="00DA1E93">
        <w:rPr>
          <w:bCs/>
          <w:color w:val="000000"/>
          <w:szCs w:val="28"/>
          <w:vertAlign w:val="superscript"/>
        </w:rPr>
        <w:t>1</w:t>
      </w:r>
    </w:p>
    <w:p w14:paraId="4709ED4E" w14:textId="5469FB4A" w:rsidR="008745D5" w:rsidRPr="00DA1E93" w:rsidRDefault="001970E3" w:rsidP="00A4691D">
      <w:pPr>
        <w:pStyle w:val="AuthorAffiliation"/>
      </w:pPr>
      <w:r w:rsidRPr="00DA1E93">
        <w:rPr>
          <w:vertAlign w:val="superscript"/>
          <w:lang w:val="uz-Cyrl-UZ"/>
        </w:rPr>
        <w:t>1</w:t>
      </w:r>
      <w:r w:rsidR="00B9049B" w:rsidRPr="00DA1E93">
        <w:t xml:space="preserve"> Namangan State Technical University, Namangan, Uzbekistan</w:t>
      </w:r>
    </w:p>
    <w:p w14:paraId="7B4871F7" w14:textId="62F54D45" w:rsidR="00B9049B" w:rsidRPr="00DA1E93" w:rsidRDefault="00A4691D" w:rsidP="00B9049B">
      <w:pPr>
        <w:pStyle w:val="AuthorAffiliation"/>
      </w:pPr>
      <w:r w:rsidRPr="00DA1E93">
        <w:rPr>
          <w:vertAlign w:val="superscript"/>
        </w:rPr>
        <w:t>2</w:t>
      </w:r>
      <w:r w:rsidR="00B9049B" w:rsidRPr="00DA1E93">
        <w:t xml:space="preserve"> Fergana State University, Fergana, Uzbekistan </w:t>
      </w:r>
    </w:p>
    <w:p w14:paraId="5EB063F1" w14:textId="65187124" w:rsidR="00B9049B" w:rsidRPr="00DA1E93" w:rsidRDefault="00B9049B" w:rsidP="00B9049B">
      <w:pPr>
        <w:pStyle w:val="AuthorAffiliation"/>
      </w:pPr>
      <w:r w:rsidRPr="00DA1E93">
        <w:rPr>
          <w:vertAlign w:val="superscript"/>
        </w:rPr>
        <w:t>3</w:t>
      </w:r>
      <w:r w:rsidRPr="00DA1E93">
        <w:t xml:space="preserve"> Namangan State Institute of foreign languages, Namangan, Uzbekistan</w:t>
      </w:r>
    </w:p>
    <w:p w14:paraId="1397C91D" w14:textId="4A0EBF22" w:rsidR="00CA398A" w:rsidRPr="00DA1E93" w:rsidRDefault="008745D5" w:rsidP="00DA1E93">
      <w:pPr>
        <w:pStyle w:val="AuthorAffiliation"/>
        <w:spacing w:before="200" w:after="200"/>
      </w:pPr>
      <w:r w:rsidRPr="00DA1E93">
        <w:rPr>
          <w:szCs w:val="18"/>
          <w:vertAlign w:val="superscript"/>
        </w:rPr>
        <w:t>a)</w:t>
      </w:r>
      <w:r w:rsidRPr="00DA1E93">
        <w:rPr>
          <w:szCs w:val="18"/>
        </w:rPr>
        <w:t xml:space="preserve"> Corresponding author: </w:t>
      </w:r>
      <w:hyperlink r:id="rId5" w:history="1">
        <w:r w:rsidR="00DA1E93" w:rsidRPr="00DA1E93">
          <w:rPr>
            <w:rStyle w:val="a6"/>
            <w:spacing w:val="2"/>
            <w:shd w:val="clear" w:color="auto" w:fill="FFFFFF"/>
          </w:rPr>
          <w:t>xakimovsodiqjon14@gmail.com</w:t>
        </w:r>
      </w:hyperlink>
    </w:p>
    <w:p w14:paraId="410B173B" w14:textId="405E3B66" w:rsidR="00BC4E3B" w:rsidRPr="00DA1E93" w:rsidRDefault="00E25282" w:rsidP="000C106A">
      <w:pPr>
        <w:spacing w:before="360" w:after="360" w:line="240" w:lineRule="auto"/>
        <w:ind w:left="284" w:right="284"/>
        <w:jc w:val="both"/>
        <w:rPr>
          <w:rFonts w:ascii="Times New Roman" w:hAnsi="Times New Roman" w:cs="Times New Roman"/>
          <w:sz w:val="18"/>
          <w:szCs w:val="18"/>
        </w:rPr>
      </w:pPr>
      <w:r w:rsidRPr="00DA1E93">
        <w:rPr>
          <w:rFonts w:ascii="Times New Roman" w:hAnsi="Times New Roman" w:cs="Times New Roman"/>
          <w:b/>
          <w:sz w:val="18"/>
          <w:szCs w:val="18"/>
        </w:rPr>
        <w:t>Abstract</w:t>
      </w:r>
      <w:r w:rsidR="00CA398A" w:rsidRPr="00DA1E93">
        <w:rPr>
          <w:rFonts w:ascii="Times New Roman" w:hAnsi="Times New Roman" w:cs="Times New Roman"/>
          <w:b/>
          <w:sz w:val="18"/>
          <w:szCs w:val="18"/>
        </w:rPr>
        <w:t>.</w:t>
      </w:r>
      <w:r w:rsidR="000C106A" w:rsidRPr="00DA1E93">
        <w:rPr>
          <w:rFonts w:ascii="Times New Roman" w:hAnsi="Times New Roman" w:cs="Times New Roman"/>
          <w:iCs/>
          <w:sz w:val="18"/>
          <w:szCs w:val="18"/>
          <w:lang w:val="uz-Cyrl-UZ"/>
        </w:rPr>
        <w:t xml:space="preserve"> </w:t>
      </w:r>
      <w:r w:rsidR="00B9049B" w:rsidRPr="00DA1E93">
        <w:rPr>
          <w:rFonts w:ascii="Times New Roman" w:hAnsi="Times New Roman" w:cs="Times New Roman"/>
          <w:sz w:val="18"/>
          <w:szCs w:val="18"/>
        </w:rPr>
        <w:t>The rapid evolution of digital technologies and globalization has transformed education systems worldwide. Modern lesson design now requires the integration of innovative technological tools, alignment with international standards, and emphasis on competency-based outcomes. This study synthesizes research from Scopus-indexed publications, international frameworks, and empirical examples to provide methodological recommendations for designing interactive, inclusive, and learner-centered lessons. The proposed guidelines ensure that lessons foster critical thinking, collaboration, and digital literacy while maintaining adherence to global educational quality standards.</w:t>
      </w:r>
    </w:p>
    <w:p w14:paraId="61870707" w14:textId="1ED93274" w:rsidR="008A22AB" w:rsidRPr="00DA1E93" w:rsidRDefault="00CA398A" w:rsidP="00CA398A">
      <w:pPr>
        <w:spacing w:before="240" w:after="240" w:line="240" w:lineRule="auto"/>
        <w:ind w:firstLine="567"/>
        <w:jc w:val="center"/>
        <w:rPr>
          <w:rFonts w:ascii="Times New Roman" w:hAnsi="Times New Roman" w:cs="Times New Roman"/>
          <w:b/>
          <w:sz w:val="24"/>
          <w:szCs w:val="24"/>
        </w:rPr>
      </w:pPr>
      <w:r w:rsidRPr="00DA1E93">
        <w:rPr>
          <w:rFonts w:ascii="Times New Roman" w:hAnsi="Times New Roman" w:cs="Times New Roman"/>
          <w:b/>
          <w:sz w:val="24"/>
          <w:szCs w:val="24"/>
        </w:rPr>
        <w:t>INTRODUCTION</w:t>
      </w:r>
    </w:p>
    <w:p w14:paraId="73863E88" w14:textId="7ECEF1C0" w:rsidR="006820B6" w:rsidRPr="00DA1E93" w:rsidRDefault="00B9049B" w:rsidP="00DE4111">
      <w:pPr>
        <w:spacing w:after="0" w:line="240" w:lineRule="auto"/>
        <w:ind w:firstLine="284"/>
        <w:jc w:val="both"/>
        <w:rPr>
          <w:rFonts w:ascii="Times New Roman" w:hAnsi="Times New Roman" w:cs="Times New Roman"/>
          <w:sz w:val="20"/>
          <w:szCs w:val="20"/>
        </w:rPr>
      </w:pPr>
      <w:r w:rsidRPr="00DA1E93">
        <w:rPr>
          <w:rFonts w:ascii="Times New Roman" w:hAnsi="Times New Roman" w:cs="Times New Roman"/>
          <w:sz w:val="20"/>
          <w:szCs w:val="20"/>
        </w:rPr>
        <w:t>Education is undergoing significant transformation due to technological innovations and international standardization. Traditional teacher-centered approaches are increasingly replaced by learner-centered methodologies that prioritize engagement, critical thinking, collaboration, and problem-solving.</w:t>
      </w:r>
    </w:p>
    <w:p w14:paraId="641D5D4A" w14:textId="3814203D" w:rsidR="00B9049B" w:rsidRPr="00DA1E93" w:rsidRDefault="00B9049B" w:rsidP="00DE4111">
      <w:pPr>
        <w:spacing w:after="0" w:line="240" w:lineRule="auto"/>
        <w:ind w:firstLine="284"/>
        <w:jc w:val="both"/>
        <w:rPr>
          <w:rFonts w:ascii="Times New Roman" w:hAnsi="Times New Roman" w:cs="Times New Roman"/>
          <w:sz w:val="20"/>
          <w:szCs w:val="20"/>
        </w:rPr>
      </w:pPr>
      <w:r w:rsidRPr="00DA1E93">
        <w:rPr>
          <w:rFonts w:ascii="Times New Roman" w:hAnsi="Times New Roman" w:cs="Times New Roman"/>
          <w:sz w:val="20"/>
          <w:szCs w:val="20"/>
        </w:rPr>
        <w:t>The proliferation of digital platforms, learning management systems (LMS), educational apps, and online collaboration tools has expanded opportunities for personalized and adaptive learning. Studies indicate that the adoption of digital tools improves learning outcomes by enhancing interactivity, engagement, and motivation.</w:t>
      </w:r>
    </w:p>
    <w:p w14:paraId="77259D06" w14:textId="1C7C1EEA" w:rsidR="00B9049B" w:rsidRPr="00DA1E93" w:rsidRDefault="00B9049B" w:rsidP="00DE4111">
      <w:pPr>
        <w:spacing w:after="0" w:line="240" w:lineRule="auto"/>
        <w:ind w:firstLine="284"/>
        <w:jc w:val="both"/>
        <w:rPr>
          <w:rFonts w:ascii="Times New Roman" w:hAnsi="Times New Roman" w:cs="Times New Roman"/>
          <w:color w:val="000000"/>
          <w:sz w:val="20"/>
        </w:rPr>
      </w:pPr>
      <w:r w:rsidRPr="00DA1E93">
        <w:rPr>
          <w:rFonts w:ascii="Times New Roman" w:hAnsi="Times New Roman" w:cs="Times New Roman"/>
          <w:sz w:val="20"/>
          <w:szCs w:val="20"/>
        </w:rPr>
        <w:t>Frameworks such as UNESCO ICT Competency Framework for Teachers (ICT-CFT), OECD Learning Compass 2030, and the Bologna Process ensure quality, transparency, and alignment of learning outcomes with competencies. These standards encourage educational institutions to implement structured lesson designs, integrate technology meaningfully, and evaluate learning effectiveness systematically.</w:t>
      </w:r>
    </w:p>
    <w:p w14:paraId="493A640D" w14:textId="237A955D" w:rsidR="008A22AB" w:rsidRPr="00DA1E93"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A1E93">
        <w:rPr>
          <w:rFonts w:ascii="Times New Roman" w:hAnsi="Times New Roman" w:cs="Times New Roman"/>
          <w:b/>
          <w:sz w:val="24"/>
          <w:szCs w:val="24"/>
        </w:rPr>
        <w:t>EXPERIM</w:t>
      </w:r>
      <w:r w:rsidR="007C2176" w:rsidRPr="00DA1E93">
        <w:rPr>
          <w:rFonts w:ascii="Times New Roman" w:hAnsi="Times New Roman" w:cs="Times New Roman"/>
          <w:b/>
          <w:sz w:val="24"/>
          <w:szCs w:val="24"/>
        </w:rPr>
        <w:t>ENTAL RESEARCH</w:t>
      </w:r>
    </w:p>
    <w:p w14:paraId="058FC03F" w14:textId="77777777" w:rsidR="00B9049B" w:rsidRPr="00DA1E93" w:rsidRDefault="00B9049B" w:rsidP="00DA1E93">
      <w:pPr>
        <w:pStyle w:val="p3"/>
        <w:tabs>
          <w:tab w:val="left" w:pos="426"/>
        </w:tabs>
        <w:spacing w:before="0" w:beforeAutospacing="0" w:after="0" w:afterAutospacing="0"/>
        <w:ind w:firstLine="284"/>
        <w:jc w:val="both"/>
        <w:rPr>
          <w:sz w:val="20"/>
          <w:szCs w:val="20"/>
          <w:lang w:val="en-US"/>
        </w:rPr>
      </w:pPr>
      <w:r w:rsidRPr="00DA1E93">
        <w:rPr>
          <w:sz w:val="20"/>
          <w:szCs w:val="20"/>
          <w:lang w:val="en-US"/>
        </w:rPr>
        <w:t xml:space="preserve">This study uses a </w:t>
      </w:r>
      <w:r w:rsidRPr="00DA1E93">
        <w:rPr>
          <w:rStyle w:val="a7"/>
          <w:b w:val="0"/>
          <w:sz w:val="20"/>
          <w:szCs w:val="20"/>
          <w:lang w:val="en-US"/>
        </w:rPr>
        <w:t>qualitative research approac</w:t>
      </w:r>
      <w:r w:rsidRPr="00DA1E93">
        <w:rPr>
          <w:rStyle w:val="a7"/>
          <w:sz w:val="20"/>
          <w:szCs w:val="20"/>
          <w:lang w:val="en-US"/>
        </w:rPr>
        <w:t>h</w:t>
      </w:r>
      <w:r w:rsidRPr="00DA1E93">
        <w:rPr>
          <w:sz w:val="20"/>
          <w:szCs w:val="20"/>
          <w:lang w:val="en-US"/>
        </w:rPr>
        <w:t xml:space="preserve"> combining multiple methods: </w:t>
      </w:r>
    </w:p>
    <w:p w14:paraId="76CEF5F8" w14:textId="77777777" w:rsidR="00B9049B" w:rsidRPr="00DA1E93" w:rsidRDefault="00B9049B" w:rsidP="00DA1E93">
      <w:pPr>
        <w:pStyle w:val="p3"/>
        <w:tabs>
          <w:tab w:val="left" w:pos="426"/>
        </w:tabs>
        <w:spacing w:before="0" w:beforeAutospacing="0" w:after="0" w:afterAutospacing="0"/>
        <w:ind w:firstLine="284"/>
        <w:jc w:val="both"/>
        <w:rPr>
          <w:i/>
          <w:sz w:val="20"/>
          <w:szCs w:val="20"/>
          <w:lang w:val="en-US"/>
        </w:rPr>
      </w:pPr>
      <w:r w:rsidRPr="00DA1E93">
        <w:rPr>
          <w:i/>
          <w:sz w:val="20"/>
          <w:szCs w:val="20"/>
          <w:lang w:val="en-US"/>
        </w:rPr>
        <w:t>Document Analysis</w:t>
      </w:r>
    </w:p>
    <w:p w14:paraId="7CBF1710" w14:textId="77777777" w:rsidR="00B9049B" w:rsidRPr="00DA1E93" w:rsidRDefault="00B9049B" w:rsidP="00DA1E93">
      <w:pPr>
        <w:pStyle w:val="p3"/>
        <w:numPr>
          <w:ilvl w:val="0"/>
          <w:numId w:val="6"/>
        </w:numPr>
        <w:tabs>
          <w:tab w:val="left" w:pos="426"/>
        </w:tabs>
        <w:spacing w:before="0" w:beforeAutospacing="0" w:after="0" w:afterAutospacing="0"/>
        <w:ind w:left="0" w:firstLine="284"/>
        <w:jc w:val="both"/>
        <w:rPr>
          <w:sz w:val="20"/>
          <w:szCs w:val="20"/>
          <w:lang w:val="en-US"/>
        </w:rPr>
      </w:pPr>
      <w:r w:rsidRPr="00DA1E93">
        <w:rPr>
          <w:sz w:val="20"/>
          <w:szCs w:val="20"/>
          <w:lang w:val="en-US"/>
        </w:rPr>
        <w:t>Examination of international standards and policies (UNESCO ICT-CFT, OECD Learning Compass 2030, Bologna Process).</w:t>
      </w:r>
    </w:p>
    <w:p w14:paraId="49E4B746" w14:textId="77777777" w:rsidR="00B9049B" w:rsidRPr="00DA1E93" w:rsidRDefault="00B9049B" w:rsidP="00DA1E93">
      <w:pPr>
        <w:pStyle w:val="p3"/>
        <w:numPr>
          <w:ilvl w:val="0"/>
          <w:numId w:val="6"/>
        </w:numPr>
        <w:tabs>
          <w:tab w:val="left" w:pos="426"/>
        </w:tabs>
        <w:spacing w:before="0" w:beforeAutospacing="0" w:after="0" w:afterAutospacing="0"/>
        <w:ind w:left="0" w:firstLine="284"/>
        <w:jc w:val="both"/>
        <w:rPr>
          <w:sz w:val="20"/>
          <w:szCs w:val="20"/>
          <w:lang w:val="en-US"/>
        </w:rPr>
      </w:pPr>
      <w:r w:rsidRPr="00DA1E93">
        <w:rPr>
          <w:sz w:val="20"/>
          <w:szCs w:val="20"/>
          <w:lang w:val="en-US"/>
        </w:rPr>
        <w:t>Review of national educational reforms and technology integration strategies.</w:t>
      </w:r>
    </w:p>
    <w:p w14:paraId="6657D903" w14:textId="77777777" w:rsidR="00B9049B" w:rsidRPr="00DA1E93" w:rsidRDefault="00B9049B" w:rsidP="00DA1E93">
      <w:pPr>
        <w:pStyle w:val="p3"/>
        <w:tabs>
          <w:tab w:val="left" w:pos="426"/>
        </w:tabs>
        <w:spacing w:before="0" w:beforeAutospacing="0" w:after="0" w:afterAutospacing="0"/>
        <w:ind w:firstLine="284"/>
        <w:jc w:val="both"/>
        <w:rPr>
          <w:i/>
          <w:sz w:val="20"/>
          <w:szCs w:val="20"/>
          <w:lang w:val="en-US"/>
        </w:rPr>
      </w:pPr>
      <w:proofErr w:type="spellStart"/>
      <w:r w:rsidRPr="00DA1E93">
        <w:rPr>
          <w:i/>
          <w:sz w:val="20"/>
          <w:szCs w:val="20"/>
        </w:rPr>
        <w:t>Literature</w:t>
      </w:r>
      <w:proofErr w:type="spellEnd"/>
      <w:r w:rsidRPr="00DA1E93">
        <w:rPr>
          <w:i/>
          <w:sz w:val="20"/>
          <w:szCs w:val="20"/>
        </w:rPr>
        <w:t xml:space="preserve"> </w:t>
      </w:r>
      <w:proofErr w:type="spellStart"/>
      <w:r w:rsidRPr="00DA1E93">
        <w:rPr>
          <w:i/>
          <w:sz w:val="20"/>
          <w:szCs w:val="20"/>
        </w:rPr>
        <w:t>Review</w:t>
      </w:r>
      <w:proofErr w:type="spellEnd"/>
    </w:p>
    <w:p w14:paraId="532D2719" w14:textId="77777777" w:rsidR="00B9049B" w:rsidRPr="00DA1E93" w:rsidRDefault="00B9049B" w:rsidP="00DA1E93">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Analysis of Scopus-indexed publications on instructional design frameworks, technology-enhanced learning, and competency-based education.</w:t>
      </w:r>
    </w:p>
    <w:p w14:paraId="0641D037" w14:textId="77777777" w:rsidR="00B9049B" w:rsidRPr="00DA1E93" w:rsidRDefault="00B9049B" w:rsidP="00DA1E93">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Comparative evaluation of ADDIE, SAM, and UDL frameworks for modern lesson design.</w:t>
      </w:r>
    </w:p>
    <w:p w14:paraId="25DD7133" w14:textId="77777777" w:rsidR="00B9049B" w:rsidRPr="00DA1E93" w:rsidRDefault="00B9049B" w:rsidP="00DA1E93">
      <w:pPr>
        <w:pStyle w:val="p3"/>
        <w:tabs>
          <w:tab w:val="left" w:pos="426"/>
        </w:tabs>
        <w:spacing w:before="0" w:beforeAutospacing="0" w:after="0" w:afterAutospacing="0"/>
        <w:ind w:firstLine="284"/>
        <w:jc w:val="both"/>
        <w:rPr>
          <w:i/>
          <w:sz w:val="20"/>
          <w:szCs w:val="20"/>
          <w:lang w:val="en-US"/>
        </w:rPr>
      </w:pPr>
      <w:r w:rsidRPr="00DA1E93">
        <w:rPr>
          <w:i/>
          <w:sz w:val="20"/>
          <w:szCs w:val="20"/>
          <w:lang w:val="en-US"/>
        </w:rPr>
        <w:t>Synthesis of Best Practices</w:t>
      </w:r>
    </w:p>
    <w:p w14:paraId="3B4C733D" w14:textId="77777777" w:rsidR="00B9049B" w:rsidRPr="00DA1E93" w:rsidRDefault="00B9049B" w:rsidP="00DA1E93">
      <w:pPr>
        <w:pStyle w:val="p3"/>
        <w:numPr>
          <w:ilvl w:val="0"/>
          <w:numId w:val="6"/>
        </w:numPr>
        <w:tabs>
          <w:tab w:val="left" w:pos="426"/>
        </w:tabs>
        <w:spacing w:before="0" w:beforeAutospacing="0" w:after="0" w:afterAutospacing="0"/>
        <w:ind w:left="0" w:firstLine="284"/>
        <w:jc w:val="both"/>
        <w:rPr>
          <w:i/>
          <w:sz w:val="20"/>
          <w:szCs w:val="20"/>
          <w:lang w:val="en-US"/>
        </w:rPr>
      </w:pPr>
      <w:r w:rsidRPr="00DA1E93">
        <w:rPr>
          <w:sz w:val="20"/>
          <w:szCs w:val="20"/>
          <w:lang w:val="en-US"/>
        </w:rPr>
        <w:lastRenderedPageBreak/>
        <w:t>Incorporation of case studies from secondary and higher education institutions.</w:t>
      </w:r>
    </w:p>
    <w:p w14:paraId="7EEDD076" w14:textId="77777777" w:rsidR="00B9049B" w:rsidRPr="00DA1E93" w:rsidRDefault="00B9049B" w:rsidP="00DA1E93">
      <w:pPr>
        <w:pStyle w:val="p3"/>
        <w:numPr>
          <w:ilvl w:val="0"/>
          <w:numId w:val="6"/>
        </w:numPr>
        <w:tabs>
          <w:tab w:val="left" w:pos="426"/>
        </w:tabs>
        <w:spacing w:before="0" w:beforeAutospacing="0" w:after="0" w:afterAutospacing="0"/>
        <w:ind w:left="0" w:firstLine="284"/>
        <w:jc w:val="both"/>
        <w:rPr>
          <w:i/>
          <w:sz w:val="20"/>
          <w:szCs w:val="20"/>
          <w:lang w:val="en-US"/>
        </w:rPr>
      </w:pPr>
      <w:r w:rsidRPr="00DA1E93">
        <w:rPr>
          <w:sz w:val="20"/>
          <w:szCs w:val="20"/>
          <w:lang w:val="en-US"/>
        </w:rPr>
        <w:t>Evaluation of successful technology integration, digital assessments, and adaptive learning approaches.</w:t>
      </w:r>
    </w:p>
    <w:p w14:paraId="04632EE4" w14:textId="77777777" w:rsidR="00B9049B" w:rsidRPr="00DA1E93" w:rsidRDefault="00B9049B" w:rsidP="00DA1E93">
      <w:pPr>
        <w:pStyle w:val="p3"/>
        <w:tabs>
          <w:tab w:val="left" w:pos="426"/>
        </w:tabs>
        <w:spacing w:before="0" w:beforeAutospacing="0" w:after="0" w:afterAutospacing="0"/>
        <w:ind w:firstLine="284"/>
        <w:jc w:val="both"/>
        <w:rPr>
          <w:i/>
          <w:sz w:val="20"/>
          <w:szCs w:val="20"/>
          <w:lang w:val="en-US"/>
        </w:rPr>
      </w:pPr>
      <w:r w:rsidRPr="00DA1E93">
        <w:rPr>
          <w:i/>
          <w:sz w:val="20"/>
          <w:szCs w:val="20"/>
          <w:lang w:val="en-US"/>
        </w:rPr>
        <w:t>Data Sources</w:t>
      </w:r>
    </w:p>
    <w:p w14:paraId="601D2C70" w14:textId="6C0A8338" w:rsidR="008A22AB" w:rsidRPr="00DA1E93" w:rsidRDefault="00B9049B" w:rsidP="00DA1E93">
      <w:pPr>
        <w:tabs>
          <w:tab w:val="left" w:pos="426"/>
        </w:tabs>
        <w:spacing w:after="0" w:line="240" w:lineRule="auto"/>
        <w:ind w:firstLine="284"/>
        <w:jc w:val="both"/>
        <w:rPr>
          <w:rFonts w:ascii="Times New Roman" w:hAnsi="Times New Roman" w:cs="Times New Roman"/>
          <w:sz w:val="20"/>
        </w:rPr>
      </w:pPr>
      <w:r w:rsidRPr="00DA1E93">
        <w:rPr>
          <w:rFonts w:ascii="Times New Roman" w:hAnsi="Times New Roman" w:cs="Times New Roman"/>
          <w:sz w:val="20"/>
          <w:szCs w:val="20"/>
        </w:rPr>
        <w:t>The study draws on empirical studies, meta-analyses, and international educational reports, ensuring the reliability and relevance of findings.</w:t>
      </w:r>
    </w:p>
    <w:p w14:paraId="5AF256BB" w14:textId="672F9FD8" w:rsidR="00487CEA" w:rsidRPr="00DA1E93"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DA1E93">
        <w:rPr>
          <w:rFonts w:ascii="Times New Roman" w:eastAsia="Times New Roman" w:hAnsi="Times New Roman" w:cs="Times New Roman"/>
          <w:b/>
          <w:sz w:val="24"/>
          <w:szCs w:val="24"/>
          <w:lang w:eastAsia="de-DE"/>
        </w:rPr>
        <w:t>RESEARCH RESULTS</w:t>
      </w:r>
    </w:p>
    <w:p w14:paraId="01A536A6" w14:textId="77777777" w:rsidR="00B9049B" w:rsidRPr="00DA1E93" w:rsidRDefault="00B9049B" w:rsidP="00DA1E93">
      <w:pPr>
        <w:spacing w:after="0" w:line="240" w:lineRule="auto"/>
        <w:ind w:firstLine="284"/>
        <w:outlineLvl w:val="2"/>
        <w:rPr>
          <w:rFonts w:ascii="Times New Roman" w:eastAsia="Times New Roman" w:hAnsi="Times New Roman" w:cs="Times New Roman"/>
          <w:b/>
          <w:bCs/>
          <w:i/>
          <w:sz w:val="20"/>
          <w:szCs w:val="20"/>
        </w:rPr>
      </w:pPr>
      <w:r w:rsidRPr="00DA1E93">
        <w:rPr>
          <w:rFonts w:ascii="Times New Roman" w:eastAsia="Times New Roman" w:hAnsi="Times New Roman" w:cs="Times New Roman"/>
          <w:b/>
          <w:bCs/>
          <w:i/>
          <w:sz w:val="20"/>
          <w:szCs w:val="20"/>
        </w:rPr>
        <w:t>Learner-Centered Design</w:t>
      </w:r>
    </w:p>
    <w:p w14:paraId="3A2E40C4" w14:textId="77777777" w:rsidR="00B9049B" w:rsidRPr="00DA1E93" w:rsidRDefault="00B9049B" w:rsidP="00DA1E93">
      <w:pPr>
        <w:spacing w:after="0" w:line="240" w:lineRule="auto"/>
        <w:ind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Lessons tailored to student needs, prior knowledge, and digital competencies result in higher engagement and improved learning outcomes. Digital platforms facilitate personalized learning paths and adaptive content delivery.</w:t>
      </w:r>
    </w:p>
    <w:p w14:paraId="1B777D77" w14:textId="77777777" w:rsidR="00B9049B" w:rsidRPr="00DA1E93" w:rsidRDefault="00B9049B" w:rsidP="00DA1E93">
      <w:pPr>
        <w:spacing w:after="0" w:line="240" w:lineRule="auto"/>
        <w:ind w:firstLine="284"/>
        <w:outlineLvl w:val="2"/>
        <w:rPr>
          <w:rFonts w:ascii="Times New Roman" w:eastAsia="Times New Roman" w:hAnsi="Times New Roman" w:cs="Times New Roman"/>
          <w:b/>
          <w:bCs/>
          <w:i/>
          <w:sz w:val="20"/>
          <w:szCs w:val="20"/>
        </w:rPr>
      </w:pPr>
      <w:r w:rsidRPr="00DA1E93">
        <w:rPr>
          <w:rFonts w:ascii="Times New Roman" w:eastAsia="Times New Roman" w:hAnsi="Times New Roman" w:cs="Times New Roman"/>
          <w:b/>
          <w:bCs/>
          <w:i/>
          <w:sz w:val="20"/>
          <w:szCs w:val="20"/>
        </w:rPr>
        <w:t>Competency-Based Learning Outcomes</w:t>
      </w:r>
    </w:p>
    <w:p w14:paraId="52151080" w14:textId="77777777" w:rsidR="00B9049B" w:rsidRPr="00DA1E93" w:rsidRDefault="00B9049B" w:rsidP="00DA1E93">
      <w:pPr>
        <w:spacing w:after="0" w:line="240" w:lineRule="auto"/>
        <w:ind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Aligning learning outcomes with international standards ensures measurable competencies in problem-solving, critical thinking, collaboration, and digital literacy.</w:t>
      </w:r>
    </w:p>
    <w:p w14:paraId="0D26E947" w14:textId="77777777" w:rsidR="00B9049B" w:rsidRPr="00DA1E93" w:rsidRDefault="00B9049B" w:rsidP="00DA1E93">
      <w:pPr>
        <w:spacing w:after="0" w:line="240" w:lineRule="auto"/>
        <w:ind w:firstLine="284"/>
        <w:outlineLvl w:val="2"/>
        <w:rPr>
          <w:rFonts w:ascii="Times New Roman" w:eastAsia="Times New Roman" w:hAnsi="Times New Roman" w:cs="Times New Roman"/>
          <w:b/>
          <w:bCs/>
          <w:i/>
          <w:sz w:val="20"/>
          <w:szCs w:val="20"/>
        </w:rPr>
      </w:pPr>
      <w:r w:rsidRPr="00DA1E93">
        <w:rPr>
          <w:rFonts w:ascii="Times New Roman" w:eastAsia="Times New Roman" w:hAnsi="Times New Roman" w:cs="Times New Roman"/>
          <w:b/>
          <w:bCs/>
          <w:i/>
          <w:sz w:val="20"/>
          <w:szCs w:val="20"/>
        </w:rPr>
        <w:t>Technology Integration</w:t>
      </w:r>
    </w:p>
    <w:p w14:paraId="28CFF60D" w14:textId="77777777" w:rsidR="00B9049B" w:rsidRPr="00DA1E93" w:rsidRDefault="00B9049B" w:rsidP="00DA1E93">
      <w:pPr>
        <w:spacing w:after="0" w:line="240" w:lineRule="auto"/>
        <w:ind w:firstLine="284"/>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Interactive tools, simulations, virtual labs, and collaborative platforms enhance active learning and engagement. Effective integration requires pedagogical alignment rather than mere technological adoption.</w:t>
      </w:r>
    </w:p>
    <w:p w14:paraId="4D1F1F79" w14:textId="77777777" w:rsidR="00B9049B" w:rsidRPr="00DA1E93" w:rsidRDefault="00B9049B" w:rsidP="00DA1E93">
      <w:pPr>
        <w:spacing w:after="0" w:line="240" w:lineRule="auto"/>
        <w:ind w:firstLine="284"/>
        <w:outlineLvl w:val="2"/>
        <w:rPr>
          <w:rFonts w:ascii="Times New Roman" w:eastAsia="Times New Roman" w:hAnsi="Times New Roman" w:cs="Times New Roman"/>
          <w:b/>
          <w:bCs/>
          <w:i/>
          <w:sz w:val="20"/>
          <w:szCs w:val="20"/>
        </w:rPr>
      </w:pPr>
      <w:r w:rsidRPr="00DA1E93">
        <w:rPr>
          <w:rFonts w:ascii="Times New Roman" w:eastAsia="Times New Roman" w:hAnsi="Times New Roman" w:cs="Times New Roman"/>
          <w:b/>
          <w:bCs/>
          <w:i/>
          <w:sz w:val="20"/>
          <w:szCs w:val="20"/>
        </w:rPr>
        <w:t>Active and Collaborative Learning</w:t>
      </w:r>
    </w:p>
    <w:p w14:paraId="3E073B20" w14:textId="77777777" w:rsidR="00B9049B" w:rsidRPr="00DA1E93" w:rsidRDefault="00B9049B" w:rsidP="00DA1E93">
      <w:pPr>
        <w:spacing w:after="0" w:line="240" w:lineRule="auto"/>
        <w:ind w:firstLine="284"/>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Project-based learning, problem-based learning, and flipped classroom approaches foster teamwork, real-world problem-solving, and self-directed learning. Studies show that technology-mediated collaboration increases student performance by 15–25% on average.</w:t>
      </w:r>
    </w:p>
    <w:p w14:paraId="3674101E" w14:textId="77777777" w:rsidR="00B9049B" w:rsidRPr="00DA1E93" w:rsidRDefault="00B9049B" w:rsidP="00DA1E93">
      <w:pPr>
        <w:spacing w:after="0" w:line="240" w:lineRule="auto"/>
        <w:ind w:firstLine="284"/>
        <w:outlineLvl w:val="2"/>
        <w:rPr>
          <w:rFonts w:ascii="Times New Roman" w:eastAsia="Times New Roman" w:hAnsi="Times New Roman" w:cs="Times New Roman"/>
          <w:b/>
          <w:bCs/>
          <w:i/>
          <w:sz w:val="20"/>
          <w:szCs w:val="20"/>
        </w:rPr>
      </w:pPr>
      <w:r w:rsidRPr="00DA1E93">
        <w:rPr>
          <w:rFonts w:ascii="Times New Roman" w:eastAsia="Times New Roman" w:hAnsi="Times New Roman" w:cs="Times New Roman"/>
          <w:b/>
          <w:bCs/>
          <w:i/>
          <w:sz w:val="20"/>
          <w:szCs w:val="20"/>
        </w:rPr>
        <w:t>Formative Assessment and Feedback</w:t>
      </w:r>
    </w:p>
    <w:p w14:paraId="049C779B" w14:textId="1D9B3268" w:rsidR="00B9049B" w:rsidRPr="00DA1E93" w:rsidRDefault="00B9049B" w:rsidP="00DA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Digital assessment tools enable continuous monitoring, instant feedback, and adaptive instruction. Students develop self-regulation skills and metacognitive awareness, improving long-term retention.</w:t>
      </w:r>
    </w:p>
    <w:p w14:paraId="28A8E6F2" w14:textId="77777777" w:rsidR="00B9049B" w:rsidRPr="00DA1E93" w:rsidRDefault="00B9049B" w:rsidP="00DA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
    <w:p w14:paraId="49DBA85B" w14:textId="34B85E69" w:rsidR="00B9049B" w:rsidRPr="00DA1E93" w:rsidRDefault="00B9049B" w:rsidP="00DA1E93">
      <w:pPr>
        <w:spacing w:after="0" w:line="240" w:lineRule="auto"/>
        <w:ind w:firstLine="284"/>
        <w:jc w:val="center"/>
        <w:rPr>
          <w:rFonts w:ascii="Times New Roman" w:eastAsia="Times New Roman" w:hAnsi="Times New Roman" w:cs="Times New Roman"/>
          <w:sz w:val="20"/>
          <w:szCs w:val="20"/>
        </w:rPr>
      </w:pPr>
      <w:r w:rsidRPr="00DA1E93">
        <w:rPr>
          <w:rFonts w:ascii="Times New Roman" w:hAnsi="Times New Roman" w:cs="Times New Roman"/>
          <w:b/>
          <w:sz w:val="20"/>
          <w:szCs w:val="20"/>
        </w:rPr>
        <w:t>TABLE</w:t>
      </w:r>
      <w:r w:rsidRPr="00DA1E93">
        <w:rPr>
          <w:rFonts w:ascii="Times New Roman" w:hAnsi="Times New Roman" w:cs="Times New Roman"/>
          <w:sz w:val="20"/>
          <w:szCs w:val="20"/>
        </w:rPr>
        <w:t xml:space="preserve"> </w:t>
      </w:r>
      <w:r w:rsidRPr="00DA1E93">
        <w:rPr>
          <w:rFonts w:ascii="Times New Roman" w:hAnsi="Times New Roman" w:cs="Times New Roman"/>
          <w:b/>
          <w:sz w:val="20"/>
          <w:szCs w:val="20"/>
        </w:rPr>
        <w:t>1.</w:t>
      </w:r>
      <w:r w:rsidRPr="00DA1E93">
        <w:rPr>
          <w:rFonts w:ascii="Times New Roman" w:hAnsi="Times New Roman" w:cs="Times New Roman"/>
          <w:sz w:val="20"/>
          <w:szCs w:val="20"/>
        </w:rPr>
        <w:t xml:space="preserve"> Instructional Strategies and Digital Tools</w:t>
      </w:r>
    </w:p>
    <w:tbl>
      <w:tblPr>
        <w:tblStyle w:val="a3"/>
        <w:tblW w:w="0" w:type="auto"/>
        <w:tblLook w:val="04A0" w:firstRow="1" w:lastRow="0" w:firstColumn="1" w:lastColumn="0" w:noHBand="0" w:noVBand="1"/>
      </w:tblPr>
      <w:tblGrid>
        <w:gridCol w:w="3190"/>
        <w:gridCol w:w="3190"/>
        <w:gridCol w:w="3191"/>
      </w:tblGrid>
      <w:tr w:rsidR="00B9049B" w:rsidRPr="00DA1E93" w14:paraId="269BFF3A" w14:textId="77777777" w:rsidTr="00C2712F">
        <w:trPr>
          <w:trHeight w:val="270"/>
        </w:trPr>
        <w:tc>
          <w:tcPr>
            <w:tcW w:w="3190" w:type="dxa"/>
          </w:tcPr>
          <w:p w14:paraId="0AD6831A" w14:textId="77777777" w:rsidR="00B9049B" w:rsidRPr="00DA1E93" w:rsidRDefault="00B9049B" w:rsidP="00DA1E93">
            <w:pPr>
              <w:jc w:val="center"/>
              <w:rPr>
                <w:b/>
                <w:vanish/>
                <w:lang w:val="en-US"/>
              </w:rPr>
            </w:pPr>
            <w:bookmarkStart w:id="0" w:name="_GoBack"/>
            <w:r w:rsidRPr="00DA1E93">
              <w:rPr>
                <w:b/>
                <w:lang w:val="en-US"/>
              </w:rPr>
              <w:t>Instructional Strategy</w:t>
            </w:r>
          </w:p>
        </w:tc>
        <w:tc>
          <w:tcPr>
            <w:tcW w:w="3190" w:type="dxa"/>
          </w:tcPr>
          <w:p w14:paraId="62704054" w14:textId="77777777" w:rsidR="00B9049B" w:rsidRPr="00DA1E93" w:rsidRDefault="00B9049B" w:rsidP="00DA1E93">
            <w:pPr>
              <w:jc w:val="center"/>
              <w:rPr>
                <w:b/>
                <w:vanish/>
                <w:lang w:val="en-US"/>
              </w:rPr>
            </w:pPr>
            <w:r w:rsidRPr="00DA1E93">
              <w:rPr>
                <w:b/>
                <w:lang w:val="en-US"/>
              </w:rPr>
              <w:t>Digital Tool</w:t>
            </w:r>
          </w:p>
        </w:tc>
        <w:tc>
          <w:tcPr>
            <w:tcW w:w="3191" w:type="dxa"/>
          </w:tcPr>
          <w:p w14:paraId="0760C616" w14:textId="77777777" w:rsidR="00B9049B" w:rsidRPr="00DA1E93" w:rsidRDefault="00B9049B" w:rsidP="00DA1E93">
            <w:pPr>
              <w:jc w:val="center"/>
              <w:rPr>
                <w:b/>
                <w:vanish/>
                <w:lang w:val="en-US"/>
              </w:rPr>
            </w:pPr>
            <w:r w:rsidRPr="00DA1E93">
              <w:rPr>
                <w:b/>
                <w:lang w:val="en-US"/>
              </w:rPr>
              <w:t>Learning Outcome</w:t>
            </w:r>
          </w:p>
        </w:tc>
      </w:tr>
      <w:tr w:rsidR="00B9049B" w:rsidRPr="00DA1E93" w14:paraId="3013D81F" w14:textId="77777777" w:rsidTr="00C2712F">
        <w:tc>
          <w:tcPr>
            <w:tcW w:w="3190" w:type="dxa"/>
          </w:tcPr>
          <w:p w14:paraId="499B279D" w14:textId="77777777" w:rsidR="00B9049B" w:rsidRPr="00DA1E93" w:rsidRDefault="00B9049B" w:rsidP="00DA1E93">
            <w:pPr>
              <w:jc w:val="center"/>
              <w:rPr>
                <w:lang w:val="en-US"/>
              </w:rPr>
            </w:pPr>
            <w:r w:rsidRPr="00DA1E93">
              <w:rPr>
                <w:lang w:val="en-US"/>
              </w:rPr>
              <w:t>Problem-Based Learning</w:t>
            </w:r>
          </w:p>
        </w:tc>
        <w:tc>
          <w:tcPr>
            <w:tcW w:w="3190" w:type="dxa"/>
          </w:tcPr>
          <w:p w14:paraId="604BA02E" w14:textId="77777777" w:rsidR="00B9049B" w:rsidRPr="00DA1E93" w:rsidRDefault="00B9049B" w:rsidP="00DA1E93">
            <w:pPr>
              <w:jc w:val="center"/>
              <w:rPr>
                <w:lang w:val="en-US"/>
              </w:rPr>
            </w:pPr>
            <w:r w:rsidRPr="00DA1E93">
              <w:rPr>
                <w:lang w:val="en-US"/>
              </w:rPr>
              <w:t>Simulation software</w:t>
            </w:r>
          </w:p>
        </w:tc>
        <w:tc>
          <w:tcPr>
            <w:tcW w:w="3191" w:type="dxa"/>
          </w:tcPr>
          <w:p w14:paraId="504CDF00" w14:textId="77777777" w:rsidR="00B9049B" w:rsidRPr="00DA1E93" w:rsidRDefault="00B9049B" w:rsidP="00DA1E93">
            <w:pPr>
              <w:jc w:val="center"/>
              <w:rPr>
                <w:lang w:val="en-US"/>
              </w:rPr>
            </w:pPr>
            <w:r w:rsidRPr="00DA1E93">
              <w:rPr>
                <w:lang w:val="en-US"/>
              </w:rPr>
              <w:t>Critical thinking, problem-so</w:t>
            </w:r>
            <w:proofErr w:type="spellStart"/>
            <w:r w:rsidRPr="00DA1E93">
              <w:t>lving</w:t>
            </w:r>
            <w:proofErr w:type="spellEnd"/>
          </w:p>
        </w:tc>
      </w:tr>
      <w:tr w:rsidR="00B9049B" w:rsidRPr="00DA1E93" w14:paraId="6B311AFA" w14:textId="77777777" w:rsidTr="00C2712F">
        <w:tc>
          <w:tcPr>
            <w:tcW w:w="3190" w:type="dxa"/>
          </w:tcPr>
          <w:p w14:paraId="0456DDEE" w14:textId="77777777" w:rsidR="00B9049B" w:rsidRPr="00DA1E93" w:rsidRDefault="00B9049B" w:rsidP="00DA1E93">
            <w:pPr>
              <w:jc w:val="center"/>
              <w:rPr>
                <w:lang w:val="en-US"/>
              </w:rPr>
            </w:pPr>
            <w:r w:rsidRPr="00DA1E93">
              <w:t>Project-Based Learning</w:t>
            </w:r>
          </w:p>
        </w:tc>
        <w:tc>
          <w:tcPr>
            <w:tcW w:w="3190" w:type="dxa"/>
          </w:tcPr>
          <w:p w14:paraId="138C9D93" w14:textId="77777777" w:rsidR="00B9049B" w:rsidRPr="00DA1E93" w:rsidRDefault="00B9049B" w:rsidP="00DA1E93">
            <w:pPr>
              <w:jc w:val="center"/>
              <w:rPr>
                <w:lang w:val="en-US"/>
              </w:rPr>
            </w:pPr>
            <w:proofErr w:type="spellStart"/>
            <w:r w:rsidRPr="00DA1E93">
              <w:t>Collaboration</w:t>
            </w:r>
            <w:proofErr w:type="spellEnd"/>
            <w:r w:rsidRPr="00DA1E93">
              <w:t xml:space="preserve"> </w:t>
            </w:r>
            <w:proofErr w:type="spellStart"/>
            <w:r w:rsidRPr="00DA1E93">
              <w:t>platforms</w:t>
            </w:r>
            <w:proofErr w:type="spellEnd"/>
          </w:p>
        </w:tc>
        <w:tc>
          <w:tcPr>
            <w:tcW w:w="3191" w:type="dxa"/>
          </w:tcPr>
          <w:p w14:paraId="1485C707" w14:textId="77777777" w:rsidR="00B9049B" w:rsidRPr="00DA1E93" w:rsidRDefault="00B9049B" w:rsidP="00DA1E93">
            <w:pPr>
              <w:jc w:val="center"/>
              <w:rPr>
                <w:lang w:val="en-US"/>
              </w:rPr>
            </w:pPr>
            <w:proofErr w:type="spellStart"/>
            <w:r w:rsidRPr="00DA1E93">
              <w:t>Teamwork</w:t>
            </w:r>
            <w:proofErr w:type="spellEnd"/>
            <w:r w:rsidRPr="00DA1E93">
              <w:t xml:space="preserve">, </w:t>
            </w:r>
            <w:proofErr w:type="spellStart"/>
            <w:r w:rsidRPr="00DA1E93">
              <w:t>creativity</w:t>
            </w:r>
            <w:proofErr w:type="spellEnd"/>
          </w:p>
        </w:tc>
      </w:tr>
      <w:tr w:rsidR="00B9049B" w:rsidRPr="00DA1E93" w14:paraId="2C06EC45" w14:textId="77777777" w:rsidTr="00C2712F">
        <w:tc>
          <w:tcPr>
            <w:tcW w:w="3190" w:type="dxa"/>
          </w:tcPr>
          <w:p w14:paraId="55E4D4F1" w14:textId="77777777" w:rsidR="00B9049B" w:rsidRPr="00DA1E93" w:rsidRDefault="00B9049B" w:rsidP="00DA1E93">
            <w:pPr>
              <w:jc w:val="center"/>
              <w:rPr>
                <w:lang w:val="en-US"/>
              </w:rPr>
            </w:pPr>
            <w:proofErr w:type="spellStart"/>
            <w:r w:rsidRPr="00DA1E93">
              <w:t>Flipped</w:t>
            </w:r>
            <w:proofErr w:type="spellEnd"/>
            <w:r w:rsidRPr="00DA1E93">
              <w:t xml:space="preserve"> </w:t>
            </w:r>
            <w:proofErr w:type="spellStart"/>
            <w:r w:rsidRPr="00DA1E93">
              <w:t>Classroom</w:t>
            </w:r>
            <w:proofErr w:type="spellEnd"/>
          </w:p>
        </w:tc>
        <w:tc>
          <w:tcPr>
            <w:tcW w:w="3190" w:type="dxa"/>
          </w:tcPr>
          <w:p w14:paraId="46C9FF96" w14:textId="77777777" w:rsidR="00B9049B" w:rsidRPr="00DA1E93" w:rsidRDefault="00B9049B" w:rsidP="00DA1E93">
            <w:pPr>
              <w:jc w:val="center"/>
              <w:rPr>
                <w:lang w:val="en-US"/>
              </w:rPr>
            </w:pPr>
            <w:proofErr w:type="spellStart"/>
            <w:r w:rsidRPr="00DA1E93">
              <w:t>Video</w:t>
            </w:r>
            <w:proofErr w:type="spellEnd"/>
            <w:r w:rsidRPr="00DA1E93">
              <w:t xml:space="preserve"> </w:t>
            </w:r>
            <w:proofErr w:type="spellStart"/>
            <w:r w:rsidRPr="00DA1E93">
              <w:t>lectures</w:t>
            </w:r>
            <w:proofErr w:type="spellEnd"/>
            <w:r w:rsidRPr="00DA1E93">
              <w:t xml:space="preserve"> &amp; LMS</w:t>
            </w:r>
          </w:p>
        </w:tc>
        <w:tc>
          <w:tcPr>
            <w:tcW w:w="3191" w:type="dxa"/>
          </w:tcPr>
          <w:p w14:paraId="4E5EF5C2" w14:textId="77777777" w:rsidR="00B9049B" w:rsidRPr="00DA1E93" w:rsidRDefault="00B9049B" w:rsidP="00DA1E93">
            <w:pPr>
              <w:jc w:val="center"/>
              <w:rPr>
                <w:lang w:val="en-US"/>
              </w:rPr>
            </w:pPr>
            <w:proofErr w:type="spellStart"/>
            <w:r w:rsidRPr="00DA1E93">
              <w:t>Independent</w:t>
            </w:r>
            <w:proofErr w:type="spellEnd"/>
            <w:r w:rsidRPr="00DA1E93">
              <w:t xml:space="preserve"> </w:t>
            </w:r>
            <w:proofErr w:type="spellStart"/>
            <w:r w:rsidRPr="00DA1E93">
              <w:t>learning</w:t>
            </w:r>
            <w:proofErr w:type="spellEnd"/>
            <w:r w:rsidRPr="00DA1E93">
              <w:t xml:space="preserve">, </w:t>
            </w:r>
            <w:proofErr w:type="spellStart"/>
            <w:r w:rsidRPr="00DA1E93">
              <w:t>engagement</w:t>
            </w:r>
            <w:proofErr w:type="spellEnd"/>
          </w:p>
        </w:tc>
      </w:tr>
      <w:tr w:rsidR="00B9049B" w:rsidRPr="00DA1E93" w14:paraId="694BDDA9" w14:textId="77777777" w:rsidTr="00C2712F">
        <w:tc>
          <w:tcPr>
            <w:tcW w:w="3190" w:type="dxa"/>
          </w:tcPr>
          <w:p w14:paraId="20A2CFE9" w14:textId="77777777" w:rsidR="00B9049B" w:rsidRPr="00DA1E93" w:rsidRDefault="00B9049B" w:rsidP="00DA1E93">
            <w:pPr>
              <w:jc w:val="center"/>
              <w:rPr>
                <w:lang w:val="en-US"/>
              </w:rPr>
            </w:pPr>
            <w:proofErr w:type="spellStart"/>
            <w:r w:rsidRPr="00DA1E93">
              <w:t>Gamification</w:t>
            </w:r>
            <w:proofErr w:type="spellEnd"/>
          </w:p>
        </w:tc>
        <w:tc>
          <w:tcPr>
            <w:tcW w:w="3190" w:type="dxa"/>
          </w:tcPr>
          <w:p w14:paraId="210EE401" w14:textId="77777777" w:rsidR="00B9049B" w:rsidRPr="00DA1E93" w:rsidRDefault="00B9049B" w:rsidP="00DA1E93">
            <w:pPr>
              <w:jc w:val="center"/>
              <w:rPr>
                <w:lang w:val="en-US"/>
              </w:rPr>
            </w:pPr>
            <w:proofErr w:type="spellStart"/>
            <w:r w:rsidRPr="00DA1E93">
              <w:t>Educational</w:t>
            </w:r>
            <w:proofErr w:type="spellEnd"/>
            <w:r w:rsidRPr="00DA1E93">
              <w:t xml:space="preserve"> </w:t>
            </w:r>
            <w:proofErr w:type="spellStart"/>
            <w:r w:rsidRPr="00DA1E93">
              <w:t>games</w:t>
            </w:r>
            <w:proofErr w:type="spellEnd"/>
          </w:p>
        </w:tc>
        <w:tc>
          <w:tcPr>
            <w:tcW w:w="3191" w:type="dxa"/>
          </w:tcPr>
          <w:p w14:paraId="534DC358" w14:textId="77777777" w:rsidR="00B9049B" w:rsidRPr="00DA1E93" w:rsidRDefault="00B9049B" w:rsidP="00DA1E93">
            <w:pPr>
              <w:jc w:val="center"/>
              <w:rPr>
                <w:lang w:val="en-US"/>
              </w:rPr>
            </w:pPr>
            <w:proofErr w:type="spellStart"/>
            <w:r w:rsidRPr="00DA1E93">
              <w:t>Motivation</w:t>
            </w:r>
            <w:proofErr w:type="spellEnd"/>
            <w:r w:rsidRPr="00DA1E93">
              <w:t xml:space="preserve">, </w:t>
            </w:r>
            <w:proofErr w:type="spellStart"/>
            <w:r w:rsidRPr="00DA1E93">
              <w:t>active</w:t>
            </w:r>
            <w:proofErr w:type="spellEnd"/>
            <w:r w:rsidRPr="00DA1E93">
              <w:t xml:space="preserve"> </w:t>
            </w:r>
            <w:proofErr w:type="spellStart"/>
            <w:r w:rsidRPr="00DA1E93">
              <w:t>participation</w:t>
            </w:r>
            <w:proofErr w:type="spellEnd"/>
          </w:p>
        </w:tc>
      </w:tr>
      <w:bookmarkEnd w:id="0"/>
    </w:tbl>
    <w:p w14:paraId="65E97BA6" w14:textId="77777777" w:rsidR="00B9049B" w:rsidRPr="00DA1E93" w:rsidRDefault="00B9049B" w:rsidP="00DA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Cs/>
          <w:color w:val="202124"/>
          <w:sz w:val="20"/>
          <w:lang w:val="de-DE"/>
        </w:rPr>
      </w:pPr>
    </w:p>
    <w:p w14:paraId="200ABA7D" w14:textId="12DABB82" w:rsidR="00B9049B" w:rsidRPr="00DA1E93" w:rsidRDefault="00B9049B" w:rsidP="00DA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202124"/>
          <w:sz w:val="20"/>
          <w:lang w:val="de-DE"/>
        </w:rPr>
      </w:pPr>
      <w:r w:rsidRPr="00DA1E93">
        <w:rPr>
          <w:rFonts w:ascii="Times New Roman" w:hAnsi="Times New Roman" w:cs="Times New Roman"/>
          <w:b/>
          <w:bCs/>
          <w:iCs/>
          <w:noProof/>
          <w:color w:val="202124"/>
          <w:sz w:val="20"/>
        </w:rPr>
        <w:drawing>
          <wp:inline distT="0" distB="0" distL="0" distR="0" wp14:anchorId="61E920C4" wp14:editId="4CC130F7">
            <wp:extent cx="5943600" cy="149646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96468"/>
                    </a:xfrm>
                    <a:prstGeom prst="rect">
                      <a:avLst/>
                    </a:prstGeom>
                    <a:noFill/>
                    <a:ln>
                      <a:noFill/>
                    </a:ln>
                  </pic:spPr>
                </pic:pic>
              </a:graphicData>
            </a:graphic>
          </wp:inline>
        </w:drawing>
      </w:r>
    </w:p>
    <w:p w14:paraId="6A0DA09C" w14:textId="62C1C3B1" w:rsidR="00670481" w:rsidRPr="00DA1E93" w:rsidRDefault="00670481" w:rsidP="00DA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rPr>
      </w:pPr>
      <w:r w:rsidRPr="00DA1E93">
        <w:rPr>
          <w:rFonts w:ascii="Times New Roman" w:hAnsi="Times New Roman" w:cs="Times New Roman"/>
          <w:b/>
          <w:sz w:val="20"/>
          <w:szCs w:val="20"/>
          <w:lang w:eastAsia="de-DE"/>
        </w:rPr>
        <w:t xml:space="preserve">FIGURE 1. </w:t>
      </w:r>
      <w:r w:rsidRPr="00DA1E93">
        <w:rPr>
          <w:rFonts w:ascii="Times New Roman" w:hAnsi="Times New Roman" w:cs="Times New Roman"/>
          <w:sz w:val="20"/>
          <w:szCs w:val="20"/>
        </w:rPr>
        <w:t>Modern Lesson Design Framework (Enhanced)</w:t>
      </w:r>
    </w:p>
    <w:p w14:paraId="66D6A0F2" w14:textId="77777777" w:rsidR="00670481" w:rsidRPr="00DA1E93" w:rsidRDefault="00670481" w:rsidP="00670481">
      <w:pPr>
        <w:pStyle w:val="ab"/>
        <w:spacing w:before="240" w:after="240"/>
        <w:jc w:val="center"/>
        <w:rPr>
          <w:rFonts w:ascii="Times New Roman" w:hAnsi="Times New Roman"/>
          <w:b/>
          <w:sz w:val="24"/>
          <w:szCs w:val="24"/>
          <w:lang w:val="en-US"/>
        </w:rPr>
      </w:pPr>
      <w:r w:rsidRPr="00DA1E93">
        <w:rPr>
          <w:rFonts w:ascii="Times New Roman" w:hAnsi="Times New Roman"/>
          <w:b/>
          <w:sz w:val="24"/>
          <w:szCs w:val="24"/>
          <w:lang w:val="en-US"/>
        </w:rPr>
        <w:t>DISCUSSION</w:t>
      </w:r>
    </w:p>
    <w:p w14:paraId="52E95295" w14:textId="77777777" w:rsidR="00670481" w:rsidRPr="00DA1E93" w:rsidRDefault="00670481" w:rsidP="00DA1E93">
      <w:pPr>
        <w:tabs>
          <w:tab w:val="left" w:pos="426"/>
        </w:tabs>
        <w:spacing w:after="0" w:line="240" w:lineRule="auto"/>
        <w:ind w:firstLine="284"/>
        <w:jc w:val="both"/>
        <w:rPr>
          <w:rFonts w:ascii="Times New Roman" w:hAnsi="Times New Roman" w:cs="Times New Roman"/>
          <w:sz w:val="20"/>
          <w:szCs w:val="20"/>
        </w:rPr>
      </w:pPr>
      <w:r w:rsidRPr="00DA1E93">
        <w:rPr>
          <w:rFonts w:ascii="Times New Roman" w:hAnsi="Times New Roman" w:cs="Times New Roman"/>
          <w:sz w:val="20"/>
          <w:szCs w:val="20"/>
        </w:rPr>
        <w:t>The analysis indicates that technology-enhanced, standards-aligned lesson design improves learning outcomes, promotes inclusivity, and prepares students for global competencies. Incorporating formative assessment and adaptive feedback mechanisms ensures continuous improvement.</w:t>
      </w:r>
    </w:p>
    <w:p w14:paraId="5C1202D5" w14:textId="77777777" w:rsidR="00670481" w:rsidRPr="00DA1E93" w:rsidRDefault="00670481" w:rsidP="00DA1E93">
      <w:pPr>
        <w:pStyle w:val="aa"/>
        <w:tabs>
          <w:tab w:val="left" w:pos="426"/>
        </w:tabs>
        <w:spacing w:before="0" w:beforeAutospacing="0" w:after="0" w:afterAutospacing="0"/>
        <w:ind w:firstLine="284"/>
        <w:rPr>
          <w:sz w:val="20"/>
          <w:szCs w:val="20"/>
        </w:rPr>
      </w:pPr>
      <w:proofErr w:type="spellStart"/>
      <w:r w:rsidRPr="00DA1E93">
        <w:rPr>
          <w:sz w:val="20"/>
          <w:szCs w:val="20"/>
        </w:rPr>
        <w:t>International</w:t>
      </w:r>
      <w:proofErr w:type="spellEnd"/>
      <w:r w:rsidRPr="00DA1E93">
        <w:rPr>
          <w:sz w:val="20"/>
          <w:szCs w:val="20"/>
        </w:rPr>
        <w:t xml:space="preserve"> </w:t>
      </w:r>
      <w:proofErr w:type="spellStart"/>
      <w:r w:rsidRPr="00DA1E93">
        <w:rPr>
          <w:sz w:val="20"/>
          <w:szCs w:val="20"/>
        </w:rPr>
        <w:t>case</w:t>
      </w:r>
      <w:proofErr w:type="spellEnd"/>
      <w:r w:rsidRPr="00DA1E93">
        <w:rPr>
          <w:sz w:val="20"/>
          <w:szCs w:val="20"/>
        </w:rPr>
        <w:t xml:space="preserve"> </w:t>
      </w:r>
      <w:proofErr w:type="spellStart"/>
      <w:r w:rsidRPr="00DA1E93">
        <w:rPr>
          <w:sz w:val="20"/>
          <w:szCs w:val="20"/>
        </w:rPr>
        <w:t>studies</w:t>
      </w:r>
      <w:proofErr w:type="spellEnd"/>
      <w:r w:rsidRPr="00DA1E93">
        <w:rPr>
          <w:sz w:val="20"/>
          <w:szCs w:val="20"/>
        </w:rPr>
        <w:t xml:space="preserve"> </w:t>
      </w:r>
      <w:proofErr w:type="spellStart"/>
      <w:r w:rsidRPr="00DA1E93">
        <w:rPr>
          <w:sz w:val="20"/>
          <w:szCs w:val="20"/>
        </w:rPr>
        <w:t>reveal</w:t>
      </w:r>
      <w:proofErr w:type="spellEnd"/>
      <w:r w:rsidRPr="00DA1E93">
        <w:rPr>
          <w:sz w:val="20"/>
          <w:szCs w:val="20"/>
        </w:rPr>
        <w:t>:</w:t>
      </w:r>
    </w:p>
    <w:p w14:paraId="3A038404" w14:textId="77777777" w:rsidR="00670481" w:rsidRPr="00DA1E93" w:rsidRDefault="00670481" w:rsidP="00DA1E93">
      <w:pPr>
        <w:pStyle w:val="aa"/>
        <w:numPr>
          <w:ilvl w:val="0"/>
          <w:numId w:val="7"/>
        </w:numPr>
        <w:tabs>
          <w:tab w:val="clear" w:pos="502"/>
          <w:tab w:val="left" w:pos="426"/>
          <w:tab w:val="num" w:pos="720"/>
        </w:tabs>
        <w:spacing w:before="0" w:beforeAutospacing="0" w:after="0" w:afterAutospacing="0"/>
        <w:ind w:left="0" w:firstLine="284"/>
        <w:rPr>
          <w:sz w:val="20"/>
          <w:szCs w:val="20"/>
          <w:lang w:val="en-US"/>
        </w:rPr>
      </w:pPr>
      <w:r w:rsidRPr="00DA1E93">
        <w:rPr>
          <w:sz w:val="20"/>
          <w:szCs w:val="20"/>
          <w:lang w:val="en-US"/>
        </w:rPr>
        <w:t>Implementation of LMS and virtual collaboration tools increases student engagement by 20–30%.</w:t>
      </w:r>
    </w:p>
    <w:p w14:paraId="5A3BFFB2" w14:textId="77777777" w:rsidR="00670481" w:rsidRPr="00DA1E93" w:rsidRDefault="00670481" w:rsidP="00DA1E93">
      <w:pPr>
        <w:pStyle w:val="aa"/>
        <w:numPr>
          <w:ilvl w:val="0"/>
          <w:numId w:val="7"/>
        </w:numPr>
        <w:tabs>
          <w:tab w:val="clear" w:pos="502"/>
          <w:tab w:val="left" w:pos="426"/>
          <w:tab w:val="num" w:pos="720"/>
        </w:tabs>
        <w:spacing w:before="0" w:beforeAutospacing="0" w:after="0" w:afterAutospacing="0"/>
        <w:ind w:left="0" w:firstLine="284"/>
        <w:rPr>
          <w:sz w:val="20"/>
          <w:szCs w:val="20"/>
          <w:lang w:val="en-US"/>
        </w:rPr>
      </w:pPr>
      <w:r w:rsidRPr="00DA1E93">
        <w:rPr>
          <w:sz w:val="20"/>
          <w:szCs w:val="20"/>
          <w:lang w:val="en-US"/>
        </w:rPr>
        <w:t>Blended learning models combining online and face-to-face instruction yield higher achievement in STEM subjects.</w:t>
      </w:r>
    </w:p>
    <w:p w14:paraId="0D86FEAE" w14:textId="4ACD277B" w:rsidR="00670481" w:rsidRPr="00DA1E93" w:rsidRDefault="00670481" w:rsidP="00DA1E93">
      <w:pPr>
        <w:pStyle w:val="aa"/>
        <w:numPr>
          <w:ilvl w:val="0"/>
          <w:numId w:val="7"/>
        </w:numPr>
        <w:tabs>
          <w:tab w:val="clear" w:pos="502"/>
          <w:tab w:val="left" w:pos="426"/>
          <w:tab w:val="num" w:pos="720"/>
        </w:tabs>
        <w:spacing w:before="0" w:beforeAutospacing="0" w:after="0" w:afterAutospacing="0"/>
        <w:ind w:left="0" w:firstLine="284"/>
        <w:rPr>
          <w:sz w:val="20"/>
          <w:szCs w:val="20"/>
          <w:lang w:val="en-US"/>
        </w:rPr>
      </w:pPr>
      <w:r w:rsidRPr="00DA1E93">
        <w:rPr>
          <w:sz w:val="20"/>
          <w:szCs w:val="20"/>
          <w:lang w:val="en-US"/>
        </w:rPr>
        <w:lastRenderedPageBreak/>
        <w:t>Inclusive designs based on UDL improve access for learners with disabilities.</w:t>
      </w:r>
    </w:p>
    <w:p w14:paraId="51D8FA98" w14:textId="5FB95C07" w:rsidR="007D79DC" w:rsidRPr="00DA1E9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A1E93">
        <w:rPr>
          <w:rFonts w:ascii="Times New Roman" w:hAnsi="Times New Roman" w:cs="Times New Roman"/>
          <w:b/>
          <w:sz w:val="24"/>
          <w:szCs w:val="24"/>
        </w:rPr>
        <w:t>CONCLUSIONS</w:t>
      </w:r>
    </w:p>
    <w:p w14:paraId="2CF2026E" w14:textId="77777777" w:rsidR="00670481" w:rsidRPr="00DA1E93" w:rsidRDefault="00670481" w:rsidP="00DA1E93">
      <w:pPr>
        <w:pStyle w:val="aa"/>
        <w:tabs>
          <w:tab w:val="left" w:pos="426"/>
        </w:tabs>
        <w:spacing w:before="0" w:beforeAutospacing="0" w:after="0" w:afterAutospacing="0"/>
        <w:ind w:firstLine="284"/>
        <w:jc w:val="both"/>
        <w:rPr>
          <w:sz w:val="20"/>
          <w:szCs w:val="20"/>
          <w:lang w:val="en-US"/>
        </w:rPr>
      </w:pPr>
      <w:r w:rsidRPr="00DA1E93">
        <w:rPr>
          <w:sz w:val="20"/>
          <w:szCs w:val="20"/>
          <w:lang w:val="en-US"/>
        </w:rPr>
        <w:t>Integrating technological innovations with international standards provides a robust framework for effective lesson design. Key recommendations include:</w:t>
      </w:r>
    </w:p>
    <w:p w14:paraId="5B5408AF" w14:textId="77777777" w:rsidR="00670481" w:rsidRPr="00DA1E93" w:rsidRDefault="00670481" w:rsidP="00DA1E93">
      <w:pPr>
        <w:pStyle w:val="aa"/>
        <w:numPr>
          <w:ilvl w:val="0"/>
          <w:numId w:val="7"/>
        </w:numPr>
        <w:tabs>
          <w:tab w:val="left" w:pos="426"/>
        </w:tabs>
        <w:spacing w:before="0" w:beforeAutospacing="0" w:after="0" w:afterAutospacing="0"/>
        <w:ind w:left="0" w:firstLine="284"/>
        <w:jc w:val="both"/>
        <w:rPr>
          <w:sz w:val="20"/>
          <w:szCs w:val="20"/>
          <w:lang w:val="en-US"/>
        </w:rPr>
      </w:pPr>
      <w:r w:rsidRPr="00DA1E93">
        <w:rPr>
          <w:sz w:val="20"/>
          <w:szCs w:val="20"/>
          <w:lang w:val="en-US"/>
        </w:rPr>
        <w:t>Aligning lessons with competency frameworks and international standards.</w:t>
      </w:r>
    </w:p>
    <w:p w14:paraId="41DE006F" w14:textId="77777777" w:rsidR="00670481" w:rsidRPr="00DA1E93" w:rsidRDefault="00670481" w:rsidP="00DA1E93">
      <w:pPr>
        <w:pStyle w:val="aa"/>
        <w:numPr>
          <w:ilvl w:val="0"/>
          <w:numId w:val="7"/>
        </w:numPr>
        <w:tabs>
          <w:tab w:val="left" w:pos="426"/>
        </w:tabs>
        <w:spacing w:before="0" w:beforeAutospacing="0" w:after="0" w:afterAutospacing="0"/>
        <w:ind w:left="0" w:firstLine="284"/>
        <w:jc w:val="both"/>
        <w:rPr>
          <w:sz w:val="20"/>
          <w:szCs w:val="20"/>
          <w:lang w:val="en-US"/>
        </w:rPr>
      </w:pPr>
      <w:r w:rsidRPr="00DA1E93">
        <w:rPr>
          <w:sz w:val="20"/>
          <w:szCs w:val="20"/>
          <w:lang w:val="en-US"/>
        </w:rPr>
        <w:t>Designing interactive and collaborative learning activities supported by technology.</w:t>
      </w:r>
    </w:p>
    <w:p w14:paraId="7CC37A83" w14:textId="77777777" w:rsidR="00670481" w:rsidRPr="00DA1E93" w:rsidRDefault="00670481" w:rsidP="00DA1E93">
      <w:pPr>
        <w:pStyle w:val="aa"/>
        <w:numPr>
          <w:ilvl w:val="0"/>
          <w:numId w:val="7"/>
        </w:numPr>
        <w:tabs>
          <w:tab w:val="left" w:pos="426"/>
        </w:tabs>
        <w:spacing w:before="0" w:beforeAutospacing="0" w:after="0" w:afterAutospacing="0"/>
        <w:ind w:left="0" w:firstLine="284"/>
        <w:jc w:val="both"/>
        <w:rPr>
          <w:sz w:val="20"/>
          <w:szCs w:val="20"/>
          <w:lang w:val="en-US"/>
        </w:rPr>
      </w:pPr>
      <w:r w:rsidRPr="00DA1E93">
        <w:rPr>
          <w:sz w:val="20"/>
          <w:szCs w:val="20"/>
          <w:lang w:val="en-US"/>
        </w:rPr>
        <w:t>Implementing continuous formative assessment and feedback.</w:t>
      </w:r>
    </w:p>
    <w:p w14:paraId="723FEBC6" w14:textId="77777777" w:rsidR="00670481" w:rsidRPr="00DA1E93" w:rsidRDefault="00670481" w:rsidP="00DA1E93">
      <w:pPr>
        <w:pStyle w:val="aa"/>
        <w:numPr>
          <w:ilvl w:val="0"/>
          <w:numId w:val="7"/>
        </w:numPr>
        <w:tabs>
          <w:tab w:val="left" w:pos="426"/>
        </w:tabs>
        <w:spacing w:before="0" w:beforeAutospacing="0" w:after="0" w:afterAutospacing="0"/>
        <w:ind w:left="0" w:firstLine="284"/>
        <w:jc w:val="both"/>
        <w:rPr>
          <w:sz w:val="20"/>
          <w:szCs w:val="20"/>
          <w:lang w:val="en-US"/>
        </w:rPr>
      </w:pPr>
      <w:r w:rsidRPr="00DA1E93">
        <w:rPr>
          <w:sz w:val="20"/>
          <w:szCs w:val="20"/>
          <w:lang w:val="en-US"/>
        </w:rPr>
        <w:t>Ensuring inclusivity and accessibility for all learners.</w:t>
      </w:r>
    </w:p>
    <w:p w14:paraId="50C6E80F" w14:textId="1944F242" w:rsidR="00670481" w:rsidRPr="00DA1E93" w:rsidRDefault="00670481" w:rsidP="00DA1E93">
      <w:pPr>
        <w:pStyle w:val="aa"/>
        <w:numPr>
          <w:ilvl w:val="0"/>
          <w:numId w:val="7"/>
        </w:numPr>
        <w:tabs>
          <w:tab w:val="left" w:pos="426"/>
        </w:tabs>
        <w:spacing w:before="0" w:beforeAutospacing="0" w:after="0" w:afterAutospacing="0"/>
        <w:ind w:left="0" w:firstLine="284"/>
        <w:jc w:val="both"/>
        <w:rPr>
          <w:sz w:val="20"/>
          <w:szCs w:val="20"/>
          <w:lang w:val="en-US"/>
        </w:rPr>
      </w:pPr>
      <w:r w:rsidRPr="00DA1E93">
        <w:rPr>
          <w:sz w:val="20"/>
          <w:szCs w:val="20"/>
          <w:lang w:val="en-US"/>
        </w:rPr>
        <w:t>Educators should adopt structured, learner-centered approaches, leverage technology strategically, and continuously evaluate lesson effectiveness for sustainable educational quality.</w:t>
      </w:r>
    </w:p>
    <w:p w14:paraId="5FF2BC5A" w14:textId="585DE9F0" w:rsidR="00F84944" w:rsidRPr="00DA1E9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DA1E93">
        <w:rPr>
          <w:rFonts w:ascii="Times New Roman" w:hAnsi="Times New Roman" w:cs="Times New Roman"/>
          <w:b/>
          <w:sz w:val="24"/>
          <w:szCs w:val="24"/>
        </w:rPr>
        <w:t>REFERENCES</w:t>
      </w:r>
    </w:p>
    <w:p w14:paraId="7715B8F0"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eastAsia="Times New Roman" w:hAnsi="Times New Roman" w:cs="Times New Roman"/>
          <w:sz w:val="20"/>
          <w:szCs w:val="20"/>
        </w:rPr>
      </w:pPr>
      <w:bookmarkStart w:id="1" w:name="_Hlk154484130"/>
      <w:bookmarkStart w:id="2" w:name="_Hlk133650535"/>
      <w:r w:rsidRPr="00DA1E93">
        <w:rPr>
          <w:rFonts w:ascii="Times New Roman" w:eastAsia="Times New Roman" w:hAnsi="Times New Roman" w:cs="Times New Roman"/>
          <w:sz w:val="20"/>
          <w:szCs w:val="20"/>
        </w:rPr>
        <w:t xml:space="preserve">Clark, R.C., Mayer, R.E. </w:t>
      </w:r>
      <w:r w:rsidRPr="00DA1E93">
        <w:rPr>
          <w:rFonts w:ascii="Times New Roman" w:eastAsia="Times New Roman" w:hAnsi="Times New Roman" w:cs="Times New Roman"/>
          <w:i/>
          <w:iCs/>
          <w:sz w:val="20"/>
          <w:szCs w:val="20"/>
        </w:rPr>
        <w:t>e-Learning and the Science of Instruction</w:t>
      </w:r>
      <w:r w:rsidRPr="00DA1E93">
        <w:rPr>
          <w:rFonts w:ascii="Times New Roman" w:eastAsia="Times New Roman" w:hAnsi="Times New Roman" w:cs="Times New Roman"/>
          <w:sz w:val="20"/>
          <w:szCs w:val="20"/>
        </w:rPr>
        <w:t>. Wiley, 2016.</w:t>
      </w:r>
    </w:p>
    <w:p w14:paraId="1764B76A"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 xml:space="preserve">Jonassen, D.H. </w:t>
      </w:r>
      <w:r w:rsidRPr="00DA1E93">
        <w:rPr>
          <w:rFonts w:ascii="Times New Roman" w:eastAsia="Times New Roman" w:hAnsi="Times New Roman" w:cs="Times New Roman"/>
          <w:i/>
          <w:iCs/>
          <w:sz w:val="20"/>
          <w:szCs w:val="20"/>
        </w:rPr>
        <w:t>Learning to Solve Problems with Technology</w:t>
      </w:r>
      <w:r w:rsidRPr="00DA1E93">
        <w:rPr>
          <w:rFonts w:ascii="Times New Roman" w:eastAsia="Times New Roman" w:hAnsi="Times New Roman" w:cs="Times New Roman"/>
          <w:sz w:val="20"/>
          <w:szCs w:val="20"/>
        </w:rPr>
        <w:t>. Routledge, 2011.</w:t>
      </w:r>
    </w:p>
    <w:p w14:paraId="0DDD2A76"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eastAsia="Times New Roman" w:hAnsi="Times New Roman" w:cs="Times New Roman"/>
          <w:sz w:val="20"/>
          <w:szCs w:val="20"/>
        </w:rPr>
      </w:pPr>
      <w:r w:rsidRPr="00DA1E93">
        <w:rPr>
          <w:rFonts w:ascii="Times New Roman" w:eastAsia="Times New Roman" w:hAnsi="Times New Roman" w:cs="Times New Roman"/>
          <w:sz w:val="20"/>
          <w:szCs w:val="20"/>
        </w:rPr>
        <w:t xml:space="preserve">Pellegrino, J., Hilton, M. </w:t>
      </w:r>
      <w:r w:rsidRPr="00DA1E93">
        <w:rPr>
          <w:rFonts w:ascii="Times New Roman" w:eastAsia="Times New Roman" w:hAnsi="Times New Roman" w:cs="Times New Roman"/>
          <w:i/>
          <w:iCs/>
          <w:sz w:val="20"/>
          <w:szCs w:val="20"/>
        </w:rPr>
        <w:t>Education for Life and Work</w:t>
      </w:r>
      <w:r w:rsidRPr="00DA1E93">
        <w:rPr>
          <w:rFonts w:ascii="Times New Roman" w:eastAsia="Times New Roman" w:hAnsi="Times New Roman" w:cs="Times New Roman"/>
          <w:sz w:val="20"/>
          <w:szCs w:val="20"/>
        </w:rPr>
        <w:t>. National Academies Press, 2012.</w:t>
      </w:r>
    </w:p>
    <w:p w14:paraId="78B2B93F" w14:textId="630D65DE"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hAnsi="Times New Roman" w:cs="Times New Roman"/>
          <w:color w:val="000000"/>
          <w:sz w:val="18"/>
          <w:szCs w:val="18"/>
        </w:rPr>
      </w:pPr>
      <w:r w:rsidRPr="00DA1E93">
        <w:rPr>
          <w:rFonts w:ascii="Times New Roman" w:hAnsi="Times New Roman" w:cs="Times New Roman"/>
          <w:sz w:val="20"/>
          <w:szCs w:val="20"/>
          <w:shd w:val="clear" w:color="auto" w:fill="FFFFFF"/>
        </w:rPr>
        <w:t>Khamidov, A., Akhmedov, I., &amp; Umarov, I. (2023). Moisture loss from freshly laid concrete, depending on the temperature and humidity of the environment. In </w:t>
      </w:r>
      <w:r w:rsidRPr="00DA1E93">
        <w:rPr>
          <w:rFonts w:ascii="Times New Roman" w:hAnsi="Times New Roman" w:cs="Times New Roman"/>
          <w:i/>
          <w:iCs/>
          <w:sz w:val="20"/>
          <w:szCs w:val="20"/>
          <w:shd w:val="clear" w:color="auto" w:fill="FFFFFF"/>
        </w:rPr>
        <w:t>E3S Web of Conferences</w:t>
      </w:r>
      <w:r w:rsidRPr="00DA1E93">
        <w:rPr>
          <w:rFonts w:ascii="Times New Roman" w:hAnsi="Times New Roman" w:cs="Times New Roman"/>
          <w:sz w:val="20"/>
          <w:szCs w:val="20"/>
          <w:shd w:val="clear" w:color="auto" w:fill="FFFFFF"/>
        </w:rPr>
        <w:t> (Vol. 390, p. 06040). EDP Sciences.</w:t>
      </w:r>
      <w:r w:rsidRPr="00DA1E93">
        <w:rPr>
          <w:rFonts w:ascii="Times New Roman" w:hAnsi="Times New Roman" w:cs="Times New Roman"/>
          <w:color w:val="000000"/>
          <w:sz w:val="18"/>
          <w:szCs w:val="18"/>
        </w:rPr>
        <w:t xml:space="preserve"> </w:t>
      </w:r>
      <w:hyperlink r:id="rId7" w:history="1">
        <w:r w:rsidRPr="00DA1E93">
          <w:rPr>
            <w:rStyle w:val="a6"/>
            <w:rFonts w:ascii="Times New Roman" w:hAnsi="Times New Roman" w:cs="Times New Roman"/>
            <w:sz w:val="18"/>
            <w:szCs w:val="18"/>
          </w:rPr>
          <w:t>https://doi.org/10.1051/e3sconf/202339006040</w:t>
        </w:r>
      </w:hyperlink>
    </w:p>
    <w:p w14:paraId="7B79918E"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hAnsi="Times New Roman" w:cs="Times New Roman"/>
          <w:b/>
          <w:sz w:val="20"/>
          <w:szCs w:val="20"/>
        </w:rPr>
      </w:pPr>
      <w:r w:rsidRPr="00DA1E93">
        <w:rPr>
          <w:rFonts w:ascii="Times New Roman" w:hAnsi="Times New Roman" w:cs="Times New Roman"/>
          <w:color w:val="222222"/>
          <w:sz w:val="20"/>
          <w:szCs w:val="20"/>
          <w:shd w:val="clear" w:color="auto" w:fill="FFFFFF"/>
        </w:rPr>
        <w:t xml:space="preserve">Arifjanov, A., Samiyev, L., Akhmedov, I., &amp; </w:t>
      </w:r>
      <w:proofErr w:type="spellStart"/>
      <w:r w:rsidRPr="00DA1E93">
        <w:rPr>
          <w:rFonts w:ascii="Times New Roman" w:hAnsi="Times New Roman" w:cs="Times New Roman"/>
          <w:color w:val="222222"/>
          <w:sz w:val="20"/>
          <w:szCs w:val="20"/>
          <w:shd w:val="clear" w:color="auto" w:fill="FFFFFF"/>
        </w:rPr>
        <w:t>Atakulov</w:t>
      </w:r>
      <w:proofErr w:type="spellEnd"/>
      <w:r w:rsidRPr="00DA1E93">
        <w:rPr>
          <w:rFonts w:ascii="Times New Roman" w:hAnsi="Times New Roman" w:cs="Times New Roman"/>
          <w:color w:val="222222"/>
          <w:sz w:val="20"/>
          <w:szCs w:val="20"/>
          <w:shd w:val="clear" w:color="auto" w:fill="FFFFFF"/>
        </w:rPr>
        <w:t>, D. (2021). Innovative technologies in the assessment of accumulation and erosion processes in the channels. </w:t>
      </w:r>
      <w:r w:rsidRPr="00DA1E93">
        <w:rPr>
          <w:rFonts w:ascii="Times New Roman" w:hAnsi="Times New Roman" w:cs="Times New Roman"/>
          <w:i/>
          <w:iCs/>
          <w:color w:val="222222"/>
          <w:sz w:val="20"/>
          <w:szCs w:val="20"/>
          <w:shd w:val="clear" w:color="auto" w:fill="FFFFFF"/>
        </w:rPr>
        <w:t>Turkish Journal of Computer and Mathematics Education</w:t>
      </w:r>
      <w:r w:rsidRPr="00DA1E93">
        <w:rPr>
          <w:rFonts w:ascii="Times New Roman" w:hAnsi="Times New Roman" w:cs="Times New Roman"/>
          <w:color w:val="222222"/>
          <w:sz w:val="20"/>
          <w:szCs w:val="20"/>
          <w:shd w:val="clear" w:color="auto" w:fill="FFFFFF"/>
        </w:rPr>
        <w:t>, </w:t>
      </w:r>
      <w:r w:rsidRPr="00DA1E93">
        <w:rPr>
          <w:rFonts w:ascii="Times New Roman" w:hAnsi="Times New Roman" w:cs="Times New Roman"/>
          <w:i/>
          <w:iCs/>
          <w:color w:val="222222"/>
          <w:sz w:val="20"/>
          <w:szCs w:val="20"/>
          <w:shd w:val="clear" w:color="auto" w:fill="FFFFFF"/>
        </w:rPr>
        <w:t>12</w:t>
      </w:r>
      <w:r w:rsidRPr="00DA1E93">
        <w:rPr>
          <w:rFonts w:ascii="Times New Roman" w:hAnsi="Times New Roman" w:cs="Times New Roman"/>
          <w:color w:val="222222"/>
          <w:sz w:val="20"/>
          <w:szCs w:val="20"/>
          <w:shd w:val="clear" w:color="auto" w:fill="FFFFFF"/>
        </w:rPr>
        <w:t>(4), 110-114.</w:t>
      </w:r>
    </w:p>
    <w:p w14:paraId="01D1F58B"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hAnsi="Times New Roman" w:cs="Times New Roman"/>
          <w:b/>
          <w:sz w:val="20"/>
          <w:szCs w:val="20"/>
        </w:rPr>
      </w:pPr>
      <w:r w:rsidRPr="00DA1E93">
        <w:rPr>
          <w:rFonts w:ascii="Times New Roman" w:hAnsi="Times New Roman" w:cs="Times New Roman"/>
          <w:color w:val="222222"/>
          <w:sz w:val="20"/>
          <w:szCs w:val="20"/>
          <w:shd w:val="clear" w:color="auto" w:fill="FFFFFF"/>
        </w:rPr>
        <w:t xml:space="preserve">Usmonov, K., Berdimurodov, U., Khakimov, S., Globin, A. N., Daus, Y. V., &amp; </w:t>
      </w:r>
      <w:proofErr w:type="spellStart"/>
      <w:r w:rsidRPr="00DA1E93">
        <w:rPr>
          <w:rFonts w:ascii="Times New Roman" w:hAnsi="Times New Roman" w:cs="Times New Roman"/>
          <w:color w:val="222222"/>
          <w:sz w:val="20"/>
          <w:szCs w:val="20"/>
          <w:shd w:val="clear" w:color="auto" w:fill="FFFFFF"/>
        </w:rPr>
        <w:t>Boboeva</w:t>
      </w:r>
      <w:proofErr w:type="spellEnd"/>
      <w:r w:rsidRPr="00DA1E93">
        <w:rPr>
          <w:rFonts w:ascii="Times New Roman" w:hAnsi="Times New Roman" w:cs="Times New Roman"/>
          <w:color w:val="222222"/>
          <w:sz w:val="20"/>
          <w:szCs w:val="20"/>
          <w:shd w:val="clear" w:color="auto" w:fill="FFFFFF"/>
        </w:rPr>
        <w:t>, S. (2025). Biotechnological production of protein feeds from alcohol industry waste. In </w:t>
      </w:r>
      <w:r w:rsidRPr="00DA1E93">
        <w:rPr>
          <w:rFonts w:ascii="Times New Roman" w:hAnsi="Times New Roman" w:cs="Times New Roman"/>
          <w:i/>
          <w:iCs/>
          <w:color w:val="222222"/>
          <w:sz w:val="20"/>
          <w:szCs w:val="20"/>
          <w:shd w:val="clear" w:color="auto" w:fill="FFFFFF"/>
        </w:rPr>
        <w:t>BIO Web of Conferences</w:t>
      </w:r>
      <w:r w:rsidRPr="00DA1E93">
        <w:rPr>
          <w:rFonts w:ascii="Times New Roman" w:hAnsi="Times New Roman" w:cs="Times New Roman"/>
          <w:color w:val="222222"/>
          <w:sz w:val="20"/>
          <w:szCs w:val="20"/>
          <w:shd w:val="clear" w:color="auto" w:fill="FFFFFF"/>
        </w:rPr>
        <w:t> (Vol. 161, p. 00055). EDP Sciences.</w:t>
      </w:r>
      <w:r w:rsidRPr="00DA1E93">
        <w:rPr>
          <w:rFonts w:ascii="Times New Roman" w:hAnsi="Times New Roman" w:cs="Times New Roman"/>
          <w:color w:val="000000"/>
          <w:sz w:val="18"/>
          <w:szCs w:val="18"/>
        </w:rPr>
        <w:t xml:space="preserve"> </w:t>
      </w:r>
      <w:hyperlink r:id="rId8" w:history="1">
        <w:r w:rsidRPr="00DA1E93">
          <w:rPr>
            <w:rStyle w:val="a6"/>
            <w:rFonts w:ascii="Times New Roman" w:hAnsi="Times New Roman" w:cs="Times New Roman"/>
            <w:sz w:val="18"/>
            <w:szCs w:val="18"/>
          </w:rPr>
          <w:t>https://doi.org/10.1051/bioconf/202516100055</w:t>
        </w:r>
      </w:hyperlink>
    </w:p>
    <w:p w14:paraId="6EC579D5" w14:textId="77777777" w:rsidR="00670481" w:rsidRPr="00DA1E93" w:rsidRDefault="00670481" w:rsidP="00DA1E93">
      <w:pPr>
        <w:pStyle w:val="a4"/>
        <w:numPr>
          <w:ilvl w:val="0"/>
          <w:numId w:val="3"/>
        </w:numPr>
        <w:tabs>
          <w:tab w:val="left" w:pos="426"/>
          <w:tab w:val="left" w:pos="567"/>
        </w:tabs>
        <w:spacing w:after="0" w:line="240" w:lineRule="auto"/>
        <w:ind w:left="0" w:firstLine="284"/>
        <w:jc w:val="both"/>
        <w:rPr>
          <w:rFonts w:ascii="Times New Roman" w:hAnsi="Times New Roman" w:cs="Times New Roman"/>
          <w:b/>
          <w:sz w:val="20"/>
          <w:szCs w:val="20"/>
        </w:rPr>
      </w:pPr>
      <w:proofErr w:type="spellStart"/>
      <w:r w:rsidRPr="00DA1E93">
        <w:rPr>
          <w:rFonts w:ascii="Times New Roman" w:hAnsi="Times New Roman" w:cs="Times New Roman"/>
          <w:color w:val="222222"/>
          <w:sz w:val="20"/>
          <w:szCs w:val="20"/>
          <w:shd w:val="clear" w:color="auto" w:fill="FFFFFF"/>
        </w:rPr>
        <w:t>Kholmirzaev</w:t>
      </w:r>
      <w:proofErr w:type="spellEnd"/>
      <w:r w:rsidRPr="00DA1E93">
        <w:rPr>
          <w:rFonts w:ascii="Times New Roman" w:hAnsi="Times New Roman" w:cs="Times New Roman"/>
          <w:color w:val="222222"/>
          <w:sz w:val="20"/>
          <w:szCs w:val="20"/>
          <w:shd w:val="clear" w:color="auto" w:fill="FFFFFF"/>
        </w:rPr>
        <w:t>, S. A., &amp; Alinazarov, A. K. (2005). Temperature-vs-thickness variation in reinforced beam columns of expanded-clay lightweight concrete exposed to solar radiation. </w:t>
      </w:r>
      <w:r w:rsidRPr="00DA1E93">
        <w:rPr>
          <w:rFonts w:ascii="Times New Roman" w:hAnsi="Times New Roman" w:cs="Times New Roman"/>
          <w:i/>
          <w:iCs/>
          <w:color w:val="222222"/>
          <w:sz w:val="20"/>
          <w:szCs w:val="20"/>
          <w:shd w:val="clear" w:color="auto" w:fill="FFFFFF"/>
        </w:rPr>
        <w:t>Applied Solar Energy</w:t>
      </w:r>
      <w:r w:rsidRPr="00DA1E93">
        <w:rPr>
          <w:rFonts w:ascii="Times New Roman" w:hAnsi="Times New Roman" w:cs="Times New Roman"/>
          <w:color w:val="222222"/>
          <w:sz w:val="20"/>
          <w:szCs w:val="20"/>
          <w:shd w:val="clear" w:color="auto" w:fill="FFFFFF"/>
        </w:rPr>
        <w:t>, </w:t>
      </w:r>
      <w:r w:rsidRPr="00DA1E93">
        <w:rPr>
          <w:rFonts w:ascii="Times New Roman" w:hAnsi="Times New Roman" w:cs="Times New Roman"/>
          <w:i/>
          <w:iCs/>
          <w:color w:val="222222"/>
          <w:sz w:val="20"/>
          <w:szCs w:val="20"/>
          <w:shd w:val="clear" w:color="auto" w:fill="FFFFFF"/>
        </w:rPr>
        <w:t>41</w:t>
      </w:r>
      <w:r w:rsidRPr="00DA1E93">
        <w:rPr>
          <w:rFonts w:ascii="Times New Roman" w:hAnsi="Times New Roman" w:cs="Times New Roman"/>
          <w:color w:val="222222"/>
          <w:sz w:val="20"/>
          <w:szCs w:val="20"/>
          <w:shd w:val="clear" w:color="auto" w:fill="FFFFFF"/>
        </w:rPr>
        <w:t>(2), 21-24.</w:t>
      </w:r>
    </w:p>
    <w:p w14:paraId="376C558C" w14:textId="7493BED8" w:rsidR="006A4554" w:rsidRPr="00DA1E93" w:rsidRDefault="00670481" w:rsidP="00DA1E93">
      <w:pPr>
        <w:pStyle w:val="a4"/>
        <w:numPr>
          <w:ilvl w:val="0"/>
          <w:numId w:val="3"/>
        </w:numPr>
        <w:tabs>
          <w:tab w:val="left" w:pos="284"/>
          <w:tab w:val="left" w:pos="426"/>
          <w:tab w:val="left" w:pos="567"/>
          <w:tab w:val="left" w:pos="851"/>
          <w:tab w:val="left" w:pos="993"/>
        </w:tabs>
        <w:spacing w:after="0" w:line="240" w:lineRule="auto"/>
        <w:ind w:left="0" w:firstLine="284"/>
        <w:jc w:val="both"/>
        <w:rPr>
          <w:rStyle w:val="a6"/>
          <w:rFonts w:ascii="Times New Roman" w:hAnsi="Times New Roman" w:cs="Times New Roman"/>
          <w:sz w:val="20"/>
          <w:szCs w:val="20"/>
        </w:rPr>
      </w:pPr>
      <w:r w:rsidRPr="00DA1E93">
        <w:rPr>
          <w:rFonts w:ascii="Times New Roman" w:hAnsi="Times New Roman" w:cs="Times New Roman"/>
          <w:color w:val="222222"/>
          <w:sz w:val="20"/>
          <w:szCs w:val="20"/>
          <w:shd w:val="clear" w:color="auto" w:fill="FFFFFF"/>
        </w:rPr>
        <w:t xml:space="preserve">Buzrukov, Z., Yakubjanov, I., &amp; </w:t>
      </w:r>
      <w:proofErr w:type="spellStart"/>
      <w:r w:rsidRPr="00DA1E93">
        <w:rPr>
          <w:rFonts w:ascii="Times New Roman" w:hAnsi="Times New Roman" w:cs="Times New Roman"/>
          <w:color w:val="222222"/>
          <w:sz w:val="20"/>
          <w:szCs w:val="20"/>
          <w:shd w:val="clear" w:color="auto" w:fill="FFFFFF"/>
        </w:rPr>
        <w:t>Umataliev</w:t>
      </w:r>
      <w:proofErr w:type="spellEnd"/>
      <w:r w:rsidRPr="00DA1E93">
        <w:rPr>
          <w:rFonts w:ascii="Times New Roman" w:hAnsi="Times New Roman" w:cs="Times New Roman"/>
          <w:color w:val="222222"/>
          <w:sz w:val="20"/>
          <w:szCs w:val="20"/>
          <w:shd w:val="clear" w:color="auto" w:fill="FFFFFF"/>
        </w:rPr>
        <w:t>, M. (2021). Features of the joint work of structures and pile foundations on loess foundations. In </w:t>
      </w:r>
      <w:r w:rsidRPr="00DA1E93">
        <w:rPr>
          <w:rFonts w:ascii="Times New Roman" w:hAnsi="Times New Roman" w:cs="Times New Roman"/>
          <w:i/>
          <w:iCs/>
          <w:color w:val="222222"/>
          <w:sz w:val="20"/>
          <w:szCs w:val="20"/>
          <w:shd w:val="clear" w:color="auto" w:fill="FFFFFF"/>
        </w:rPr>
        <w:t>E3S Web of Conferences</w:t>
      </w:r>
      <w:r w:rsidRPr="00DA1E93">
        <w:rPr>
          <w:rFonts w:ascii="Times New Roman" w:hAnsi="Times New Roman" w:cs="Times New Roman"/>
          <w:color w:val="222222"/>
          <w:sz w:val="20"/>
          <w:szCs w:val="20"/>
          <w:shd w:val="clear" w:color="auto" w:fill="FFFFFF"/>
        </w:rPr>
        <w:t> (Vol. 264, p. 02048). EDP Sciences.</w:t>
      </w:r>
      <w:r w:rsidRPr="00DA1E93">
        <w:rPr>
          <w:rFonts w:ascii="Times New Roman" w:hAnsi="Times New Roman" w:cs="Times New Roman"/>
          <w:color w:val="000000"/>
          <w:sz w:val="18"/>
          <w:szCs w:val="18"/>
        </w:rPr>
        <w:t xml:space="preserve"> </w:t>
      </w:r>
      <w:hyperlink r:id="rId9" w:history="1">
        <w:r w:rsidRPr="00DA1E93">
          <w:rPr>
            <w:rStyle w:val="a6"/>
            <w:rFonts w:ascii="Times New Roman" w:hAnsi="Times New Roman" w:cs="Times New Roman"/>
            <w:sz w:val="18"/>
            <w:szCs w:val="18"/>
          </w:rPr>
          <w:t>https://doi.org/10.1051/e3sconf/202126402048</w:t>
        </w:r>
      </w:hyperlink>
      <w:bookmarkEnd w:id="1"/>
      <w:bookmarkEnd w:id="2"/>
    </w:p>
    <w:sectPr w:rsidR="006A4554" w:rsidRPr="00DA1E93" w:rsidSect="00C2712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8C8"/>
    <w:multiLevelType w:val="multilevel"/>
    <w:tmpl w:val="B57CCAD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1C4C3BAC"/>
    <w:multiLevelType w:val="multilevel"/>
    <w:tmpl w:val="0BE0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295C37"/>
    <w:multiLevelType w:val="hybridMultilevel"/>
    <w:tmpl w:val="01D4634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17B4902"/>
    <w:multiLevelType w:val="hybridMultilevel"/>
    <w:tmpl w:val="90768AB2"/>
    <w:lvl w:ilvl="0" w:tplc="48CE7EF6">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296551"/>
    <w:multiLevelType w:val="hybridMultilevel"/>
    <w:tmpl w:val="AAA071D0"/>
    <w:lvl w:ilvl="0" w:tplc="D248B512">
      <w:start w:val="1"/>
      <w:numFmt w:val="bullet"/>
      <w:lvlText w:val="-"/>
      <w:lvlJc w:val="left"/>
      <w:pPr>
        <w:ind w:left="644" w:hanging="360"/>
      </w:pPr>
      <w:rPr>
        <w:rFonts w:ascii="Times New Roman" w:eastAsia="Times New Roman"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481"/>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49B"/>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12F"/>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59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1E93"/>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05"/>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954C5DFA-FCEA-49CA-9D18-39C33806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p3">
    <w:name w:val="p3"/>
    <w:basedOn w:val="a"/>
    <w:rsid w:val="00B904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B9049B"/>
    <w:rPr>
      <w:b/>
      <w:bCs/>
    </w:rPr>
  </w:style>
  <w:style w:type="paragraph" w:styleId="a8">
    <w:name w:val="Balloon Text"/>
    <w:basedOn w:val="a"/>
    <w:link w:val="a9"/>
    <w:uiPriority w:val="99"/>
    <w:semiHidden/>
    <w:unhideWhenUsed/>
    <w:rsid w:val="00B904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049B"/>
    <w:rPr>
      <w:rFonts w:ascii="Tahoma" w:hAnsi="Tahoma" w:cs="Tahoma"/>
      <w:sz w:val="16"/>
      <w:szCs w:val="16"/>
    </w:rPr>
  </w:style>
  <w:style w:type="paragraph" w:styleId="aa">
    <w:name w:val="Normal (Web)"/>
    <w:basedOn w:val="a"/>
    <w:uiPriority w:val="99"/>
    <w:unhideWhenUsed/>
    <w:rsid w:val="006704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670481"/>
    <w:pPr>
      <w:spacing w:after="0" w:line="240" w:lineRule="auto"/>
    </w:pPr>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bioconf/202516100055" TargetMode="External"/><Relationship Id="rId3" Type="http://schemas.openxmlformats.org/officeDocument/2006/relationships/settings" Target="settings.xml"/><Relationship Id="rId7" Type="http://schemas.openxmlformats.org/officeDocument/2006/relationships/hyperlink" Target="https://doi.org/10.1051/e3sconf/202339006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xakimovsodiqjon1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e3sconf/202126402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5</cp:revision>
  <cp:lastPrinted>2023-12-26T18:03:00Z</cp:lastPrinted>
  <dcterms:created xsi:type="dcterms:W3CDTF">2025-12-22T10:34:00Z</dcterms:created>
  <dcterms:modified xsi:type="dcterms:W3CDTF">2026-01-04T12:00:00Z</dcterms:modified>
</cp:coreProperties>
</file>